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4916E18">
      <w:pPr>
        <w:pStyle w:val="11"/>
        <w:spacing w:before="120" w:beforeAutospacing="0" w:after="120" w:afterAutospacing="0" w:line="360" w:lineRule="auto"/>
        <w:rPr>
          <w:color w:val="auto"/>
          <w:highlight w:val="none"/>
        </w:rPr>
      </w:pPr>
      <w:r>
        <w:rPr>
          <w:color w:val="auto"/>
          <w:highlight w:val="none"/>
        </w:rPr>
        <w:t> </w:t>
      </w:r>
    </w:p>
    <w:p w14:paraId="50BA3A9B">
      <w:pPr>
        <w:pStyle w:val="11"/>
        <w:spacing w:before="120" w:beforeAutospacing="0" w:after="120" w:afterAutospacing="0" w:line="360" w:lineRule="auto"/>
        <w:ind w:firstLine="2530" w:firstLineChars="300"/>
        <w:jc w:val="both"/>
        <w:rPr>
          <w:color w:val="auto"/>
          <w:highlight w:val="none"/>
        </w:rPr>
      </w:pPr>
      <w:r>
        <w:rPr>
          <w:rFonts w:ascii="Arial" w:hAnsi="Arial" w:cs="Arial"/>
          <w:b/>
          <w:color w:val="auto"/>
          <w:sz w:val="84"/>
          <w:szCs w:val="84"/>
          <w:highlight w:val="none"/>
        </w:rPr>
        <w:t>招 标 文 件</w:t>
      </w:r>
    </w:p>
    <w:p w14:paraId="2D511C7A">
      <w:pPr>
        <w:pStyle w:val="11"/>
        <w:spacing w:before="120" w:beforeAutospacing="0" w:after="120" w:afterAutospacing="0" w:line="360" w:lineRule="auto"/>
        <w:ind w:firstLine="643"/>
        <w:rPr>
          <w:rFonts w:ascii="Arial" w:hAnsi="Arial" w:cs="Arial"/>
          <w:b/>
          <w:color w:val="auto"/>
          <w:sz w:val="32"/>
          <w:szCs w:val="32"/>
          <w:highlight w:val="none"/>
        </w:rPr>
      </w:pPr>
    </w:p>
    <w:p w14:paraId="21F6591B">
      <w:pPr>
        <w:pStyle w:val="11"/>
        <w:spacing w:before="120" w:beforeAutospacing="0" w:after="120" w:afterAutospacing="0" w:line="360" w:lineRule="auto"/>
        <w:ind w:firstLine="643"/>
        <w:rPr>
          <w:rFonts w:ascii="Arial" w:hAnsi="Arial" w:cs="Arial"/>
          <w:b/>
          <w:color w:val="auto"/>
          <w:sz w:val="32"/>
          <w:szCs w:val="32"/>
          <w:highlight w:val="none"/>
        </w:rPr>
      </w:pPr>
    </w:p>
    <w:p w14:paraId="34B4F5E6">
      <w:pPr>
        <w:pStyle w:val="11"/>
        <w:spacing w:before="120" w:beforeAutospacing="0" w:after="120" w:afterAutospacing="0" w:line="360" w:lineRule="auto"/>
        <w:ind w:firstLine="643"/>
        <w:rPr>
          <w:rFonts w:ascii="Arial" w:hAnsi="Arial" w:cs="Arial"/>
          <w:b/>
          <w:color w:val="auto"/>
          <w:sz w:val="32"/>
          <w:szCs w:val="32"/>
          <w:highlight w:val="none"/>
        </w:rPr>
      </w:pPr>
    </w:p>
    <w:p w14:paraId="40E74139">
      <w:pPr>
        <w:pStyle w:val="11"/>
        <w:spacing w:before="120" w:beforeAutospacing="0" w:after="120" w:afterAutospacing="0" w:line="360" w:lineRule="auto"/>
        <w:ind w:firstLine="643"/>
        <w:rPr>
          <w:rFonts w:ascii="Arial" w:hAnsi="Arial" w:cs="Arial"/>
          <w:b/>
          <w:color w:val="auto"/>
          <w:sz w:val="32"/>
          <w:szCs w:val="32"/>
          <w:highlight w:val="none"/>
        </w:rPr>
      </w:pPr>
    </w:p>
    <w:p w14:paraId="643569EB">
      <w:pPr>
        <w:pStyle w:val="11"/>
        <w:spacing w:before="120" w:beforeAutospacing="0" w:after="120" w:afterAutospacing="0" w:line="360" w:lineRule="auto"/>
        <w:ind w:firstLine="643"/>
        <w:rPr>
          <w:rFonts w:ascii="Arial" w:hAnsi="Arial" w:cs="Arial"/>
          <w:b/>
          <w:color w:val="auto"/>
          <w:sz w:val="32"/>
          <w:szCs w:val="32"/>
          <w:highlight w:val="none"/>
        </w:rPr>
      </w:pPr>
    </w:p>
    <w:p w14:paraId="10640D2D">
      <w:pPr>
        <w:pStyle w:val="11"/>
        <w:spacing w:before="120" w:beforeAutospacing="0" w:after="120" w:afterAutospacing="0" w:line="360" w:lineRule="auto"/>
        <w:ind w:firstLine="643"/>
        <w:rPr>
          <w:rFonts w:ascii="Arial" w:hAnsi="Arial" w:cs="Arial"/>
          <w:b/>
          <w:color w:val="auto"/>
          <w:sz w:val="32"/>
          <w:szCs w:val="32"/>
          <w:highlight w:val="none"/>
        </w:rPr>
      </w:pPr>
      <w:r>
        <w:rPr>
          <w:rFonts w:ascii="Arial" w:hAnsi="Arial" w:cs="Arial"/>
          <w:b/>
          <w:color w:val="auto"/>
          <w:sz w:val="32"/>
          <w:szCs w:val="32"/>
          <w:highlight w:val="none"/>
        </w:rPr>
        <w:t>项目名称：</w:t>
      </w:r>
      <w:r>
        <w:rPr>
          <w:rFonts w:hint="eastAsia" w:ascii="Arial" w:hAnsi="Arial" w:cs="Arial"/>
          <w:b/>
          <w:color w:val="auto"/>
          <w:sz w:val="32"/>
          <w:szCs w:val="32"/>
          <w:highlight w:val="none"/>
        </w:rPr>
        <w:t>盐城市卫生健康委员会卫生健康经济运营管理</w:t>
      </w:r>
    </w:p>
    <w:p w14:paraId="44A3FC3C">
      <w:pPr>
        <w:pStyle w:val="11"/>
        <w:spacing w:before="120" w:beforeAutospacing="0" w:after="120" w:afterAutospacing="0" w:line="360" w:lineRule="auto"/>
        <w:ind w:firstLine="2249" w:firstLineChars="700"/>
        <w:rPr>
          <w:rFonts w:ascii="宋体" w:hAnsi="宋体" w:eastAsia="宋体" w:cs="Arial"/>
          <w:b/>
          <w:color w:val="auto"/>
          <w:sz w:val="44"/>
          <w:szCs w:val="44"/>
          <w:highlight w:val="none"/>
        </w:rPr>
      </w:pPr>
      <w:r>
        <w:rPr>
          <w:rFonts w:hint="eastAsia" w:ascii="Arial" w:hAnsi="Arial" w:cs="Arial"/>
          <w:b/>
          <w:color w:val="auto"/>
          <w:sz w:val="32"/>
          <w:szCs w:val="32"/>
          <w:highlight w:val="none"/>
        </w:rPr>
        <w:t>人才培养项目</w:t>
      </w:r>
    </w:p>
    <w:p w14:paraId="36136E2D">
      <w:pPr>
        <w:pStyle w:val="11"/>
        <w:spacing w:before="120" w:beforeAutospacing="0" w:after="120" w:afterAutospacing="0" w:line="360" w:lineRule="auto"/>
        <w:ind w:firstLine="643"/>
        <w:rPr>
          <w:rFonts w:ascii="Arial" w:hAnsi="Arial" w:cs="Arial"/>
          <w:b/>
          <w:color w:val="auto"/>
          <w:sz w:val="32"/>
          <w:szCs w:val="32"/>
          <w:highlight w:val="none"/>
        </w:rPr>
      </w:pPr>
      <w:r>
        <w:rPr>
          <w:rFonts w:ascii="Arial" w:hAnsi="Arial" w:cs="Arial"/>
          <w:b/>
          <w:color w:val="auto"/>
          <w:sz w:val="32"/>
          <w:szCs w:val="32"/>
          <w:highlight w:val="none"/>
        </w:rPr>
        <w:t>项目编号：</w:t>
      </w:r>
      <w:r>
        <w:rPr>
          <w:rFonts w:hint="eastAsia" w:ascii="Arial" w:hAnsi="Arial" w:cs="Arial"/>
          <w:b/>
          <w:color w:val="auto"/>
          <w:sz w:val="32"/>
          <w:szCs w:val="32"/>
          <w:highlight w:val="none"/>
        </w:rPr>
        <w:t>JSZC-320900-SZDL-G2026-0008</w:t>
      </w:r>
    </w:p>
    <w:p w14:paraId="64C7FD35">
      <w:pPr>
        <w:pStyle w:val="11"/>
        <w:spacing w:beforeAutospacing="0" w:afterAutospacing="0" w:line="360" w:lineRule="auto"/>
        <w:rPr>
          <w:color w:val="auto"/>
          <w:highlight w:val="none"/>
        </w:rPr>
      </w:pPr>
      <w:r>
        <w:rPr>
          <w:color w:val="auto"/>
          <w:highlight w:val="none"/>
        </w:rPr>
        <w:t> </w:t>
      </w:r>
    </w:p>
    <w:p w14:paraId="0E715BF2">
      <w:pPr>
        <w:pStyle w:val="11"/>
        <w:spacing w:beforeAutospacing="0" w:afterAutospacing="0" w:line="360" w:lineRule="auto"/>
        <w:rPr>
          <w:color w:val="auto"/>
          <w:highlight w:val="none"/>
        </w:rPr>
      </w:pPr>
      <w:r>
        <w:rPr>
          <w:color w:val="auto"/>
          <w:highlight w:val="none"/>
        </w:rPr>
        <w:t> </w:t>
      </w:r>
    </w:p>
    <w:p w14:paraId="71653E34">
      <w:pPr>
        <w:pStyle w:val="11"/>
        <w:spacing w:beforeAutospacing="0" w:afterAutospacing="0" w:line="360" w:lineRule="auto"/>
        <w:rPr>
          <w:color w:val="auto"/>
          <w:highlight w:val="none"/>
        </w:rPr>
      </w:pPr>
      <w:r>
        <w:rPr>
          <w:color w:val="auto"/>
          <w:highlight w:val="none"/>
        </w:rPr>
        <w:t> </w:t>
      </w:r>
    </w:p>
    <w:p w14:paraId="2E2E5966">
      <w:pPr>
        <w:pStyle w:val="11"/>
        <w:spacing w:beforeAutospacing="0" w:afterAutospacing="0" w:line="360" w:lineRule="auto"/>
        <w:rPr>
          <w:color w:val="auto"/>
          <w:highlight w:val="none"/>
        </w:rPr>
      </w:pPr>
      <w:r>
        <w:rPr>
          <w:color w:val="auto"/>
          <w:highlight w:val="none"/>
        </w:rPr>
        <w:t> </w:t>
      </w:r>
    </w:p>
    <w:p w14:paraId="2954195D">
      <w:pPr>
        <w:pStyle w:val="11"/>
        <w:spacing w:beforeAutospacing="0" w:afterAutospacing="0" w:line="360" w:lineRule="auto"/>
        <w:rPr>
          <w:color w:val="auto"/>
          <w:highlight w:val="none"/>
        </w:rPr>
      </w:pPr>
      <w:r>
        <w:rPr>
          <w:color w:val="auto"/>
          <w:highlight w:val="none"/>
        </w:rPr>
        <w:t> </w:t>
      </w:r>
    </w:p>
    <w:p w14:paraId="2C372C99">
      <w:pPr>
        <w:pStyle w:val="11"/>
        <w:spacing w:beforeAutospacing="0" w:afterAutospacing="0" w:line="360" w:lineRule="auto"/>
        <w:rPr>
          <w:color w:val="auto"/>
          <w:highlight w:val="none"/>
        </w:rPr>
      </w:pPr>
      <w:r>
        <w:rPr>
          <w:color w:val="auto"/>
          <w:highlight w:val="none"/>
        </w:rPr>
        <w:t>  </w:t>
      </w:r>
    </w:p>
    <w:p w14:paraId="25CEA999">
      <w:pPr>
        <w:pStyle w:val="11"/>
        <w:spacing w:before="120" w:beforeAutospacing="0" w:after="120" w:afterAutospacing="0" w:line="360" w:lineRule="auto"/>
        <w:ind w:firstLine="643"/>
        <w:jc w:val="center"/>
        <w:rPr>
          <w:rFonts w:ascii="Arial" w:hAnsi="Arial" w:cs="Arial"/>
          <w:b/>
          <w:color w:val="auto"/>
          <w:sz w:val="32"/>
          <w:szCs w:val="32"/>
          <w:highlight w:val="none"/>
        </w:rPr>
      </w:pPr>
    </w:p>
    <w:p w14:paraId="0BB69BA8">
      <w:pPr>
        <w:pStyle w:val="11"/>
        <w:spacing w:before="120" w:beforeAutospacing="0" w:after="120" w:afterAutospacing="0" w:line="360" w:lineRule="auto"/>
        <w:ind w:firstLine="643"/>
        <w:jc w:val="center"/>
        <w:rPr>
          <w:rFonts w:ascii="Arial" w:hAnsi="Arial" w:cs="Arial"/>
          <w:b/>
          <w:color w:val="auto"/>
          <w:sz w:val="32"/>
          <w:szCs w:val="32"/>
          <w:highlight w:val="none"/>
        </w:rPr>
      </w:pPr>
      <w:r>
        <w:rPr>
          <w:rFonts w:hint="eastAsia" w:ascii="Arial" w:hAnsi="Arial" w:cs="Arial"/>
          <w:b/>
          <w:color w:val="auto"/>
          <w:sz w:val="32"/>
          <w:szCs w:val="32"/>
          <w:highlight w:val="none"/>
        </w:rPr>
        <w:t>盐城市卫生健康委员会</w:t>
      </w:r>
    </w:p>
    <w:p w14:paraId="623B1605">
      <w:pPr>
        <w:pStyle w:val="11"/>
        <w:spacing w:before="120" w:beforeAutospacing="0" w:after="120" w:afterAutospacing="0" w:line="360" w:lineRule="auto"/>
        <w:ind w:firstLine="643"/>
        <w:jc w:val="center"/>
        <w:rPr>
          <w:rFonts w:ascii="Arial" w:hAnsi="Arial" w:cs="Arial"/>
          <w:b/>
          <w:color w:val="auto"/>
          <w:sz w:val="32"/>
          <w:szCs w:val="32"/>
          <w:highlight w:val="none"/>
        </w:rPr>
      </w:pPr>
      <w:r>
        <w:rPr>
          <w:rFonts w:hint="eastAsia" w:ascii="Arial" w:hAnsi="Arial" w:cs="Arial"/>
          <w:b/>
          <w:color w:val="auto"/>
          <w:sz w:val="32"/>
          <w:szCs w:val="32"/>
          <w:highlight w:val="none"/>
        </w:rPr>
        <w:t>2026</w:t>
      </w:r>
      <w:r>
        <w:rPr>
          <w:rFonts w:ascii="Arial" w:hAnsi="Arial" w:cs="Arial"/>
          <w:b/>
          <w:color w:val="auto"/>
          <w:sz w:val="32"/>
          <w:szCs w:val="32"/>
          <w:highlight w:val="none"/>
        </w:rPr>
        <w:t>年</w:t>
      </w:r>
      <w:r>
        <w:rPr>
          <w:rFonts w:hint="eastAsia" w:ascii="Arial" w:hAnsi="Arial" w:cs="Arial"/>
          <w:b/>
          <w:color w:val="auto"/>
          <w:sz w:val="32"/>
          <w:szCs w:val="32"/>
          <w:highlight w:val="none"/>
        </w:rPr>
        <w:t>7</w:t>
      </w:r>
      <w:r>
        <w:rPr>
          <w:rFonts w:ascii="Arial" w:hAnsi="Arial" w:cs="Arial"/>
          <w:b/>
          <w:color w:val="auto"/>
          <w:sz w:val="32"/>
          <w:szCs w:val="32"/>
          <w:highlight w:val="none"/>
        </w:rPr>
        <w:t>月</w:t>
      </w:r>
    </w:p>
    <w:p w14:paraId="79E4609B">
      <w:pPr>
        <w:rPr>
          <w:rFonts w:ascii="Arial" w:hAnsi="Arial" w:cs="Arial"/>
          <w:b/>
          <w:color w:val="auto"/>
          <w:sz w:val="32"/>
          <w:szCs w:val="32"/>
          <w:highlight w:val="none"/>
        </w:rPr>
      </w:pPr>
      <w:r>
        <w:rPr>
          <w:rFonts w:ascii="Arial" w:hAnsi="Arial" w:cs="Arial"/>
          <w:b/>
          <w:color w:val="auto"/>
          <w:sz w:val="32"/>
          <w:szCs w:val="32"/>
          <w:highlight w:val="none"/>
        </w:rPr>
        <w:br w:type="page"/>
      </w:r>
    </w:p>
    <w:p w14:paraId="05F151E0">
      <w:pPr>
        <w:pStyle w:val="11"/>
        <w:spacing w:before="120" w:beforeAutospacing="0" w:after="120" w:afterAutospacing="0" w:line="360" w:lineRule="auto"/>
        <w:rPr>
          <w:color w:val="auto"/>
          <w:highlight w:val="none"/>
        </w:rPr>
      </w:pPr>
      <w:r>
        <w:rPr>
          <w:rFonts w:ascii="Arial" w:hAnsi="Arial" w:cs="Arial"/>
          <w:color w:val="auto"/>
          <w:highlight w:val="none"/>
        </w:rPr>
        <w:t xml:space="preserve">                        </w:t>
      </w:r>
    </w:p>
    <w:p w14:paraId="2EBC5EF3">
      <w:pPr>
        <w:pStyle w:val="11"/>
        <w:spacing w:before="120" w:beforeAutospacing="0" w:after="120" w:afterAutospacing="0" w:line="360" w:lineRule="auto"/>
        <w:jc w:val="center"/>
        <w:rPr>
          <w:color w:val="auto"/>
          <w:highlight w:val="none"/>
        </w:rPr>
      </w:pPr>
      <w:r>
        <w:rPr>
          <w:color w:val="auto"/>
          <w:highlight w:val="none"/>
        </w:rPr>
        <w:t> </w:t>
      </w:r>
      <w:r>
        <w:rPr>
          <w:rFonts w:ascii="Times New Roman" w:hAnsi="Times New Roman"/>
          <w:color w:val="auto"/>
          <w:sz w:val="21"/>
          <w:szCs w:val="21"/>
          <w:highlight w:val="none"/>
        </w:rPr>
        <w:t> </w:t>
      </w:r>
      <w:bookmarkStart w:id="0" w:name="_Toc120614210"/>
      <w:bookmarkStart w:id="1" w:name="_Toc523127445"/>
      <w:bookmarkStart w:id="2" w:name="_Toc513029200"/>
      <w:bookmarkStart w:id="3" w:name="_Toc20823272"/>
      <w:bookmarkStart w:id="4" w:name="_Toc16938516"/>
      <w:bookmarkStart w:id="5" w:name="_Toc479757206"/>
      <w:r>
        <w:rPr>
          <w:rFonts w:ascii="Times New Roman" w:hAnsi="Times New Roman"/>
          <w:color w:val="auto"/>
          <w:sz w:val="21"/>
          <w:szCs w:val="21"/>
          <w:highlight w:val="none"/>
        </w:rPr>
        <w:t> </w:t>
      </w:r>
      <w:r>
        <w:rPr>
          <w:rFonts w:ascii="黑体" w:hAnsi="宋体" w:eastAsia="黑体" w:cs="黑体"/>
          <w:b/>
          <w:color w:val="auto"/>
          <w:sz w:val="44"/>
          <w:szCs w:val="44"/>
          <w:highlight w:val="none"/>
        </w:rPr>
        <w:t>总  目  录</w:t>
      </w:r>
      <w:bookmarkEnd w:id="0"/>
      <w:bookmarkEnd w:id="1"/>
      <w:bookmarkEnd w:id="2"/>
      <w:bookmarkEnd w:id="3"/>
      <w:bookmarkEnd w:id="4"/>
      <w:bookmarkEnd w:id="5"/>
    </w:p>
    <w:p w14:paraId="1EBD2418">
      <w:pPr>
        <w:pStyle w:val="11"/>
        <w:spacing w:beforeAutospacing="0" w:afterAutospacing="0" w:line="480" w:lineRule="auto"/>
        <w:jc w:val="both"/>
        <w:rPr>
          <w:color w:val="auto"/>
          <w:highlight w:val="none"/>
        </w:rPr>
      </w:pPr>
      <w:r>
        <w:rPr>
          <w:color w:val="auto"/>
          <w:highlight w:val="none"/>
        </w:rPr>
        <w:t> </w:t>
      </w:r>
    </w:p>
    <w:p w14:paraId="292E6EB8">
      <w:pPr>
        <w:pStyle w:val="11"/>
        <w:tabs>
          <w:tab w:val="left" w:pos="1441"/>
        </w:tabs>
        <w:spacing w:beforeAutospacing="0" w:afterAutospacing="0" w:line="480" w:lineRule="auto"/>
        <w:ind w:firstLine="720" w:firstLineChars="200"/>
        <w:jc w:val="both"/>
        <w:rPr>
          <w:color w:val="auto"/>
          <w:highlight w:val="none"/>
        </w:rPr>
      </w:pPr>
      <w:r>
        <w:rPr>
          <w:rFonts w:hint="eastAsia" w:ascii="黑体" w:hAnsi="宋体" w:eastAsia="黑体" w:cs="黑体"/>
          <w:color w:val="auto"/>
          <w:sz w:val="36"/>
          <w:szCs w:val="36"/>
          <w:highlight w:val="none"/>
        </w:rPr>
        <w:t xml:space="preserve">招标公告…………………………………… </w:t>
      </w:r>
    </w:p>
    <w:p w14:paraId="1FA9A5D0">
      <w:pPr>
        <w:pStyle w:val="11"/>
        <w:tabs>
          <w:tab w:val="left" w:pos="1441"/>
        </w:tabs>
        <w:spacing w:beforeAutospacing="0" w:afterAutospacing="0" w:line="480" w:lineRule="auto"/>
        <w:ind w:firstLine="720" w:firstLineChars="200"/>
        <w:jc w:val="both"/>
        <w:rPr>
          <w:color w:val="auto"/>
          <w:highlight w:val="none"/>
        </w:rPr>
      </w:pPr>
      <w:r>
        <w:rPr>
          <w:rFonts w:hint="eastAsia" w:ascii="黑体" w:hAnsi="宋体" w:eastAsia="黑体" w:cs="黑体"/>
          <w:color w:val="auto"/>
          <w:sz w:val="36"/>
          <w:szCs w:val="36"/>
          <w:highlight w:val="none"/>
        </w:rPr>
        <w:t xml:space="preserve">投标人须知…………………………………  </w:t>
      </w:r>
    </w:p>
    <w:p w14:paraId="0D26884B">
      <w:pPr>
        <w:pStyle w:val="11"/>
        <w:tabs>
          <w:tab w:val="left" w:pos="1441"/>
        </w:tabs>
        <w:spacing w:beforeAutospacing="0" w:afterAutospacing="0" w:line="480" w:lineRule="auto"/>
        <w:ind w:firstLine="720" w:firstLineChars="200"/>
        <w:jc w:val="both"/>
        <w:rPr>
          <w:color w:val="auto"/>
          <w:highlight w:val="none"/>
        </w:rPr>
      </w:pPr>
      <w:r>
        <w:rPr>
          <w:rFonts w:hint="eastAsia" w:ascii="黑体" w:hAnsi="宋体" w:eastAsia="黑体" w:cs="黑体"/>
          <w:color w:val="auto"/>
          <w:sz w:val="36"/>
          <w:szCs w:val="36"/>
          <w:highlight w:val="none"/>
        </w:rPr>
        <w:t>合同文本……………………………………</w:t>
      </w:r>
    </w:p>
    <w:p w14:paraId="36209E17">
      <w:pPr>
        <w:pStyle w:val="11"/>
        <w:tabs>
          <w:tab w:val="left" w:pos="1441"/>
        </w:tabs>
        <w:spacing w:beforeAutospacing="0" w:afterAutospacing="0" w:line="480" w:lineRule="auto"/>
        <w:ind w:firstLine="720" w:firstLineChars="200"/>
        <w:jc w:val="both"/>
        <w:rPr>
          <w:color w:val="auto"/>
          <w:highlight w:val="none"/>
        </w:rPr>
      </w:pPr>
      <w:r>
        <w:rPr>
          <w:rFonts w:hint="eastAsia" w:ascii="黑体" w:hAnsi="宋体" w:eastAsia="黑体" w:cs="黑体"/>
          <w:color w:val="auto"/>
          <w:sz w:val="36"/>
          <w:szCs w:val="36"/>
          <w:highlight w:val="none"/>
        </w:rPr>
        <w:t>采购需求……………………………………</w:t>
      </w:r>
    </w:p>
    <w:p w14:paraId="0529D3A9">
      <w:pPr>
        <w:pStyle w:val="11"/>
        <w:tabs>
          <w:tab w:val="left" w:pos="1441"/>
        </w:tabs>
        <w:spacing w:beforeAutospacing="0" w:afterAutospacing="0" w:line="480" w:lineRule="auto"/>
        <w:ind w:firstLine="720" w:firstLineChars="200"/>
        <w:jc w:val="both"/>
        <w:rPr>
          <w:color w:val="auto"/>
          <w:highlight w:val="none"/>
        </w:rPr>
      </w:pPr>
      <w:r>
        <w:rPr>
          <w:rFonts w:hint="eastAsia" w:ascii="黑体" w:hAnsi="宋体" w:eastAsia="黑体" w:cs="黑体"/>
          <w:color w:val="auto"/>
          <w:sz w:val="36"/>
          <w:szCs w:val="36"/>
          <w:highlight w:val="none"/>
        </w:rPr>
        <w:t>评标方法与评标标准………………………</w:t>
      </w:r>
    </w:p>
    <w:p w14:paraId="4AFF0F49">
      <w:pPr>
        <w:pStyle w:val="11"/>
        <w:tabs>
          <w:tab w:val="left" w:pos="1441"/>
        </w:tabs>
        <w:spacing w:beforeAutospacing="0" w:afterAutospacing="0" w:line="480" w:lineRule="auto"/>
        <w:ind w:firstLine="720" w:firstLineChars="200"/>
        <w:jc w:val="both"/>
        <w:rPr>
          <w:color w:val="auto"/>
          <w:highlight w:val="none"/>
        </w:rPr>
      </w:pPr>
      <w:r>
        <w:rPr>
          <w:rFonts w:hint="eastAsia" w:ascii="黑体" w:hAnsi="宋体" w:eastAsia="黑体" w:cs="黑体"/>
          <w:color w:val="auto"/>
          <w:sz w:val="36"/>
          <w:szCs w:val="36"/>
          <w:highlight w:val="none"/>
        </w:rPr>
        <w:t>投标文件格式………………………………</w:t>
      </w:r>
    </w:p>
    <w:p w14:paraId="7EF7FD2C">
      <w:pPr>
        <w:pStyle w:val="11"/>
        <w:spacing w:beforeAutospacing="0" w:afterAutospacing="0"/>
        <w:jc w:val="both"/>
        <w:rPr>
          <w:color w:val="auto"/>
          <w:highlight w:val="none"/>
        </w:rPr>
      </w:pPr>
      <w:r>
        <w:rPr>
          <w:color w:val="auto"/>
          <w:highlight w:val="none"/>
        </w:rPr>
        <w:t> </w:t>
      </w:r>
    </w:p>
    <w:p w14:paraId="761A37FF">
      <w:pPr>
        <w:pStyle w:val="11"/>
        <w:spacing w:beforeAutospacing="0" w:afterAutospacing="0"/>
        <w:jc w:val="both"/>
        <w:rPr>
          <w:color w:val="auto"/>
          <w:highlight w:val="none"/>
        </w:rPr>
      </w:pPr>
      <w:r>
        <w:rPr>
          <w:color w:val="auto"/>
          <w:highlight w:val="none"/>
        </w:rPr>
        <w:t> </w:t>
      </w:r>
    </w:p>
    <w:p w14:paraId="74ED84CD">
      <w:pPr>
        <w:pStyle w:val="11"/>
        <w:spacing w:beforeAutospacing="0" w:afterAutospacing="0"/>
        <w:jc w:val="both"/>
        <w:rPr>
          <w:color w:val="auto"/>
          <w:highlight w:val="none"/>
        </w:rPr>
      </w:pPr>
      <w:r>
        <w:rPr>
          <w:color w:val="auto"/>
          <w:highlight w:val="none"/>
        </w:rPr>
        <w:t> </w:t>
      </w:r>
    </w:p>
    <w:p w14:paraId="291E30AC">
      <w:pPr>
        <w:pStyle w:val="11"/>
        <w:spacing w:beforeAutospacing="0" w:afterAutospacing="0"/>
        <w:jc w:val="both"/>
        <w:rPr>
          <w:color w:val="auto"/>
          <w:highlight w:val="none"/>
        </w:rPr>
      </w:pPr>
      <w:r>
        <w:rPr>
          <w:color w:val="auto"/>
          <w:highlight w:val="none"/>
        </w:rPr>
        <w:t> </w:t>
      </w:r>
    </w:p>
    <w:p w14:paraId="412D2391">
      <w:pPr>
        <w:pStyle w:val="11"/>
        <w:spacing w:beforeAutospacing="0" w:afterAutospacing="0"/>
        <w:jc w:val="both"/>
        <w:rPr>
          <w:color w:val="auto"/>
          <w:highlight w:val="none"/>
        </w:rPr>
      </w:pPr>
      <w:r>
        <w:rPr>
          <w:color w:val="auto"/>
          <w:highlight w:val="none"/>
        </w:rPr>
        <w:t> </w:t>
      </w:r>
    </w:p>
    <w:p w14:paraId="4F59957A">
      <w:pPr>
        <w:pStyle w:val="11"/>
        <w:spacing w:beforeAutospacing="0" w:afterAutospacing="0"/>
        <w:jc w:val="both"/>
        <w:rPr>
          <w:color w:val="auto"/>
          <w:highlight w:val="none"/>
        </w:rPr>
      </w:pPr>
      <w:r>
        <w:rPr>
          <w:color w:val="auto"/>
          <w:highlight w:val="none"/>
        </w:rPr>
        <w:t> </w:t>
      </w:r>
    </w:p>
    <w:p w14:paraId="655AB739">
      <w:pPr>
        <w:pStyle w:val="11"/>
        <w:spacing w:beforeAutospacing="0" w:afterAutospacing="0"/>
        <w:jc w:val="both"/>
        <w:rPr>
          <w:color w:val="auto"/>
          <w:highlight w:val="none"/>
        </w:rPr>
      </w:pPr>
      <w:r>
        <w:rPr>
          <w:color w:val="auto"/>
          <w:highlight w:val="none"/>
        </w:rPr>
        <w:t> </w:t>
      </w:r>
    </w:p>
    <w:p w14:paraId="0434DC81">
      <w:pPr>
        <w:pStyle w:val="11"/>
        <w:spacing w:beforeAutospacing="0" w:afterAutospacing="0"/>
        <w:jc w:val="both"/>
        <w:rPr>
          <w:color w:val="auto"/>
          <w:highlight w:val="none"/>
        </w:rPr>
      </w:pPr>
      <w:r>
        <w:rPr>
          <w:color w:val="auto"/>
          <w:highlight w:val="none"/>
        </w:rPr>
        <w:t> </w:t>
      </w:r>
    </w:p>
    <w:p w14:paraId="39D9FB50">
      <w:pPr>
        <w:pStyle w:val="11"/>
        <w:spacing w:beforeAutospacing="0" w:afterAutospacing="0"/>
        <w:jc w:val="both"/>
        <w:rPr>
          <w:color w:val="auto"/>
          <w:highlight w:val="none"/>
        </w:rPr>
      </w:pPr>
      <w:r>
        <w:rPr>
          <w:color w:val="auto"/>
          <w:highlight w:val="none"/>
        </w:rPr>
        <w:t> </w:t>
      </w:r>
    </w:p>
    <w:p w14:paraId="46A63492">
      <w:pPr>
        <w:pStyle w:val="11"/>
        <w:spacing w:beforeAutospacing="0" w:afterAutospacing="0"/>
        <w:jc w:val="both"/>
        <w:rPr>
          <w:color w:val="auto"/>
          <w:highlight w:val="none"/>
        </w:rPr>
      </w:pPr>
      <w:r>
        <w:rPr>
          <w:color w:val="auto"/>
          <w:highlight w:val="none"/>
        </w:rPr>
        <w:t> </w:t>
      </w:r>
    </w:p>
    <w:p w14:paraId="6107219F">
      <w:pPr>
        <w:pStyle w:val="11"/>
        <w:spacing w:beforeAutospacing="0" w:afterAutospacing="0"/>
        <w:jc w:val="both"/>
        <w:rPr>
          <w:color w:val="auto"/>
          <w:highlight w:val="none"/>
        </w:rPr>
      </w:pPr>
      <w:r>
        <w:rPr>
          <w:color w:val="auto"/>
          <w:highlight w:val="none"/>
        </w:rPr>
        <w:t> </w:t>
      </w:r>
    </w:p>
    <w:p w14:paraId="5C95E70A">
      <w:pPr>
        <w:pStyle w:val="11"/>
        <w:spacing w:beforeAutospacing="0" w:afterAutospacing="0"/>
        <w:jc w:val="both"/>
        <w:rPr>
          <w:color w:val="auto"/>
          <w:highlight w:val="none"/>
        </w:rPr>
      </w:pPr>
      <w:r>
        <w:rPr>
          <w:color w:val="auto"/>
          <w:highlight w:val="none"/>
        </w:rPr>
        <w:t> </w:t>
      </w:r>
    </w:p>
    <w:p w14:paraId="368D9835">
      <w:pPr>
        <w:pStyle w:val="11"/>
        <w:spacing w:beforeAutospacing="0" w:afterAutospacing="0"/>
        <w:jc w:val="both"/>
        <w:rPr>
          <w:color w:val="auto"/>
          <w:highlight w:val="none"/>
        </w:rPr>
      </w:pPr>
      <w:r>
        <w:rPr>
          <w:color w:val="auto"/>
          <w:highlight w:val="none"/>
        </w:rPr>
        <w:t> </w:t>
      </w:r>
    </w:p>
    <w:p w14:paraId="70AE83B0">
      <w:pPr>
        <w:pStyle w:val="11"/>
        <w:spacing w:beforeAutospacing="0" w:afterAutospacing="0"/>
        <w:jc w:val="both"/>
        <w:rPr>
          <w:color w:val="auto"/>
          <w:highlight w:val="none"/>
        </w:rPr>
      </w:pPr>
      <w:r>
        <w:rPr>
          <w:color w:val="auto"/>
          <w:highlight w:val="none"/>
        </w:rPr>
        <w:t> </w:t>
      </w:r>
    </w:p>
    <w:p w14:paraId="18ECB524">
      <w:pPr>
        <w:pStyle w:val="11"/>
        <w:spacing w:beforeAutospacing="0" w:afterAutospacing="0"/>
        <w:jc w:val="both"/>
        <w:rPr>
          <w:color w:val="auto"/>
          <w:highlight w:val="none"/>
        </w:rPr>
      </w:pPr>
      <w:r>
        <w:rPr>
          <w:color w:val="auto"/>
          <w:highlight w:val="none"/>
        </w:rPr>
        <w:t> </w:t>
      </w:r>
    </w:p>
    <w:p w14:paraId="5C35AB97">
      <w:pPr>
        <w:pStyle w:val="11"/>
        <w:spacing w:beforeAutospacing="0" w:afterAutospacing="0"/>
        <w:jc w:val="both"/>
        <w:rPr>
          <w:color w:val="auto"/>
          <w:highlight w:val="none"/>
        </w:rPr>
      </w:pPr>
      <w:r>
        <w:rPr>
          <w:color w:val="auto"/>
          <w:highlight w:val="none"/>
        </w:rPr>
        <w:t> </w:t>
      </w:r>
    </w:p>
    <w:p w14:paraId="773C19FB">
      <w:pPr>
        <w:pStyle w:val="11"/>
        <w:spacing w:beforeAutospacing="0" w:afterAutospacing="0"/>
        <w:jc w:val="both"/>
        <w:rPr>
          <w:color w:val="auto"/>
          <w:highlight w:val="none"/>
        </w:rPr>
      </w:pPr>
      <w:r>
        <w:rPr>
          <w:color w:val="auto"/>
          <w:highlight w:val="none"/>
        </w:rPr>
        <w:t> </w:t>
      </w:r>
    </w:p>
    <w:p w14:paraId="31E019D6">
      <w:pPr>
        <w:widowControl/>
        <w:ind w:firstLine="880"/>
        <w:jc w:val="left"/>
        <w:rPr>
          <w:rFonts w:ascii="黑体" w:hAnsi="宋体" w:eastAsia="黑体" w:cs="黑体"/>
          <w:color w:val="auto"/>
          <w:kern w:val="0"/>
          <w:sz w:val="44"/>
          <w:szCs w:val="44"/>
          <w:highlight w:val="none"/>
        </w:rPr>
      </w:pPr>
      <w:r>
        <w:rPr>
          <w:rFonts w:ascii="黑体" w:hAnsi="宋体" w:eastAsia="黑体" w:cs="黑体"/>
          <w:color w:val="auto"/>
          <w:sz w:val="44"/>
          <w:szCs w:val="44"/>
          <w:highlight w:val="none"/>
        </w:rPr>
        <w:br w:type="page"/>
      </w:r>
    </w:p>
    <w:p w14:paraId="1223B8F5">
      <w:pPr>
        <w:pStyle w:val="11"/>
        <w:keepNext/>
        <w:spacing w:beforeAutospacing="0" w:afterAutospacing="0"/>
        <w:ind w:firstLine="880"/>
        <w:jc w:val="center"/>
        <w:rPr>
          <w:rFonts w:eastAsia="黑体"/>
          <w:color w:val="auto"/>
          <w:highlight w:val="none"/>
        </w:rPr>
      </w:pPr>
      <w:r>
        <w:rPr>
          <w:rFonts w:hint="eastAsia" w:ascii="黑体" w:hAnsi="宋体" w:eastAsia="黑体" w:cs="黑体"/>
          <w:color w:val="auto"/>
          <w:sz w:val="44"/>
          <w:szCs w:val="44"/>
          <w:highlight w:val="none"/>
        </w:rPr>
        <w:t>第一章 招标公告</w:t>
      </w: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20"/>
      </w:tblGrid>
      <w:tr w14:paraId="5D9FF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20" w:type="dxa"/>
          </w:tcPr>
          <w:p w14:paraId="18BC4A65">
            <w:pPr>
              <w:pStyle w:val="11"/>
              <w:adjustRightInd w:val="0"/>
              <w:snapToGrid w:val="0"/>
              <w:spacing w:beforeAutospacing="0" w:afterAutospacing="0" w:line="500" w:lineRule="exact"/>
              <w:ind w:firstLine="643"/>
              <w:rPr>
                <w:rFonts w:cs="宋体" w:asciiTheme="minorEastAsia" w:hAnsiTheme="minorEastAsia"/>
                <w:color w:val="auto"/>
                <w:highlight w:val="none"/>
              </w:rPr>
            </w:pPr>
            <w:r>
              <w:rPr>
                <w:rFonts w:hint="eastAsia" w:cs="宋体" w:asciiTheme="minorEastAsia" w:hAnsiTheme="minorEastAsia"/>
                <w:color w:val="auto"/>
                <w:highlight w:val="none"/>
              </w:rPr>
              <w:t>项目概况</w:t>
            </w:r>
          </w:p>
          <w:p w14:paraId="62DA75F0">
            <w:pPr>
              <w:pStyle w:val="11"/>
              <w:adjustRightInd w:val="0"/>
              <w:snapToGrid w:val="0"/>
              <w:spacing w:beforeAutospacing="0" w:afterAutospacing="0" w:line="500" w:lineRule="exact"/>
              <w:ind w:firstLine="643"/>
              <w:rPr>
                <w:rFonts w:cs="宋体" w:asciiTheme="minorEastAsia" w:hAnsiTheme="minorEastAsia"/>
                <w:color w:val="auto"/>
                <w:highlight w:val="none"/>
              </w:rPr>
            </w:pPr>
            <w:r>
              <w:rPr>
                <w:rFonts w:hint="eastAsia" w:cs="宋体" w:asciiTheme="minorEastAsia" w:hAnsiTheme="minorEastAsia"/>
                <w:color w:val="auto"/>
                <w:highlight w:val="none"/>
                <w:u w:val="single"/>
              </w:rPr>
              <w:t xml:space="preserve">盐城市卫生健康委员会卫生健康经济运营管理人才培养项目 </w:t>
            </w:r>
            <w:r>
              <w:rPr>
                <w:rFonts w:hint="eastAsia" w:cs="宋体" w:asciiTheme="minorEastAsia" w:hAnsiTheme="minorEastAsia"/>
                <w:color w:val="auto"/>
                <w:highlight w:val="none"/>
              </w:rPr>
              <w:t>招标项目的潜在投标人可在</w:t>
            </w:r>
            <w:r>
              <w:rPr>
                <w:rFonts w:hint="eastAsia" w:cs="宋体" w:asciiTheme="minorEastAsia" w:hAnsiTheme="minorEastAsia"/>
                <w:color w:val="auto"/>
                <w:highlight w:val="none"/>
                <w:shd w:val="clear" w:color="auto" w:fill="FFFFFF"/>
              </w:rPr>
              <w:t>“苏采云”系统内免费下载（投标人必须在苏采云系统中获取采购文件，方能参与政府采购项目）</w:t>
            </w:r>
            <w:r>
              <w:rPr>
                <w:rFonts w:hint="eastAsia" w:cs="宋体" w:asciiTheme="minorEastAsia" w:hAnsiTheme="minorEastAsia"/>
                <w:color w:val="auto"/>
                <w:highlight w:val="none"/>
              </w:rPr>
              <w:t>，并于</w:t>
            </w:r>
            <w:r>
              <w:rPr>
                <w:rFonts w:hint="eastAsia" w:cs="宋体" w:asciiTheme="minorEastAsia" w:hAnsiTheme="minorEastAsia"/>
                <w:color w:val="auto"/>
                <w:highlight w:val="none"/>
                <w:u w:val="single"/>
              </w:rPr>
              <w:t>2026年</w:t>
            </w:r>
            <w:r>
              <w:rPr>
                <w:rFonts w:hint="eastAsia" w:cs="宋体" w:asciiTheme="minorEastAsia" w:hAnsiTheme="minorEastAsia"/>
                <w:color w:val="auto"/>
                <w:highlight w:val="none"/>
                <w:u w:val="single"/>
                <w:lang w:eastAsia="zh-CN"/>
              </w:rPr>
              <w:t>8月13</w:t>
            </w:r>
            <w:r>
              <w:rPr>
                <w:rFonts w:hint="eastAsia" w:cs="宋体" w:asciiTheme="minorEastAsia" w:hAnsiTheme="minorEastAsia"/>
                <w:color w:val="auto"/>
                <w:highlight w:val="none"/>
                <w:u w:val="single"/>
              </w:rPr>
              <w:t>日9点00分（</w:t>
            </w:r>
            <w:r>
              <w:rPr>
                <w:rFonts w:hint="eastAsia" w:cs="宋体" w:asciiTheme="minorEastAsia" w:hAnsiTheme="minorEastAsia"/>
                <w:color w:val="auto"/>
                <w:highlight w:val="none"/>
              </w:rPr>
              <w:t>北京时间）前递交投标文件。</w:t>
            </w:r>
          </w:p>
        </w:tc>
      </w:tr>
    </w:tbl>
    <w:p w14:paraId="50F9591B">
      <w:pPr>
        <w:pStyle w:val="11"/>
        <w:adjustRightInd w:val="0"/>
        <w:snapToGrid w:val="0"/>
        <w:spacing w:beforeAutospacing="0" w:afterAutospacing="0" w:line="500" w:lineRule="exact"/>
        <w:ind w:firstLine="482" w:firstLineChars="200"/>
        <w:jc w:val="both"/>
        <w:rPr>
          <w:rFonts w:cs="宋体" w:asciiTheme="minorEastAsia" w:hAnsiTheme="minorEastAsia"/>
          <w:color w:val="auto"/>
          <w:highlight w:val="none"/>
        </w:rPr>
      </w:pPr>
      <w:bookmarkStart w:id="6" w:name="_Toc35393790"/>
      <w:bookmarkStart w:id="7" w:name="_Toc28359079"/>
      <w:bookmarkStart w:id="8" w:name="_Toc35393621"/>
      <w:bookmarkStart w:id="9" w:name="_Toc28359002"/>
      <w:bookmarkStart w:id="10" w:name="_Toc38985263"/>
      <w:bookmarkStart w:id="11" w:name="_Hlk24379207"/>
      <w:r>
        <w:rPr>
          <w:rFonts w:hint="eastAsia" w:cs="宋体" w:asciiTheme="minorEastAsia" w:hAnsiTheme="minorEastAsia"/>
          <w:b/>
          <w:color w:val="auto"/>
          <w:highlight w:val="none"/>
        </w:rPr>
        <w:t>一、项目基本情况</w:t>
      </w:r>
      <w:bookmarkEnd w:id="6"/>
      <w:bookmarkEnd w:id="7"/>
      <w:bookmarkEnd w:id="8"/>
      <w:bookmarkEnd w:id="9"/>
      <w:bookmarkEnd w:id="10"/>
      <w:bookmarkEnd w:id="11"/>
    </w:p>
    <w:p w14:paraId="0C00DA04">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1.项目编号：JSZC-320900-SZDL-G2026-0008</w:t>
      </w:r>
    </w:p>
    <w:p w14:paraId="5D338022">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shd w:val="clear" w:color="auto" w:fill="FFFFFF"/>
        </w:rPr>
      </w:pPr>
      <w:r>
        <w:rPr>
          <w:rFonts w:hint="eastAsia" w:cs="宋体" w:asciiTheme="minorEastAsia" w:hAnsiTheme="minorEastAsia"/>
          <w:color w:val="auto"/>
          <w:highlight w:val="none"/>
        </w:rPr>
        <w:t>2.项目名称：</w:t>
      </w:r>
      <w:bookmarkStart w:id="12" w:name="OLE_LINK31"/>
      <w:bookmarkStart w:id="13" w:name="OLE_LINK33"/>
      <w:bookmarkStart w:id="14" w:name="OLE_LINK32"/>
      <w:r>
        <w:rPr>
          <w:rFonts w:hint="eastAsia" w:cs="宋体" w:asciiTheme="minorEastAsia" w:hAnsiTheme="minorEastAsia"/>
          <w:color w:val="auto"/>
          <w:highlight w:val="none"/>
          <w:shd w:val="clear" w:color="auto" w:fill="FFFFFF"/>
        </w:rPr>
        <w:t>盐城市卫生健康委员会卫生健康经济运营管理人才培养项目</w:t>
      </w:r>
      <w:bookmarkEnd w:id="12"/>
      <w:bookmarkEnd w:id="13"/>
      <w:bookmarkEnd w:id="14"/>
    </w:p>
    <w:p w14:paraId="509C2D4D">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shd w:val="clear" w:color="auto" w:fill="FFFFFF"/>
        </w:rPr>
        <w:t>3.采购方式：公开招标</w:t>
      </w:r>
    </w:p>
    <w:p w14:paraId="78440C0F">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shd w:val="clear" w:color="auto" w:fill="FFFFFF"/>
        </w:rPr>
      </w:pPr>
      <w:r>
        <w:rPr>
          <w:rFonts w:hint="eastAsia" w:cs="宋体" w:asciiTheme="minorEastAsia" w:hAnsiTheme="minorEastAsia"/>
          <w:color w:val="auto"/>
          <w:highlight w:val="none"/>
          <w:shd w:val="clear" w:color="auto" w:fill="FFFFFF"/>
        </w:rPr>
        <w:t>4.预算金额：135万元</w:t>
      </w:r>
    </w:p>
    <w:p w14:paraId="30F280D2">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shd w:val="clear" w:color="auto" w:fill="FFFFFF"/>
        </w:rPr>
      </w:pPr>
      <w:r>
        <w:rPr>
          <w:rFonts w:hint="eastAsia" w:cs="宋体" w:asciiTheme="minorEastAsia" w:hAnsiTheme="minorEastAsia"/>
          <w:color w:val="auto"/>
          <w:highlight w:val="none"/>
          <w:shd w:val="clear" w:color="auto" w:fill="FFFFFF"/>
        </w:rPr>
        <w:t>5.最高限价：135万元</w:t>
      </w:r>
    </w:p>
    <w:p w14:paraId="474EF77A">
      <w:pPr>
        <w:pStyle w:val="28"/>
        <w:adjustRightInd w:val="0"/>
        <w:snapToGrid w:val="0"/>
        <w:spacing w:line="500" w:lineRule="exact"/>
        <w:ind w:firstLine="480" w:firstLineChars="200"/>
        <w:rPr>
          <w:rStyle w:val="26"/>
          <w:rFonts w:cs="Times New Roman" w:asciiTheme="minorEastAsia" w:hAnsiTheme="minorEastAsia" w:eastAsiaTheme="minorEastAsia"/>
          <w:color w:val="auto"/>
          <w:kern w:val="2"/>
          <w:sz w:val="24"/>
          <w:szCs w:val="24"/>
          <w:highlight w:val="none"/>
        </w:rPr>
      </w:pPr>
      <w:r>
        <w:rPr>
          <w:rFonts w:hint="eastAsia" w:cs="宋体" w:asciiTheme="minorEastAsia" w:hAnsiTheme="minorEastAsia" w:eastAsiaTheme="minorEastAsia"/>
          <w:color w:val="auto"/>
          <w:sz w:val="24"/>
          <w:szCs w:val="24"/>
          <w:highlight w:val="none"/>
        </w:rPr>
        <w:t>6.采购需求</w:t>
      </w:r>
      <w:r>
        <w:rPr>
          <w:rFonts w:hint="eastAsia" w:cs="Times New Roman" w:asciiTheme="minorEastAsia" w:hAnsiTheme="minorEastAsia"/>
          <w:bCs/>
          <w:color w:val="auto"/>
          <w:sz w:val="24"/>
          <w:highlight w:val="none"/>
        </w:rPr>
        <w:t>：</w:t>
      </w:r>
      <w:r>
        <w:rPr>
          <w:rStyle w:val="26"/>
          <w:rFonts w:hint="eastAsia" w:asciiTheme="minorEastAsia" w:hAnsiTheme="minorEastAsia" w:eastAsiaTheme="minorEastAsia"/>
          <w:color w:val="auto"/>
          <w:kern w:val="2"/>
          <w:sz w:val="24"/>
          <w:szCs w:val="24"/>
          <w:highlight w:val="none"/>
        </w:rPr>
        <w:t>协助和支持盐城市卫健委开展公立医院</w:t>
      </w:r>
      <w:r>
        <w:rPr>
          <w:rStyle w:val="26"/>
          <w:rFonts w:hint="eastAsia" w:cs="Times New Roman" w:asciiTheme="minorEastAsia" w:hAnsiTheme="minorEastAsia" w:eastAsiaTheme="minorEastAsia"/>
          <w:color w:val="auto"/>
          <w:kern w:val="2"/>
          <w:sz w:val="24"/>
          <w:szCs w:val="24"/>
          <w:highlight w:val="none"/>
        </w:rPr>
        <w:t>卫生健康经济运营</w:t>
      </w:r>
      <w:r>
        <w:rPr>
          <w:rStyle w:val="26"/>
          <w:rFonts w:hint="eastAsia" w:asciiTheme="minorEastAsia" w:hAnsiTheme="minorEastAsia" w:eastAsiaTheme="minorEastAsia"/>
          <w:color w:val="auto"/>
          <w:kern w:val="2"/>
          <w:sz w:val="24"/>
          <w:szCs w:val="24"/>
          <w:highlight w:val="none"/>
        </w:rPr>
        <w:t>管理后备人才选拔和培养工作，进行为期两年的专题培育，采用集中培养与跟踪管理相结合、课堂教学与现场教学相结合的培养模式，紧扣卫生健康经济运营管理人才成长规律，以提升专业素养为核心，负责培养方案设计、课程开发、师资配备、教学组织、课题指导、学员跟踪管理与考核评价等全过程服务，并按要求定期向市卫健委报送培养进展及成果总结</w:t>
      </w:r>
      <w:r>
        <w:rPr>
          <w:rStyle w:val="26"/>
          <w:rFonts w:hint="eastAsia" w:cs="Times New Roman" w:asciiTheme="minorEastAsia" w:hAnsiTheme="minorEastAsia" w:eastAsiaTheme="minorEastAsia"/>
          <w:color w:val="auto"/>
          <w:kern w:val="2"/>
          <w:sz w:val="24"/>
          <w:szCs w:val="24"/>
          <w:highlight w:val="none"/>
        </w:rPr>
        <w:t>，详细内容见本招标文件第四章。</w:t>
      </w:r>
    </w:p>
    <w:p w14:paraId="1C97B6EA">
      <w:pPr>
        <w:pStyle w:val="11"/>
        <w:adjustRightInd w:val="0"/>
        <w:snapToGrid w:val="0"/>
        <w:spacing w:beforeAutospacing="0" w:afterAutospacing="0" w:line="500" w:lineRule="exact"/>
        <w:ind w:firstLine="480" w:firstLineChars="200"/>
        <w:jc w:val="both"/>
        <w:rPr>
          <w:rFonts w:asciiTheme="minorEastAsia" w:hAnsiTheme="minorEastAsia"/>
          <w:bCs/>
          <w:color w:val="auto"/>
          <w:highlight w:val="none"/>
        </w:rPr>
      </w:pPr>
      <w:r>
        <w:rPr>
          <w:rFonts w:hint="eastAsia" w:asciiTheme="minorEastAsia" w:hAnsiTheme="minorEastAsia"/>
          <w:bCs/>
          <w:color w:val="auto"/>
          <w:highlight w:val="none"/>
        </w:rPr>
        <w:t>7.合同履行期限：</w:t>
      </w:r>
      <w:r>
        <w:rPr>
          <w:rFonts w:hint="eastAsia" w:asciiTheme="minorEastAsia" w:hAnsiTheme="minorEastAsia"/>
          <w:color w:val="auto"/>
          <w:highlight w:val="none"/>
        </w:rPr>
        <w:t>本项目培养周期为两年</w:t>
      </w:r>
      <w:r>
        <w:rPr>
          <w:rFonts w:hint="eastAsia" w:asciiTheme="minorEastAsia" w:hAnsiTheme="minorEastAsia"/>
          <w:bCs/>
          <w:color w:val="auto"/>
          <w:highlight w:val="none"/>
        </w:rPr>
        <w:t>。</w:t>
      </w:r>
    </w:p>
    <w:p w14:paraId="5D676EF4">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8.本项目（是/否）接受联合体投标：否</w:t>
      </w:r>
    </w:p>
    <w:p w14:paraId="60991B1F">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9.是否为只面向中小企业采购：否</w:t>
      </w:r>
    </w:p>
    <w:p w14:paraId="465AE79D">
      <w:pPr>
        <w:pStyle w:val="11"/>
        <w:adjustRightInd w:val="0"/>
        <w:snapToGrid w:val="0"/>
        <w:spacing w:beforeAutospacing="0" w:afterAutospacing="0" w:line="500" w:lineRule="exact"/>
        <w:ind w:firstLine="482" w:firstLineChars="200"/>
        <w:jc w:val="both"/>
        <w:rPr>
          <w:rFonts w:cs="宋体" w:asciiTheme="minorEastAsia" w:hAnsiTheme="minorEastAsia"/>
          <w:color w:val="auto"/>
          <w:highlight w:val="none"/>
        </w:rPr>
      </w:pPr>
      <w:bookmarkStart w:id="15" w:name="_Toc35393622"/>
      <w:bookmarkStart w:id="16" w:name="_Toc28359003"/>
      <w:bookmarkStart w:id="17" w:name="_Toc38985264"/>
      <w:bookmarkStart w:id="18" w:name="_Toc28359080"/>
      <w:bookmarkStart w:id="19" w:name="_Toc35393791"/>
      <w:r>
        <w:rPr>
          <w:rFonts w:hint="eastAsia" w:cs="宋体" w:asciiTheme="minorEastAsia" w:hAnsiTheme="minorEastAsia"/>
          <w:b/>
          <w:color w:val="auto"/>
          <w:highlight w:val="none"/>
        </w:rPr>
        <w:t>二、申请人的资格要求：</w:t>
      </w:r>
      <w:bookmarkEnd w:id="15"/>
      <w:bookmarkEnd w:id="16"/>
      <w:bookmarkEnd w:id="17"/>
      <w:bookmarkEnd w:id="18"/>
      <w:bookmarkEnd w:id="19"/>
    </w:p>
    <w:p w14:paraId="1AED1E1D">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1.满足《中华人民共和国政府采购法》第二十二条规定，并提供下列材料：</w:t>
      </w:r>
    </w:p>
    <w:p w14:paraId="4766ACD4">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1.1 法人或者其他组织的营业执照等证明文件，自然人的身份证明；</w:t>
      </w:r>
    </w:p>
    <w:p w14:paraId="70CA7654">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1.2上一年度的财务状况报告（成立不满一年无需提供）；</w:t>
      </w:r>
    </w:p>
    <w:p w14:paraId="5FF0C1D1">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1.3具备履行合同所必需的设备和专业技术能力的书面声明；</w:t>
      </w:r>
    </w:p>
    <w:p w14:paraId="3B62B1E8">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1.4依法缴纳税收和社会保障资金的相关材料（提供提交响应文件截止时间前一年内至少一个月依法缴纳税收及缴纳社会保障资金的证明材料。供应商依法享受缓缴、免缴税收、社会保障资金的提供证明材料。）；</w:t>
      </w:r>
    </w:p>
    <w:p w14:paraId="50F2454B">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1.5参加政府采购活动前3年内在经营活动中没有重大违法记录的书面声明。</w:t>
      </w:r>
    </w:p>
    <w:p w14:paraId="3A9821C4">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1.6法律、行政法规规定的其他条件。</w:t>
      </w:r>
    </w:p>
    <w:p w14:paraId="57541017">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4F056C6E">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1.8单位负责人为同一人或者存在直接控股、管理关系的不同供应商，不得参加同一合同项下的政府采购活动。</w:t>
      </w:r>
    </w:p>
    <w:p w14:paraId="01DCCD54">
      <w:pPr>
        <w:adjustRightInd w:val="0"/>
        <w:snapToGrid w:val="0"/>
        <w:spacing w:line="500" w:lineRule="exact"/>
        <w:ind w:firstLine="480" w:firstLineChars="200"/>
        <w:rPr>
          <w:rFonts w:cs="宋体" w:asciiTheme="minorEastAsia" w:hAnsiTheme="minorEastAsia"/>
          <w:color w:val="auto"/>
          <w:sz w:val="24"/>
          <w:highlight w:val="none"/>
        </w:rPr>
      </w:pPr>
      <w:r>
        <w:rPr>
          <w:rFonts w:hint="eastAsia" w:cs="宋体" w:asciiTheme="minorEastAsia" w:hAnsiTheme="minorEastAsia"/>
          <w:color w:val="auto"/>
          <w:sz w:val="24"/>
          <w:highlight w:val="none"/>
        </w:rPr>
        <w:t>2.落实政府采购政策需满足的资格要求：</w:t>
      </w:r>
      <w:r>
        <w:rPr>
          <w:rFonts w:hint="eastAsia" w:cs="宋体" w:asciiTheme="minorEastAsia" w:hAnsiTheme="minorEastAsia"/>
          <w:b/>
          <w:bCs/>
          <w:color w:val="auto"/>
          <w:sz w:val="24"/>
          <w:highlight w:val="none"/>
        </w:rPr>
        <w:t>本项目不专门面向中小企业采购，采购标的的所属行业为</w:t>
      </w:r>
      <w:r>
        <w:rPr>
          <w:rFonts w:hint="eastAsia" w:cs="宋体" w:asciiTheme="minorEastAsia" w:hAnsiTheme="minorEastAsia"/>
          <w:b/>
          <w:bCs/>
          <w:color w:val="auto"/>
          <w:sz w:val="24"/>
          <w:highlight w:val="none"/>
          <w:u w:val="single"/>
        </w:rPr>
        <w:t>其他未列明行业</w:t>
      </w:r>
      <w:r>
        <w:rPr>
          <w:rFonts w:hint="eastAsia" w:cs="宋体" w:asciiTheme="minorEastAsia" w:hAnsiTheme="minorEastAsia"/>
          <w:b/>
          <w:bCs/>
          <w:color w:val="auto"/>
          <w:sz w:val="24"/>
          <w:highlight w:val="none"/>
        </w:rPr>
        <w:t>，投标人需按照采购文件的要求提供相应的《中小企业声明函》。企业标准请参照《关于印发中小企业划型标准规定的通知》（工信部联企业[2011]300号）文件规定自行填写</w:t>
      </w:r>
      <w:r>
        <w:rPr>
          <w:rFonts w:hint="eastAsia" w:cs="宋体" w:asciiTheme="minorEastAsia" w:hAnsiTheme="minorEastAsia"/>
          <w:color w:val="auto"/>
          <w:sz w:val="24"/>
          <w:highlight w:val="none"/>
        </w:rPr>
        <w:t>。</w:t>
      </w:r>
    </w:p>
    <w:p w14:paraId="0AA2D845">
      <w:pPr>
        <w:pStyle w:val="11"/>
        <w:shd w:val="clear" w:color="auto" w:fill="FFFFFF"/>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3.本项目的特定资格要求：</w:t>
      </w:r>
      <w:r>
        <w:rPr>
          <w:rFonts w:hint="eastAsia" w:cs="宋体" w:asciiTheme="minorEastAsia" w:hAnsiTheme="minorEastAsia"/>
          <w:color w:val="auto"/>
          <w:highlight w:val="none"/>
          <w:shd w:val="clear" w:color="auto" w:fill="FFFFFF"/>
        </w:rPr>
        <w:t>无。</w:t>
      </w:r>
    </w:p>
    <w:p w14:paraId="6AD5544D">
      <w:pPr>
        <w:pStyle w:val="11"/>
        <w:adjustRightInd w:val="0"/>
        <w:snapToGrid w:val="0"/>
        <w:spacing w:beforeAutospacing="0" w:afterAutospacing="0" w:line="500" w:lineRule="exact"/>
        <w:ind w:firstLine="482" w:firstLineChars="200"/>
        <w:jc w:val="both"/>
        <w:rPr>
          <w:rFonts w:cs="宋体" w:asciiTheme="minorEastAsia" w:hAnsiTheme="minorEastAsia"/>
          <w:color w:val="auto"/>
          <w:highlight w:val="none"/>
        </w:rPr>
      </w:pPr>
      <w:r>
        <w:rPr>
          <w:rFonts w:hint="eastAsia" w:cs="宋体" w:asciiTheme="minorEastAsia" w:hAnsiTheme="minorEastAsia"/>
          <w:b/>
          <w:color w:val="auto"/>
          <w:highlight w:val="none"/>
        </w:rPr>
        <w:t>三、获取招标文件</w:t>
      </w:r>
    </w:p>
    <w:p w14:paraId="51EFEF84">
      <w:pPr>
        <w:adjustRightInd w:val="0"/>
        <w:snapToGrid w:val="0"/>
        <w:spacing w:line="500" w:lineRule="exact"/>
        <w:ind w:firstLine="480" w:firstLineChars="200"/>
        <w:jc w:val="left"/>
        <w:rPr>
          <w:rFonts w:cs="宋体" w:asciiTheme="minorEastAsia" w:hAnsiTheme="minorEastAsia"/>
          <w:color w:val="auto"/>
          <w:kern w:val="0"/>
          <w:sz w:val="24"/>
          <w:highlight w:val="none"/>
        </w:rPr>
      </w:pPr>
      <w:bookmarkStart w:id="20" w:name="_Toc35393793"/>
      <w:bookmarkStart w:id="21" w:name="_Toc35393624"/>
      <w:bookmarkStart w:id="22" w:name="_Toc28359005"/>
      <w:bookmarkStart w:id="23" w:name="_Toc28359082"/>
      <w:bookmarkStart w:id="24" w:name="_Toc38985266"/>
      <w:r>
        <w:rPr>
          <w:rFonts w:hint="eastAsia" w:cs="宋体" w:asciiTheme="minorEastAsia" w:hAnsiTheme="minorEastAsia"/>
          <w:color w:val="auto"/>
          <w:sz w:val="24"/>
          <w:highlight w:val="none"/>
        </w:rPr>
        <w:t>1.时间</w:t>
      </w:r>
      <w:r>
        <w:rPr>
          <w:rFonts w:hint="eastAsia" w:cs="宋体" w:asciiTheme="minorEastAsia" w:hAnsiTheme="minorEastAsia"/>
          <w:color w:val="auto"/>
          <w:kern w:val="0"/>
          <w:sz w:val="24"/>
          <w:highlight w:val="none"/>
        </w:rPr>
        <w:t>：</w:t>
      </w:r>
      <w:bookmarkEnd w:id="20"/>
      <w:bookmarkEnd w:id="21"/>
      <w:bookmarkEnd w:id="22"/>
      <w:bookmarkEnd w:id="23"/>
      <w:bookmarkEnd w:id="24"/>
      <w:r>
        <w:rPr>
          <w:rFonts w:hint="eastAsia" w:cs="宋体" w:asciiTheme="minorEastAsia" w:hAnsiTheme="minorEastAsia"/>
          <w:color w:val="auto"/>
          <w:kern w:val="0"/>
          <w:sz w:val="24"/>
          <w:highlight w:val="none"/>
        </w:rPr>
        <w:t>自招标文件公告发布之日起5个工作日。</w:t>
      </w:r>
    </w:p>
    <w:p w14:paraId="68634E1C">
      <w:pPr>
        <w:adjustRightInd w:val="0"/>
        <w:snapToGrid w:val="0"/>
        <w:spacing w:line="500" w:lineRule="exact"/>
        <w:ind w:firstLine="480" w:firstLineChars="200"/>
        <w:jc w:val="left"/>
        <w:rPr>
          <w:rFonts w:cs="宋体" w:asciiTheme="minorEastAsia" w:hAnsiTheme="minorEastAsia"/>
          <w:color w:val="auto"/>
          <w:kern w:val="0"/>
          <w:sz w:val="24"/>
          <w:highlight w:val="none"/>
        </w:rPr>
      </w:pPr>
      <w:r>
        <w:rPr>
          <w:rFonts w:hint="eastAsia" w:cs="宋体" w:asciiTheme="minorEastAsia" w:hAnsiTheme="minorEastAsia"/>
          <w:color w:val="auto"/>
          <w:kern w:val="0"/>
          <w:sz w:val="24"/>
          <w:highlight w:val="none"/>
        </w:rPr>
        <w:t>2.地点：“苏采云”系统内免费下载（投标人必须在苏采云系统中获取采购文件，方能参与政府采购项目）；</w:t>
      </w:r>
    </w:p>
    <w:p w14:paraId="04908CDC">
      <w:pPr>
        <w:adjustRightInd w:val="0"/>
        <w:snapToGrid w:val="0"/>
        <w:spacing w:line="500" w:lineRule="exact"/>
        <w:ind w:firstLine="480" w:firstLineChars="200"/>
        <w:jc w:val="left"/>
        <w:rPr>
          <w:rFonts w:cs="宋体" w:asciiTheme="minorEastAsia" w:hAnsiTheme="minorEastAsia"/>
          <w:color w:val="auto"/>
          <w:kern w:val="0"/>
          <w:sz w:val="24"/>
          <w:highlight w:val="none"/>
        </w:rPr>
      </w:pPr>
      <w:r>
        <w:rPr>
          <w:rFonts w:hint="eastAsia" w:cs="宋体" w:asciiTheme="minorEastAsia" w:hAnsiTheme="minorEastAsia"/>
          <w:color w:val="auto"/>
          <w:kern w:val="0"/>
          <w:sz w:val="24"/>
          <w:highlight w:val="none"/>
        </w:rPr>
        <w:t xml:space="preserve">3.方式：本项目采用网上注册登记方式。 </w:t>
      </w:r>
    </w:p>
    <w:p w14:paraId="11DADD02">
      <w:pPr>
        <w:adjustRightInd w:val="0"/>
        <w:snapToGrid w:val="0"/>
        <w:spacing w:line="500" w:lineRule="exact"/>
        <w:ind w:firstLine="480" w:firstLineChars="200"/>
        <w:jc w:val="left"/>
        <w:rPr>
          <w:rFonts w:cs="宋体" w:asciiTheme="minorEastAsia" w:hAnsiTheme="minorEastAsia"/>
          <w:color w:val="auto"/>
          <w:kern w:val="0"/>
          <w:sz w:val="24"/>
          <w:highlight w:val="none"/>
        </w:rPr>
      </w:pPr>
      <w:r>
        <w:rPr>
          <w:rFonts w:hint="eastAsia" w:cs="宋体" w:asciiTheme="minorEastAsia" w:hAnsiTheme="minorEastAsia"/>
          <w:color w:val="auto"/>
          <w:kern w:val="0"/>
          <w:sz w:val="24"/>
          <w:highlight w:val="none"/>
        </w:rPr>
        <w:t>4.售价：0元</w:t>
      </w:r>
    </w:p>
    <w:p w14:paraId="39D943F7">
      <w:pPr>
        <w:pStyle w:val="11"/>
        <w:adjustRightInd w:val="0"/>
        <w:snapToGrid w:val="0"/>
        <w:spacing w:beforeAutospacing="0" w:afterAutospacing="0" w:line="500" w:lineRule="exact"/>
        <w:ind w:firstLine="482" w:firstLineChars="200"/>
        <w:jc w:val="both"/>
        <w:rPr>
          <w:rFonts w:cs="宋体" w:asciiTheme="minorEastAsia" w:hAnsiTheme="minorEastAsia"/>
          <w:color w:val="auto"/>
          <w:highlight w:val="none"/>
        </w:rPr>
      </w:pPr>
      <w:r>
        <w:rPr>
          <w:rFonts w:hint="eastAsia" w:cs="宋体" w:asciiTheme="minorEastAsia" w:hAnsiTheme="minorEastAsia"/>
          <w:b/>
          <w:color w:val="auto"/>
          <w:highlight w:val="none"/>
        </w:rPr>
        <w:t>四、提交投标文件截止时间、开标时间和地点</w:t>
      </w:r>
    </w:p>
    <w:p w14:paraId="6923EB2D">
      <w:pPr>
        <w:adjustRightInd w:val="0"/>
        <w:snapToGrid w:val="0"/>
        <w:spacing w:line="500" w:lineRule="exact"/>
        <w:ind w:firstLine="480" w:firstLineChars="200"/>
        <w:jc w:val="left"/>
        <w:rPr>
          <w:rFonts w:cs="宋体" w:asciiTheme="minorEastAsia" w:hAnsiTheme="minorEastAsia"/>
          <w:color w:val="auto"/>
          <w:kern w:val="0"/>
          <w:sz w:val="24"/>
          <w:highlight w:val="none"/>
        </w:rPr>
      </w:pPr>
      <w:r>
        <w:rPr>
          <w:rFonts w:hint="eastAsia" w:cs="宋体" w:asciiTheme="minorEastAsia" w:hAnsiTheme="minorEastAsia"/>
          <w:color w:val="auto"/>
          <w:sz w:val="24"/>
          <w:highlight w:val="none"/>
        </w:rPr>
        <w:t>1.</w:t>
      </w:r>
      <w:r>
        <w:rPr>
          <w:rFonts w:hint="eastAsia" w:cs="宋体" w:asciiTheme="minorEastAsia" w:hAnsiTheme="minorEastAsia"/>
          <w:color w:val="auto"/>
          <w:kern w:val="0"/>
          <w:sz w:val="24"/>
          <w:highlight w:val="none"/>
        </w:rPr>
        <w:t>时间：2026年</w:t>
      </w:r>
      <w:r>
        <w:rPr>
          <w:rFonts w:hint="eastAsia" w:cs="宋体" w:asciiTheme="minorEastAsia" w:hAnsiTheme="minorEastAsia"/>
          <w:color w:val="auto"/>
          <w:kern w:val="0"/>
          <w:sz w:val="24"/>
          <w:highlight w:val="none"/>
          <w:lang w:eastAsia="zh-CN"/>
        </w:rPr>
        <w:t>8月13</w:t>
      </w:r>
      <w:r>
        <w:rPr>
          <w:rFonts w:hint="eastAsia" w:cs="宋体" w:asciiTheme="minorEastAsia" w:hAnsiTheme="minorEastAsia"/>
          <w:color w:val="auto"/>
          <w:kern w:val="0"/>
          <w:sz w:val="24"/>
          <w:highlight w:val="none"/>
        </w:rPr>
        <w:t>日9点00分（北京时间）</w:t>
      </w:r>
    </w:p>
    <w:p w14:paraId="168DCA37">
      <w:pPr>
        <w:adjustRightInd w:val="0"/>
        <w:snapToGrid w:val="0"/>
        <w:spacing w:line="500" w:lineRule="exact"/>
        <w:ind w:firstLine="480" w:firstLineChars="200"/>
        <w:jc w:val="left"/>
        <w:rPr>
          <w:rFonts w:cs="宋体" w:asciiTheme="minorEastAsia" w:hAnsiTheme="minorEastAsia"/>
          <w:color w:val="auto"/>
          <w:kern w:val="0"/>
          <w:sz w:val="24"/>
          <w:highlight w:val="none"/>
        </w:rPr>
      </w:pPr>
      <w:r>
        <w:rPr>
          <w:rFonts w:hint="eastAsia" w:cs="宋体" w:asciiTheme="minorEastAsia" w:hAnsiTheme="minorEastAsia"/>
          <w:color w:val="auto"/>
          <w:kern w:val="0"/>
          <w:sz w:val="24"/>
          <w:highlight w:val="none"/>
        </w:rPr>
        <w:t>2.地点：苏采云“不见面”开标大厅 。</w:t>
      </w:r>
    </w:p>
    <w:p w14:paraId="418272AF">
      <w:pPr>
        <w:pStyle w:val="11"/>
        <w:adjustRightInd w:val="0"/>
        <w:snapToGrid w:val="0"/>
        <w:spacing w:beforeAutospacing="0" w:afterAutospacing="0" w:line="500" w:lineRule="exact"/>
        <w:ind w:firstLine="482" w:firstLineChars="200"/>
        <w:jc w:val="both"/>
        <w:rPr>
          <w:rFonts w:cs="宋体" w:asciiTheme="minorEastAsia" w:hAnsiTheme="minorEastAsia"/>
          <w:color w:val="auto"/>
          <w:highlight w:val="none"/>
        </w:rPr>
      </w:pPr>
      <w:bookmarkStart w:id="25" w:name="_Toc38985267"/>
      <w:bookmarkStart w:id="26" w:name="_Toc35393625"/>
      <w:bookmarkStart w:id="27" w:name="_Toc28359007"/>
      <w:bookmarkStart w:id="28" w:name="_Toc35393794"/>
      <w:bookmarkStart w:id="29" w:name="_Toc28359084"/>
      <w:r>
        <w:rPr>
          <w:rFonts w:hint="eastAsia" w:cs="宋体" w:asciiTheme="minorEastAsia" w:hAnsiTheme="minorEastAsia"/>
          <w:b/>
          <w:color w:val="auto"/>
          <w:highlight w:val="none"/>
        </w:rPr>
        <w:t>五、公告期限</w:t>
      </w:r>
      <w:bookmarkEnd w:id="25"/>
      <w:bookmarkEnd w:id="26"/>
      <w:bookmarkEnd w:id="27"/>
      <w:bookmarkEnd w:id="28"/>
      <w:bookmarkEnd w:id="29"/>
    </w:p>
    <w:p w14:paraId="05567249">
      <w:pPr>
        <w:pStyle w:val="11"/>
        <w:shd w:val="clear" w:color="auto" w:fill="FFFFFF"/>
        <w:adjustRightInd w:val="0"/>
        <w:snapToGrid w:val="0"/>
        <w:spacing w:beforeAutospacing="0" w:afterAutospacing="0" w:line="500" w:lineRule="exact"/>
        <w:ind w:firstLine="480" w:firstLineChars="200"/>
        <w:jc w:val="both"/>
        <w:rPr>
          <w:rFonts w:cs="宋体" w:asciiTheme="minorEastAsia" w:hAnsiTheme="minorEastAsia"/>
          <w:color w:val="auto"/>
          <w:highlight w:val="none"/>
          <w:shd w:val="clear" w:color="auto" w:fill="FFFFFF"/>
        </w:rPr>
      </w:pPr>
      <w:bookmarkStart w:id="30" w:name="_Toc38985268"/>
      <w:bookmarkStart w:id="31" w:name="_Toc35393626"/>
      <w:bookmarkStart w:id="32" w:name="_Toc35393795"/>
      <w:r>
        <w:rPr>
          <w:rFonts w:hint="eastAsia" w:cs="宋体" w:asciiTheme="minorEastAsia" w:hAnsiTheme="minorEastAsia"/>
          <w:color w:val="auto"/>
          <w:highlight w:val="none"/>
          <w:shd w:val="clear" w:color="auto" w:fill="FFFFFF"/>
        </w:rPr>
        <w:t>自本公告发布之日起5个工作日。</w:t>
      </w:r>
      <w:bookmarkEnd w:id="30"/>
      <w:bookmarkEnd w:id="31"/>
      <w:bookmarkEnd w:id="32"/>
    </w:p>
    <w:p w14:paraId="00DBA493">
      <w:pPr>
        <w:pStyle w:val="11"/>
        <w:adjustRightInd w:val="0"/>
        <w:snapToGrid w:val="0"/>
        <w:spacing w:beforeAutospacing="0" w:afterAutospacing="0" w:line="500" w:lineRule="exact"/>
        <w:ind w:firstLine="482" w:firstLineChars="200"/>
        <w:jc w:val="both"/>
        <w:rPr>
          <w:rFonts w:cs="宋体" w:asciiTheme="minorEastAsia" w:hAnsiTheme="minorEastAsia"/>
          <w:color w:val="auto"/>
          <w:highlight w:val="none"/>
        </w:rPr>
      </w:pPr>
      <w:r>
        <w:rPr>
          <w:rFonts w:hint="eastAsia" w:cs="宋体" w:asciiTheme="minorEastAsia" w:hAnsiTheme="minorEastAsia"/>
          <w:b/>
          <w:color w:val="auto"/>
          <w:highlight w:val="none"/>
        </w:rPr>
        <w:t>六、其他补充事宜</w:t>
      </w:r>
    </w:p>
    <w:p w14:paraId="516FD192">
      <w:pPr>
        <w:pStyle w:val="11"/>
        <w:shd w:val="clear" w:color="auto" w:fill="FFFFFF"/>
        <w:adjustRightInd w:val="0"/>
        <w:snapToGrid w:val="0"/>
        <w:spacing w:beforeAutospacing="0" w:afterAutospacing="0" w:line="500" w:lineRule="exact"/>
        <w:ind w:firstLine="480" w:firstLineChars="200"/>
        <w:jc w:val="both"/>
        <w:rPr>
          <w:rFonts w:cs="宋体" w:asciiTheme="minorEastAsia" w:hAnsiTheme="minorEastAsia"/>
          <w:color w:val="auto"/>
          <w:highlight w:val="none"/>
          <w:shd w:val="clear" w:color="auto" w:fill="FFFFFF"/>
        </w:rPr>
      </w:pPr>
      <w:bookmarkStart w:id="33" w:name="_Toc28359018"/>
      <w:r>
        <w:rPr>
          <w:rFonts w:hint="eastAsia" w:cs="宋体" w:asciiTheme="minorEastAsia" w:hAnsiTheme="minorEastAsia"/>
          <w:color w:val="auto"/>
          <w:highlight w:val="none"/>
          <w:shd w:val="clear" w:color="auto" w:fill="FFFFFF"/>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p>
    <w:p w14:paraId="42157697">
      <w:pPr>
        <w:pStyle w:val="11"/>
        <w:shd w:val="clear" w:color="auto" w:fill="FFFFFF"/>
        <w:adjustRightInd w:val="0"/>
        <w:snapToGrid w:val="0"/>
        <w:spacing w:beforeAutospacing="0" w:afterAutospacing="0" w:line="500" w:lineRule="exact"/>
        <w:ind w:firstLine="480" w:firstLineChars="200"/>
        <w:jc w:val="both"/>
        <w:rPr>
          <w:rFonts w:cs="宋体" w:asciiTheme="minorEastAsia" w:hAnsiTheme="minorEastAsia"/>
          <w:color w:val="auto"/>
          <w:highlight w:val="none"/>
          <w:shd w:val="clear" w:color="auto" w:fill="FFFFFF"/>
        </w:rPr>
      </w:pPr>
      <w:r>
        <w:rPr>
          <w:rFonts w:hint="eastAsia" w:cs="宋体" w:asciiTheme="minorEastAsia" w:hAnsiTheme="minorEastAsia"/>
          <w:color w:val="auto"/>
          <w:highlight w:val="none"/>
          <w:shd w:val="clear" w:color="auto" w:fill="FFFFFF"/>
        </w:rPr>
        <w:t>领取CA和办理电子签章（请至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p>
    <w:p w14:paraId="06740B17">
      <w:pPr>
        <w:pStyle w:val="11"/>
        <w:shd w:val="clear" w:color="auto" w:fill="FFFFFF"/>
        <w:adjustRightInd w:val="0"/>
        <w:snapToGrid w:val="0"/>
        <w:spacing w:beforeAutospacing="0" w:afterAutospacing="0" w:line="500" w:lineRule="exact"/>
        <w:ind w:firstLine="480" w:firstLineChars="200"/>
        <w:jc w:val="both"/>
        <w:rPr>
          <w:rFonts w:cs="宋体" w:asciiTheme="minorEastAsia" w:hAnsiTheme="minorEastAsia"/>
          <w:color w:val="auto"/>
          <w:highlight w:val="none"/>
          <w:shd w:val="clear" w:color="auto" w:fill="FFFFFF"/>
        </w:rPr>
      </w:pPr>
      <w:r>
        <w:rPr>
          <w:rFonts w:hint="eastAsia" w:cs="宋体" w:asciiTheme="minorEastAsia" w:hAnsiTheme="minorEastAsia"/>
          <w:color w:val="auto"/>
          <w:highlight w:val="none"/>
          <w:shd w:val="clear" w:color="auto" w:fill="FFFFFF"/>
        </w:rPr>
        <w:t xml:space="preserve">2.潜在供应商访问电子招标响应交易平台的网络地址和方法： </w:t>
      </w:r>
    </w:p>
    <w:p w14:paraId="428C7A31">
      <w:pPr>
        <w:pStyle w:val="11"/>
        <w:shd w:val="clear" w:color="auto" w:fill="FFFFFF"/>
        <w:adjustRightInd w:val="0"/>
        <w:snapToGrid w:val="0"/>
        <w:spacing w:beforeAutospacing="0" w:afterAutospacing="0" w:line="500" w:lineRule="exact"/>
        <w:ind w:firstLine="480" w:firstLineChars="200"/>
        <w:jc w:val="both"/>
        <w:rPr>
          <w:rFonts w:cs="宋体" w:asciiTheme="minorEastAsia" w:hAnsiTheme="minorEastAsia"/>
          <w:color w:val="auto"/>
          <w:highlight w:val="none"/>
          <w:shd w:val="clear" w:color="auto" w:fill="FFFFFF"/>
        </w:rPr>
      </w:pPr>
      <w:r>
        <w:rPr>
          <w:rFonts w:hint="eastAsia" w:cs="宋体" w:asciiTheme="minorEastAsia" w:hAnsiTheme="minorEastAsia"/>
          <w:color w:val="auto"/>
          <w:highlight w:val="none"/>
          <w:shd w:val="clear" w:color="auto" w:fill="FFFFFF"/>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14:paraId="42544614">
      <w:pPr>
        <w:pStyle w:val="11"/>
        <w:shd w:val="clear" w:color="auto" w:fill="FFFFFF"/>
        <w:adjustRightInd w:val="0"/>
        <w:snapToGrid w:val="0"/>
        <w:spacing w:beforeAutospacing="0" w:afterAutospacing="0" w:line="500" w:lineRule="exact"/>
        <w:ind w:firstLine="480" w:firstLineChars="200"/>
        <w:jc w:val="both"/>
        <w:rPr>
          <w:rFonts w:cs="宋体" w:asciiTheme="minorEastAsia" w:hAnsiTheme="minorEastAsia"/>
          <w:color w:val="auto"/>
          <w:highlight w:val="none"/>
          <w:shd w:val="clear" w:color="auto" w:fill="FFFFFF"/>
        </w:rPr>
      </w:pPr>
      <w:r>
        <w:rPr>
          <w:rFonts w:hint="eastAsia" w:cs="宋体" w:asciiTheme="minorEastAsia" w:hAnsiTheme="minorEastAsia"/>
          <w:color w:val="auto"/>
          <w:highlight w:val="none"/>
          <w:shd w:val="clear" w:color="auto" w:fill="FFFFFF"/>
        </w:rPr>
        <w:t xml:space="preserve">2.2潜在投标人访问“苏采云”系统方法：江苏省政府采购网首页-“苏采云”链接。 </w:t>
      </w:r>
    </w:p>
    <w:p w14:paraId="27788A86">
      <w:pPr>
        <w:pStyle w:val="11"/>
        <w:shd w:val="clear" w:color="auto" w:fill="FFFFFF"/>
        <w:adjustRightInd w:val="0"/>
        <w:snapToGrid w:val="0"/>
        <w:spacing w:beforeAutospacing="0" w:afterAutospacing="0" w:line="500" w:lineRule="exact"/>
        <w:ind w:firstLine="480" w:firstLineChars="200"/>
        <w:jc w:val="both"/>
        <w:rPr>
          <w:rFonts w:cs="宋体" w:asciiTheme="minorEastAsia" w:hAnsiTheme="minorEastAsia"/>
          <w:color w:val="auto"/>
          <w:highlight w:val="none"/>
          <w:shd w:val="clear" w:color="auto" w:fill="FFFFFF"/>
        </w:rPr>
      </w:pPr>
      <w:r>
        <w:rPr>
          <w:rFonts w:hint="eastAsia" w:cs="宋体" w:asciiTheme="minorEastAsia" w:hAnsiTheme="minorEastAsia"/>
          <w:color w:val="auto"/>
          <w:highlight w:val="none"/>
          <w:shd w:val="clear" w:color="auto" w:fill="FFFFFF"/>
        </w:rPr>
        <w:t xml:space="preserve">2.3采购文件（后缀名为“.kedt”）、供应商操作手册及政府采购客户端 工具可通过“苏采云”系统相应链接进行下载。 </w:t>
      </w:r>
    </w:p>
    <w:p w14:paraId="213F2DC5">
      <w:pPr>
        <w:pStyle w:val="11"/>
        <w:shd w:val="clear" w:color="auto" w:fill="FFFFFF"/>
        <w:adjustRightInd w:val="0"/>
        <w:snapToGrid w:val="0"/>
        <w:spacing w:beforeAutospacing="0" w:afterAutospacing="0" w:line="500" w:lineRule="exact"/>
        <w:ind w:firstLine="480" w:firstLineChars="200"/>
        <w:jc w:val="both"/>
        <w:rPr>
          <w:rFonts w:cs="宋体" w:asciiTheme="minorEastAsia" w:hAnsiTheme="minorEastAsia"/>
          <w:color w:val="auto"/>
          <w:highlight w:val="none"/>
          <w:shd w:val="clear" w:color="auto" w:fill="FFFFFF"/>
        </w:rPr>
      </w:pPr>
      <w:r>
        <w:rPr>
          <w:rFonts w:hint="eastAsia" w:cs="宋体" w:asciiTheme="minorEastAsia" w:hAnsiTheme="minorEastAsia"/>
          <w:color w:val="auto"/>
          <w:highlight w:val="none"/>
          <w:shd w:val="clear" w:color="auto" w:fill="FFFFFF"/>
        </w:rPr>
        <w:t xml:space="preserve">2.4采购代理机构将数据电文形式的采购文件加载至“苏采云”系统，供潜在供应商下载或者查阅。 </w:t>
      </w:r>
    </w:p>
    <w:p w14:paraId="749E2E66">
      <w:pPr>
        <w:pStyle w:val="11"/>
        <w:shd w:val="clear" w:color="auto" w:fill="FFFFFF"/>
        <w:adjustRightInd w:val="0"/>
        <w:snapToGrid w:val="0"/>
        <w:spacing w:beforeAutospacing="0" w:afterAutospacing="0" w:line="500" w:lineRule="exact"/>
        <w:ind w:firstLine="480" w:firstLineChars="200"/>
        <w:jc w:val="both"/>
        <w:rPr>
          <w:rFonts w:cs="宋体" w:asciiTheme="minorEastAsia" w:hAnsiTheme="minorEastAsia"/>
          <w:color w:val="auto"/>
          <w:highlight w:val="none"/>
          <w:shd w:val="clear" w:color="auto" w:fill="FFFFFF"/>
        </w:rPr>
      </w:pPr>
      <w:r>
        <w:rPr>
          <w:rFonts w:hint="eastAsia" w:cs="宋体" w:asciiTheme="minorEastAsia" w:hAnsiTheme="minorEastAsia"/>
          <w:color w:val="auto"/>
          <w:highlight w:val="none"/>
          <w:shd w:val="clear" w:color="auto" w:fill="FFFFFF"/>
        </w:rPr>
        <w:t xml:space="preserve">2.5请潜在投标单位提前安装相应的控件（详见《“苏采云”系统供应商操作手册》）并使用谷歌浏览器登录“苏采云”系统参与不见面开评标。 </w:t>
      </w:r>
    </w:p>
    <w:p w14:paraId="6595182C">
      <w:pPr>
        <w:pStyle w:val="11"/>
        <w:shd w:val="clear" w:color="auto" w:fill="FFFFFF"/>
        <w:adjustRightInd w:val="0"/>
        <w:snapToGrid w:val="0"/>
        <w:spacing w:beforeAutospacing="0" w:afterAutospacing="0" w:line="500" w:lineRule="exact"/>
        <w:ind w:firstLine="480" w:firstLineChars="200"/>
        <w:jc w:val="both"/>
        <w:rPr>
          <w:rFonts w:cs="宋体" w:asciiTheme="minorEastAsia" w:hAnsiTheme="minorEastAsia"/>
          <w:color w:val="auto"/>
          <w:highlight w:val="none"/>
          <w:shd w:val="clear" w:color="auto" w:fill="FFFFFF"/>
        </w:rPr>
      </w:pPr>
      <w:r>
        <w:rPr>
          <w:rFonts w:hint="eastAsia" w:cs="宋体" w:asciiTheme="minorEastAsia" w:hAnsiTheme="minorEastAsia"/>
          <w:color w:val="auto"/>
          <w:highlight w:val="none"/>
          <w:shd w:val="clear" w:color="auto" w:fill="FFFFFF"/>
        </w:rPr>
        <w:t>如潜在投标人未按上述要求操作，将自行承担所产生的风险。</w:t>
      </w:r>
    </w:p>
    <w:p w14:paraId="60E2BB72">
      <w:pPr>
        <w:pStyle w:val="11"/>
        <w:shd w:val="clear" w:color="auto" w:fill="FFFFFF"/>
        <w:adjustRightInd w:val="0"/>
        <w:snapToGrid w:val="0"/>
        <w:spacing w:beforeAutospacing="0" w:afterAutospacing="0" w:line="500" w:lineRule="exact"/>
        <w:ind w:firstLine="480" w:firstLineChars="200"/>
        <w:jc w:val="both"/>
        <w:rPr>
          <w:rFonts w:cs="宋体" w:asciiTheme="minorEastAsia" w:hAnsiTheme="minorEastAsia"/>
          <w:color w:val="auto"/>
          <w:highlight w:val="none"/>
          <w:shd w:val="clear" w:color="auto" w:fill="FFFFFF"/>
        </w:rPr>
      </w:pPr>
      <w:r>
        <w:rPr>
          <w:rFonts w:hint="eastAsia" w:cs="宋体" w:asciiTheme="minorEastAsia" w:hAnsiTheme="minorEastAsia"/>
          <w:color w:val="auto"/>
          <w:highlight w:val="none"/>
          <w:shd w:val="clear" w:color="auto" w:fill="FFFFFF"/>
        </w:rPr>
        <w:t>3.有关本次招标的事项若存在变动或修改，敬请及时关注采购代理机构在“中国政府采购网”、“江苏政府采购网”、“盐城市政府采购网”发布的更正公告。</w:t>
      </w:r>
    </w:p>
    <w:p w14:paraId="6DD7DC0A">
      <w:pPr>
        <w:pStyle w:val="11"/>
        <w:shd w:val="clear" w:color="auto" w:fill="FFFFFF"/>
        <w:adjustRightInd w:val="0"/>
        <w:snapToGrid w:val="0"/>
        <w:spacing w:beforeAutospacing="0" w:afterAutospacing="0" w:line="500" w:lineRule="exact"/>
        <w:ind w:firstLine="480" w:firstLineChars="200"/>
        <w:jc w:val="both"/>
        <w:rPr>
          <w:rFonts w:cs="宋体" w:asciiTheme="minorEastAsia" w:hAnsiTheme="minorEastAsia"/>
          <w:color w:val="auto"/>
          <w:highlight w:val="none"/>
          <w:shd w:val="clear" w:color="auto" w:fill="FFFFFF"/>
        </w:rPr>
      </w:pPr>
      <w:r>
        <w:rPr>
          <w:rFonts w:hint="eastAsia" w:cs="宋体" w:asciiTheme="minorEastAsia" w:hAnsiTheme="minorEastAsia"/>
          <w:color w:val="auto"/>
          <w:highlight w:val="none"/>
          <w:shd w:val="clear" w:color="auto" w:fill="FFFFFF"/>
        </w:rPr>
        <w:t>4.本次招标不收取投标保证金，不收取质量保证金。</w:t>
      </w:r>
    </w:p>
    <w:p w14:paraId="59EB9241">
      <w:pPr>
        <w:pStyle w:val="2"/>
        <w:shd w:val="clear" w:color="auto" w:fill="FFFFFF"/>
        <w:adjustRightInd w:val="0"/>
        <w:snapToGrid w:val="0"/>
        <w:spacing w:beforeAutospacing="0" w:afterAutospacing="0" w:line="500" w:lineRule="exact"/>
        <w:ind w:firstLine="480" w:firstLineChars="200"/>
        <w:jc w:val="both"/>
        <w:rPr>
          <w:rFonts w:hint="default" w:cs="宋体" w:asciiTheme="minorEastAsia" w:hAnsiTheme="minorEastAsia" w:eastAsiaTheme="minorEastAsia"/>
          <w:b w:val="0"/>
          <w:bCs w:val="0"/>
          <w:color w:val="auto"/>
          <w:sz w:val="24"/>
          <w:szCs w:val="24"/>
          <w:highlight w:val="none"/>
        </w:rPr>
      </w:pPr>
      <w:r>
        <w:rPr>
          <w:rFonts w:cs="宋体" w:asciiTheme="minorEastAsia" w:hAnsiTheme="minorEastAsia" w:eastAsiaTheme="minorEastAsia"/>
          <w:b w:val="0"/>
          <w:bCs w:val="0"/>
          <w:color w:val="auto"/>
          <w:sz w:val="24"/>
          <w:szCs w:val="24"/>
          <w:highlight w:val="none"/>
          <w:shd w:val="clear" w:color="auto" w:fill="FFFFFF"/>
        </w:rPr>
        <w:t>七、对本次招标提出询问，请按以下方式联系。</w:t>
      </w:r>
      <w:bookmarkEnd w:id="33"/>
    </w:p>
    <w:p w14:paraId="1492DB97">
      <w:pPr>
        <w:pStyle w:val="11"/>
        <w:shd w:val="clear" w:color="auto" w:fill="FFFFFF"/>
        <w:adjustRightInd w:val="0"/>
        <w:snapToGrid w:val="0"/>
        <w:spacing w:beforeAutospacing="0" w:afterAutospacing="0" w:line="500" w:lineRule="exact"/>
        <w:ind w:firstLine="480" w:firstLineChars="200"/>
        <w:jc w:val="both"/>
        <w:rPr>
          <w:rFonts w:cs="宋体" w:asciiTheme="minorEastAsia" w:hAnsiTheme="minorEastAsia"/>
          <w:color w:val="auto"/>
          <w:highlight w:val="none"/>
          <w:shd w:val="clear" w:color="auto" w:fill="FFFFFF"/>
        </w:rPr>
      </w:pPr>
      <w:bookmarkStart w:id="34" w:name="_Toc28359009"/>
      <w:r>
        <w:rPr>
          <w:rFonts w:hint="eastAsia" w:cs="宋体" w:asciiTheme="minorEastAsia" w:hAnsiTheme="minorEastAsia"/>
          <w:color w:val="auto"/>
          <w:highlight w:val="none"/>
          <w:shd w:val="clear" w:color="auto" w:fill="FFFFFF"/>
        </w:rPr>
        <w:t>1.采购人信息</w:t>
      </w:r>
    </w:p>
    <w:p w14:paraId="0DB6C465">
      <w:pPr>
        <w:pStyle w:val="11"/>
        <w:shd w:val="clear" w:color="auto" w:fill="FFFFFF"/>
        <w:adjustRightInd w:val="0"/>
        <w:snapToGrid w:val="0"/>
        <w:spacing w:beforeAutospacing="0" w:afterAutospacing="0" w:line="500" w:lineRule="exact"/>
        <w:ind w:firstLine="480" w:firstLineChars="200"/>
        <w:jc w:val="both"/>
        <w:rPr>
          <w:rFonts w:cs="宋体" w:asciiTheme="minorEastAsia" w:hAnsiTheme="minorEastAsia"/>
          <w:color w:val="auto"/>
          <w:highlight w:val="none"/>
          <w:shd w:val="clear" w:color="auto" w:fill="FFFFFF"/>
        </w:rPr>
      </w:pPr>
      <w:r>
        <w:rPr>
          <w:rFonts w:hint="eastAsia" w:cs="宋体" w:asciiTheme="minorEastAsia" w:hAnsiTheme="minorEastAsia"/>
          <w:color w:val="auto"/>
          <w:highlight w:val="none"/>
          <w:shd w:val="clear" w:color="auto" w:fill="FFFFFF"/>
        </w:rPr>
        <w:t>名 称：</w:t>
      </w:r>
      <w:r>
        <w:rPr>
          <w:rFonts w:hint="eastAsia" w:cs="宋体" w:asciiTheme="minorEastAsia" w:hAnsiTheme="minorEastAsia"/>
          <w:color w:val="auto"/>
          <w:highlight w:val="none"/>
        </w:rPr>
        <w:t>盐城市卫生健康委员会</w:t>
      </w:r>
      <w:r>
        <w:rPr>
          <w:rFonts w:hint="eastAsia" w:cs="宋体" w:asciiTheme="minorEastAsia" w:hAnsiTheme="minorEastAsia"/>
          <w:color w:val="auto"/>
          <w:highlight w:val="none"/>
          <w:shd w:val="clear" w:color="auto" w:fill="FFFFFF"/>
        </w:rPr>
        <w:t xml:space="preserve">  </w:t>
      </w:r>
    </w:p>
    <w:p w14:paraId="3E0A0683">
      <w:pPr>
        <w:pStyle w:val="11"/>
        <w:shd w:val="clear" w:color="auto" w:fill="FFFFFF"/>
        <w:adjustRightInd w:val="0"/>
        <w:snapToGrid w:val="0"/>
        <w:spacing w:beforeAutospacing="0" w:afterAutospacing="0" w:line="500" w:lineRule="exact"/>
        <w:ind w:firstLine="480" w:firstLineChars="200"/>
        <w:jc w:val="both"/>
        <w:rPr>
          <w:rFonts w:cs="宋体" w:asciiTheme="minorEastAsia" w:hAnsiTheme="minorEastAsia"/>
          <w:color w:val="auto"/>
          <w:highlight w:val="none"/>
          <w:shd w:val="clear" w:color="auto" w:fill="FFFFFF"/>
        </w:rPr>
      </w:pPr>
      <w:r>
        <w:rPr>
          <w:rFonts w:hint="eastAsia" w:cs="宋体" w:asciiTheme="minorEastAsia" w:hAnsiTheme="minorEastAsia"/>
          <w:color w:val="auto"/>
          <w:highlight w:val="none"/>
          <w:shd w:val="clear" w:color="auto" w:fill="FFFFFF"/>
        </w:rPr>
        <w:t>地址：</w:t>
      </w:r>
      <w:r>
        <w:rPr>
          <w:rFonts w:hint="eastAsia" w:cs="宋体" w:asciiTheme="minorEastAsia" w:hAnsiTheme="minorEastAsia"/>
          <w:color w:val="auto"/>
          <w:highlight w:val="none"/>
        </w:rPr>
        <w:t>盐城市亭湖区开发大道北路39号</w:t>
      </w:r>
      <w:r>
        <w:rPr>
          <w:rFonts w:hint="eastAsia" w:cs="宋体" w:asciiTheme="minorEastAsia" w:hAnsiTheme="minorEastAsia"/>
          <w:color w:val="auto"/>
          <w:highlight w:val="none"/>
          <w:shd w:val="clear" w:color="auto" w:fill="FFFFFF"/>
        </w:rPr>
        <w:t xml:space="preserve">  </w:t>
      </w:r>
    </w:p>
    <w:p w14:paraId="1DFB222D">
      <w:pPr>
        <w:pStyle w:val="11"/>
        <w:shd w:val="clear" w:color="auto" w:fill="FFFFFF"/>
        <w:adjustRightInd w:val="0"/>
        <w:snapToGrid w:val="0"/>
        <w:spacing w:beforeAutospacing="0" w:afterAutospacing="0" w:line="500" w:lineRule="exact"/>
        <w:ind w:firstLine="480" w:firstLineChars="200"/>
        <w:jc w:val="both"/>
        <w:rPr>
          <w:rFonts w:cs="宋体" w:asciiTheme="minorEastAsia" w:hAnsiTheme="minorEastAsia"/>
          <w:color w:val="auto"/>
          <w:highlight w:val="none"/>
          <w:shd w:val="clear" w:color="auto" w:fill="FFFFFF"/>
        </w:rPr>
      </w:pPr>
      <w:r>
        <w:rPr>
          <w:rFonts w:hint="eastAsia" w:cs="宋体" w:asciiTheme="minorEastAsia" w:hAnsiTheme="minorEastAsia"/>
          <w:color w:val="auto"/>
          <w:highlight w:val="none"/>
          <w:shd w:val="clear" w:color="auto" w:fill="FFFFFF"/>
        </w:rPr>
        <w:t>联系人：葛女士</w:t>
      </w:r>
    </w:p>
    <w:p w14:paraId="2CDD0456">
      <w:pPr>
        <w:pStyle w:val="11"/>
        <w:shd w:val="clear" w:color="auto" w:fill="FFFFFF"/>
        <w:adjustRightInd w:val="0"/>
        <w:snapToGrid w:val="0"/>
        <w:spacing w:beforeAutospacing="0" w:afterAutospacing="0" w:line="500" w:lineRule="exact"/>
        <w:ind w:firstLine="480" w:firstLineChars="200"/>
        <w:jc w:val="both"/>
        <w:rPr>
          <w:rFonts w:cs="宋体" w:asciiTheme="minorEastAsia" w:hAnsiTheme="minorEastAsia"/>
          <w:color w:val="auto"/>
          <w:highlight w:val="none"/>
          <w:shd w:val="clear" w:color="auto" w:fill="FFFFFF"/>
        </w:rPr>
      </w:pPr>
      <w:r>
        <w:rPr>
          <w:rFonts w:hint="eastAsia" w:cs="宋体" w:asciiTheme="minorEastAsia" w:hAnsiTheme="minorEastAsia"/>
          <w:color w:val="auto"/>
          <w:highlight w:val="none"/>
          <w:shd w:val="clear" w:color="auto" w:fill="FFFFFF"/>
        </w:rPr>
        <w:t xml:space="preserve">联系方式：0515-88335005            </w:t>
      </w:r>
    </w:p>
    <w:p w14:paraId="3FB843F8">
      <w:pPr>
        <w:pStyle w:val="11"/>
        <w:shd w:val="clear" w:color="auto" w:fill="FFFFFF"/>
        <w:adjustRightInd w:val="0"/>
        <w:snapToGrid w:val="0"/>
        <w:spacing w:beforeAutospacing="0" w:afterAutospacing="0" w:line="500" w:lineRule="exact"/>
        <w:ind w:firstLine="480" w:firstLineChars="200"/>
        <w:jc w:val="both"/>
        <w:rPr>
          <w:rFonts w:cs="宋体" w:asciiTheme="minorEastAsia" w:hAnsiTheme="minorEastAsia"/>
          <w:color w:val="auto"/>
          <w:highlight w:val="none"/>
          <w:shd w:val="clear" w:color="auto" w:fill="FFFFFF"/>
        </w:rPr>
      </w:pPr>
      <w:r>
        <w:rPr>
          <w:rFonts w:hint="eastAsia" w:cs="宋体" w:asciiTheme="minorEastAsia" w:hAnsiTheme="minorEastAsia"/>
          <w:color w:val="auto"/>
          <w:highlight w:val="none"/>
          <w:shd w:val="clear" w:color="auto" w:fill="FFFFFF"/>
        </w:rPr>
        <w:t>2.采购代理机构信息</w:t>
      </w:r>
    </w:p>
    <w:p w14:paraId="2F05C6DE">
      <w:pPr>
        <w:pStyle w:val="11"/>
        <w:shd w:val="clear" w:color="auto" w:fill="FFFFFF"/>
        <w:adjustRightInd w:val="0"/>
        <w:snapToGrid w:val="0"/>
        <w:spacing w:beforeAutospacing="0" w:afterAutospacing="0" w:line="500" w:lineRule="exact"/>
        <w:ind w:firstLine="480" w:firstLineChars="200"/>
        <w:jc w:val="both"/>
        <w:rPr>
          <w:rFonts w:cs="宋体" w:asciiTheme="minorEastAsia" w:hAnsiTheme="minorEastAsia"/>
          <w:color w:val="auto"/>
          <w:highlight w:val="none"/>
          <w:shd w:val="clear" w:color="auto" w:fill="FFFFFF"/>
        </w:rPr>
      </w:pPr>
      <w:r>
        <w:rPr>
          <w:rFonts w:hint="eastAsia" w:cs="宋体" w:asciiTheme="minorEastAsia" w:hAnsiTheme="minorEastAsia"/>
          <w:color w:val="auto"/>
          <w:highlight w:val="none"/>
          <w:shd w:val="clear" w:color="auto" w:fill="FFFFFF"/>
        </w:rPr>
        <w:t>名 称：</w:t>
      </w:r>
      <w:r>
        <w:rPr>
          <w:rFonts w:hint="eastAsia" w:cs="宋体" w:asciiTheme="minorEastAsia" w:hAnsiTheme="minorEastAsia"/>
          <w:bCs/>
          <w:color w:val="auto"/>
          <w:highlight w:val="none"/>
        </w:rPr>
        <w:t>盐城市招标代理有限公司</w:t>
      </w:r>
    </w:p>
    <w:p w14:paraId="6B6B5CE5">
      <w:pPr>
        <w:pStyle w:val="11"/>
        <w:shd w:val="clear" w:color="auto" w:fill="FFFFFF"/>
        <w:adjustRightInd w:val="0"/>
        <w:snapToGrid w:val="0"/>
        <w:spacing w:beforeAutospacing="0" w:afterAutospacing="0" w:line="500" w:lineRule="exact"/>
        <w:ind w:firstLine="480" w:firstLineChars="200"/>
        <w:jc w:val="both"/>
        <w:rPr>
          <w:rFonts w:cs="宋体" w:asciiTheme="minorEastAsia" w:hAnsiTheme="minorEastAsia"/>
          <w:color w:val="auto"/>
          <w:highlight w:val="none"/>
          <w:shd w:val="clear" w:color="auto" w:fill="FFFFFF"/>
        </w:rPr>
      </w:pPr>
      <w:r>
        <w:rPr>
          <w:rFonts w:hint="eastAsia" w:cs="宋体" w:asciiTheme="minorEastAsia" w:hAnsiTheme="minorEastAsia"/>
          <w:color w:val="auto"/>
          <w:highlight w:val="none"/>
          <w:shd w:val="clear" w:color="auto" w:fill="FFFFFF"/>
        </w:rPr>
        <w:t>地 址：</w:t>
      </w:r>
      <w:r>
        <w:rPr>
          <w:rFonts w:hint="eastAsia" w:cs="宋体" w:asciiTheme="minorEastAsia" w:hAnsiTheme="minorEastAsia"/>
          <w:color w:val="auto"/>
          <w:highlight w:val="none"/>
        </w:rPr>
        <w:t>盐城市青年路钱江财富广场西区A座4楼</w:t>
      </w:r>
    </w:p>
    <w:p w14:paraId="2BDF9694">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bookmarkStart w:id="35" w:name="_Toc28359021"/>
      <w:r>
        <w:rPr>
          <w:rFonts w:hint="eastAsia" w:cs="宋体" w:asciiTheme="minorEastAsia" w:hAnsiTheme="minorEastAsia"/>
          <w:color w:val="auto"/>
          <w:highlight w:val="none"/>
        </w:rPr>
        <w:t xml:space="preserve">联系人：吴女士                    </w:t>
      </w:r>
    </w:p>
    <w:p w14:paraId="2D9FC48A">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联系方式：</w:t>
      </w:r>
      <w:bookmarkStart w:id="36" w:name="_Toc28359010"/>
      <w:bookmarkStart w:id="37" w:name="_Toc28359087"/>
      <w:r>
        <w:rPr>
          <w:rFonts w:hint="eastAsia" w:cs="宋体" w:asciiTheme="minorEastAsia" w:hAnsiTheme="minorEastAsia"/>
          <w:color w:val="auto"/>
          <w:highlight w:val="none"/>
        </w:rPr>
        <w:t>0515-89803566      </w:t>
      </w:r>
      <w:bookmarkEnd w:id="36"/>
      <w:bookmarkEnd w:id="37"/>
      <w:r>
        <w:rPr>
          <w:rFonts w:hint="eastAsia" w:cs="宋体" w:asciiTheme="minorEastAsia" w:hAnsiTheme="minorEastAsia"/>
          <w:color w:val="auto"/>
          <w:highlight w:val="none"/>
        </w:rPr>
        <w:t xml:space="preserve">            </w:t>
      </w:r>
    </w:p>
    <w:p w14:paraId="6AF1712F">
      <w:pPr>
        <w:pStyle w:val="11"/>
        <w:shd w:val="clear" w:color="auto" w:fill="FFFFFF"/>
        <w:adjustRightInd w:val="0"/>
        <w:snapToGrid w:val="0"/>
        <w:spacing w:beforeAutospacing="0" w:afterAutospacing="0" w:line="500" w:lineRule="exact"/>
        <w:ind w:firstLine="480" w:firstLineChars="200"/>
        <w:jc w:val="both"/>
        <w:rPr>
          <w:rFonts w:cs="宋体" w:asciiTheme="minorEastAsia" w:hAnsiTheme="minorEastAsia"/>
          <w:color w:val="auto"/>
          <w:highlight w:val="none"/>
          <w:shd w:val="clear" w:color="auto" w:fill="FFFFFF"/>
        </w:rPr>
      </w:pPr>
      <w:r>
        <w:rPr>
          <w:rFonts w:hint="eastAsia" w:cs="宋体" w:asciiTheme="minorEastAsia" w:hAnsiTheme="minorEastAsia"/>
          <w:color w:val="auto"/>
          <w:highlight w:val="none"/>
          <w:shd w:val="clear" w:color="auto" w:fill="FFFFFF"/>
        </w:rPr>
        <w:t>3.</w:t>
      </w:r>
      <w:bookmarkEnd w:id="35"/>
      <w:r>
        <w:rPr>
          <w:rFonts w:hint="eastAsia" w:cs="宋体" w:asciiTheme="minorEastAsia" w:hAnsiTheme="minorEastAsia"/>
          <w:color w:val="auto"/>
          <w:highlight w:val="none"/>
          <w:shd w:val="clear" w:color="auto" w:fill="FFFFFF"/>
        </w:rPr>
        <w:t>项目联系方式</w:t>
      </w:r>
    </w:p>
    <w:p w14:paraId="3AC996ED">
      <w:pPr>
        <w:pStyle w:val="11"/>
        <w:shd w:val="clear" w:color="auto" w:fill="FFFFFF"/>
        <w:adjustRightInd w:val="0"/>
        <w:snapToGrid w:val="0"/>
        <w:spacing w:beforeAutospacing="0" w:afterAutospacing="0" w:line="500" w:lineRule="exact"/>
        <w:ind w:firstLine="480" w:firstLineChars="200"/>
        <w:jc w:val="both"/>
        <w:rPr>
          <w:rFonts w:cs="宋体" w:asciiTheme="minorEastAsia" w:hAnsiTheme="minorEastAsia"/>
          <w:color w:val="auto"/>
          <w:highlight w:val="none"/>
          <w:shd w:val="clear" w:color="auto" w:fill="FFFFFF"/>
        </w:rPr>
      </w:pPr>
      <w:r>
        <w:rPr>
          <w:rFonts w:hint="eastAsia" w:cs="宋体" w:asciiTheme="minorEastAsia" w:hAnsiTheme="minorEastAsia"/>
          <w:color w:val="auto"/>
          <w:highlight w:val="none"/>
          <w:shd w:val="clear" w:color="auto" w:fill="FFFFFF"/>
        </w:rPr>
        <w:t>项目联系人：葛女士</w:t>
      </w:r>
    </w:p>
    <w:p w14:paraId="4F6E656A">
      <w:pPr>
        <w:pStyle w:val="11"/>
        <w:shd w:val="clear" w:color="auto" w:fill="FFFFFF"/>
        <w:adjustRightInd w:val="0"/>
        <w:snapToGrid w:val="0"/>
        <w:spacing w:beforeAutospacing="0" w:afterAutospacing="0" w:line="500" w:lineRule="exact"/>
        <w:ind w:firstLine="480" w:firstLineChars="200"/>
        <w:jc w:val="both"/>
        <w:rPr>
          <w:rFonts w:cs="宋体" w:asciiTheme="minorEastAsia" w:hAnsiTheme="minorEastAsia"/>
          <w:color w:val="auto"/>
          <w:highlight w:val="none"/>
          <w:shd w:val="clear" w:color="auto" w:fill="FFFFFF"/>
        </w:rPr>
      </w:pPr>
      <w:r>
        <w:rPr>
          <w:rFonts w:hint="eastAsia" w:cs="宋体" w:asciiTheme="minorEastAsia" w:hAnsiTheme="minorEastAsia"/>
          <w:color w:val="auto"/>
          <w:highlight w:val="none"/>
          <w:shd w:val="clear" w:color="auto" w:fill="FFFFFF"/>
        </w:rPr>
        <w:t>电　　 话：0515-88335005　　　　　　　　　　　　</w:t>
      </w:r>
    </w:p>
    <w:p w14:paraId="7C737651">
      <w:pPr>
        <w:adjustRightInd w:val="0"/>
        <w:snapToGrid w:val="0"/>
        <w:spacing w:line="500" w:lineRule="exact"/>
        <w:rPr>
          <w:rFonts w:cs="宋体" w:asciiTheme="minorEastAsia" w:hAnsiTheme="minorEastAsia"/>
          <w:color w:val="auto"/>
          <w:sz w:val="24"/>
          <w:highlight w:val="none"/>
        </w:rPr>
      </w:pPr>
      <w:r>
        <w:rPr>
          <w:rFonts w:hint="eastAsia" w:cs="宋体" w:asciiTheme="minorEastAsia" w:hAnsiTheme="minorEastAsia"/>
          <w:color w:val="auto"/>
          <w:sz w:val="24"/>
          <w:highlight w:val="none"/>
        </w:rPr>
        <w:t> </w:t>
      </w:r>
    </w:p>
    <w:p w14:paraId="3F496A17">
      <w:pPr>
        <w:widowControl/>
        <w:jc w:val="left"/>
        <w:rPr>
          <w:rFonts w:ascii="宋体" w:hAnsi="宋体" w:eastAsia="宋体" w:cs="宋体"/>
          <w:color w:val="auto"/>
          <w:kern w:val="0"/>
          <w:sz w:val="24"/>
          <w:highlight w:val="none"/>
        </w:rPr>
      </w:pPr>
      <w:bookmarkStart w:id="38" w:name="_Toc120614211"/>
      <w:r>
        <w:rPr>
          <w:rFonts w:ascii="宋体" w:hAnsi="宋体" w:eastAsia="宋体" w:cs="宋体"/>
          <w:color w:val="auto"/>
          <w:highlight w:val="none"/>
        </w:rPr>
        <w:br w:type="page"/>
      </w:r>
    </w:p>
    <w:p w14:paraId="57E0CE26">
      <w:pPr>
        <w:pStyle w:val="11"/>
        <w:spacing w:beforeAutospacing="0" w:afterAutospacing="0"/>
        <w:ind w:right="840" w:firstLine="883"/>
        <w:jc w:val="center"/>
        <w:rPr>
          <w:color w:val="auto"/>
          <w:highlight w:val="none"/>
        </w:rPr>
      </w:pPr>
      <w:r>
        <w:rPr>
          <w:rFonts w:hint="eastAsia" w:ascii="黑体" w:hAnsi="宋体" w:eastAsia="黑体" w:cs="黑体"/>
          <w:b/>
          <w:color w:val="auto"/>
          <w:sz w:val="44"/>
          <w:szCs w:val="44"/>
          <w:highlight w:val="none"/>
        </w:rPr>
        <w:t xml:space="preserve"> </w:t>
      </w:r>
      <w:r>
        <w:rPr>
          <w:rFonts w:ascii="黑体" w:hAnsi="宋体" w:eastAsia="黑体" w:cs="黑体"/>
          <w:b/>
          <w:color w:val="auto"/>
          <w:sz w:val="44"/>
          <w:szCs w:val="44"/>
          <w:highlight w:val="none"/>
        </w:rPr>
        <w:t xml:space="preserve">   </w:t>
      </w:r>
      <w:r>
        <w:rPr>
          <w:rFonts w:hint="eastAsia" w:ascii="黑体" w:hAnsi="宋体" w:eastAsia="黑体" w:cs="黑体"/>
          <w:b/>
          <w:color w:val="auto"/>
          <w:sz w:val="44"/>
          <w:szCs w:val="44"/>
          <w:highlight w:val="none"/>
        </w:rPr>
        <w:t xml:space="preserve">第二章  </w:t>
      </w:r>
      <w:bookmarkEnd w:id="38"/>
      <w:bookmarkStart w:id="39" w:name="_Toc20823274"/>
      <w:bookmarkStart w:id="40" w:name="_Toc16938518"/>
      <w:bookmarkStart w:id="41" w:name="_Toc120614213"/>
      <w:bookmarkStart w:id="42" w:name="_Toc513029202"/>
      <w:r>
        <w:rPr>
          <w:rFonts w:hint="eastAsia" w:ascii="黑体" w:hAnsi="宋体" w:eastAsia="黑体" w:cs="黑体"/>
          <w:b/>
          <w:color w:val="auto"/>
          <w:sz w:val="44"/>
          <w:szCs w:val="44"/>
          <w:highlight w:val="none"/>
        </w:rPr>
        <w:t>投标人须知</w:t>
      </w:r>
      <w:bookmarkEnd w:id="39"/>
      <w:bookmarkEnd w:id="40"/>
      <w:bookmarkEnd w:id="41"/>
      <w:bookmarkEnd w:id="42"/>
    </w:p>
    <w:p w14:paraId="40385E94">
      <w:pPr>
        <w:pStyle w:val="11"/>
        <w:adjustRightInd w:val="0"/>
        <w:snapToGrid w:val="0"/>
        <w:spacing w:beforeAutospacing="0" w:afterAutospacing="0" w:line="500" w:lineRule="exact"/>
        <w:ind w:firstLine="482" w:firstLineChars="200"/>
        <w:jc w:val="both"/>
        <w:rPr>
          <w:rFonts w:cs="宋体" w:asciiTheme="minorEastAsia" w:hAnsiTheme="minorEastAsia"/>
          <w:color w:val="auto"/>
          <w:highlight w:val="none"/>
        </w:rPr>
      </w:pPr>
      <w:bookmarkStart w:id="43" w:name="_Toc120614214"/>
      <w:bookmarkStart w:id="44" w:name="_Toc20823275"/>
      <w:bookmarkStart w:id="45" w:name="_Toc513029203"/>
      <w:bookmarkStart w:id="46" w:name="_Toc16938519"/>
      <w:r>
        <w:rPr>
          <w:rFonts w:hint="eastAsia" w:cs="宋体" w:asciiTheme="minorEastAsia" w:hAnsiTheme="minorEastAsia"/>
          <w:b/>
          <w:color w:val="auto"/>
          <w:highlight w:val="none"/>
        </w:rPr>
        <w:t>一、总则</w:t>
      </w:r>
      <w:bookmarkEnd w:id="43"/>
      <w:bookmarkEnd w:id="44"/>
      <w:bookmarkEnd w:id="45"/>
      <w:bookmarkEnd w:id="46"/>
    </w:p>
    <w:p w14:paraId="3A04F33E">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bookmarkStart w:id="47" w:name="_Toc16938520"/>
      <w:bookmarkStart w:id="48" w:name="_Toc20823276"/>
      <w:bookmarkStart w:id="49" w:name="_Toc458694821"/>
      <w:bookmarkStart w:id="50" w:name="_Toc513029204"/>
      <w:bookmarkStart w:id="51" w:name="_Hlt16619475"/>
      <w:r>
        <w:rPr>
          <w:rFonts w:hint="eastAsia" w:cs="宋体" w:asciiTheme="minorEastAsia" w:hAnsiTheme="minorEastAsia"/>
          <w:color w:val="auto"/>
          <w:highlight w:val="none"/>
        </w:rPr>
        <w:t>1</w:t>
      </w:r>
      <w:bookmarkEnd w:id="47"/>
      <w:r>
        <w:rPr>
          <w:rFonts w:hint="eastAsia" w:cs="宋体" w:asciiTheme="minorEastAsia" w:hAnsiTheme="minorEastAsia"/>
          <w:color w:val="auto"/>
          <w:highlight w:val="none"/>
        </w:rPr>
        <w:t>、招标方式</w:t>
      </w:r>
      <w:bookmarkEnd w:id="48"/>
      <w:bookmarkEnd w:id="49"/>
      <w:bookmarkEnd w:id="50"/>
    </w:p>
    <w:p w14:paraId="470613DD">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1.1本次招标采取公开招标方式，本招标文件仅适用于招标公告中所述项目。</w:t>
      </w:r>
    </w:p>
    <w:p w14:paraId="74677047">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bookmarkStart w:id="52" w:name="_Toc20823277"/>
      <w:bookmarkStart w:id="53" w:name="_Toc513029205"/>
      <w:bookmarkStart w:id="54" w:name="_Toc16938521"/>
      <w:r>
        <w:rPr>
          <w:rFonts w:hint="eastAsia" w:cs="宋体" w:asciiTheme="minorEastAsia" w:hAnsiTheme="minorEastAsia"/>
          <w:color w:val="auto"/>
          <w:highlight w:val="none"/>
        </w:rPr>
        <w:t>2、合格的投标人</w:t>
      </w:r>
      <w:bookmarkEnd w:id="52"/>
      <w:bookmarkEnd w:id="53"/>
      <w:bookmarkEnd w:id="54"/>
    </w:p>
    <w:p w14:paraId="6FB1A4E8">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2.1满足招标公告中供应商的资格要求的规定。</w:t>
      </w:r>
    </w:p>
    <w:p w14:paraId="2450DD6F">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2.2满足本文件实质性要求和条件的规定。</w:t>
      </w:r>
    </w:p>
    <w:p w14:paraId="5315F196">
      <w:pPr>
        <w:adjustRightInd w:val="0"/>
        <w:snapToGrid w:val="0"/>
        <w:spacing w:line="500" w:lineRule="exact"/>
        <w:ind w:firstLine="480" w:firstLineChars="200"/>
        <w:rPr>
          <w:rFonts w:cs="宋体" w:asciiTheme="minorEastAsia" w:hAnsiTheme="minorEastAsia"/>
          <w:color w:val="auto"/>
          <w:sz w:val="24"/>
          <w:highlight w:val="none"/>
        </w:rPr>
      </w:pPr>
      <w:bookmarkStart w:id="55" w:name="_Toc16938522"/>
      <w:bookmarkStart w:id="56" w:name="_Toc513029206"/>
      <w:bookmarkStart w:id="57" w:name="_Toc20823278"/>
      <w:bookmarkStart w:id="58" w:name="_Toc462564067"/>
      <w:bookmarkStart w:id="59" w:name="_Toc20823279"/>
      <w:bookmarkStart w:id="60" w:name="_Toc513029207"/>
      <w:bookmarkStart w:id="61" w:name="_Toc16938523"/>
      <w:r>
        <w:rPr>
          <w:rFonts w:hint="eastAsia" w:cs="宋体" w:asciiTheme="minorEastAsia" w:hAnsiTheme="minorEastAsia"/>
          <w:color w:val="auto"/>
          <w:sz w:val="24"/>
          <w:highlight w:val="none"/>
        </w:rPr>
        <w:t>3、适用法律</w:t>
      </w:r>
      <w:bookmarkEnd w:id="55"/>
      <w:bookmarkEnd w:id="56"/>
      <w:bookmarkEnd w:id="57"/>
      <w:r>
        <w:rPr>
          <w:rFonts w:hint="eastAsia" w:cs="宋体" w:asciiTheme="minorEastAsia" w:hAnsiTheme="minorEastAsia"/>
          <w:color w:val="auto"/>
          <w:sz w:val="24"/>
          <w:highlight w:val="none"/>
        </w:rPr>
        <w:t>和标准</w:t>
      </w:r>
    </w:p>
    <w:p w14:paraId="54EC1E12">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3.1 本次招标及由此产生的合同受中华人民共和国有关的法律法规制约和保护。</w:t>
      </w:r>
    </w:p>
    <w:p w14:paraId="43DE22C2">
      <w:pPr>
        <w:adjustRightInd w:val="0"/>
        <w:snapToGrid w:val="0"/>
        <w:spacing w:line="500" w:lineRule="exact"/>
        <w:ind w:firstLine="480" w:firstLineChars="200"/>
        <w:rPr>
          <w:rFonts w:cs="宋体" w:asciiTheme="minorEastAsia" w:hAnsiTheme="minorEastAsia"/>
          <w:color w:val="auto"/>
          <w:sz w:val="24"/>
          <w:highlight w:val="none"/>
        </w:rPr>
      </w:pPr>
      <w:r>
        <w:rPr>
          <w:rFonts w:hint="eastAsia" w:cs="宋体" w:asciiTheme="minorEastAsia" w:hAnsiTheme="minorEastAsia"/>
          <w:color w:val="auto"/>
          <w:sz w:val="24"/>
          <w:highlight w:val="none"/>
        </w:rPr>
        <w:t>3.2 在本项目政府采购活动过程中，如果所执行的标准有更新的，按照最新标准执行。</w:t>
      </w:r>
    </w:p>
    <w:p w14:paraId="7BD512F4">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4、投标费用</w:t>
      </w:r>
      <w:bookmarkEnd w:id="58"/>
      <w:bookmarkEnd w:id="59"/>
      <w:bookmarkEnd w:id="60"/>
      <w:bookmarkEnd w:id="61"/>
    </w:p>
    <w:p w14:paraId="64083373">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4.1投标人应自行承担所有与参加投标有关的费用，无论投标过程中的做法和结果如何，盐城市招标代理有限公司（以下简称招标代理机构）在任何情况下均无义务和责任承担这些费用。</w:t>
      </w:r>
    </w:p>
    <w:p w14:paraId="445E5448">
      <w:pPr>
        <w:adjustRightInd w:val="0"/>
        <w:snapToGrid w:val="0"/>
        <w:spacing w:line="500" w:lineRule="exact"/>
        <w:ind w:firstLine="480" w:firstLineChars="200"/>
        <w:rPr>
          <w:rFonts w:cs="宋体" w:asciiTheme="minorEastAsia" w:hAnsiTheme="minorEastAsia"/>
          <w:color w:val="auto"/>
          <w:sz w:val="24"/>
          <w:highlight w:val="none"/>
        </w:rPr>
      </w:pPr>
      <w:r>
        <w:rPr>
          <w:rFonts w:hint="eastAsia" w:cs="宋体" w:asciiTheme="minorEastAsia" w:hAnsiTheme="minorEastAsia"/>
          <w:color w:val="auto"/>
          <w:sz w:val="24"/>
          <w:highlight w:val="none"/>
        </w:rPr>
        <w:t>4.2本次招标招标人和“招标代理机构”不收取标书工本费。</w:t>
      </w:r>
    </w:p>
    <w:p w14:paraId="3F24E462">
      <w:pPr>
        <w:spacing w:line="500" w:lineRule="exact"/>
        <w:ind w:firstLine="480" w:firstLineChars="200"/>
        <w:rPr>
          <w:rFonts w:ascii="宋体" w:hAnsi="宋体" w:eastAsia="宋体" w:cs="Times New Roman"/>
          <w:bCs/>
          <w:color w:val="auto"/>
          <w:sz w:val="24"/>
          <w:highlight w:val="none"/>
        </w:rPr>
      </w:pPr>
      <w:r>
        <w:rPr>
          <w:rFonts w:hint="eastAsia" w:cs="宋体" w:asciiTheme="minorEastAsia" w:hAnsiTheme="minorEastAsia"/>
          <w:color w:val="auto"/>
          <w:sz w:val="24"/>
          <w:highlight w:val="none"/>
        </w:rPr>
        <w:t>4.3</w:t>
      </w:r>
      <w:r>
        <w:rPr>
          <w:rFonts w:hint="eastAsia" w:ascii="宋体" w:hAnsi="宋体" w:eastAsia="宋体" w:cs="Times New Roman"/>
          <w:bCs/>
          <w:color w:val="auto"/>
          <w:sz w:val="24"/>
          <w:highlight w:val="none"/>
        </w:rPr>
        <w:t>收费标准：本次招标的代理服务费根据</w:t>
      </w:r>
      <w:r>
        <w:rPr>
          <w:rFonts w:cs="宋体" w:asciiTheme="minorEastAsia" w:hAnsiTheme="minorEastAsia"/>
          <w:color w:val="auto"/>
          <w:sz w:val="24"/>
          <w:highlight w:val="none"/>
        </w:rPr>
        <w:t>苏招协[2022]002号《江苏省招标代理服务收费的指导意见》规定的收费标准</w:t>
      </w:r>
      <w:r>
        <w:rPr>
          <w:rFonts w:hint="eastAsia" w:cs="宋体" w:asciiTheme="minorEastAsia" w:hAnsiTheme="minorEastAsia"/>
          <w:color w:val="auto"/>
          <w:sz w:val="24"/>
          <w:highlight w:val="none"/>
        </w:rPr>
        <w:t>的40%进行计算，计算基数为中标价。该</w:t>
      </w:r>
      <w:r>
        <w:rPr>
          <w:rFonts w:hint="eastAsia" w:ascii="宋体" w:hAnsi="宋体" w:eastAsia="宋体" w:cs="Times New Roman"/>
          <w:bCs/>
          <w:color w:val="auto"/>
          <w:sz w:val="24"/>
          <w:highlight w:val="none"/>
        </w:rPr>
        <w:t>费用由中标人支付，投标人在投标时综合考虑进报价中，不得单列，凡漏项或少计均视为优惠招标人，不另行增加费用。中标后中标单位在领取中标通知书前直接将招标代理服务费向招标代理公司一次性付清。</w:t>
      </w:r>
    </w:p>
    <w:p w14:paraId="0346AD0E">
      <w:pPr>
        <w:adjustRightInd w:val="0"/>
        <w:snapToGrid w:val="0"/>
        <w:spacing w:line="500" w:lineRule="exact"/>
        <w:ind w:firstLine="480" w:firstLineChars="200"/>
        <w:rPr>
          <w:rFonts w:cs="宋体" w:asciiTheme="minorEastAsia" w:hAnsiTheme="minorEastAsia"/>
          <w:color w:val="auto"/>
          <w:sz w:val="24"/>
          <w:highlight w:val="none"/>
        </w:rPr>
      </w:pPr>
      <w:r>
        <w:rPr>
          <w:rFonts w:hint="eastAsia" w:cs="宋体" w:asciiTheme="minorEastAsia" w:hAnsiTheme="minorEastAsia"/>
          <w:color w:val="auto"/>
          <w:sz w:val="24"/>
          <w:highlight w:val="none"/>
        </w:rPr>
        <w:t>5、招标文件的约束力</w:t>
      </w:r>
    </w:p>
    <w:p w14:paraId="1BFA4E59">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5.1投标人一旦参加本项目采购活动，即被认为接受了本招标文件的规定和约束。</w:t>
      </w:r>
    </w:p>
    <w:p w14:paraId="662AEF4E">
      <w:pPr>
        <w:pStyle w:val="11"/>
        <w:adjustRightInd w:val="0"/>
        <w:snapToGrid w:val="0"/>
        <w:spacing w:beforeAutospacing="0" w:afterAutospacing="0" w:line="500" w:lineRule="exact"/>
        <w:ind w:firstLine="482" w:firstLineChars="200"/>
        <w:jc w:val="both"/>
        <w:rPr>
          <w:rFonts w:cs="宋体" w:asciiTheme="minorEastAsia" w:hAnsiTheme="minorEastAsia"/>
          <w:color w:val="auto"/>
          <w:highlight w:val="none"/>
        </w:rPr>
      </w:pPr>
      <w:bookmarkStart w:id="62" w:name="_Toc20823281"/>
      <w:bookmarkStart w:id="63" w:name="_Toc120614215"/>
      <w:bookmarkStart w:id="64" w:name="_Toc16938525"/>
      <w:bookmarkStart w:id="65" w:name="_Toc513029209"/>
      <w:r>
        <w:rPr>
          <w:rFonts w:hint="eastAsia" w:cs="宋体" w:asciiTheme="minorEastAsia" w:hAnsiTheme="minorEastAsia"/>
          <w:b/>
          <w:color w:val="auto"/>
          <w:highlight w:val="none"/>
        </w:rPr>
        <w:t>二、招标文件</w:t>
      </w:r>
      <w:bookmarkEnd w:id="62"/>
      <w:bookmarkEnd w:id="63"/>
      <w:bookmarkEnd w:id="64"/>
      <w:bookmarkEnd w:id="65"/>
    </w:p>
    <w:p w14:paraId="73E036CE">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bookmarkStart w:id="66" w:name="_Toc513029210"/>
      <w:bookmarkStart w:id="67" w:name="_Toc20823282"/>
      <w:bookmarkStart w:id="68" w:name="_Toc16938526"/>
      <w:r>
        <w:rPr>
          <w:rFonts w:hint="eastAsia" w:cs="宋体" w:asciiTheme="minorEastAsia" w:hAnsiTheme="minorEastAsia"/>
          <w:color w:val="auto"/>
          <w:highlight w:val="none"/>
        </w:rPr>
        <w:t>6、招标文件构成</w:t>
      </w:r>
      <w:bookmarkEnd w:id="66"/>
      <w:bookmarkEnd w:id="67"/>
      <w:bookmarkEnd w:id="68"/>
    </w:p>
    <w:p w14:paraId="55AA29F3">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6.1 招标文件由以下部分组成：</w:t>
      </w:r>
    </w:p>
    <w:p w14:paraId="1E465DB3">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（1）招标公告</w:t>
      </w:r>
    </w:p>
    <w:p w14:paraId="5AA2399C">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（2）投标人须知</w:t>
      </w:r>
    </w:p>
    <w:p w14:paraId="668F6081">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（3）合同文本</w:t>
      </w:r>
    </w:p>
    <w:p w14:paraId="7A29708D">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（4）采购需求</w:t>
      </w:r>
    </w:p>
    <w:p w14:paraId="67CF7039">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（5）评标方法与评标标准</w:t>
      </w:r>
    </w:p>
    <w:p w14:paraId="6FDB89E1">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（6）投标文件格式</w:t>
      </w:r>
    </w:p>
    <w:p w14:paraId="11355206">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请仔细检查招标文件是否齐全，如有缺漏请立即与招标代理机构联系解决。</w:t>
      </w:r>
    </w:p>
    <w:p w14:paraId="0A56B17D">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794A8E0F">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bookmarkStart w:id="69" w:name="_Toc16938527"/>
      <w:bookmarkStart w:id="70" w:name="_Toc513029211"/>
      <w:bookmarkStart w:id="71" w:name="_Toc20823283"/>
      <w:bookmarkStart w:id="72" w:name="_Toc462564070"/>
      <w:r>
        <w:rPr>
          <w:rFonts w:hint="eastAsia" w:cs="宋体" w:asciiTheme="minorEastAsia" w:hAnsiTheme="minorEastAsia"/>
          <w:color w:val="auto"/>
          <w:highlight w:val="none"/>
        </w:rPr>
        <w:t>7、招标文件的澄清</w:t>
      </w:r>
      <w:bookmarkEnd w:id="69"/>
      <w:bookmarkEnd w:id="70"/>
      <w:bookmarkEnd w:id="71"/>
      <w:bookmarkEnd w:id="72"/>
    </w:p>
    <w:p w14:paraId="43C10918">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7.1任何要求对招标文件进行澄清的投标人，应在投标截止期</w:t>
      </w:r>
      <w:r>
        <w:rPr>
          <w:rFonts w:hint="eastAsia" w:cs="宋体" w:asciiTheme="minorEastAsia" w:hAnsiTheme="minorEastAsia"/>
          <w:b/>
          <w:color w:val="auto"/>
          <w:highlight w:val="none"/>
        </w:rPr>
        <w:t>十日</w:t>
      </w:r>
      <w:r>
        <w:rPr>
          <w:rFonts w:hint="eastAsia" w:cs="宋体" w:asciiTheme="minorEastAsia" w:hAnsiTheme="minorEastAsia"/>
          <w:color w:val="auto"/>
          <w:highlight w:val="none"/>
        </w:rPr>
        <w:t>前按招标公告中的通讯地址，以书面形式通知招标代理机构。</w:t>
      </w:r>
    </w:p>
    <w:p w14:paraId="58A37F40">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bookmarkStart w:id="73" w:name="_Toc462564071"/>
      <w:bookmarkStart w:id="74" w:name="_Toc20823284"/>
      <w:bookmarkStart w:id="75" w:name="_Toc513029212"/>
      <w:bookmarkStart w:id="76" w:name="_Toc16938528"/>
      <w:r>
        <w:rPr>
          <w:rFonts w:hint="eastAsia" w:cs="宋体" w:asciiTheme="minorEastAsia" w:hAnsiTheme="minorEastAsia"/>
          <w:color w:val="auto"/>
          <w:highlight w:val="none"/>
        </w:rPr>
        <w:t>8、招标文件的修改</w:t>
      </w:r>
      <w:bookmarkEnd w:id="73"/>
      <w:bookmarkEnd w:id="74"/>
      <w:bookmarkEnd w:id="75"/>
      <w:bookmarkEnd w:id="76"/>
    </w:p>
    <w:p w14:paraId="79D63565">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8.1在投标截止时间前，招标代理机构可以对招标文件进行修改。</w:t>
      </w:r>
    </w:p>
    <w:p w14:paraId="42A13EE4">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8.2招标代理机构有权按照法定的要求推迟投标截止日期和开标日期。</w:t>
      </w:r>
    </w:p>
    <w:p w14:paraId="5C8E885E">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8.3招标文件的修改将在中国政府采购网</w:t>
      </w:r>
      <w:r>
        <w:rPr>
          <w:rFonts w:hint="eastAsia" w:cs="宋体" w:asciiTheme="minorEastAsia" w:hAnsiTheme="minorEastAsia"/>
          <w:color w:val="auto"/>
          <w:highlight w:val="none"/>
          <w:shd w:val="clear" w:color="auto" w:fill="FFFFFF"/>
        </w:rPr>
        <w:t>、</w:t>
      </w:r>
      <w:r>
        <w:rPr>
          <w:rFonts w:hint="eastAsia" w:cs="宋体" w:asciiTheme="minorEastAsia" w:hAnsiTheme="minorEastAsia"/>
          <w:color w:val="auto"/>
          <w:highlight w:val="none"/>
        </w:rPr>
        <w:t>江苏政府采购网、盐城市政府采购网公布，补充文件将作为招标文件的组成部分，并对投标人具有约束力。</w:t>
      </w:r>
    </w:p>
    <w:p w14:paraId="7C1DBD21">
      <w:pPr>
        <w:pStyle w:val="11"/>
        <w:adjustRightInd w:val="0"/>
        <w:snapToGrid w:val="0"/>
        <w:spacing w:beforeAutospacing="0" w:afterAutospacing="0" w:line="500" w:lineRule="exact"/>
        <w:ind w:firstLine="482" w:firstLineChars="200"/>
        <w:jc w:val="both"/>
        <w:rPr>
          <w:rFonts w:cs="宋体" w:asciiTheme="minorEastAsia" w:hAnsiTheme="minorEastAsia"/>
          <w:color w:val="auto"/>
          <w:highlight w:val="none"/>
        </w:rPr>
      </w:pPr>
      <w:bookmarkStart w:id="77" w:name="_Toc120614216"/>
      <w:bookmarkStart w:id="78" w:name="_Toc513029213"/>
      <w:bookmarkStart w:id="79" w:name="_Toc16938529"/>
      <w:bookmarkStart w:id="80" w:name="_Toc20823285"/>
      <w:bookmarkStart w:id="81" w:name="_Toc462564072"/>
      <w:r>
        <w:rPr>
          <w:rFonts w:hint="eastAsia" w:cs="宋体" w:asciiTheme="minorEastAsia" w:hAnsiTheme="minorEastAsia"/>
          <w:b/>
          <w:color w:val="auto"/>
          <w:highlight w:val="none"/>
        </w:rPr>
        <w:t>三、投标文件的编制</w:t>
      </w:r>
      <w:bookmarkEnd w:id="77"/>
      <w:bookmarkEnd w:id="78"/>
      <w:bookmarkEnd w:id="79"/>
      <w:bookmarkEnd w:id="80"/>
      <w:bookmarkEnd w:id="81"/>
    </w:p>
    <w:p w14:paraId="7F076F09">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bookmarkStart w:id="82" w:name="_Toc462564073"/>
      <w:bookmarkStart w:id="83" w:name="_Toc20823286"/>
      <w:bookmarkStart w:id="84" w:name="_Toc16938530"/>
      <w:bookmarkStart w:id="85" w:name="_Toc513029214"/>
      <w:r>
        <w:rPr>
          <w:rFonts w:hint="eastAsia" w:cs="宋体" w:asciiTheme="minorEastAsia" w:hAnsiTheme="minorEastAsia"/>
          <w:color w:val="auto"/>
          <w:highlight w:val="none"/>
        </w:rPr>
        <w:t>9、投标文件的语言及度量衡单位</w:t>
      </w:r>
      <w:bookmarkEnd w:id="82"/>
      <w:bookmarkEnd w:id="83"/>
      <w:bookmarkEnd w:id="84"/>
      <w:bookmarkEnd w:id="85"/>
    </w:p>
    <w:p w14:paraId="3FB60791">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9.1投标人提交的投标文件以及投标人与招标代理机构就有关投标的所有来往通知、函件和文件均应使用</w:t>
      </w:r>
      <w:r>
        <w:rPr>
          <w:rFonts w:hint="eastAsia" w:cs="宋体" w:asciiTheme="minorEastAsia" w:hAnsiTheme="minorEastAsia"/>
          <w:b/>
          <w:color w:val="auto"/>
          <w:highlight w:val="none"/>
        </w:rPr>
        <w:t>简体中文</w:t>
      </w:r>
      <w:r>
        <w:rPr>
          <w:rFonts w:hint="eastAsia" w:cs="宋体" w:asciiTheme="minorEastAsia" w:hAnsiTheme="minorEastAsia"/>
          <w:color w:val="auto"/>
          <w:highlight w:val="none"/>
        </w:rPr>
        <w:t>。</w:t>
      </w:r>
    </w:p>
    <w:p w14:paraId="3E2980B6">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9.2除技术性能另有规定外，投标文件所使用的度量衡单位，均须采用国家法定计量单位。</w:t>
      </w:r>
    </w:p>
    <w:p w14:paraId="4ED61339">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bookmarkStart w:id="86" w:name="_Toc20823287"/>
      <w:bookmarkStart w:id="87" w:name="_Toc462564074"/>
      <w:bookmarkStart w:id="88" w:name="_Toc513029215"/>
      <w:bookmarkStart w:id="89" w:name="_Toc16938531"/>
      <w:r>
        <w:rPr>
          <w:rFonts w:hint="eastAsia" w:cs="宋体" w:asciiTheme="minorEastAsia" w:hAnsiTheme="minorEastAsia"/>
          <w:color w:val="auto"/>
          <w:highlight w:val="none"/>
        </w:rPr>
        <w:t>10、投标文件构成</w:t>
      </w:r>
      <w:bookmarkEnd w:id="86"/>
      <w:bookmarkEnd w:id="87"/>
      <w:bookmarkEnd w:id="88"/>
      <w:bookmarkEnd w:id="89"/>
    </w:p>
    <w:p w14:paraId="1B02C940">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10.1投标人编写的投标文件应包括资格证明文件、符合性证明文件、投标分项报价表、技术要求响应及偏离表、商务要求响应及偏离表、其他证明文件、投标函、开标一览表等部分。</w:t>
      </w:r>
    </w:p>
    <w:p w14:paraId="48B2ACA6">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10.2如标书制作工具中格式和内容与</w:t>
      </w:r>
      <w:r>
        <w:rPr>
          <w:rFonts w:hint="eastAsia" w:cs="宋体" w:asciiTheme="minorEastAsia" w:hAnsiTheme="minorEastAsia"/>
          <w:color w:val="auto"/>
          <w:highlight w:val="none"/>
          <w:shd w:val="clear" w:color="auto" w:fill="FFFFFF"/>
        </w:rPr>
        <w:t>“</w:t>
      </w:r>
      <w:r>
        <w:rPr>
          <w:rFonts w:hint="eastAsia" w:cs="宋体" w:asciiTheme="minorEastAsia" w:hAnsiTheme="minorEastAsia"/>
          <w:color w:val="auto"/>
          <w:highlight w:val="none"/>
        </w:rPr>
        <w:t>中国政府采购网”“江苏政府采购网”“盐城市政府采购网”发布的招标文件不一致，请以</w:t>
      </w:r>
      <w:r>
        <w:rPr>
          <w:rFonts w:hint="eastAsia" w:cs="宋体" w:asciiTheme="minorEastAsia" w:hAnsiTheme="minorEastAsia"/>
          <w:color w:val="auto"/>
          <w:highlight w:val="none"/>
          <w:shd w:val="clear" w:color="auto" w:fill="FFFFFF"/>
        </w:rPr>
        <w:t>“</w:t>
      </w:r>
      <w:r>
        <w:rPr>
          <w:rFonts w:hint="eastAsia" w:cs="宋体" w:asciiTheme="minorEastAsia" w:hAnsiTheme="minorEastAsia"/>
          <w:color w:val="auto"/>
          <w:highlight w:val="none"/>
        </w:rPr>
        <w:t>中国政府采购网”“江苏政府采购网”“盐城市政府采购网”发布的招标文件为准。</w:t>
      </w:r>
    </w:p>
    <w:p w14:paraId="0C2FEB7F">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bookmarkStart w:id="90" w:name="_Toc14577354"/>
      <w:bookmarkStart w:id="91" w:name="_Toc49090509"/>
      <w:bookmarkStart w:id="92" w:name="_Toc49090507"/>
      <w:bookmarkStart w:id="93" w:name="_Toc14577357"/>
      <w:bookmarkStart w:id="94" w:name="_Toc513029219"/>
      <w:bookmarkStart w:id="95" w:name="_Toc513029216"/>
      <w:bookmarkStart w:id="96" w:name="_Hlt26668975"/>
      <w:bookmarkStart w:id="97" w:name="_Hlt26670360"/>
      <w:bookmarkStart w:id="98" w:name="_Hlt26954838"/>
      <w:r>
        <w:rPr>
          <w:rFonts w:hint="eastAsia" w:cs="宋体" w:asciiTheme="minorEastAsia" w:hAnsiTheme="minorEastAsia"/>
          <w:color w:val="auto"/>
          <w:highlight w:val="none"/>
        </w:rPr>
        <w:t>11、证明投标人及投标标的符合招标文件规定的文件</w:t>
      </w:r>
      <w:bookmarkEnd w:id="90"/>
      <w:bookmarkEnd w:id="91"/>
      <w:bookmarkEnd w:id="92"/>
      <w:bookmarkEnd w:id="93"/>
      <w:bookmarkEnd w:id="94"/>
      <w:bookmarkEnd w:id="95"/>
    </w:p>
    <w:p w14:paraId="33A0781D">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bookmarkStart w:id="99" w:name="_Toc14577355"/>
      <w:bookmarkStart w:id="100" w:name="_Toc49090508"/>
      <w:r>
        <w:rPr>
          <w:rFonts w:hint="eastAsia" w:cs="宋体" w:asciiTheme="minorEastAsia" w:hAnsiTheme="minorEastAsia"/>
          <w:color w:val="auto"/>
          <w:highlight w:val="none"/>
        </w:rPr>
        <w:t>11.1投标人应按照法律、法规、规章和规范性文件以及招标文件要求提交证明文件，证明其及投标标的符合招标文件规定。</w:t>
      </w:r>
      <w:bookmarkEnd w:id="99"/>
      <w:bookmarkEnd w:id="100"/>
    </w:p>
    <w:p w14:paraId="21572039">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11.2招标文件对证明文件无明确形式要求的，证明文件可以以文字资料、图纸和数据等形式提交。</w:t>
      </w:r>
    </w:p>
    <w:p w14:paraId="24993466">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12、投标分项报价</w:t>
      </w:r>
      <w:bookmarkStart w:id="101" w:name="_Hlt26670373"/>
      <w:r>
        <w:rPr>
          <w:rFonts w:hint="eastAsia" w:cs="宋体" w:asciiTheme="minorEastAsia" w:hAnsiTheme="minorEastAsia"/>
          <w:color w:val="auto"/>
          <w:highlight w:val="none"/>
        </w:rPr>
        <w:t>表</w:t>
      </w:r>
    </w:p>
    <w:p w14:paraId="40B5DFEA">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12.1投</w:t>
      </w:r>
      <w:bookmarkStart w:id="102" w:name="_Hlt26954840"/>
      <w:r>
        <w:rPr>
          <w:rFonts w:hint="eastAsia" w:cs="宋体" w:asciiTheme="minorEastAsia" w:hAnsiTheme="minorEastAsia"/>
          <w:color w:val="auto"/>
          <w:highlight w:val="none"/>
        </w:rPr>
        <w:t>标人应按照招标文件规定格式填报投标分项报价表</w:t>
      </w:r>
      <w:bookmarkStart w:id="103" w:name="_Hlt26670399"/>
      <w:r>
        <w:rPr>
          <w:rFonts w:hint="eastAsia" w:cs="宋体" w:asciiTheme="minorEastAsia" w:hAnsiTheme="minorEastAsia"/>
          <w:color w:val="auto"/>
          <w:highlight w:val="none"/>
        </w:rPr>
        <w:t>。</w:t>
      </w:r>
    </w:p>
    <w:p w14:paraId="1BC632F6">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12.2投标货币。投标文件中的单价和总价无特殊规定的采用人民币报价，以元为单位标注。招标文件中另有规定的按规定执行。</w:t>
      </w:r>
    </w:p>
    <w:p w14:paraId="0EF91211">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bookmarkStart w:id="104" w:name="_Hlt26954731"/>
      <w:bookmarkStart w:id="105" w:name="_Hlt26954842"/>
      <w:bookmarkStart w:id="106" w:name="_Hlt26670482"/>
      <w:bookmarkStart w:id="107" w:name="_Hlt26954848"/>
      <w:bookmarkStart w:id="108" w:name="_Hlt26954846"/>
      <w:bookmarkStart w:id="109" w:name="_Hlt26954844"/>
      <w:bookmarkStart w:id="110" w:name="_Hlt26668983"/>
      <w:bookmarkStart w:id="111" w:name="_Hlt26670425"/>
      <w:bookmarkStart w:id="112" w:name="_Hlt26670403"/>
      <w:bookmarkStart w:id="113" w:name="_Hlt26670486"/>
      <w:r>
        <w:rPr>
          <w:rFonts w:hint="eastAsia" w:cs="宋体" w:asciiTheme="minorEastAsia" w:hAnsiTheme="minorEastAsia"/>
          <w:color w:val="auto"/>
          <w:highlight w:val="none"/>
        </w:rPr>
        <w:t>13、技术要求响应及偏离表、商务要求响应及偏离表</w:t>
      </w:r>
    </w:p>
    <w:p w14:paraId="06A9D383">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13.1投标人需对招标文件中的技术要求与商务要求逐项作出响应或偏离，并说明原因。</w:t>
      </w:r>
    </w:p>
    <w:p w14:paraId="06BD4DAD">
      <w:pPr>
        <w:pStyle w:val="11"/>
        <w:tabs>
          <w:tab w:val="left" w:pos="1036"/>
        </w:tabs>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13.2投标人可在投标文件中提供认为需要的其他技术文件或说明。</w:t>
      </w:r>
    </w:p>
    <w:p w14:paraId="7D2DE091">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bookmarkStart w:id="114" w:name="_Toc49090510"/>
      <w:bookmarkStart w:id="115" w:name="_Toc14577359"/>
      <w:r>
        <w:rPr>
          <w:rFonts w:hint="eastAsia" w:cs="宋体" w:asciiTheme="minorEastAsia" w:hAnsiTheme="minorEastAsia"/>
          <w:color w:val="auto"/>
          <w:highlight w:val="none"/>
        </w:rPr>
        <w:t>14、投标函和开标一览表</w:t>
      </w:r>
      <w:bookmarkEnd w:id="114"/>
      <w:bookmarkEnd w:id="115"/>
    </w:p>
    <w:p w14:paraId="00E8508D">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14.1投标人应按照招标文件中提供的格式完整、正确填写投标函、开标一览表。</w:t>
      </w:r>
    </w:p>
    <w:p w14:paraId="00F94E57">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14.2对于采用货币报价的项目，开标一览表中的投标总报价应与投标分项报价表中的投标总报价一致，如不一致，不作为无效投标处理，但评标时按开标一览表中价格为准</w:t>
      </w:r>
      <w:r>
        <w:rPr>
          <w:rFonts w:hint="eastAsia" w:cs="宋体" w:asciiTheme="minorEastAsia" w:hAnsiTheme="minorEastAsia"/>
          <w:b/>
          <w:color w:val="auto"/>
          <w:highlight w:val="none"/>
        </w:rPr>
        <w:t>。</w:t>
      </w:r>
    </w:p>
    <w:p w14:paraId="30910F8E">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bookmarkStart w:id="116" w:name="_Toc14577360"/>
      <w:bookmarkStart w:id="117" w:name="_Toc49090511"/>
      <w:bookmarkStart w:id="118" w:name="_Hlt26954850"/>
      <w:bookmarkStart w:id="119" w:name="_Hlt26954734"/>
      <w:bookmarkStart w:id="120" w:name="_Hlt26670489"/>
      <w:r>
        <w:rPr>
          <w:rFonts w:hint="eastAsia" w:cs="宋体" w:asciiTheme="minorEastAsia" w:hAnsiTheme="minorEastAsia"/>
          <w:color w:val="auto"/>
          <w:highlight w:val="none"/>
        </w:rPr>
        <w:t>15、投标有效期</w:t>
      </w:r>
      <w:bookmarkEnd w:id="116"/>
      <w:bookmarkEnd w:id="117"/>
    </w:p>
    <w:p w14:paraId="2A279B14">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15.1投标有效期为招标代理机构规定的开标之日后</w:t>
      </w:r>
      <w:r>
        <w:rPr>
          <w:rFonts w:hint="eastAsia" w:cs="宋体" w:asciiTheme="minorEastAsia" w:hAnsiTheme="minorEastAsia"/>
          <w:b/>
          <w:color w:val="auto"/>
          <w:highlight w:val="none"/>
          <w:u w:val="single"/>
        </w:rPr>
        <w:t>九十（90）天</w:t>
      </w:r>
      <w:r>
        <w:rPr>
          <w:rFonts w:hint="eastAsia" w:cs="宋体" w:asciiTheme="minorEastAsia" w:hAnsiTheme="minorEastAsia"/>
          <w:color w:val="auto"/>
          <w:highlight w:val="none"/>
        </w:rPr>
        <w:t>。投标有效期比规定短的将被视为未实质性响应招标文件而予以拒绝。</w:t>
      </w:r>
    </w:p>
    <w:p w14:paraId="0CD0DFE9">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16、投标有效期的延长</w:t>
      </w:r>
    </w:p>
    <w:p w14:paraId="387B472F">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16.1在特殊情况下，招标代理机构于原投标有效期满之前，可向投标人提出延长投标有效期的要求。这种要求与答复均应采用书面形式。投标人可以拒绝招标代理机构的这一要求而放弃投标。同意延长投标有效期的投标人既不能要求也不允许修改其投标文件，同时受投标有效期约束的所有权利与义务均延长至新的有效期。</w:t>
      </w:r>
    </w:p>
    <w:p w14:paraId="1B865D18">
      <w:pPr>
        <w:pStyle w:val="11"/>
        <w:adjustRightInd w:val="0"/>
        <w:snapToGrid w:val="0"/>
        <w:spacing w:beforeAutospacing="0" w:afterAutospacing="0" w:line="500" w:lineRule="exact"/>
        <w:ind w:firstLine="482" w:firstLineChars="200"/>
        <w:jc w:val="both"/>
        <w:rPr>
          <w:rFonts w:cs="宋体" w:asciiTheme="minorEastAsia" w:hAnsiTheme="minorEastAsia"/>
          <w:color w:val="auto"/>
          <w:highlight w:val="none"/>
        </w:rPr>
      </w:pPr>
      <w:bookmarkStart w:id="121" w:name="_Toc20823296"/>
      <w:bookmarkStart w:id="122" w:name="_Toc16938540"/>
      <w:bookmarkStart w:id="123" w:name="_Toc513029224"/>
      <w:bookmarkStart w:id="124" w:name="_Toc120614217"/>
      <w:bookmarkStart w:id="125" w:name="_Hlt26954739"/>
      <w:bookmarkStart w:id="126" w:name="_Hlt26954852"/>
      <w:r>
        <w:rPr>
          <w:rFonts w:hint="eastAsia" w:cs="宋体" w:asciiTheme="minorEastAsia" w:hAnsiTheme="minorEastAsia"/>
          <w:b/>
          <w:color w:val="auto"/>
          <w:highlight w:val="none"/>
        </w:rPr>
        <w:t>四、投标文件的递交</w:t>
      </w:r>
      <w:bookmarkEnd w:id="121"/>
      <w:bookmarkEnd w:id="122"/>
      <w:bookmarkEnd w:id="123"/>
      <w:bookmarkEnd w:id="124"/>
    </w:p>
    <w:p w14:paraId="40E37C06">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bookmarkStart w:id="127" w:name="_Toc513029225"/>
      <w:bookmarkStart w:id="128" w:name="_Toc20823297"/>
      <w:bookmarkStart w:id="129" w:name="_Toc16938541"/>
      <w:bookmarkStart w:id="130" w:name="_Toc462564084"/>
      <w:r>
        <w:rPr>
          <w:rFonts w:hint="eastAsia" w:cs="宋体" w:asciiTheme="minorEastAsia" w:hAnsiTheme="minorEastAsia"/>
          <w:color w:val="auto"/>
          <w:highlight w:val="none"/>
        </w:rPr>
        <w:t>17、投标文件</w:t>
      </w:r>
      <w:bookmarkEnd w:id="127"/>
      <w:bookmarkEnd w:id="128"/>
      <w:bookmarkEnd w:id="129"/>
      <w:bookmarkEnd w:id="130"/>
      <w:r>
        <w:rPr>
          <w:rFonts w:hint="eastAsia" w:cs="宋体" w:asciiTheme="minorEastAsia" w:hAnsiTheme="minorEastAsia"/>
          <w:color w:val="auto"/>
          <w:highlight w:val="none"/>
        </w:rPr>
        <w:t>的递交</w:t>
      </w:r>
    </w:p>
    <w:p w14:paraId="0A87C38B">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17.1 电子投标文件的递交</w:t>
      </w:r>
    </w:p>
    <w:p w14:paraId="71E0262F">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投标人应当按照《操作手册》规定，在投标截止时间前制作并上传电子投标文件。</w:t>
      </w:r>
      <w:bookmarkStart w:id="131" w:name="_Toc20823298"/>
      <w:bookmarkEnd w:id="131"/>
      <w:bookmarkStart w:id="132" w:name="_Toc16938542"/>
      <w:bookmarkEnd w:id="132"/>
      <w:bookmarkStart w:id="133" w:name="_Toc513029226"/>
    </w:p>
    <w:p w14:paraId="6ED22AF0">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18、投标截止时间</w:t>
      </w:r>
    </w:p>
    <w:p w14:paraId="292A8A7D">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i/>
          <w:color w:val="auto"/>
          <w:highlight w:val="none"/>
          <w:u w:val="single"/>
        </w:rPr>
        <w:t>18.1投标人上传电子投标文件的时间不得迟于招标公告中规定的投标截止时间。</w:t>
      </w:r>
    </w:p>
    <w:p w14:paraId="0BAEC2F3">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投标人应充分考虑到网络环境、网络带宽等风险因素，如因投标人自身原因造成的电子投标文件上传不成功的按照本招标文件第二章第26.1.2条 规定做无效投标处理。</w:t>
      </w:r>
    </w:p>
    <w:p w14:paraId="17126861">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18.2招标代理机构可以按照规定，通过修改招标文件酌情延长投标截止时间，在此情况下，投标人的所有权利和义务以及投标人受制的截止时间均应以延长后新的截止时间为准。</w:t>
      </w:r>
    </w:p>
    <w:p w14:paraId="404A6E9D">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bookmarkStart w:id="134" w:name="_Toc513029227"/>
      <w:bookmarkStart w:id="135" w:name="_Toc16938543"/>
      <w:bookmarkStart w:id="136" w:name="_Toc20823299"/>
      <w:r>
        <w:rPr>
          <w:rFonts w:hint="eastAsia" w:cs="宋体" w:asciiTheme="minorEastAsia" w:hAnsiTheme="minorEastAsia"/>
          <w:color w:val="auto"/>
          <w:highlight w:val="none"/>
        </w:rPr>
        <w:t>19、投标文件</w:t>
      </w:r>
      <w:bookmarkEnd w:id="134"/>
      <w:bookmarkEnd w:id="135"/>
      <w:bookmarkEnd w:id="136"/>
      <w:r>
        <w:rPr>
          <w:rFonts w:hint="eastAsia" w:cs="宋体" w:asciiTheme="minorEastAsia" w:hAnsiTheme="minorEastAsia"/>
          <w:color w:val="auto"/>
          <w:highlight w:val="none"/>
        </w:rPr>
        <w:t>的拒收</w:t>
      </w:r>
    </w:p>
    <w:p w14:paraId="63D21B2A">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19.1招标代理机构拒绝接收在其规定的投标截止时间后上传的任何投标文件。</w:t>
      </w:r>
    </w:p>
    <w:p w14:paraId="4E0D7E54">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bookmarkStart w:id="137" w:name="_Toc20823300"/>
      <w:bookmarkStart w:id="138" w:name="_Toc16938544"/>
      <w:bookmarkStart w:id="139" w:name="_Toc513029228"/>
      <w:r>
        <w:rPr>
          <w:rFonts w:hint="eastAsia" w:cs="宋体" w:asciiTheme="minorEastAsia" w:hAnsiTheme="minorEastAsia"/>
          <w:color w:val="auto"/>
          <w:highlight w:val="none"/>
        </w:rPr>
        <w:t>20、投标文件的撤回和修改</w:t>
      </w:r>
      <w:bookmarkEnd w:id="137"/>
      <w:bookmarkEnd w:id="138"/>
      <w:bookmarkEnd w:id="139"/>
    </w:p>
    <w:p w14:paraId="4F463ED8">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20.1投标文件的撤回</w:t>
      </w:r>
    </w:p>
    <w:p w14:paraId="49C2A896">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20.1.1电子投标文件的撤回</w:t>
      </w:r>
    </w:p>
    <w:p w14:paraId="1658C8B6">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投标人可在投标截止时间前，撤回其电子投标文件，具体操作方法见《操作手册》。</w:t>
      </w:r>
    </w:p>
    <w:p w14:paraId="77884E0D">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20.1.2投标人撤回电子投标文件，则认为其不再参与本项目投标活动。</w:t>
      </w:r>
    </w:p>
    <w:p w14:paraId="1D69DA28">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20.2 投标文件的修改</w:t>
      </w:r>
    </w:p>
    <w:p w14:paraId="763DAFE0">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20.2.1投标人可在投标截止时间前，对其电子投标文件进行修改，具体操作方法见《操作手册》。</w:t>
      </w:r>
    </w:p>
    <w:p w14:paraId="503BB0D7">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20.2.2在投标截止时间之后，投标人不得对其电子投标文件作任何修改。</w:t>
      </w:r>
    </w:p>
    <w:p w14:paraId="688B48B3">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20.3在投标截止时间至招标文件中规定的投标有效期满之间的这段时间内，投标人不得撤回其投标。</w:t>
      </w:r>
    </w:p>
    <w:p w14:paraId="5B95EB6C">
      <w:pPr>
        <w:pStyle w:val="11"/>
        <w:adjustRightInd w:val="0"/>
        <w:snapToGrid w:val="0"/>
        <w:spacing w:beforeAutospacing="0" w:afterAutospacing="0" w:line="500" w:lineRule="exact"/>
        <w:ind w:firstLine="482" w:firstLineChars="200"/>
        <w:jc w:val="both"/>
        <w:rPr>
          <w:rFonts w:cs="宋体" w:asciiTheme="minorEastAsia" w:hAnsiTheme="minorEastAsia"/>
          <w:color w:val="auto"/>
          <w:highlight w:val="none"/>
        </w:rPr>
      </w:pPr>
      <w:bookmarkStart w:id="140" w:name="_Toc20823301"/>
      <w:bookmarkStart w:id="141" w:name="_Toc16938545"/>
      <w:bookmarkStart w:id="142" w:name="_Toc513029229"/>
      <w:bookmarkStart w:id="143" w:name="_Toc120614218"/>
      <w:r>
        <w:rPr>
          <w:rFonts w:hint="eastAsia" w:cs="宋体" w:asciiTheme="minorEastAsia" w:hAnsiTheme="minorEastAsia"/>
          <w:b/>
          <w:color w:val="auto"/>
          <w:highlight w:val="none"/>
        </w:rPr>
        <w:t>五、开标与评标</w:t>
      </w:r>
      <w:bookmarkEnd w:id="140"/>
      <w:bookmarkEnd w:id="141"/>
      <w:bookmarkEnd w:id="142"/>
      <w:bookmarkEnd w:id="143"/>
    </w:p>
    <w:p w14:paraId="23E36D8D">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bookmarkStart w:id="144" w:name="_Toc20823302"/>
      <w:bookmarkStart w:id="145" w:name="_Toc513029230"/>
      <w:bookmarkStart w:id="146" w:name="_Toc16938546"/>
      <w:r>
        <w:rPr>
          <w:rFonts w:hint="eastAsia" w:cs="宋体" w:asciiTheme="minorEastAsia" w:hAnsiTheme="minorEastAsia"/>
          <w:color w:val="auto"/>
          <w:highlight w:val="none"/>
        </w:rPr>
        <w:t>21、开标</w:t>
      </w:r>
      <w:bookmarkEnd w:id="144"/>
      <w:bookmarkEnd w:id="145"/>
      <w:bookmarkEnd w:id="146"/>
    </w:p>
    <w:p w14:paraId="1AEB6941">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21.1招标代理机构将在招标公告中规定的时间和地点组织公开开标。投标人应当按照《操作手册》规定，参加开标活动和在苏采云系统规定的时间内对投标文件进行解密。</w:t>
      </w:r>
    </w:p>
    <w:p w14:paraId="34DAF6C0">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21.2开标仪式由招标代理机构组织。苏采云系统将自动对项目进行开标，并宣布各投标人名称和投标价格。</w:t>
      </w:r>
    </w:p>
    <w:p w14:paraId="7747B148">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21.3投标人在开标过程中涉及到的投标文件解密、开标结果确认等工作，应按照《操作手册》规定执行。</w:t>
      </w:r>
    </w:p>
    <w:p w14:paraId="1763272B">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21.4投标人如果对开标过程和开标记录有疑义，应当根据《操作手册》规定提出，如苏采云系统中《开标记录表》宣布后5分钟内未提出的，视同认可开标结果。</w:t>
      </w:r>
    </w:p>
    <w:p w14:paraId="4166F436">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bookmarkStart w:id="147" w:name="_Toc513029231"/>
      <w:bookmarkStart w:id="148" w:name="_Toc20823303"/>
      <w:bookmarkStart w:id="149" w:name="_Toc16938547"/>
      <w:r>
        <w:rPr>
          <w:rFonts w:hint="eastAsia" w:cs="宋体" w:asciiTheme="minorEastAsia" w:hAnsiTheme="minorEastAsia"/>
          <w:color w:val="auto"/>
          <w:highlight w:val="none"/>
        </w:rPr>
        <w:t>22、评标委员会</w:t>
      </w:r>
      <w:bookmarkEnd w:id="147"/>
      <w:bookmarkEnd w:id="148"/>
      <w:bookmarkEnd w:id="149"/>
    </w:p>
    <w:p w14:paraId="4422FB4B">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22.1开标后，招标代理机构将立即组织评标委员会（以下简称评委会）进行评标。</w:t>
      </w:r>
    </w:p>
    <w:p w14:paraId="6AD1C704">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22.2评委会由采购人代表和有关技术、经济等方面的专家组成，且人员构成符合政府采购有关规定。</w:t>
      </w:r>
    </w:p>
    <w:p w14:paraId="23FB9ACA">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22.3评委会独立工作，负责评审所有投标文件并确定中标候选人。</w:t>
      </w:r>
    </w:p>
    <w:p w14:paraId="18985F8F">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23、评标过程的保密与公正</w:t>
      </w:r>
    </w:p>
    <w:p w14:paraId="61065AC4">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23.1凡是与审查、澄清、评价和比较投标的有关资料以及授标建议等，采购人、评委、招标代理机构均不得向投标人或与评标无关的其他人员透露。</w:t>
      </w:r>
    </w:p>
    <w:p w14:paraId="37F63592">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23.2在评标过程中，投标人不得以任何行为影响评标过程，否则其投标文件将被作为无效投标文件。</w:t>
      </w:r>
    </w:p>
    <w:p w14:paraId="2250C32F">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23.3招标代理机构和评标委员会不向未中标的投标人解释未中标原因，也不公布评标过程中的相关细节。</w:t>
      </w:r>
    </w:p>
    <w:p w14:paraId="1CA3DF66">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23.4采用综合评分法的项目，未中标的投标人可于中标结果公告期限届满之日起通过苏采云系统查看自己的评审得分及排序情况。</w:t>
      </w:r>
    </w:p>
    <w:p w14:paraId="063ACDAB">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bookmarkStart w:id="150" w:name="_Toc20823304"/>
      <w:bookmarkStart w:id="151" w:name="_Toc16938548"/>
      <w:bookmarkStart w:id="152" w:name="_Toc513029232"/>
      <w:r>
        <w:rPr>
          <w:rFonts w:hint="eastAsia" w:cs="宋体" w:asciiTheme="minorEastAsia" w:hAnsiTheme="minorEastAsia"/>
          <w:color w:val="auto"/>
          <w:highlight w:val="none"/>
        </w:rPr>
        <w:t>24、投标文件的澄清</w:t>
      </w:r>
      <w:bookmarkEnd w:id="150"/>
      <w:bookmarkEnd w:id="151"/>
      <w:bookmarkEnd w:id="152"/>
    </w:p>
    <w:p w14:paraId="06B77956">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24.1评标期间，评委会对投标文件中含义不明确、同类问题表述不一致或者有明显文字和计算错误的内容 ，有权要求投标人作出必要的澄清、说明或者补正。投标人的澄清、说明或者补正不得超出投标文件的范围或者改变投标文件的实质性内容。</w:t>
      </w:r>
    </w:p>
    <w:p w14:paraId="5DB340F1">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评标委员会并非对每个投标人都做澄清要求。</w:t>
      </w:r>
    </w:p>
    <w:p w14:paraId="7F7C2429">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689B7CFE">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24.3接到评委会澄清、说明和补正要求的投标人如未按规定作出澄清、说明和补正，其风险由投标人自行承担。</w:t>
      </w:r>
    </w:p>
    <w:p w14:paraId="6D176F31">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bookmarkStart w:id="153" w:name="_Toc513029233"/>
      <w:bookmarkStart w:id="154" w:name="_Toc20823305"/>
      <w:bookmarkStart w:id="155" w:name="_Toc16938549"/>
      <w:r>
        <w:rPr>
          <w:rFonts w:hint="eastAsia" w:cs="宋体" w:asciiTheme="minorEastAsia" w:hAnsiTheme="minorEastAsia"/>
          <w:color w:val="auto"/>
          <w:highlight w:val="none"/>
        </w:rPr>
        <w:t>25、对投标文件的初审</w:t>
      </w:r>
      <w:bookmarkEnd w:id="153"/>
      <w:bookmarkEnd w:id="154"/>
      <w:bookmarkEnd w:id="155"/>
    </w:p>
    <w:p w14:paraId="5326F448">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25.1投标文件初审分为资格审查和符合性审查。</w:t>
      </w:r>
    </w:p>
    <w:p w14:paraId="4A03E769">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25.1.1资格审查：依据法律法规和招标文件的规定，由采购人对投标文件中的资格证明文件进行审查。资格审查的结论，采购人以书面形式向评委会进行反馈。</w:t>
      </w:r>
    </w:p>
    <w:p w14:paraId="0423580F">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采购人在进行资格性审查的同时，将在“信用中国”网站（www.creditchina.gov.cn）查询投标人的信用记录，以确定投标人是否具备投标资格,查询结果留存并归档。</w:t>
      </w:r>
    </w:p>
    <w:p w14:paraId="75AA5D95">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接受联合体的项目，两个以上的自然人、法人或者其他组织组成一个联合体，以一个供应商的身份共同参加政府采购活动的,联合体成员存在不良信用记录的，视同联合体存在不良应用记录。</w:t>
      </w:r>
    </w:p>
    <w:p w14:paraId="25116642">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25.1.2符合性审查：依据招标文件的规定，由评委会从投标文件的有效性、完整性和对招标文件的响应程度进行审查，以确定是否对招标文件的实质性要求作出响应。</w:t>
      </w:r>
    </w:p>
    <w:p w14:paraId="76DB58E8">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25.1.3未通过资格审查或符合性审查的投标人，招标代理机构将在苏采云系统中告知未通过资格审查或符合性审查的原因，评标结束后，招标代理机构将不再告知未通过资格审查和符合性审查的原因。</w:t>
      </w:r>
    </w:p>
    <w:p w14:paraId="1AE6D708">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25.2在详细评标之前，评委会将首先审查每份投标文件是否实质性响应了招标文件的要求。实质性响应的投标应该是与招标文件要求的全部条款、条件和规格相符，没有重大偏离或保留的投标。</w:t>
      </w:r>
    </w:p>
    <w:p w14:paraId="5DFECB0D">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所谓重大偏离或保留是指与招标文件规定的实质性要求存在负偏离，或者在实质上与招标文件不一致，而且限制了合同中买方和招标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26EE654E">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25.3如果投标文件实质上没有响应招标文件的要求，评委会将予以拒绝，投标人不得通过修改或撤销不合要求的偏离或保留而使其投标成为实质性响应的投标。</w:t>
      </w:r>
    </w:p>
    <w:p w14:paraId="12DCE5B5">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25.4评委会将对确定为实质性响应的投标进行进一步审核，确定其是否有计算上或累加上的算术错误，修正错误的原则如下：</w:t>
      </w:r>
    </w:p>
    <w:p w14:paraId="2B0839E3">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（1）投标文件中开标一览表内容与投标文件中相应内容不一致的，以开标一览表为准。</w:t>
      </w:r>
    </w:p>
    <w:p w14:paraId="01A2A5CB">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（2）大写金额和小写金额不一致的，以大写金额为准。</w:t>
      </w:r>
    </w:p>
    <w:p w14:paraId="7E5BE9CB">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（3）单价金额小数点或者百分比有明显错位的，以开标一览表的总价为准，并修改单价。</w:t>
      </w:r>
    </w:p>
    <w:p w14:paraId="64AC7187">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（4）总价金额与按单价汇总金额不一致的，以单价金额计算结果为准。</w:t>
      </w:r>
    </w:p>
    <w:p w14:paraId="0454D400">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同时出现两种以上错误的，按照前款规定的顺序修正。</w:t>
      </w:r>
    </w:p>
    <w:p w14:paraId="092F5EB9">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25.5评委会将按上述修正错误的方法调整投标文件中的投标报价，并通过苏采云系统告知投标人，调整后的价格应对投标人具有约束力。如果投标人不接受修正后的价格，则其投标将被拒绝。</w:t>
      </w:r>
    </w:p>
    <w:p w14:paraId="23B98E49">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bookmarkStart w:id="156" w:name="_Toc20823306"/>
      <w:bookmarkStart w:id="157" w:name="_Toc16938550"/>
      <w:bookmarkStart w:id="158" w:name="_Toc513029234"/>
      <w:r>
        <w:rPr>
          <w:rFonts w:hint="eastAsia" w:cs="宋体" w:asciiTheme="minorEastAsia" w:hAnsiTheme="minorEastAsia"/>
          <w:color w:val="auto"/>
          <w:highlight w:val="none"/>
        </w:rPr>
        <w:t>25.6投标人在开、评标全过程中应保持通信畅通，及时登录苏采云系统查阅、答复相关信息，并安排专人与招标代理机构及评标委员会联系。</w:t>
      </w:r>
      <w:bookmarkEnd w:id="156"/>
      <w:bookmarkEnd w:id="157"/>
      <w:bookmarkEnd w:id="158"/>
    </w:p>
    <w:p w14:paraId="5BA94E7E">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26、无效投标条款和废标条款</w:t>
      </w:r>
    </w:p>
    <w:p w14:paraId="7020E4D5">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bookmarkStart w:id="159" w:name="_Toc16938551"/>
      <w:bookmarkStart w:id="160" w:name="_Toc20823307"/>
      <w:bookmarkStart w:id="161" w:name="_Toc513029235"/>
      <w:r>
        <w:rPr>
          <w:rFonts w:hint="eastAsia" w:cs="宋体" w:asciiTheme="minorEastAsia" w:hAnsiTheme="minorEastAsia"/>
          <w:color w:val="auto"/>
          <w:highlight w:val="none"/>
        </w:rPr>
        <w:t>26.1无效投标条款</w:t>
      </w:r>
      <w:bookmarkEnd w:id="159"/>
      <w:bookmarkEnd w:id="160"/>
      <w:bookmarkEnd w:id="161"/>
    </w:p>
    <w:p w14:paraId="7A8DAAA9">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26.1.1投标人在苏采云系统规定的时间内未成功解密电子投标文件的。</w:t>
      </w:r>
    </w:p>
    <w:p w14:paraId="78886009">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26.1.2投标人未按照招标文件要求上传电子投标文件的。</w:t>
      </w:r>
    </w:p>
    <w:p w14:paraId="02F54685">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26.1.3同一投标人提交两个（含两个）以上不同的投标报价的。</w:t>
      </w:r>
    </w:p>
    <w:p w14:paraId="6FE902B0">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26.1.4投标人不具备招标文件中规定资格要求的。</w:t>
      </w:r>
    </w:p>
    <w:p w14:paraId="32530F18">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26.1.5投标人的报价超过了采购预算或最高限价的。</w:t>
      </w:r>
    </w:p>
    <w:p w14:paraId="0FFEB093">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26.1.6未通过符合性审查的。</w:t>
      </w:r>
    </w:p>
    <w:p w14:paraId="618614C4">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26.1.7不符合招标文件中规定的实质性要求和条件的（</w:t>
      </w:r>
      <w:r>
        <w:rPr>
          <w:rFonts w:hint="eastAsia" w:cs="宋体" w:asciiTheme="minorEastAsia" w:hAnsiTheme="minorEastAsia"/>
          <w:i/>
          <w:color w:val="auto"/>
          <w:highlight w:val="none"/>
          <w:u w:val="single"/>
        </w:rPr>
        <w:t>本招标文件中斜体且有下划线部分为实质性要求和条件）。</w:t>
      </w:r>
    </w:p>
    <w:p w14:paraId="3B6CC883">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58CAED16">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26.1.9投标文件含有采购人不能接受的附加条件的。</w:t>
      </w:r>
    </w:p>
    <w:p w14:paraId="31733D8A">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26.1.10投标人不能证明其报价合理性的，评标委员会应当将其作为无效投标处理。</w:t>
      </w:r>
    </w:p>
    <w:p w14:paraId="168606CF">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（一）评审过程中出现下列情形之一的，评标委员会应当启动异常低价投标审查程序：</w:t>
      </w:r>
    </w:p>
    <w:p w14:paraId="70D73A0E">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1.投标（响应）报价低于全部通过符合性审查供应商投标（响应）报价平均值50%的，即投标（响应）报价&lt;全部通过符合性审查供应商投标（响应）报价平均值×50%；</w:t>
      </w:r>
    </w:p>
    <w:p w14:paraId="0C3A6677">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2.投标（响应）报价低于通过符合性审查的次低报价供应商投标（响应）报价50%的，即投标（响应）报价&lt;通过符合性审查的次低报价供应商投标（响应）报价×50%；</w:t>
      </w:r>
    </w:p>
    <w:p w14:paraId="48B8E50A">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3.投标（响应）报价低于采购项目最高限价45%的，即投标（响应）报价&lt;采购项目最高限价×45%；</w:t>
      </w:r>
    </w:p>
    <w:p w14:paraId="506EAD50">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4.评审委员会基于专业判断，认为供应商报价过低，有可能影响产品质量或者不能诚信履约的其他情形。</w:t>
      </w:r>
    </w:p>
    <w:p w14:paraId="599B06EF">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提醒：采购人可以结合具体项目实际情况，提高上述第1项至第3项中启动异常低价投标（响应）审查的数值标准，但是最高不得超过65%。</w:t>
      </w:r>
    </w:p>
    <w:p w14:paraId="6148CC77">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相关法律法规对供应商报价有规定的，从其规定。</w:t>
      </w:r>
    </w:p>
    <w:p w14:paraId="19812905">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14B18409">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7434CBCA">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664C6843">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异常低价投标（响应）审查的启动原因、审查意见和审查结果应当在评审报告中记录，并随供应商提供的相关书面说明及证明材料，以及评审委员会有关互联网浏览、查询历史一并归档。</w:t>
      </w:r>
    </w:p>
    <w:p w14:paraId="50E58FE1">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26.1.11投标文件未按照招标文件要求加盖CA电子公章的。</w:t>
      </w:r>
    </w:p>
    <w:p w14:paraId="5FCE2A27">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26.1.12其他法律、法规及本招标文件规定的属无效投标的情形。</w:t>
      </w:r>
    </w:p>
    <w:p w14:paraId="25D0A696">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26.2废标条款</w:t>
      </w:r>
    </w:p>
    <w:p w14:paraId="7D0794BB">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26.2.1符合专业条件的供应商或者对招标文件作实质响应的供应商不足三家的。</w:t>
      </w:r>
    </w:p>
    <w:p w14:paraId="1CE6F713">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26.2.2出现影响采购公正的违法、违规行为的。</w:t>
      </w:r>
    </w:p>
    <w:p w14:paraId="3B5F9EE7">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26.2.3因重大变故，采购任务取消的。</w:t>
      </w:r>
    </w:p>
    <w:p w14:paraId="164F61E7">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26.2.4评标委员会认定招标文件存在歧义、重大缺陷导致评审工作无法进行。</w:t>
      </w:r>
    </w:p>
    <w:p w14:paraId="0DCE4FF4">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26.2.5因苏采云系统故障原因造成开标不成功的。</w:t>
      </w:r>
    </w:p>
    <w:p w14:paraId="29E13B6E">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26.3 投标截止时间结束后参加投标的供应商不足三家的处理：</w:t>
      </w:r>
    </w:p>
    <w:p w14:paraId="1DE3F0BF">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26.3.1如出现投标截止时间结束后参加投标的供应商或者在评标期间对招标文件做出实质响应的供应商不足三家情况，按政府采购相关规定执行。</w:t>
      </w:r>
    </w:p>
    <w:p w14:paraId="214E67CA">
      <w:pPr>
        <w:pStyle w:val="11"/>
        <w:adjustRightInd w:val="0"/>
        <w:snapToGrid w:val="0"/>
        <w:spacing w:beforeAutospacing="0" w:afterAutospacing="0" w:line="500" w:lineRule="exact"/>
        <w:ind w:firstLine="482" w:firstLineChars="200"/>
        <w:jc w:val="both"/>
        <w:rPr>
          <w:rFonts w:cs="宋体" w:asciiTheme="minorEastAsia" w:hAnsiTheme="minorEastAsia"/>
          <w:color w:val="auto"/>
          <w:highlight w:val="none"/>
        </w:rPr>
      </w:pPr>
      <w:bookmarkStart w:id="162" w:name="_Toc120614219"/>
      <w:r>
        <w:rPr>
          <w:rFonts w:hint="eastAsia" w:cs="宋体" w:asciiTheme="minorEastAsia" w:hAnsiTheme="minorEastAsia"/>
          <w:b/>
          <w:color w:val="auto"/>
          <w:highlight w:val="none"/>
        </w:rPr>
        <w:t>六、定标</w:t>
      </w:r>
      <w:bookmarkEnd w:id="162"/>
    </w:p>
    <w:p w14:paraId="1D11D4E0">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bookmarkStart w:id="163" w:name="_Toc20823310"/>
      <w:bookmarkStart w:id="164" w:name="_Toc16938554"/>
      <w:bookmarkStart w:id="165" w:name="_Toc513029238"/>
      <w:r>
        <w:rPr>
          <w:rFonts w:hint="eastAsia" w:cs="宋体" w:asciiTheme="minorEastAsia" w:hAnsiTheme="minorEastAsia"/>
          <w:color w:val="auto"/>
          <w:highlight w:val="none"/>
        </w:rPr>
        <w:t>27、</w:t>
      </w:r>
      <w:bookmarkEnd w:id="163"/>
      <w:r>
        <w:rPr>
          <w:rFonts w:hint="eastAsia" w:cs="宋体" w:asciiTheme="minorEastAsia" w:hAnsiTheme="minorEastAsia"/>
          <w:color w:val="auto"/>
          <w:highlight w:val="none"/>
        </w:rPr>
        <w:t>确定</w:t>
      </w:r>
      <w:bookmarkEnd w:id="164"/>
      <w:bookmarkEnd w:id="165"/>
      <w:r>
        <w:rPr>
          <w:rFonts w:hint="eastAsia" w:cs="宋体" w:asciiTheme="minorEastAsia" w:hAnsiTheme="minorEastAsia"/>
          <w:color w:val="auto"/>
          <w:highlight w:val="none"/>
        </w:rPr>
        <w:t>中标单位</w:t>
      </w:r>
    </w:p>
    <w:p w14:paraId="7E64A77F">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 xml:space="preserve">27.1中标候选人的选取原则和数量见招标文件第五章规定。 </w:t>
      </w:r>
    </w:p>
    <w:p w14:paraId="39D0BD9B">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27.2采购人应根据评委会推荐的中标候选人确定中标人。</w:t>
      </w:r>
    </w:p>
    <w:p w14:paraId="3D42A217">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27.3招标代理机构将在“中国政府采购网”“江苏政府采购网”“盐城市政府采购网”发布中标公告，公告期限为1个工作日。</w:t>
      </w:r>
    </w:p>
    <w:p w14:paraId="43B9FED3">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27.4若有充分证据证明，中标人出现下列情况之一的，一经查实，将被取消中标资格：</w:t>
      </w:r>
    </w:p>
    <w:p w14:paraId="0D04765D">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27.4.1提供虚假材料谋取中标的。</w:t>
      </w:r>
    </w:p>
    <w:p w14:paraId="13BC29BE">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27.4.2向采购人、招标代理机构行贿或者提供其他不正当利益的。</w:t>
      </w:r>
    </w:p>
    <w:p w14:paraId="54BDA80E">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27.4.3属于本文件规定的无效条件，但在评标过程中又未被评委会发现的。</w:t>
      </w:r>
    </w:p>
    <w:p w14:paraId="2929F6C9">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27.4.4与采购人或者其他供应商恶意串通的。</w:t>
      </w:r>
    </w:p>
    <w:p w14:paraId="1BD68C0B">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27.4.5采取不正当手段诋毁、排挤其他供应商的。</w:t>
      </w:r>
    </w:p>
    <w:p w14:paraId="766DACE8">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bookmarkStart w:id="166" w:name="_Toc200451960"/>
      <w:r>
        <w:rPr>
          <w:rFonts w:hint="eastAsia" w:cs="宋体" w:asciiTheme="minorEastAsia" w:hAnsiTheme="minorEastAsia"/>
          <w:color w:val="auto"/>
          <w:highlight w:val="none"/>
        </w:rPr>
        <w:t>27.5 有下列情形之一的，视为投标人串通投标，投标无效：</w:t>
      </w:r>
      <w:bookmarkEnd w:id="166"/>
    </w:p>
    <w:p w14:paraId="4388BB30">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27.5.1不同投标人的投标文件由同一单位或者个人编制。</w:t>
      </w:r>
    </w:p>
    <w:p w14:paraId="4B3108D0">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27.5.2不同投标人委托同一单位或者个人办理投标事宜。</w:t>
      </w:r>
    </w:p>
    <w:p w14:paraId="3CC50602">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27.5.3不同投标人的投标文件载明的项目管理成员或者联系人员为同一人。</w:t>
      </w:r>
    </w:p>
    <w:p w14:paraId="7DE91E01">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27.5.4不同投标人的投标文件异常一致或者投标报价呈规律性差异。</w:t>
      </w:r>
    </w:p>
    <w:p w14:paraId="51AF9768">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28、质疑处理</w:t>
      </w:r>
    </w:p>
    <w:p w14:paraId="2F40142C">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28.1提出质疑的供应商应当是参与所质疑项目采购活动的供应商。潜在供应商依法获取其可质疑的采购文件的，可以对采购文件提出质疑。</w:t>
      </w:r>
    </w:p>
    <w:p w14:paraId="71E7AAF6">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28.2供应商认为采购文件、采购过程和采购结果使自己的权益受到损害的，可以在知道或应知其权益受到损害之日起七个工作日内，以书面形式根据下述28.4条款的规定向招标代理机构或采购人提出质疑。上述应知其权益受到损害之日，是指：</w:t>
      </w:r>
    </w:p>
    <w:p w14:paraId="1B43E233">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28.2.1对可以质疑的采购文件提出质疑的，为收到采购文件之日或者采购文件公告期限届满之日；</w:t>
      </w:r>
    </w:p>
    <w:p w14:paraId="10F092C8">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28.2.2对采购过程提出质疑的，为各采购程序环节结束之日；</w:t>
      </w:r>
    </w:p>
    <w:p w14:paraId="624CFC46">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28.2.3对中标或者成交结果提出质疑的，为中标或者成交结果公告期限届满之日。</w:t>
      </w:r>
    </w:p>
    <w:p w14:paraId="25BDDCE5">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供应商应当在法定质疑期内一次性提出针对同一采购程序环节的质疑。供应商如在法定期限内对同一采购程序环节提出多次质疑的，招标代理机构、采购人将只对供应商第一次质疑作出答复。</w:t>
      </w:r>
    </w:p>
    <w:p w14:paraId="2902B43C">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28.3质疑函必须按照本招标文件中《质疑函范本》要求的格式和内容进行填写。供应商如组成联合体参加投标，则《质疑函范本》中要求签字、盖章、加盖公章之处，联合体各方均须按要求签字、盖章、加盖公章。</w:t>
      </w:r>
    </w:p>
    <w:p w14:paraId="5F8A2C91">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28.4供应商（含潜在供应商）对采购方式、采购需求、供应商资格条件及审查结果、评标方法和评标标准、合同文本的询问、质疑请向采购人提出，由采购人负责答复。供应商对除上述事项以外其他事项的询问、质疑请向招标代理机构提出，由招标代理机构负责答复。</w:t>
      </w:r>
    </w:p>
    <w:p w14:paraId="3AF6BAB3">
      <w:pPr>
        <w:tabs>
          <w:tab w:val="left" w:pos="1331"/>
        </w:tabs>
        <w:adjustRightInd w:val="0"/>
        <w:snapToGrid w:val="0"/>
        <w:spacing w:line="500" w:lineRule="exact"/>
        <w:ind w:firstLine="480" w:firstLineChars="200"/>
        <w:jc w:val="left"/>
        <w:rPr>
          <w:rFonts w:cs="宋体" w:asciiTheme="minorEastAsia" w:hAnsiTheme="minorEastAsia"/>
          <w:color w:val="auto"/>
          <w:kern w:val="0"/>
          <w:sz w:val="24"/>
          <w:highlight w:val="none"/>
        </w:rPr>
      </w:pPr>
      <w:r>
        <w:rPr>
          <w:rFonts w:hint="eastAsia" w:cs="宋体" w:asciiTheme="minorEastAsia" w:hAnsiTheme="minorEastAsia"/>
          <w:color w:val="auto"/>
          <w:kern w:val="0"/>
          <w:sz w:val="24"/>
          <w:highlight w:val="none"/>
        </w:rPr>
        <w:t>招标代理机构及采购人只接收以纸质原件形式送达的质疑,采购人和招标代理机构不接受未填写快递运单的快件。质疑接收部门为</w:t>
      </w:r>
      <w:r>
        <w:rPr>
          <w:rFonts w:hint="eastAsia" w:cs="宋体" w:asciiTheme="minorEastAsia" w:hAnsiTheme="minorEastAsia"/>
          <w:color w:val="auto"/>
          <w:kern w:val="0"/>
          <w:sz w:val="24"/>
          <w:highlight w:val="none"/>
          <w:lang w:val="zh-CN"/>
        </w:rPr>
        <w:t>盐城市</w:t>
      </w:r>
      <w:r>
        <w:rPr>
          <w:rFonts w:hint="eastAsia" w:cs="宋体" w:asciiTheme="minorEastAsia" w:hAnsiTheme="minorEastAsia"/>
          <w:color w:val="auto"/>
          <w:kern w:val="0"/>
          <w:sz w:val="24"/>
          <w:highlight w:val="none"/>
        </w:rPr>
        <w:t>招标代理有限公司招标代理处，联系地址：盐城市青年路钱江财富广场西区A座4楼，联系电话：0515-89803</w:t>
      </w:r>
      <w:r>
        <w:rPr>
          <w:rFonts w:hint="eastAsia" w:cs="宋体" w:asciiTheme="minorEastAsia" w:hAnsiTheme="minorEastAsia"/>
          <w:color w:val="auto"/>
          <w:sz w:val="24"/>
          <w:highlight w:val="none"/>
        </w:rPr>
        <w:t>566</w:t>
      </w:r>
      <w:r>
        <w:rPr>
          <w:rFonts w:hint="eastAsia" w:cs="宋体" w:asciiTheme="minorEastAsia" w:hAnsiTheme="minorEastAsia"/>
          <w:color w:val="auto"/>
          <w:kern w:val="0"/>
          <w:sz w:val="24"/>
          <w:highlight w:val="none"/>
        </w:rPr>
        <w:t>。</w:t>
      </w:r>
    </w:p>
    <w:p w14:paraId="2D50CA4F">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28.5 以下情形的质疑不予受理</w:t>
      </w:r>
    </w:p>
    <w:p w14:paraId="4AAD1081">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28.5.1内容不符合《政府采购质疑和投诉办法》第十二条规定的质疑。</w:t>
      </w:r>
    </w:p>
    <w:p w14:paraId="75547530">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28.5.2超出政府采购法定期限的质疑。</w:t>
      </w:r>
    </w:p>
    <w:p w14:paraId="4152F0DA">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28.5.3以传真、电子邮件等方式递交的非原件形式的质疑。</w:t>
      </w:r>
    </w:p>
    <w:p w14:paraId="49630285">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28.5.4未参加投标活动的供应商或在投标活动中自身权益未受到损害的供应商所提出的质疑。</w:t>
      </w:r>
    </w:p>
    <w:p w14:paraId="41FA7E08">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28.5.5供应商组成联合体参加投标，联合体中任何一方或多方未按要求签字、盖章、加盖公章的质疑。</w:t>
      </w:r>
    </w:p>
    <w:p w14:paraId="7C8EE75B">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28.6供应商提出书面质疑必须有理、有据，不得捏造事实、提供虚假材料进行恶意质疑。否则，一经查实，招标代理机构有权依据政府采购的有关规定，报请政府采购监管部门对该供应商进行相应的行政处罚和记录该供应商的失信信息。</w:t>
      </w:r>
    </w:p>
    <w:p w14:paraId="45000E40">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29、中标通知书</w:t>
      </w:r>
    </w:p>
    <w:p w14:paraId="791E7AD3">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29.l中标结果确定后，招标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6D2A6400">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29.2中标通知书将是合同的一个组成部分。对采购人和中标人均具有法律效力。中标通知书发出后，采购人改变中标结果的，或者中标人放弃中标项目的，应当依法承担法律责任。</w:t>
      </w:r>
    </w:p>
    <w:p w14:paraId="799A0CD5">
      <w:pPr>
        <w:pStyle w:val="11"/>
        <w:adjustRightInd w:val="0"/>
        <w:snapToGrid w:val="0"/>
        <w:spacing w:beforeAutospacing="0" w:afterAutospacing="0" w:line="500" w:lineRule="exact"/>
        <w:ind w:firstLine="482" w:firstLineChars="200"/>
        <w:jc w:val="both"/>
        <w:rPr>
          <w:rFonts w:cs="宋体" w:asciiTheme="minorEastAsia" w:hAnsiTheme="minorEastAsia"/>
          <w:color w:val="auto"/>
          <w:highlight w:val="none"/>
        </w:rPr>
      </w:pPr>
      <w:bookmarkStart w:id="167" w:name="_Toc20823308"/>
      <w:bookmarkStart w:id="168" w:name="_Toc16938552"/>
      <w:bookmarkStart w:id="169" w:name="_Toc120614220"/>
      <w:bookmarkStart w:id="170" w:name="_Toc513029236"/>
      <w:r>
        <w:rPr>
          <w:rFonts w:hint="eastAsia" w:cs="宋体" w:asciiTheme="minorEastAsia" w:hAnsiTheme="minorEastAsia"/>
          <w:b/>
          <w:color w:val="auto"/>
          <w:highlight w:val="none"/>
        </w:rPr>
        <w:t>七、授予合同</w:t>
      </w:r>
      <w:bookmarkEnd w:id="167"/>
      <w:bookmarkEnd w:id="168"/>
      <w:bookmarkEnd w:id="169"/>
      <w:bookmarkEnd w:id="170"/>
    </w:p>
    <w:p w14:paraId="7094B953">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bookmarkStart w:id="171" w:name="_Toc20823309"/>
      <w:bookmarkStart w:id="172" w:name="_Toc513029237"/>
      <w:bookmarkStart w:id="173" w:name="_Toc16938553"/>
      <w:r>
        <w:rPr>
          <w:rFonts w:hint="eastAsia" w:cs="宋体" w:asciiTheme="minorEastAsia" w:hAnsiTheme="minorEastAsia"/>
          <w:color w:val="auto"/>
          <w:highlight w:val="none"/>
        </w:rPr>
        <w:t>30.签订合同</w:t>
      </w:r>
      <w:bookmarkEnd w:id="171"/>
      <w:bookmarkEnd w:id="172"/>
      <w:bookmarkEnd w:id="173"/>
    </w:p>
    <w:p w14:paraId="7DACD3A7">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30.l中标人应当在中标通知书发出之日起三十日内，按照招标文件确定的事项与采购人签订政府采购合同。</w:t>
      </w:r>
    </w:p>
    <w:p w14:paraId="2BCA0584">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30.2招标文件、中标人的投标文件及招标过程中有关澄清、承诺文件均应作为合同附件。</w:t>
      </w:r>
    </w:p>
    <w:p w14:paraId="3E07707D">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30.3签订合同后，</w:t>
      </w:r>
      <w:r>
        <w:rPr>
          <w:rFonts w:hint="eastAsia" w:cs="宋体" w:asciiTheme="minorEastAsia" w:hAnsiTheme="minorEastAsia"/>
          <w:i/>
          <w:color w:val="auto"/>
          <w:highlight w:val="none"/>
          <w:u w:val="single"/>
        </w:rPr>
        <w:t>中标人不得将合同标的进行转包</w:t>
      </w:r>
      <w:r>
        <w:rPr>
          <w:rFonts w:hint="eastAsia" w:cs="宋体" w:asciiTheme="minorEastAsia" w:hAnsiTheme="minorEastAsia"/>
          <w:color w:val="auto"/>
          <w:highlight w:val="none"/>
        </w:rPr>
        <w:t>。未经采购人同意，中标人也不得采用分包的形式履行合同，否则采购人有权终止合同。转包或分包造成采购人损失的，中标人应承担相应赔偿责任。</w:t>
      </w:r>
    </w:p>
    <w:p w14:paraId="44D595B8">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31、服务（包含与服务相关的货物）的追加</w:t>
      </w:r>
    </w:p>
    <w:p w14:paraId="0CF5298A">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5190F333">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32.政府采购政策功能落实</w:t>
      </w:r>
    </w:p>
    <w:p w14:paraId="3010E39D">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32.1政府采购线上合同信用融资政策</w:t>
      </w:r>
    </w:p>
    <w:p w14:paraId="6AEDC7D2">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操作手册。 </w:t>
      </w:r>
    </w:p>
    <w:p w14:paraId="2D4288B5">
      <w:pPr>
        <w:tabs>
          <w:tab w:val="left" w:pos="1381"/>
        </w:tabs>
        <w:adjustRightInd w:val="0"/>
        <w:snapToGrid w:val="0"/>
        <w:spacing w:line="500" w:lineRule="exact"/>
        <w:ind w:firstLine="480" w:firstLineChars="200"/>
        <w:rPr>
          <w:rFonts w:cs="宋体" w:asciiTheme="minorEastAsia" w:hAnsiTheme="minorEastAsia"/>
          <w:color w:val="auto"/>
          <w:kern w:val="0"/>
          <w:sz w:val="24"/>
          <w:highlight w:val="none"/>
        </w:rPr>
      </w:pPr>
      <w:r>
        <w:rPr>
          <w:rFonts w:hint="eastAsia" w:cs="宋体" w:asciiTheme="minorEastAsia" w:hAnsiTheme="minorEastAsia"/>
          <w:color w:val="auto"/>
          <w:kern w:val="0"/>
          <w:sz w:val="24"/>
          <w:highlight w:val="none"/>
        </w:rPr>
        <w:t>32.2进口产品</w:t>
      </w:r>
    </w:p>
    <w:p w14:paraId="7AB3C096">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进口产品指通过中国海关报关验放进入中国境内且产自关境外的产品，包括已经进入中国境内的进口产品。关于进口产品的相关规定依据《政府采购进口产品管理办法》（财库〔2007〕119号）、《关于政府采购进口产品管理有关问题的通知》（财办库〔2008〕248号）。</w:t>
      </w:r>
    </w:p>
    <w:p w14:paraId="19D75E45">
      <w:pPr>
        <w:tabs>
          <w:tab w:val="left" w:pos="1381"/>
        </w:tabs>
        <w:adjustRightInd w:val="0"/>
        <w:snapToGrid w:val="0"/>
        <w:spacing w:line="500" w:lineRule="exact"/>
        <w:ind w:firstLine="480" w:firstLineChars="200"/>
        <w:rPr>
          <w:rFonts w:cs="宋体" w:asciiTheme="minorEastAsia" w:hAnsiTheme="minorEastAsia"/>
          <w:color w:val="auto"/>
          <w:kern w:val="0"/>
          <w:sz w:val="24"/>
          <w:highlight w:val="none"/>
        </w:rPr>
      </w:pPr>
      <w:r>
        <w:rPr>
          <w:rFonts w:hint="eastAsia" w:cs="宋体" w:asciiTheme="minorEastAsia" w:hAnsiTheme="minorEastAsia"/>
          <w:color w:val="auto"/>
          <w:kern w:val="0"/>
          <w:sz w:val="24"/>
          <w:highlight w:val="none"/>
        </w:rPr>
        <w:t>32.3中小企业、监狱企业及残疾人福利性单位</w:t>
      </w:r>
    </w:p>
    <w:p w14:paraId="6318FCB8">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32.3.1中小企业定义：</w:t>
      </w:r>
    </w:p>
    <w:p w14:paraId="4CC8B353">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38627B0F">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32.3.2供应商提供的货物、工程或者服务符合下列情形的，享受中小企业扶持政策：</w:t>
      </w:r>
    </w:p>
    <w:p w14:paraId="3770E964">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32.3.2.1在货物采购项目中，货物由中小企业制造，即货物由中小企业生产且使用该中小企业商号或者注册商标；</w:t>
      </w:r>
    </w:p>
    <w:p w14:paraId="3AABCBE4">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32.3.2.2在工程采购项目中，工程由中小企业承建，即工程施工单位为中小企业；</w:t>
      </w:r>
    </w:p>
    <w:p w14:paraId="60B789BF">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32.3.2.3在服务采购项目中，服务由中小企业承接，即提供服务的人员为中小企业依照《中华人民共和国劳动合同法》订立劳动合同的从业人员。</w:t>
      </w:r>
    </w:p>
    <w:p w14:paraId="587016C3">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32.3.3在货物采购项目中，供应商提供的货物既有中小企业制造货物，也有大型企业制造货物的，不享受中小企业扶持政策。</w:t>
      </w:r>
    </w:p>
    <w:p w14:paraId="52D09AC9">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32.3.4以联合体形式参加政府采购活动，联合体各方均为中小企业的，联合体视同中小企业。其中，联合体各方均为小微企业的，联合体视同小微企业。</w:t>
      </w:r>
    </w:p>
    <w:p w14:paraId="1CBBB722">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D745FC3">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32.3.6残疾人福利单位定义：享受政府采购支持政策的残疾人福利性单位应当同时满足以下条件：</w:t>
      </w:r>
    </w:p>
    <w:p w14:paraId="02F48A50">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32.3.6.1安置的残疾人占本单位在职职工人数的比例不低于25%（含25%），并且安置的残疾人人数不少于10 人（含10 人）；</w:t>
      </w:r>
    </w:p>
    <w:p w14:paraId="2074BAFA">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32.3.6.2依法与安置的每位残疾人签订了一年以上（含一年）的劳动合同或服务协议；</w:t>
      </w:r>
    </w:p>
    <w:p w14:paraId="6A225DD2">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32.3.6.3为安置的每位残疾人按月足额缴纳了基本养老保险、基本医疗保险、失业保险、工伤保险和生育保险等社会保险费；</w:t>
      </w:r>
    </w:p>
    <w:p w14:paraId="777DEC70">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32.3.6.4通过银行等金融机构向安置的每位残疾人，按月支付了不低于单位所在区县适用的经省级人民政府批准的月最低工资标准的工资；</w:t>
      </w:r>
    </w:p>
    <w:p w14:paraId="50C083BA">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32.3.6.5提供本单位制造的货物、承担的工程或者服务（以下简称产品），或者提供其他残疾人福利性单位制造的货物（不包括使用非残疾人福利性单位注册商标的货物）；</w:t>
      </w:r>
    </w:p>
    <w:p w14:paraId="155892C0">
      <w:pPr>
        <w:pStyle w:val="11"/>
        <w:spacing w:beforeAutospacing="0" w:afterAutospacing="0" w:line="46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649DF6ED">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32.3.7本项目是否专门面向中小企业预留采购份额见第一章《招标公告》。</w:t>
      </w:r>
    </w:p>
    <w:p w14:paraId="5EC16EE0">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32.3.8采购标的对应的中小企业划分标准所属行业见第四章《采购需求》。</w:t>
      </w:r>
    </w:p>
    <w:p w14:paraId="155647DF">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32.3.9小微企业价格评审优惠的政策：见第五章《评标方法和评标标准》。</w:t>
      </w:r>
    </w:p>
    <w:p w14:paraId="72E243B5">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32.4政府采购节能产品、环境标志产品</w:t>
      </w:r>
    </w:p>
    <w:p w14:paraId="6DE5B1A5">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210CFC0F">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69F9DA97">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32.5绿色包装</w:t>
      </w:r>
    </w:p>
    <w:p w14:paraId="6708A402">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本项目中涉及商品的包装应按照“财办库〔2020〕123号《关于印发《商品包装政府采购需求标准（试行）》、《快递包装政府采购需求标准（试行）》的通知》”执行,在供货、安装过程中能做到低碳物流、环保节约、提高资源利用率。</w:t>
      </w:r>
    </w:p>
    <w:p w14:paraId="141EF53C">
      <w:pPr>
        <w:tabs>
          <w:tab w:val="left" w:pos="1381"/>
        </w:tabs>
        <w:adjustRightInd w:val="0"/>
        <w:snapToGrid w:val="0"/>
        <w:spacing w:line="500" w:lineRule="exact"/>
        <w:ind w:firstLine="480" w:firstLineChars="200"/>
        <w:rPr>
          <w:rFonts w:cs="宋体" w:asciiTheme="minorEastAsia" w:hAnsiTheme="minorEastAsia"/>
          <w:color w:val="auto"/>
          <w:kern w:val="0"/>
          <w:sz w:val="24"/>
          <w:highlight w:val="none"/>
        </w:rPr>
      </w:pPr>
      <w:r>
        <w:rPr>
          <w:rFonts w:hint="eastAsia" w:cs="宋体" w:asciiTheme="minorEastAsia" w:hAnsiTheme="minorEastAsia"/>
          <w:color w:val="auto"/>
          <w:kern w:val="0"/>
          <w:sz w:val="24"/>
          <w:highlight w:val="none"/>
        </w:rPr>
        <w:t>32.6政府采购创新产品</w:t>
      </w:r>
    </w:p>
    <w:p w14:paraId="664B1794">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采购人优先采购各级政府部门公开发布的有效期内的创新产品、创新服务、首台套、首购首用等《目录》的创新产品。</w:t>
      </w:r>
    </w:p>
    <w:p w14:paraId="609A60D5">
      <w:pPr>
        <w:tabs>
          <w:tab w:val="left" w:pos="1381"/>
        </w:tabs>
        <w:adjustRightInd w:val="0"/>
        <w:snapToGrid w:val="0"/>
        <w:spacing w:line="500" w:lineRule="exact"/>
        <w:ind w:firstLine="480" w:firstLineChars="200"/>
        <w:rPr>
          <w:rFonts w:cs="宋体" w:asciiTheme="minorEastAsia" w:hAnsiTheme="minorEastAsia"/>
          <w:color w:val="auto"/>
          <w:kern w:val="0"/>
          <w:sz w:val="24"/>
          <w:highlight w:val="none"/>
        </w:rPr>
      </w:pPr>
      <w:r>
        <w:rPr>
          <w:rFonts w:hint="eastAsia" w:cs="宋体" w:asciiTheme="minorEastAsia" w:hAnsiTheme="minorEastAsia"/>
          <w:color w:val="auto"/>
          <w:kern w:val="0"/>
          <w:sz w:val="24"/>
          <w:highlight w:val="none"/>
        </w:rPr>
        <w:t xml:space="preserve">32.7绿色数据中心政策 </w:t>
      </w:r>
    </w:p>
    <w:p w14:paraId="715E0B1B">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73CD6D4B">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32.8实施本国产品标准及相关政策</w:t>
      </w:r>
    </w:p>
    <w:p w14:paraId="561FD229">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1.本项目对采购本国产品给予政策支持，具体内容见招标文件“第五章 评标方法与评标标准”。</w:t>
      </w:r>
    </w:p>
    <w:p w14:paraId="511441E8">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660A4A15">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62DDAE72">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p>
    <w:p w14:paraId="32B80619">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32.9履约保证金政策</w:t>
      </w:r>
    </w:p>
    <w:p w14:paraId="6607DD07">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确需收取履约保证金的，履约保证金的缴纳形式：</w:t>
      </w:r>
    </w:p>
    <w:p w14:paraId="2498BE04">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2392A5EB">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 xml:space="preserve"> 如以履约保函（保险）形式缴纳履约保证金，供应商可通过政府采购电子履约保函（保险）平台（www.jsdzbh.com）在线申请履约保函（保险）。</w:t>
      </w:r>
    </w:p>
    <w:p w14:paraId="3412F17C">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p>
    <w:p w14:paraId="48C372EF">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33. 预付款制度</w:t>
      </w:r>
    </w:p>
    <w:p w14:paraId="3C3D7F04">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cs="宋体" w:asciiTheme="minorEastAsia" w:hAnsiTheme="minorEastAsia"/>
          <w:color w:val="auto"/>
          <w:highlight w:val="none"/>
        </w:rPr>
        <w:t>本项目落实预付款制度，预付款比例为</w:t>
      </w:r>
      <w:r>
        <w:rPr>
          <w:rFonts w:hint="eastAsia" w:cs="宋体" w:asciiTheme="minorEastAsia" w:hAnsiTheme="minorEastAsia"/>
          <w:color w:val="auto"/>
          <w:highlight w:val="none"/>
          <w:u w:val="single"/>
        </w:rPr>
        <w:t>30</w:t>
      </w:r>
      <w:r>
        <w:rPr>
          <w:rFonts w:hint="eastAsia" w:cs="宋体" w:asciiTheme="minorEastAsia" w:hAnsiTheme="minorEastAsia"/>
          <w:color w:val="auto"/>
          <w:highlight w:val="none"/>
        </w:rPr>
        <w:t>%（原则上不低于合同金额的30%）。在签订合同时，中标、成交供应商明确书面表示无需预付款或者主动要求降低预付款比例的，采购人可就预付款比例作相应调整。</w:t>
      </w:r>
    </w:p>
    <w:p w14:paraId="4C8F18F0">
      <w:pPr>
        <w:pStyle w:val="11"/>
        <w:spacing w:beforeAutospacing="0" w:afterAutospacing="0" w:line="0" w:lineRule="atLeast"/>
        <w:ind w:firstLine="480"/>
        <w:jc w:val="both"/>
        <w:rPr>
          <w:rFonts w:ascii="宋体" w:hAnsi="宋体" w:eastAsia="宋体" w:cs="宋体"/>
          <w:color w:val="auto"/>
          <w:highlight w:val="none"/>
        </w:rPr>
      </w:pPr>
    </w:p>
    <w:p w14:paraId="464F37D0">
      <w:pPr>
        <w:rPr>
          <w:rFonts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r>
    </w:p>
    <w:p w14:paraId="2330461D">
      <w:pPr>
        <w:pStyle w:val="11"/>
        <w:spacing w:beforeAutospacing="0" w:afterAutospacing="0"/>
        <w:ind w:firstLine="880"/>
        <w:jc w:val="center"/>
        <w:rPr>
          <w:rFonts w:ascii="黑体" w:hAnsi="宋体" w:eastAsia="黑体" w:cs="黑体"/>
          <w:color w:val="auto"/>
          <w:sz w:val="44"/>
          <w:szCs w:val="44"/>
          <w:highlight w:val="none"/>
        </w:rPr>
      </w:pPr>
      <w:r>
        <w:rPr>
          <w:rFonts w:hint="eastAsia" w:ascii="黑体" w:hAnsi="宋体" w:eastAsia="黑体" w:cs="黑体"/>
          <w:color w:val="auto"/>
          <w:sz w:val="44"/>
          <w:szCs w:val="44"/>
          <w:highlight w:val="none"/>
        </w:rPr>
        <w:t>第三章  合同文本</w:t>
      </w:r>
    </w:p>
    <w:p w14:paraId="7AD84C40">
      <w:pPr>
        <w:pStyle w:val="11"/>
        <w:spacing w:beforeAutospacing="0" w:afterAutospacing="0" w:line="500" w:lineRule="exact"/>
        <w:ind w:firstLine="480"/>
        <w:jc w:val="both"/>
        <w:rPr>
          <w:color w:val="auto"/>
          <w:highlight w:val="none"/>
        </w:rPr>
      </w:pPr>
      <w:bookmarkStart w:id="174" w:name="_Toc513029243"/>
      <w:bookmarkStart w:id="175" w:name="_Toc16938559"/>
      <w:bookmarkStart w:id="176" w:name="_Toc20823315"/>
      <w:bookmarkStart w:id="177" w:name="_Toc479757211"/>
      <w:bookmarkStart w:id="178" w:name="_Toc16938590"/>
      <w:bookmarkStart w:id="179" w:name="_Toc462564139"/>
      <w:bookmarkStart w:id="180" w:name="_Hlt16619350"/>
      <w:bookmarkStart w:id="181" w:name="_Toc120614244"/>
      <w:bookmarkStart w:id="182" w:name="_Toc20823346"/>
      <w:bookmarkStart w:id="183" w:name="_Hlt16619369"/>
      <w:r>
        <w:rPr>
          <w:rFonts w:hint="eastAsia" w:ascii="宋体" w:hAnsi="宋体" w:eastAsia="宋体" w:cs="宋体"/>
          <w:color w:val="auto"/>
          <w:highlight w:val="none"/>
        </w:rPr>
        <w:t>以下为中标后签订本项目合同的通用条款，中标人不得提出实质性的修改。</w:t>
      </w:r>
      <w:bookmarkEnd w:id="174"/>
      <w:bookmarkEnd w:id="175"/>
      <w:bookmarkEnd w:id="176"/>
    </w:p>
    <w:p w14:paraId="5C5A39C8">
      <w:pPr>
        <w:pStyle w:val="11"/>
        <w:spacing w:before="145" w:beforeAutospacing="0" w:after="145" w:afterAutospacing="0" w:line="500" w:lineRule="exact"/>
        <w:ind w:firstLine="482"/>
        <w:jc w:val="center"/>
        <w:rPr>
          <w:color w:val="auto"/>
          <w:highlight w:val="none"/>
        </w:rPr>
      </w:pPr>
      <w:r>
        <w:rPr>
          <w:rFonts w:hint="eastAsia" w:ascii="宋体" w:hAnsi="宋体" w:eastAsia="宋体" w:cs="宋体"/>
          <w:b/>
          <w:color w:val="auto"/>
          <w:highlight w:val="none"/>
        </w:rPr>
        <w:t>盐城市政府采购合同（服务）（合同编号）</w:t>
      </w:r>
    </w:p>
    <w:p w14:paraId="5976BCDF">
      <w:pPr>
        <w:adjustRightInd w:val="0"/>
        <w:snapToGrid w:val="0"/>
        <w:spacing w:line="500" w:lineRule="exact"/>
        <w:ind w:left="-1" w:firstLine="480" w:firstLineChars="200"/>
        <w:rPr>
          <w:rStyle w:val="26"/>
          <w:rFonts w:asciiTheme="minorEastAsia" w:hAnsiTheme="minorEastAsia"/>
          <w:color w:val="auto"/>
          <w:highlight w:val="none"/>
        </w:rPr>
      </w:pPr>
      <w:r>
        <w:rPr>
          <w:rStyle w:val="26"/>
          <w:rFonts w:asciiTheme="minorEastAsia" w:hAnsiTheme="minorEastAsia"/>
          <w:color w:val="auto"/>
          <w:sz w:val="24"/>
          <w:highlight w:val="none"/>
        </w:rPr>
        <w:t>项目名称：</w:t>
      </w:r>
      <w:r>
        <w:rPr>
          <w:rStyle w:val="26"/>
          <w:rFonts w:hint="eastAsia" w:asciiTheme="minorEastAsia" w:hAnsiTheme="minorEastAsia"/>
          <w:color w:val="auto"/>
          <w:highlight w:val="none"/>
        </w:rPr>
        <w:t>盐城市卫生健康委员会卫生健康经济运营管理人才培养项目</w:t>
      </w:r>
    </w:p>
    <w:p w14:paraId="34FAB66F">
      <w:pPr>
        <w:adjustRightInd w:val="0"/>
        <w:snapToGrid w:val="0"/>
        <w:spacing w:line="500" w:lineRule="exact"/>
        <w:ind w:left="-1" w:firstLine="420" w:firstLineChars="200"/>
        <w:rPr>
          <w:rFonts w:asciiTheme="minorEastAsia" w:hAnsiTheme="minorEastAsia"/>
          <w:color w:val="auto"/>
          <w:highlight w:val="none"/>
        </w:rPr>
      </w:pPr>
      <w:r>
        <w:rPr>
          <w:rFonts w:hint="eastAsia" w:cs="宋体" w:asciiTheme="minorEastAsia" w:hAnsiTheme="minorEastAsia"/>
          <w:color w:val="auto"/>
          <w:highlight w:val="none"/>
        </w:rPr>
        <w:t>项目编号</w:t>
      </w:r>
    </w:p>
    <w:p w14:paraId="14F382C5">
      <w:pPr>
        <w:adjustRightInd w:val="0"/>
        <w:snapToGrid w:val="0"/>
        <w:spacing w:line="500" w:lineRule="exact"/>
        <w:ind w:left="-1" w:firstLine="480" w:firstLineChars="200"/>
        <w:rPr>
          <w:rStyle w:val="26"/>
          <w:rFonts w:asciiTheme="minorEastAsia" w:hAnsiTheme="minorEastAsia"/>
          <w:color w:val="auto"/>
          <w:sz w:val="24"/>
          <w:highlight w:val="none"/>
        </w:rPr>
      </w:pPr>
      <w:r>
        <w:rPr>
          <w:rStyle w:val="26"/>
          <w:rFonts w:asciiTheme="minorEastAsia" w:hAnsiTheme="minorEastAsia"/>
          <w:color w:val="auto"/>
          <w:sz w:val="24"/>
          <w:highlight w:val="none"/>
        </w:rPr>
        <w:t>甲方：</w:t>
      </w:r>
      <w:r>
        <w:rPr>
          <w:rStyle w:val="26"/>
          <w:rFonts w:hint="eastAsia" w:asciiTheme="minorEastAsia" w:hAnsiTheme="minorEastAsia"/>
          <w:color w:val="auto"/>
          <w:sz w:val="24"/>
          <w:highlight w:val="none"/>
        </w:rPr>
        <w:t xml:space="preserve"> </w:t>
      </w:r>
    </w:p>
    <w:p w14:paraId="310CDF66">
      <w:pPr>
        <w:adjustRightInd w:val="0"/>
        <w:snapToGrid w:val="0"/>
        <w:spacing w:line="500" w:lineRule="exact"/>
        <w:ind w:left="-1" w:firstLine="480" w:firstLineChars="200"/>
        <w:rPr>
          <w:rStyle w:val="26"/>
          <w:rFonts w:asciiTheme="minorEastAsia" w:hAnsiTheme="minorEastAsia"/>
          <w:color w:val="auto"/>
          <w:sz w:val="24"/>
          <w:highlight w:val="none"/>
        </w:rPr>
      </w:pPr>
      <w:r>
        <w:rPr>
          <w:rStyle w:val="26"/>
          <w:rFonts w:asciiTheme="minorEastAsia" w:hAnsiTheme="minorEastAsia"/>
          <w:color w:val="auto"/>
          <w:sz w:val="24"/>
          <w:highlight w:val="none"/>
        </w:rPr>
        <w:t xml:space="preserve">乙方：                             </w:t>
      </w:r>
    </w:p>
    <w:p w14:paraId="358F0281">
      <w:pPr>
        <w:pStyle w:val="27"/>
        <w:adjustRightInd w:val="0"/>
        <w:snapToGrid w:val="0"/>
        <w:spacing w:line="500" w:lineRule="exact"/>
        <w:ind w:firstLine="480" w:firstLineChars="200"/>
        <w:rPr>
          <w:rStyle w:val="26"/>
          <w:rFonts w:asciiTheme="minorEastAsia" w:hAnsiTheme="minorEastAsia"/>
          <w:b/>
          <w:color w:val="auto"/>
          <w:sz w:val="24"/>
          <w:highlight w:val="none"/>
        </w:rPr>
      </w:pPr>
      <w:r>
        <w:rPr>
          <w:rFonts w:hint="eastAsia" w:asciiTheme="minorEastAsia" w:hAnsiTheme="minorEastAsia"/>
          <w:color w:val="auto"/>
          <w:sz w:val="24"/>
          <w:highlight w:val="none"/>
        </w:rPr>
        <w:t>甲、乙双方根据盐城市卫生健康委员会（</w:t>
      </w:r>
      <w:r>
        <w:rPr>
          <w:rFonts w:hint="eastAsia" w:asciiTheme="minorEastAsia" w:hAnsiTheme="minorEastAsia"/>
          <w:color w:val="auto"/>
          <w:sz w:val="24"/>
          <w:highlight w:val="none"/>
          <w:u w:val="single"/>
        </w:rPr>
        <w:t xml:space="preserve">项目编号：           </w:t>
      </w:r>
      <w:r>
        <w:rPr>
          <w:rFonts w:hint="eastAsia" w:asciiTheme="minorEastAsia" w:hAnsiTheme="minorEastAsia"/>
          <w:color w:val="auto"/>
          <w:sz w:val="24"/>
          <w:highlight w:val="none"/>
        </w:rPr>
        <w:t>）</w:t>
      </w:r>
      <w:r>
        <w:rPr>
          <w:rFonts w:hint="eastAsia" w:cs="宋体" w:asciiTheme="minorEastAsia" w:hAnsiTheme="minorEastAsia"/>
          <w:color w:val="auto"/>
          <w:sz w:val="24"/>
          <w:highlight w:val="none"/>
          <w:shd w:val="clear" w:color="auto" w:fill="FFFFFF"/>
        </w:rPr>
        <w:t>卫生健康经济运营管理人才培养项目</w:t>
      </w:r>
      <w:r>
        <w:rPr>
          <w:rStyle w:val="26"/>
          <w:rFonts w:asciiTheme="minorEastAsia" w:hAnsiTheme="minorEastAsia"/>
          <w:color w:val="auto"/>
          <w:sz w:val="24"/>
          <w:highlight w:val="none"/>
        </w:rPr>
        <w:t>公开招标的结果，签署本合同。</w:t>
      </w:r>
    </w:p>
    <w:p w14:paraId="20E0F74F">
      <w:pPr>
        <w:pStyle w:val="28"/>
        <w:adjustRightInd w:val="0"/>
        <w:snapToGrid w:val="0"/>
        <w:spacing w:line="500" w:lineRule="exact"/>
        <w:ind w:firstLine="482" w:firstLineChars="200"/>
        <w:rPr>
          <w:rStyle w:val="26"/>
          <w:rFonts w:asciiTheme="minorEastAsia" w:hAnsiTheme="minorEastAsia" w:eastAsiaTheme="minorEastAsia"/>
          <w:b/>
          <w:bCs/>
          <w:color w:val="auto"/>
          <w:kern w:val="2"/>
          <w:sz w:val="24"/>
          <w:szCs w:val="24"/>
          <w:highlight w:val="none"/>
        </w:rPr>
      </w:pPr>
      <w:r>
        <w:rPr>
          <w:rStyle w:val="26"/>
          <w:rFonts w:hint="eastAsia" w:asciiTheme="minorEastAsia" w:hAnsiTheme="minorEastAsia" w:eastAsiaTheme="minorEastAsia"/>
          <w:b/>
          <w:bCs/>
          <w:color w:val="auto"/>
          <w:kern w:val="2"/>
          <w:sz w:val="24"/>
          <w:szCs w:val="24"/>
          <w:highlight w:val="none"/>
        </w:rPr>
        <w:t>一、服务内容</w:t>
      </w:r>
    </w:p>
    <w:p w14:paraId="06123A6F">
      <w:pPr>
        <w:pStyle w:val="11"/>
        <w:adjustRightInd w:val="0"/>
        <w:snapToGrid w:val="0"/>
        <w:spacing w:beforeAutospacing="0" w:afterAutospacing="0" w:line="500" w:lineRule="exact"/>
        <w:ind w:firstLine="480" w:firstLineChars="200"/>
        <w:jc w:val="both"/>
        <w:rPr>
          <w:rStyle w:val="26"/>
          <w:rFonts w:asciiTheme="minorEastAsia" w:hAnsiTheme="minorEastAsia" w:cstheme="minorBidi"/>
          <w:color w:val="auto"/>
          <w:kern w:val="2"/>
          <w:highlight w:val="none"/>
        </w:rPr>
      </w:pPr>
      <w:r>
        <w:rPr>
          <w:rStyle w:val="26"/>
          <w:rFonts w:asciiTheme="minorEastAsia" w:hAnsiTheme="minorEastAsia" w:cstheme="minorBidi"/>
          <w:color w:val="auto"/>
          <w:kern w:val="2"/>
          <w:highlight w:val="none"/>
        </w:rPr>
        <w:t>1、</w:t>
      </w:r>
      <w:r>
        <w:rPr>
          <w:rStyle w:val="26"/>
          <w:rFonts w:hint="eastAsia" w:asciiTheme="minorEastAsia" w:hAnsiTheme="minorEastAsia" w:cstheme="minorBidi"/>
          <w:color w:val="auto"/>
          <w:kern w:val="2"/>
          <w:highlight w:val="none"/>
        </w:rPr>
        <w:t>标的名称：</w:t>
      </w:r>
      <w:bookmarkStart w:id="184" w:name="OLE_LINK9"/>
      <w:bookmarkStart w:id="185" w:name="OLE_LINK8"/>
      <w:r>
        <w:rPr>
          <w:rStyle w:val="26"/>
          <w:rFonts w:hint="eastAsia" w:asciiTheme="minorEastAsia" w:hAnsiTheme="minorEastAsia" w:cstheme="minorBidi"/>
          <w:color w:val="auto"/>
          <w:kern w:val="2"/>
          <w:highlight w:val="none"/>
        </w:rPr>
        <w:t>盐城市卫生健康委员会卫生健康经济运营管理人才培养项目</w:t>
      </w:r>
      <w:bookmarkEnd w:id="184"/>
      <w:bookmarkEnd w:id="185"/>
    </w:p>
    <w:p w14:paraId="43E4CCA4">
      <w:pPr>
        <w:pStyle w:val="28"/>
        <w:adjustRightInd w:val="0"/>
        <w:snapToGrid w:val="0"/>
        <w:spacing w:line="500" w:lineRule="exact"/>
        <w:ind w:firstLine="480" w:firstLineChars="200"/>
        <w:rPr>
          <w:rStyle w:val="26"/>
          <w:rFonts w:asciiTheme="minorEastAsia" w:hAnsiTheme="minorEastAsia" w:eastAsiaTheme="minorEastAsia"/>
          <w:color w:val="auto"/>
          <w:kern w:val="2"/>
          <w:sz w:val="24"/>
          <w:szCs w:val="24"/>
          <w:highlight w:val="none"/>
        </w:rPr>
      </w:pPr>
      <w:r>
        <w:rPr>
          <w:rStyle w:val="26"/>
          <w:rFonts w:asciiTheme="minorEastAsia" w:hAnsiTheme="minorEastAsia" w:eastAsiaTheme="minorEastAsia"/>
          <w:color w:val="auto"/>
          <w:kern w:val="2"/>
          <w:sz w:val="24"/>
          <w:szCs w:val="24"/>
          <w:highlight w:val="none"/>
        </w:rPr>
        <w:t>服务</w:t>
      </w:r>
      <w:r>
        <w:rPr>
          <w:rStyle w:val="26"/>
          <w:rFonts w:hint="eastAsia" w:asciiTheme="minorEastAsia" w:hAnsiTheme="minorEastAsia" w:eastAsiaTheme="minorEastAsia"/>
          <w:color w:val="auto"/>
          <w:kern w:val="2"/>
          <w:sz w:val="24"/>
          <w:szCs w:val="24"/>
          <w:highlight w:val="none"/>
        </w:rPr>
        <w:t>内容：协助和支持盐城市卫健委开展公立医院经济运营管理后备人才选拔和培养工作，进行为期两年的专题培育，需采用集中培养与跟踪管理相结合、课堂教学与现场教学相结合的培养模式，紧扣卫生健康经济运营管理人才成长规律，以提升专业素养为核心，负责培养方案设计、课程开发、师资配备、教学组织、课题指导、学员跟踪管理与考核评价等全过程服务，并按要求定期向市卫健委报送培养进展及成果总结。</w:t>
      </w:r>
    </w:p>
    <w:p w14:paraId="73366901">
      <w:pPr>
        <w:pStyle w:val="11"/>
        <w:adjustRightInd w:val="0"/>
        <w:snapToGrid w:val="0"/>
        <w:spacing w:beforeAutospacing="0" w:afterAutospacing="0" w:line="500" w:lineRule="exact"/>
        <w:ind w:firstLine="480" w:firstLineChars="200"/>
        <w:jc w:val="both"/>
        <w:rPr>
          <w:rStyle w:val="26"/>
          <w:rFonts w:asciiTheme="minorEastAsia" w:hAnsiTheme="minorEastAsia" w:cstheme="minorBidi"/>
          <w:color w:val="auto"/>
          <w:kern w:val="2"/>
          <w:highlight w:val="none"/>
        </w:rPr>
      </w:pPr>
      <w:r>
        <w:rPr>
          <w:rStyle w:val="26"/>
          <w:rFonts w:asciiTheme="minorEastAsia" w:hAnsiTheme="minorEastAsia" w:cstheme="minorBidi"/>
          <w:color w:val="auto"/>
          <w:kern w:val="2"/>
          <w:highlight w:val="none"/>
        </w:rPr>
        <w:t>2、</w:t>
      </w:r>
      <w:r>
        <w:rPr>
          <w:rStyle w:val="26"/>
          <w:rFonts w:hint="eastAsia" w:asciiTheme="minorEastAsia" w:hAnsiTheme="minorEastAsia" w:cstheme="minorBidi"/>
          <w:color w:val="auto"/>
          <w:kern w:val="2"/>
          <w:highlight w:val="none"/>
        </w:rPr>
        <w:t>标的质量：合格，满足项目需求及甲方要求。</w:t>
      </w:r>
    </w:p>
    <w:p w14:paraId="6E504425">
      <w:pPr>
        <w:pStyle w:val="11"/>
        <w:adjustRightInd w:val="0"/>
        <w:snapToGrid w:val="0"/>
        <w:spacing w:beforeAutospacing="0" w:afterAutospacing="0" w:line="500" w:lineRule="exact"/>
        <w:ind w:firstLine="480" w:firstLineChars="200"/>
        <w:jc w:val="both"/>
        <w:rPr>
          <w:rFonts w:asciiTheme="minorEastAsia" w:hAnsiTheme="minorEastAsia"/>
          <w:color w:val="auto"/>
          <w:highlight w:val="none"/>
        </w:rPr>
      </w:pPr>
      <w:r>
        <w:rPr>
          <w:rFonts w:hint="eastAsia" w:cs="宋体" w:asciiTheme="minorEastAsia" w:hAnsiTheme="minorEastAsia"/>
          <w:color w:val="auto"/>
          <w:highlight w:val="none"/>
        </w:rPr>
        <w:t>3</w:t>
      </w:r>
      <w:r>
        <w:rPr>
          <w:rFonts w:cs="宋体" w:asciiTheme="minorEastAsia" w:hAnsiTheme="minorEastAsia"/>
          <w:color w:val="auto"/>
          <w:highlight w:val="none"/>
        </w:rPr>
        <w:t>、</w:t>
      </w:r>
      <w:r>
        <w:rPr>
          <w:rFonts w:hint="eastAsia" w:cs="宋体" w:asciiTheme="minorEastAsia" w:hAnsiTheme="minorEastAsia"/>
          <w:color w:val="auto"/>
          <w:highlight w:val="none"/>
        </w:rPr>
        <w:t>履行地点：</w:t>
      </w:r>
      <w:r>
        <w:rPr>
          <w:rFonts w:hint="eastAsia" w:asciiTheme="minorEastAsia" w:hAnsiTheme="minorEastAsia"/>
          <w:color w:val="auto"/>
          <w:highlight w:val="none"/>
        </w:rPr>
        <w:t>根据实际需求（甲乙双方可协商）</w:t>
      </w:r>
    </w:p>
    <w:p w14:paraId="5A1C5539">
      <w:pPr>
        <w:pStyle w:val="11"/>
        <w:adjustRightInd w:val="0"/>
        <w:snapToGrid w:val="0"/>
        <w:spacing w:beforeAutospacing="0" w:afterAutospacing="0" w:line="500" w:lineRule="exact"/>
        <w:ind w:firstLine="480" w:firstLineChars="200"/>
        <w:jc w:val="both"/>
        <w:rPr>
          <w:rFonts w:cs="宋体" w:asciiTheme="minorEastAsia" w:hAnsiTheme="minorEastAsia"/>
          <w:color w:val="auto"/>
          <w:highlight w:val="none"/>
        </w:rPr>
      </w:pPr>
      <w:r>
        <w:rPr>
          <w:rFonts w:hint="eastAsia" w:asciiTheme="minorEastAsia" w:hAnsiTheme="minorEastAsia"/>
          <w:color w:val="auto"/>
          <w:highlight w:val="none"/>
        </w:rPr>
        <w:t>4、</w:t>
      </w:r>
      <w:r>
        <w:rPr>
          <w:rFonts w:hint="eastAsia" w:cs="宋体" w:asciiTheme="minorEastAsia" w:hAnsiTheme="minorEastAsia"/>
          <w:color w:val="auto"/>
          <w:highlight w:val="none"/>
        </w:rPr>
        <w:t>履行</w:t>
      </w:r>
      <w:r>
        <w:rPr>
          <w:rFonts w:hint="eastAsia" w:asciiTheme="minorEastAsia" w:hAnsiTheme="minorEastAsia"/>
          <w:color w:val="auto"/>
          <w:highlight w:val="none"/>
        </w:rPr>
        <w:t>方式：现场服务。</w:t>
      </w:r>
    </w:p>
    <w:p w14:paraId="33A3EC9E">
      <w:pPr>
        <w:pStyle w:val="11"/>
        <w:adjustRightInd w:val="0"/>
        <w:snapToGrid w:val="0"/>
        <w:spacing w:beforeAutospacing="0" w:afterAutospacing="0" w:line="500" w:lineRule="exact"/>
        <w:ind w:firstLine="480" w:firstLineChars="200"/>
        <w:jc w:val="both"/>
        <w:rPr>
          <w:rFonts w:asciiTheme="minorEastAsia" w:hAnsiTheme="minorEastAsia"/>
          <w:color w:val="auto"/>
          <w:highlight w:val="none"/>
        </w:rPr>
      </w:pPr>
      <w:r>
        <w:rPr>
          <w:rFonts w:hint="eastAsia" w:cs="宋体" w:asciiTheme="minorEastAsia" w:hAnsiTheme="minorEastAsia"/>
          <w:color w:val="auto"/>
          <w:highlight w:val="none"/>
        </w:rPr>
        <w:t>5、履行时间（期限）：</w:t>
      </w:r>
      <w:r>
        <w:rPr>
          <w:rFonts w:hint="eastAsia" w:asciiTheme="minorEastAsia" w:hAnsiTheme="minorEastAsia"/>
          <w:color w:val="auto"/>
          <w:highlight w:val="none"/>
        </w:rPr>
        <w:t>本项目培养周期为两年，分</w:t>
      </w:r>
      <w:r>
        <w:rPr>
          <w:rFonts w:hint="eastAsia" w:asciiTheme="minorEastAsia" w:hAnsiTheme="minorEastAsia"/>
          <w:color w:val="auto"/>
          <w:highlight w:val="none"/>
          <w:u w:val="single"/>
        </w:rPr>
        <w:t>7</w:t>
      </w:r>
      <w:r>
        <w:rPr>
          <w:rFonts w:hint="eastAsia" w:asciiTheme="minorEastAsia" w:hAnsiTheme="minorEastAsia"/>
          <w:color w:val="auto"/>
          <w:highlight w:val="none"/>
        </w:rPr>
        <w:t>次集中学习（包括近三年国家公立医院绩效考核A</w:t>
      </w:r>
      <w:r>
        <w:rPr>
          <w:rFonts w:asciiTheme="minorEastAsia" w:hAnsiTheme="minorEastAsia"/>
          <w:color w:val="auto"/>
          <w:highlight w:val="none"/>
        </w:rPr>
        <w:t>+及以上</w:t>
      </w:r>
      <w:r>
        <w:rPr>
          <w:rFonts w:hint="eastAsia" w:asciiTheme="minorEastAsia" w:hAnsiTheme="minorEastAsia"/>
          <w:color w:val="auto"/>
          <w:highlight w:val="none"/>
        </w:rPr>
        <w:t>等次三级甲等公立医院现场教学），培养总人数约</w:t>
      </w:r>
      <w:r>
        <w:rPr>
          <w:rFonts w:asciiTheme="minorEastAsia" w:hAnsiTheme="minorEastAsia"/>
          <w:color w:val="auto"/>
          <w:highlight w:val="none"/>
        </w:rPr>
        <w:t>50</w:t>
      </w:r>
      <w:r>
        <w:rPr>
          <w:rFonts w:hint="eastAsia" w:asciiTheme="minorEastAsia" w:hAnsiTheme="minorEastAsia"/>
          <w:color w:val="auto"/>
          <w:highlight w:val="none"/>
        </w:rPr>
        <w:t>人，集中学习总天数28天（不含上门送教及课题编写所需时间），分批次进行。</w:t>
      </w:r>
    </w:p>
    <w:p w14:paraId="2FE1E0AC">
      <w:pPr>
        <w:pStyle w:val="28"/>
        <w:adjustRightInd w:val="0"/>
        <w:snapToGrid w:val="0"/>
        <w:spacing w:line="500" w:lineRule="exact"/>
        <w:ind w:firstLine="482" w:firstLineChars="200"/>
        <w:rPr>
          <w:rStyle w:val="26"/>
          <w:rFonts w:asciiTheme="minorEastAsia" w:hAnsiTheme="minorEastAsia" w:eastAsiaTheme="minorEastAsia"/>
          <w:color w:val="auto"/>
          <w:sz w:val="24"/>
          <w:szCs w:val="24"/>
          <w:highlight w:val="none"/>
        </w:rPr>
      </w:pPr>
      <w:r>
        <w:rPr>
          <w:rStyle w:val="26"/>
          <w:rFonts w:asciiTheme="minorEastAsia" w:hAnsiTheme="minorEastAsia" w:eastAsiaTheme="minorEastAsia"/>
          <w:b/>
          <w:color w:val="auto"/>
          <w:kern w:val="2"/>
          <w:sz w:val="24"/>
          <w:szCs w:val="24"/>
          <w:highlight w:val="none"/>
        </w:rPr>
        <w:t>二、有关费用：</w:t>
      </w:r>
      <w:r>
        <w:rPr>
          <w:rFonts w:hint="eastAsia" w:cs="宋体" w:asciiTheme="minorEastAsia" w:hAnsiTheme="minorEastAsia" w:eastAsiaTheme="minorEastAsia"/>
          <w:color w:val="auto"/>
          <w:sz w:val="24"/>
          <w:szCs w:val="24"/>
          <w:highlight w:val="none"/>
        </w:rPr>
        <w:t>本合同金额为</w:t>
      </w:r>
      <w:r>
        <w:rPr>
          <w:rStyle w:val="26"/>
          <w:rFonts w:asciiTheme="minorEastAsia" w:hAnsiTheme="minorEastAsia" w:eastAsiaTheme="minorEastAsia"/>
          <w:color w:val="auto"/>
          <w:sz w:val="24"/>
          <w:szCs w:val="24"/>
          <w:highlight w:val="none"/>
        </w:rPr>
        <w:t>（大写）</w:t>
      </w:r>
      <w:r>
        <w:rPr>
          <w:rStyle w:val="26"/>
          <w:rFonts w:hint="eastAsia" w:asciiTheme="minorEastAsia" w:hAnsiTheme="minorEastAsia" w:eastAsiaTheme="minorEastAsia"/>
          <w:color w:val="auto"/>
          <w:sz w:val="24"/>
          <w:szCs w:val="24"/>
          <w:highlight w:val="none"/>
          <w:u w:val="single"/>
        </w:rPr>
        <w:t xml:space="preserve">          </w:t>
      </w:r>
      <w:r>
        <w:rPr>
          <w:rStyle w:val="26"/>
          <w:rFonts w:asciiTheme="minorEastAsia" w:hAnsiTheme="minorEastAsia" w:eastAsiaTheme="minorEastAsia"/>
          <w:color w:val="auto"/>
          <w:sz w:val="24"/>
          <w:szCs w:val="24"/>
          <w:highlight w:val="none"/>
        </w:rPr>
        <w:t>，（小写）</w:t>
      </w:r>
      <w:r>
        <w:rPr>
          <w:rStyle w:val="26"/>
          <w:rFonts w:hint="eastAsia" w:asciiTheme="minorEastAsia" w:hAnsiTheme="minorEastAsia" w:eastAsiaTheme="minorEastAsia"/>
          <w:color w:val="auto"/>
          <w:sz w:val="24"/>
          <w:szCs w:val="24"/>
          <w:highlight w:val="none"/>
          <w:u w:val="single"/>
        </w:rPr>
        <w:t xml:space="preserve">            </w:t>
      </w:r>
      <w:r>
        <w:rPr>
          <w:rStyle w:val="26"/>
          <w:rFonts w:asciiTheme="minorEastAsia" w:hAnsiTheme="minorEastAsia" w:eastAsiaTheme="minorEastAsia"/>
          <w:color w:val="auto"/>
          <w:sz w:val="24"/>
          <w:szCs w:val="24"/>
          <w:highlight w:val="none"/>
        </w:rPr>
        <w:t>。</w:t>
      </w:r>
    </w:p>
    <w:p w14:paraId="7192630A">
      <w:pPr>
        <w:adjustRightInd w:val="0"/>
        <w:snapToGrid w:val="0"/>
        <w:spacing w:line="500" w:lineRule="exact"/>
        <w:ind w:firstLine="480" w:firstLineChars="200"/>
        <w:rPr>
          <w:rFonts w:asciiTheme="minorEastAsia" w:hAnsiTheme="minorEastAsia"/>
          <w:color w:val="auto"/>
          <w:sz w:val="24"/>
          <w:highlight w:val="none"/>
        </w:rPr>
      </w:pPr>
      <w:r>
        <w:rPr>
          <w:rFonts w:hint="eastAsia" w:asciiTheme="minorEastAsia" w:hAnsiTheme="minorEastAsia"/>
          <w:color w:val="auto"/>
          <w:sz w:val="24"/>
          <w:highlight w:val="none"/>
        </w:rPr>
        <w:t>本合同总金额包括培养期间全部学员在培养地点发生的培养费（包括教师课酬、授课场地使用费、学习资料费、现场教学费、教学管理费[（包含教学课程内学员交通费）、其他费用等）、课题指导费、产出式研讨指导费（包括教师指导费用、培养成果刊印成册费用）]，以及甲方跟踪管理人员（原则上不超过3人）的食宿等一切培养所需的必要费用，不包含学员在城市间往返的交通费用、意外险、食宿费等。</w:t>
      </w:r>
    </w:p>
    <w:p w14:paraId="49F0BF84">
      <w:pPr>
        <w:adjustRightInd w:val="0"/>
        <w:snapToGrid w:val="0"/>
        <w:spacing w:line="500" w:lineRule="exact"/>
        <w:ind w:firstLine="480" w:firstLineChars="200"/>
        <w:rPr>
          <w:rFonts w:asciiTheme="minorEastAsia" w:hAnsiTheme="minorEastAsia"/>
          <w:color w:val="auto"/>
          <w:sz w:val="24"/>
          <w:highlight w:val="none"/>
        </w:rPr>
      </w:pPr>
      <w:r>
        <w:rPr>
          <w:rFonts w:asciiTheme="minorEastAsia" w:hAnsiTheme="minorEastAsia"/>
          <w:color w:val="auto"/>
          <w:sz w:val="24"/>
          <w:highlight w:val="none"/>
        </w:rPr>
        <w:t>在集中培养期间，乙方应向甲方提供</w:t>
      </w:r>
      <w:r>
        <w:rPr>
          <w:rFonts w:hint="eastAsia" w:asciiTheme="minorEastAsia" w:hAnsiTheme="minorEastAsia"/>
          <w:color w:val="auto"/>
          <w:sz w:val="24"/>
          <w:highlight w:val="none"/>
        </w:rPr>
        <w:t>学员学习期间集中</w:t>
      </w:r>
      <w:r>
        <w:rPr>
          <w:rFonts w:asciiTheme="minorEastAsia" w:hAnsiTheme="minorEastAsia"/>
          <w:color w:val="auto"/>
          <w:sz w:val="24"/>
          <w:highlight w:val="none"/>
        </w:rPr>
        <w:t>住宿场地和餐饮场地，上述两项场地收费标准不得高于470元</w:t>
      </w:r>
      <w:r>
        <w:rPr>
          <w:rFonts w:hint="eastAsia" w:asciiTheme="minorEastAsia" w:hAnsiTheme="minorEastAsia"/>
          <w:color w:val="auto"/>
          <w:sz w:val="24"/>
          <w:highlight w:val="none"/>
        </w:rPr>
        <w:t>/人/天</w:t>
      </w:r>
      <w:r>
        <w:rPr>
          <w:rFonts w:asciiTheme="minorEastAsia" w:hAnsiTheme="minorEastAsia"/>
          <w:color w:val="auto"/>
          <w:sz w:val="24"/>
          <w:highlight w:val="none"/>
        </w:rPr>
        <w:t>（其中：住宿费不得高于</w:t>
      </w:r>
      <w:r>
        <w:rPr>
          <w:rFonts w:hint="eastAsia" w:asciiTheme="minorEastAsia" w:hAnsiTheme="minorEastAsia"/>
          <w:color w:val="auto"/>
          <w:sz w:val="24"/>
          <w:highlight w:val="none"/>
        </w:rPr>
        <w:t>3</w:t>
      </w:r>
      <w:r>
        <w:rPr>
          <w:rFonts w:asciiTheme="minorEastAsia" w:hAnsiTheme="minorEastAsia"/>
          <w:color w:val="auto"/>
          <w:sz w:val="24"/>
          <w:highlight w:val="none"/>
        </w:rPr>
        <w:t>40元</w:t>
      </w:r>
      <w:r>
        <w:rPr>
          <w:rFonts w:hint="eastAsia" w:asciiTheme="minorEastAsia" w:hAnsiTheme="minorEastAsia"/>
          <w:color w:val="auto"/>
          <w:sz w:val="24"/>
          <w:highlight w:val="none"/>
        </w:rPr>
        <w:t>/人/天，餐饮费不得高于1</w:t>
      </w:r>
      <w:r>
        <w:rPr>
          <w:rFonts w:asciiTheme="minorEastAsia" w:hAnsiTheme="minorEastAsia"/>
          <w:color w:val="auto"/>
          <w:sz w:val="24"/>
          <w:highlight w:val="none"/>
        </w:rPr>
        <w:t>30元</w:t>
      </w:r>
      <w:r>
        <w:rPr>
          <w:rFonts w:hint="eastAsia" w:asciiTheme="minorEastAsia" w:hAnsiTheme="minorEastAsia"/>
          <w:color w:val="auto"/>
          <w:sz w:val="24"/>
          <w:highlight w:val="none"/>
        </w:rPr>
        <w:t>/人/</w:t>
      </w:r>
      <w:r>
        <w:rPr>
          <w:rFonts w:asciiTheme="minorEastAsia" w:hAnsiTheme="minorEastAsia"/>
          <w:color w:val="auto"/>
          <w:sz w:val="24"/>
          <w:highlight w:val="none"/>
        </w:rPr>
        <w:t>天），费用由学员所在单位承担。</w:t>
      </w:r>
    </w:p>
    <w:p w14:paraId="0AB30359">
      <w:pPr>
        <w:adjustRightInd w:val="0"/>
        <w:snapToGrid w:val="0"/>
        <w:spacing w:line="500" w:lineRule="exact"/>
        <w:ind w:firstLine="480" w:firstLineChars="200"/>
        <w:rPr>
          <w:rFonts w:asciiTheme="minorEastAsia" w:hAnsiTheme="minorEastAsia"/>
          <w:color w:val="auto"/>
          <w:sz w:val="24"/>
          <w:highlight w:val="none"/>
        </w:rPr>
      </w:pPr>
      <w:r>
        <w:rPr>
          <w:rFonts w:hint="eastAsia" w:asciiTheme="minorEastAsia" w:hAnsiTheme="minorEastAsia"/>
          <w:color w:val="auto"/>
          <w:sz w:val="24"/>
          <w:highlight w:val="none"/>
        </w:rPr>
        <w:t>上述费用是在乙方全面履行本合同基础上，甲方应向乙方支付的全部费用，除另有约定外，甲方无需就本项目向乙方另行支付任何其他费用。</w:t>
      </w:r>
    </w:p>
    <w:p w14:paraId="1B6E5D1A">
      <w:pPr>
        <w:pStyle w:val="11"/>
        <w:adjustRightInd w:val="0"/>
        <w:snapToGrid w:val="0"/>
        <w:spacing w:beforeAutospacing="0" w:afterAutospacing="0" w:line="500" w:lineRule="exact"/>
        <w:ind w:firstLine="482" w:firstLineChars="200"/>
        <w:jc w:val="both"/>
        <w:rPr>
          <w:rFonts w:asciiTheme="minorEastAsia" w:hAnsiTheme="minorEastAsia"/>
          <w:color w:val="auto"/>
          <w:highlight w:val="none"/>
        </w:rPr>
      </w:pPr>
      <w:r>
        <w:rPr>
          <w:rFonts w:hint="eastAsia" w:cs="宋体" w:asciiTheme="minorEastAsia" w:hAnsiTheme="minorEastAsia"/>
          <w:b/>
          <w:color w:val="auto"/>
          <w:highlight w:val="none"/>
        </w:rPr>
        <w:t>三、技术资料</w:t>
      </w:r>
    </w:p>
    <w:p w14:paraId="1219C35D">
      <w:pPr>
        <w:pStyle w:val="11"/>
        <w:adjustRightInd w:val="0"/>
        <w:snapToGrid w:val="0"/>
        <w:spacing w:beforeAutospacing="0" w:afterAutospacing="0" w:line="500" w:lineRule="exact"/>
        <w:ind w:firstLine="480" w:firstLineChars="200"/>
        <w:jc w:val="both"/>
        <w:rPr>
          <w:rFonts w:asciiTheme="minorEastAsia" w:hAnsiTheme="minorEastAsia"/>
          <w:color w:val="auto"/>
          <w:highlight w:val="none"/>
        </w:rPr>
      </w:pPr>
      <w:r>
        <w:rPr>
          <w:rFonts w:cs="宋体" w:asciiTheme="minorEastAsia" w:hAnsiTheme="minorEastAsia"/>
          <w:color w:val="auto"/>
          <w:highlight w:val="none"/>
        </w:rPr>
        <w:t>1、</w:t>
      </w:r>
      <w:r>
        <w:rPr>
          <w:rFonts w:hint="eastAsia" w:cs="宋体" w:asciiTheme="minorEastAsia" w:hAnsiTheme="minorEastAsia"/>
          <w:color w:val="auto"/>
          <w:highlight w:val="none"/>
        </w:rPr>
        <w:t>乙方应按招标文件规定的时间向甲方提供服务（包含与服务相关的货物）的有关技术资料。</w:t>
      </w:r>
    </w:p>
    <w:p w14:paraId="31156DC6">
      <w:pPr>
        <w:pStyle w:val="11"/>
        <w:adjustRightInd w:val="0"/>
        <w:snapToGrid w:val="0"/>
        <w:spacing w:beforeAutospacing="0" w:afterAutospacing="0" w:line="500" w:lineRule="exact"/>
        <w:ind w:firstLine="480" w:firstLineChars="200"/>
        <w:jc w:val="both"/>
        <w:rPr>
          <w:rFonts w:asciiTheme="minorEastAsia" w:hAnsiTheme="minorEastAsia"/>
          <w:color w:val="auto"/>
          <w:highlight w:val="none"/>
        </w:rPr>
      </w:pPr>
      <w:r>
        <w:rPr>
          <w:rFonts w:hint="eastAsia" w:cs="宋体" w:asciiTheme="minorEastAsia" w:hAnsiTheme="minorEastAsia"/>
          <w:color w:val="auto"/>
          <w:highlight w:val="none"/>
        </w:rPr>
        <w:t>2、没有甲方事先书面同意，乙方不得将由甲方提供的有关合同或任何合同条文、计划或资料提供给与履行本合同无关的任何其他人。即使向履行本合同有关的人员提供，也应注意保密并限于履行合同的必需范围。</w:t>
      </w:r>
    </w:p>
    <w:p w14:paraId="4B59FEE1">
      <w:pPr>
        <w:adjustRightInd w:val="0"/>
        <w:snapToGrid w:val="0"/>
        <w:spacing w:line="500" w:lineRule="exact"/>
        <w:ind w:firstLine="482" w:firstLineChars="200"/>
        <w:textAlignment w:val="baseline"/>
        <w:rPr>
          <w:rStyle w:val="26"/>
          <w:rFonts w:asciiTheme="minorEastAsia" w:hAnsiTheme="minorEastAsia"/>
          <w:b/>
          <w:color w:val="auto"/>
          <w:sz w:val="24"/>
          <w:highlight w:val="none"/>
        </w:rPr>
      </w:pPr>
      <w:r>
        <w:rPr>
          <w:rStyle w:val="26"/>
          <w:rFonts w:asciiTheme="minorEastAsia" w:hAnsiTheme="minorEastAsia"/>
          <w:b/>
          <w:color w:val="auto"/>
          <w:sz w:val="24"/>
          <w:highlight w:val="none"/>
        </w:rPr>
        <w:t>四、知识产权：</w:t>
      </w:r>
    </w:p>
    <w:p w14:paraId="3103B69A">
      <w:pPr>
        <w:adjustRightInd w:val="0"/>
        <w:snapToGrid w:val="0"/>
        <w:spacing w:line="500" w:lineRule="exact"/>
        <w:ind w:firstLine="480" w:firstLineChars="200"/>
        <w:rPr>
          <w:rStyle w:val="26"/>
          <w:rFonts w:asciiTheme="minorEastAsia" w:hAnsiTheme="minorEastAsia"/>
          <w:b/>
          <w:color w:val="auto"/>
          <w:sz w:val="24"/>
          <w:highlight w:val="none"/>
        </w:rPr>
      </w:pPr>
      <w:r>
        <w:rPr>
          <w:rStyle w:val="26"/>
          <w:rFonts w:asciiTheme="minorEastAsia" w:hAnsiTheme="minorEastAsia"/>
          <w:color w:val="auto"/>
          <w:sz w:val="24"/>
          <w:highlight w:val="none"/>
        </w:rPr>
        <w:t>甲方向乙方提供的全部资料及乙方提交的全部成果资料</w:t>
      </w:r>
      <w:r>
        <w:rPr>
          <w:rStyle w:val="26"/>
          <w:rFonts w:hint="eastAsia" w:asciiTheme="minorEastAsia" w:hAnsiTheme="minorEastAsia"/>
          <w:color w:val="auto"/>
          <w:sz w:val="24"/>
          <w:highlight w:val="none"/>
        </w:rPr>
        <w:t>的知识产权</w:t>
      </w:r>
      <w:r>
        <w:rPr>
          <w:rStyle w:val="26"/>
          <w:rFonts w:asciiTheme="minorEastAsia" w:hAnsiTheme="minorEastAsia"/>
          <w:color w:val="auto"/>
          <w:sz w:val="24"/>
          <w:highlight w:val="none"/>
        </w:rPr>
        <w:t>归甲方所有，乙方不得以任何方式转让或提供给第三方使用。</w:t>
      </w:r>
    </w:p>
    <w:p w14:paraId="05E67C2D">
      <w:pPr>
        <w:pStyle w:val="27"/>
        <w:adjustRightInd w:val="0"/>
        <w:snapToGrid w:val="0"/>
        <w:spacing w:line="500" w:lineRule="exact"/>
        <w:ind w:firstLine="482" w:firstLineChars="200"/>
        <w:rPr>
          <w:rStyle w:val="26"/>
          <w:rFonts w:asciiTheme="minorEastAsia" w:hAnsiTheme="minorEastAsia"/>
          <w:color w:val="auto"/>
          <w:sz w:val="24"/>
          <w:highlight w:val="none"/>
        </w:rPr>
      </w:pPr>
      <w:r>
        <w:rPr>
          <w:rStyle w:val="26"/>
          <w:rFonts w:asciiTheme="minorEastAsia" w:hAnsiTheme="minorEastAsia"/>
          <w:b/>
          <w:color w:val="auto"/>
          <w:sz w:val="24"/>
          <w:highlight w:val="none"/>
        </w:rPr>
        <w:t>五、</w:t>
      </w:r>
      <w:r>
        <w:rPr>
          <w:rStyle w:val="26"/>
          <w:rFonts w:hint="eastAsia" w:asciiTheme="minorEastAsia" w:hAnsiTheme="minorEastAsia"/>
          <w:b/>
          <w:color w:val="auto"/>
          <w:sz w:val="24"/>
          <w:highlight w:val="none"/>
        </w:rPr>
        <w:t>结算方式、</w:t>
      </w:r>
      <w:r>
        <w:rPr>
          <w:rStyle w:val="26"/>
          <w:rFonts w:asciiTheme="minorEastAsia" w:hAnsiTheme="minorEastAsia"/>
          <w:b/>
          <w:color w:val="auto"/>
          <w:sz w:val="24"/>
          <w:highlight w:val="none"/>
        </w:rPr>
        <w:t>付款方式及期限</w:t>
      </w:r>
      <w:r>
        <w:rPr>
          <w:rStyle w:val="26"/>
          <w:rFonts w:asciiTheme="minorEastAsia" w:hAnsiTheme="minorEastAsia"/>
          <w:color w:val="auto"/>
          <w:sz w:val="24"/>
          <w:highlight w:val="none"/>
        </w:rPr>
        <w:t>：</w:t>
      </w:r>
    </w:p>
    <w:p w14:paraId="43671EED">
      <w:pPr>
        <w:adjustRightInd w:val="0"/>
        <w:snapToGrid w:val="0"/>
        <w:spacing w:line="500" w:lineRule="exact"/>
        <w:ind w:firstLine="480" w:firstLineChars="200"/>
        <w:rPr>
          <w:rStyle w:val="26"/>
          <w:rFonts w:asciiTheme="minorEastAsia" w:hAnsiTheme="minorEastAsia"/>
          <w:color w:val="auto"/>
          <w:sz w:val="24"/>
          <w:highlight w:val="none"/>
        </w:rPr>
      </w:pPr>
      <w:r>
        <w:rPr>
          <w:rStyle w:val="26"/>
          <w:rFonts w:hint="eastAsia" w:asciiTheme="minorEastAsia" w:hAnsiTheme="minorEastAsia"/>
          <w:color w:val="auto"/>
          <w:sz w:val="24"/>
          <w:highlight w:val="none"/>
        </w:rPr>
        <w:t>1、</w:t>
      </w:r>
      <w:r>
        <w:rPr>
          <w:rFonts w:hint="eastAsia" w:cs="楷体" w:asciiTheme="minorEastAsia" w:hAnsiTheme="minorEastAsia"/>
          <w:color w:val="auto"/>
          <w:sz w:val="24"/>
          <w:highlight w:val="none"/>
        </w:rPr>
        <w:t>本项目合同采用“固定总价”方式，</w:t>
      </w:r>
      <w:r>
        <w:rPr>
          <w:rStyle w:val="26"/>
          <w:rFonts w:hint="eastAsia" w:asciiTheme="minorEastAsia" w:hAnsiTheme="minorEastAsia"/>
          <w:color w:val="auto"/>
          <w:sz w:val="24"/>
          <w:highlight w:val="none"/>
        </w:rPr>
        <w:t>结算方式：</w:t>
      </w:r>
    </w:p>
    <w:p w14:paraId="2A6FF0FF">
      <w:pPr>
        <w:adjustRightInd w:val="0"/>
        <w:snapToGrid w:val="0"/>
        <w:spacing w:line="500" w:lineRule="exact"/>
        <w:ind w:firstLine="480" w:firstLineChars="200"/>
        <w:rPr>
          <w:rStyle w:val="26"/>
          <w:rFonts w:asciiTheme="minorEastAsia" w:hAnsiTheme="minorEastAsia"/>
          <w:color w:val="auto"/>
          <w:sz w:val="24"/>
          <w:highlight w:val="none"/>
        </w:rPr>
      </w:pPr>
      <w:r>
        <w:rPr>
          <w:rFonts w:hint="eastAsia" w:cs="仿宋" w:asciiTheme="minorEastAsia" w:hAnsiTheme="minorEastAsia"/>
          <w:color w:val="auto"/>
          <w:sz w:val="24"/>
          <w:highlight w:val="none"/>
        </w:rPr>
        <w:t>结算总价=中标价—违约金。</w:t>
      </w:r>
    </w:p>
    <w:p w14:paraId="2B21BF80">
      <w:pPr>
        <w:adjustRightInd w:val="0"/>
        <w:snapToGrid w:val="0"/>
        <w:spacing w:line="500" w:lineRule="exact"/>
        <w:ind w:firstLine="480" w:firstLineChars="200"/>
        <w:rPr>
          <w:rStyle w:val="26"/>
          <w:rFonts w:asciiTheme="minorEastAsia" w:hAnsiTheme="minorEastAsia"/>
          <w:color w:val="auto"/>
          <w:sz w:val="24"/>
          <w:highlight w:val="none"/>
        </w:rPr>
      </w:pPr>
      <w:r>
        <w:rPr>
          <w:rStyle w:val="26"/>
          <w:rFonts w:hint="eastAsia" w:asciiTheme="minorEastAsia" w:hAnsiTheme="minorEastAsia"/>
          <w:color w:val="auto"/>
          <w:sz w:val="24"/>
          <w:highlight w:val="none"/>
        </w:rPr>
        <w:t>2、付款方式</w:t>
      </w:r>
    </w:p>
    <w:p w14:paraId="699AADDA">
      <w:pPr>
        <w:adjustRightInd w:val="0"/>
        <w:snapToGrid w:val="0"/>
        <w:spacing w:line="500" w:lineRule="exact"/>
        <w:ind w:firstLine="480" w:firstLineChars="200"/>
        <w:rPr>
          <w:rStyle w:val="26"/>
          <w:rFonts w:asciiTheme="minorEastAsia" w:hAnsiTheme="minorEastAsia"/>
          <w:color w:val="auto"/>
          <w:sz w:val="24"/>
          <w:highlight w:val="none"/>
        </w:rPr>
      </w:pPr>
      <w:bookmarkStart w:id="186" w:name="OLE_LINK12"/>
      <w:r>
        <w:rPr>
          <w:rStyle w:val="26"/>
          <w:rFonts w:hint="eastAsia" w:asciiTheme="minorEastAsia" w:hAnsiTheme="minorEastAsia"/>
          <w:color w:val="auto"/>
          <w:sz w:val="24"/>
          <w:highlight w:val="none"/>
        </w:rPr>
        <w:t>2</w:t>
      </w:r>
      <w:r>
        <w:rPr>
          <w:rStyle w:val="26"/>
          <w:rFonts w:asciiTheme="minorEastAsia" w:hAnsiTheme="minorEastAsia"/>
          <w:color w:val="auto"/>
          <w:sz w:val="24"/>
          <w:highlight w:val="none"/>
        </w:rPr>
        <w:t xml:space="preserve">.1 </w:t>
      </w:r>
      <w:bookmarkEnd w:id="186"/>
      <w:r>
        <w:rPr>
          <w:rStyle w:val="26"/>
          <w:rFonts w:hint="eastAsia" w:asciiTheme="minorEastAsia" w:hAnsiTheme="minorEastAsia"/>
          <w:color w:val="auto"/>
          <w:sz w:val="24"/>
          <w:highlight w:val="none"/>
        </w:rPr>
        <w:t>项目签订合同后，甲方收到预付款发票后10个工作日内，</w:t>
      </w:r>
      <w:bookmarkStart w:id="187" w:name="OLE_LINK11"/>
      <w:r>
        <w:rPr>
          <w:rStyle w:val="26"/>
          <w:rFonts w:hint="eastAsia" w:asciiTheme="minorEastAsia" w:hAnsiTheme="minorEastAsia"/>
          <w:color w:val="auto"/>
          <w:sz w:val="24"/>
          <w:highlight w:val="none"/>
        </w:rPr>
        <w:t>支付合同价的30%</w:t>
      </w:r>
      <w:bookmarkEnd w:id="187"/>
      <w:r>
        <w:rPr>
          <w:rStyle w:val="26"/>
          <w:rFonts w:hint="eastAsia" w:asciiTheme="minorEastAsia" w:hAnsiTheme="minorEastAsia"/>
          <w:color w:val="auto"/>
          <w:sz w:val="24"/>
          <w:highlight w:val="none"/>
        </w:rPr>
        <w:t>作为预付款；（在签订合同时，供应商明确书面表示无需预付款或者主动要求降低预付款比例的，采购人可就预付款比例作相应调整。）</w:t>
      </w:r>
    </w:p>
    <w:p w14:paraId="3AA61569">
      <w:pPr>
        <w:adjustRightInd w:val="0"/>
        <w:snapToGrid w:val="0"/>
        <w:spacing w:line="500" w:lineRule="exact"/>
        <w:ind w:firstLine="480" w:firstLineChars="200"/>
        <w:rPr>
          <w:rStyle w:val="26"/>
          <w:rFonts w:asciiTheme="minorEastAsia" w:hAnsiTheme="minorEastAsia"/>
          <w:color w:val="auto"/>
          <w:sz w:val="24"/>
          <w:highlight w:val="none"/>
        </w:rPr>
      </w:pPr>
      <w:r>
        <w:rPr>
          <w:rStyle w:val="26"/>
          <w:rFonts w:asciiTheme="minorEastAsia" w:hAnsiTheme="minorEastAsia"/>
          <w:color w:val="auto"/>
          <w:sz w:val="24"/>
          <w:highlight w:val="none"/>
        </w:rPr>
        <w:t xml:space="preserve">2.2  </w:t>
      </w:r>
      <w:r>
        <w:rPr>
          <w:rStyle w:val="26"/>
          <w:rFonts w:hint="eastAsia" w:asciiTheme="minorEastAsia" w:hAnsiTheme="minorEastAsia"/>
          <w:color w:val="auto"/>
          <w:sz w:val="24"/>
          <w:highlight w:val="none"/>
        </w:rPr>
        <w:t>3次集中学习结束后学员满意度达到90%及以上，甲方向乙方支付</w:t>
      </w:r>
      <w:r>
        <w:rPr>
          <w:rStyle w:val="26"/>
          <w:rFonts w:asciiTheme="minorEastAsia" w:hAnsiTheme="minorEastAsia"/>
          <w:color w:val="auto"/>
          <w:sz w:val="24"/>
          <w:highlight w:val="none"/>
        </w:rPr>
        <w:t>20</w:t>
      </w:r>
      <w:r>
        <w:rPr>
          <w:rStyle w:val="26"/>
          <w:rFonts w:hint="eastAsia" w:asciiTheme="minorEastAsia" w:hAnsiTheme="minorEastAsia"/>
          <w:color w:val="auto"/>
          <w:sz w:val="24"/>
          <w:highlight w:val="none"/>
        </w:rPr>
        <w:t>%的合同价款。</w:t>
      </w:r>
    </w:p>
    <w:p w14:paraId="1348F416">
      <w:pPr>
        <w:adjustRightInd w:val="0"/>
        <w:snapToGrid w:val="0"/>
        <w:spacing w:line="500" w:lineRule="exact"/>
        <w:ind w:firstLine="480" w:firstLineChars="200"/>
        <w:rPr>
          <w:rStyle w:val="26"/>
          <w:rFonts w:asciiTheme="minorEastAsia" w:hAnsiTheme="minorEastAsia"/>
          <w:color w:val="auto"/>
          <w:sz w:val="24"/>
          <w:highlight w:val="none"/>
        </w:rPr>
      </w:pPr>
      <w:r>
        <w:rPr>
          <w:rFonts w:asciiTheme="minorEastAsia" w:hAnsiTheme="minorEastAsia"/>
          <w:color w:val="auto"/>
          <w:sz w:val="24"/>
          <w:highlight w:val="none"/>
        </w:rPr>
        <w:t xml:space="preserve">2.3  </w:t>
      </w:r>
      <w:r>
        <w:rPr>
          <w:rStyle w:val="26"/>
          <w:rFonts w:asciiTheme="minorEastAsia" w:hAnsiTheme="minorEastAsia"/>
          <w:color w:val="auto"/>
          <w:sz w:val="24"/>
          <w:highlight w:val="none"/>
        </w:rPr>
        <w:t>6</w:t>
      </w:r>
      <w:r>
        <w:rPr>
          <w:rStyle w:val="26"/>
          <w:rFonts w:hint="eastAsia" w:asciiTheme="minorEastAsia" w:hAnsiTheme="minorEastAsia"/>
          <w:color w:val="auto"/>
          <w:sz w:val="24"/>
          <w:highlight w:val="none"/>
        </w:rPr>
        <w:t>次集中学习结束后学员满意度达到90%</w:t>
      </w:r>
      <w:bookmarkStart w:id="188" w:name="OLE_LINK7"/>
      <w:bookmarkStart w:id="189" w:name="OLE_LINK6"/>
      <w:r>
        <w:rPr>
          <w:rStyle w:val="26"/>
          <w:rFonts w:hint="eastAsia" w:asciiTheme="minorEastAsia" w:hAnsiTheme="minorEastAsia"/>
          <w:color w:val="auto"/>
          <w:sz w:val="24"/>
          <w:highlight w:val="none"/>
        </w:rPr>
        <w:t>及以上</w:t>
      </w:r>
      <w:bookmarkEnd w:id="188"/>
      <w:bookmarkEnd w:id="189"/>
      <w:r>
        <w:rPr>
          <w:rStyle w:val="26"/>
          <w:rFonts w:hint="eastAsia" w:asciiTheme="minorEastAsia" w:hAnsiTheme="minorEastAsia"/>
          <w:color w:val="auto"/>
          <w:sz w:val="24"/>
          <w:highlight w:val="none"/>
        </w:rPr>
        <w:t>，甲方向乙方支付</w:t>
      </w:r>
      <w:r>
        <w:rPr>
          <w:rStyle w:val="26"/>
          <w:rFonts w:asciiTheme="minorEastAsia" w:hAnsiTheme="minorEastAsia"/>
          <w:color w:val="auto"/>
          <w:sz w:val="24"/>
          <w:highlight w:val="none"/>
        </w:rPr>
        <w:t>40</w:t>
      </w:r>
      <w:r>
        <w:rPr>
          <w:rStyle w:val="26"/>
          <w:rFonts w:hint="eastAsia" w:asciiTheme="minorEastAsia" w:hAnsiTheme="minorEastAsia"/>
          <w:color w:val="auto"/>
          <w:sz w:val="24"/>
          <w:highlight w:val="none"/>
        </w:rPr>
        <w:t>%的合同价款。</w:t>
      </w:r>
    </w:p>
    <w:p w14:paraId="4A4214DD">
      <w:pPr>
        <w:pStyle w:val="6"/>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t xml:space="preserve">   2.4 服务期满成果出来后</w:t>
      </w:r>
      <w:r>
        <w:rPr>
          <w:rFonts w:hint="eastAsia" w:asciiTheme="minorEastAsia" w:hAnsiTheme="minorEastAsia" w:eastAsiaTheme="minorEastAsia"/>
          <w:color w:val="auto"/>
          <w:sz w:val="24"/>
          <w:szCs w:val="24"/>
          <w:highlight w:val="none"/>
          <w:lang w:eastAsia="zh-CN"/>
        </w:rPr>
        <w:t>，</w:t>
      </w:r>
      <w:r>
        <w:rPr>
          <w:rFonts w:asciiTheme="minorEastAsia" w:hAnsiTheme="minorEastAsia" w:eastAsiaTheme="minorEastAsia"/>
          <w:color w:val="auto"/>
          <w:sz w:val="24"/>
          <w:szCs w:val="24"/>
          <w:highlight w:val="none"/>
          <w:lang w:eastAsia="zh-CN"/>
        </w:rPr>
        <w:t>满意度90%</w:t>
      </w:r>
      <w:r>
        <w:rPr>
          <w:rStyle w:val="26"/>
          <w:rFonts w:hint="eastAsia" w:asciiTheme="minorEastAsia" w:hAnsiTheme="minorEastAsia" w:eastAsiaTheme="minorEastAsia"/>
          <w:color w:val="auto"/>
          <w:sz w:val="24"/>
          <w:szCs w:val="24"/>
          <w:highlight w:val="none"/>
          <w:lang w:eastAsia="zh-CN"/>
        </w:rPr>
        <w:t>及以上，</w:t>
      </w:r>
      <w:r>
        <w:rPr>
          <w:rFonts w:asciiTheme="minorEastAsia" w:hAnsiTheme="minorEastAsia" w:eastAsiaTheme="minorEastAsia"/>
          <w:color w:val="auto"/>
          <w:sz w:val="24"/>
          <w:szCs w:val="24"/>
          <w:highlight w:val="none"/>
          <w:lang w:eastAsia="zh-CN"/>
        </w:rPr>
        <w:t>付清余款</w:t>
      </w:r>
    </w:p>
    <w:p w14:paraId="63B8DA20">
      <w:pPr>
        <w:adjustRightInd w:val="0"/>
        <w:snapToGrid w:val="0"/>
        <w:spacing w:line="500" w:lineRule="exact"/>
        <w:ind w:firstLine="480" w:firstLineChars="200"/>
        <w:rPr>
          <w:rStyle w:val="26"/>
          <w:rFonts w:asciiTheme="minorEastAsia" w:hAnsiTheme="minorEastAsia"/>
          <w:color w:val="auto"/>
          <w:sz w:val="24"/>
          <w:highlight w:val="none"/>
        </w:rPr>
      </w:pPr>
      <w:r>
        <w:rPr>
          <w:rStyle w:val="26"/>
          <w:rFonts w:hint="eastAsia" w:asciiTheme="minorEastAsia" w:hAnsiTheme="minorEastAsia"/>
          <w:color w:val="auto"/>
          <w:sz w:val="24"/>
          <w:highlight w:val="none"/>
        </w:rPr>
        <w:t>注：付款采用银行转账方式，乙方需按合同约定的支付时间节点向甲方提供对应金额的增值税发票，乙方迟延提交发票，甲方支付时间相应顺延。</w:t>
      </w:r>
    </w:p>
    <w:p w14:paraId="1FFFF75C">
      <w:pPr>
        <w:adjustRightInd w:val="0"/>
        <w:snapToGrid w:val="0"/>
        <w:spacing w:line="500" w:lineRule="exact"/>
        <w:ind w:firstLine="482" w:firstLineChars="200"/>
        <w:rPr>
          <w:rStyle w:val="26"/>
          <w:rFonts w:asciiTheme="minorEastAsia" w:hAnsiTheme="minorEastAsia"/>
          <w:color w:val="auto"/>
          <w:sz w:val="24"/>
          <w:highlight w:val="none"/>
        </w:rPr>
      </w:pPr>
      <w:r>
        <w:rPr>
          <w:rStyle w:val="26"/>
          <w:rFonts w:asciiTheme="minorEastAsia" w:hAnsiTheme="minorEastAsia"/>
          <w:b/>
          <w:color w:val="auto"/>
          <w:sz w:val="24"/>
          <w:highlight w:val="none"/>
        </w:rPr>
        <w:t>六、</w:t>
      </w:r>
      <w:r>
        <w:rPr>
          <w:rStyle w:val="26"/>
          <w:rFonts w:hint="eastAsia" w:asciiTheme="minorEastAsia" w:hAnsiTheme="minorEastAsia"/>
          <w:b/>
          <w:color w:val="auto"/>
          <w:sz w:val="24"/>
          <w:highlight w:val="none"/>
        </w:rPr>
        <w:t>履约</w:t>
      </w:r>
      <w:r>
        <w:rPr>
          <w:rStyle w:val="26"/>
          <w:rFonts w:asciiTheme="minorEastAsia" w:hAnsiTheme="minorEastAsia"/>
          <w:b/>
          <w:color w:val="auto"/>
          <w:sz w:val="24"/>
          <w:highlight w:val="none"/>
        </w:rPr>
        <w:t>保证金</w:t>
      </w:r>
    </w:p>
    <w:p w14:paraId="01C95B16">
      <w:pPr>
        <w:adjustRightInd w:val="0"/>
        <w:snapToGrid w:val="0"/>
        <w:spacing w:line="500" w:lineRule="exact"/>
        <w:ind w:firstLine="480"/>
        <w:rPr>
          <w:rFonts w:cs="宋体" w:asciiTheme="minorEastAsia" w:hAnsiTheme="minorEastAsia"/>
          <w:color w:val="auto"/>
          <w:sz w:val="24"/>
          <w:highlight w:val="none"/>
        </w:rPr>
      </w:pPr>
      <w:r>
        <w:rPr>
          <w:rFonts w:hint="eastAsia" w:cs="宋体" w:asciiTheme="minorEastAsia" w:hAnsiTheme="minorEastAsia"/>
          <w:color w:val="auto"/>
          <w:sz w:val="24"/>
          <w:highlight w:val="none"/>
        </w:rPr>
        <w:t>1、乙方签订合同前向招标人缴纳</w:t>
      </w:r>
      <w:r>
        <w:rPr>
          <w:rFonts w:hint="eastAsia" w:cs="宋体" w:asciiTheme="minorEastAsia" w:hAnsiTheme="minorEastAsia"/>
          <w:color w:val="auto"/>
          <w:sz w:val="24"/>
          <w:highlight w:val="none"/>
          <w:u w:val="single"/>
        </w:rPr>
        <w:t xml:space="preserve"> （合同价的10%）</w:t>
      </w:r>
      <w:r>
        <w:rPr>
          <w:rFonts w:hint="eastAsia" w:cs="宋体" w:asciiTheme="minorEastAsia" w:hAnsiTheme="minorEastAsia"/>
          <w:color w:val="auto"/>
          <w:sz w:val="24"/>
          <w:highlight w:val="none"/>
        </w:rPr>
        <w:t>的履约保证金，履约保证金以转账或电汇或网汇</w:t>
      </w:r>
      <w:r>
        <w:rPr>
          <w:rFonts w:ascii="Times New Roman" w:hAnsi="Times New Roman" w:cs="Times New Roman"/>
          <w:bCs/>
          <w:color w:val="auto"/>
          <w:sz w:val="24"/>
          <w:highlight w:val="none"/>
        </w:rPr>
        <w:t>或者金融机构、担保机构出具的保函</w:t>
      </w:r>
      <w:r>
        <w:rPr>
          <w:rFonts w:hint="eastAsia" w:cs="宋体" w:asciiTheme="minorEastAsia" w:hAnsiTheme="minorEastAsia"/>
          <w:color w:val="auto"/>
          <w:sz w:val="24"/>
          <w:highlight w:val="none"/>
        </w:rPr>
        <w:t>形式转至甲方指定账户并存于甲方处，待服务结束并通过验收合格且无违约情况方可退还。</w:t>
      </w:r>
    </w:p>
    <w:p w14:paraId="3AA158A6">
      <w:pPr>
        <w:adjustRightInd w:val="0"/>
        <w:snapToGrid w:val="0"/>
        <w:spacing w:line="500" w:lineRule="exact"/>
        <w:ind w:firstLine="480"/>
        <w:rPr>
          <w:rFonts w:cs="宋体" w:asciiTheme="minorEastAsia" w:hAnsiTheme="minorEastAsia"/>
          <w:color w:val="auto"/>
          <w:sz w:val="24"/>
          <w:highlight w:val="none"/>
        </w:rPr>
      </w:pPr>
      <w:r>
        <w:rPr>
          <w:rFonts w:hint="eastAsia" w:cs="宋体" w:asciiTheme="minorEastAsia" w:hAnsiTheme="minorEastAsia"/>
          <w:color w:val="auto"/>
          <w:sz w:val="24"/>
          <w:highlight w:val="none"/>
        </w:rPr>
        <w:t>注：乙方信用等级为AA级及以上的，可以免交履约保证金；信用等级为A级及以下的投标人需足额缴纳履约保证金；投标人适用上述少缴情形的，需在签订合同前提供“江苏省信用服务机构管理系统”中申报信息的第三方信用服务机构，依据《江苏省企业信用评价指引（2023版）》出具的信用报告（经“信用中国（江苏盐城）”网站对外公示）。</w:t>
      </w:r>
    </w:p>
    <w:p w14:paraId="0406CD40">
      <w:pPr>
        <w:adjustRightInd w:val="0"/>
        <w:snapToGrid w:val="0"/>
        <w:spacing w:line="500" w:lineRule="exact"/>
        <w:ind w:firstLine="480"/>
        <w:rPr>
          <w:rFonts w:cs="宋体" w:asciiTheme="minorEastAsia" w:hAnsiTheme="minorEastAsia"/>
          <w:color w:val="auto"/>
          <w:sz w:val="24"/>
          <w:highlight w:val="none"/>
        </w:rPr>
      </w:pPr>
      <w:r>
        <w:rPr>
          <w:rFonts w:hint="eastAsia" w:cs="宋体" w:asciiTheme="minorEastAsia" w:hAnsiTheme="minorEastAsia"/>
          <w:color w:val="auto"/>
          <w:sz w:val="24"/>
          <w:highlight w:val="none"/>
        </w:rPr>
        <w:t>2、确需收取履约保证金的，履约保证金的缴纳形式：</w:t>
      </w:r>
    </w:p>
    <w:p w14:paraId="3F62FE7B">
      <w:pPr>
        <w:adjustRightInd w:val="0"/>
        <w:snapToGrid w:val="0"/>
        <w:spacing w:line="500" w:lineRule="exact"/>
        <w:ind w:firstLine="480"/>
        <w:rPr>
          <w:rFonts w:cs="宋体" w:asciiTheme="minorEastAsia" w:hAnsiTheme="minorEastAsia"/>
          <w:color w:val="auto"/>
          <w:sz w:val="24"/>
          <w:highlight w:val="none"/>
        </w:rPr>
      </w:pPr>
      <w:r>
        <w:rPr>
          <w:rFonts w:hint="eastAsia" w:cs="宋体" w:asciiTheme="minorEastAsia" w:hAnsiTheme="minorEastAsia"/>
          <w:color w:val="auto"/>
          <w:sz w:val="24"/>
          <w:highlight w:val="none"/>
        </w:rPr>
        <w:t>2.1乙方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13BF58D0">
      <w:pPr>
        <w:adjustRightInd w:val="0"/>
        <w:snapToGrid w:val="0"/>
        <w:spacing w:line="500" w:lineRule="exact"/>
        <w:ind w:firstLine="480"/>
        <w:rPr>
          <w:rFonts w:cs="宋体" w:asciiTheme="minorEastAsia" w:hAnsiTheme="minorEastAsia"/>
          <w:color w:val="auto"/>
          <w:sz w:val="24"/>
          <w:highlight w:val="none"/>
        </w:rPr>
      </w:pPr>
      <w:r>
        <w:rPr>
          <w:rFonts w:hint="eastAsia" w:cs="宋体" w:asciiTheme="minorEastAsia" w:hAnsiTheme="minorEastAsia"/>
          <w:color w:val="auto"/>
          <w:sz w:val="24"/>
          <w:highlight w:val="none"/>
        </w:rPr>
        <w:t>2.2如以履约保函（保险）形式缴纳履约保证金，供应商可通过政府采购电子履约保函（保险）平台（www.jsdzbh.com）在线申请履约保函（保险）。</w:t>
      </w:r>
    </w:p>
    <w:p w14:paraId="0C72E126">
      <w:pPr>
        <w:adjustRightInd w:val="0"/>
        <w:snapToGrid w:val="0"/>
        <w:spacing w:line="500" w:lineRule="exact"/>
        <w:ind w:firstLine="480"/>
        <w:rPr>
          <w:rFonts w:cs="宋体" w:asciiTheme="minorEastAsia" w:hAnsiTheme="minorEastAsia"/>
          <w:color w:val="auto"/>
          <w:sz w:val="24"/>
          <w:highlight w:val="none"/>
        </w:rPr>
      </w:pPr>
      <w:r>
        <w:rPr>
          <w:rFonts w:hint="eastAsia" w:cs="宋体" w:asciiTheme="minorEastAsia" w:hAnsiTheme="minorEastAsia"/>
          <w:color w:val="auto"/>
          <w:sz w:val="24"/>
          <w:highlight w:val="none"/>
        </w:rPr>
        <w:t>2.3合同履行结束后，甲方应及时退还交纳的履约保证金。</w:t>
      </w:r>
    </w:p>
    <w:p w14:paraId="3B1131C8">
      <w:pPr>
        <w:adjustRightInd w:val="0"/>
        <w:snapToGrid w:val="0"/>
        <w:spacing w:line="500" w:lineRule="exact"/>
        <w:ind w:firstLine="480"/>
        <w:rPr>
          <w:rFonts w:cs="宋体" w:asciiTheme="minorEastAsia" w:hAnsiTheme="minorEastAsia"/>
          <w:color w:val="auto"/>
          <w:sz w:val="24"/>
          <w:highlight w:val="none"/>
        </w:rPr>
      </w:pPr>
      <w:r>
        <w:rPr>
          <w:rFonts w:hint="eastAsia" w:cs="宋体" w:asciiTheme="minorEastAsia" w:hAnsiTheme="minorEastAsia"/>
          <w:color w:val="auto"/>
          <w:sz w:val="24"/>
          <w:highlight w:val="none"/>
        </w:rPr>
        <w:t>2.4履约保证金的退还：</w:t>
      </w:r>
    </w:p>
    <w:p w14:paraId="4B462B35">
      <w:pPr>
        <w:adjustRightInd w:val="0"/>
        <w:snapToGrid w:val="0"/>
        <w:spacing w:line="500" w:lineRule="exact"/>
        <w:ind w:firstLine="480"/>
        <w:rPr>
          <w:rFonts w:cs="宋体" w:asciiTheme="minorEastAsia" w:hAnsiTheme="minorEastAsia"/>
          <w:color w:val="auto"/>
          <w:sz w:val="24"/>
          <w:highlight w:val="none"/>
        </w:rPr>
      </w:pPr>
      <w:r>
        <w:rPr>
          <w:rFonts w:hint="eastAsia" w:cs="宋体" w:asciiTheme="minorEastAsia" w:hAnsiTheme="minorEastAsia"/>
          <w:color w:val="auto"/>
          <w:sz w:val="24"/>
          <w:highlight w:val="none"/>
        </w:rPr>
        <w:t>2.4.1方式：退还至乙方缴纳履约保证金的账户。如为保函，在到期时自行失效。</w:t>
      </w:r>
    </w:p>
    <w:p w14:paraId="7B787DF9">
      <w:pPr>
        <w:adjustRightInd w:val="0"/>
        <w:snapToGrid w:val="0"/>
        <w:spacing w:line="500" w:lineRule="exact"/>
        <w:ind w:firstLine="480"/>
        <w:rPr>
          <w:rFonts w:cs="宋体" w:asciiTheme="minorEastAsia" w:hAnsiTheme="minorEastAsia"/>
          <w:color w:val="auto"/>
          <w:sz w:val="24"/>
          <w:highlight w:val="none"/>
        </w:rPr>
      </w:pPr>
      <w:r>
        <w:rPr>
          <w:rFonts w:hint="eastAsia" w:cs="宋体" w:asciiTheme="minorEastAsia" w:hAnsiTheme="minorEastAsia"/>
          <w:color w:val="auto"/>
          <w:sz w:val="24"/>
          <w:highlight w:val="none"/>
        </w:rPr>
        <w:t>2.4.2时间：如为支票、汇票、本票，在服务期满后30日内退还。</w:t>
      </w:r>
    </w:p>
    <w:p w14:paraId="33811F18">
      <w:pPr>
        <w:adjustRightInd w:val="0"/>
        <w:snapToGrid w:val="0"/>
        <w:spacing w:line="500" w:lineRule="exact"/>
        <w:ind w:firstLine="480"/>
        <w:rPr>
          <w:rFonts w:cs="宋体" w:asciiTheme="minorEastAsia" w:hAnsiTheme="minorEastAsia"/>
          <w:color w:val="auto"/>
          <w:sz w:val="24"/>
          <w:highlight w:val="none"/>
        </w:rPr>
      </w:pPr>
      <w:r>
        <w:rPr>
          <w:rFonts w:hint="eastAsia" w:cs="宋体" w:asciiTheme="minorEastAsia" w:hAnsiTheme="minorEastAsia"/>
          <w:color w:val="auto"/>
          <w:sz w:val="24"/>
          <w:highlight w:val="none"/>
        </w:rPr>
        <w:t>2.4.3条件：按合同要求全部履约完成并经甲方验收合格。</w:t>
      </w:r>
    </w:p>
    <w:p w14:paraId="7AE84B67">
      <w:pPr>
        <w:adjustRightInd w:val="0"/>
        <w:snapToGrid w:val="0"/>
        <w:spacing w:line="500" w:lineRule="exact"/>
        <w:ind w:firstLine="480"/>
        <w:rPr>
          <w:rFonts w:cs="宋体" w:asciiTheme="minorEastAsia" w:hAnsiTheme="minorEastAsia"/>
          <w:color w:val="auto"/>
          <w:sz w:val="24"/>
          <w:highlight w:val="none"/>
        </w:rPr>
      </w:pPr>
      <w:r>
        <w:rPr>
          <w:rFonts w:hint="eastAsia" w:cs="宋体" w:asciiTheme="minorEastAsia" w:hAnsiTheme="minorEastAsia"/>
          <w:color w:val="auto"/>
          <w:sz w:val="24"/>
          <w:highlight w:val="none"/>
        </w:rPr>
        <w:t>2.5不予退还情形：</w:t>
      </w:r>
    </w:p>
    <w:p w14:paraId="5E8D7B46">
      <w:pPr>
        <w:adjustRightInd w:val="0"/>
        <w:snapToGrid w:val="0"/>
        <w:spacing w:line="500" w:lineRule="exact"/>
        <w:ind w:firstLine="480"/>
        <w:rPr>
          <w:rFonts w:cs="宋体" w:asciiTheme="minorEastAsia" w:hAnsiTheme="minorEastAsia"/>
          <w:color w:val="auto"/>
          <w:sz w:val="24"/>
          <w:highlight w:val="none"/>
        </w:rPr>
      </w:pPr>
      <w:r>
        <w:rPr>
          <w:rFonts w:hint="eastAsia" w:cs="宋体" w:asciiTheme="minorEastAsia" w:hAnsiTheme="minorEastAsia"/>
          <w:color w:val="auto"/>
          <w:sz w:val="24"/>
          <w:highlight w:val="none"/>
        </w:rPr>
        <w:t>除不可抗力情况外，乙方出现下列情形之一的，其履约保证金，甲方将视情节决定不予退还或部分不予退还。</w:t>
      </w:r>
    </w:p>
    <w:p w14:paraId="07D07F3F">
      <w:pPr>
        <w:adjustRightInd w:val="0"/>
        <w:snapToGrid w:val="0"/>
        <w:spacing w:line="500" w:lineRule="exact"/>
        <w:ind w:firstLine="480"/>
        <w:rPr>
          <w:rFonts w:cs="宋体" w:asciiTheme="minorEastAsia" w:hAnsiTheme="minorEastAsia"/>
          <w:color w:val="auto"/>
          <w:sz w:val="24"/>
          <w:highlight w:val="none"/>
        </w:rPr>
      </w:pPr>
      <w:r>
        <w:rPr>
          <w:rFonts w:hint="eastAsia" w:cs="宋体" w:asciiTheme="minorEastAsia" w:hAnsiTheme="minorEastAsia"/>
          <w:color w:val="auto"/>
          <w:sz w:val="24"/>
          <w:highlight w:val="none"/>
        </w:rPr>
        <w:t>（1）乙方无正当理由拒绝签订合同的，或者在签订合同时向甲方提出附加条件或者更改合同实质性内容要求的；</w:t>
      </w:r>
    </w:p>
    <w:p w14:paraId="5740937F">
      <w:pPr>
        <w:adjustRightInd w:val="0"/>
        <w:snapToGrid w:val="0"/>
        <w:spacing w:line="500" w:lineRule="exact"/>
        <w:ind w:firstLine="480"/>
        <w:rPr>
          <w:rFonts w:cs="宋体" w:asciiTheme="minorEastAsia" w:hAnsiTheme="minorEastAsia"/>
          <w:color w:val="auto"/>
          <w:sz w:val="24"/>
          <w:highlight w:val="none"/>
        </w:rPr>
      </w:pPr>
      <w:r>
        <w:rPr>
          <w:rFonts w:hint="eastAsia" w:cs="宋体" w:asciiTheme="minorEastAsia" w:hAnsiTheme="minorEastAsia"/>
          <w:color w:val="auto"/>
          <w:sz w:val="24"/>
          <w:highlight w:val="none"/>
        </w:rPr>
        <w:t>（2）乙方不履行与甲方订立的合同的；</w:t>
      </w:r>
    </w:p>
    <w:p w14:paraId="59614CC9">
      <w:pPr>
        <w:adjustRightInd w:val="0"/>
        <w:snapToGrid w:val="0"/>
        <w:spacing w:line="500" w:lineRule="exact"/>
        <w:ind w:firstLine="480"/>
        <w:rPr>
          <w:rFonts w:cs="宋体" w:asciiTheme="minorEastAsia" w:hAnsiTheme="minorEastAsia"/>
          <w:color w:val="auto"/>
          <w:sz w:val="24"/>
          <w:highlight w:val="none"/>
        </w:rPr>
      </w:pPr>
      <w:r>
        <w:rPr>
          <w:rFonts w:hint="eastAsia" w:cs="宋体" w:asciiTheme="minorEastAsia" w:hAnsiTheme="minorEastAsia"/>
          <w:color w:val="auto"/>
          <w:sz w:val="24"/>
          <w:highlight w:val="none"/>
        </w:rPr>
        <w:t>（3）乙方所供服务不符合招标文件规定要求的；</w:t>
      </w:r>
    </w:p>
    <w:p w14:paraId="425A1A73">
      <w:pPr>
        <w:adjustRightInd w:val="0"/>
        <w:snapToGrid w:val="0"/>
        <w:spacing w:line="500" w:lineRule="exact"/>
        <w:ind w:firstLine="480"/>
        <w:rPr>
          <w:rFonts w:cs="宋体" w:asciiTheme="minorEastAsia" w:hAnsiTheme="minorEastAsia"/>
          <w:color w:val="auto"/>
          <w:sz w:val="24"/>
          <w:highlight w:val="none"/>
        </w:rPr>
      </w:pPr>
      <w:r>
        <w:rPr>
          <w:rFonts w:hint="eastAsia" w:cs="宋体" w:asciiTheme="minorEastAsia" w:hAnsiTheme="minorEastAsia"/>
          <w:color w:val="auto"/>
          <w:sz w:val="24"/>
          <w:highlight w:val="none"/>
        </w:rPr>
        <w:t>（4）乙方采取欺骗、弄虚作假方式投标的或与其他投标人串通投标的；</w:t>
      </w:r>
    </w:p>
    <w:p w14:paraId="4307D258">
      <w:pPr>
        <w:adjustRightInd w:val="0"/>
        <w:snapToGrid w:val="0"/>
        <w:spacing w:line="500" w:lineRule="exact"/>
        <w:ind w:firstLine="480"/>
        <w:rPr>
          <w:rFonts w:cs="宋体" w:asciiTheme="minorEastAsia" w:hAnsiTheme="minorEastAsia"/>
          <w:color w:val="auto"/>
          <w:sz w:val="24"/>
          <w:highlight w:val="none"/>
        </w:rPr>
      </w:pPr>
      <w:r>
        <w:rPr>
          <w:rFonts w:hint="eastAsia" w:cs="宋体" w:asciiTheme="minorEastAsia" w:hAnsiTheme="minorEastAsia"/>
          <w:color w:val="auto"/>
          <w:sz w:val="24"/>
          <w:highlight w:val="none"/>
        </w:rPr>
        <w:t>（5）乙方将合同内容转包、违法分包的；</w:t>
      </w:r>
    </w:p>
    <w:p w14:paraId="30B2B4F4">
      <w:pPr>
        <w:adjustRightInd w:val="0"/>
        <w:snapToGrid w:val="0"/>
        <w:spacing w:line="500" w:lineRule="exact"/>
        <w:ind w:firstLine="480"/>
        <w:rPr>
          <w:rFonts w:cs="宋体" w:asciiTheme="minorEastAsia" w:hAnsiTheme="minorEastAsia"/>
          <w:color w:val="auto"/>
          <w:sz w:val="24"/>
          <w:highlight w:val="none"/>
        </w:rPr>
      </w:pPr>
      <w:r>
        <w:rPr>
          <w:rFonts w:hint="eastAsia" w:cs="宋体" w:asciiTheme="minorEastAsia" w:hAnsiTheme="minorEastAsia"/>
          <w:color w:val="auto"/>
          <w:sz w:val="24"/>
          <w:highlight w:val="none"/>
        </w:rPr>
        <w:t>（6）乙方故意捏造事实或伪造证明材料，进行虚假恶意投诉或反映的。</w:t>
      </w:r>
    </w:p>
    <w:p w14:paraId="4AC221AB">
      <w:pPr>
        <w:pStyle w:val="27"/>
        <w:adjustRightInd w:val="0"/>
        <w:snapToGrid w:val="0"/>
        <w:spacing w:line="500" w:lineRule="exact"/>
        <w:ind w:firstLine="480" w:firstLineChars="200"/>
        <w:rPr>
          <w:rStyle w:val="26"/>
          <w:rFonts w:asciiTheme="minorEastAsia" w:hAnsiTheme="minorEastAsia"/>
          <w:color w:val="auto"/>
          <w:sz w:val="24"/>
          <w:highlight w:val="none"/>
        </w:rPr>
      </w:pPr>
      <w:r>
        <w:rPr>
          <w:rFonts w:hint="eastAsia" w:cs="宋体" w:asciiTheme="minorEastAsia" w:hAnsiTheme="minorEastAsia"/>
          <w:color w:val="auto"/>
          <w:sz w:val="24"/>
          <w:highlight w:val="none"/>
        </w:rPr>
        <w:t>2.6逾期退还的违约责任：甲方逾期无故未退还履约保证金的，按中国人民银行同期贷款基准利率上浮20%后的利率支付超期资金占用费，但因供应商自身原因导致无法及时退还的除外。</w:t>
      </w:r>
    </w:p>
    <w:p w14:paraId="06DA41A1">
      <w:pPr>
        <w:pStyle w:val="11"/>
        <w:adjustRightInd w:val="0"/>
        <w:snapToGrid w:val="0"/>
        <w:spacing w:beforeAutospacing="0" w:afterAutospacing="0" w:line="500" w:lineRule="exact"/>
        <w:ind w:firstLine="482" w:firstLineChars="200"/>
        <w:jc w:val="both"/>
        <w:rPr>
          <w:rFonts w:asciiTheme="minorEastAsia" w:hAnsiTheme="minorEastAsia"/>
          <w:color w:val="auto"/>
          <w:highlight w:val="none"/>
        </w:rPr>
      </w:pPr>
      <w:r>
        <w:rPr>
          <w:rFonts w:hint="eastAsia" w:cs="宋体" w:asciiTheme="minorEastAsia" w:hAnsiTheme="minorEastAsia"/>
          <w:b/>
          <w:color w:val="auto"/>
          <w:highlight w:val="none"/>
        </w:rPr>
        <w:t>七、税费</w:t>
      </w:r>
    </w:p>
    <w:p w14:paraId="09C10610">
      <w:pPr>
        <w:pStyle w:val="11"/>
        <w:adjustRightInd w:val="0"/>
        <w:snapToGrid w:val="0"/>
        <w:spacing w:beforeAutospacing="0" w:afterAutospacing="0" w:line="500" w:lineRule="exact"/>
        <w:ind w:firstLine="480" w:firstLineChars="200"/>
        <w:jc w:val="both"/>
        <w:rPr>
          <w:rFonts w:asciiTheme="minorEastAsia" w:hAnsiTheme="minorEastAsia"/>
          <w:color w:val="auto"/>
          <w:highlight w:val="none"/>
        </w:rPr>
      </w:pPr>
      <w:r>
        <w:rPr>
          <w:rFonts w:hint="eastAsia" w:cs="宋体" w:asciiTheme="minorEastAsia" w:hAnsiTheme="minorEastAsia"/>
          <w:color w:val="auto"/>
          <w:highlight w:val="none"/>
        </w:rPr>
        <w:t>本合同执行中相关的一切税费均由乙方负担。</w:t>
      </w:r>
    </w:p>
    <w:p w14:paraId="0B3F8D1C">
      <w:pPr>
        <w:adjustRightInd w:val="0"/>
        <w:snapToGrid w:val="0"/>
        <w:spacing w:line="500" w:lineRule="exact"/>
        <w:ind w:firstLine="482" w:firstLineChars="200"/>
        <w:rPr>
          <w:rFonts w:asciiTheme="minorEastAsia" w:hAnsiTheme="minorEastAsia"/>
          <w:b/>
          <w:color w:val="auto"/>
          <w:sz w:val="24"/>
          <w:highlight w:val="none"/>
        </w:rPr>
      </w:pPr>
      <w:r>
        <w:rPr>
          <w:rFonts w:hint="eastAsia" w:asciiTheme="minorEastAsia" w:hAnsiTheme="minorEastAsia"/>
          <w:b/>
          <w:color w:val="auto"/>
          <w:sz w:val="24"/>
          <w:highlight w:val="none"/>
        </w:rPr>
        <w:t>八、甲方的责任和义务</w:t>
      </w:r>
    </w:p>
    <w:p w14:paraId="45059454">
      <w:pPr>
        <w:adjustRightInd w:val="0"/>
        <w:snapToGrid w:val="0"/>
        <w:spacing w:line="500" w:lineRule="exact"/>
        <w:ind w:firstLine="480" w:firstLineChars="200"/>
        <w:rPr>
          <w:rFonts w:asciiTheme="minorEastAsia" w:hAnsiTheme="minorEastAsia"/>
          <w:color w:val="auto"/>
          <w:sz w:val="24"/>
          <w:highlight w:val="none"/>
        </w:rPr>
      </w:pPr>
      <w:r>
        <w:rPr>
          <w:rFonts w:hint="eastAsia" w:asciiTheme="minorEastAsia" w:hAnsiTheme="minorEastAsia"/>
          <w:color w:val="auto"/>
          <w:sz w:val="24"/>
          <w:highlight w:val="none"/>
        </w:rPr>
        <w:t>1、负责组织学员，督促学员按时参加培养。</w:t>
      </w:r>
    </w:p>
    <w:p w14:paraId="4FE7016A">
      <w:pPr>
        <w:adjustRightInd w:val="0"/>
        <w:snapToGrid w:val="0"/>
        <w:spacing w:line="500" w:lineRule="exact"/>
        <w:ind w:firstLine="480" w:firstLineChars="200"/>
        <w:rPr>
          <w:rFonts w:asciiTheme="minorEastAsia" w:hAnsiTheme="minorEastAsia"/>
          <w:color w:val="auto"/>
          <w:sz w:val="24"/>
          <w:highlight w:val="none"/>
        </w:rPr>
      </w:pPr>
      <w:r>
        <w:rPr>
          <w:rFonts w:hint="eastAsia" w:asciiTheme="minorEastAsia" w:hAnsiTheme="minorEastAsia"/>
          <w:color w:val="auto"/>
          <w:sz w:val="24"/>
          <w:highlight w:val="none"/>
        </w:rPr>
        <w:t>2、负责参加培养学员的安全教育提示，督促学员遵守乙方制度、维护教学秩序。</w:t>
      </w:r>
    </w:p>
    <w:p w14:paraId="7191C941">
      <w:pPr>
        <w:adjustRightInd w:val="0"/>
        <w:snapToGrid w:val="0"/>
        <w:spacing w:line="500" w:lineRule="exact"/>
        <w:ind w:firstLine="480" w:firstLineChars="200"/>
        <w:rPr>
          <w:rFonts w:asciiTheme="minorEastAsia" w:hAnsiTheme="minorEastAsia"/>
          <w:color w:val="auto"/>
          <w:sz w:val="24"/>
          <w:highlight w:val="none"/>
        </w:rPr>
      </w:pPr>
      <w:r>
        <w:rPr>
          <w:rFonts w:asciiTheme="minorEastAsia" w:hAnsiTheme="minorEastAsia"/>
          <w:color w:val="auto"/>
          <w:sz w:val="24"/>
          <w:highlight w:val="none"/>
        </w:rPr>
        <w:t>3、</w:t>
      </w:r>
      <w:r>
        <w:rPr>
          <w:rFonts w:hint="eastAsia" w:asciiTheme="minorEastAsia" w:hAnsiTheme="minorEastAsia"/>
          <w:color w:val="auto"/>
          <w:sz w:val="24"/>
          <w:highlight w:val="none"/>
        </w:rPr>
        <w:t>甲方有权审核乙方指定的培养方案并提出修改意见，有权对乙方在本培养工作中不符合要求的情况提出整改建议。</w:t>
      </w:r>
    </w:p>
    <w:p w14:paraId="2CF684D7">
      <w:pPr>
        <w:adjustRightInd w:val="0"/>
        <w:snapToGrid w:val="0"/>
        <w:spacing w:line="500" w:lineRule="exact"/>
        <w:ind w:firstLine="480" w:firstLineChars="200"/>
        <w:rPr>
          <w:rFonts w:asciiTheme="minorEastAsia" w:hAnsiTheme="minorEastAsia"/>
          <w:color w:val="auto"/>
          <w:sz w:val="24"/>
          <w:highlight w:val="none"/>
        </w:rPr>
      </w:pPr>
      <w:r>
        <w:rPr>
          <w:rFonts w:hint="eastAsia" w:asciiTheme="minorEastAsia" w:hAnsiTheme="minorEastAsia"/>
          <w:color w:val="auto"/>
          <w:sz w:val="24"/>
          <w:highlight w:val="none"/>
        </w:rPr>
        <w:t>4、负责对乙方培养实施进行指导检查。</w:t>
      </w:r>
    </w:p>
    <w:p w14:paraId="0E66377D">
      <w:pPr>
        <w:adjustRightInd w:val="0"/>
        <w:snapToGrid w:val="0"/>
        <w:spacing w:line="500" w:lineRule="exact"/>
        <w:ind w:firstLine="480" w:firstLineChars="200"/>
        <w:rPr>
          <w:rFonts w:asciiTheme="minorEastAsia" w:hAnsiTheme="minorEastAsia"/>
          <w:color w:val="auto"/>
          <w:sz w:val="24"/>
          <w:highlight w:val="none"/>
        </w:rPr>
      </w:pPr>
      <w:r>
        <w:rPr>
          <w:rFonts w:asciiTheme="minorEastAsia" w:hAnsiTheme="minorEastAsia"/>
          <w:color w:val="auto"/>
          <w:sz w:val="24"/>
          <w:highlight w:val="none"/>
        </w:rPr>
        <w:t>5、</w:t>
      </w:r>
      <w:r>
        <w:rPr>
          <w:rFonts w:hint="eastAsia" w:asciiTheme="minorEastAsia" w:hAnsiTheme="minorEastAsia"/>
          <w:color w:val="auto"/>
          <w:sz w:val="24"/>
          <w:highlight w:val="none"/>
        </w:rPr>
        <w:t>在本合同执行期间，甲方指定专人密切配合乙方工作，并对乙方反馈的相关信息进行及时处理。</w:t>
      </w:r>
    </w:p>
    <w:p w14:paraId="0DED4EC9">
      <w:pPr>
        <w:adjustRightInd w:val="0"/>
        <w:snapToGrid w:val="0"/>
        <w:spacing w:line="500" w:lineRule="exact"/>
        <w:ind w:firstLine="480" w:firstLineChars="200"/>
        <w:rPr>
          <w:rFonts w:asciiTheme="minorEastAsia" w:hAnsiTheme="minorEastAsia"/>
          <w:color w:val="auto"/>
          <w:sz w:val="24"/>
          <w:highlight w:val="none"/>
        </w:rPr>
      </w:pPr>
      <w:r>
        <w:rPr>
          <w:rFonts w:asciiTheme="minorEastAsia" w:hAnsiTheme="minorEastAsia"/>
          <w:color w:val="auto"/>
          <w:sz w:val="24"/>
          <w:highlight w:val="none"/>
        </w:rPr>
        <w:t>6、</w:t>
      </w:r>
      <w:r>
        <w:rPr>
          <w:rFonts w:hint="eastAsia" w:asciiTheme="minorEastAsia" w:hAnsiTheme="minorEastAsia"/>
          <w:color w:val="auto"/>
          <w:sz w:val="24"/>
          <w:highlight w:val="none"/>
        </w:rPr>
        <w:t>按合同约定支付培养费用。</w:t>
      </w:r>
    </w:p>
    <w:p w14:paraId="254F4963">
      <w:pPr>
        <w:adjustRightInd w:val="0"/>
        <w:snapToGrid w:val="0"/>
        <w:spacing w:line="500" w:lineRule="exact"/>
        <w:ind w:firstLine="482" w:firstLineChars="200"/>
        <w:rPr>
          <w:rFonts w:asciiTheme="minorEastAsia" w:hAnsiTheme="minorEastAsia"/>
          <w:b/>
          <w:color w:val="auto"/>
          <w:sz w:val="24"/>
          <w:highlight w:val="none"/>
        </w:rPr>
      </w:pPr>
      <w:r>
        <w:rPr>
          <w:rFonts w:hint="eastAsia" w:asciiTheme="minorEastAsia" w:hAnsiTheme="minorEastAsia"/>
          <w:b/>
          <w:color w:val="auto"/>
          <w:sz w:val="24"/>
          <w:highlight w:val="none"/>
        </w:rPr>
        <w:t>九、乙方的责任和义务</w:t>
      </w:r>
    </w:p>
    <w:p w14:paraId="31933147">
      <w:pPr>
        <w:adjustRightInd w:val="0"/>
        <w:snapToGrid w:val="0"/>
        <w:spacing w:line="500" w:lineRule="exact"/>
        <w:ind w:firstLine="480" w:firstLineChars="200"/>
        <w:rPr>
          <w:rFonts w:asciiTheme="minorEastAsia" w:hAnsiTheme="minorEastAsia"/>
          <w:color w:val="auto"/>
          <w:sz w:val="24"/>
          <w:highlight w:val="none"/>
        </w:rPr>
      </w:pPr>
      <w:r>
        <w:rPr>
          <w:rFonts w:hint="eastAsia" w:asciiTheme="minorEastAsia" w:hAnsiTheme="minorEastAsia"/>
          <w:color w:val="auto"/>
          <w:sz w:val="24"/>
          <w:highlight w:val="none"/>
        </w:rPr>
        <w:t>1、制定项目方案、课程设置、突发事件应急处理预案，认真组织实施培养工作，确保学员在培养期间的安全；</w:t>
      </w:r>
    </w:p>
    <w:p w14:paraId="4316E643">
      <w:pPr>
        <w:adjustRightInd w:val="0"/>
        <w:snapToGrid w:val="0"/>
        <w:spacing w:line="500" w:lineRule="exact"/>
        <w:ind w:firstLine="480" w:firstLineChars="200"/>
        <w:rPr>
          <w:rFonts w:asciiTheme="minorEastAsia" w:hAnsiTheme="minorEastAsia"/>
          <w:color w:val="auto"/>
          <w:sz w:val="24"/>
          <w:highlight w:val="none"/>
        </w:rPr>
      </w:pPr>
      <w:r>
        <w:rPr>
          <w:rFonts w:hint="eastAsia" w:asciiTheme="minorEastAsia" w:hAnsiTheme="minorEastAsia"/>
          <w:color w:val="auto"/>
          <w:sz w:val="24"/>
          <w:highlight w:val="none"/>
        </w:rPr>
        <w:t>2、按照甲方统一要求，组织培养与考核；</w:t>
      </w:r>
    </w:p>
    <w:p w14:paraId="3430B5CF">
      <w:pPr>
        <w:adjustRightInd w:val="0"/>
        <w:snapToGrid w:val="0"/>
        <w:spacing w:line="500" w:lineRule="exact"/>
        <w:ind w:firstLine="480" w:firstLineChars="200"/>
        <w:rPr>
          <w:rFonts w:asciiTheme="minorEastAsia" w:hAnsiTheme="minorEastAsia"/>
          <w:color w:val="auto"/>
          <w:sz w:val="24"/>
          <w:highlight w:val="none"/>
        </w:rPr>
      </w:pPr>
      <w:r>
        <w:rPr>
          <w:rFonts w:asciiTheme="minorEastAsia" w:hAnsiTheme="minorEastAsia"/>
          <w:color w:val="auto"/>
          <w:sz w:val="24"/>
          <w:highlight w:val="none"/>
        </w:rPr>
        <w:t>3、</w:t>
      </w:r>
      <w:r>
        <w:rPr>
          <w:rFonts w:hint="eastAsia" w:asciiTheme="minorEastAsia" w:hAnsiTheme="minorEastAsia"/>
          <w:color w:val="auto"/>
          <w:sz w:val="24"/>
          <w:highlight w:val="none"/>
        </w:rPr>
        <w:t>严格执行甲方审定的课程计划，不得私自更换授课教师和授课专题；</w:t>
      </w:r>
    </w:p>
    <w:p w14:paraId="61C18D06">
      <w:pPr>
        <w:adjustRightInd w:val="0"/>
        <w:snapToGrid w:val="0"/>
        <w:spacing w:line="500" w:lineRule="exact"/>
        <w:ind w:firstLine="480" w:firstLineChars="200"/>
        <w:rPr>
          <w:rFonts w:asciiTheme="minorEastAsia" w:hAnsiTheme="minorEastAsia"/>
          <w:color w:val="auto"/>
          <w:sz w:val="24"/>
          <w:highlight w:val="none"/>
        </w:rPr>
      </w:pPr>
      <w:r>
        <w:rPr>
          <w:rFonts w:hint="eastAsia" w:asciiTheme="minorEastAsia" w:hAnsiTheme="minorEastAsia"/>
          <w:color w:val="auto"/>
          <w:sz w:val="24"/>
          <w:highlight w:val="none"/>
        </w:rPr>
        <w:t>4、负责按规定条件选聘师资，负责教师接待、日常教学组织，为学员提供必要的学习资料；</w:t>
      </w:r>
    </w:p>
    <w:p w14:paraId="7D58DD8F">
      <w:pPr>
        <w:adjustRightInd w:val="0"/>
        <w:snapToGrid w:val="0"/>
        <w:spacing w:line="500" w:lineRule="exact"/>
        <w:ind w:firstLine="480" w:firstLineChars="200"/>
        <w:rPr>
          <w:rFonts w:asciiTheme="minorEastAsia" w:hAnsiTheme="minorEastAsia"/>
          <w:color w:val="auto"/>
          <w:sz w:val="24"/>
          <w:highlight w:val="none"/>
        </w:rPr>
      </w:pPr>
      <w:r>
        <w:rPr>
          <w:rFonts w:asciiTheme="minorEastAsia" w:hAnsiTheme="minorEastAsia"/>
          <w:color w:val="auto"/>
          <w:sz w:val="24"/>
          <w:highlight w:val="none"/>
        </w:rPr>
        <w:t>5、</w:t>
      </w:r>
      <w:r>
        <w:rPr>
          <w:rFonts w:hint="eastAsia" w:asciiTheme="minorEastAsia" w:hAnsiTheme="minorEastAsia"/>
          <w:color w:val="auto"/>
          <w:sz w:val="24"/>
          <w:highlight w:val="none"/>
        </w:rPr>
        <w:t>负责收集学员意见、安排课余文化生活、开展问卷测评工作，向甲方提供所需的文字、录音、录像资料。按甲方要求，完成评估和培养结束后调研及跟踪指导工作；</w:t>
      </w:r>
    </w:p>
    <w:p w14:paraId="2911106D">
      <w:pPr>
        <w:adjustRightInd w:val="0"/>
        <w:snapToGrid w:val="0"/>
        <w:spacing w:line="500" w:lineRule="exact"/>
        <w:ind w:firstLine="480" w:firstLineChars="200"/>
        <w:rPr>
          <w:rFonts w:asciiTheme="minorEastAsia" w:hAnsiTheme="minorEastAsia"/>
          <w:color w:val="auto"/>
          <w:sz w:val="24"/>
          <w:highlight w:val="none"/>
        </w:rPr>
      </w:pPr>
      <w:r>
        <w:rPr>
          <w:rFonts w:asciiTheme="minorEastAsia" w:hAnsiTheme="minorEastAsia"/>
          <w:color w:val="auto"/>
          <w:sz w:val="24"/>
          <w:highlight w:val="none"/>
        </w:rPr>
        <w:t>6、</w:t>
      </w:r>
      <w:r>
        <w:rPr>
          <w:rFonts w:hint="eastAsia" w:asciiTheme="minorEastAsia" w:hAnsiTheme="minorEastAsia"/>
          <w:color w:val="auto"/>
          <w:sz w:val="24"/>
          <w:highlight w:val="none"/>
        </w:rPr>
        <w:t>负责提供培养所需的基本设施，具体如下：</w:t>
      </w:r>
    </w:p>
    <w:p w14:paraId="7AE0EBFD">
      <w:pPr>
        <w:adjustRightInd w:val="0"/>
        <w:snapToGrid w:val="0"/>
        <w:spacing w:line="500" w:lineRule="exact"/>
        <w:ind w:firstLine="480" w:firstLineChars="200"/>
        <w:rPr>
          <w:rFonts w:asciiTheme="minorEastAsia" w:hAnsiTheme="minorEastAsia"/>
          <w:color w:val="auto"/>
          <w:sz w:val="24"/>
          <w:highlight w:val="none"/>
        </w:rPr>
      </w:pPr>
      <w:r>
        <w:rPr>
          <w:rFonts w:hint="eastAsia" w:asciiTheme="minorEastAsia" w:hAnsiTheme="minorEastAsia"/>
          <w:color w:val="auto"/>
          <w:sz w:val="24"/>
          <w:highlight w:val="none"/>
        </w:rPr>
        <w:t>（1）提供能满足培养所需的教室、多媒体教学设备等场所和设施；</w:t>
      </w:r>
    </w:p>
    <w:p w14:paraId="73AA2CDB">
      <w:pPr>
        <w:adjustRightInd w:val="0"/>
        <w:snapToGrid w:val="0"/>
        <w:spacing w:line="500" w:lineRule="exact"/>
        <w:ind w:firstLine="480" w:firstLineChars="200"/>
        <w:rPr>
          <w:rFonts w:asciiTheme="minorEastAsia" w:hAnsiTheme="minorEastAsia"/>
          <w:color w:val="auto"/>
          <w:sz w:val="24"/>
          <w:highlight w:val="none"/>
        </w:rPr>
      </w:pPr>
      <w:r>
        <w:rPr>
          <w:rFonts w:hint="eastAsia" w:asciiTheme="minorEastAsia" w:hAnsiTheme="minorEastAsia"/>
          <w:color w:val="auto"/>
          <w:sz w:val="24"/>
          <w:highlight w:val="none"/>
        </w:rPr>
        <w:t>（2）提供能满足培养所需的学员住宿、就餐、阅读书籍、医疗服务与安全保卫等；</w:t>
      </w:r>
    </w:p>
    <w:p w14:paraId="33387860">
      <w:pPr>
        <w:adjustRightInd w:val="0"/>
        <w:snapToGrid w:val="0"/>
        <w:spacing w:line="500" w:lineRule="exact"/>
        <w:ind w:firstLine="480" w:firstLineChars="200"/>
        <w:rPr>
          <w:rFonts w:asciiTheme="minorEastAsia" w:hAnsiTheme="minorEastAsia"/>
          <w:color w:val="auto"/>
          <w:sz w:val="24"/>
          <w:highlight w:val="none"/>
        </w:rPr>
      </w:pPr>
      <w:r>
        <w:rPr>
          <w:rFonts w:hint="eastAsia" w:asciiTheme="minorEastAsia" w:hAnsiTheme="minorEastAsia"/>
          <w:color w:val="auto"/>
          <w:sz w:val="24"/>
          <w:highlight w:val="none"/>
        </w:rPr>
        <w:t>（3）配备培养期间培养任务所需要的接送站服务；</w:t>
      </w:r>
    </w:p>
    <w:p w14:paraId="2CD20A8A">
      <w:pPr>
        <w:adjustRightInd w:val="0"/>
        <w:snapToGrid w:val="0"/>
        <w:spacing w:line="500" w:lineRule="exact"/>
        <w:ind w:firstLine="480" w:firstLineChars="200"/>
        <w:rPr>
          <w:rFonts w:asciiTheme="minorEastAsia" w:hAnsiTheme="minorEastAsia"/>
          <w:color w:val="auto"/>
          <w:sz w:val="24"/>
          <w:highlight w:val="none"/>
        </w:rPr>
      </w:pPr>
      <w:r>
        <w:rPr>
          <w:rFonts w:hint="eastAsia" w:asciiTheme="minorEastAsia" w:hAnsiTheme="minorEastAsia"/>
          <w:color w:val="auto"/>
          <w:sz w:val="24"/>
          <w:highlight w:val="none"/>
        </w:rPr>
        <w:t>（4）按项目要求办理学员参加培养所需要的相关手续；</w:t>
      </w:r>
    </w:p>
    <w:p w14:paraId="3DB5DD60">
      <w:pPr>
        <w:adjustRightInd w:val="0"/>
        <w:snapToGrid w:val="0"/>
        <w:spacing w:line="500" w:lineRule="exact"/>
        <w:ind w:firstLine="480" w:firstLineChars="200"/>
        <w:rPr>
          <w:rFonts w:asciiTheme="minorEastAsia" w:hAnsiTheme="minorEastAsia"/>
          <w:color w:val="auto"/>
          <w:sz w:val="24"/>
          <w:highlight w:val="none"/>
        </w:rPr>
      </w:pPr>
      <w:r>
        <w:rPr>
          <w:rFonts w:asciiTheme="minorEastAsia" w:hAnsiTheme="minorEastAsia"/>
          <w:color w:val="auto"/>
          <w:sz w:val="24"/>
          <w:highlight w:val="none"/>
        </w:rPr>
        <w:t>（</w:t>
      </w:r>
      <w:r>
        <w:rPr>
          <w:rFonts w:hint="eastAsia" w:asciiTheme="minorEastAsia" w:hAnsiTheme="minorEastAsia"/>
          <w:color w:val="auto"/>
          <w:sz w:val="24"/>
          <w:highlight w:val="none"/>
        </w:rPr>
        <w:t>5</w:t>
      </w:r>
      <w:r>
        <w:rPr>
          <w:rFonts w:asciiTheme="minorEastAsia" w:hAnsiTheme="minorEastAsia"/>
          <w:color w:val="auto"/>
          <w:sz w:val="24"/>
          <w:highlight w:val="none"/>
        </w:rPr>
        <w:t>）提供学员的接送站服务</w:t>
      </w:r>
      <w:r>
        <w:rPr>
          <w:rFonts w:hint="eastAsia" w:asciiTheme="minorEastAsia" w:hAnsiTheme="minorEastAsia"/>
          <w:color w:val="auto"/>
          <w:sz w:val="24"/>
          <w:highlight w:val="none"/>
        </w:rPr>
        <w:t>。</w:t>
      </w:r>
    </w:p>
    <w:p w14:paraId="00C1B4CC">
      <w:pPr>
        <w:adjustRightInd w:val="0"/>
        <w:snapToGrid w:val="0"/>
        <w:spacing w:line="500" w:lineRule="exact"/>
        <w:ind w:firstLine="480" w:firstLineChars="200"/>
        <w:rPr>
          <w:rFonts w:asciiTheme="minorEastAsia" w:hAnsiTheme="minorEastAsia"/>
          <w:color w:val="auto"/>
          <w:sz w:val="24"/>
          <w:highlight w:val="none"/>
        </w:rPr>
      </w:pPr>
      <w:r>
        <w:rPr>
          <w:rFonts w:asciiTheme="minorEastAsia" w:hAnsiTheme="minorEastAsia"/>
          <w:color w:val="auto"/>
          <w:sz w:val="24"/>
          <w:highlight w:val="none"/>
        </w:rPr>
        <w:t>7、</w:t>
      </w:r>
      <w:r>
        <w:rPr>
          <w:rFonts w:hint="eastAsia" w:asciiTheme="minorEastAsia" w:hAnsiTheme="minorEastAsia"/>
          <w:color w:val="auto"/>
          <w:sz w:val="24"/>
          <w:highlight w:val="none"/>
        </w:rPr>
        <w:t>在为甲方提供服务期间，乙方应采取严格有效措施保守甲方管理、运营、人事、政策等一切非公开信息，同时乙方应当遵守《中华人民共和国个人信息保护法》等相关法律法规的规定，对学员的个人信息进行保密；未经甲方或权利人事先书面同意，不得擅自使用或披露上述非公开信息及个人信息，不得损害甲方的形象。</w:t>
      </w:r>
    </w:p>
    <w:p w14:paraId="60D25ADD">
      <w:pPr>
        <w:adjustRightInd w:val="0"/>
        <w:snapToGrid w:val="0"/>
        <w:spacing w:line="500" w:lineRule="exact"/>
        <w:ind w:firstLine="480" w:firstLineChars="200"/>
        <w:rPr>
          <w:rFonts w:asciiTheme="minorEastAsia" w:hAnsiTheme="minorEastAsia"/>
          <w:color w:val="auto"/>
          <w:sz w:val="24"/>
          <w:highlight w:val="none"/>
        </w:rPr>
      </w:pPr>
      <w:r>
        <w:rPr>
          <w:rFonts w:hint="eastAsia" w:asciiTheme="minorEastAsia" w:hAnsiTheme="minorEastAsia"/>
          <w:color w:val="auto"/>
          <w:sz w:val="24"/>
          <w:highlight w:val="none"/>
        </w:rPr>
        <w:t>8、乙方保证其所提供的授课教材、学习资料等产品和服务均不会侵犯任何第三方的知识产权或其他合法权益。培养过程中产生的课程视频、教材讲义等知识产权归甲乙双方共有，未经对方书面同意不得向第三方披露。</w:t>
      </w:r>
    </w:p>
    <w:p w14:paraId="6C7C0BAB">
      <w:pPr>
        <w:adjustRightInd w:val="0"/>
        <w:snapToGrid w:val="0"/>
        <w:spacing w:line="500" w:lineRule="exact"/>
        <w:ind w:firstLine="482" w:firstLineChars="200"/>
        <w:rPr>
          <w:rFonts w:asciiTheme="minorEastAsia" w:hAnsiTheme="minorEastAsia"/>
          <w:b/>
          <w:color w:val="auto"/>
          <w:sz w:val="24"/>
          <w:highlight w:val="none"/>
        </w:rPr>
      </w:pPr>
      <w:r>
        <w:rPr>
          <w:rFonts w:hint="eastAsia" w:asciiTheme="minorEastAsia" w:hAnsiTheme="minorEastAsia"/>
          <w:b/>
          <w:color w:val="auto"/>
          <w:sz w:val="24"/>
          <w:highlight w:val="none"/>
        </w:rPr>
        <w:t>十、考核</w:t>
      </w:r>
    </w:p>
    <w:p w14:paraId="5AFF54AD">
      <w:pPr>
        <w:adjustRightInd w:val="0"/>
        <w:snapToGrid w:val="0"/>
        <w:spacing w:line="500" w:lineRule="exact"/>
        <w:ind w:firstLine="480" w:firstLineChars="200"/>
        <w:rPr>
          <w:rFonts w:asciiTheme="minorEastAsia" w:hAnsiTheme="minorEastAsia"/>
          <w:color w:val="auto"/>
          <w:sz w:val="24"/>
          <w:highlight w:val="none"/>
        </w:rPr>
      </w:pPr>
      <w:r>
        <w:rPr>
          <w:rFonts w:asciiTheme="minorEastAsia" w:hAnsiTheme="minorEastAsia"/>
          <w:color w:val="auto"/>
          <w:sz w:val="24"/>
          <w:highlight w:val="none"/>
        </w:rPr>
        <w:t>1、</w:t>
      </w:r>
      <w:r>
        <w:rPr>
          <w:rFonts w:hint="eastAsia" w:asciiTheme="minorEastAsia" w:hAnsiTheme="minorEastAsia"/>
          <w:color w:val="auto"/>
          <w:sz w:val="24"/>
          <w:highlight w:val="none"/>
        </w:rPr>
        <w:t>甲方支付乙方的金额全部纳入考核管理。</w:t>
      </w:r>
    </w:p>
    <w:p w14:paraId="70294DE9">
      <w:pPr>
        <w:adjustRightInd w:val="0"/>
        <w:snapToGrid w:val="0"/>
        <w:spacing w:line="500" w:lineRule="exact"/>
        <w:ind w:firstLine="480" w:firstLineChars="200"/>
        <w:rPr>
          <w:rFonts w:asciiTheme="minorEastAsia" w:hAnsiTheme="minorEastAsia"/>
          <w:color w:val="auto"/>
          <w:sz w:val="24"/>
          <w:highlight w:val="none"/>
        </w:rPr>
      </w:pPr>
      <w:r>
        <w:rPr>
          <w:rFonts w:asciiTheme="minorEastAsia" w:hAnsiTheme="minorEastAsia"/>
          <w:color w:val="auto"/>
          <w:sz w:val="24"/>
          <w:highlight w:val="none"/>
        </w:rPr>
        <w:t>2、</w:t>
      </w:r>
      <w:r>
        <w:rPr>
          <w:rFonts w:hint="eastAsia" w:asciiTheme="minorEastAsia" w:hAnsiTheme="minorEastAsia"/>
          <w:color w:val="auto"/>
          <w:sz w:val="24"/>
          <w:highlight w:val="none"/>
        </w:rPr>
        <w:t>甲方有权在3次集中学习、6次集中学习、培养结束前一个月内组织学员对乙方服务进行满意度评分。考核达到标准，则甲方按合同约定支付相应费用；考核未达到标准，甲方有权扣除部分或全部费用。</w:t>
      </w:r>
    </w:p>
    <w:p w14:paraId="71F8C04B">
      <w:pPr>
        <w:adjustRightInd w:val="0"/>
        <w:snapToGrid w:val="0"/>
        <w:spacing w:line="500" w:lineRule="exact"/>
        <w:ind w:firstLine="480" w:firstLineChars="200"/>
        <w:rPr>
          <w:rFonts w:asciiTheme="minorEastAsia" w:hAnsiTheme="minorEastAsia"/>
          <w:color w:val="auto"/>
          <w:sz w:val="24"/>
          <w:highlight w:val="none"/>
        </w:rPr>
      </w:pPr>
      <w:r>
        <w:rPr>
          <w:rFonts w:asciiTheme="minorEastAsia" w:hAnsiTheme="minorEastAsia"/>
          <w:color w:val="auto"/>
          <w:sz w:val="24"/>
          <w:highlight w:val="none"/>
        </w:rPr>
        <w:t>3、</w:t>
      </w:r>
      <w:r>
        <w:rPr>
          <w:rFonts w:hint="eastAsia" w:asciiTheme="minorEastAsia" w:hAnsiTheme="minorEastAsia"/>
          <w:color w:val="auto"/>
          <w:sz w:val="24"/>
          <w:highlight w:val="none"/>
        </w:rPr>
        <w:t>乙方对考核结果不认可应在3个工作日内向甲方书面说明理由，甲方收到后认为合理的可予以变更考核结果。</w:t>
      </w:r>
    </w:p>
    <w:p w14:paraId="614DD907">
      <w:pPr>
        <w:adjustRightInd w:val="0"/>
        <w:snapToGrid w:val="0"/>
        <w:spacing w:line="500" w:lineRule="exact"/>
        <w:ind w:firstLine="482" w:firstLineChars="200"/>
        <w:rPr>
          <w:rFonts w:asciiTheme="minorEastAsia" w:hAnsiTheme="minorEastAsia"/>
          <w:b/>
          <w:color w:val="auto"/>
          <w:sz w:val="24"/>
          <w:highlight w:val="none"/>
        </w:rPr>
      </w:pPr>
      <w:r>
        <w:rPr>
          <w:rFonts w:hint="eastAsia" w:asciiTheme="minorEastAsia" w:hAnsiTheme="minorEastAsia"/>
          <w:b/>
          <w:color w:val="auto"/>
          <w:sz w:val="24"/>
          <w:highlight w:val="none"/>
        </w:rPr>
        <w:t>十一、验收</w:t>
      </w:r>
    </w:p>
    <w:p w14:paraId="576D6EF8">
      <w:pPr>
        <w:adjustRightInd w:val="0"/>
        <w:snapToGrid w:val="0"/>
        <w:spacing w:line="500" w:lineRule="exact"/>
        <w:ind w:firstLine="480" w:firstLineChars="200"/>
        <w:rPr>
          <w:rFonts w:asciiTheme="minorEastAsia" w:hAnsiTheme="minorEastAsia"/>
          <w:color w:val="auto"/>
          <w:sz w:val="24"/>
          <w:highlight w:val="none"/>
        </w:rPr>
      </w:pPr>
      <w:r>
        <w:rPr>
          <w:rFonts w:asciiTheme="minorEastAsia" w:hAnsiTheme="minorEastAsia"/>
          <w:color w:val="auto"/>
          <w:sz w:val="24"/>
          <w:highlight w:val="none"/>
        </w:rPr>
        <w:t>1、</w:t>
      </w:r>
      <w:r>
        <w:rPr>
          <w:rFonts w:hint="eastAsia" w:asciiTheme="minorEastAsia" w:hAnsiTheme="minorEastAsia"/>
          <w:color w:val="auto"/>
          <w:sz w:val="24"/>
          <w:highlight w:val="none"/>
        </w:rPr>
        <w:t>乙方应当在合同签订后两年内完成服务事项，招标文件有约定的，从其约定。</w:t>
      </w:r>
    </w:p>
    <w:p w14:paraId="2DDF1B9A">
      <w:pPr>
        <w:adjustRightInd w:val="0"/>
        <w:snapToGrid w:val="0"/>
        <w:spacing w:line="500" w:lineRule="exact"/>
        <w:ind w:firstLine="480" w:firstLineChars="200"/>
        <w:rPr>
          <w:rFonts w:asciiTheme="minorEastAsia" w:hAnsiTheme="minorEastAsia"/>
          <w:color w:val="auto"/>
          <w:sz w:val="24"/>
          <w:highlight w:val="none"/>
        </w:rPr>
      </w:pPr>
      <w:r>
        <w:rPr>
          <w:rFonts w:hint="eastAsia" w:asciiTheme="minorEastAsia" w:hAnsiTheme="minorEastAsia"/>
          <w:color w:val="auto"/>
          <w:sz w:val="24"/>
          <w:highlight w:val="none"/>
        </w:rPr>
        <w:t>2、在交付前，乙方应进行全面检查，并对验收文件进行整理，列出清单，作为甲方验收和使用的依据。</w:t>
      </w:r>
    </w:p>
    <w:p w14:paraId="4171AB11">
      <w:pPr>
        <w:adjustRightInd w:val="0"/>
        <w:snapToGrid w:val="0"/>
        <w:spacing w:line="500" w:lineRule="exact"/>
        <w:ind w:firstLine="480" w:firstLineChars="200"/>
        <w:rPr>
          <w:rFonts w:asciiTheme="minorEastAsia" w:hAnsiTheme="minorEastAsia"/>
          <w:color w:val="auto"/>
          <w:sz w:val="24"/>
          <w:highlight w:val="none"/>
        </w:rPr>
      </w:pPr>
      <w:r>
        <w:rPr>
          <w:rFonts w:asciiTheme="minorEastAsia" w:hAnsiTheme="minorEastAsia"/>
          <w:color w:val="auto"/>
          <w:sz w:val="24"/>
          <w:highlight w:val="none"/>
        </w:rPr>
        <w:t>3、</w:t>
      </w:r>
      <w:r>
        <w:rPr>
          <w:rFonts w:hint="eastAsia" w:asciiTheme="minorEastAsia" w:hAnsiTheme="minorEastAsia"/>
          <w:color w:val="auto"/>
          <w:sz w:val="24"/>
          <w:highlight w:val="none"/>
        </w:rPr>
        <w:t>验收标准</w:t>
      </w:r>
    </w:p>
    <w:p w14:paraId="7B869A1D">
      <w:pPr>
        <w:adjustRightInd w:val="0"/>
        <w:snapToGrid w:val="0"/>
        <w:spacing w:line="500" w:lineRule="exact"/>
        <w:ind w:firstLine="480" w:firstLineChars="200"/>
        <w:rPr>
          <w:rFonts w:asciiTheme="minorEastAsia" w:hAnsiTheme="minorEastAsia"/>
          <w:color w:val="auto"/>
          <w:sz w:val="24"/>
          <w:highlight w:val="none"/>
        </w:rPr>
      </w:pPr>
      <w:r>
        <w:rPr>
          <w:rFonts w:hint="eastAsia" w:asciiTheme="minorEastAsia" w:hAnsiTheme="minorEastAsia"/>
          <w:color w:val="auto"/>
          <w:sz w:val="24"/>
          <w:highlight w:val="none"/>
        </w:rPr>
        <w:t>3</w:t>
      </w:r>
      <w:r>
        <w:rPr>
          <w:rFonts w:asciiTheme="minorEastAsia" w:hAnsiTheme="minorEastAsia"/>
          <w:color w:val="auto"/>
          <w:sz w:val="24"/>
          <w:highlight w:val="none"/>
        </w:rPr>
        <w:t>.1</w:t>
      </w:r>
      <w:r>
        <w:rPr>
          <w:rFonts w:hint="eastAsia" w:asciiTheme="minorEastAsia" w:hAnsiTheme="minorEastAsia"/>
          <w:color w:val="auto"/>
          <w:sz w:val="24"/>
          <w:highlight w:val="none"/>
        </w:rPr>
        <w:t>通过考核成绩、技能水平测试、项目成果展示等方式，检验培养对象能否达到预期的专业能力要求。</w:t>
      </w:r>
    </w:p>
    <w:p w14:paraId="79CE9DD6">
      <w:pPr>
        <w:adjustRightInd w:val="0"/>
        <w:snapToGrid w:val="0"/>
        <w:spacing w:line="500" w:lineRule="exact"/>
        <w:ind w:firstLine="480" w:firstLineChars="200"/>
        <w:rPr>
          <w:rFonts w:asciiTheme="minorEastAsia" w:hAnsiTheme="minorEastAsia"/>
          <w:color w:val="auto"/>
          <w:sz w:val="24"/>
          <w:highlight w:val="none"/>
        </w:rPr>
      </w:pPr>
      <w:r>
        <w:rPr>
          <w:rFonts w:hint="eastAsia" w:asciiTheme="minorEastAsia" w:hAnsiTheme="minorEastAsia"/>
          <w:color w:val="auto"/>
          <w:sz w:val="24"/>
          <w:highlight w:val="none"/>
        </w:rPr>
        <w:t>3</w:t>
      </w:r>
      <w:r>
        <w:rPr>
          <w:rFonts w:asciiTheme="minorEastAsia" w:hAnsiTheme="minorEastAsia"/>
          <w:color w:val="auto"/>
          <w:sz w:val="24"/>
          <w:highlight w:val="none"/>
        </w:rPr>
        <w:t xml:space="preserve">.2 </w:t>
      </w:r>
      <w:r>
        <w:rPr>
          <w:rFonts w:hint="eastAsia" w:asciiTheme="minorEastAsia" w:hAnsiTheme="minorEastAsia"/>
          <w:color w:val="auto"/>
          <w:sz w:val="24"/>
          <w:highlight w:val="none"/>
        </w:rPr>
        <w:t>保证课程内容的完整性、教学方法的合理性、培养课时的充足性。</w:t>
      </w:r>
    </w:p>
    <w:p w14:paraId="23BBE703">
      <w:pPr>
        <w:adjustRightInd w:val="0"/>
        <w:snapToGrid w:val="0"/>
        <w:spacing w:line="500" w:lineRule="exact"/>
        <w:ind w:firstLine="480" w:firstLineChars="200"/>
        <w:rPr>
          <w:rFonts w:asciiTheme="minorEastAsia" w:hAnsiTheme="minorEastAsia"/>
          <w:color w:val="auto"/>
          <w:sz w:val="24"/>
          <w:highlight w:val="none"/>
        </w:rPr>
      </w:pPr>
      <w:r>
        <w:rPr>
          <w:rFonts w:hint="eastAsia" w:asciiTheme="minorEastAsia" w:hAnsiTheme="minorEastAsia"/>
          <w:color w:val="auto"/>
          <w:sz w:val="24"/>
          <w:highlight w:val="none"/>
        </w:rPr>
        <w:t>3</w:t>
      </w:r>
      <w:r>
        <w:rPr>
          <w:rFonts w:asciiTheme="minorEastAsia" w:hAnsiTheme="minorEastAsia"/>
          <w:color w:val="auto"/>
          <w:sz w:val="24"/>
          <w:highlight w:val="none"/>
        </w:rPr>
        <w:t xml:space="preserve">.3 </w:t>
      </w:r>
      <w:r>
        <w:rPr>
          <w:rFonts w:hint="eastAsia" w:asciiTheme="minorEastAsia" w:hAnsiTheme="minorEastAsia"/>
          <w:color w:val="auto"/>
          <w:sz w:val="24"/>
          <w:highlight w:val="none"/>
        </w:rPr>
        <w:t>提供符合教学要求的师资、场地、设备、教材、学习平台等教学资源。</w:t>
      </w:r>
    </w:p>
    <w:p w14:paraId="79D2B982">
      <w:pPr>
        <w:adjustRightInd w:val="0"/>
        <w:snapToGrid w:val="0"/>
        <w:spacing w:line="500" w:lineRule="exact"/>
        <w:ind w:firstLine="480" w:firstLineChars="200"/>
        <w:rPr>
          <w:rFonts w:asciiTheme="minorEastAsia" w:hAnsiTheme="minorEastAsia"/>
          <w:color w:val="auto"/>
          <w:sz w:val="24"/>
          <w:highlight w:val="none"/>
        </w:rPr>
      </w:pPr>
      <w:r>
        <w:rPr>
          <w:rFonts w:hint="eastAsia" w:asciiTheme="minorEastAsia" w:hAnsiTheme="minorEastAsia"/>
          <w:color w:val="auto"/>
          <w:sz w:val="24"/>
          <w:highlight w:val="none"/>
        </w:rPr>
        <w:t>3</w:t>
      </w:r>
      <w:r>
        <w:rPr>
          <w:rFonts w:asciiTheme="minorEastAsia" w:hAnsiTheme="minorEastAsia"/>
          <w:color w:val="auto"/>
          <w:sz w:val="24"/>
          <w:highlight w:val="none"/>
        </w:rPr>
        <w:t xml:space="preserve">.4 </w:t>
      </w:r>
      <w:r>
        <w:rPr>
          <w:rFonts w:hint="eastAsia" w:asciiTheme="minorEastAsia" w:hAnsiTheme="minorEastAsia"/>
          <w:color w:val="auto"/>
          <w:sz w:val="24"/>
          <w:highlight w:val="none"/>
        </w:rPr>
        <w:t>学员对培养内容、教学方式、师资水平、项目组织等方面的满意度达到90%及以上。</w:t>
      </w:r>
    </w:p>
    <w:p w14:paraId="7258F51B">
      <w:pPr>
        <w:adjustRightInd w:val="0"/>
        <w:snapToGrid w:val="0"/>
        <w:spacing w:line="500" w:lineRule="exact"/>
        <w:ind w:firstLine="480" w:firstLineChars="200"/>
        <w:rPr>
          <w:rFonts w:asciiTheme="minorEastAsia" w:hAnsiTheme="minorEastAsia"/>
          <w:color w:val="auto"/>
          <w:sz w:val="24"/>
          <w:highlight w:val="none"/>
        </w:rPr>
      </w:pPr>
      <w:r>
        <w:rPr>
          <w:rFonts w:hint="eastAsia" w:asciiTheme="minorEastAsia" w:hAnsiTheme="minorEastAsia"/>
          <w:color w:val="auto"/>
          <w:sz w:val="24"/>
          <w:highlight w:val="none"/>
        </w:rPr>
        <w:t>3</w:t>
      </w:r>
      <w:r>
        <w:rPr>
          <w:rFonts w:asciiTheme="minorEastAsia" w:hAnsiTheme="minorEastAsia"/>
          <w:color w:val="auto"/>
          <w:sz w:val="24"/>
          <w:highlight w:val="none"/>
        </w:rPr>
        <w:t xml:space="preserve">.5 </w:t>
      </w:r>
      <w:r>
        <w:rPr>
          <w:rFonts w:hint="eastAsia" w:asciiTheme="minorEastAsia" w:hAnsiTheme="minorEastAsia"/>
          <w:color w:val="auto"/>
          <w:sz w:val="24"/>
          <w:highlight w:val="none"/>
        </w:rPr>
        <w:t>对于乙方要交付的服务，甲乙双方须在60个工作日内验收。</w:t>
      </w:r>
    </w:p>
    <w:p w14:paraId="08E50DCF">
      <w:pPr>
        <w:adjustRightInd w:val="0"/>
        <w:snapToGrid w:val="0"/>
        <w:spacing w:line="500" w:lineRule="exact"/>
        <w:ind w:firstLine="482" w:firstLineChars="200"/>
        <w:rPr>
          <w:rFonts w:asciiTheme="minorEastAsia" w:hAnsiTheme="minorEastAsia"/>
          <w:b/>
          <w:color w:val="auto"/>
          <w:sz w:val="24"/>
          <w:highlight w:val="none"/>
        </w:rPr>
      </w:pPr>
      <w:r>
        <w:rPr>
          <w:rFonts w:hint="eastAsia" w:asciiTheme="minorEastAsia" w:hAnsiTheme="minorEastAsia"/>
          <w:b/>
          <w:color w:val="auto"/>
          <w:sz w:val="24"/>
          <w:highlight w:val="none"/>
        </w:rPr>
        <w:t>十二、违约责任</w:t>
      </w:r>
    </w:p>
    <w:p w14:paraId="6D61AAE0">
      <w:pPr>
        <w:adjustRightInd w:val="0"/>
        <w:snapToGrid w:val="0"/>
        <w:spacing w:line="500" w:lineRule="exact"/>
        <w:ind w:firstLine="480" w:firstLineChars="200"/>
        <w:rPr>
          <w:rFonts w:asciiTheme="minorEastAsia" w:hAnsiTheme="minorEastAsia"/>
          <w:color w:val="auto"/>
          <w:sz w:val="24"/>
          <w:highlight w:val="none"/>
        </w:rPr>
      </w:pPr>
      <w:r>
        <w:rPr>
          <w:rFonts w:hint="eastAsia" w:asciiTheme="minorEastAsia" w:hAnsiTheme="minorEastAsia"/>
          <w:color w:val="auto"/>
          <w:sz w:val="24"/>
          <w:highlight w:val="none"/>
        </w:rPr>
        <w:t>1、乙方提供的服务不符合采购文件、响应文件或本合同规定的、验收不合格的，乙方须向甲方支付本合同总价5%的违约金。</w:t>
      </w:r>
    </w:p>
    <w:p w14:paraId="5AB523A1">
      <w:pPr>
        <w:adjustRightInd w:val="0"/>
        <w:snapToGrid w:val="0"/>
        <w:spacing w:line="500" w:lineRule="exact"/>
        <w:ind w:firstLine="480" w:firstLineChars="200"/>
        <w:rPr>
          <w:rFonts w:asciiTheme="minorEastAsia" w:hAnsiTheme="minorEastAsia"/>
          <w:color w:val="auto"/>
          <w:sz w:val="24"/>
          <w:highlight w:val="none"/>
        </w:rPr>
      </w:pPr>
      <w:r>
        <w:rPr>
          <w:rFonts w:asciiTheme="minorEastAsia" w:hAnsiTheme="minorEastAsia"/>
          <w:color w:val="auto"/>
          <w:sz w:val="24"/>
          <w:highlight w:val="none"/>
        </w:rPr>
        <w:t>2、</w:t>
      </w:r>
      <w:r>
        <w:rPr>
          <w:rFonts w:hint="eastAsia" w:asciiTheme="minorEastAsia" w:hAnsiTheme="minorEastAsia"/>
          <w:color w:val="auto"/>
          <w:sz w:val="24"/>
          <w:highlight w:val="none"/>
        </w:rPr>
        <w:t>乙方因自身原因未能按合同规定的时间完成培养任务，从逾期之日起每日按合同总价3‰的数额向甲方支付违约金；逾期15天以上（含15天）的，甲方有权终止合同，要求乙方支付本合同总价5%的违约金，如造成甲方损失超过违约金的，超出部分由乙方继续承担赔偿责任。</w:t>
      </w:r>
    </w:p>
    <w:p w14:paraId="61929017">
      <w:pPr>
        <w:adjustRightInd w:val="0"/>
        <w:snapToGrid w:val="0"/>
        <w:spacing w:line="500" w:lineRule="exact"/>
        <w:ind w:firstLine="480" w:firstLineChars="200"/>
        <w:rPr>
          <w:rFonts w:asciiTheme="minorEastAsia" w:hAnsiTheme="minorEastAsia"/>
          <w:color w:val="auto"/>
          <w:sz w:val="24"/>
          <w:highlight w:val="none"/>
        </w:rPr>
      </w:pPr>
      <w:r>
        <w:rPr>
          <w:rFonts w:hint="eastAsia" w:asciiTheme="minorEastAsia" w:hAnsiTheme="minorEastAsia"/>
          <w:color w:val="auto"/>
          <w:sz w:val="24"/>
          <w:highlight w:val="none"/>
        </w:rPr>
        <w:t>3、其他违约责任按《中华人民共和国民法典》处理。</w:t>
      </w:r>
    </w:p>
    <w:p w14:paraId="7A6A571D">
      <w:pPr>
        <w:adjustRightInd w:val="0"/>
        <w:snapToGrid w:val="0"/>
        <w:spacing w:line="500" w:lineRule="exact"/>
        <w:ind w:firstLine="482" w:firstLineChars="200"/>
        <w:rPr>
          <w:rFonts w:asciiTheme="minorEastAsia" w:hAnsiTheme="minorEastAsia"/>
          <w:b/>
          <w:color w:val="auto"/>
          <w:sz w:val="24"/>
          <w:highlight w:val="none"/>
        </w:rPr>
      </w:pPr>
      <w:r>
        <w:rPr>
          <w:rFonts w:hint="eastAsia" w:asciiTheme="minorEastAsia" w:hAnsiTheme="minorEastAsia"/>
          <w:b/>
          <w:color w:val="auto"/>
          <w:sz w:val="24"/>
          <w:highlight w:val="none"/>
        </w:rPr>
        <w:t>十三、争议解决</w:t>
      </w:r>
    </w:p>
    <w:p w14:paraId="1456756E">
      <w:pPr>
        <w:adjustRightInd w:val="0"/>
        <w:snapToGrid w:val="0"/>
        <w:spacing w:line="500" w:lineRule="exact"/>
        <w:ind w:firstLine="480" w:firstLineChars="200"/>
        <w:rPr>
          <w:rStyle w:val="26"/>
          <w:rFonts w:asciiTheme="minorEastAsia" w:hAnsiTheme="minorEastAsia"/>
          <w:color w:val="auto"/>
          <w:sz w:val="24"/>
          <w:highlight w:val="none"/>
        </w:rPr>
      </w:pPr>
      <w:r>
        <w:rPr>
          <w:rStyle w:val="26"/>
          <w:rFonts w:asciiTheme="minorEastAsia" w:hAnsiTheme="minorEastAsia"/>
          <w:color w:val="auto"/>
          <w:sz w:val="24"/>
          <w:highlight w:val="none"/>
        </w:rPr>
        <w:t>本合同在履行过程中发生争议，由当事人双方协商解决，协商不成，可</w:t>
      </w:r>
      <w:r>
        <w:rPr>
          <w:rStyle w:val="26"/>
          <w:rFonts w:hint="eastAsia" w:asciiTheme="minorEastAsia" w:hAnsiTheme="minorEastAsia"/>
          <w:color w:val="auto"/>
          <w:sz w:val="24"/>
          <w:highlight w:val="none"/>
        </w:rPr>
        <w:t>向甲方所在地的人民法院提起诉讼。</w:t>
      </w:r>
    </w:p>
    <w:p w14:paraId="1EF17431">
      <w:pPr>
        <w:adjustRightInd w:val="0"/>
        <w:snapToGrid w:val="0"/>
        <w:spacing w:line="500" w:lineRule="exact"/>
        <w:ind w:firstLine="482" w:firstLineChars="200"/>
        <w:rPr>
          <w:rStyle w:val="26"/>
          <w:rFonts w:asciiTheme="minorEastAsia" w:hAnsiTheme="minorEastAsia"/>
          <w:b/>
          <w:color w:val="auto"/>
          <w:sz w:val="24"/>
          <w:highlight w:val="none"/>
        </w:rPr>
      </w:pPr>
      <w:r>
        <w:rPr>
          <w:rFonts w:hint="eastAsia" w:asciiTheme="minorEastAsia" w:hAnsiTheme="minorEastAsia"/>
          <w:b/>
          <w:color w:val="auto"/>
          <w:sz w:val="24"/>
          <w:highlight w:val="none"/>
        </w:rPr>
        <w:t>十四、</w:t>
      </w:r>
      <w:r>
        <w:rPr>
          <w:rStyle w:val="26"/>
          <w:rFonts w:asciiTheme="minorEastAsia" w:hAnsiTheme="minorEastAsia"/>
          <w:b/>
          <w:color w:val="auto"/>
          <w:sz w:val="24"/>
          <w:highlight w:val="none"/>
        </w:rPr>
        <w:t>安全责任</w:t>
      </w:r>
    </w:p>
    <w:p w14:paraId="1F512324">
      <w:pPr>
        <w:adjustRightInd w:val="0"/>
        <w:snapToGrid w:val="0"/>
        <w:spacing w:line="500" w:lineRule="exact"/>
        <w:ind w:firstLine="480" w:firstLineChars="200"/>
        <w:rPr>
          <w:rStyle w:val="26"/>
          <w:rFonts w:asciiTheme="minorEastAsia" w:hAnsiTheme="minorEastAsia"/>
          <w:b/>
          <w:color w:val="auto"/>
          <w:sz w:val="24"/>
          <w:highlight w:val="none"/>
        </w:rPr>
      </w:pPr>
      <w:r>
        <w:rPr>
          <w:rStyle w:val="26"/>
          <w:rFonts w:asciiTheme="minorEastAsia" w:hAnsiTheme="minorEastAsia"/>
          <w:color w:val="auto"/>
          <w:sz w:val="24"/>
          <w:highlight w:val="none"/>
        </w:rPr>
        <w:t>乙方在履行合同过程中，一切事故责任自行承担，甲方不承担任何责任。</w:t>
      </w:r>
    </w:p>
    <w:p w14:paraId="4D08669C">
      <w:pPr>
        <w:pStyle w:val="27"/>
        <w:adjustRightInd w:val="0"/>
        <w:snapToGrid w:val="0"/>
        <w:spacing w:line="500" w:lineRule="exact"/>
        <w:ind w:firstLine="482" w:firstLineChars="200"/>
        <w:rPr>
          <w:rStyle w:val="26"/>
          <w:rFonts w:asciiTheme="minorEastAsia" w:hAnsiTheme="minorEastAsia"/>
          <w:b/>
          <w:color w:val="auto"/>
          <w:sz w:val="24"/>
          <w:highlight w:val="none"/>
        </w:rPr>
      </w:pPr>
      <w:r>
        <w:rPr>
          <w:rStyle w:val="26"/>
          <w:rFonts w:asciiTheme="minorEastAsia" w:hAnsiTheme="minorEastAsia"/>
          <w:b/>
          <w:color w:val="auto"/>
          <w:sz w:val="24"/>
          <w:highlight w:val="none"/>
        </w:rPr>
        <w:t>十</w:t>
      </w:r>
      <w:r>
        <w:rPr>
          <w:rStyle w:val="26"/>
          <w:rFonts w:hint="eastAsia" w:asciiTheme="minorEastAsia" w:hAnsiTheme="minorEastAsia"/>
          <w:b/>
          <w:color w:val="auto"/>
          <w:sz w:val="24"/>
          <w:highlight w:val="none"/>
        </w:rPr>
        <w:t>五</w:t>
      </w:r>
      <w:r>
        <w:rPr>
          <w:rStyle w:val="26"/>
          <w:rFonts w:asciiTheme="minorEastAsia" w:hAnsiTheme="minorEastAsia"/>
          <w:b/>
          <w:color w:val="auto"/>
          <w:sz w:val="24"/>
          <w:highlight w:val="none"/>
        </w:rPr>
        <w:t>、合同生效及其它约定事项</w:t>
      </w:r>
    </w:p>
    <w:p w14:paraId="1151C91D">
      <w:pPr>
        <w:pStyle w:val="27"/>
        <w:adjustRightInd w:val="0"/>
        <w:snapToGrid w:val="0"/>
        <w:spacing w:line="500" w:lineRule="exact"/>
        <w:ind w:firstLine="480" w:firstLineChars="200"/>
        <w:rPr>
          <w:rStyle w:val="26"/>
          <w:rFonts w:asciiTheme="minorEastAsia" w:hAnsiTheme="minorEastAsia"/>
          <w:color w:val="auto"/>
          <w:sz w:val="24"/>
          <w:highlight w:val="none"/>
        </w:rPr>
      </w:pPr>
      <w:r>
        <w:rPr>
          <w:rStyle w:val="26"/>
          <w:rFonts w:asciiTheme="minorEastAsia" w:hAnsiTheme="minorEastAsia"/>
          <w:color w:val="auto"/>
          <w:sz w:val="24"/>
          <w:highlight w:val="none"/>
        </w:rPr>
        <w:t>1</w:t>
      </w:r>
      <w:r>
        <w:rPr>
          <w:rStyle w:val="26"/>
          <w:rFonts w:hint="eastAsia" w:asciiTheme="minorEastAsia" w:hAnsiTheme="minorEastAsia"/>
          <w:color w:val="auto"/>
          <w:sz w:val="24"/>
          <w:highlight w:val="none"/>
        </w:rPr>
        <w:t>、</w:t>
      </w:r>
      <w:r>
        <w:rPr>
          <w:rStyle w:val="26"/>
          <w:rFonts w:asciiTheme="minorEastAsia" w:hAnsiTheme="minorEastAsia"/>
          <w:color w:val="auto"/>
          <w:sz w:val="24"/>
          <w:highlight w:val="none"/>
        </w:rPr>
        <w:t>本次招标过程中的招标书、招标资料及经招</w:t>
      </w:r>
      <w:r>
        <w:rPr>
          <w:rStyle w:val="26"/>
          <w:rFonts w:hint="eastAsia" w:asciiTheme="minorEastAsia" w:hAnsiTheme="minorEastAsia"/>
          <w:color w:val="auto"/>
          <w:sz w:val="24"/>
          <w:highlight w:val="none"/>
        </w:rPr>
        <w:t>标</w:t>
      </w:r>
      <w:r>
        <w:rPr>
          <w:rStyle w:val="26"/>
          <w:rFonts w:asciiTheme="minorEastAsia" w:hAnsiTheme="minorEastAsia"/>
          <w:color w:val="auto"/>
          <w:sz w:val="24"/>
          <w:highlight w:val="none"/>
        </w:rPr>
        <w:t>单位批准的</w:t>
      </w:r>
      <w:r>
        <w:rPr>
          <w:rStyle w:val="26"/>
          <w:rFonts w:hint="eastAsia" w:asciiTheme="minorEastAsia" w:hAnsiTheme="minorEastAsia"/>
          <w:color w:val="auto"/>
          <w:sz w:val="24"/>
          <w:highlight w:val="none"/>
        </w:rPr>
        <w:t>采购需求</w:t>
      </w:r>
      <w:r>
        <w:rPr>
          <w:rStyle w:val="26"/>
          <w:rFonts w:asciiTheme="minorEastAsia" w:hAnsiTheme="minorEastAsia"/>
          <w:color w:val="auto"/>
          <w:sz w:val="24"/>
          <w:highlight w:val="none"/>
        </w:rPr>
        <w:t>等有关文件，均为合同的组成部分。</w:t>
      </w:r>
    </w:p>
    <w:p w14:paraId="372BCA27">
      <w:pPr>
        <w:pStyle w:val="27"/>
        <w:adjustRightInd w:val="0"/>
        <w:snapToGrid w:val="0"/>
        <w:spacing w:line="500" w:lineRule="exact"/>
        <w:ind w:firstLine="480" w:firstLineChars="200"/>
        <w:rPr>
          <w:rStyle w:val="26"/>
          <w:rFonts w:asciiTheme="minorEastAsia" w:hAnsiTheme="minorEastAsia"/>
          <w:color w:val="auto"/>
          <w:sz w:val="24"/>
          <w:highlight w:val="none"/>
        </w:rPr>
      </w:pPr>
      <w:r>
        <w:rPr>
          <w:rStyle w:val="26"/>
          <w:rFonts w:asciiTheme="minorEastAsia" w:hAnsiTheme="minorEastAsia"/>
          <w:color w:val="auto"/>
          <w:sz w:val="24"/>
          <w:highlight w:val="none"/>
        </w:rPr>
        <w:t>2</w:t>
      </w:r>
      <w:r>
        <w:rPr>
          <w:rStyle w:val="26"/>
          <w:rFonts w:hint="eastAsia" w:asciiTheme="minorEastAsia" w:hAnsiTheme="minorEastAsia"/>
          <w:color w:val="auto"/>
          <w:sz w:val="24"/>
          <w:highlight w:val="none"/>
        </w:rPr>
        <w:t>、</w:t>
      </w:r>
      <w:r>
        <w:rPr>
          <w:rStyle w:val="26"/>
          <w:rFonts w:asciiTheme="minorEastAsia" w:hAnsiTheme="minorEastAsia"/>
          <w:color w:val="auto"/>
          <w:sz w:val="24"/>
          <w:highlight w:val="none"/>
        </w:rPr>
        <w:t>合同经双方法定代表人或授权代表人签字并加盖单位公章</w:t>
      </w:r>
      <w:r>
        <w:rPr>
          <w:rStyle w:val="26"/>
          <w:rFonts w:hint="eastAsia" w:asciiTheme="minorEastAsia" w:hAnsiTheme="minorEastAsia"/>
          <w:color w:val="auto"/>
          <w:sz w:val="24"/>
          <w:highlight w:val="none"/>
        </w:rPr>
        <w:t>后生效</w:t>
      </w:r>
      <w:r>
        <w:rPr>
          <w:rStyle w:val="26"/>
          <w:rFonts w:asciiTheme="minorEastAsia" w:hAnsiTheme="minorEastAsia"/>
          <w:color w:val="auto"/>
          <w:sz w:val="24"/>
          <w:highlight w:val="none"/>
        </w:rPr>
        <w:t>.</w:t>
      </w:r>
    </w:p>
    <w:p w14:paraId="39646CA3">
      <w:pPr>
        <w:adjustRightInd w:val="0"/>
        <w:snapToGrid w:val="0"/>
        <w:spacing w:line="500" w:lineRule="exact"/>
        <w:ind w:firstLine="480" w:firstLineChars="200"/>
        <w:rPr>
          <w:rFonts w:asciiTheme="minorEastAsia" w:hAnsiTheme="minorEastAsia"/>
          <w:color w:val="auto"/>
          <w:sz w:val="24"/>
          <w:highlight w:val="none"/>
        </w:rPr>
      </w:pPr>
      <w:r>
        <w:rPr>
          <w:rFonts w:hint="eastAsia" w:asciiTheme="minorEastAsia" w:hAnsiTheme="minorEastAsia"/>
          <w:color w:val="auto"/>
          <w:sz w:val="24"/>
          <w:highlight w:val="none"/>
        </w:rPr>
        <w:t>3、双方共同负责对本次培养项目实施过程和效果进行监督和评估，确保培养质量。</w:t>
      </w:r>
    </w:p>
    <w:p w14:paraId="0B3ED230">
      <w:pPr>
        <w:pStyle w:val="27"/>
        <w:adjustRightInd w:val="0"/>
        <w:snapToGrid w:val="0"/>
        <w:spacing w:line="500" w:lineRule="exact"/>
        <w:ind w:firstLine="480" w:firstLineChars="200"/>
        <w:rPr>
          <w:rStyle w:val="26"/>
          <w:rFonts w:asciiTheme="minorEastAsia" w:hAnsiTheme="minorEastAsia"/>
          <w:color w:val="auto"/>
          <w:sz w:val="24"/>
          <w:highlight w:val="none"/>
        </w:rPr>
      </w:pPr>
      <w:r>
        <w:rPr>
          <w:rStyle w:val="26"/>
          <w:rFonts w:hint="eastAsia" w:asciiTheme="minorEastAsia" w:hAnsiTheme="minorEastAsia"/>
          <w:color w:val="auto"/>
          <w:sz w:val="24"/>
          <w:highlight w:val="none"/>
        </w:rPr>
        <w:t>4、</w:t>
      </w:r>
      <w:r>
        <w:rPr>
          <w:rStyle w:val="26"/>
          <w:rFonts w:asciiTheme="minorEastAsia" w:hAnsiTheme="minorEastAsia"/>
          <w:color w:val="auto"/>
          <w:sz w:val="24"/>
          <w:highlight w:val="none"/>
        </w:rPr>
        <w:t>盐城市政府采购</w:t>
      </w:r>
      <w:r>
        <w:rPr>
          <w:rStyle w:val="26"/>
          <w:rFonts w:hint="eastAsia" w:asciiTheme="minorEastAsia" w:hAnsiTheme="minorEastAsia"/>
          <w:color w:val="auto"/>
          <w:sz w:val="24"/>
          <w:highlight w:val="none"/>
          <w:u w:val="single"/>
        </w:rPr>
        <w:t xml:space="preserve"> </w:t>
      </w:r>
      <w:r>
        <w:rPr>
          <w:rStyle w:val="26"/>
          <w:rFonts w:asciiTheme="minorEastAsia" w:hAnsiTheme="minorEastAsia"/>
          <w:color w:val="auto"/>
          <w:sz w:val="24"/>
          <w:highlight w:val="none"/>
          <w:u w:val="single"/>
        </w:rPr>
        <w:t xml:space="preserve">       </w:t>
      </w:r>
      <w:r>
        <w:rPr>
          <w:rStyle w:val="26"/>
          <w:rFonts w:asciiTheme="minorEastAsia" w:hAnsiTheme="minorEastAsia"/>
          <w:color w:val="auto"/>
          <w:sz w:val="24"/>
          <w:highlight w:val="none"/>
        </w:rPr>
        <w:t>号招标文件和乙方的投标文件中被招标方认可的部分为本合同的不可分割的组成部分，与本合同具有同样效力。</w:t>
      </w:r>
    </w:p>
    <w:p w14:paraId="55AEF87B">
      <w:pPr>
        <w:pStyle w:val="27"/>
        <w:adjustRightInd w:val="0"/>
        <w:snapToGrid w:val="0"/>
        <w:spacing w:line="500" w:lineRule="exact"/>
        <w:ind w:firstLine="480" w:firstLineChars="200"/>
        <w:rPr>
          <w:rStyle w:val="26"/>
          <w:rFonts w:asciiTheme="minorEastAsia" w:hAnsiTheme="minorEastAsia"/>
          <w:color w:val="auto"/>
          <w:sz w:val="24"/>
          <w:highlight w:val="none"/>
        </w:rPr>
      </w:pPr>
      <w:r>
        <w:rPr>
          <w:rStyle w:val="26"/>
          <w:rFonts w:asciiTheme="minorEastAsia" w:hAnsiTheme="minorEastAsia"/>
          <w:color w:val="auto"/>
          <w:sz w:val="24"/>
          <w:highlight w:val="none"/>
        </w:rPr>
        <w:t>5、本合同未注明事项，标书中有规定的，按标书中的规定处理，没有规定的，按照国家的有关规定处理。</w:t>
      </w:r>
    </w:p>
    <w:p w14:paraId="26786A42">
      <w:pPr>
        <w:adjustRightInd w:val="0"/>
        <w:snapToGrid w:val="0"/>
        <w:spacing w:line="500" w:lineRule="exact"/>
        <w:ind w:firstLine="480" w:firstLineChars="200"/>
        <w:rPr>
          <w:rStyle w:val="26"/>
          <w:rFonts w:asciiTheme="minorEastAsia" w:hAnsiTheme="minorEastAsia"/>
          <w:color w:val="auto"/>
          <w:sz w:val="24"/>
          <w:highlight w:val="none"/>
        </w:rPr>
      </w:pPr>
      <w:r>
        <w:rPr>
          <w:rStyle w:val="26"/>
          <w:rFonts w:hint="eastAsia" w:asciiTheme="minorEastAsia" w:hAnsiTheme="minorEastAsia"/>
          <w:color w:val="auto"/>
          <w:sz w:val="24"/>
          <w:highlight w:val="none"/>
        </w:rPr>
        <w:t>6、</w:t>
      </w:r>
      <w:r>
        <w:rPr>
          <w:rStyle w:val="26"/>
          <w:rFonts w:asciiTheme="minorEastAsia" w:hAnsiTheme="minorEastAsia"/>
          <w:color w:val="auto"/>
          <w:sz w:val="24"/>
          <w:highlight w:val="none"/>
        </w:rPr>
        <w:t>本合同一式</w:t>
      </w:r>
      <w:r>
        <w:rPr>
          <w:rStyle w:val="26"/>
          <w:rFonts w:hint="eastAsia" w:asciiTheme="minorEastAsia" w:hAnsiTheme="minorEastAsia"/>
          <w:color w:val="auto"/>
          <w:sz w:val="24"/>
          <w:highlight w:val="none"/>
        </w:rPr>
        <w:t>陆</w:t>
      </w:r>
      <w:r>
        <w:rPr>
          <w:rStyle w:val="26"/>
          <w:rFonts w:asciiTheme="minorEastAsia" w:hAnsiTheme="minorEastAsia"/>
          <w:color w:val="auto"/>
          <w:sz w:val="24"/>
          <w:highlight w:val="none"/>
        </w:rPr>
        <w:t>份，合同双方各</w:t>
      </w:r>
      <w:r>
        <w:rPr>
          <w:rStyle w:val="26"/>
          <w:rFonts w:hint="eastAsia" w:asciiTheme="minorEastAsia" w:hAnsiTheme="minorEastAsia"/>
          <w:color w:val="auto"/>
          <w:sz w:val="24"/>
          <w:highlight w:val="none"/>
        </w:rPr>
        <w:t>叁</w:t>
      </w:r>
      <w:r>
        <w:rPr>
          <w:rStyle w:val="26"/>
          <w:rFonts w:asciiTheme="minorEastAsia" w:hAnsiTheme="minorEastAsia"/>
          <w:color w:val="auto"/>
          <w:sz w:val="24"/>
          <w:highlight w:val="none"/>
        </w:rPr>
        <w:t>份。</w:t>
      </w:r>
    </w:p>
    <w:p w14:paraId="1F7144F9">
      <w:pPr>
        <w:adjustRightInd w:val="0"/>
        <w:snapToGrid w:val="0"/>
        <w:spacing w:line="500" w:lineRule="exact"/>
        <w:rPr>
          <w:rStyle w:val="26"/>
          <w:rFonts w:asciiTheme="minorEastAsia" w:hAnsiTheme="minorEastAsia"/>
          <w:color w:val="auto"/>
          <w:sz w:val="24"/>
          <w:highlight w:val="none"/>
        </w:rPr>
      </w:pPr>
      <w:r>
        <w:rPr>
          <w:rStyle w:val="26"/>
          <w:rFonts w:asciiTheme="minorEastAsia" w:hAnsiTheme="minorEastAsia"/>
          <w:color w:val="auto"/>
          <w:sz w:val="24"/>
          <w:highlight w:val="none"/>
        </w:rPr>
        <w:t>甲方（单位名称）：                            乙方（单位名称）：</w:t>
      </w:r>
    </w:p>
    <w:p w14:paraId="7BF717D0">
      <w:pPr>
        <w:adjustRightInd w:val="0"/>
        <w:snapToGrid w:val="0"/>
        <w:spacing w:line="500" w:lineRule="exact"/>
        <w:rPr>
          <w:rStyle w:val="26"/>
          <w:rFonts w:asciiTheme="minorEastAsia" w:hAnsiTheme="minorEastAsia"/>
          <w:color w:val="auto"/>
          <w:sz w:val="24"/>
          <w:highlight w:val="none"/>
        </w:rPr>
      </w:pPr>
      <w:r>
        <w:rPr>
          <w:rStyle w:val="26"/>
          <w:rFonts w:asciiTheme="minorEastAsia" w:hAnsiTheme="minorEastAsia"/>
          <w:color w:val="auto"/>
          <w:sz w:val="24"/>
          <w:highlight w:val="none"/>
        </w:rPr>
        <w:t>地址：                                       地址：</w:t>
      </w:r>
    </w:p>
    <w:p w14:paraId="61E82472">
      <w:pPr>
        <w:adjustRightInd w:val="0"/>
        <w:snapToGrid w:val="0"/>
        <w:spacing w:line="500" w:lineRule="exact"/>
        <w:rPr>
          <w:rStyle w:val="26"/>
          <w:rFonts w:asciiTheme="minorEastAsia" w:hAnsiTheme="minorEastAsia"/>
          <w:color w:val="auto"/>
          <w:sz w:val="24"/>
          <w:highlight w:val="none"/>
        </w:rPr>
      </w:pPr>
      <w:r>
        <w:rPr>
          <w:rStyle w:val="26"/>
          <w:rFonts w:asciiTheme="minorEastAsia" w:hAnsiTheme="minorEastAsia"/>
          <w:color w:val="auto"/>
          <w:sz w:val="24"/>
          <w:highlight w:val="none"/>
        </w:rPr>
        <w:t>法定代表人或授权代表：                       法定代表人或授权代表：</w:t>
      </w:r>
    </w:p>
    <w:p w14:paraId="2EEEBBAB">
      <w:pPr>
        <w:adjustRightInd w:val="0"/>
        <w:snapToGrid w:val="0"/>
        <w:spacing w:line="500" w:lineRule="exact"/>
        <w:rPr>
          <w:rStyle w:val="26"/>
          <w:rFonts w:asciiTheme="minorEastAsia" w:hAnsiTheme="minorEastAsia"/>
          <w:color w:val="auto"/>
          <w:sz w:val="24"/>
          <w:highlight w:val="none"/>
        </w:rPr>
      </w:pPr>
      <w:r>
        <w:rPr>
          <w:rStyle w:val="26"/>
          <w:rFonts w:asciiTheme="minorEastAsia" w:hAnsiTheme="minorEastAsia"/>
          <w:color w:val="auto"/>
          <w:sz w:val="24"/>
          <w:highlight w:val="none"/>
        </w:rPr>
        <w:t>联系电话：</w:t>
      </w:r>
      <w:r>
        <w:rPr>
          <w:rStyle w:val="26"/>
          <w:rFonts w:hint="eastAsia" w:asciiTheme="minorEastAsia" w:hAnsiTheme="minorEastAsia"/>
          <w:color w:val="auto"/>
          <w:sz w:val="24"/>
          <w:highlight w:val="none"/>
        </w:rPr>
        <w:t xml:space="preserve">                                   </w:t>
      </w:r>
      <w:r>
        <w:rPr>
          <w:rStyle w:val="26"/>
          <w:rFonts w:asciiTheme="minorEastAsia" w:hAnsiTheme="minorEastAsia"/>
          <w:color w:val="auto"/>
          <w:sz w:val="24"/>
          <w:highlight w:val="none"/>
        </w:rPr>
        <w:t>联系电话：</w:t>
      </w:r>
    </w:p>
    <w:p w14:paraId="2AF10EB5">
      <w:pPr>
        <w:adjustRightInd w:val="0"/>
        <w:snapToGrid w:val="0"/>
        <w:spacing w:line="500" w:lineRule="exact"/>
        <w:rPr>
          <w:rStyle w:val="26"/>
          <w:rFonts w:asciiTheme="minorEastAsia" w:hAnsiTheme="minorEastAsia"/>
          <w:color w:val="auto"/>
          <w:sz w:val="24"/>
          <w:highlight w:val="none"/>
        </w:rPr>
      </w:pPr>
      <w:r>
        <w:rPr>
          <w:rStyle w:val="26"/>
          <w:rFonts w:asciiTheme="minorEastAsia" w:hAnsiTheme="minorEastAsia"/>
          <w:color w:val="auto"/>
          <w:sz w:val="24"/>
          <w:highlight w:val="none"/>
        </w:rPr>
        <w:t>日期：</w:t>
      </w:r>
      <w:r>
        <w:rPr>
          <w:rStyle w:val="26"/>
          <w:rFonts w:hint="eastAsia" w:asciiTheme="minorEastAsia" w:hAnsiTheme="minorEastAsia"/>
          <w:color w:val="auto"/>
          <w:sz w:val="24"/>
          <w:highlight w:val="none"/>
        </w:rPr>
        <w:t xml:space="preserve">  </w:t>
      </w:r>
      <w:r>
        <w:rPr>
          <w:rStyle w:val="26"/>
          <w:rFonts w:asciiTheme="minorEastAsia" w:hAnsiTheme="minorEastAsia"/>
          <w:color w:val="auto"/>
          <w:sz w:val="24"/>
          <w:highlight w:val="none"/>
        </w:rPr>
        <w:t>年</w:t>
      </w:r>
      <w:r>
        <w:rPr>
          <w:rStyle w:val="26"/>
          <w:rFonts w:hint="eastAsia" w:asciiTheme="minorEastAsia" w:hAnsiTheme="minorEastAsia"/>
          <w:color w:val="auto"/>
          <w:sz w:val="24"/>
          <w:highlight w:val="none"/>
        </w:rPr>
        <w:t xml:space="preserve">   </w:t>
      </w:r>
      <w:r>
        <w:rPr>
          <w:rStyle w:val="26"/>
          <w:rFonts w:asciiTheme="minorEastAsia" w:hAnsiTheme="minorEastAsia"/>
          <w:color w:val="auto"/>
          <w:sz w:val="24"/>
          <w:highlight w:val="none"/>
        </w:rPr>
        <w:t>月</w:t>
      </w:r>
      <w:r>
        <w:rPr>
          <w:rStyle w:val="26"/>
          <w:rFonts w:hint="eastAsia" w:asciiTheme="minorEastAsia" w:hAnsiTheme="minorEastAsia"/>
          <w:color w:val="auto"/>
          <w:sz w:val="24"/>
          <w:highlight w:val="none"/>
        </w:rPr>
        <w:t xml:space="preserve">  </w:t>
      </w:r>
      <w:r>
        <w:rPr>
          <w:rStyle w:val="26"/>
          <w:rFonts w:asciiTheme="minorEastAsia" w:hAnsiTheme="minorEastAsia"/>
          <w:color w:val="auto"/>
          <w:sz w:val="24"/>
          <w:highlight w:val="none"/>
        </w:rPr>
        <w:t>日</w:t>
      </w:r>
      <w:r>
        <w:rPr>
          <w:rStyle w:val="26"/>
          <w:rFonts w:hint="eastAsia" w:asciiTheme="minorEastAsia" w:hAnsiTheme="minorEastAsia"/>
          <w:color w:val="auto"/>
          <w:sz w:val="24"/>
          <w:highlight w:val="none"/>
        </w:rPr>
        <w:t xml:space="preserve">                          </w:t>
      </w:r>
      <w:r>
        <w:rPr>
          <w:rStyle w:val="26"/>
          <w:rFonts w:asciiTheme="minorEastAsia" w:hAnsiTheme="minorEastAsia"/>
          <w:color w:val="auto"/>
          <w:sz w:val="24"/>
          <w:highlight w:val="none"/>
        </w:rPr>
        <w:t>日期：</w:t>
      </w:r>
      <w:r>
        <w:rPr>
          <w:rStyle w:val="26"/>
          <w:rFonts w:hint="eastAsia" w:asciiTheme="minorEastAsia" w:hAnsiTheme="minorEastAsia"/>
          <w:color w:val="auto"/>
          <w:sz w:val="24"/>
          <w:highlight w:val="none"/>
        </w:rPr>
        <w:t xml:space="preserve">  </w:t>
      </w:r>
      <w:r>
        <w:rPr>
          <w:rStyle w:val="26"/>
          <w:rFonts w:asciiTheme="minorEastAsia" w:hAnsiTheme="minorEastAsia"/>
          <w:color w:val="auto"/>
          <w:sz w:val="24"/>
          <w:highlight w:val="none"/>
        </w:rPr>
        <w:t>年</w:t>
      </w:r>
      <w:r>
        <w:rPr>
          <w:rStyle w:val="26"/>
          <w:rFonts w:hint="eastAsia" w:asciiTheme="minorEastAsia" w:hAnsiTheme="minorEastAsia"/>
          <w:color w:val="auto"/>
          <w:sz w:val="24"/>
          <w:highlight w:val="none"/>
        </w:rPr>
        <w:t xml:space="preserve">  </w:t>
      </w:r>
      <w:r>
        <w:rPr>
          <w:rStyle w:val="26"/>
          <w:rFonts w:asciiTheme="minorEastAsia" w:hAnsiTheme="minorEastAsia"/>
          <w:color w:val="auto"/>
          <w:sz w:val="24"/>
          <w:highlight w:val="none"/>
        </w:rPr>
        <w:t>月</w:t>
      </w:r>
      <w:r>
        <w:rPr>
          <w:rStyle w:val="26"/>
          <w:rFonts w:hint="eastAsia" w:asciiTheme="minorEastAsia" w:hAnsiTheme="minorEastAsia"/>
          <w:color w:val="auto"/>
          <w:sz w:val="24"/>
          <w:highlight w:val="none"/>
        </w:rPr>
        <w:t xml:space="preserve">  </w:t>
      </w:r>
      <w:r>
        <w:rPr>
          <w:rStyle w:val="26"/>
          <w:rFonts w:asciiTheme="minorEastAsia" w:hAnsiTheme="minorEastAsia"/>
          <w:color w:val="auto"/>
          <w:sz w:val="24"/>
          <w:highlight w:val="none"/>
        </w:rPr>
        <w:t>日</w:t>
      </w:r>
    </w:p>
    <w:p w14:paraId="01D64CEC">
      <w:pPr>
        <w:adjustRightInd w:val="0"/>
        <w:snapToGrid w:val="0"/>
        <w:spacing w:line="500" w:lineRule="exact"/>
        <w:rPr>
          <w:rStyle w:val="26"/>
          <w:rFonts w:asciiTheme="minorEastAsia" w:hAnsiTheme="minorEastAsia"/>
          <w:color w:val="auto"/>
          <w:sz w:val="24"/>
          <w:highlight w:val="none"/>
        </w:rPr>
      </w:pPr>
    </w:p>
    <w:p w14:paraId="2DCFE531">
      <w:pPr>
        <w:widowControl/>
        <w:adjustRightInd w:val="0"/>
        <w:snapToGrid w:val="0"/>
        <w:spacing w:line="500" w:lineRule="exact"/>
        <w:ind w:firstLine="880"/>
        <w:jc w:val="left"/>
        <w:rPr>
          <w:rFonts w:cs="黑体" w:asciiTheme="minorEastAsia" w:hAnsiTheme="minorEastAsia"/>
          <w:color w:val="auto"/>
          <w:kern w:val="0"/>
          <w:sz w:val="24"/>
          <w:highlight w:val="none"/>
        </w:rPr>
      </w:pPr>
      <w:r>
        <w:rPr>
          <w:rFonts w:cs="黑体" w:asciiTheme="minorEastAsia" w:hAnsiTheme="minorEastAsia"/>
          <w:color w:val="auto"/>
          <w:sz w:val="24"/>
          <w:highlight w:val="none"/>
        </w:rPr>
        <w:br w:type="page"/>
      </w:r>
    </w:p>
    <w:p w14:paraId="1F53D35F">
      <w:pPr>
        <w:pStyle w:val="11"/>
        <w:spacing w:before="120" w:beforeAutospacing="0" w:after="120" w:afterAutospacing="0" w:line="500" w:lineRule="exact"/>
        <w:ind w:firstLine="880"/>
        <w:jc w:val="center"/>
        <w:rPr>
          <w:color w:val="auto"/>
          <w:highlight w:val="none"/>
        </w:rPr>
      </w:pPr>
      <w:r>
        <w:rPr>
          <w:rFonts w:hint="eastAsia" w:ascii="黑体" w:hAnsi="宋体" w:eastAsia="黑体" w:cs="黑体"/>
          <w:color w:val="auto"/>
          <w:sz w:val="44"/>
          <w:szCs w:val="44"/>
          <w:highlight w:val="none"/>
        </w:rPr>
        <w:t>第</w:t>
      </w:r>
      <w:bookmarkEnd w:id="177"/>
      <w:r>
        <w:rPr>
          <w:rFonts w:hint="eastAsia" w:ascii="黑体" w:hAnsi="宋体" w:eastAsia="黑体" w:cs="黑体"/>
          <w:color w:val="auto"/>
          <w:sz w:val="44"/>
          <w:szCs w:val="44"/>
          <w:highlight w:val="none"/>
        </w:rPr>
        <w:t>四章 采购需求</w:t>
      </w:r>
      <w:bookmarkEnd w:id="178"/>
      <w:bookmarkEnd w:id="179"/>
      <w:bookmarkEnd w:id="180"/>
      <w:bookmarkEnd w:id="181"/>
      <w:bookmarkEnd w:id="182"/>
    </w:p>
    <w:p w14:paraId="4997A6C7">
      <w:pPr>
        <w:pStyle w:val="11"/>
        <w:spacing w:beforeAutospacing="0" w:afterAutospacing="0" w:line="520" w:lineRule="exact"/>
        <w:ind w:firstLine="480" w:firstLineChars="200"/>
        <w:jc w:val="both"/>
        <w:rPr>
          <w:rFonts w:ascii="宋体" w:hAnsi="宋体" w:eastAsia="宋体" w:cs="宋体"/>
          <w:color w:val="auto"/>
          <w:highlight w:val="none"/>
        </w:rPr>
      </w:pPr>
      <w:bookmarkStart w:id="190" w:name="_Toc26554093"/>
      <w:bookmarkStart w:id="191" w:name="_Toc49090575"/>
      <w:r>
        <w:rPr>
          <w:rFonts w:hint="eastAsia" w:ascii="宋体" w:hAnsi="宋体" w:eastAsia="宋体" w:cs="宋体"/>
          <w:color w:val="auto"/>
          <w:highlight w:val="none"/>
        </w:rPr>
        <w:t>项目属性:服务类项目。</w:t>
      </w:r>
      <w:bookmarkEnd w:id="190"/>
      <w:bookmarkEnd w:id="191"/>
      <w:r>
        <w:rPr>
          <w:rFonts w:hint="eastAsia" w:ascii="宋体" w:hAnsi="宋体" w:eastAsia="宋体" w:cs="宋体"/>
          <w:color w:val="auto"/>
          <w:highlight w:val="none"/>
        </w:rPr>
        <w:t> </w:t>
      </w:r>
    </w:p>
    <w:p w14:paraId="3249F987">
      <w:pPr>
        <w:pStyle w:val="18"/>
        <w:spacing w:line="500" w:lineRule="exact"/>
        <w:ind w:firstLine="482" w:firstLineChars="200"/>
        <w:rPr>
          <w:rFonts w:asciiTheme="minorEastAsia" w:hAnsiTheme="minorEastAsia"/>
          <w:b/>
          <w:color w:val="auto"/>
          <w:highlight w:val="none"/>
        </w:rPr>
      </w:pPr>
      <w:r>
        <w:rPr>
          <w:rFonts w:asciiTheme="minorEastAsia" w:hAnsiTheme="minorEastAsia"/>
          <w:b/>
          <w:color w:val="auto"/>
          <w:highlight w:val="none"/>
        </w:rPr>
        <w:t>一、</w:t>
      </w:r>
      <w:r>
        <w:rPr>
          <w:rFonts w:hint="eastAsia" w:asciiTheme="minorEastAsia" w:hAnsiTheme="minorEastAsia"/>
          <w:b/>
          <w:color w:val="auto"/>
          <w:highlight w:val="none"/>
        </w:rPr>
        <w:t>项目名称</w:t>
      </w:r>
      <w:r>
        <w:rPr>
          <w:rFonts w:asciiTheme="minorEastAsia" w:hAnsiTheme="minorEastAsia"/>
          <w:b/>
          <w:color w:val="auto"/>
          <w:highlight w:val="none"/>
        </w:rPr>
        <w:t>：</w:t>
      </w:r>
      <w:r>
        <w:rPr>
          <w:rFonts w:hint="eastAsia" w:asciiTheme="minorEastAsia" w:hAnsiTheme="minorEastAsia"/>
          <w:color w:val="auto"/>
          <w:highlight w:val="none"/>
          <w:shd w:val="clear" w:color="auto" w:fill="FFFFFF"/>
        </w:rPr>
        <w:t>盐城市卫生健康委员会卫生健康经济运营管理人才培养项目</w:t>
      </w:r>
    </w:p>
    <w:p w14:paraId="717F2A80">
      <w:pPr>
        <w:pStyle w:val="18"/>
        <w:spacing w:line="500" w:lineRule="exact"/>
        <w:ind w:firstLine="482" w:firstLineChars="200"/>
        <w:rPr>
          <w:rFonts w:asciiTheme="minorEastAsia" w:hAnsiTheme="minorEastAsia"/>
          <w:b/>
          <w:color w:val="auto"/>
          <w:highlight w:val="none"/>
        </w:rPr>
      </w:pPr>
      <w:r>
        <w:rPr>
          <w:rFonts w:asciiTheme="minorEastAsia" w:hAnsiTheme="minorEastAsia"/>
          <w:b/>
          <w:color w:val="auto"/>
          <w:highlight w:val="none"/>
        </w:rPr>
        <w:t>二、</w:t>
      </w:r>
      <w:r>
        <w:rPr>
          <w:rFonts w:hint="eastAsia" w:asciiTheme="minorEastAsia" w:hAnsiTheme="minorEastAsia"/>
          <w:b/>
          <w:color w:val="auto"/>
          <w:highlight w:val="none"/>
        </w:rPr>
        <w:t>项目概况</w:t>
      </w:r>
    </w:p>
    <w:p w14:paraId="0E64B362">
      <w:pPr>
        <w:pStyle w:val="18"/>
        <w:spacing w:line="500" w:lineRule="exact"/>
        <w:ind w:firstLine="480" w:firstLineChars="200"/>
        <w:rPr>
          <w:rFonts w:asciiTheme="minorEastAsia" w:hAnsiTheme="minorEastAsia"/>
          <w:color w:val="auto"/>
          <w:highlight w:val="none"/>
          <w:shd w:val="clear" w:color="auto" w:fill="FFFFFF"/>
        </w:rPr>
      </w:pPr>
      <w:r>
        <w:rPr>
          <w:rStyle w:val="26"/>
          <w:rFonts w:hint="eastAsia" w:asciiTheme="minorEastAsia" w:hAnsiTheme="minorEastAsia"/>
          <w:color w:val="auto"/>
          <w:kern w:val="2"/>
          <w:highlight w:val="none"/>
        </w:rPr>
        <w:t>协助和支持盐城市卫健委开展公立医院经济运营管理后备人才选拔和培养工作，进行为期两年的专题培育，采用集中培养与跟踪管理相结合、课堂教学与现场教学相结合的培养模式，紧扣卫生健康经济运营管理人才成长规律，以提升专业素养为核心，负责培养方案设计、课程开发、师资配备、教学组织、学员跟踪管理与考核评价、课题指导等全过程服务，并按要求定期向市卫健委报送培养进展及成果总结</w:t>
      </w:r>
      <w:r>
        <w:rPr>
          <w:rFonts w:hint="eastAsia" w:asciiTheme="minorEastAsia" w:hAnsiTheme="minorEastAsia"/>
          <w:color w:val="auto"/>
          <w:highlight w:val="none"/>
          <w:shd w:val="clear" w:color="auto" w:fill="FFFFFF"/>
        </w:rPr>
        <w:t>。</w:t>
      </w:r>
    </w:p>
    <w:p w14:paraId="752C6FCA">
      <w:pPr>
        <w:pStyle w:val="18"/>
        <w:spacing w:line="500" w:lineRule="exact"/>
        <w:ind w:firstLine="482" w:firstLineChars="200"/>
        <w:rPr>
          <w:rFonts w:asciiTheme="minorEastAsia" w:hAnsiTheme="minorEastAsia"/>
          <w:b/>
          <w:color w:val="auto"/>
          <w:highlight w:val="none"/>
        </w:rPr>
      </w:pPr>
      <w:r>
        <w:rPr>
          <w:rFonts w:asciiTheme="minorEastAsia" w:hAnsiTheme="minorEastAsia"/>
          <w:b/>
          <w:color w:val="auto"/>
          <w:highlight w:val="none"/>
        </w:rPr>
        <w:t>三、服务期：</w:t>
      </w:r>
      <w:r>
        <w:rPr>
          <w:rFonts w:cs="Times New Roman" w:asciiTheme="minorEastAsia" w:hAnsiTheme="minorEastAsia"/>
          <w:bCs/>
          <w:color w:val="auto"/>
          <w:highlight w:val="none"/>
        </w:rPr>
        <w:t>学习周期为两年</w:t>
      </w:r>
      <w:r>
        <w:rPr>
          <w:rFonts w:hint="eastAsia" w:cs="Times New Roman" w:asciiTheme="minorEastAsia" w:hAnsiTheme="minorEastAsia"/>
          <w:bCs/>
          <w:color w:val="auto"/>
          <w:highlight w:val="none"/>
        </w:rPr>
        <w:t>。</w:t>
      </w:r>
    </w:p>
    <w:p w14:paraId="78A22A0E">
      <w:pPr>
        <w:pStyle w:val="31"/>
        <w:widowControl/>
        <w:kinsoku w:val="0"/>
        <w:autoSpaceDE w:val="0"/>
        <w:autoSpaceDN w:val="0"/>
        <w:adjustRightInd w:val="0"/>
        <w:snapToGrid w:val="0"/>
        <w:spacing w:line="500" w:lineRule="exact"/>
        <w:ind w:firstLine="482" w:firstLineChars="200"/>
        <w:textAlignment w:val="baseline"/>
        <w:rPr>
          <w:rFonts w:asciiTheme="minorEastAsia" w:hAnsiTheme="minorEastAsia" w:eastAsiaTheme="minorEastAsia"/>
          <w:b/>
          <w:color w:val="auto"/>
          <w:kern w:val="0"/>
          <w:sz w:val="24"/>
          <w:szCs w:val="24"/>
          <w:highlight w:val="none"/>
        </w:rPr>
      </w:pPr>
      <w:r>
        <w:rPr>
          <w:rFonts w:asciiTheme="minorEastAsia" w:hAnsiTheme="minorEastAsia" w:eastAsiaTheme="minorEastAsia"/>
          <w:b/>
          <w:color w:val="auto"/>
          <w:kern w:val="0"/>
          <w:sz w:val="24"/>
          <w:szCs w:val="24"/>
          <w:highlight w:val="none"/>
        </w:rPr>
        <w:t>四、</w:t>
      </w:r>
      <w:r>
        <w:rPr>
          <w:rFonts w:hint="eastAsia" w:asciiTheme="minorEastAsia" w:hAnsiTheme="minorEastAsia" w:eastAsiaTheme="minorEastAsia"/>
          <w:b/>
          <w:color w:val="auto"/>
          <w:kern w:val="0"/>
          <w:sz w:val="24"/>
          <w:szCs w:val="24"/>
          <w:highlight w:val="none"/>
        </w:rPr>
        <w:t>具体要求</w:t>
      </w:r>
    </w:p>
    <w:p w14:paraId="618622F7">
      <w:pPr>
        <w:pStyle w:val="31"/>
        <w:widowControl/>
        <w:kinsoku w:val="0"/>
        <w:autoSpaceDE w:val="0"/>
        <w:autoSpaceDN w:val="0"/>
        <w:adjustRightInd w:val="0"/>
        <w:snapToGrid w:val="0"/>
        <w:spacing w:line="500" w:lineRule="exact"/>
        <w:ind w:firstLine="480" w:firstLineChars="200"/>
        <w:textAlignment w:val="baseline"/>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（一）课程体系要求</w:t>
      </w:r>
    </w:p>
    <w:p w14:paraId="19A65A5D">
      <w:pPr>
        <w:pStyle w:val="31"/>
        <w:widowControl/>
        <w:kinsoku w:val="0"/>
        <w:autoSpaceDE w:val="0"/>
        <w:autoSpaceDN w:val="0"/>
        <w:adjustRightInd w:val="0"/>
        <w:snapToGrid w:val="0"/>
        <w:spacing w:line="500" w:lineRule="exact"/>
        <w:ind w:firstLine="480" w:firstLineChars="200"/>
        <w:textAlignment w:val="baseline"/>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须覆盖：政策前沿与医疗改革、公立医院财务运营与管理、公立医院资产管理、公立医院内控与审计、公立医院运营与高质量发展、高级财务人员管理能力与综合素养提升等核心模块；预算、成本、信息化支撑、医保政策、招标采购课程学习；</w:t>
      </w:r>
      <w:r>
        <w:rPr>
          <w:rFonts w:asciiTheme="minorEastAsia" w:hAnsiTheme="minorEastAsia" w:eastAsiaTheme="minorEastAsia"/>
          <w:color w:val="auto"/>
          <w:sz w:val="24"/>
          <w:szCs w:val="24"/>
          <w:highlight w:val="none"/>
        </w:rPr>
        <w:t>邀请行业专家对我市公立医院内控制度成本核算及实施细则进行指导点评。</w:t>
      </w:r>
    </w:p>
    <w:p w14:paraId="27A00729">
      <w:pPr>
        <w:pStyle w:val="31"/>
        <w:widowControl/>
        <w:kinsoku w:val="0"/>
        <w:autoSpaceDE w:val="0"/>
        <w:autoSpaceDN w:val="0"/>
        <w:adjustRightInd w:val="0"/>
        <w:snapToGrid w:val="0"/>
        <w:spacing w:line="500" w:lineRule="exact"/>
        <w:ind w:firstLine="480" w:firstLineChars="200"/>
        <w:textAlignment w:val="baseline"/>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（二）教学实施要求</w:t>
      </w:r>
    </w:p>
    <w:p w14:paraId="55CD4185">
      <w:pPr>
        <w:pStyle w:val="31"/>
        <w:widowControl/>
        <w:kinsoku w:val="0"/>
        <w:autoSpaceDE w:val="0"/>
        <w:autoSpaceDN w:val="0"/>
        <w:adjustRightInd w:val="0"/>
        <w:snapToGrid w:val="0"/>
        <w:spacing w:line="500" w:lineRule="exact"/>
        <w:ind w:firstLine="480" w:firstLineChars="200"/>
        <w:textAlignment w:val="baseline"/>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1、采用系统授课、专题研讨、案例教学、现场教学等多元形式，课程设计贴合公立医院运营实际，融入医改新政、数字经济、精益管理等前沿内容，更新管理理念、拓宽专业视野。</w:t>
      </w:r>
    </w:p>
    <w:p w14:paraId="3B589352">
      <w:pPr>
        <w:pStyle w:val="31"/>
        <w:widowControl/>
        <w:kinsoku w:val="0"/>
        <w:autoSpaceDE w:val="0"/>
        <w:autoSpaceDN w:val="0"/>
        <w:adjustRightInd w:val="0"/>
        <w:snapToGrid w:val="0"/>
        <w:spacing w:line="500" w:lineRule="exact"/>
        <w:ind w:firstLine="480" w:firstLineChars="200"/>
        <w:textAlignment w:val="baseline"/>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2、教学场地：教学场地周边交通便捷、学习氛围浓厚、</w:t>
      </w:r>
      <w:r>
        <w:rPr>
          <w:rFonts w:asciiTheme="minorEastAsia" w:hAnsiTheme="minorEastAsia" w:eastAsiaTheme="minorEastAsia"/>
          <w:color w:val="auto"/>
          <w:sz w:val="24"/>
          <w:szCs w:val="24"/>
          <w:highlight w:val="none"/>
        </w:rPr>
        <w:t>无安全</w:t>
      </w:r>
      <w:r>
        <w:rPr>
          <w:rFonts w:hint="eastAsia" w:asciiTheme="minorEastAsia" w:hAnsiTheme="minorEastAsia" w:eastAsiaTheme="minorEastAsia"/>
          <w:color w:val="auto"/>
          <w:sz w:val="24"/>
          <w:szCs w:val="24"/>
          <w:highlight w:val="none"/>
        </w:rPr>
        <w:t>隐</w:t>
      </w:r>
      <w:r>
        <w:rPr>
          <w:rFonts w:asciiTheme="minorEastAsia" w:hAnsiTheme="minorEastAsia" w:eastAsiaTheme="minorEastAsia"/>
          <w:color w:val="auto"/>
          <w:sz w:val="24"/>
          <w:szCs w:val="24"/>
          <w:highlight w:val="none"/>
        </w:rPr>
        <w:t>患，整体</w:t>
      </w:r>
      <w:r>
        <w:rPr>
          <w:rFonts w:hint="eastAsia" w:asciiTheme="minorEastAsia" w:hAnsiTheme="minorEastAsia" w:eastAsiaTheme="minorEastAsia"/>
          <w:color w:val="auto"/>
          <w:sz w:val="24"/>
          <w:szCs w:val="24"/>
          <w:highlight w:val="none"/>
        </w:rPr>
        <w:t>环</w:t>
      </w:r>
      <w:r>
        <w:rPr>
          <w:rFonts w:asciiTheme="minorEastAsia" w:hAnsiTheme="minorEastAsia" w:eastAsiaTheme="minorEastAsia"/>
          <w:color w:val="auto"/>
          <w:sz w:val="24"/>
          <w:szCs w:val="24"/>
          <w:highlight w:val="none"/>
        </w:rPr>
        <w:t>境整</w:t>
      </w:r>
      <w:r>
        <w:rPr>
          <w:rFonts w:hint="eastAsia" w:asciiTheme="minorEastAsia" w:hAnsiTheme="minorEastAsia" w:eastAsiaTheme="minorEastAsia"/>
          <w:color w:val="auto"/>
          <w:sz w:val="24"/>
          <w:szCs w:val="24"/>
          <w:highlight w:val="none"/>
        </w:rPr>
        <w:t>洁</w:t>
      </w:r>
      <w:r>
        <w:rPr>
          <w:rFonts w:asciiTheme="minorEastAsia" w:hAnsiTheme="minorEastAsia" w:eastAsiaTheme="minorEastAsia"/>
          <w:color w:val="auto"/>
          <w:sz w:val="24"/>
          <w:szCs w:val="24"/>
          <w:highlight w:val="none"/>
        </w:rPr>
        <w:t>安</w:t>
      </w:r>
      <w:r>
        <w:rPr>
          <w:rFonts w:hint="eastAsia" w:asciiTheme="minorEastAsia" w:hAnsiTheme="minorEastAsia" w:eastAsiaTheme="minorEastAsia"/>
          <w:color w:val="auto"/>
          <w:sz w:val="24"/>
          <w:szCs w:val="24"/>
          <w:highlight w:val="none"/>
        </w:rPr>
        <w:t>静</w:t>
      </w:r>
      <w:r>
        <w:rPr>
          <w:rFonts w:asciiTheme="minorEastAsia" w:hAnsiTheme="minorEastAsia" w:eastAsiaTheme="minorEastAsia"/>
          <w:color w:val="auto"/>
          <w:sz w:val="24"/>
          <w:szCs w:val="24"/>
          <w:highlight w:val="none"/>
        </w:rPr>
        <w:t>，适宜</w:t>
      </w:r>
      <w:r>
        <w:rPr>
          <w:rFonts w:hint="eastAsia" w:asciiTheme="minorEastAsia" w:hAnsiTheme="minorEastAsia" w:eastAsiaTheme="minorEastAsia"/>
          <w:color w:val="auto"/>
          <w:sz w:val="24"/>
          <w:szCs w:val="24"/>
          <w:highlight w:val="none"/>
        </w:rPr>
        <w:t>开</w:t>
      </w:r>
      <w:r>
        <w:rPr>
          <w:rFonts w:asciiTheme="minorEastAsia" w:hAnsiTheme="minorEastAsia" w:eastAsiaTheme="minorEastAsia"/>
          <w:color w:val="auto"/>
          <w:sz w:val="24"/>
          <w:szCs w:val="24"/>
          <w:highlight w:val="none"/>
        </w:rPr>
        <w:t>展</w:t>
      </w:r>
      <w:r>
        <w:rPr>
          <w:rFonts w:hint="eastAsia" w:asciiTheme="minorEastAsia" w:hAnsiTheme="minorEastAsia" w:eastAsiaTheme="minorEastAsia"/>
          <w:color w:val="auto"/>
          <w:sz w:val="24"/>
          <w:szCs w:val="24"/>
          <w:highlight w:val="none"/>
        </w:rPr>
        <w:t>教学</w:t>
      </w:r>
      <w:r>
        <w:rPr>
          <w:rFonts w:asciiTheme="minorEastAsia" w:hAnsiTheme="minorEastAsia" w:eastAsiaTheme="minorEastAsia"/>
          <w:color w:val="auto"/>
          <w:sz w:val="24"/>
          <w:szCs w:val="24"/>
          <w:highlight w:val="none"/>
        </w:rPr>
        <w:t>培</w:t>
      </w:r>
      <w:r>
        <w:rPr>
          <w:rFonts w:hint="eastAsia" w:asciiTheme="minorEastAsia" w:hAnsiTheme="minorEastAsia" w:eastAsiaTheme="minorEastAsia"/>
          <w:color w:val="auto"/>
          <w:sz w:val="24"/>
          <w:szCs w:val="24"/>
          <w:highlight w:val="none"/>
        </w:rPr>
        <w:t>训</w:t>
      </w:r>
      <w:r>
        <w:rPr>
          <w:rFonts w:asciiTheme="minorEastAsia" w:hAnsiTheme="minorEastAsia" w:eastAsiaTheme="minorEastAsia"/>
          <w:color w:val="auto"/>
          <w:sz w:val="24"/>
          <w:szCs w:val="24"/>
          <w:highlight w:val="none"/>
        </w:rPr>
        <w:t>活</w:t>
      </w:r>
      <w:r>
        <w:rPr>
          <w:rFonts w:hint="eastAsia" w:asciiTheme="minorEastAsia" w:hAnsiTheme="minorEastAsia" w:eastAsiaTheme="minorEastAsia"/>
          <w:color w:val="auto"/>
          <w:sz w:val="24"/>
          <w:szCs w:val="24"/>
          <w:highlight w:val="none"/>
        </w:rPr>
        <w:t>动。教学场地距学员住宿地点步行时间</w:t>
      </w:r>
      <w:r>
        <w:rPr>
          <w:rFonts w:asciiTheme="minorEastAsia" w:hAnsiTheme="minorEastAsia" w:eastAsiaTheme="minorEastAsia"/>
          <w:color w:val="auto"/>
          <w:sz w:val="24"/>
          <w:szCs w:val="24"/>
          <w:highlight w:val="none"/>
        </w:rPr>
        <w:t>10</w:t>
      </w:r>
      <w:r>
        <w:rPr>
          <w:rFonts w:hint="eastAsia" w:asciiTheme="minorEastAsia" w:hAnsiTheme="minorEastAsia" w:eastAsiaTheme="minorEastAsia"/>
          <w:color w:val="auto"/>
          <w:sz w:val="24"/>
          <w:szCs w:val="24"/>
          <w:highlight w:val="none"/>
        </w:rPr>
        <w:t>分钟内。</w:t>
      </w:r>
    </w:p>
    <w:p w14:paraId="54E5DDA7">
      <w:pPr>
        <w:pStyle w:val="31"/>
        <w:widowControl/>
        <w:kinsoku w:val="0"/>
        <w:autoSpaceDE w:val="0"/>
        <w:autoSpaceDN w:val="0"/>
        <w:adjustRightInd w:val="0"/>
        <w:snapToGrid w:val="0"/>
        <w:spacing w:line="500" w:lineRule="exact"/>
        <w:ind w:firstLine="480" w:firstLineChars="200"/>
        <w:textAlignment w:val="baseline"/>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（三）培养目标要求</w:t>
      </w:r>
    </w:p>
    <w:p w14:paraId="515D78E1">
      <w:pPr>
        <w:pStyle w:val="31"/>
        <w:widowControl/>
        <w:kinsoku w:val="0"/>
        <w:autoSpaceDE w:val="0"/>
        <w:autoSpaceDN w:val="0"/>
        <w:adjustRightInd w:val="0"/>
        <w:snapToGrid w:val="0"/>
        <w:spacing w:line="500" w:lineRule="exact"/>
        <w:ind w:firstLine="480" w:firstLineChars="200"/>
        <w:textAlignment w:val="baseline"/>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通过两年系统性培养，使学员具备医院发展战略制定、财务决策分析、运营统筹管理等核心能力，成长为医院经济运营所必须的复合型管理人才。</w:t>
      </w:r>
    </w:p>
    <w:p w14:paraId="2B206530">
      <w:pPr>
        <w:pStyle w:val="31"/>
        <w:widowControl/>
        <w:kinsoku w:val="0"/>
        <w:autoSpaceDE w:val="0"/>
        <w:autoSpaceDN w:val="0"/>
        <w:adjustRightInd w:val="0"/>
        <w:snapToGrid w:val="0"/>
        <w:spacing w:line="500" w:lineRule="exact"/>
        <w:ind w:firstLine="480" w:firstLineChars="200"/>
        <w:textAlignment w:val="baseline"/>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（四）过程管理要求</w:t>
      </w:r>
    </w:p>
    <w:p w14:paraId="30EFB341">
      <w:pPr>
        <w:pStyle w:val="31"/>
        <w:widowControl/>
        <w:kinsoku w:val="0"/>
        <w:autoSpaceDE w:val="0"/>
        <w:autoSpaceDN w:val="0"/>
        <w:adjustRightInd w:val="0"/>
        <w:snapToGrid w:val="0"/>
        <w:spacing w:line="500" w:lineRule="exact"/>
        <w:ind w:firstLine="480" w:firstLineChars="200"/>
        <w:textAlignment w:val="baseline"/>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中标方须配备稳定的师资与项目管理团队，全程保障教学实施、学员管理与答疑辅导，按阶段提交培养计划、教学课件、考核结果、阶段总结及结业成果报告。建立常态化沟通机制，及时响应采购人关于课程调整、教学优化、学员管理等合理需求。培养周期内提供持续跟踪服务，配合完成人才培养评估、成果总结与资料归档。</w:t>
      </w:r>
    </w:p>
    <w:p w14:paraId="496525D1">
      <w:pPr>
        <w:pStyle w:val="31"/>
        <w:widowControl/>
        <w:kinsoku w:val="0"/>
        <w:autoSpaceDE w:val="0"/>
        <w:autoSpaceDN w:val="0"/>
        <w:adjustRightInd w:val="0"/>
        <w:snapToGrid w:val="0"/>
        <w:spacing w:line="500" w:lineRule="exact"/>
        <w:ind w:firstLine="480" w:firstLineChars="200"/>
        <w:textAlignment w:val="baseline"/>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（五）课题成果展示</w:t>
      </w:r>
    </w:p>
    <w:p w14:paraId="08CE36CF">
      <w:pPr>
        <w:pStyle w:val="31"/>
        <w:widowControl/>
        <w:kinsoku w:val="0"/>
        <w:autoSpaceDE w:val="0"/>
        <w:autoSpaceDN w:val="0"/>
        <w:adjustRightInd w:val="0"/>
        <w:snapToGrid w:val="0"/>
        <w:spacing w:line="500" w:lineRule="exact"/>
        <w:ind w:firstLine="480" w:firstLineChars="200"/>
        <w:textAlignment w:val="baseline"/>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1</w:t>
      </w:r>
      <w:r>
        <w:rPr>
          <w:rFonts w:asciiTheme="minorEastAsia" w:hAnsiTheme="minorEastAsia" w:eastAsiaTheme="minorEastAsia"/>
          <w:color w:val="auto"/>
          <w:sz w:val="24"/>
          <w:szCs w:val="24"/>
          <w:highlight w:val="none"/>
        </w:rPr>
        <w:t>、</w:t>
      </w:r>
      <w:r>
        <w:rPr>
          <w:rFonts w:hint="eastAsia" w:asciiTheme="minorEastAsia" w:hAnsiTheme="minorEastAsia" w:eastAsiaTheme="minorEastAsia"/>
          <w:color w:val="auto"/>
          <w:sz w:val="24"/>
          <w:szCs w:val="24"/>
          <w:highlight w:val="none"/>
        </w:rPr>
        <w:t>培养期间组织学员结合公立医院运营管理实际痛点、难点，以小组或个人形式开展课题研究；培养末期举办专项课题成果展示活动，学员通过报告汇报、案例解析、方案路演等形式展示研究成果，邀请行业专家、采购人代表进行点评指导，实现“学研用”一体化。</w:t>
      </w:r>
    </w:p>
    <w:p w14:paraId="48A094B1">
      <w:pPr>
        <w:pStyle w:val="31"/>
        <w:widowControl/>
        <w:kinsoku w:val="0"/>
        <w:autoSpaceDE w:val="0"/>
        <w:autoSpaceDN w:val="0"/>
        <w:adjustRightInd w:val="0"/>
        <w:snapToGrid w:val="0"/>
        <w:spacing w:line="500" w:lineRule="exact"/>
        <w:ind w:firstLine="480" w:firstLineChars="200"/>
        <w:textAlignment w:val="baseline"/>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2、培养完成后确保成果输出</w:t>
      </w:r>
      <w:r>
        <w:rPr>
          <w:rFonts w:hint="eastAsia" w:asciiTheme="minorEastAsia" w:hAnsiTheme="minorEastAsia" w:eastAsiaTheme="minorEastAsia"/>
          <w:color w:val="auto"/>
          <w:sz w:val="24"/>
          <w:szCs w:val="24"/>
          <w:highlight w:val="none"/>
        </w:rPr>
        <w:t>12</w:t>
      </w:r>
      <w:r>
        <w:rPr>
          <w:rFonts w:asciiTheme="minorEastAsia" w:hAnsiTheme="minorEastAsia" w:eastAsiaTheme="minorEastAsia"/>
          <w:color w:val="auto"/>
          <w:sz w:val="24"/>
          <w:szCs w:val="24"/>
          <w:highlight w:val="none"/>
        </w:rPr>
        <w:t>-15</w:t>
      </w:r>
      <w:r>
        <w:rPr>
          <w:rFonts w:hint="eastAsia" w:asciiTheme="minorEastAsia" w:hAnsiTheme="minorEastAsia" w:eastAsiaTheme="minorEastAsia"/>
          <w:color w:val="auto"/>
          <w:sz w:val="24"/>
          <w:szCs w:val="24"/>
          <w:highlight w:val="none"/>
        </w:rPr>
        <w:t>项课题</w:t>
      </w:r>
      <w:r>
        <w:rPr>
          <w:rFonts w:asciiTheme="minorEastAsia" w:hAnsiTheme="minorEastAsia" w:eastAsiaTheme="minorEastAsia"/>
          <w:color w:val="auto"/>
          <w:sz w:val="24"/>
          <w:szCs w:val="24"/>
          <w:highlight w:val="none"/>
        </w:rPr>
        <w:t>。</w:t>
      </w:r>
    </w:p>
    <w:p w14:paraId="44284951">
      <w:pPr>
        <w:pStyle w:val="31"/>
        <w:widowControl/>
        <w:kinsoku w:val="0"/>
        <w:autoSpaceDE w:val="0"/>
        <w:autoSpaceDN w:val="0"/>
        <w:adjustRightInd w:val="0"/>
        <w:snapToGrid w:val="0"/>
        <w:spacing w:line="500" w:lineRule="exact"/>
        <w:ind w:firstLine="480" w:firstLineChars="200"/>
        <w:textAlignment w:val="baseline"/>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3、在服务期内乙方确保每年</w:t>
      </w:r>
      <w:r>
        <w:rPr>
          <w:rFonts w:hint="eastAsia" w:asciiTheme="minorEastAsia" w:hAnsiTheme="minorEastAsia" w:eastAsiaTheme="minorEastAsia"/>
          <w:color w:val="auto"/>
          <w:sz w:val="24"/>
          <w:szCs w:val="24"/>
          <w:highlight w:val="none"/>
        </w:rPr>
        <w:t>1</w:t>
      </w:r>
      <w:r>
        <w:rPr>
          <w:rFonts w:asciiTheme="minorEastAsia" w:hAnsiTheme="minorEastAsia" w:eastAsiaTheme="minorEastAsia"/>
          <w:color w:val="auto"/>
          <w:sz w:val="24"/>
          <w:szCs w:val="24"/>
          <w:highlight w:val="none"/>
        </w:rPr>
        <w:t>次去甲方上门送教</w:t>
      </w:r>
      <w:bookmarkStart w:id="192" w:name="OLE_LINK13"/>
      <w:r>
        <w:rPr>
          <w:rFonts w:hint="eastAsia" w:asciiTheme="minorEastAsia" w:hAnsiTheme="minorEastAsia" w:eastAsiaTheme="minorEastAsia"/>
          <w:color w:val="auto"/>
          <w:sz w:val="24"/>
          <w:szCs w:val="24"/>
          <w:highlight w:val="none"/>
        </w:rPr>
        <w:t>[</w:t>
      </w:r>
      <w:r>
        <w:rPr>
          <w:rFonts w:asciiTheme="minorEastAsia" w:hAnsiTheme="minorEastAsia" w:eastAsiaTheme="minorEastAsia"/>
          <w:color w:val="auto"/>
          <w:sz w:val="24"/>
          <w:szCs w:val="24"/>
          <w:highlight w:val="none"/>
        </w:rPr>
        <w:t>共计两次（</w:t>
      </w:r>
      <w:r>
        <w:rPr>
          <w:rFonts w:hint="eastAsia" w:asciiTheme="minorEastAsia" w:hAnsiTheme="minorEastAsia" w:eastAsiaTheme="minorEastAsia"/>
          <w:color w:val="auto"/>
          <w:sz w:val="24"/>
          <w:szCs w:val="24"/>
          <w:highlight w:val="none"/>
        </w:rPr>
        <w:t>2026年，2027年各1次</w:t>
      </w:r>
      <w:r>
        <w:rPr>
          <w:rFonts w:asciiTheme="minorEastAsia" w:hAnsiTheme="minorEastAsia" w:eastAsiaTheme="minorEastAsia"/>
          <w:color w:val="auto"/>
          <w:sz w:val="24"/>
          <w:szCs w:val="24"/>
          <w:highlight w:val="none"/>
        </w:rPr>
        <w:t>）,每次时间不少于</w:t>
      </w:r>
      <w:r>
        <w:rPr>
          <w:rFonts w:hint="eastAsia" w:asciiTheme="minorEastAsia" w:hAnsiTheme="minorEastAsia" w:eastAsiaTheme="minorEastAsia"/>
          <w:color w:val="auto"/>
          <w:sz w:val="24"/>
          <w:szCs w:val="24"/>
          <w:highlight w:val="none"/>
        </w:rPr>
        <w:t>2天]。</w:t>
      </w:r>
      <w:bookmarkEnd w:id="192"/>
    </w:p>
    <w:p w14:paraId="081826A6">
      <w:pPr>
        <w:pStyle w:val="31"/>
        <w:widowControl/>
        <w:kinsoku w:val="0"/>
        <w:autoSpaceDE w:val="0"/>
        <w:autoSpaceDN w:val="0"/>
        <w:adjustRightInd w:val="0"/>
        <w:snapToGrid w:val="0"/>
        <w:spacing w:line="500" w:lineRule="exact"/>
        <w:ind w:firstLine="482" w:firstLineChars="200"/>
        <w:textAlignment w:val="baseline"/>
        <w:rPr>
          <w:rFonts w:cs="Times New Roman" w:asciiTheme="minorEastAsia" w:hAnsiTheme="minorEastAsia" w:eastAsiaTheme="minorEastAsia"/>
          <w:b/>
          <w:color w:val="auto"/>
          <w:sz w:val="24"/>
          <w:szCs w:val="24"/>
          <w:highlight w:val="none"/>
        </w:rPr>
      </w:pPr>
      <w:r>
        <w:rPr>
          <w:rFonts w:hint="eastAsia" w:cs="Times New Roman" w:asciiTheme="minorEastAsia" w:hAnsiTheme="minorEastAsia" w:eastAsiaTheme="minorEastAsia"/>
          <w:b/>
          <w:color w:val="auto"/>
          <w:sz w:val="24"/>
          <w:szCs w:val="24"/>
          <w:highlight w:val="none"/>
        </w:rPr>
        <w:t>五</w:t>
      </w:r>
      <w:r>
        <w:rPr>
          <w:rFonts w:cs="Times New Roman" w:asciiTheme="minorEastAsia" w:hAnsiTheme="minorEastAsia" w:eastAsiaTheme="minorEastAsia"/>
          <w:b/>
          <w:color w:val="auto"/>
          <w:sz w:val="24"/>
          <w:szCs w:val="24"/>
          <w:highlight w:val="none"/>
        </w:rPr>
        <w:t>、学习周期和对象</w:t>
      </w:r>
    </w:p>
    <w:p w14:paraId="06F31EF3">
      <w:pPr>
        <w:pStyle w:val="11"/>
        <w:adjustRightInd w:val="0"/>
        <w:snapToGrid w:val="0"/>
        <w:spacing w:beforeAutospacing="0" w:afterAutospacing="0" w:line="500" w:lineRule="exact"/>
        <w:ind w:firstLine="480" w:firstLineChars="200"/>
        <w:jc w:val="both"/>
        <w:rPr>
          <w:rFonts w:asciiTheme="minorEastAsia" w:hAnsiTheme="minorEastAsia"/>
          <w:color w:val="auto"/>
          <w:highlight w:val="none"/>
        </w:rPr>
      </w:pPr>
      <w:r>
        <w:rPr>
          <w:rFonts w:hint="eastAsia" w:asciiTheme="minorEastAsia" w:hAnsiTheme="minorEastAsia"/>
          <w:color w:val="auto"/>
          <w:highlight w:val="none"/>
        </w:rPr>
        <w:t>本项目培养周期为两年，分</w:t>
      </w:r>
      <w:r>
        <w:rPr>
          <w:rFonts w:hint="eastAsia" w:asciiTheme="minorEastAsia" w:hAnsiTheme="minorEastAsia"/>
          <w:color w:val="auto"/>
          <w:highlight w:val="none"/>
          <w:u w:val="single"/>
        </w:rPr>
        <w:t>7</w:t>
      </w:r>
      <w:r>
        <w:rPr>
          <w:rFonts w:hint="eastAsia" w:asciiTheme="minorEastAsia" w:hAnsiTheme="minorEastAsia"/>
          <w:color w:val="auto"/>
          <w:highlight w:val="none"/>
        </w:rPr>
        <w:t>次集中学习（包括近三年国家公立医院绩效考核A</w:t>
      </w:r>
      <w:r>
        <w:rPr>
          <w:rFonts w:asciiTheme="minorEastAsia" w:hAnsiTheme="minorEastAsia"/>
          <w:color w:val="auto"/>
          <w:highlight w:val="none"/>
        </w:rPr>
        <w:t>+及以上</w:t>
      </w:r>
      <w:r>
        <w:rPr>
          <w:rFonts w:hint="eastAsia" w:asciiTheme="minorEastAsia" w:hAnsiTheme="minorEastAsia"/>
          <w:color w:val="auto"/>
          <w:highlight w:val="none"/>
        </w:rPr>
        <w:t>等次三级甲等公立医院现场教学），培养总人数约</w:t>
      </w:r>
      <w:r>
        <w:rPr>
          <w:rFonts w:asciiTheme="minorEastAsia" w:hAnsiTheme="minorEastAsia"/>
          <w:color w:val="auto"/>
          <w:highlight w:val="none"/>
        </w:rPr>
        <w:t>50</w:t>
      </w:r>
      <w:r>
        <w:rPr>
          <w:rFonts w:hint="eastAsia" w:asciiTheme="minorEastAsia" w:hAnsiTheme="minorEastAsia"/>
          <w:color w:val="auto"/>
          <w:highlight w:val="none"/>
        </w:rPr>
        <w:t>人，集中学习总天数28天（不含上门送教及课题研究所需时间），分批次进行。</w:t>
      </w:r>
    </w:p>
    <w:p w14:paraId="5C48E95E">
      <w:pPr>
        <w:pStyle w:val="31"/>
        <w:widowControl/>
        <w:kinsoku w:val="0"/>
        <w:autoSpaceDE w:val="0"/>
        <w:autoSpaceDN w:val="0"/>
        <w:adjustRightInd w:val="0"/>
        <w:snapToGrid w:val="0"/>
        <w:spacing w:line="500" w:lineRule="exact"/>
        <w:ind w:firstLine="482" w:firstLineChars="200"/>
        <w:textAlignment w:val="baseline"/>
        <w:rPr>
          <w:rFonts w:cs="Times New Roman" w:asciiTheme="minorEastAsia" w:hAnsiTheme="minorEastAsia" w:eastAsiaTheme="minorEastAsia"/>
          <w:b/>
          <w:color w:val="auto"/>
          <w:sz w:val="24"/>
          <w:szCs w:val="24"/>
          <w:highlight w:val="none"/>
        </w:rPr>
      </w:pPr>
      <w:r>
        <w:rPr>
          <w:rFonts w:hint="eastAsia" w:cs="Times New Roman" w:asciiTheme="minorEastAsia" w:hAnsiTheme="minorEastAsia" w:eastAsiaTheme="minorEastAsia"/>
          <w:b/>
          <w:color w:val="auto"/>
          <w:sz w:val="24"/>
          <w:szCs w:val="24"/>
          <w:highlight w:val="none"/>
        </w:rPr>
        <w:t>六、商务评审要求</w:t>
      </w:r>
    </w:p>
    <w:p w14:paraId="576AA0C2">
      <w:pPr>
        <w:pStyle w:val="31"/>
        <w:widowControl/>
        <w:kinsoku w:val="0"/>
        <w:autoSpaceDE w:val="0"/>
        <w:autoSpaceDN w:val="0"/>
        <w:adjustRightInd w:val="0"/>
        <w:snapToGrid w:val="0"/>
        <w:spacing w:line="500" w:lineRule="exact"/>
        <w:ind w:firstLine="482" w:firstLineChars="200"/>
        <w:textAlignment w:val="baseline"/>
        <w:rPr>
          <w:rFonts w:cs="Times New Roman" w:asciiTheme="minorEastAsia" w:hAnsiTheme="minorEastAsia" w:eastAsiaTheme="minorEastAsia"/>
          <w:b/>
          <w:color w:val="auto"/>
          <w:sz w:val="24"/>
          <w:szCs w:val="24"/>
          <w:highlight w:val="none"/>
        </w:rPr>
      </w:pPr>
      <w:r>
        <w:rPr>
          <w:rFonts w:hint="eastAsia" w:cs="Times New Roman" w:asciiTheme="minorEastAsia" w:hAnsiTheme="minorEastAsia" w:eastAsiaTheme="minorEastAsia"/>
          <w:b/>
          <w:color w:val="auto"/>
          <w:sz w:val="24"/>
          <w:szCs w:val="24"/>
          <w:highlight w:val="none"/>
        </w:rPr>
        <w:t>1、企业业绩要求</w:t>
      </w:r>
    </w:p>
    <w:p w14:paraId="377322BF">
      <w:pPr>
        <w:pStyle w:val="18"/>
        <w:spacing w:line="500" w:lineRule="exact"/>
        <w:ind w:firstLine="480" w:firstLineChars="200"/>
        <w:rPr>
          <w:rFonts w:ascii="Times New Roman" w:hAnsi="Times New Roman" w:eastAsia="宋体" w:cs="Times New Roman"/>
          <w:bCs/>
          <w:color w:val="auto"/>
          <w:kern w:val="2"/>
          <w:sz w:val="21"/>
          <w:szCs w:val="21"/>
          <w:highlight w:val="none"/>
        </w:rPr>
      </w:pPr>
      <w:r>
        <w:rPr>
          <w:rFonts w:hint="eastAsia" w:cs="Times New Roman" w:asciiTheme="minorEastAsia" w:hAnsiTheme="minorEastAsia"/>
          <w:color w:val="auto"/>
          <w:highlight w:val="none"/>
        </w:rPr>
        <w:t>本项目协助和支持盐城市卫健委开展公立医院经济运营管理后备人才选拔和培养工作，服务内容专业性强，对供应商的服务能力提出了要求。所以供应商自2022年1月1日（含）以来(以合同签订时间为准)承担过类似项目业绩（类似项目指卫生经济管理类人才培养）</w:t>
      </w:r>
      <w:r>
        <w:rPr>
          <w:rFonts w:cs="Times New Roman" w:asciiTheme="minorEastAsia" w:hAnsiTheme="minorEastAsia"/>
          <w:color w:val="auto"/>
          <w:highlight w:val="none"/>
        </w:rPr>
        <w:t>的</w:t>
      </w:r>
      <w:r>
        <w:rPr>
          <w:rFonts w:hint="eastAsia" w:ascii="Times New Roman" w:hAnsi="Times New Roman" w:eastAsia="宋体" w:cs="Times New Roman"/>
          <w:b/>
          <w:color w:val="auto"/>
          <w:kern w:val="2"/>
          <w:highlight w:val="none"/>
        </w:rPr>
        <w:t>优先</w:t>
      </w:r>
      <w:r>
        <w:rPr>
          <w:rFonts w:hint="eastAsia" w:ascii="Times New Roman" w:hAnsi="Times New Roman" w:eastAsia="宋体" w:cs="Times New Roman"/>
          <w:bCs/>
          <w:color w:val="auto"/>
          <w:kern w:val="2"/>
          <w:highlight w:val="none"/>
        </w:rPr>
        <w:t>。</w:t>
      </w:r>
    </w:p>
    <w:p w14:paraId="1886F14B">
      <w:pPr>
        <w:pStyle w:val="11"/>
        <w:adjustRightInd w:val="0"/>
        <w:snapToGrid w:val="0"/>
        <w:spacing w:beforeAutospacing="0" w:afterAutospacing="0" w:line="500" w:lineRule="exact"/>
        <w:ind w:firstLine="482" w:firstLineChars="200"/>
        <w:jc w:val="both"/>
        <w:rPr>
          <w:rFonts w:cs="宋体" w:asciiTheme="minorEastAsia" w:hAnsiTheme="minorEastAsia"/>
          <w:color w:val="auto"/>
          <w:szCs w:val="21"/>
          <w:highlight w:val="none"/>
        </w:rPr>
      </w:pPr>
      <w:r>
        <w:rPr>
          <w:rFonts w:hint="eastAsia" w:asciiTheme="minorEastAsia" w:hAnsiTheme="minorEastAsia"/>
          <w:b/>
          <w:color w:val="auto"/>
          <w:highlight w:val="none"/>
        </w:rPr>
        <w:t>2、项目完成（服务期满）后的服务承诺要求</w:t>
      </w:r>
    </w:p>
    <w:p w14:paraId="3E2A707F">
      <w:pPr>
        <w:pStyle w:val="11"/>
        <w:adjustRightInd w:val="0"/>
        <w:snapToGrid w:val="0"/>
        <w:spacing w:beforeAutospacing="0" w:afterAutospacing="0" w:line="500" w:lineRule="exact"/>
        <w:ind w:firstLine="480" w:firstLineChars="200"/>
        <w:jc w:val="both"/>
        <w:rPr>
          <w:rFonts w:cs="宋体" w:asciiTheme="minorEastAsia" w:hAnsiTheme="minorEastAsia"/>
          <w:color w:val="auto"/>
          <w:szCs w:val="21"/>
          <w:highlight w:val="none"/>
        </w:rPr>
      </w:pPr>
      <w:r>
        <w:rPr>
          <w:rFonts w:hint="eastAsia" w:cs="宋体" w:asciiTheme="minorEastAsia" w:hAnsiTheme="minorEastAsia"/>
          <w:color w:val="auto"/>
          <w:szCs w:val="21"/>
          <w:highlight w:val="none"/>
        </w:rPr>
        <w:t>供应商作出以下全部三项承诺：1、承诺项目结束后按照采购人要求向采购人提交一份项目工作总结报告。2、承诺项目结束后按照采购人要求向采购人提交一份资料汇编；3、服务期满，服务内容未完成或后续服务供应商未到位前仍按原合同服务承诺提供服务</w:t>
      </w:r>
      <w:r>
        <w:rPr>
          <w:rFonts w:asciiTheme="minorEastAsia" w:hAnsiTheme="minorEastAsia"/>
          <w:color w:val="auto"/>
          <w:highlight w:val="none"/>
        </w:rPr>
        <w:t>的</w:t>
      </w:r>
      <w:r>
        <w:rPr>
          <w:rFonts w:hint="eastAsia" w:ascii="Times New Roman" w:hAnsi="Times New Roman" w:eastAsia="宋体"/>
          <w:b/>
          <w:color w:val="auto"/>
          <w:kern w:val="2"/>
          <w:highlight w:val="none"/>
        </w:rPr>
        <w:t>优先</w:t>
      </w:r>
      <w:r>
        <w:rPr>
          <w:rFonts w:hint="eastAsia" w:ascii="Times New Roman" w:hAnsi="Times New Roman" w:eastAsia="宋体"/>
          <w:bCs/>
          <w:color w:val="auto"/>
          <w:kern w:val="2"/>
          <w:highlight w:val="none"/>
        </w:rPr>
        <w:t>。</w:t>
      </w:r>
    </w:p>
    <w:p w14:paraId="65A0EECC">
      <w:pPr>
        <w:pStyle w:val="11"/>
        <w:adjustRightInd w:val="0"/>
        <w:snapToGrid w:val="0"/>
        <w:spacing w:beforeAutospacing="0" w:afterAutospacing="0" w:line="500" w:lineRule="exact"/>
        <w:ind w:firstLine="482" w:firstLineChars="200"/>
        <w:jc w:val="both"/>
        <w:rPr>
          <w:rFonts w:cs="宋体" w:asciiTheme="minorEastAsia" w:hAnsiTheme="minorEastAsia"/>
          <w:color w:val="auto"/>
          <w:szCs w:val="21"/>
          <w:highlight w:val="none"/>
        </w:rPr>
      </w:pPr>
      <w:r>
        <w:rPr>
          <w:rFonts w:hint="eastAsia" w:asciiTheme="minorEastAsia" w:hAnsiTheme="minorEastAsia"/>
          <w:b/>
          <w:color w:val="auto"/>
          <w:highlight w:val="none"/>
        </w:rPr>
        <w:t>3、学员安全承诺要求</w:t>
      </w:r>
    </w:p>
    <w:p w14:paraId="1E2FFA7B">
      <w:pPr>
        <w:tabs>
          <w:tab w:val="left" w:pos="435"/>
          <w:tab w:val="left" w:pos="720"/>
        </w:tabs>
        <w:spacing w:line="520" w:lineRule="exact"/>
        <w:ind w:firstLine="480" w:firstLineChars="200"/>
        <w:outlineLvl w:val="1"/>
        <w:rPr>
          <w:rFonts w:cs="宋体" w:asciiTheme="minorEastAsia" w:hAnsiTheme="minorEastAsia"/>
          <w:color w:val="auto"/>
          <w:kern w:val="0"/>
          <w:sz w:val="24"/>
          <w:szCs w:val="21"/>
          <w:highlight w:val="none"/>
        </w:rPr>
      </w:pPr>
      <w:r>
        <w:rPr>
          <w:rFonts w:hint="eastAsia" w:cs="宋体" w:asciiTheme="minorEastAsia" w:hAnsiTheme="minorEastAsia"/>
          <w:color w:val="auto"/>
          <w:kern w:val="0"/>
          <w:sz w:val="24"/>
          <w:szCs w:val="21"/>
          <w:highlight w:val="none"/>
        </w:rPr>
        <w:t>为保证学员教学安全、学员安全，供应商做出承诺不出现任何教学安全事故，并承诺不泄露学员信息，确保学员安全的</w:t>
      </w:r>
      <w:r>
        <w:rPr>
          <w:rFonts w:hint="eastAsia" w:ascii="Times New Roman" w:hAnsi="Times New Roman" w:eastAsia="宋体" w:cs="Times New Roman"/>
          <w:b/>
          <w:color w:val="auto"/>
          <w:sz w:val="24"/>
          <w:highlight w:val="none"/>
        </w:rPr>
        <w:t>优先。</w:t>
      </w:r>
    </w:p>
    <w:p w14:paraId="39F523CF">
      <w:pPr>
        <w:pStyle w:val="11"/>
        <w:adjustRightInd w:val="0"/>
        <w:snapToGrid w:val="0"/>
        <w:spacing w:beforeAutospacing="0" w:afterAutospacing="0" w:line="500" w:lineRule="exact"/>
        <w:ind w:firstLine="482" w:firstLineChars="200"/>
        <w:jc w:val="both"/>
        <w:rPr>
          <w:rFonts w:cs="宋体" w:asciiTheme="minorEastAsia" w:hAnsiTheme="minorEastAsia"/>
          <w:color w:val="auto"/>
          <w:szCs w:val="21"/>
          <w:highlight w:val="none"/>
        </w:rPr>
      </w:pPr>
      <w:r>
        <w:rPr>
          <w:rFonts w:hint="eastAsia" w:asciiTheme="minorEastAsia" w:hAnsiTheme="minorEastAsia"/>
          <w:b/>
          <w:color w:val="auto"/>
          <w:highlight w:val="none"/>
        </w:rPr>
        <w:t>4、教学培训场地安排承诺</w:t>
      </w:r>
    </w:p>
    <w:p w14:paraId="58B8C4DF">
      <w:pPr>
        <w:tabs>
          <w:tab w:val="left" w:pos="435"/>
          <w:tab w:val="left" w:pos="720"/>
        </w:tabs>
        <w:spacing w:line="520" w:lineRule="exact"/>
        <w:ind w:firstLine="480" w:firstLineChars="200"/>
        <w:outlineLvl w:val="1"/>
        <w:rPr>
          <w:rFonts w:cs="宋体" w:asciiTheme="minorEastAsia" w:hAnsiTheme="minorEastAsia"/>
          <w:color w:val="auto"/>
          <w:kern w:val="0"/>
          <w:sz w:val="24"/>
          <w:szCs w:val="21"/>
          <w:highlight w:val="none"/>
        </w:rPr>
      </w:pPr>
      <w:r>
        <w:rPr>
          <w:rFonts w:hint="eastAsia" w:cs="宋体" w:asciiTheme="minorEastAsia" w:hAnsiTheme="minorEastAsia"/>
          <w:color w:val="auto"/>
          <w:kern w:val="0"/>
          <w:sz w:val="24"/>
          <w:szCs w:val="21"/>
          <w:highlight w:val="none"/>
        </w:rPr>
        <w:t>教学培训场地地理位置优越，选址合理，与采购人地点距离适中、交通便捷，往返通行耗时短，便于人员集中参训、组织管理及日常教学统筹安排；场地周边交通路网完善，通勤通达性强，区位便利性满足集中教学组织需求。</w:t>
      </w:r>
    </w:p>
    <w:p w14:paraId="74388A31">
      <w:pPr>
        <w:tabs>
          <w:tab w:val="left" w:pos="435"/>
          <w:tab w:val="left" w:pos="720"/>
        </w:tabs>
        <w:spacing w:line="520" w:lineRule="exact"/>
        <w:ind w:firstLine="480" w:firstLineChars="200"/>
        <w:outlineLvl w:val="1"/>
        <w:rPr>
          <w:rFonts w:cs="宋体" w:asciiTheme="minorEastAsia" w:hAnsiTheme="minorEastAsia"/>
          <w:color w:val="auto"/>
          <w:kern w:val="0"/>
          <w:sz w:val="24"/>
          <w:szCs w:val="21"/>
          <w:highlight w:val="none"/>
        </w:rPr>
      </w:pPr>
      <w:r>
        <w:rPr>
          <w:rFonts w:hint="eastAsia" w:cs="宋体" w:asciiTheme="minorEastAsia" w:hAnsiTheme="minorEastAsia"/>
          <w:color w:val="auto"/>
          <w:kern w:val="0"/>
          <w:sz w:val="24"/>
          <w:szCs w:val="21"/>
          <w:highlight w:val="none"/>
        </w:rPr>
        <w:t>以投标人主要集中培训场地所在地（不含现场教学场地）高铁站与盐城市高铁站（盐城站）之间的交通时间进行测算，投标人承诺交通时间≤3小时的</w:t>
      </w:r>
      <w:r>
        <w:rPr>
          <w:rFonts w:hint="eastAsia" w:ascii="Times New Roman" w:hAnsi="Times New Roman" w:eastAsia="宋体" w:cs="Times New Roman"/>
          <w:b/>
          <w:color w:val="auto"/>
          <w:sz w:val="24"/>
          <w:highlight w:val="none"/>
        </w:rPr>
        <w:t>优先</w:t>
      </w:r>
      <w:r>
        <w:rPr>
          <w:rFonts w:hint="eastAsia" w:cs="宋体" w:asciiTheme="minorEastAsia" w:hAnsiTheme="minorEastAsia"/>
          <w:color w:val="auto"/>
          <w:kern w:val="0"/>
          <w:sz w:val="24"/>
          <w:szCs w:val="21"/>
          <w:highlight w:val="none"/>
        </w:rPr>
        <w:t>。</w:t>
      </w:r>
    </w:p>
    <w:p w14:paraId="6A048562">
      <w:pPr>
        <w:pStyle w:val="11"/>
        <w:adjustRightInd w:val="0"/>
        <w:snapToGrid w:val="0"/>
        <w:spacing w:beforeAutospacing="0" w:afterAutospacing="0" w:line="500" w:lineRule="exact"/>
        <w:ind w:firstLine="482" w:firstLineChars="200"/>
        <w:jc w:val="both"/>
        <w:rPr>
          <w:rFonts w:cs="宋体" w:asciiTheme="minorEastAsia" w:hAnsiTheme="minorEastAsia"/>
          <w:color w:val="auto"/>
          <w:szCs w:val="21"/>
          <w:highlight w:val="none"/>
        </w:rPr>
      </w:pPr>
      <w:r>
        <w:rPr>
          <w:rFonts w:hint="eastAsia" w:asciiTheme="minorEastAsia" w:hAnsiTheme="minorEastAsia"/>
          <w:b/>
          <w:color w:val="auto"/>
          <w:highlight w:val="none"/>
        </w:rPr>
        <w:t>5、投入本单位授课师资配置情况要求</w:t>
      </w:r>
    </w:p>
    <w:p w14:paraId="1178DC8C">
      <w:pPr>
        <w:tabs>
          <w:tab w:val="left" w:pos="435"/>
          <w:tab w:val="left" w:pos="720"/>
        </w:tabs>
        <w:spacing w:line="520" w:lineRule="exact"/>
        <w:ind w:firstLine="480" w:firstLineChars="200"/>
        <w:outlineLvl w:val="1"/>
        <w:rPr>
          <w:rFonts w:cs="宋体" w:asciiTheme="minorEastAsia" w:hAnsiTheme="minorEastAsia"/>
          <w:color w:val="auto"/>
          <w:kern w:val="0"/>
          <w:sz w:val="24"/>
          <w:szCs w:val="21"/>
          <w:highlight w:val="none"/>
        </w:rPr>
      </w:pPr>
      <w:r>
        <w:rPr>
          <w:rFonts w:hint="eastAsia" w:cs="宋体" w:asciiTheme="minorEastAsia" w:hAnsiTheme="minorEastAsia"/>
          <w:color w:val="auto"/>
          <w:kern w:val="0"/>
          <w:sz w:val="24"/>
          <w:szCs w:val="21"/>
          <w:highlight w:val="none"/>
        </w:rPr>
        <w:t>供应商投入本项目的授课老师具有教授（《高等学校教授资格证书》）或正高级相关专业职称的或副教授（高等学校副教授资格证书）或副高级相关专业职称的</w:t>
      </w:r>
      <w:r>
        <w:rPr>
          <w:rFonts w:hint="eastAsia" w:ascii="Times New Roman" w:hAnsi="Times New Roman" w:eastAsia="宋体" w:cs="Times New Roman"/>
          <w:b/>
          <w:color w:val="auto"/>
          <w:sz w:val="24"/>
          <w:highlight w:val="none"/>
        </w:rPr>
        <w:t>优先。</w:t>
      </w:r>
    </w:p>
    <w:p w14:paraId="6AAECEFE">
      <w:pPr>
        <w:pStyle w:val="31"/>
        <w:widowControl/>
        <w:kinsoku w:val="0"/>
        <w:autoSpaceDE w:val="0"/>
        <w:autoSpaceDN w:val="0"/>
        <w:adjustRightInd w:val="0"/>
        <w:snapToGrid w:val="0"/>
        <w:spacing w:line="500" w:lineRule="exact"/>
        <w:ind w:firstLine="482" w:firstLineChars="200"/>
        <w:textAlignment w:val="baseline"/>
        <w:rPr>
          <w:rFonts w:cs="Times New Roman" w:asciiTheme="minorEastAsia" w:hAnsiTheme="minorEastAsia" w:eastAsiaTheme="minorEastAsia"/>
          <w:b/>
          <w:color w:val="auto"/>
          <w:sz w:val="24"/>
          <w:szCs w:val="24"/>
          <w:highlight w:val="none"/>
        </w:rPr>
      </w:pPr>
      <w:r>
        <w:rPr>
          <w:rFonts w:hint="eastAsia" w:cs="Times New Roman" w:asciiTheme="minorEastAsia" w:hAnsiTheme="minorEastAsia" w:eastAsiaTheme="minorEastAsia"/>
          <w:b/>
          <w:color w:val="auto"/>
          <w:sz w:val="24"/>
          <w:szCs w:val="24"/>
          <w:highlight w:val="none"/>
        </w:rPr>
        <w:t>七、服务方案要求</w:t>
      </w:r>
    </w:p>
    <w:p w14:paraId="10D83791">
      <w:pPr>
        <w:tabs>
          <w:tab w:val="left" w:pos="435"/>
          <w:tab w:val="left" w:pos="720"/>
        </w:tabs>
        <w:spacing w:line="520" w:lineRule="exact"/>
        <w:ind w:firstLine="480" w:firstLineChars="200"/>
        <w:outlineLvl w:val="1"/>
        <w:rPr>
          <w:rFonts w:cs="宋体" w:asciiTheme="minorEastAsia" w:hAnsiTheme="minorEastAsia"/>
          <w:color w:val="auto"/>
          <w:kern w:val="0"/>
          <w:sz w:val="24"/>
          <w:szCs w:val="21"/>
          <w:highlight w:val="none"/>
        </w:rPr>
      </w:pPr>
      <w:r>
        <w:rPr>
          <w:rFonts w:hint="eastAsia" w:cs="宋体" w:asciiTheme="minorEastAsia" w:hAnsiTheme="minorEastAsia"/>
          <w:color w:val="auto"/>
          <w:kern w:val="0"/>
          <w:sz w:val="24"/>
          <w:szCs w:val="21"/>
          <w:highlight w:val="none"/>
        </w:rPr>
        <w:t>服务方案整体要求内容准确、全面，结合本项目特征，具备可操作性、合规性、安全性、经济性、针对性等，方案要点如下：</w:t>
      </w:r>
    </w:p>
    <w:p w14:paraId="3B952475">
      <w:pPr>
        <w:tabs>
          <w:tab w:val="left" w:pos="435"/>
          <w:tab w:val="left" w:pos="720"/>
        </w:tabs>
        <w:spacing w:line="520" w:lineRule="exact"/>
        <w:ind w:firstLine="480" w:firstLineChars="200"/>
        <w:outlineLvl w:val="1"/>
        <w:rPr>
          <w:rFonts w:cs="宋体" w:asciiTheme="minorEastAsia" w:hAnsiTheme="minorEastAsia"/>
          <w:color w:val="auto"/>
          <w:kern w:val="0"/>
          <w:sz w:val="24"/>
          <w:szCs w:val="21"/>
          <w:highlight w:val="none"/>
        </w:rPr>
      </w:pPr>
      <w:r>
        <w:rPr>
          <w:rFonts w:hint="eastAsia" w:cs="宋体" w:asciiTheme="minorEastAsia" w:hAnsiTheme="minorEastAsia"/>
          <w:color w:val="auto"/>
          <w:kern w:val="0"/>
          <w:sz w:val="24"/>
          <w:szCs w:val="21"/>
          <w:highlight w:val="none"/>
        </w:rPr>
        <w:t>1、需求理解：至少要包括以下内容：</w:t>
      </w:r>
    </w:p>
    <w:p w14:paraId="5D58CD54">
      <w:pPr>
        <w:tabs>
          <w:tab w:val="left" w:pos="435"/>
          <w:tab w:val="left" w:pos="720"/>
        </w:tabs>
        <w:spacing w:line="520" w:lineRule="exact"/>
        <w:ind w:firstLine="480" w:firstLineChars="200"/>
        <w:outlineLvl w:val="1"/>
        <w:rPr>
          <w:rFonts w:cs="宋体" w:asciiTheme="minorEastAsia" w:hAnsiTheme="minorEastAsia"/>
          <w:color w:val="auto"/>
          <w:kern w:val="0"/>
          <w:sz w:val="24"/>
          <w:szCs w:val="21"/>
          <w:highlight w:val="none"/>
        </w:rPr>
      </w:pPr>
      <w:r>
        <w:rPr>
          <w:rFonts w:hint="eastAsia" w:cs="宋体" w:asciiTheme="minorEastAsia" w:hAnsiTheme="minorEastAsia"/>
          <w:color w:val="auto"/>
          <w:kern w:val="0"/>
          <w:sz w:val="24"/>
          <w:szCs w:val="21"/>
          <w:highlight w:val="none"/>
        </w:rPr>
        <w:t>（1）对项目背景与目标的理解</w:t>
      </w:r>
    </w:p>
    <w:p w14:paraId="67DE0447">
      <w:pPr>
        <w:tabs>
          <w:tab w:val="left" w:pos="435"/>
          <w:tab w:val="left" w:pos="720"/>
        </w:tabs>
        <w:spacing w:line="520" w:lineRule="exact"/>
        <w:ind w:firstLine="480" w:firstLineChars="200"/>
        <w:outlineLvl w:val="1"/>
        <w:rPr>
          <w:rFonts w:cs="宋体" w:asciiTheme="minorEastAsia" w:hAnsiTheme="minorEastAsia"/>
          <w:color w:val="auto"/>
          <w:kern w:val="0"/>
          <w:sz w:val="24"/>
          <w:szCs w:val="21"/>
          <w:highlight w:val="none"/>
        </w:rPr>
      </w:pPr>
      <w:r>
        <w:rPr>
          <w:rFonts w:hint="eastAsia" w:cs="宋体" w:asciiTheme="minorEastAsia" w:hAnsiTheme="minorEastAsia"/>
          <w:color w:val="auto"/>
          <w:kern w:val="0"/>
          <w:sz w:val="24"/>
          <w:szCs w:val="21"/>
          <w:highlight w:val="none"/>
        </w:rPr>
        <w:t>本项目立足公立医院高质量发展及医改深化背景，针对卫健系统经济运营管理人才短板，开展为期两年专项培育。核心目标是通过系统化、专业化培养，培育兼具战略思维与实操能力的复合型人才，夯实盐城公立医院运营管理人才梯队，助力医院精细化、规范化运营发展。</w:t>
      </w:r>
    </w:p>
    <w:p w14:paraId="3340C7B0">
      <w:pPr>
        <w:tabs>
          <w:tab w:val="left" w:pos="435"/>
          <w:tab w:val="left" w:pos="720"/>
        </w:tabs>
        <w:spacing w:line="520" w:lineRule="exact"/>
        <w:ind w:firstLine="480" w:firstLineChars="200"/>
        <w:outlineLvl w:val="1"/>
        <w:rPr>
          <w:rFonts w:cs="宋体" w:asciiTheme="minorEastAsia" w:hAnsiTheme="minorEastAsia"/>
          <w:color w:val="auto"/>
          <w:kern w:val="0"/>
          <w:sz w:val="24"/>
          <w:szCs w:val="21"/>
          <w:highlight w:val="none"/>
        </w:rPr>
      </w:pPr>
      <w:r>
        <w:rPr>
          <w:rFonts w:hint="eastAsia" w:cs="宋体" w:asciiTheme="minorEastAsia" w:hAnsiTheme="minorEastAsia"/>
          <w:color w:val="auto"/>
          <w:kern w:val="0"/>
          <w:sz w:val="24"/>
          <w:szCs w:val="21"/>
          <w:highlight w:val="none"/>
        </w:rPr>
        <w:t>（2）对培养对象及需求的分析</w:t>
      </w:r>
    </w:p>
    <w:p w14:paraId="1DA22CD5">
      <w:pPr>
        <w:tabs>
          <w:tab w:val="left" w:pos="435"/>
          <w:tab w:val="left" w:pos="720"/>
        </w:tabs>
        <w:spacing w:line="520" w:lineRule="exact"/>
        <w:ind w:firstLine="480" w:firstLineChars="200"/>
        <w:outlineLvl w:val="1"/>
        <w:rPr>
          <w:rFonts w:cs="宋体" w:asciiTheme="minorEastAsia" w:hAnsiTheme="minorEastAsia"/>
          <w:color w:val="auto"/>
          <w:kern w:val="0"/>
          <w:sz w:val="24"/>
          <w:szCs w:val="21"/>
          <w:highlight w:val="none"/>
        </w:rPr>
      </w:pPr>
      <w:r>
        <w:rPr>
          <w:rFonts w:hint="eastAsia" w:cs="宋体" w:asciiTheme="minorEastAsia" w:hAnsiTheme="minorEastAsia"/>
          <w:color w:val="auto"/>
          <w:kern w:val="0"/>
          <w:sz w:val="24"/>
          <w:szCs w:val="21"/>
          <w:highlight w:val="none"/>
        </w:rPr>
        <w:t>本次培养对象为盐城公立医院经济运营管理后备人才，共计约50人。学员具备基础卫健工作经验，但普遍存在运营统筹、财务决策、内控管理等专业能力不足问题，亟需通过系统课程、案例实操、课题研究，补齐前沿政策应用与综合管理能力短板。</w:t>
      </w:r>
    </w:p>
    <w:p w14:paraId="6562FA0F">
      <w:pPr>
        <w:tabs>
          <w:tab w:val="left" w:pos="435"/>
          <w:tab w:val="left" w:pos="720"/>
        </w:tabs>
        <w:spacing w:line="520" w:lineRule="exact"/>
        <w:ind w:firstLine="480" w:firstLineChars="200"/>
        <w:outlineLvl w:val="1"/>
        <w:rPr>
          <w:rFonts w:cs="宋体" w:asciiTheme="minorEastAsia" w:hAnsiTheme="minorEastAsia"/>
          <w:color w:val="auto"/>
          <w:kern w:val="0"/>
          <w:sz w:val="24"/>
          <w:szCs w:val="21"/>
          <w:highlight w:val="none"/>
        </w:rPr>
      </w:pPr>
      <w:r>
        <w:rPr>
          <w:rFonts w:hint="eastAsia" w:cs="宋体" w:asciiTheme="minorEastAsia" w:hAnsiTheme="minorEastAsia"/>
          <w:color w:val="auto"/>
          <w:kern w:val="0"/>
          <w:sz w:val="24"/>
          <w:szCs w:val="21"/>
          <w:highlight w:val="none"/>
        </w:rPr>
        <w:t>（3）对服务范围与要求的认知</w:t>
      </w:r>
    </w:p>
    <w:p w14:paraId="044E0341">
      <w:pPr>
        <w:tabs>
          <w:tab w:val="left" w:pos="435"/>
          <w:tab w:val="left" w:pos="720"/>
        </w:tabs>
        <w:spacing w:line="520" w:lineRule="exact"/>
        <w:ind w:firstLine="480" w:firstLineChars="200"/>
        <w:outlineLvl w:val="1"/>
        <w:rPr>
          <w:rFonts w:cs="宋体" w:asciiTheme="minorEastAsia" w:hAnsiTheme="minorEastAsia"/>
          <w:color w:val="auto"/>
          <w:kern w:val="0"/>
          <w:sz w:val="24"/>
          <w:szCs w:val="21"/>
          <w:highlight w:val="none"/>
        </w:rPr>
      </w:pPr>
      <w:r>
        <w:rPr>
          <w:rFonts w:cs="宋体" w:asciiTheme="minorEastAsia" w:hAnsiTheme="minorEastAsia"/>
          <w:color w:val="auto"/>
          <w:kern w:val="0"/>
          <w:sz w:val="24"/>
          <w:szCs w:val="21"/>
          <w:highlight w:val="none"/>
        </w:rPr>
        <w:t>本项目要求严格落实两年培育周期、7次集中学习、28天集中教学、上门送教</w:t>
      </w:r>
      <w:r>
        <w:rPr>
          <w:rFonts w:hint="eastAsia" w:asciiTheme="minorEastAsia" w:hAnsiTheme="minorEastAsia"/>
          <w:color w:val="auto"/>
          <w:sz w:val="24"/>
          <w:highlight w:val="none"/>
        </w:rPr>
        <w:t>[</w:t>
      </w:r>
      <w:r>
        <w:rPr>
          <w:rFonts w:asciiTheme="minorEastAsia" w:hAnsiTheme="minorEastAsia"/>
          <w:color w:val="auto"/>
          <w:sz w:val="24"/>
          <w:highlight w:val="none"/>
        </w:rPr>
        <w:t>共计两次（</w:t>
      </w:r>
      <w:r>
        <w:rPr>
          <w:rFonts w:hint="eastAsia" w:asciiTheme="minorEastAsia" w:hAnsiTheme="minorEastAsia"/>
          <w:color w:val="auto"/>
          <w:sz w:val="24"/>
          <w:highlight w:val="none"/>
        </w:rPr>
        <w:t>2026年，2027年各1次</w:t>
      </w:r>
      <w:r>
        <w:rPr>
          <w:rFonts w:asciiTheme="minorEastAsia" w:hAnsiTheme="minorEastAsia"/>
          <w:color w:val="auto"/>
          <w:sz w:val="24"/>
          <w:highlight w:val="none"/>
        </w:rPr>
        <w:t>），</w:t>
      </w:r>
      <w:r>
        <w:rPr>
          <w:rFonts w:cs="宋体" w:asciiTheme="minorEastAsia" w:hAnsiTheme="minorEastAsia"/>
          <w:color w:val="auto"/>
          <w:kern w:val="0"/>
          <w:sz w:val="24"/>
          <w:szCs w:val="21"/>
          <w:highlight w:val="none"/>
        </w:rPr>
        <w:t>12-15项高质量课题成果输出、标杆三甲医院现场教学不少于</w:t>
      </w:r>
      <w:r>
        <w:rPr>
          <w:rFonts w:hint="eastAsia" w:cs="宋体" w:asciiTheme="minorEastAsia" w:hAnsiTheme="minorEastAsia"/>
          <w:color w:val="auto"/>
          <w:kern w:val="0"/>
          <w:sz w:val="24"/>
          <w:szCs w:val="21"/>
          <w:highlight w:val="none"/>
        </w:rPr>
        <w:t>1次</w:t>
      </w:r>
      <w:r>
        <w:rPr>
          <w:rFonts w:cs="宋体" w:asciiTheme="minorEastAsia" w:hAnsiTheme="minorEastAsia"/>
          <w:color w:val="auto"/>
          <w:kern w:val="0"/>
          <w:sz w:val="24"/>
          <w:szCs w:val="21"/>
          <w:highlight w:val="none"/>
        </w:rPr>
        <w:t>、专家专项点评指导等所有硬性指标；全面覆盖政策改革、财务运营、资产管理、内控审计、高质量发展、预算成本、医保政策、招标采购、综合素养等全部课程模块；严格执行“集中培育+跟踪管理、课堂教学+现场教学、学研用一体化”培育模式。</w:t>
      </w:r>
    </w:p>
    <w:p w14:paraId="3321BD7D">
      <w:pPr>
        <w:tabs>
          <w:tab w:val="left" w:pos="435"/>
          <w:tab w:val="left" w:pos="720"/>
        </w:tabs>
        <w:spacing w:line="520" w:lineRule="exact"/>
        <w:ind w:firstLine="480" w:firstLineChars="200"/>
        <w:outlineLvl w:val="1"/>
        <w:rPr>
          <w:rFonts w:cs="宋体" w:asciiTheme="minorEastAsia" w:hAnsiTheme="minorEastAsia"/>
          <w:color w:val="auto"/>
          <w:kern w:val="0"/>
          <w:sz w:val="24"/>
          <w:szCs w:val="21"/>
          <w:highlight w:val="none"/>
        </w:rPr>
      </w:pPr>
      <w:r>
        <w:rPr>
          <w:rFonts w:cs="宋体" w:asciiTheme="minorEastAsia" w:hAnsiTheme="minorEastAsia"/>
          <w:color w:val="auto"/>
          <w:kern w:val="0"/>
          <w:sz w:val="24"/>
          <w:szCs w:val="21"/>
          <w:highlight w:val="none"/>
        </w:rPr>
        <w:t>项目全过程接受采购人进度管控、质量督查、学情核查、成果验收，</w:t>
      </w:r>
      <w:r>
        <w:rPr>
          <w:rFonts w:hint="eastAsia" w:cs="宋体" w:asciiTheme="minorEastAsia" w:hAnsiTheme="minorEastAsia"/>
          <w:color w:val="auto"/>
          <w:kern w:val="0"/>
          <w:sz w:val="24"/>
          <w:szCs w:val="21"/>
          <w:highlight w:val="none"/>
        </w:rPr>
        <w:t>中标</w:t>
      </w:r>
      <w:r>
        <w:rPr>
          <w:rFonts w:cs="宋体" w:asciiTheme="minorEastAsia" w:hAnsiTheme="minorEastAsia"/>
          <w:color w:val="auto"/>
          <w:kern w:val="0"/>
          <w:sz w:val="24"/>
          <w:szCs w:val="21"/>
          <w:highlight w:val="none"/>
        </w:rPr>
        <w:t>人需按时报送阶段计划、教学资料、考核结果、阶段总结、结业成果，无条件配合采购人完成人才评估、成果汇总、资料归档、履职备查工作，所有服务工作以满足采购人行业管理、人才建设、成果落地需求为第一准则。</w:t>
      </w:r>
    </w:p>
    <w:p w14:paraId="648E615A">
      <w:pPr>
        <w:tabs>
          <w:tab w:val="left" w:pos="435"/>
          <w:tab w:val="left" w:pos="720"/>
        </w:tabs>
        <w:spacing w:line="520" w:lineRule="exact"/>
        <w:ind w:firstLine="480" w:firstLineChars="200"/>
        <w:outlineLvl w:val="1"/>
        <w:rPr>
          <w:rFonts w:cs="宋体" w:asciiTheme="minorEastAsia" w:hAnsiTheme="minorEastAsia"/>
          <w:color w:val="auto"/>
          <w:kern w:val="0"/>
          <w:sz w:val="24"/>
          <w:szCs w:val="21"/>
          <w:highlight w:val="none"/>
        </w:rPr>
      </w:pPr>
      <w:r>
        <w:rPr>
          <w:rFonts w:hint="eastAsia" w:cs="宋体" w:asciiTheme="minorEastAsia" w:hAnsiTheme="minorEastAsia"/>
          <w:color w:val="auto"/>
          <w:kern w:val="0"/>
          <w:sz w:val="24"/>
          <w:szCs w:val="21"/>
          <w:highlight w:val="none"/>
        </w:rPr>
        <w:t>供应商对服务范围界定清晰，对各项服务要求的理解准确到位，能够全面覆盖采购文件规定的各项服务内容，根据认知的全面性和准确性进行综合阐述。</w:t>
      </w:r>
    </w:p>
    <w:p w14:paraId="42FF2F05">
      <w:pPr>
        <w:tabs>
          <w:tab w:val="left" w:pos="435"/>
          <w:tab w:val="left" w:pos="720"/>
        </w:tabs>
        <w:spacing w:line="520" w:lineRule="exact"/>
        <w:ind w:firstLine="480" w:firstLineChars="200"/>
        <w:outlineLvl w:val="1"/>
        <w:rPr>
          <w:rFonts w:cs="宋体" w:asciiTheme="minorEastAsia" w:hAnsiTheme="minorEastAsia"/>
          <w:color w:val="auto"/>
          <w:kern w:val="0"/>
          <w:sz w:val="24"/>
          <w:szCs w:val="21"/>
          <w:highlight w:val="none"/>
        </w:rPr>
      </w:pPr>
      <w:r>
        <w:rPr>
          <w:rFonts w:hint="eastAsia" w:cs="宋体" w:asciiTheme="minorEastAsia" w:hAnsiTheme="minorEastAsia"/>
          <w:color w:val="auto"/>
          <w:kern w:val="0"/>
          <w:sz w:val="24"/>
          <w:szCs w:val="21"/>
          <w:highlight w:val="none"/>
        </w:rPr>
        <w:t>2、实施方案：至少要包括</w:t>
      </w:r>
    </w:p>
    <w:p w14:paraId="0541BC51">
      <w:pPr>
        <w:tabs>
          <w:tab w:val="left" w:pos="435"/>
          <w:tab w:val="left" w:pos="720"/>
        </w:tabs>
        <w:spacing w:line="520" w:lineRule="exact"/>
        <w:ind w:firstLine="480" w:firstLineChars="200"/>
        <w:outlineLvl w:val="1"/>
        <w:rPr>
          <w:rFonts w:cs="宋体" w:asciiTheme="minorEastAsia" w:hAnsiTheme="minorEastAsia"/>
          <w:color w:val="auto"/>
          <w:kern w:val="0"/>
          <w:sz w:val="24"/>
          <w:szCs w:val="21"/>
          <w:highlight w:val="none"/>
        </w:rPr>
      </w:pPr>
      <w:r>
        <w:rPr>
          <w:rFonts w:hint="eastAsia" w:cs="宋体" w:asciiTheme="minorEastAsia" w:hAnsiTheme="minorEastAsia"/>
          <w:color w:val="auto"/>
          <w:kern w:val="0"/>
          <w:sz w:val="24"/>
          <w:szCs w:val="21"/>
          <w:highlight w:val="none"/>
        </w:rPr>
        <w:t>（1）编制项目流程</w:t>
      </w:r>
    </w:p>
    <w:p w14:paraId="022454A4">
      <w:pPr>
        <w:tabs>
          <w:tab w:val="left" w:pos="435"/>
          <w:tab w:val="left" w:pos="720"/>
        </w:tabs>
        <w:spacing w:line="520" w:lineRule="exact"/>
        <w:ind w:firstLine="480" w:firstLineChars="200"/>
        <w:outlineLvl w:val="1"/>
        <w:rPr>
          <w:rFonts w:cs="宋体" w:asciiTheme="minorEastAsia" w:hAnsiTheme="minorEastAsia"/>
          <w:color w:val="auto"/>
          <w:kern w:val="0"/>
          <w:sz w:val="24"/>
          <w:szCs w:val="21"/>
          <w:highlight w:val="none"/>
        </w:rPr>
      </w:pPr>
      <w:r>
        <w:rPr>
          <w:rFonts w:cs="宋体" w:asciiTheme="minorEastAsia" w:hAnsiTheme="minorEastAsia"/>
          <w:color w:val="auto"/>
          <w:kern w:val="0"/>
          <w:sz w:val="24"/>
          <w:szCs w:val="21"/>
          <w:highlight w:val="none"/>
        </w:rPr>
        <w:t>整体划分前期筹备、分期教学、课题研究、考核结业、成果复盘五大标准化流程。严格按照7次集中学习、28天集中教学标准推进，串联课程授课、现场教学、专题研讨、专家点评、课题落地等环节，实现全流程标准化、闭环式落地实施。</w:t>
      </w:r>
    </w:p>
    <w:p w14:paraId="08AB39AE">
      <w:pPr>
        <w:tabs>
          <w:tab w:val="left" w:pos="435"/>
          <w:tab w:val="left" w:pos="720"/>
        </w:tabs>
        <w:spacing w:line="520" w:lineRule="exact"/>
        <w:ind w:firstLine="480" w:firstLineChars="200"/>
        <w:outlineLvl w:val="1"/>
        <w:rPr>
          <w:rFonts w:cs="宋体" w:asciiTheme="minorEastAsia" w:hAnsiTheme="minorEastAsia"/>
          <w:color w:val="auto"/>
          <w:kern w:val="0"/>
          <w:sz w:val="24"/>
          <w:szCs w:val="21"/>
          <w:highlight w:val="none"/>
        </w:rPr>
      </w:pPr>
      <w:r>
        <w:rPr>
          <w:rFonts w:hint="eastAsia" w:cs="宋体" w:asciiTheme="minorEastAsia" w:hAnsiTheme="minorEastAsia"/>
          <w:color w:val="auto"/>
          <w:kern w:val="0"/>
          <w:sz w:val="24"/>
          <w:szCs w:val="21"/>
          <w:highlight w:val="none"/>
        </w:rPr>
        <w:t>（2）设计执行方案</w:t>
      </w:r>
    </w:p>
    <w:p w14:paraId="3035962A">
      <w:pPr>
        <w:tabs>
          <w:tab w:val="left" w:pos="435"/>
          <w:tab w:val="left" w:pos="720"/>
        </w:tabs>
        <w:spacing w:line="520" w:lineRule="exact"/>
        <w:ind w:firstLine="480" w:firstLineChars="200"/>
        <w:outlineLvl w:val="1"/>
        <w:rPr>
          <w:rFonts w:cs="宋体" w:asciiTheme="minorEastAsia" w:hAnsiTheme="minorEastAsia"/>
          <w:color w:val="auto"/>
          <w:kern w:val="0"/>
          <w:sz w:val="24"/>
          <w:szCs w:val="21"/>
          <w:highlight w:val="none"/>
        </w:rPr>
      </w:pPr>
      <w:r>
        <w:rPr>
          <w:rFonts w:hint="eastAsia" w:cs="宋体" w:asciiTheme="minorEastAsia" w:hAnsiTheme="minorEastAsia"/>
          <w:color w:val="auto"/>
          <w:kern w:val="0"/>
          <w:sz w:val="24"/>
          <w:szCs w:val="21"/>
          <w:highlight w:val="none"/>
        </w:rPr>
        <w:t>结合两年培养周期制定分层执行计划，融合课堂教学与现场教学、集中培育与跟踪管理模式。针对课程教学、学员管理、课题研发、成果展示、上门送教等核心工作细化执行细则，贴合公立医院运营实际，融入前沿管理理念保障培养实效。</w:t>
      </w:r>
    </w:p>
    <w:p w14:paraId="6422A2AD">
      <w:pPr>
        <w:tabs>
          <w:tab w:val="left" w:pos="435"/>
          <w:tab w:val="left" w:pos="720"/>
        </w:tabs>
        <w:spacing w:line="520" w:lineRule="exact"/>
        <w:ind w:firstLine="480" w:firstLineChars="200"/>
        <w:outlineLvl w:val="1"/>
        <w:rPr>
          <w:rFonts w:cs="宋体" w:asciiTheme="minorEastAsia" w:hAnsiTheme="minorEastAsia"/>
          <w:color w:val="auto"/>
          <w:kern w:val="0"/>
          <w:sz w:val="24"/>
          <w:szCs w:val="21"/>
          <w:highlight w:val="none"/>
        </w:rPr>
      </w:pPr>
      <w:r>
        <w:rPr>
          <w:rFonts w:hint="eastAsia" w:cs="宋体" w:asciiTheme="minorEastAsia" w:hAnsiTheme="minorEastAsia"/>
          <w:color w:val="auto"/>
          <w:kern w:val="0"/>
          <w:sz w:val="24"/>
          <w:szCs w:val="21"/>
          <w:highlight w:val="none"/>
        </w:rPr>
        <w:t>（3）协调沟通措施</w:t>
      </w:r>
    </w:p>
    <w:p w14:paraId="1A3A2405">
      <w:pPr>
        <w:tabs>
          <w:tab w:val="left" w:pos="435"/>
          <w:tab w:val="left" w:pos="720"/>
        </w:tabs>
        <w:spacing w:line="520" w:lineRule="exact"/>
        <w:ind w:firstLine="480" w:firstLineChars="200"/>
        <w:outlineLvl w:val="1"/>
        <w:rPr>
          <w:rFonts w:cs="宋体" w:asciiTheme="minorEastAsia" w:hAnsiTheme="minorEastAsia"/>
          <w:color w:val="auto"/>
          <w:kern w:val="0"/>
          <w:sz w:val="24"/>
          <w:szCs w:val="21"/>
          <w:highlight w:val="none"/>
        </w:rPr>
      </w:pPr>
      <w:r>
        <w:rPr>
          <w:rFonts w:hint="eastAsia" w:cs="宋体" w:asciiTheme="minorEastAsia" w:hAnsiTheme="minorEastAsia"/>
          <w:color w:val="auto"/>
          <w:kern w:val="0"/>
          <w:sz w:val="24"/>
          <w:szCs w:val="21"/>
          <w:highlight w:val="none"/>
        </w:rPr>
        <w:t>建立常态化双向沟通机制，配备专属项目对接人员。定期对接市卫健委汇报进度，及时响应课程调整、教学优化等合理需求，同步对接授课师资与参训学员，收集教学反馈、答疑诉求，高效协调解决项目实施中的各类问题。</w:t>
      </w:r>
    </w:p>
    <w:p w14:paraId="72112830">
      <w:pPr>
        <w:tabs>
          <w:tab w:val="left" w:pos="435"/>
          <w:tab w:val="left" w:pos="720"/>
        </w:tabs>
        <w:spacing w:line="520" w:lineRule="exact"/>
        <w:ind w:firstLine="480" w:firstLineChars="200"/>
        <w:outlineLvl w:val="1"/>
        <w:rPr>
          <w:rFonts w:cs="宋体" w:asciiTheme="minorEastAsia" w:hAnsiTheme="minorEastAsia"/>
          <w:color w:val="auto"/>
          <w:kern w:val="0"/>
          <w:sz w:val="24"/>
          <w:szCs w:val="21"/>
          <w:highlight w:val="none"/>
        </w:rPr>
      </w:pPr>
      <w:r>
        <w:rPr>
          <w:rFonts w:hint="eastAsia" w:cs="宋体" w:asciiTheme="minorEastAsia" w:hAnsiTheme="minorEastAsia"/>
          <w:color w:val="auto"/>
          <w:kern w:val="0"/>
          <w:sz w:val="24"/>
          <w:szCs w:val="21"/>
          <w:highlight w:val="none"/>
        </w:rPr>
        <w:t>（4）项目实施进度计划</w:t>
      </w:r>
    </w:p>
    <w:p w14:paraId="1C0AAE02">
      <w:pPr>
        <w:tabs>
          <w:tab w:val="left" w:pos="435"/>
          <w:tab w:val="left" w:pos="720"/>
        </w:tabs>
        <w:spacing w:line="520" w:lineRule="exact"/>
        <w:ind w:firstLine="480" w:firstLineChars="200"/>
        <w:outlineLvl w:val="1"/>
        <w:rPr>
          <w:rFonts w:cs="宋体" w:asciiTheme="minorEastAsia" w:hAnsiTheme="minorEastAsia"/>
          <w:color w:val="auto"/>
          <w:kern w:val="0"/>
          <w:sz w:val="24"/>
          <w:szCs w:val="21"/>
          <w:highlight w:val="none"/>
        </w:rPr>
      </w:pPr>
    </w:p>
    <w:p w14:paraId="06D8C478">
      <w:pPr>
        <w:tabs>
          <w:tab w:val="left" w:pos="435"/>
          <w:tab w:val="left" w:pos="720"/>
        </w:tabs>
        <w:spacing w:line="520" w:lineRule="exact"/>
        <w:ind w:firstLine="480" w:firstLineChars="200"/>
        <w:outlineLvl w:val="1"/>
        <w:rPr>
          <w:rFonts w:cs="宋体" w:asciiTheme="minorEastAsia" w:hAnsiTheme="minorEastAsia"/>
          <w:color w:val="auto"/>
          <w:kern w:val="0"/>
          <w:sz w:val="24"/>
          <w:szCs w:val="21"/>
          <w:highlight w:val="none"/>
        </w:rPr>
      </w:pPr>
      <w:r>
        <w:rPr>
          <w:rFonts w:hint="eastAsia" w:cs="宋体" w:asciiTheme="minorEastAsia" w:hAnsiTheme="minorEastAsia"/>
          <w:color w:val="auto"/>
          <w:kern w:val="0"/>
          <w:sz w:val="24"/>
          <w:szCs w:val="21"/>
          <w:highlight w:val="none"/>
        </w:rPr>
        <w:t>两年周期分阶段推进，每年开展常态化集中教学，完成</w:t>
      </w:r>
      <w:r>
        <w:rPr>
          <w:rFonts w:asciiTheme="minorEastAsia" w:hAnsiTheme="minorEastAsia"/>
          <w:color w:val="auto"/>
          <w:sz w:val="24"/>
          <w:highlight w:val="none"/>
        </w:rPr>
        <w:t>共计两次（</w:t>
      </w:r>
      <w:r>
        <w:rPr>
          <w:rFonts w:hint="eastAsia" w:asciiTheme="minorEastAsia" w:hAnsiTheme="minorEastAsia"/>
          <w:color w:val="auto"/>
          <w:sz w:val="24"/>
          <w:highlight w:val="none"/>
        </w:rPr>
        <w:t>2026年，2027年各1次</w:t>
      </w:r>
      <w:r>
        <w:rPr>
          <w:rFonts w:asciiTheme="minorEastAsia" w:hAnsiTheme="minorEastAsia"/>
          <w:color w:val="auto"/>
          <w:sz w:val="24"/>
          <w:highlight w:val="none"/>
        </w:rPr>
        <w:t>）</w:t>
      </w:r>
      <w:r>
        <w:rPr>
          <w:rFonts w:hint="eastAsia" w:asciiTheme="minorEastAsia" w:hAnsiTheme="minorEastAsia"/>
          <w:color w:val="auto"/>
          <w:sz w:val="24"/>
          <w:highlight w:val="none"/>
        </w:rPr>
        <w:t>,</w:t>
      </w:r>
      <w:r>
        <w:rPr>
          <w:rFonts w:asciiTheme="minorEastAsia" w:hAnsiTheme="minorEastAsia"/>
          <w:color w:val="auto"/>
          <w:sz w:val="24"/>
          <w:highlight w:val="none"/>
        </w:rPr>
        <w:t>每次</w:t>
      </w:r>
      <w:r>
        <w:rPr>
          <w:rFonts w:hint="eastAsia" w:cs="宋体" w:asciiTheme="minorEastAsia" w:hAnsiTheme="minorEastAsia"/>
          <w:color w:val="auto"/>
          <w:kern w:val="0"/>
          <w:sz w:val="24"/>
          <w:szCs w:val="21"/>
          <w:highlight w:val="none"/>
        </w:rPr>
        <w:t>不少于2天的上门送教任务。7次集中学习含标杆医院现场教学，累计集中教学28天，末期开展课题成果展示，分阶段完成计划提交、教学实施、考核评估、成果汇总全流程工作。</w:t>
      </w:r>
    </w:p>
    <w:p w14:paraId="420E0EAD">
      <w:pPr>
        <w:tabs>
          <w:tab w:val="left" w:pos="435"/>
          <w:tab w:val="left" w:pos="720"/>
        </w:tabs>
        <w:spacing w:line="520" w:lineRule="exact"/>
        <w:ind w:firstLine="480" w:firstLineChars="200"/>
        <w:outlineLvl w:val="1"/>
        <w:rPr>
          <w:rFonts w:cs="宋体" w:asciiTheme="minorEastAsia" w:hAnsiTheme="minorEastAsia"/>
          <w:color w:val="auto"/>
          <w:kern w:val="0"/>
          <w:sz w:val="24"/>
          <w:szCs w:val="21"/>
          <w:highlight w:val="none"/>
        </w:rPr>
      </w:pPr>
      <w:r>
        <w:rPr>
          <w:rFonts w:hint="eastAsia" w:cs="宋体" w:asciiTheme="minorEastAsia" w:hAnsiTheme="minorEastAsia"/>
          <w:color w:val="auto"/>
          <w:kern w:val="0"/>
          <w:sz w:val="24"/>
          <w:szCs w:val="21"/>
          <w:highlight w:val="none"/>
        </w:rPr>
        <w:t>（5）持续跟踪服务</w:t>
      </w:r>
    </w:p>
    <w:p w14:paraId="5FBA4388">
      <w:pPr>
        <w:tabs>
          <w:tab w:val="left" w:pos="435"/>
          <w:tab w:val="left" w:pos="720"/>
        </w:tabs>
        <w:spacing w:line="520" w:lineRule="exact"/>
        <w:ind w:firstLine="480" w:firstLineChars="200"/>
        <w:outlineLvl w:val="1"/>
        <w:rPr>
          <w:rFonts w:cs="宋体" w:asciiTheme="minorEastAsia" w:hAnsiTheme="minorEastAsia"/>
          <w:color w:val="auto"/>
          <w:kern w:val="0"/>
          <w:sz w:val="24"/>
          <w:szCs w:val="21"/>
          <w:highlight w:val="none"/>
        </w:rPr>
      </w:pPr>
      <w:r>
        <w:rPr>
          <w:rFonts w:hint="eastAsia" w:cs="宋体" w:asciiTheme="minorEastAsia" w:hAnsiTheme="minorEastAsia"/>
          <w:color w:val="auto"/>
          <w:kern w:val="0"/>
          <w:sz w:val="24"/>
          <w:szCs w:val="21"/>
          <w:highlight w:val="none"/>
        </w:rPr>
        <w:t>培养全周期提供专属跟踪服务，全程跟进学员学习、课题研究进度，常态化开展答疑辅导。阶段性整理教学资料、考核结果、工作总结，服务期内配合完成人才培养评估、成果总结、资料归档，保障培养成果落地留存。</w:t>
      </w:r>
    </w:p>
    <w:p w14:paraId="587A96D3">
      <w:pPr>
        <w:tabs>
          <w:tab w:val="left" w:pos="435"/>
          <w:tab w:val="left" w:pos="720"/>
        </w:tabs>
        <w:spacing w:line="520" w:lineRule="exact"/>
        <w:ind w:firstLine="480" w:firstLineChars="200"/>
        <w:outlineLvl w:val="1"/>
        <w:rPr>
          <w:rFonts w:cs="宋体" w:asciiTheme="minorEastAsia" w:hAnsiTheme="minorEastAsia"/>
          <w:color w:val="auto"/>
          <w:kern w:val="0"/>
          <w:sz w:val="24"/>
          <w:szCs w:val="21"/>
          <w:highlight w:val="none"/>
        </w:rPr>
      </w:pPr>
      <w:r>
        <w:rPr>
          <w:rFonts w:hint="eastAsia" w:cs="宋体" w:asciiTheme="minorEastAsia" w:hAnsiTheme="minorEastAsia"/>
          <w:color w:val="auto"/>
          <w:kern w:val="0"/>
          <w:sz w:val="24"/>
          <w:szCs w:val="21"/>
          <w:highlight w:val="none"/>
        </w:rPr>
        <w:t>3、课程设置方案：至少要包括</w:t>
      </w:r>
    </w:p>
    <w:p w14:paraId="70F52C7F">
      <w:pPr>
        <w:tabs>
          <w:tab w:val="left" w:pos="435"/>
          <w:tab w:val="left" w:pos="720"/>
        </w:tabs>
        <w:spacing w:line="520" w:lineRule="exact"/>
        <w:ind w:firstLine="480" w:firstLineChars="200"/>
        <w:outlineLvl w:val="1"/>
        <w:rPr>
          <w:rFonts w:cs="宋体" w:asciiTheme="minorEastAsia" w:hAnsiTheme="minorEastAsia"/>
          <w:color w:val="auto"/>
          <w:kern w:val="0"/>
          <w:sz w:val="24"/>
          <w:szCs w:val="21"/>
          <w:highlight w:val="none"/>
        </w:rPr>
      </w:pPr>
      <w:r>
        <w:rPr>
          <w:rFonts w:hint="eastAsia" w:cs="宋体" w:asciiTheme="minorEastAsia" w:hAnsiTheme="minorEastAsia"/>
          <w:color w:val="auto"/>
          <w:kern w:val="0"/>
          <w:sz w:val="24"/>
          <w:szCs w:val="21"/>
          <w:highlight w:val="none"/>
        </w:rPr>
        <w:t>（1）课程体系架构与核心模块</w:t>
      </w:r>
    </w:p>
    <w:p w14:paraId="63FED715">
      <w:pPr>
        <w:tabs>
          <w:tab w:val="left" w:pos="435"/>
          <w:tab w:val="left" w:pos="720"/>
        </w:tabs>
        <w:spacing w:line="520" w:lineRule="exact"/>
        <w:ind w:firstLine="480" w:firstLineChars="200"/>
        <w:outlineLvl w:val="1"/>
        <w:rPr>
          <w:rFonts w:cs="宋体" w:asciiTheme="minorEastAsia" w:hAnsiTheme="minorEastAsia"/>
          <w:color w:val="auto"/>
          <w:kern w:val="0"/>
          <w:sz w:val="24"/>
          <w:szCs w:val="21"/>
          <w:highlight w:val="none"/>
        </w:rPr>
      </w:pPr>
      <w:r>
        <w:rPr>
          <w:rFonts w:hint="eastAsia" w:cs="宋体" w:asciiTheme="minorEastAsia" w:hAnsiTheme="minorEastAsia"/>
          <w:color w:val="auto"/>
          <w:kern w:val="0"/>
          <w:sz w:val="24"/>
          <w:szCs w:val="21"/>
          <w:highlight w:val="none"/>
        </w:rPr>
        <w:t>搭建全覆盖、立体化课程体系，涵盖政策前沿与医改、财务运营、资产管理、内控审计、高质量发展、综合素养六大核心模块，增设预算成本、信息化、医保政策、招标采购专项课程，贴合公立医院运营核心工作需求。</w:t>
      </w:r>
    </w:p>
    <w:p w14:paraId="079A541D">
      <w:pPr>
        <w:tabs>
          <w:tab w:val="left" w:pos="435"/>
          <w:tab w:val="left" w:pos="720"/>
        </w:tabs>
        <w:spacing w:line="520" w:lineRule="exact"/>
        <w:ind w:firstLine="480" w:firstLineChars="200"/>
        <w:outlineLvl w:val="1"/>
        <w:rPr>
          <w:rFonts w:cs="宋体" w:asciiTheme="minorEastAsia" w:hAnsiTheme="minorEastAsia"/>
          <w:color w:val="auto"/>
          <w:kern w:val="0"/>
          <w:sz w:val="24"/>
          <w:szCs w:val="21"/>
          <w:highlight w:val="none"/>
        </w:rPr>
      </w:pPr>
      <w:r>
        <w:rPr>
          <w:rFonts w:hint="eastAsia" w:cs="宋体" w:asciiTheme="minorEastAsia" w:hAnsiTheme="minorEastAsia"/>
          <w:color w:val="auto"/>
          <w:kern w:val="0"/>
          <w:sz w:val="24"/>
          <w:szCs w:val="21"/>
          <w:highlight w:val="none"/>
        </w:rPr>
        <w:t>（2）课程内容设计原则与开发方法</w:t>
      </w:r>
    </w:p>
    <w:p w14:paraId="0A7344C5">
      <w:pPr>
        <w:tabs>
          <w:tab w:val="left" w:pos="435"/>
          <w:tab w:val="left" w:pos="720"/>
        </w:tabs>
        <w:spacing w:line="520" w:lineRule="exact"/>
        <w:ind w:firstLine="480" w:firstLineChars="200"/>
        <w:outlineLvl w:val="1"/>
        <w:rPr>
          <w:rFonts w:cs="宋体" w:asciiTheme="minorEastAsia" w:hAnsiTheme="minorEastAsia"/>
          <w:color w:val="auto"/>
          <w:kern w:val="0"/>
          <w:sz w:val="24"/>
          <w:szCs w:val="21"/>
          <w:highlight w:val="none"/>
        </w:rPr>
      </w:pPr>
      <w:r>
        <w:rPr>
          <w:rFonts w:hint="eastAsia" w:cs="宋体" w:asciiTheme="minorEastAsia" w:hAnsiTheme="minorEastAsia"/>
          <w:color w:val="auto"/>
          <w:kern w:val="0"/>
          <w:sz w:val="24"/>
          <w:szCs w:val="21"/>
          <w:highlight w:val="none"/>
        </w:rPr>
        <w:t>遵循贴合实操、前沿赋能、学研结合原则开发课程，融入医改新政、数字经济、精益管理前沿内容。结合盐城公立医院运营痛点，通过行业调研、案例筛选、专家研讨方式打磨课程，保障内容实用性与专业性。</w:t>
      </w:r>
    </w:p>
    <w:p w14:paraId="54950E87">
      <w:pPr>
        <w:tabs>
          <w:tab w:val="left" w:pos="435"/>
          <w:tab w:val="left" w:pos="720"/>
        </w:tabs>
        <w:spacing w:line="520" w:lineRule="exact"/>
        <w:ind w:firstLine="480" w:firstLineChars="200"/>
        <w:outlineLvl w:val="1"/>
        <w:rPr>
          <w:rFonts w:cs="宋体" w:asciiTheme="minorEastAsia" w:hAnsiTheme="minorEastAsia"/>
          <w:color w:val="auto"/>
          <w:kern w:val="0"/>
          <w:sz w:val="24"/>
          <w:szCs w:val="21"/>
          <w:highlight w:val="none"/>
        </w:rPr>
      </w:pPr>
      <w:r>
        <w:rPr>
          <w:rFonts w:hint="eastAsia" w:cs="宋体" w:asciiTheme="minorEastAsia" w:hAnsiTheme="minorEastAsia"/>
          <w:color w:val="auto"/>
          <w:kern w:val="0"/>
          <w:sz w:val="24"/>
          <w:szCs w:val="21"/>
          <w:highlight w:val="none"/>
        </w:rPr>
        <w:t>（3）师资配备标准与专家邀请机制</w:t>
      </w:r>
    </w:p>
    <w:p w14:paraId="67C54C74">
      <w:pPr>
        <w:tabs>
          <w:tab w:val="left" w:pos="435"/>
          <w:tab w:val="left" w:pos="720"/>
        </w:tabs>
        <w:spacing w:line="520" w:lineRule="exact"/>
        <w:ind w:firstLine="480" w:firstLineChars="200"/>
        <w:outlineLvl w:val="1"/>
        <w:rPr>
          <w:rFonts w:cs="宋体" w:asciiTheme="minorEastAsia" w:hAnsiTheme="minorEastAsia"/>
          <w:color w:val="auto"/>
          <w:kern w:val="0"/>
          <w:sz w:val="24"/>
          <w:szCs w:val="21"/>
          <w:highlight w:val="none"/>
        </w:rPr>
      </w:pPr>
      <w:r>
        <w:rPr>
          <w:rFonts w:hint="eastAsia" w:cs="宋体" w:asciiTheme="minorEastAsia" w:hAnsiTheme="minorEastAsia"/>
          <w:color w:val="auto"/>
          <w:kern w:val="0"/>
          <w:sz w:val="24"/>
          <w:szCs w:val="21"/>
          <w:highlight w:val="none"/>
        </w:rPr>
        <w:t>组建稳定专业师资团队，师资需具备卫健经济运营、医院管理资深经验。建立行业专家特邀机制，定期邀请业内权威专家，针对本地医院内控制度、成本核算细则开展专项指导点评，保障教学专业度与针对性。</w:t>
      </w:r>
    </w:p>
    <w:p w14:paraId="327CCB61">
      <w:pPr>
        <w:tabs>
          <w:tab w:val="left" w:pos="435"/>
          <w:tab w:val="left" w:pos="720"/>
        </w:tabs>
        <w:spacing w:line="520" w:lineRule="exact"/>
        <w:ind w:firstLine="480" w:firstLineChars="200"/>
        <w:outlineLvl w:val="1"/>
        <w:rPr>
          <w:rFonts w:cs="宋体" w:asciiTheme="minorEastAsia" w:hAnsiTheme="minorEastAsia"/>
          <w:color w:val="auto"/>
          <w:kern w:val="0"/>
          <w:sz w:val="24"/>
          <w:szCs w:val="21"/>
          <w:highlight w:val="none"/>
        </w:rPr>
      </w:pPr>
      <w:r>
        <w:rPr>
          <w:rFonts w:hint="eastAsia" w:cs="宋体" w:asciiTheme="minorEastAsia" w:hAnsiTheme="minorEastAsia"/>
          <w:color w:val="auto"/>
          <w:kern w:val="0"/>
          <w:sz w:val="24"/>
          <w:szCs w:val="21"/>
          <w:highlight w:val="none"/>
        </w:rPr>
        <w:t>4、管理制度：至少要包括</w:t>
      </w:r>
    </w:p>
    <w:p w14:paraId="26223B55">
      <w:pPr>
        <w:tabs>
          <w:tab w:val="left" w:pos="435"/>
          <w:tab w:val="left" w:pos="720"/>
        </w:tabs>
        <w:spacing w:line="520" w:lineRule="exact"/>
        <w:ind w:firstLine="480" w:firstLineChars="200"/>
        <w:outlineLvl w:val="1"/>
        <w:rPr>
          <w:rFonts w:cs="宋体" w:asciiTheme="minorEastAsia" w:hAnsiTheme="minorEastAsia"/>
          <w:color w:val="auto"/>
          <w:kern w:val="0"/>
          <w:sz w:val="24"/>
          <w:szCs w:val="21"/>
          <w:highlight w:val="none"/>
        </w:rPr>
      </w:pPr>
      <w:r>
        <w:rPr>
          <w:rFonts w:hint="eastAsia" w:cs="宋体" w:asciiTheme="minorEastAsia" w:hAnsiTheme="minorEastAsia"/>
          <w:color w:val="auto"/>
          <w:kern w:val="0"/>
          <w:sz w:val="24"/>
          <w:szCs w:val="21"/>
          <w:highlight w:val="none"/>
        </w:rPr>
        <w:t>（1）教学管理制度</w:t>
      </w:r>
    </w:p>
    <w:p w14:paraId="02B37D95">
      <w:pPr>
        <w:tabs>
          <w:tab w:val="left" w:pos="435"/>
          <w:tab w:val="left" w:pos="720"/>
        </w:tabs>
        <w:spacing w:line="520" w:lineRule="exact"/>
        <w:ind w:firstLine="480" w:firstLineChars="200"/>
        <w:outlineLvl w:val="1"/>
        <w:rPr>
          <w:rFonts w:cs="宋体" w:asciiTheme="minorEastAsia" w:hAnsiTheme="minorEastAsia"/>
          <w:color w:val="auto"/>
          <w:kern w:val="0"/>
          <w:sz w:val="24"/>
          <w:szCs w:val="21"/>
          <w:highlight w:val="none"/>
        </w:rPr>
      </w:pPr>
      <w:r>
        <w:rPr>
          <w:rFonts w:hint="eastAsia" w:cs="宋体" w:asciiTheme="minorEastAsia" w:hAnsiTheme="minorEastAsia"/>
          <w:color w:val="auto"/>
          <w:kern w:val="0"/>
          <w:sz w:val="24"/>
          <w:szCs w:val="21"/>
          <w:highlight w:val="none"/>
        </w:rPr>
        <w:t>建立标准化教学管控机制，规范备课授课、案例教学、现场教学、专题研讨全流程标准。严格落实课程更新、教学督查要求，定期审核课件质量、教学进度，保障多元教学模式落地，确保两年教学工作有序、规范、高效推进。</w:t>
      </w:r>
    </w:p>
    <w:p w14:paraId="22B45DAA">
      <w:pPr>
        <w:tabs>
          <w:tab w:val="left" w:pos="435"/>
          <w:tab w:val="left" w:pos="720"/>
        </w:tabs>
        <w:spacing w:line="520" w:lineRule="exact"/>
        <w:ind w:firstLine="480" w:firstLineChars="200"/>
        <w:outlineLvl w:val="1"/>
        <w:rPr>
          <w:rFonts w:cs="宋体" w:asciiTheme="minorEastAsia" w:hAnsiTheme="minorEastAsia"/>
          <w:color w:val="auto"/>
          <w:kern w:val="0"/>
          <w:sz w:val="24"/>
          <w:szCs w:val="21"/>
          <w:highlight w:val="none"/>
        </w:rPr>
      </w:pPr>
      <w:r>
        <w:rPr>
          <w:rFonts w:hint="eastAsia" w:cs="宋体" w:asciiTheme="minorEastAsia" w:hAnsiTheme="minorEastAsia"/>
          <w:color w:val="auto"/>
          <w:kern w:val="0"/>
          <w:sz w:val="24"/>
          <w:szCs w:val="21"/>
          <w:highlight w:val="none"/>
        </w:rPr>
        <w:t>（2）学员管理制度</w:t>
      </w:r>
    </w:p>
    <w:p w14:paraId="034C9049">
      <w:pPr>
        <w:tabs>
          <w:tab w:val="left" w:pos="435"/>
          <w:tab w:val="left" w:pos="720"/>
        </w:tabs>
        <w:spacing w:line="520" w:lineRule="exact"/>
        <w:ind w:firstLine="480" w:firstLineChars="200"/>
        <w:outlineLvl w:val="1"/>
        <w:rPr>
          <w:rFonts w:cs="宋体" w:asciiTheme="minorEastAsia" w:hAnsiTheme="minorEastAsia"/>
          <w:color w:val="auto"/>
          <w:kern w:val="0"/>
          <w:sz w:val="24"/>
          <w:szCs w:val="21"/>
          <w:highlight w:val="none"/>
        </w:rPr>
      </w:pPr>
      <w:r>
        <w:rPr>
          <w:rFonts w:hint="eastAsia" w:cs="宋体" w:asciiTheme="minorEastAsia" w:hAnsiTheme="minorEastAsia"/>
          <w:color w:val="auto"/>
          <w:kern w:val="0"/>
          <w:sz w:val="24"/>
          <w:szCs w:val="21"/>
          <w:highlight w:val="none"/>
        </w:rPr>
        <w:t>制定专属学员管理细则，规范学员考勤、课堂学习、课题研究、结业考核等全方面行为。建立学员学习档案，动态记录学习时长、考核成绩、课题进展，针对缺勤、学习滞后等问题及时督促整改，保障全员达标完成培养任务。</w:t>
      </w:r>
    </w:p>
    <w:p w14:paraId="145902D0">
      <w:pPr>
        <w:tabs>
          <w:tab w:val="left" w:pos="435"/>
          <w:tab w:val="left" w:pos="720"/>
        </w:tabs>
        <w:spacing w:line="520" w:lineRule="exact"/>
        <w:ind w:firstLine="480" w:firstLineChars="200"/>
        <w:outlineLvl w:val="1"/>
        <w:rPr>
          <w:rFonts w:cs="宋体" w:asciiTheme="minorEastAsia" w:hAnsiTheme="minorEastAsia"/>
          <w:color w:val="auto"/>
          <w:kern w:val="0"/>
          <w:sz w:val="24"/>
          <w:szCs w:val="21"/>
          <w:highlight w:val="none"/>
        </w:rPr>
      </w:pPr>
      <w:r>
        <w:rPr>
          <w:rFonts w:hint="eastAsia" w:cs="宋体" w:asciiTheme="minorEastAsia" w:hAnsiTheme="minorEastAsia"/>
          <w:color w:val="auto"/>
          <w:kern w:val="0"/>
          <w:sz w:val="24"/>
          <w:szCs w:val="21"/>
          <w:highlight w:val="none"/>
        </w:rPr>
        <w:t>（3）沟通协调制度</w:t>
      </w:r>
    </w:p>
    <w:p w14:paraId="48CF8795">
      <w:pPr>
        <w:tabs>
          <w:tab w:val="left" w:pos="435"/>
          <w:tab w:val="left" w:pos="720"/>
        </w:tabs>
        <w:spacing w:line="520" w:lineRule="exact"/>
        <w:ind w:firstLine="480" w:firstLineChars="200"/>
        <w:outlineLvl w:val="1"/>
        <w:rPr>
          <w:rFonts w:cs="宋体" w:asciiTheme="minorEastAsia" w:hAnsiTheme="minorEastAsia"/>
          <w:color w:val="auto"/>
          <w:kern w:val="0"/>
          <w:sz w:val="24"/>
          <w:szCs w:val="21"/>
          <w:highlight w:val="none"/>
        </w:rPr>
      </w:pPr>
      <w:r>
        <w:rPr>
          <w:rFonts w:hint="eastAsia" w:cs="宋体" w:asciiTheme="minorEastAsia" w:hAnsiTheme="minorEastAsia"/>
          <w:color w:val="auto"/>
          <w:kern w:val="0"/>
          <w:sz w:val="24"/>
          <w:szCs w:val="21"/>
          <w:highlight w:val="none"/>
        </w:rPr>
        <w:t>建立定期沟通、即时响应的制度化沟通机制，固定月度进度汇报、阶段性复盘沟通模式。对接采购人、师资、学员三方主体，及时同步教学动态、收集反馈建议，快速处置各类问题，保障项目各方协同联动推进。</w:t>
      </w:r>
    </w:p>
    <w:p w14:paraId="069F54A7">
      <w:pPr>
        <w:tabs>
          <w:tab w:val="left" w:pos="435"/>
          <w:tab w:val="left" w:pos="720"/>
        </w:tabs>
        <w:spacing w:line="520" w:lineRule="exact"/>
        <w:ind w:firstLine="480" w:firstLineChars="200"/>
        <w:outlineLvl w:val="1"/>
        <w:rPr>
          <w:rFonts w:cs="宋体" w:asciiTheme="minorEastAsia" w:hAnsiTheme="minorEastAsia"/>
          <w:color w:val="auto"/>
          <w:kern w:val="0"/>
          <w:sz w:val="24"/>
          <w:szCs w:val="21"/>
          <w:highlight w:val="none"/>
        </w:rPr>
      </w:pPr>
      <w:r>
        <w:rPr>
          <w:rFonts w:hint="eastAsia" w:cs="宋体" w:asciiTheme="minorEastAsia" w:hAnsiTheme="minorEastAsia"/>
          <w:color w:val="auto"/>
          <w:kern w:val="0"/>
          <w:sz w:val="24"/>
          <w:szCs w:val="21"/>
          <w:highlight w:val="none"/>
        </w:rPr>
        <w:t>（4）档案与资料管理制度</w:t>
      </w:r>
    </w:p>
    <w:p w14:paraId="2C3C6E7F">
      <w:pPr>
        <w:tabs>
          <w:tab w:val="left" w:pos="435"/>
          <w:tab w:val="left" w:pos="720"/>
        </w:tabs>
        <w:spacing w:line="520" w:lineRule="exact"/>
        <w:ind w:firstLine="480" w:firstLineChars="200"/>
        <w:outlineLvl w:val="1"/>
        <w:rPr>
          <w:rFonts w:cs="宋体" w:asciiTheme="minorEastAsia" w:hAnsiTheme="minorEastAsia"/>
          <w:color w:val="auto"/>
          <w:kern w:val="0"/>
          <w:sz w:val="24"/>
          <w:szCs w:val="21"/>
          <w:highlight w:val="none"/>
        </w:rPr>
      </w:pPr>
      <w:r>
        <w:rPr>
          <w:rFonts w:hint="eastAsia" w:cs="宋体" w:asciiTheme="minorEastAsia" w:hAnsiTheme="minorEastAsia"/>
          <w:color w:val="auto"/>
          <w:kern w:val="0"/>
          <w:sz w:val="24"/>
          <w:szCs w:val="21"/>
          <w:highlight w:val="none"/>
        </w:rPr>
        <w:t>实行全周期资料归档管理，分类留存培养计划、教学课件、考勤记录、考核结果、阶段总结、课题成果等资料。建立电子+纸质双档案台账，专人负责整理保管，服务期内全程留存，配合采购人完成成果归档与核查工作。</w:t>
      </w:r>
    </w:p>
    <w:p w14:paraId="18E63A36">
      <w:pPr>
        <w:tabs>
          <w:tab w:val="left" w:pos="435"/>
          <w:tab w:val="left" w:pos="720"/>
        </w:tabs>
        <w:spacing w:line="520" w:lineRule="exact"/>
        <w:ind w:firstLine="480" w:firstLineChars="200"/>
        <w:outlineLvl w:val="1"/>
        <w:rPr>
          <w:rFonts w:cs="宋体" w:asciiTheme="minorEastAsia" w:hAnsiTheme="minorEastAsia"/>
          <w:color w:val="auto"/>
          <w:kern w:val="0"/>
          <w:sz w:val="24"/>
          <w:szCs w:val="21"/>
          <w:highlight w:val="none"/>
        </w:rPr>
      </w:pPr>
      <w:r>
        <w:rPr>
          <w:rFonts w:hint="eastAsia" w:cs="宋体" w:asciiTheme="minorEastAsia" w:hAnsiTheme="minorEastAsia"/>
          <w:color w:val="auto"/>
          <w:kern w:val="0"/>
          <w:sz w:val="24"/>
          <w:szCs w:val="21"/>
          <w:highlight w:val="none"/>
        </w:rPr>
        <w:t>5、后勤保障方案：至少要包括</w:t>
      </w:r>
    </w:p>
    <w:p w14:paraId="5F5239C6">
      <w:pPr>
        <w:tabs>
          <w:tab w:val="left" w:pos="435"/>
          <w:tab w:val="left" w:pos="720"/>
        </w:tabs>
        <w:spacing w:line="520" w:lineRule="exact"/>
        <w:ind w:firstLine="480" w:firstLineChars="200"/>
        <w:outlineLvl w:val="1"/>
        <w:rPr>
          <w:rFonts w:cs="宋体" w:asciiTheme="minorEastAsia" w:hAnsiTheme="minorEastAsia"/>
          <w:color w:val="auto"/>
          <w:kern w:val="0"/>
          <w:sz w:val="24"/>
          <w:szCs w:val="21"/>
          <w:highlight w:val="none"/>
        </w:rPr>
      </w:pPr>
      <w:r>
        <w:rPr>
          <w:rFonts w:hint="eastAsia" w:cs="宋体" w:asciiTheme="minorEastAsia" w:hAnsiTheme="minorEastAsia"/>
          <w:color w:val="auto"/>
          <w:kern w:val="0"/>
          <w:sz w:val="24"/>
          <w:szCs w:val="21"/>
          <w:highlight w:val="none"/>
        </w:rPr>
        <w:t>（1）教学场地保障</w:t>
      </w:r>
    </w:p>
    <w:p w14:paraId="69B077B7">
      <w:pPr>
        <w:tabs>
          <w:tab w:val="left" w:pos="435"/>
          <w:tab w:val="left" w:pos="720"/>
        </w:tabs>
        <w:spacing w:line="520" w:lineRule="exact"/>
        <w:ind w:firstLine="480" w:firstLineChars="200"/>
        <w:outlineLvl w:val="1"/>
        <w:rPr>
          <w:rFonts w:cs="宋体" w:asciiTheme="minorEastAsia" w:hAnsiTheme="minorEastAsia"/>
          <w:color w:val="auto"/>
          <w:kern w:val="0"/>
          <w:sz w:val="24"/>
          <w:szCs w:val="21"/>
          <w:highlight w:val="none"/>
        </w:rPr>
      </w:pPr>
      <w:r>
        <w:rPr>
          <w:rFonts w:hint="eastAsia" w:cs="宋体" w:asciiTheme="minorEastAsia" w:hAnsiTheme="minorEastAsia"/>
          <w:color w:val="auto"/>
          <w:kern w:val="0"/>
          <w:sz w:val="24"/>
          <w:szCs w:val="21"/>
          <w:highlight w:val="none"/>
        </w:rPr>
        <w:t>甄选交通便捷、环境整洁安静、无安全隐患的标准化教学场地，适配专题授课、研讨交流、成果展示等各类教学活动。严格落实场地验收标准，保障学习氛围浓厚，且场地距学员住宿点步行时长控制在10分钟以内。</w:t>
      </w:r>
    </w:p>
    <w:p w14:paraId="7D81F992">
      <w:pPr>
        <w:tabs>
          <w:tab w:val="left" w:pos="435"/>
          <w:tab w:val="left" w:pos="720"/>
        </w:tabs>
        <w:spacing w:line="520" w:lineRule="exact"/>
        <w:ind w:firstLine="480" w:firstLineChars="200"/>
        <w:outlineLvl w:val="1"/>
        <w:rPr>
          <w:rFonts w:cs="宋体" w:asciiTheme="minorEastAsia" w:hAnsiTheme="minorEastAsia"/>
          <w:color w:val="auto"/>
          <w:kern w:val="0"/>
          <w:sz w:val="24"/>
          <w:szCs w:val="21"/>
          <w:highlight w:val="none"/>
        </w:rPr>
      </w:pPr>
      <w:r>
        <w:rPr>
          <w:rFonts w:hint="eastAsia" w:cs="宋体" w:asciiTheme="minorEastAsia" w:hAnsiTheme="minorEastAsia"/>
          <w:color w:val="auto"/>
          <w:kern w:val="0"/>
          <w:sz w:val="24"/>
          <w:szCs w:val="21"/>
          <w:highlight w:val="none"/>
        </w:rPr>
        <w:t>（2）学员食宿与交通安排</w:t>
      </w:r>
    </w:p>
    <w:p w14:paraId="5C12977F">
      <w:pPr>
        <w:tabs>
          <w:tab w:val="left" w:pos="435"/>
          <w:tab w:val="left" w:pos="720"/>
        </w:tabs>
        <w:spacing w:line="520" w:lineRule="exact"/>
        <w:ind w:firstLine="480" w:firstLineChars="200"/>
        <w:outlineLvl w:val="1"/>
        <w:rPr>
          <w:rFonts w:cs="宋体" w:asciiTheme="minorEastAsia" w:hAnsiTheme="minorEastAsia"/>
          <w:color w:val="auto"/>
          <w:kern w:val="0"/>
          <w:sz w:val="24"/>
          <w:szCs w:val="21"/>
          <w:highlight w:val="none"/>
        </w:rPr>
      </w:pPr>
      <w:r>
        <w:rPr>
          <w:rFonts w:hint="eastAsia" w:cs="宋体" w:asciiTheme="minorEastAsia" w:hAnsiTheme="minorEastAsia"/>
          <w:color w:val="auto"/>
          <w:kern w:val="0"/>
          <w:sz w:val="24"/>
          <w:szCs w:val="21"/>
          <w:highlight w:val="none"/>
        </w:rPr>
        <w:t>统筹规划学员食宿安排，筛选安全舒适、配套完善的住宿场地，保障食宿环境干净卫生、配套齐全。结合教学场地与住宿点位规划通行路线，落实通勤保障，为学员提供便捷、安全的食宿通勤服务，保障学习无忧。</w:t>
      </w:r>
    </w:p>
    <w:p w14:paraId="2B7F20F8">
      <w:pPr>
        <w:tabs>
          <w:tab w:val="left" w:pos="435"/>
          <w:tab w:val="left" w:pos="720"/>
        </w:tabs>
        <w:spacing w:line="520" w:lineRule="exact"/>
        <w:ind w:firstLine="480" w:firstLineChars="200"/>
        <w:outlineLvl w:val="1"/>
        <w:rPr>
          <w:rFonts w:cs="宋体" w:asciiTheme="minorEastAsia" w:hAnsiTheme="minorEastAsia"/>
          <w:color w:val="auto"/>
          <w:kern w:val="0"/>
          <w:sz w:val="24"/>
          <w:szCs w:val="21"/>
          <w:highlight w:val="none"/>
        </w:rPr>
      </w:pPr>
      <w:r>
        <w:rPr>
          <w:rFonts w:hint="eastAsia" w:cs="宋体" w:asciiTheme="minorEastAsia" w:hAnsiTheme="minorEastAsia"/>
          <w:color w:val="auto"/>
          <w:kern w:val="0"/>
          <w:sz w:val="24"/>
          <w:szCs w:val="21"/>
          <w:highlight w:val="none"/>
        </w:rPr>
        <w:t>（3）教学设备与物资保障</w:t>
      </w:r>
    </w:p>
    <w:p w14:paraId="1059369D">
      <w:pPr>
        <w:tabs>
          <w:tab w:val="left" w:pos="435"/>
          <w:tab w:val="left" w:pos="720"/>
        </w:tabs>
        <w:spacing w:line="520" w:lineRule="exact"/>
        <w:ind w:firstLine="480" w:firstLineChars="200"/>
        <w:outlineLvl w:val="1"/>
        <w:rPr>
          <w:rFonts w:cs="宋体" w:asciiTheme="minorEastAsia" w:hAnsiTheme="minorEastAsia"/>
          <w:color w:val="auto"/>
          <w:kern w:val="0"/>
          <w:sz w:val="24"/>
          <w:szCs w:val="21"/>
          <w:highlight w:val="none"/>
        </w:rPr>
      </w:pPr>
      <w:r>
        <w:rPr>
          <w:rFonts w:hint="eastAsia" w:cs="宋体" w:asciiTheme="minorEastAsia" w:hAnsiTheme="minorEastAsia"/>
          <w:color w:val="auto"/>
          <w:kern w:val="0"/>
          <w:sz w:val="24"/>
          <w:szCs w:val="21"/>
          <w:highlight w:val="none"/>
        </w:rPr>
        <w:t>全程配齐标准化教学设备，包含投影、音响、直播设备、研讨教具等，保障各类教学形式顺利开展。提前筹备课件资料、学习手册、办公耗材等物资，课前完成设备调试、物资清点，杜绝物资短缺、设备故障影响教学进度。</w:t>
      </w:r>
    </w:p>
    <w:p w14:paraId="420AED03">
      <w:pPr>
        <w:tabs>
          <w:tab w:val="left" w:pos="435"/>
          <w:tab w:val="left" w:pos="720"/>
        </w:tabs>
        <w:spacing w:line="520" w:lineRule="exact"/>
        <w:ind w:firstLine="480" w:firstLineChars="200"/>
        <w:outlineLvl w:val="1"/>
        <w:rPr>
          <w:rFonts w:cs="宋体" w:asciiTheme="minorEastAsia" w:hAnsiTheme="minorEastAsia"/>
          <w:color w:val="auto"/>
          <w:kern w:val="0"/>
          <w:sz w:val="24"/>
          <w:szCs w:val="21"/>
          <w:highlight w:val="none"/>
        </w:rPr>
      </w:pPr>
      <w:r>
        <w:rPr>
          <w:rFonts w:hint="eastAsia" w:cs="宋体" w:asciiTheme="minorEastAsia" w:hAnsiTheme="minorEastAsia"/>
          <w:color w:val="auto"/>
          <w:kern w:val="0"/>
          <w:sz w:val="24"/>
          <w:szCs w:val="21"/>
          <w:highlight w:val="none"/>
        </w:rPr>
        <w:t>6、质量保障方案：至少要包括</w:t>
      </w:r>
    </w:p>
    <w:p w14:paraId="4898BC47">
      <w:pPr>
        <w:tabs>
          <w:tab w:val="left" w:pos="435"/>
          <w:tab w:val="left" w:pos="720"/>
        </w:tabs>
        <w:spacing w:line="520" w:lineRule="exact"/>
        <w:ind w:firstLine="480" w:firstLineChars="200"/>
        <w:outlineLvl w:val="1"/>
        <w:rPr>
          <w:rFonts w:cs="宋体" w:asciiTheme="minorEastAsia" w:hAnsiTheme="minorEastAsia"/>
          <w:color w:val="auto"/>
          <w:kern w:val="0"/>
          <w:sz w:val="24"/>
          <w:szCs w:val="21"/>
          <w:highlight w:val="none"/>
        </w:rPr>
      </w:pPr>
      <w:r>
        <w:rPr>
          <w:rFonts w:cs="宋体" w:asciiTheme="minorEastAsia" w:hAnsiTheme="minorEastAsia"/>
          <w:color w:val="auto"/>
          <w:kern w:val="0"/>
          <w:sz w:val="24"/>
          <w:szCs w:val="21"/>
          <w:highlight w:val="none"/>
        </w:rPr>
        <w:t>（1）教学质量监控方法</w:t>
      </w:r>
    </w:p>
    <w:p w14:paraId="1AECFD98">
      <w:pPr>
        <w:tabs>
          <w:tab w:val="left" w:pos="435"/>
          <w:tab w:val="left" w:pos="720"/>
        </w:tabs>
        <w:spacing w:line="520" w:lineRule="exact"/>
        <w:ind w:firstLine="480" w:firstLineChars="200"/>
        <w:outlineLvl w:val="1"/>
        <w:rPr>
          <w:rFonts w:cs="宋体" w:asciiTheme="minorEastAsia" w:hAnsiTheme="minorEastAsia"/>
          <w:color w:val="auto"/>
          <w:kern w:val="0"/>
          <w:sz w:val="24"/>
          <w:szCs w:val="21"/>
          <w:highlight w:val="none"/>
        </w:rPr>
      </w:pPr>
      <w:r>
        <w:rPr>
          <w:rFonts w:cs="宋体" w:asciiTheme="minorEastAsia" w:hAnsiTheme="minorEastAsia"/>
          <w:color w:val="auto"/>
          <w:kern w:val="0"/>
          <w:sz w:val="24"/>
          <w:szCs w:val="21"/>
          <w:highlight w:val="none"/>
        </w:rPr>
        <w:t>建立全方位教学质量监控体系，采用随堂督查、课件审核、课堂巡查、学员互评、专家督导等多元方式，全程管控教学过程。重点核查课程适配度、授课专业度、教学落地度，及时整改教学短板，筑牢教学质量根基。</w:t>
      </w:r>
    </w:p>
    <w:p w14:paraId="280A6651">
      <w:pPr>
        <w:tabs>
          <w:tab w:val="left" w:pos="435"/>
          <w:tab w:val="left" w:pos="720"/>
        </w:tabs>
        <w:spacing w:line="520" w:lineRule="exact"/>
        <w:ind w:firstLine="480" w:firstLineChars="200"/>
        <w:outlineLvl w:val="1"/>
        <w:rPr>
          <w:rFonts w:cs="宋体" w:asciiTheme="minorEastAsia" w:hAnsiTheme="minorEastAsia"/>
          <w:color w:val="auto"/>
          <w:kern w:val="0"/>
          <w:sz w:val="24"/>
          <w:szCs w:val="21"/>
          <w:highlight w:val="none"/>
        </w:rPr>
      </w:pPr>
      <w:r>
        <w:rPr>
          <w:rFonts w:cs="宋体" w:asciiTheme="minorEastAsia" w:hAnsiTheme="minorEastAsia"/>
          <w:color w:val="auto"/>
          <w:kern w:val="0"/>
          <w:sz w:val="24"/>
          <w:szCs w:val="21"/>
          <w:highlight w:val="none"/>
        </w:rPr>
        <w:t>（2）过程评估与反馈机制</w:t>
      </w:r>
    </w:p>
    <w:p w14:paraId="635F3490">
      <w:pPr>
        <w:tabs>
          <w:tab w:val="left" w:pos="435"/>
          <w:tab w:val="left" w:pos="720"/>
        </w:tabs>
        <w:spacing w:line="520" w:lineRule="exact"/>
        <w:ind w:firstLine="480" w:firstLineChars="200"/>
        <w:outlineLvl w:val="1"/>
        <w:rPr>
          <w:rFonts w:cs="宋体" w:asciiTheme="minorEastAsia" w:hAnsiTheme="minorEastAsia"/>
          <w:color w:val="auto"/>
          <w:kern w:val="0"/>
          <w:sz w:val="24"/>
          <w:szCs w:val="21"/>
          <w:highlight w:val="none"/>
        </w:rPr>
      </w:pPr>
      <w:r>
        <w:rPr>
          <w:rFonts w:cs="宋体" w:asciiTheme="minorEastAsia" w:hAnsiTheme="minorEastAsia"/>
          <w:color w:val="auto"/>
          <w:kern w:val="0"/>
          <w:sz w:val="24"/>
          <w:szCs w:val="21"/>
          <w:highlight w:val="none"/>
        </w:rPr>
        <w:t>实行阶段性过程评估，每轮集中学习后开展教学复盘，收集学员、采购人反馈意见。建立反馈整改闭环机制，对课程内容、教学形式、师资授课等问题及时优化调整，持续迭代优化培养方案，提升培养质量。</w:t>
      </w:r>
    </w:p>
    <w:p w14:paraId="76A7F372">
      <w:pPr>
        <w:tabs>
          <w:tab w:val="left" w:pos="435"/>
          <w:tab w:val="left" w:pos="720"/>
        </w:tabs>
        <w:spacing w:line="520" w:lineRule="exact"/>
        <w:ind w:firstLine="480" w:firstLineChars="200"/>
        <w:outlineLvl w:val="1"/>
        <w:rPr>
          <w:rFonts w:cs="宋体" w:asciiTheme="minorEastAsia" w:hAnsiTheme="minorEastAsia"/>
          <w:color w:val="auto"/>
          <w:kern w:val="0"/>
          <w:sz w:val="24"/>
          <w:szCs w:val="21"/>
          <w:highlight w:val="none"/>
        </w:rPr>
      </w:pPr>
      <w:r>
        <w:rPr>
          <w:rFonts w:cs="宋体" w:asciiTheme="minorEastAsia" w:hAnsiTheme="minorEastAsia"/>
          <w:color w:val="auto"/>
          <w:kern w:val="0"/>
          <w:sz w:val="24"/>
          <w:szCs w:val="21"/>
          <w:highlight w:val="none"/>
        </w:rPr>
        <w:t>（3）成果质量验收标准</w:t>
      </w:r>
    </w:p>
    <w:p w14:paraId="42E82A23">
      <w:pPr>
        <w:tabs>
          <w:tab w:val="left" w:pos="435"/>
          <w:tab w:val="left" w:pos="720"/>
        </w:tabs>
        <w:spacing w:line="520" w:lineRule="exact"/>
        <w:ind w:firstLine="480" w:firstLineChars="200"/>
        <w:outlineLvl w:val="1"/>
        <w:rPr>
          <w:rFonts w:cs="宋体" w:asciiTheme="minorEastAsia" w:hAnsiTheme="minorEastAsia"/>
          <w:color w:val="auto"/>
          <w:kern w:val="0"/>
          <w:sz w:val="24"/>
          <w:szCs w:val="21"/>
          <w:highlight w:val="none"/>
        </w:rPr>
      </w:pPr>
      <w:r>
        <w:rPr>
          <w:rFonts w:cs="宋体" w:asciiTheme="minorEastAsia" w:hAnsiTheme="minorEastAsia"/>
          <w:color w:val="auto"/>
          <w:kern w:val="0"/>
          <w:sz w:val="24"/>
          <w:szCs w:val="21"/>
          <w:highlight w:val="none"/>
        </w:rPr>
        <w:t>明确量化成果验收标准，两年周期内需完成12-15项优质课题成果，</w:t>
      </w:r>
      <w:r>
        <w:rPr>
          <w:rFonts w:hint="eastAsia" w:asciiTheme="minorEastAsia" w:hAnsiTheme="minorEastAsia"/>
          <w:color w:val="auto"/>
          <w:sz w:val="24"/>
          <w:highlight w:val="none"/>
        </w:rPr>
        <w:t>2026年，2027年</w:t>
      </w:r>
      <w:r>
        <w:rPr>
          <w:rFonts w:cs="宋体" w:asciiTheme="minorEastAsia" w:hAnsiTheme="minorEastAsia"/>
          <w:color w:val="auto"/>
          <w:kern w:val="0"/>
          <w:sz w:val="24"/>
          <w:szCs w:val="21"/>
          <w:highlight w:val="none"/>
        </w:rPr>
        <w:t>每年各完成</w:t>
      </w:r>
      <w:r>
        <w:rPr>
          <w:rFonts w:hint="eastAsia" w:cs="宋体" w:asciiTheme="minorEastAsia" w:hAnsiTheme="minorEastAsia"/>
          <w:color w:val="auto"/>
          <w:kern w:val="0"/>
          <w:sz w:val="24"/>
          <w:szCs w:val="21"/>
          <w:highlight w:val="none"/>
        </w:rPr>
        <w:t>1次，每次</w:t>
      </w:r>
      <w:r>
        <w:rPr>
          <w:rFonts w:cs="宋体" w:asciiTheme="minorEastAsia" w:hAnsiTheme="minorEastAsia"/>
          <w:color w:val="auto"/>
          <w:kern w:val="0"/>
          <w:sz w:val="24"/>
          <w:szCs w:val="21"/>
          <w:highlight w:val="none"/>
        </w:rPr>
        <w:t>不少于2天的上门送教任务。学员需全员完成课程学习、课题研究与结业考核，成果需贴合医院运营痛点，具备实操性与借鉴价值。</w:t>
      </w:r>
    </w:p>
    <w:p w14:paraId="54A662C8">
      <w:pPr>
        <w:tabs>
          <w:tab w:val="left" w:pos="435"/>
          <w:tab w:val="left" w:pos="720"/>
        </w:tabs>
        <w:spacing w:line="520" w:lineRule="exact"/>
        <w:ind w:firstLine="480" w:firstLineChars="200"/>
        <w:outlineLvl w:val="1"/>
        <w:rPr>
          <w:rFonts w:cs="宋体" w:asciiTheme="minorEastAsia" w:hAnsiTheme="minorEastAsia"/>
          <w:color w:val="auto"/>
          <w:kern w:val="0"/>
          <w:sz w:val="24"/>
          <w:szCs w:val="21"/>
          <w:highlight w:val="none"/>
        </w:rPr>
      </w:pPr>
      <w:r>
        <w:rPr>
          <w:rFonts w:hint="eastAsia" w:cs="宋体" w:asciiTheme="minorEastAsia" w:hAnsiTheme="minorEastAsia"/>
          <w:color w:val="auto"/>
          <w:kern w:val="0"/>
          <w:sz w:val="24"/>
          <w:szCs w:val="21"/>
          <w:highlight w:val="none"/>
        </w:rPr>
        <w:t>7、学员考核方案：至少要包括</w:t>
      </w:r>
    </w:p>
    <w:p w14:paraId="3DB96861">
      <w:pPr>
        <w:tabs>
          <w:tab w:val="left" w:pos="435"/>
          <w:tab w:val="left" w:pos="720"/>
        </w:tabs>
        <w:spacing w:line="520" w:lineRule="exact"/>
        <w:ind w:firstLine="480" w:firstLineChars="200"/>
        <w:outlineLvl w:val="1"/>
        <w:rPr>
          <w:rFonts w:cs="宋体" w:asciiTheme="minorEastAsia" w:hAnsiTheme="minorEastAsia"/>
          <w:color w:val="auto"/>
          <w:kern w:val="0"/>
          <w:sz w:val="24"/>
          <w:szCs w:val="21"/>
          <w:highlight w:val="none"/>
        </w:rPr>
      </w:pPr>
      <w:r>
        <w:rPr>
          <w:rFonts w:cs="宋体" w:asciiTheme="minorEastAsia" w:hAnsiTheme="minorEastAsia"/>
          <w:color w:val="auto"/>
          <w:kern w:val="0"/>
          <w:sz w:val="24"/>
          <w:szCs w:val="21"/>
          <w:highlight w:val="none"/>
        </w:rPr>
        <w:t>（1）考核指标体系设计</w:t>
      </w:r>
    </w:p>
    <w:p w14:paraId="01FB6D5B">
      <w:pPr>
        <w:tabs>
          <w:tab w:val="left" w:pos="435"/>
          <w:tab w:val="left" w:pos="720"/>
        </w:tabs>
        <w:spacing w:line="520" w:lineRule="exact"/>
        <w:ind w:firstLine="480" w:firstLineChars="200"/>
        <w:outlineLvl w:val="1"/>
        <w:rPr>
          <w:rFonts w:cs="宋体" w:asciiTheme="minorEastAsia" w:hAnsiTheme="minorEastAsia"/>
          <w:color w:val="auto"/>
          <w:kern w:val="0"/>
          <w:sz w:val="24"/>
          <w:szCs w:val="21"/>
          <w:highlight w:val="none"/>
        </w:rPr>
      </w:pPr>
      <w:r>
        <w:rPr>
          <w:rFonts w:cs="宋体" w:asciiTheme="minorEastAsia" w:hAnsiTheme="minorEastAsia"/>
          <w:color w:val="auto"/>
          <w:kern w:val="0"/>
          <w:sz w:val="24"/>
          <w:szCs w:val="21"/>
          <w:highlight w:val="none"/>
        </w:rPr>
        <w:t>构建多元化量化考核指标体系，涵盖日常学习、课程考核、研讨表现、出勤情况、课题研究、结业成果六大维度。细化各指标分值权重，重点考核学员专业能力提升、课题实操成果、综合素养提升情况，考核标准公开透明。</w:t>
      </w:r>
    </w:p>
    <w:p w14:paraId="410E4C7C">
      <w:pPr>
        <w:tabs>
          <w:tab w:val="left" w:pos="435"/>
          <w:tab w:val="left" w:pos="720"/>
        </w:tabs>
        <w:spacing w:line="520" w:lineRule="exact"/>
        <w:ind w:firstLine="480" w:firstLineChars="200"/>
        <w:outlineLvl w:val="1"/>
        <w:rPr>
          <w:rFonts w:cs="宋体" w:asciiTheme="minorEastAsia" w:hAnsiTheme="minorEastAsia"/>
          <w:color w:val="auto"/>
          <w:kern w:val="0"/>
          <w:sz w:val="24"/>
          <w:szCs w:val="21"/>
          <w:highlight w:val="none"/>
        </w:rPr>
      </w:pPr>
      <w:r>
        <w:rPr>
          <w:rFonts w:cs="宋体" w:asciiTheme="minorEastAsia" w:hAnsiTheme="minorEastAsia"/>
          <w:color w:val="auto"/>
          <w:kern w:val="0"/>
          <w:sz w:val="24"/>
          <w:szCs w:val="21"/>
          <w:highlight w:val="none"/>
        </w:rPr>
        <w:t>（2）考核方式与流程</w:t>
      </w:r>
    </w:p>
    <w:p w14:paraId="763CC9DF">
      <w:pPr>
        <w:tabs>
          <w:tab w:val="left" w:pos="435"/>
          <w:tab w:val="left" w:pos="720"/>
        </w:tabs>
        <w:spacing w:line="520" w:lineRule="exact"/>
        <w:ind w:firstLine="480" w:firstLineChars="200"/>
        <w:outlineLvl w:val="1"/>
        <w:rPr>
          <w:rFonts w:cs="宋体" w:asciiTheme="minorEastAsia" w:hAnsiTheme="minorEastAsia"/>
          <w:color w:val="auto"/>
          <w:kern w:val="0"/>
          <w:sz w:val="24"/>
          <w:szCs w:val="21"/>
          <w:highlight w:val="none"/>
        </w:rPr>
      </w:pPr>
      <w:r>
        <w:rPr>
          <w:rFonts w:cs="宋体" w:asciiTheme="minorEastAsia" w:hAnsiTheme="minorEastAsia"/>
          <w:color w:val="auto"/>
          <w:kern w:val="0"/>
          <w:sz w:val="24"/>
          <w:szCs w:val="21"/>
          <w:highlight w:val="none"/>
        </w:rPr>
        <w:t>采用过程考核+结业考核、理论考核+实操考核相结合的方式，分阶段开展月度测评、阶段考核、结业总评。全程记录考核数据，课题成果通过汇报路演、专家点评、案例解析完成考评，严格按流程落实全周期考核工作。</w:t>
      </w:r>
    </w:p>
    <w:p w14:paraId="5B1C425F">
      <w:pPr>
        <w:tabs>
          <w:tab w:val="left" w:pos="435"/>
          <w:tab w:val="left" w:pos="720"/>
        </w:tabs>
        <w:spacing w:line="520" w:lineRule="exact"/>
        <w:ind w:firstLine="480" w:firstLineChars="200"/>
        <w:outlineLvl w:val="1"/>
        <w:rPr>
          <w:rFonts w:cs="宋体" w:asciiTheme="minorEastAsia" w:hAnsiTheme="minorEastAsia"/>
          <w:color w:val="auto"/>
          <w:kern w:val="0"/>
          <w:sz w:val="24"/>
          <w:szCs w:val="21"/>
          <w:highlight w:val="none"/>
        </w:rPr>
      </w:pPr>
      <w:r>
        <w:rPr>
          <w:rFonts w:cs="宋体" w:asciiTheme="minorEastAsia" w:hAnsiTheme="minorEastAsia"/>
          <w:color w:val="auto"/>
          <w:kern w:val="0"/>
          <w:sz w:val="24"/>
          <w:szCs w:val="21"/>
          <w:highlight w:val="none"/>
        </w:rPr>
        <w:t>（3）考核结果应用与反馈</w:t>
      </w:r>
    </w:p>
    <w:p w14:paraId="619D6E71">
      <w:pPr>
        <w:tabs>
          <w:tab w:val="left" w:pos="435"/>
          <w:tab w:val="left" w:pos="720"/>
        </w:tabs>
        <w:spacing w:line="520" w:lineRule="exact"/>
        <w:ind w:firstLine="480" w:firstLineChars="200"/>
        <w:outlineLvl w:val="1"/>
        <w:rPr>
          <w:rFonts w:cs="宋体" w:asciiTheme="minorEastAsia" w:hAnsiTheme="minorEastAsia"/>
          <w:color w:val="auto"/>
          <w:kern w:val="0"/>
          <w:sz w:val="24"/>
          <w:szCs w:val="21"/>
          <w:highlight w:val="none"/>
        </w:rPr>
      </w:pPr>
      <w:r>
        <w:rPr>
          <w:rFonts w:cs="宋体" w:asciiTheme="minorEastAsia" w:hAnsiTheme="minorEastAsia"/>
          <w:color w:val="auto"/>
          <w:kern w:val="0"/>
          <w:sz w:val="24"/>
          <w:szCs w:val="21"/>
          <w:highlight w:val="none"/>
        </w:rPr>
        <w:t>考核结果纳入学员个人培养档案，作为人才评定、结业认证的核心依据。每次考核后及时向学员一对一反馈结果，公示考核情况，针对考核薄弱项开展专项辅导，助力学员补齐能力短板，提升整体培养成效。</w:t>
      </w:r>
    </w:p>
    <w:p w14:paraId="6C156D9C">
      <w:pPr>
        <w:tabs>
          <w:tab w:val="left" w:pos="435"/>
          <w:tab w:val="left" w:pos="720"/>
        </w:tabs>
        <w:spacing w:line="520" w:lineRule="exact"/>
        <w:ind w:firstLine="480" w:firstLineChars="200"/>
        <w:outlineLvl w:val="1"/>
        <w:rPr>
          <w:rFonts w:cs="宋体" w:asciiTheme="minorEastAsia" w:hAnsiTheme="minorEastAsia"/>
          <w:color w:val="auto"/>
          <w:kern w:val="0"/>
          <w:sz w:val="24"/>
          <w:szCs w:val="21"/>
          <w:highlight w:val="none"/>
        </w:rPr>
      </w:pPr>
      <w:r>
        <w:rPr>
          <w:rFonts w:hint="eastAsia" w:cs="宋体" w:asciiTheme="minorEastAsia" w:hAnsiTheme="minorEastAsia"/>
          <w:color w:val="auto"/>
          <w:kern w:val="0"/>
          <w:sz w:val="24"/>
          <w:szCs w:val="21"/>
          <w:highlight w:val="none"/>
        </w:rPr>
        <w:t>8、应急保障方案：至少要包括</w:t>
      </w:r>
    </w:p>
    <w:p w14:paraId="3D315349">
      <w:pPr>
        <w:tabs>
          <w:tab w:val="left" w:pos="435"/>
          <w:tab w:val="left" w:pos="720"/>
        </w:tabs>
        <w:spacing w:line="520" w:lineRule="exact"/>
        <w:ind w:firstLine="480" w:firstLineChars="200"/>
        <w:outlineLvl w:val="1"/>
        <w:rPr>
          <w:rFonts w:cs="宋体" w:asciiTheme="minorEastAsia" w:hAnsiTheme="minorEastAsia"/>
          <w:color w:val="auto"/>
          <w:kern w:val="0"/>
          <w:sz w:val="24"/>
          <w:szCs w:val="21"/>
          <w:highlight w:val="none"/>
        </w:rPr>
      </w:pPr>
      <w:r>
        <w:rPr>
          <w:rFonts w:cs="宋体" w:asciiTheme="minorEastAsia" w:hAnsiTheme="minorEastAsia"/>
          <w:color w:val="auto"/>
          <w:kern w:val="0"/>
          <w:sz w:val="24"/>
          <w:szCs w:val="21"/>
          <w:highlight w:val="none"/>
        </w:rPr>
        <w:t>（1）风险及异常识别与评估</w:t>
      </w:r>
    </w:p>
    <w:p w14:paraId="76C07E11">
      <w:pPr>
        <w:tabs>
          <w:tab w:val="left" w:pos="435"/>
          <w:tab w:val="left" w:pos="720"/>
        </w:tabs>
        <w:spacing w:line="520" w:lineRule="exact"/>
        <w:ind w:firstLine="480" w:firstLineChars="200"/>
        <w:outlineLvl w:val="1"/>
        <w:rPr>
          <w:rFonts w:cs="宋体" w:asciiTheme="minorEastAsia" w:hAnsiTheme="minorEastAsia"/>
          <w:color w:val="auto"/>
          <w:kern w:val="0"/>
          <w:sz w:val="24"/>
          <w:szCs w:val="21"/>
          <w:highlight w:val="none"/>
        </w:rPr>
      </w:pPr>
      <w:r>
        <w:rPr>
          <w:rFonts w:cs="宋体" w:asciiTheme="minorEastAsia" w:hAnsiTheme="minorEastAsia"/>
          <w:color w:val="auto"/>
          <w:kern w:val="0"/>
          <w:sz w:val="24"/>
          <w:szCs w:val="21"/>
          <w:highlight w:val="none"/>
        </w:rPr>
        <w:t>全面排查项目实施风险，重点识别教学延误、师资变动、学员缺勤、场地故障、突发安全事件、课题推进滞后等各类风险。定期开展风险评估，划分风险等级，预判风险影响范围，提前梳理潜在隐患并建立风险台账。</w:t>
      </w:r>
    </w:p>
    <w:p w14:paraId="2A8B7E04">
      <w:pPr>
        <w:tabs>
          <w:tab w:val="left" w:pos="435"/>
          <w:tab w:val="left" w:pos="720"/>
        </w:tabs>
        <w:spacing w:line="520" w:lineRule="exact"/>
        <w:ind w:firstLine="480" w:firstLineChars="200"/>
        <w:outlineLvl w:val="1"/>
        <w:rPr>
          <w:rFonts w:cs="宋体" w:asciiTheme="minorEastAsia" w:hAnsiTheme="minorEastAsia"/>
          <w:color w:val="auto"/>
          <w:kern w:val="0"/>
          <w:sz w:val="24"/>
          <w:szCs w:val="21"/>
          <w:highlight w:val="none"/>
        </w:rPr>
      </w:pPr>
      <w:r>
        <w:rPr>
          <w:rFonts w:cs="宋体" w:asciiTheme="minorEastAsia" w:hAnsiTheme="minorEastAsia"/>
          <w:color w:val="auto"/>
          <w:kern w:val="0"/>
          <w:sz w:val="24"/>
          <w:szCs w:val="21"/>
          <w:highlight w:val="none"/>
        </w:rPr>
        <w:t>（2）风险处理流程</w:t>
      </w:r>
    </w:p>
    <w:p w14:paraId="02420439">
      <w:pPr>
        <w:tabs>
          <w:tab w:val="left" w:pos="435"/>
          <w:tab w:val="left" w:pos="720"/>
        </w:tabs>
        <w:spacing w:line="520" w:lineRule="exact"/>
        <w:ind w:firstLine="480" w:firstLineChars="200"/>
        <w:outlineLvl w:val="1"/>
        <w:rPr>
          <w:rFonts w:cs="宋体" w:asciiTheme="minorEastAsia" w:hAnsiTheme="minorEastAsia"/>
          <w:color w:val="auto"/>
          <w:kern w:val="0"/>
          <w:sz w:val="24"/>
          <w:szCs w:val="21"/>
          <w:highlight w:val="none"/>
        </w:rPr>
      </w:pPr>
      <w:r>
        <w:rPr>
          <w:rFonts w:cs="宋体" w:asciiTheme="minorEastAsia" w:hAnsiTheme="minorEastAsia"/>
          <w:color w:val="auto"/>
          <w:kern w:val="0"/>
          <w:sz w:val="24"/>
          <w:szCs w:val="21"/>
          <w:highlight w:val="none"/>
        </w:rPr>
        <w:t>建立标准化风险处置流程，实行“风险发现-上报登记-研判分析-快速处置-复盘总结”闭环管理。明确各岗位风险处置职责，突发问题第一时间上报、快速响应，针对性制定处置方案，杜绝风险扩散影响项目推进。</w:t>
      </w:r>
    </w:p>
    <w:p w14:paraId="0103ED78">
      <w:pPr>
        <w:tabs>
          <w:tab w:val="left" w:pos="435"/>
          <w:tab w:val="left" w:pos="720"/>
        </w:tabs>
        <w:spacing w:line="520" w:lineRule="exact"/>
        <w:ind w:firstLine="480" w:firstLineChars="200"/>
        <w:outlineLvl w:val="1"/>
        <w:rPr>
          <w:rFonts w:cs="宋体" w:asciiTheme="minorEastAsia" w:hAnsiTheme="minorEastAsia"/>
          <w:color w:val="auto"/>
          <w:kern w:val="0"/>
          <w:sz w:val="24"/>
          <w:szCs w:val="21"/>
          <w:highlight w:val="none"/>
        </w:rPr>
      </w:pPr>
      <w:r>
        <w:rPr>
          <w:rFonts w:cs="宋体" w:asciiTheme="minorEastAsia" w:hAnsiTheme="minorEastAsia"/>
          <w:color w:val="auto"/>
          <w:kern w:val="0"/>
          <w:sz w:val="24"/>
          <w:szCs w:val="21"/>
          <w:highlight w:val="none"/>
        </w:rPr>
        <w:t>（3）常见突发事件处理措施</w:t>
      </w:r>
    </w:p>
    <w:p w14:paraId="27A00FCE">
      <w:pPr>
        <w:tabs>
          <w:tab w:val="left" w:pos="435"/>
          <w:tab w:val="left" w:pos="720"/>
        </w:tabs>
        <w:spacing w:line="520" w:lineRule="exact"/>
        <w:ind w:firstLine="480" w:firstLineChars="200"/>
        <w:outlineLvl w:val="1"/>
        <w:rPr>
          <w:rFonts w:cs="宋体" w:asciiTheme="minorEastAsia" w:hAnsiTheme="minorEastAsia"/>
          <w:color w:val="auto"/>
          <w:kern w:val="0"/>
          <w:sz w:val="24"/>
          <w:szCs w:val="21"/>
          <w:highlight w:val="none"/>
        </w:rPr>
      </w:pPr>
      <w:r>
        <w:rPr>
          <w:rFonts w:cs="宋体" w:asciiTheme="minorEastAsia" w:hAnsiTheme="minorEastAsia"/>
          <w:color w:val="auto"/>
          <w:kern w:val="0"/>
          <w:sz w:val="24"/>
          <w:szCs w:val="21"/>
          <w:highlight w:val="none"/>
        </w:rPr>
        <w:t>针对师资临时缺席、设备故障、学员突发身体不适、教学场地异常等常见事件，制定专项处置措施。提前储备备用师资、设备，配备应急物资与医护保障，快速替换、及时救助，最大限度降低突发事件影响。</w:t>
      </w:r>
    </w:p>
    <w:p w14:paraId="022A0A91">
      <w:pPr>
        <w:tabs>
          <w:tab w:val="left" w:pos="435"/>
          <w:tab w:val="left" w:pos="720"/>
        </w:tabs>
        <w:spacing w:line="520" w:lineRule="exact"/>
        <w:ind w:firstLine="480" w:firstLineChars="200"/>
        <w:outlineLvl w:val="1"/>
        <w:rPr>
          <w:rFonts w:cs="宋体" w:asciiTheme="minorEastAsia" w:hAnsiTheme="minorEastAsia"/>
          <w:color w:val="auto"/>
          <w:kern w:val="0"/>
          <w:sz w:val="24"/>
          <w:szCs w:val="21"/>
          <w:highlight w:val="none"/>
        </w:rPr>
      </w:pPr>
      <w:r>
        <w:rPr>
          <w:rFonts w:cs="宋体" w:asciiTheme="minorEastAsia" w:hAnsiTheme="minorEastAsia"/>
          <w:color w:val="auto"/>
          <w:kern w:val="0"/>
          <w:sz w:val="24"/>
          <w:szCs w:val="21"/>
          <w:highlight w:val="none"/>
        </w:rPr>
        <w:t>（4）应急预案</w:t>
      </w:r>
    </w:p>
    <w:p w14:paraId="3CF12F68">
      <w:pPr>
        <w:tabs>
          <w:tab w:val="left" w:pos="435"/>
          <w:tab w:val="left" w:pos="720"/>
        </w:tabs>
        <w:spacing w:line="520" w:lineRule="exact"/>
        <w:ind w:firstLine="480" w:firstLineChars="200"/>
        <w:outlineLvl w:val="1"/>
        <w:rPr>
          <w:rFonts w:cs="宋体" w:asciiTheme="minorEastAsia" w:hAnsiTheme="minorEastAsia"/>
          <w:color w:val="auto"/>
          <w:kern w:val="0"/>
          <w:sz w:val="24"/>
          <w:szCs w:val="21"/>
          <w:highlight w:val="none"/>
        </w:rPr>
      </w:pPr>
      <w:r>
        <w:rPr>
          <w:rFonts w:cs="宋体" w:asciiTheme="minorEastAsia" w:hAnsiTheme="minorEastAsia"/>
          <w:color w:val="auto"/>
          <w:kern w:val="0"/>
          <w:sz w:val="24"/>
          <w:szCs w:val="21"/>
          <w:highlight w:val="none"/>
        </w:rPr>
        <w:t>制定完善综合应急预案，覆盖安全、教学、后勤、疫情等各类突发情况。明确应急小组人员职责、处置时限、联动机制，定期开展应急预判演练，突发情况启动预案快速处置，保障项目全程安全、有序、稳定推进。</w:t>
      </w:r>
    </w:p>
    <w:p w14:paraId="1FFFA27B">
      <w:pPr>
        <w:tabs>
          <w:tab w:val="left" w:pos="435"/>
          <w:tab w:val="left" w:pos="720"/>
        </w:tabs>
        <w:spacing w:line="520" w:lineRule="exact"/>
        <w:ind w:firstLine="422" w:firstLineChars="200"/>
        <w:outlineLvl w:val="1"/>
        <w:rPr>
          <w:rFonts w:ascii="宋体" w:hAnsi="宋体" w:eastAsia="宋体" w:cs="宋体"/>
          <w:b/>
          <w:bCs/>
          <w:color w:val="auto"/>
          <w:highlight w:val="none"/>
        </w:rPr>
      </w:pPr>
      <w:r>
        <w:rPr>
          <w:rFonts w:hint="eastAsia" w:ascii="宋体" w:hAnsi="宋体" w:eastAsia="宋体" w:cs="宋体"/>
          <w:b/>
          <w:bCs/>
          <w:color w:val="auto"/>
          <w:highlight w:val="none"/>
        </w:rPr>
        <w:t>八、采购标的对应的中小企业划分标准所属行业一览表</w:t>
      </w:r>
    </w:p>
    <w:tbl>
      <w:tblPr>
        <w:tblStyle w:val="13"/>
        <w:tblW w:w="4997" w:type="pct"/>
        <w:jc w:val="center"/>
        <w:tblCellSpacing w:w="0" w:type="dxa"/>
        <w:tblLayout w:type="autofit"/>
        <w:tblCellMar>
          <w:top w:w="0" w:type="dxa"/>
          <w:left w:w="108" w:type="dxa"/>
          <w:bottom w:w="0" w:type="dxa"/>
          <w:right w:w="108" w:type="dxa"/>
        </w:tblCellMar>
      </w:tblPr>
      <w:tblGrid>
        <w:gridCol w:w="751"/>
        <w:gridCol w:w="4779"/>
        <w:gridCol w:w="3704"/>
      </w:tblGrid>
      <w:tr w14:paraId="0C84D1CB">
        <w:tblPrEx>
          <w:tblCellMar>
            <w:top w:w="0" w:type="dxa"/>
            <w:left w:w="108" w:type="dxa"/>
            <w:bottom w:w="0" w:type="dxa"/>
            <w:right w:w="108" w:type="dxa"/>
          </w:tblCellMar>
        </w:tblPrEx>
        <w:trPr>
          <w:tblCellSpacing w:w="0" w:type="dxa"/>
          <w:jc w:val="center"/>
        </w:trPr>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D84557">
            <w:pPr>
              <w:pStyle w:val="11"/>
              <w:spacing w:beforeAutospacing="0" w:afterAutospacing="0" w:line="520" w:lineRule="exact"/>
              <w:jc w:val="center"/>
              <w:rPr>
                <w:rFonts w:ascii="宋体" w:hAnsi="宋体" w:eastAsia="宋体" w:cs="宋体"/>
                <w:color w:val="auto"/>
                <w:highlight w:val="none"/>
              </w:rPr>
            </w:pPr>
            <w:r>
              <w:rPr>
                <w:rFonts w:hint="eastAsia" w:ascii="宋体" w:hAnsi="宋体" w:eastAsia="宋体" w:cs="宋体"/>
                <w:color w:val="auto"/>
                <w:highlight w:val="none"/>
              </w:rPr>
              <w:t>序号</w:t>
            </w:r>
          </w:p>
        </w:tc>
        <w:tc>
          <w:tcPr>
            <w:tcW w:w="25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E63C7D">
            <w:pPr>
              <w:pStyle w:val="11"/>
              <w:spacing w:beforeAutospacing="0" w:afterAutospacing="0" w:line="520" w:lineRule="exact"/>
              <w:jc w:val="center"/>
              <w:rPr>
                <w:rFonts w:ascii="宋体" w:hAnsi="宋体" w:eastAsia="宋体" w:cs="宋体"/>
                <w:color w:val="auto"/>
                <w:highlight w:val="none"/>
              </w:rPr>
            </w:pPr>
            <w:r>
              <w:rPr>
                <w:rFonts w:hint="eastAsia" w:ascii="宋体" w:hAnsi="宋体" w:eastAsia="宋体" w:cs="宋体"/>
                <w:color w:val="auto"/>
                <w:highlight w:val="none"/>
              </w:rPr>
              <w:t>采购标的</w:t>
            </w:r>
          </w:p>
        </w:tc>
        <w:tc>
          <w:tcPr>
            <w:tcW w:w="20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8E4385">
            <w:pPr>
              <w:pStyle w:val="11"/>
              <w:spacing w:beforeAutospacing="0" w:afterAutospacing="0" w:line="520" w:lineRule="exact"/>
              <w:jc w:val="center"/>
              <w:rPr>
                <w:rFonts w:ascii="宋体" w:hAnsi="宋体" w:eastAsia="宋体" w:cs="宋体"/>
                <w:color w:val="auto"/>
                <w:highlight w:val="none"/>
              </w:rPr>
            </w:pPr>
            <w:r>
              <w:rPr>
                <w:rFonts w:hint="eastAsia" w:ascii="宋体" w:hAnsi="宋体" w:eastAsia="宋体" w:cs="宋体"/>
                <w:color w:val="auto"/>
                <w:highlight w:val="none"/>
              </w:rPr>
              <w:t>对应中小企业划分标准所属行业</w:t>
            </w:r>
          </w:p>
        </w:tc>
      </w:tr>
      <w:tr w14:paraId="6668CAEA">
        <w:tblPrEx>
          <w:tblCellMar>
            <w:top w:w="0" w:type="dxa"/>
            <w:left w:w="108" w:type="dxa"/>
            <w:bottom w:w="0" w:type="dxa"/>
            <w:right w:w="108" w:type="dxa"/>
          </w:tblCellMar>
        </w:tblPrEx>
        <w:trPr>
          <w:trHeight w:val="291" w:hRule="atLeast"/>
          <w:tblCellSpacing w:w="0" w:type="dxa"/>
          <w:jc w:val="center"/>
        </w:trPr>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898C7B">
            <w:pPr>
              <w:pStyle w:val="11"/>
              <w:spacing w:beforeAutospacing="0" w:afterAutospacing="0" w:line="520" w:lineRule="exact"/>
              <w:jc w:val="center"/>
              <w:rPr>
                <w:rFonts w:ascii="宋体" w:hAnsi="宋体" w:eastAsia="宋体" w:cs="宋体"/>
                <w:color w:val="auto"/>
                <w:highlight w:val="none"/>
              </w:rPr>
            </w:pPr>
            <w:r>
              <w:rPr>
                <w:rFonts w:hint="eastAsia" w:ascii="宋体" w:hAnsi="宋体" w:eastAsia="宋体" w:cs="宋体"/>
                <w:color w:val="auto"/>
                <w:highlight w:val="none"/>
              </w:rPr>
              <w:t>1</w:t>
            </w:r>
          </w:p>
        </w:tc>
        <w:tc>
          <w:tcPr>
            <w:tcW w:w="25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EE2799">
            <w:pPr>
              <w:pStyle w:val="11"/>
              <w:spacing w:beforeAutospacing="0" w:afterAutospacing="0" w:line="520" w:lineRule="exact"/>
              <w:jc w:val="center"/>
              <w:rPr>
                <w:rFonts w:ascii="宋体" w:hAnsi="宋体" w:eastAsia="宋体" w:cs="宋体"/>
                <w:color w:val="auto"/>
                <w:highlight w:val="none"/>
              </w:rPr>
            </w:pPr>
            <w:r>
              <w:rPr>
                <w:rFonts w:hint="eastAsia" w:cs="宋体" w:asciiTheme="minorEastAsia" w:hAnsiTheme="minorEastAsia"/>
                <w:color w:val="auto"/>
                <w:highlight w:val="none"/>
                <w:shd w:val="clear" w:color="auto" w:fill="FFFFFF"/>
              </w:rPr>
              <w:t>盐城市卫生健康委员会卫生健康经济管理人才培养项目</w:t>
            </w:r>
          </w:p>
        </w:tc>
        <w:tc>
          <w:tcPr>
            <w:tcW w:w="20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F4F4B1">
            <w:pPr>
              <w:pStyle w:val="11"/>
              <w:spacing w:beforeAutospacing="0" w:afterAutospacing="0" w:line="520" w:lineRule="exact"/>
              <w:jc w:val="center"/>
              <w:rPr>
                <w:rFonts w:ascii="宋体" w:hAnsi="宋体" w:eastAsia="宋体" w:cs="宋体"/>
                <w:color w:val="auto"/>
                <w:highlight w:val="none"/>
              </w:rPr>
            </w:pPr>
            <w:r>
              <w:rPr>
                <w:rFonts w:hint="eastAsia" w:ascii="宋体" w:hAnsi="宋体" w:eastAsia="宋体" w:cs="宋体"/>
                <w:color w:val="auto"/>
                <w:highlight w:val="none"/>
              </w:rPr>
              <w:t>其他未列明行业</w:t>
            </w:r>
          </w:p>
        </w:tc>
      </w:tr>
    </w:tbl>
    <w:p w14:paraId="76905C23">
      <w:pPr>
        <w:pStyle w:val="11"/>
        <w:spacing w:beforeAutospacing="0" w:afterAutospacing="0" w:line="0" w:lineRule="atLeast"/>
        <w:ind w:firstLine="480"/>
        <w:jc w:val="both"/>
        <w:rPr>
          <w:rFonts w:ascii="宋体" w:hAnsi="宋体" w:eastAsia="宋体" w:cs="宋体"/>
          <w:color w:val="auto"/>
          <w:highlight w:val="none"/>
        </w:rPr>
      </w:pPr>
      <w:r>
        <w:rPr>
          <w:rFonts w:hint="eastAsia" w:ascii="宋体" w:hAnsi="宋体" w:eastAsia="宋体" w:cs="宋体"/>
          <w:color w:val="auto"/>
          <w:highlight w:val="none"/>
        </w:rPr>
        <w:t> </w:t>
      </w:r>
    </w:p>
    <w:p w14:paraId="6B41A378">
      <w:pPr>
        <w:widowControl/>
        <w:ind w:firstLine="880"/>
        <w:jc w:val="left"/>
        <w:rPr>
          <w:rFonts w:ascii="黑体" w:hAnsi="宋体" w:eastAsia="黑体" w:cs="黑体"/>
          <w:color w:val="auto"/>
          <w:kern w:val="0"/>
          <w:sz w:val="44"/>
          <w:szCs w:val="44"/>
          <w:highlight w:val="none"/>
        </w:rPr>
      </w:pPr>
      <w:r>
        <w:rPr>
          <w:rFonts w:hint="eastAsia" w:ascii="宋体" w:hAnsi="宋体" w:eastAsia="宋体" w:cs="宋体"/>
          <w:color w:val="auto"/>
          <w:highlight w:val="none"/>
        </w:rPr>
        <w:t> </w:t>
      </w:r>
      <w:bookmarkStart w:id="193" w:name="_Toc120614281"/>
    </w:p>
    <w:p w14:paraId="3E579B01">
      <w:pPr>
        <w:rPr>
          <w:rFonts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r>
    </w:p>
    <w:p w14:paraId="32F051DC">
      <w:pPr>
        <w:pStyle w:val="11"/>
        <w:keepNext/>
        <w:spacing w:beforeAutospacing="0" w:afterAutospacing="0"/>
        <w:ind w:firstLine="880"/>
        <w:jc w:val="center"/>
        <w:rPr>
          <w:color w:val="auto"/>
          <w:highlight w:val="none"/>
        </w:rPr>
      </w:pPr>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评标方法与评标标准</w:t>
      </w:r>
    </w:p>
    <w:p w14:paraId="02D731AA">
      <w:pPr>
        <w:pStyle w:val="11"/>
        <w:spacing w:beforeAutospacing="0" w:afterAutospacing="0"/>
        <w:jc w:val="both"/>
        <w:rPr>
          <w:color w:val="auto"/>
          <w:highlight w:val="none"/>
        </w:rPr>
      </w:pPr>
      <w:r>
        <w:rPr>
          <w:color w:val="auto"/>
          <w:highlight w:val="none"/>
        </w:rPr>
        <w:t> </w:t>
      </w:r>
    </w:p>
    <w:p w14:paraId="0F1BFD3A">
      <w:pPr>
        <w:snapToGrid w:val="0"/>
        <w:spacing w:line="520" w:lineRule="exact"/>
        <w:ind w:firstLine="482" w:firstLineChars="200"/>
        <w:rPr>
          <w:rFonts w:ascii="宋体" w:hAnsi="宋体" w:eastAsia="宋体" w:cs="宋体"/>
          <w:b/>
          <w:bCs/>
          <w:color w:val="auto"/>
          <w:sz w:val="24"/>
          <w:highlight w:val="none"/>
        </w:rPr>
      </w:pPr>
      <w:r>
        <w:rPr>
          <w:rFonts w:hint="eastAsia" w:ascii="宋体" w:hAnsi="宋体" w:eastAsia="宋体" w:cs="宋体"/>
          <w:b/>
          <w:bCs/>
          <w:color w:val="auto"/>
          <w:sz w:val="24"/>
          <w:highlight w:val="none"/>
        </w:rPr>
        <w:t>一、定标原则</w:t>
      </w:r>
    </w:p>
    <w:p w14:paraId="51635E3D">
      <w:pPr>
        <w:snapToGrid w:val="0"/>
        <w:spacing w:line="520" w:lineRule="exact"/>
        <w:ind w:firstLine="480" w:firstLineChars="200"/>
        <w:rPr>
          <w:rFonts w:ascii="宋体" w:hAnsi="宋体" w:eastAsia="宋体" w:cs="宋体"/>
          <w:color w:val="auto"/>
          <w:kern w:val="0"/>
          <w:sz w:val="24"/>
          <w:highlight w:val="none"/>
        </w:rPr>
      </w:pPr>
      <w:r>
        <w:rPr>
          <w:rFonts w:hint="eastAsia" w:ascii="宋体" w:hAnsi="宋体" w:eastAsia="宋体" w:cs="宋体"/>
          <w:bCs/>
          <w:color w:val="auto"/>
          <w:sz w:val="24"/>
          <w:highlight w:val="none"/>
        </w:rPr>
        <w:t>本项目采用</w:t>
      </w:r>
      <w:r>
        <w:rPr>
          <w:rFonts w:hint="eastAsia" w:ascii="宋体" w:hAnsi="宋体" w:eastAsia="宋体" w:cs="宋体"/>
          <w:bCs/>
          <w:color w:val="auto"/>
          <w:sz w:val="24"/>
          <w:highlight w:val="none"/>
          <w:u w:val="single"/>
        </w:rPr>
        <w:t xml:space="preserve"> 综合评分 </w:t>
      </w:r>
      <w:r>
        <w:rPr>
          <w:rFonts w:hint="eastAsia" w:ascii="宋体" w:hAnsi="宋体" w:eastAsia="宋体" w:cs="宋体"/>
          <w:bCs/>
          <w:color w:val="auto"/>
          <w:sz w:val="24"/>
          <w:highlight w:val="none"/>
        </w:rPr>
        <w:t>法，</w:t>
      </w:r>
      <w:r>
        <w:rPr>
          <w:rFonts w:hint="eastAsia" w:ascii="宋体" w:hAnsi="宋体" w:eastAsia="宋体" w:cs="宋体"/>
          <w:color w:val="auto"/>
          <w:kern w:val="0"/>
          <w:sz w:val="24"/>
          <w:highlight w:val="none"/>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p>
    <w:p w14:paraId="28D9405E">
      <w:pPr>
        <w:pStyle w:val="11"/>
        <w:spacing w:beforeAutospacing="0" w:afterAutospacing="0" w:line="520" w:lineRule="exact"/>
        <w:ind w:firstLine="482" w:firstLineChars="200"/>
        <w:rPr>
          <w:rFonts w:ascii="宋体" w:hAnsi="宋体" w:eastAsia="宋体" w:cs="宋体"/>
          <w:color w:val="auto"/>
          <w:highlight w:val="none"/>
        </w:rPr>
      </w:pPr>
      <w:r>
        <w:rPr>
          <w:rFonts w:hint="eastAsia" w:ascii="宋体" w:hAnsi="宋体" w:eastAsia="宋体" w:cs="宋体"/>
          <w:b/>
          <w:color w:val="auto"/>
          <w:highlight w:val="none"/>
        </w:rPr>
        <w:t>政府采购政策功能落实</w:t>
      </w:r>
    </w:p>
    <w:p w14:paraId="75B89AC0">
      <w:pPr>
        <w:pStyle w:val="11"/>
        <w:spacing w:beforeAutospacing="0" w:afterAutospacing="0" w:line="520" w:lineRule="exact"/>
        <w:ind w:firstLine="480" w:firstLineChars="200"/>
        <w:rPr>
          <w:rFonts w:ascii="宋体" w:hAnsi="宋体" w:eastAsia="宋体" w:cs="宋体"/>
          <w:color w:val="auto"/>
          <w:highlight w:val="none"/>
        </w:rPr>
      </w:pPr>
      <w:r>
        <w:rPr>
          <w:rFonts w:hint="eastAsia" w:ascii="宋体" w:hAnsi="宋体" w:eastAsia="宋体" w:cs="宋体"/>
          <w:color w:val="auto"/>
          <w:highlight w:val="none"/>
        </w:rPr>
        <w:t>1、小微型企业价格扣除</w:t>
      </w:r>
    </w:p>
    <w:p w14:paraId="3CD49C7B">
      <w:pPr>
        <w:pStyle w:val="21"/>
        <w:spacing w:before="0" w:after="0" w:line="520" w:lineRule="exact"/>
        <w:ind w:firstLineChars="200"/>
        <w:rPr>
          <w:rFonts w:ascii="宋体" w:hAnsi="宋体" w:eastAsia="宋体" w:cs="宋体"/>
          <w:color w:val="auto"/>
          <w:highlight w:val="none"/>
        </w:rPr>
      </w:pPr>
      <w:r>
        <w:rPr>
          <w:rFonts w:hint="eastAsia" w:ascii="宋体" w:hAnsi="宋体" w:eastAsia="宋体" w:cs="宋体"/>
          <w:color w:val="auto"/>
          <w:highlight w:val="none"/>
        </w:rPr>
        <w:t>（1）本项目不专门面向中小企业采购，对符合规定的小型和微型企业报价给予20%的扣除价格，用扣除后的价格参与评审。</w:t>
      </w:r>
    </w:p>
    <w:p w14:paraId="49A710D8">
      <w:pPr>
        <w:pStyle w:val="11"/>
        <w:spacing w:beforeAutospacing="0" w:afterAutospacing="0" w:line="520" w:lineRule="exact"/>
        <w:ind w:firstLine="480" w:firstLineChars="200"/>
        <w:rPr>
          <w:rFonts w:ascii="宋体" w:hAnsi="宋体" w:eastAsia="宋体" w:cs="宋体"/>
          <w:color w:val="auto"/>
          <w:highlight w:val="none"/>
        </w:rPr>
      </w:pPr>
      <w:r>
        <w:rPr>
          <w:rFonts w:hint="eastAsia" w:ascii="宋体" w:hAnsi="宋体" w:eastAsia="宋体" w:cs="宋体"/>
          <w:color w:val="auto"/>
          <w:highlight w:val="none"/>
        </w:rPr>
        <w:t>（2）供应商需按照采购文件的要求提供相应的《中小企业声明函》。</w:t>
      </w:r>
    </w:p>
    <w:p w14:paraId="7281CE5E">
      <w:pPr>
        <w:pStyle w:val="11"/>
        <w:spacing w:beforeAutospacing="0" w:afterAutospacing="0" w:line="520" w:lineRule="exact"/>
        <w:ind w:firstLine="480" w:firstLineChars="200"/>
        <w:rPr>
          <w:rFonts w:ascii="宋体" w:hAnsi="宋体" w:eastAsia="宋体" w:cs="宋体"/>
          <w:color w:val="auto"/>
          <w:highlight w:val="none"/>
        </w:rPr>
      </w:pPr>
      <w:r>
        <w:rPr>
          <w:rFonts w:hint="eastAsia" w:ascii="宋体" w:hAnsi="宋体" w:eastAsia="宋体" w:cs="宋体"/>
          <w:color w:val="auto"/>
          <w:highlight w:val="none"/>
        </w:rPr>
        <w:t>（3）企业标准请参照《关于印发中小企业划型标准规定的通知》（工信部联企业〔2011〕300号）文件规定自行填写。</w:t>
      </w:r>
    </w:p>
    <w:p w14:paraId="2306670B">
      <w:pPr>
        <w:pStyle w:val="11"/>
        <w:spacing w:beforeAutospacing="0" w:afterAutospacing="0" w:line="520" w:lineRule="exact"/>
        <w:ind w:firstLine="480" w:firstLineChars="200"/>
        <w:rPr>
          <w:rFonts w:ascii="宋体" w:hAnsi="宋体" w:eastAsia="宋体" w:cs="宋体"/>
          <w:color w:val="auto"/>
          <w:highlight w:val="none"/>
        </w:rPr>
      </w:pPr>
      <w:r>
        <w:rPr>
          <w:rFonts w:hint="eastAsia" w:ascii="宋体" w:hAnsi="宋体" w:eastAsia="宋体" w:cs="宋体"/>
          <w:color w:val="auto"/>
          <w:highlight w:val="none"/>
        </w:rPr>
        <w:t>2、残疾人福利单位价格扣除</w:t>
      </w:r>
    </w:p>
    <w:p w14:paraId="4711592D">
      <w:pPr>
        <w:pStyle w:val="11"/>
        <w:spacing w:beforeAutospacing="0" w:afterAutospacing="0" w:line="520" w:lineRule="exact"/>
        <w:ind w:firstLine="480" w:firstLineChars="200"/>
        <w:rPr>
          <w:rFonts w:ascii="宋体" w:hAnsi="宋体" w:eastAsia="宋体" w:cs="宋体"/>
          <w:color w:val="auto"/>
          <w:highlight w:val="none"/>
          <w:u w:val="single"/>
        </w:rPr>
      </w:pPr>
      <w:r>
        <w:rPr>
          <w:rFonts w:hint="eastAsia" w:ascii="宋体" w:hAnsi="宋体" w:eastAsia="宋体" w:cs="宋体"/>
          <w:color w:val="auto"/>
          <w:highlight w:val="none"/>
        </w:rPr>
        <w:t>（1）本项目对残疾人福利性单位视同小型、微型企业，给予</w:t>
      </w:r>
      <w:r>
        <w:rPr>
          <w:rFonts w:hint="eastAsia" w:ascii="宋体" w:hAnsi="宋体" w:eastAsia="宋体" w:cs="宋体"/>
          <w:color w:val="auto"/>
          <w:highlight w:val="none"/>
          <w:u w:val="single"/>
        </w:rPr>
        <w:t>20%的价格扣除。</w:t>
      </w:r>
    </w:p>
    <w:p w14:paraId="669D043B">
      <w:pPr>
        <w:pStyle w:val="11"/>
        <w:spacing w:beforeAutospacing="0" w:afterAutospacing="0" w:line="520" w:lineRule="exact"/>
        <w:ind w:firstLine="480" w:firstLineChars="200"/>
        <w:rPr>
          <w:rFonts w:ascii="宋体" w:hAnsi="宋体" w:eastAsia="宋体" w:cs="宋体"/>
          <w:color w:val="auto"/>
          <w:highlight w:val="none"/>
        </w:rPr>
      </w:pPr>
      <w:r>
        <w:rPr>
          <w:rFonts w:hint="eastAsia" w:ascii="宋体" w:hAnsi="宋体" w:eastAsia="宋体" w:cs="宋体"/>
          <w:color w:val="auto"/>
          <w:highlight w:val="none"/>
        </w:rPr>
        <w:t>（2）残疾人福利单位需按照采购文件的要求提供《残疾人福利性单位声明函》。</w:t>
      </w:r>
    </w:p>
    <w:p w14:paraId="31771A4D">
      <w:pPr>
        <w:pStyle w:val="11"/>
        <w:spacing w:beforeAutospacing="0" w:afterAutospacing="0" w:line="520" w:lineRule="exact"/>
        <w:ind w:firstLine="480" w:firstLineChars="200"/>
        <w:rPr>
          <w:rFonts w:ascii="宋体" w:hAnsi="宋体" w:eastAsia="宋体" w:cs="宋体"/>
          <w:color w:val="auto"/>
          <w:highlight w:val="none"/>
        </w:rPr>
      </w:pPr>
      <w:r>
        <w:rPr>
          <w:rFonts w:hint="eastAsia" w:ascii="宋体" w:hAnsi="宋体" w:eastAsia="宋体" w:cs="宋体"/>
          <w:color w:val="auto"/>
          <w:highlight w:val="none"/>
        </w:rPr>
        <w:t>（3）残疾人福利单位标准请参照《关于促进残疾人就业政府采购政策的通知》（财库〔2017〕141号）。</w:t>
      </w:r>
    </w:p>
    <w:p w14:paraId="685CAD0C">
      <w:pPr>
        <w:pStyle w:val="11"/>
        <w:spacing w:beforeAutospacing="0" w:afterAutospacing="0" w:line="520" w:lineRule="exact"/>
        <w:ind w:firstLine="480" w:firstLineChars="200"/>
        <w:rPr>
          <w:rFonts w:ascii="宋体" w:hAnsi="宋体" w:eastAsia="宋体" w:cs="宋体"/>
          <w:color w:val="auto"/>
          <w:highlight w:val="none"/>
        </w:rPr>
      </w:pPr>
      <w:r>
        <w:rPr>
          <w:rFonts w:hint="eastAsia" w:ascii="宋体" w:hAnsi="宋体" w:eastAsia="宋体" w:cs="宋体"/>
          <w:color w:val="auto"/>
          <w:highlight w:val="none"/>
        </w:rPr>
        <w:t>3、监狱和戒毒企业价格扣除</w:t>
      </w:r>
    </w:p>
    <w:p w14:paraId="491DB566">
      <w:pPr>
        <w:pStyle w:val="11"/>
        <w:spacing w:beforeAutospacing="0" w:afterAutospacing="0" w:line="520" w:lineRule="exact"/>
        <w:ind w:firstLine="480" w:firstLineChars="200"/>
        <w:rPr>
          <w:rFonts w:ascii="宋体" w:hAnsi="宋体" w:eastAsia="宋体" w:cs="宋体"/>
          <w:color w:val="auto"/>
          <w:highlight w:val="none"/>
          <w:u w:val="single"/>
        </w:rPr>
      </w:pPr>
      <w:r>
        <w:rPr>
          <w:rFonts w:hint="eastAsia" w:ascii="宋体" w:hAnsi="宋体" w:eastAsia="宋体" w:cs="宋体"/>
          <w:color w:val="auto"/>
          <w:highlight w:val="none"/>
        </w:rPr>
        <w:t>（1）本项目对监狱和戒毒企业（简称监狱企业）视同小型、微型企业，给予</w:t>
      </w:r>
      <w:r>
        <w:rPr>
          <w:rFonts w:hint="eastAsia" w:ascii="宋体" w:hAnsi="宋体" w:eastAsia="宋体" w:cs="宋体"/>
          <w:color w:val="auto"/>
          <w:highlight w:val="none"/>
          <w:u w:val="single"/>
        </w:rPr>
        <w:t>20%的价格扣除。</w:t>
      </w:r>
    </w:p>
    <w:p w14:paraId="6FDD8945">
      <w:pPr>
        <w:pStyle w:val="11"/>
        <w:spacing w:beforeAutospacing="0" w:afterAutospacing="0" w:line="520" w:lineRule="exact"/>
        <w:ind w:firstLine="480" w:firstLineChars="200"/>
        <w:rPr>
          <w:rFonts w:ascii="宋体" w:hAnsi="宋体" w:eastAsia="宋体" w:cs="宋体"/>
          <w:color w:val="auto"/>
          <w:highlight w:val="none"/>
        </w:rPr>
      </w:pPr>
      <w:r>
        <w:rPr>
          <w:rFonts w:hint="eastAsia" w:ascii="宋体" w:hAnsi="宋体" w:eastAsia="宋体" w:cs="宋体"/>
          <w:color w:val="auto"/>
          <w:highlight w:val="none"/>
        </w:rPr>
        <w:t>（2）监狱企业参加政府采购活动时，需提供由省级以上监狱管理局、戒毒管理局(含新疆生产建设兵团)出具的属于监狱企业的证明文件。供应商如不提供上述证明文件，价格将不做相应扣除。</w:t>
      </w:r>
    </w:p>
    <w:p w14:paraId="318CD736">
      <w:pPr>
        <w:pStyle w:val="11"/>
        <w:spacing w:beforeAutospacing="0" w:afterAutospacing="0" w:line="520" w:lineRule="exact"/>
        <w:ind w:firstLine="480" w:firstLineChars="200"/>
        <w:rPr>
          <w:rFonts w:ascii="宋体" w:hAnsi="宋体" w:eastAsia="宋体" w:cs="宋体"/>
          <w:color w:val="auto"/>
          <w:highlight w:val="none"/>
        </w:rPr>
      </w:pPr>
      <w:r>
        <w:rPr>
          <w:rFonts w:hint="eastAsia" w:ascii="宋体" w:hAnsi="宋体" w:eastAsia="宋体" w:cs="宋体"/>
          <w:color w:val="auto"/>
          <w:highlight w:val="none"/>
        </w:rPr>
        <w:t>（3）监狱企业标准请参照《关于政府采购支持监狱企业发展有关问题的通知》（财库〔2014〕68号）。</w:t>
      </w:r>
    </w:p>
    <w:p w14:paraId="2599907C">
      <w:pPr>
        <w:pStyle w:val="11"/>
        <w:spacing w:beforeAutospacing="0" w:afterAutospacing="0" w:line="520" w:lineRule="exact"/>
        <w:ind w:firstLine="480" w:firstLineChars="200"/>
        <w:rPr>
          <w:rFonts w:ascii="宋体" w:hAnsi="宋体" w:eastAsia="宋体" w:cs="宋体"/>
          <w:color w:val="auto"/>
          <w:highlight w:val="none"/>
        </w:rPr>
      </w:pPr>
      <w:r>
        <w:rPr>
          <w:rFonts w:hint="eastAsia" w:ascii="宋体" w:hAnsi="宋体" w:eastAsia="宋体" w:cs="宋体"/>
          <w:color w:val="auto"/>
          <w:highlight w:val="none"/>
        </w:rPr>
        <w:t>4、残疾人福利单位、监狱企业属于小型、微型企业的，不重复享受政策。</w:t>
      </w:r>
    </w:p>
    <w:p w14:paraId="45340D3B">
      <w:pPr>
        <w:adjustRightInd w:val="0"/>
        <w:spacing w:line="520" w:lineRule="exact"/>
        <w:ind w:firstLine="480" w:firstLineChars="200"/>
        <w:jc w:val="left"/>
        <w:textAlignment w:val="baseline"/>
        <w:rPr>
          <w:rFonts w:ascii="宋体" w:hAnsi="宋体" w:eastAsia="宋体" w:cs="宋体"/>
          <w:color w:val="auto"/>
          <w:sz w:val="24"/>
          <w:highlight w:val="none"/>
        </w:rPr>
      </w:pPr>
      <w:r>
        <w:rPr>
          <w:rFonts w:ascii="宋体" w:hAnsi="宋体" w:eastAsia="宋体" w:cs="宋体"/>
          <w:color w:val="auto"/>
          <w:sz w:val="24"/>
          <w:highlight w:val="none"/>
        </w:rPr>
        <w:t>5</w:t>
      </w:r>
      <w:r>
        <w:rPr>
          <w:rFonts w:hint="eastAsia" w:ascii="宋体" w:hAnsi="宋体" w:eastAsia="宋体" w:cs="宋体"/>
          <w:color w:val="auto"/>
          <w:sz w:val="24"/>
          <w:highlight w:val="none"/>
        </w:rPr>
        <w:t>、采购本国产品的支持政策</w:t>
      </w:r>
    </w:p>
    <w:p w14:paraId="6870F746">
      <w:pPr>
        <w:adjustRightInd w:val="0"/>
        <w:spacing w:line="520" w:lineRule="exact"/>
        <w:ind w:firstLine="480" w:firstLineChars="200"/>
        <w:jc w:val="left"/>
        <w:textAlignment w:val="baseline"/>
        <w:rPr>
          <w:rFonts w:ascii="宋体" w:hAnsi="宋体" w:eastAsia="宋体" w:cs="宋体"/>
          <w:color w:val="auto"/>
          <w:sz w:val="24"/>
          <w:highlight w:val="none"/>
        </w:rPr>
      </w:pPr>
      <w:r>
        <w:rPr>
          <w:rFonts w:ascii="宋体" w:hAnsi="宋体" w:eastAsia="宋体" w:cs="宋体"/>
          <w:color w:val="auto"/>
          <w:sz w:val="24"/>
          <w:highlight w:val="none"/>
        </w:rPr>
        <w:t>5</w:t>
      </w:r>
      <w:r>
        <w:rPr>
          <w:rFonts w:hint="eastAsia" w:ascii="宋体" w:hAnsi="宋体" w:eastAsia="宋体" w:cs="宋体"/>
          <w:color w:val="auto"/>
          <w:sz w:val="24"/>
          <w:highlight w:val="none"/>
        </w:rPr>
        <w:t xml:space="preserve">.1 本项目政府采购活动中既有本国产品又有非本国产品参与竞争的，依法对本国产品给予价格评审优惠，对本国产品的报价给予 </w:t>
      </w:r>
      <w:r>
        <w:rPr>
          <w:rFonts w:hint="eastAsia" w:ascii="宋体" w:hAnsi="宋体" w:eastAsia="宋体" w:cs="宋体"/>
          <w:color w:val="auto"/>
          <w:sz w:val="24"/>
          <w:highlight w:val="none"/>
          <w:u w:val="single"/>
        </w:rPr>
        <w:t>20%</w:t>
      </w:r>
      <w:r>
        <w:rPr>
          <w:rFonts w:hint="eastAsia" w:ascii="宋体" w:hAnsi="宋体" w:eastAsia="宋体" w:cs="宋体"/>
          <w:color w:val="auto"/>
          <w:sz w:val="24"/>
          <w:highlight w:val="none"/>
        </w:rPr>
        <w:t>的价格扣除，用扣除后的价格参与评审。</w:t>
      </w:r>
    </w:p>
    <w:p w14:paraId="1815CC5A">
      <w:pPr>
        <w:adjustRightInd w:val="0"/>
        <w:spacing w:line="520" w:lineRule="exact"/>
        <w:ind w:firstLine="480" w:firstLineChars="200"/>
        <w:jc w:val="left"/>
        <w:textAlignment w:val="baseline"/>
        <w:rPr>
          <w:rFonts w:ascii="宋体" w:hAnsi="宋体" w:eastAsia="宋体" w:cs="宋体"/>
          <w:color w:val="auto"/>
          <w:sz w:val="24"/>
          <w:highlight w:val="none"/>
        </w:rPr>
      </w:pPr>
      <w:r>
        <w:rPr>
          <w:rFonts w:ascii="宋体" w:hAnsi="宋体" w:eastAsia="宋体" w:cs="宋体"/>
          <w:color w:val="auto"/>
          <w:sz w:val="24"/>
          <w:highlight w:val="none"/>
        </w:rPr>
        <w:t>5</w:t>
      </w:r>
      <w:r>
        <w:rPr>
          <w:rFonts w:hint="eastAsia" w:ascii="宋体" w:hAnsi="宋体" w:eastAsia="宋体" w:cs="宋体"/>
          <w:color w:val="auto"/>
          <w:sz w:val="24"/>
          <w:highlight w:val="none"/>
        </w:rPr>
        <w:t>.2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auto"/>
          <w:sz w:val="24"/>
          <w:highlight w:val="none"/>
          <w:u w:val="single"/>
        </w:rPr>
        <w:t>80%</w:t>
      </w:r>
      <w:r>
        <w:rPr>
          <w:rFonts w:hint="eastAsia" w:ascii="宋体" w:hAnsi="宋体" w:eastAsia="宋体" w:cs="宋体"/>
          <w:color w:val="auto"/>
          <w:sz w:val="24"/>
          <w:highlight w:val="none"/>
        </w:rPr>
        <w:t>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color w:val="auto"/>
          <w:sz w:val="24"/>
          <w:highlight w:val="none"/>
          <w:u w:val="single"/>
        </w:rPr>
        <w:t>20%</w:t>
      </w:r>
      <w:r>
        <w:rPr>
          <w:rFonts w:hint="eastAsia" w:ascii="宋体" w:hAnsi="宋体" w:eastAsia="宋体" w:cs="宋体"/>
          <w:color w:val="auto"/>
          <w:sz w:val="24"/>
          <w:highlight w:val="none"/>
        </w:rPr>
        <w:t>的价格扣除，用扣除后的价格参与评审。供应商未填写比例数值，或比例数值未达到80%的，将不享受本国产品价格评审优惠。</w:t>
      </w:r>
    </w:p>
    <w:p w14:paraId="3B57E89F">
      <w:pPr>
        <w:adjustRightInd w:val="0"/>
        <w:spacing w:line="520" w:lineRule="exact"/>
        <w:ind w:firstLine="480" w:firstLineChars="200"/>
        <w:jc w:val="left"/>
        <w:textAlignment w:val="baseline"/>
        <w:rPr>
          <w:rFonts w:ascii="宋体" w:hAnsi="宋体" w:eastAsia="宋体" w:cs="宋体"/>
          <w:color w:val="auto"/>
          <w:sz w:val="24"/>
          <w:highlight w:val="none"/>
        </w:rPr>
      </w:pPr>
      <w:r>
        <w:rPr>
          <w:rFonts w:ascii="宋体" w:hAnsi="宋体" w:eastAsia="宋体" w:cs="宋体"/>
          <w:color w:val="auto"/>
          <w:sz w:val="24"/>
          <w:highlight w:val="none"/>
        </w:rPr>
        <w:t>5</w:t>
      </w:r>
      <w:r>
        <w:rPr>
          <w:rFonts w:hint="eastAsia" w:ascii="宋体" w:hAnsi="宋体" w:eastAsia="宋体" w:cs="宋体"/>
          <w:color w:val="auto"/>
          <w:sz w:val="24"/>
          <w:highlight w:val="none"/>
        </w:rPr>
        <w:t>.3 供应商需按照招标文件的要求提供《关于符合本国产品标准的声明函》（以下简称《声明函》），如不提供将不享受本国产品价格评审优惠。</w:t>
      </w:r>
    </w:p>
    <w:p w14:paraId="42CEDD35">
      <w:pPr>
        <w:adjustRightInd w:val="0"/>
        <w:spacing w:line="520" w:lineRule="exact"/>
        <w:ind w:firstLine="480" w:firstLineChars="200"/>
        <w:jc w:val="left"/>
        <w:textAlignment w:val="baseline"/>
        <w:rPr>
          <w:rFonts w:ascii="宋体" w:hAnsi="宋体" w:eastAsia="宋体" w:cs="宋体"/>
          <w:color w:val="auto"/>
          <w:sz w:val="24"/>
          <w:highlight w:val="none"/>
        </w:rPr>
      </w:pPr>
      <w:r>
        <w:rPr>
          <w:rFonts w:ascii="宋体" w:hAnsi="宋体" w:eastAsia="宋体" w:cs="宋体"/>
          <w:color w:val="auto"/>
          <w:sz w:val="24"/>
          <w:highlight w:val="none"/>
        </w:rPr>
        <w:t>5</w:t>
      </w:r>
      <w:r>
        <w:rPr>
          <w:rFonts w:hint="eastAsia" w:ascii="宋体" w:hAnsi="宋体" w:eastAsia="宋体" w:cs="宋体"/>
          <w:color w:val="auto"/>
          <w:sz w:val="24"/>
          <w:highlight w:val="none"/>
        </w:rPr>
        <w:t>.4 供应商需在《声明函》中逐一、准确填写产品名称、厂名、生产厂址三项信息（《声明函》中用横线划除的地方无需填写），三项信息中任意一项未填写的视为该项产品不符合本国产品标准，不享受本国产品价格评审优惠。</w:t>
      </w:r>
    </w:p>
    <w:p w14:paraId="29488FB4">
      <w:pPr>
        <w:adjustRightInd w:val="0"/>
        <w:spacing w:line="520" w:lineRule="exact"/>
        <w:ind w:firstLine="480" w:firstLineChars="200"/>
        <w:jc w:val="left"/>
        <w:textAlignment w:val="baseline"/>
        <w:rPr>
          <w:rFonts w:ascii="宋体" w:hAnsi="宋体" w:eastAsia="宋体" w:cs="宋体"/>
          <w:color w:val="auto"/>
          <w:sz w:val="24"/>
          <w:highlight w:val="none"/>
          <w:u w:val="single"/>
        </w:rPr>
      </w:pPr>
      <w:r>
        <w:rPr>
          <w:rFonts w:ascii="宋体" w:hAnsi="宋体" w:eastAsia="宋体" w:cs="宋体"/>
          <w:color w:val="auto"/>
          <w:sz w:val="24"/>
          <w:highlight w:val="none"/>
        </w:rPr>
        <w:t>5</w:t>
      </w:r>
      <w:r>
        <w:rPr>
          <w:rFonts w:hint="eastAsia" w:ascii="宋体" w:hAnsi="宋体" w:eastAsia="宋体" w:cs="宋体"/>
          <w:color w:val="auto"/>
          <w:sz w:val="24"/>
          <w:highlight w:val="none"/>
        </w:rPr>
        <w:t>.5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146DADAD">
      <w:pPr>
        <w:spacing w:line="520" w:lineRule="exact"/>
        <w:ind w:firstLine="480" w:firstLineChars="200"/>
        <w:rPr>
          <w:rFonts w:ascii="宋体" w:hAnsi="宋体" w:eastAsia="宋体" w:cs="宋体"/>
          <w:color w:val="auto"/>
          <w:kern w:val="0"/>
          <w:sz w:val="24"/>
          <w:highlight w:val="none"/>
        </w:rPr>
      </w:pPr>
      <w:r>
        <w:rPr>
          <w:rFonts w:ascii="宋体" w:hAnsi="宋体" w:eastAsia="宋体" w:cs="宋体"/>
          <w:color w:val="auto"/>
          <w:kern w:val="0"/>
          <w:sz w:val="24"/>
          <w:highlight w:val="none"/>
        </w:rPr>
        <w:t>6</w:t>
      </w:r>
      <w:r>
        <w:rPr>
          <w:rFonts w:hint="eastAsia" w:ascii="宋体" w:hAnsi="宋体" w:eastAsia="宋体" w:cs="宋体"/>
          <w:color w:val="auto"/>
          <w:kern w:val="0"/>
          <w:sz w:val="24"/>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kern w:val="0"/>
          <w:sz w:val="24"/>
          <w:highlight w:val="none"/>
        </w:rPr>
        <w:t>如属政府强制采购产品未提供认证证书的或认证证书提供不全的将视为未实质性响应采购要求</w:t>
      </w:r>
      <w:r>
        <w:rPr>
          <w:rFonts w:hint="eastAsia" w:ascii="宋体" w:hAnsi="宋体" w:eastAsia="宋体" w:cs="宋体"/>
          <w:i/>
          <w:color w:val="auto"/>
          <w:kern w:val="0"/>
          <w:sz w:val="24"/>
          <w:highlight w:val="none"/>
        </w:rPr>
        <w:t>。</w:t>
      </w:r>
      <w:r>
        <w:rPr>
          <w:rFonts w:hint="eastAsia" w:ascii="宋体" w:hAnsi="宋体" w:eastAsia="宋体" w:cs="宋体"/>
          <w:color w:val="auto"/>
          <w:kern w:val="0"/>
          <w:sz w:val="24"/>
          <w:highlight w:val="none"/>
        </w:rPr>
        <w:t>其他条件相同情况下，应当优先采购节能产品、环境标志产品。</w:t>
      </w:r>
    </w:p>
    <w:p w14:paraId="149F0FFD">
      <w:pPr>
        <w:widowControl/>
        <w:spacing w:line="520" w:lineRule="exact"/>
        <w:ind w:firstLine="482"/>
        <w:rPr>
          <w:rFonts w:eastAsia="Arial"/>
          <w:b/>
          <w:bCs/>
          <w:color w:val="auto"/>
          <w:sz w:val="24"/>
          <w:szCs w:val="20"/>
          <w:highlight w:val="none"/>
        </w:rPr>
      </w:pPr>
      <w:r>
        <w:rPr>
          <w:rFonts w:hint="eastAsia" w:eastAsia="Arial"/>
          <w:b/>
          <w:bCs/>
          <w:color w:val="auto"/>
          <w:sz w:val="24"/>
          <w:szCs w:val="20"/>
          <w:highlight w:val="none"/>
        </w:rPr>
        <w:t>二、评标方法与评标标准</w:t>
      </w:r>
    </w:p>
    <w:p w14:paraId="74AB28C6">
      <w:pPr>
        <w:widowControl/>
        <w:spacing w:line="420" w:lineRule="exact"/>
        <w:ind w:firstLine="480" w:firstLineChars="200"/>
        <w:rPr>
          <w:color w:val="auto"/>
          <w:sz w:val="24"/>
          <w:szCs w:val="20"/>
          <w:highlight w:val="none"/>
        </w:rPr>
      </w:pPr>
      <w:r>
        <w:rPr>
          <w:rFonts w:hint="eastAsia" w:eastAsia="Arial"/>
          <w:color w:val="auto"/>
          <w:sz w:val="24"/>
          <w:szCs w:val="20"/>
          <w:highlight w:val="none"/>
        </w:rPr>
        <w:t>本项目评分总分值为100分。</w:t>
      </w:r>
    </w:p>
    <w:tbl>
      <w:tblPr>
        <w:tblStyle w:val="13"/>
        <w:tblpPr w:leftFromText="180" w:rightFromText="180" w:vertAnchor="text" w:horzAnchor="page" w:tblpXSpec="center" w:tblpY="458"/>
        <w:tblOverlap w:val="never"/>
        <w:tblW w:w="513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99"/>
        <w:gridCol w:w="1134"/>
        <w:gridCol w:w="1094"/>
        <w:gridCol w:w="6135"/>
      </w:tblGrid>
      <w:tr w14:paraId="7A2A1B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1180" w:type="pct"/>
            <w:gridSpan w:val="2"/>
            <w:vAlign w:val="center"/>
          </w:tcPr>
          <w:p w14:paraId="36254592">
            <w:pPr>
              <w:pStyle w:val="11"/>
              <w:adjustRightInd w:val="0"/>
              <w:snapToGrid w:val="0"/>
              <w:spacing w:beforeAutospacing="0" w:afterAutospacing="0" w:line="460" w:lineRule="exact"/>
              <w:ind w:firstLine="420"/>
              <w:jc w:val="both"/>
              <w:rPr>
                <w:rFonts w:asciiTheme="minorEastAsia" w:hAnsiTheme="minorEastAsia"/>
                <w:b/>
                <w:bCs/>
                <w:color w:val="auto"/>
                <w:sz w:val="21"/>
                <w:szCs w:val="21"/>
                <w:highlight w:val="none"/>
              </w:rPr>
            </w:pPr>
            <w:r>
              <w:rPr>
                <w:rFonts w:hint="eastAsia" w:cs="宋体" w:asciiTheme="minorEastAsia" w:hAnsiTheme="minorEastAsia"/>
                <w:color w:val="auto"/>
                <w:sz w:val="21"/>
                <w:szCs w:val="21"/>
                <w:highlight w:val="none"/>
              </w:rPr>
              <w:t> </w:t>
            </w:r>
            <w:r>
              <w:rPr>
                <w:rFonts w:hint="eastAsia" w:asciiTheme="minorEastAsia" w:hAnsiTheme="minorEastAsia"/>
                <w:b/>
                <w:bCs/>
                <w:color w:val="auto"/>
                <w:sz w:val="21"/>
                <w:szCs w:val="21"/>
                <w:highlight w:val="none"/>
              </w:rPr>
              <w:t>评分因素</w:t>
            </w:r>
          </w:p>
        </w:tc>
        <w:tc>
          <w:tcPr>
            <w:tcW w:w="578" w:type="pct"/>
            <w:vAlign w:val="center"/>
          </w:tcPr>
          <w:p w14:paraId="6A7F0749">
            <w:pPr>
              <w:adjustRightInd w:val="0"/>
              <w:snapToGrid w:val="0"/>
              <w:spacing w:line="460" w:lineRule="exact"/>
              <w:textAlignment w:val="center"/>
              <w:rPr>
                <w:rFonts w:asciiTheme="minorEastAsia" w:hAnsiTheme="minorEastAsia"/>
                <w:b/>
                <w:bCs/>
                <w:color w:val="auto"/>
                <w:szCs w:val="21"/>
                <w:highlight w:val="none"/>
              </w:rPr>
            </w:pPr>
            <w:r>
              <w:rPr>
                <w:rFonts w:hint="eastAsia" w:asciiTheme="minorEastAsia" w:hAnsiTheme="minorEastAsia"/>
                <w:b/>
                <w:bCs/>
                <w:color w:val="auto"/>
                <w:kern w:val="0"/>
                <w:szCs w:val="21"/>
                <w:highlight w:val="none"/>
              </w:rPr>
              <w:t>分值</w:t>
            </w:r>
          </w:p>
        </w:tc>
        <w:tc>
          <w:tcPr>
            <w:tcW w:w="3241" w:type="pct"/>
            <w:vAlign w:val="center"/>
          </w:tcPr>
          <w:p w14:paraId="0BA0EA31">
            <w:pPr>
              <w:adjustRightInd w:val="0"/>
              <w:snapToGrid w:val="0"/>
              <w:spacing w:line="460" w:lineRule="exact"/>
              <w:ind w:firstLine="482"/>
              <w:jc w:val="center"/>
              <w:textAlignment w:val="center"/>
              <w:rPr>
                <w:rFonts w:asciiTheme="minorEastAsia" w:hAnsiTheme="minorEastAsia"/>
                <w:b/>
                <w:bCs/>
                <w:color w:val="auto"/>
                <w:szCs w:val="21"/>
                <w:highlight w:val="none"/>
              </w:rPr>
            </w:pPr>
            <w:r>
              <w:rPr>
                <w:rFonts w:asciiTheme="minorEastAsia" w:hAnsiTheme="minorEastAsia"/>
                <w:b/>
                <w:bCs/>
                <w:color w:val="auto"/>
                <w:kern w:val="0"/>
                <w:szCs w:val="21"/>
                <w:highlight w:val="none"/>
              </w:rPr>
              <w:t>评审标准</w:t>
            </w:r>
          </w:p>
        </w:tc>
      </w:tr>
      <w:tr w14:paraId="6EE511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581" w:type="pct"/>
            <w:vAlign w:val="center"/>
          </w:tcPr>
          <w:p w14:paraId="2214848B">
            <w:pPr>
              <w:adjustRightInd w:val="0"/>
              <w:snapToGrid w:val="0"/>
              <w:spacing w:line="460" w:lineRule="exact"/>
              <w:jc w:val="center"/>
              <w:textAlignment w:val="center"/>
              <w:rPr>
                <w:rFonts w:asciiTheme="minorEastAsia" w:hAnsiTheme="minorEastAsia"/>
                <w:color w:val="auto"/>
                <w:szCs w:val="21"/>
                <w:highlight w:val="none"/>
              </w:rPr>
            </w:pPr>
            <w:r>
              <w:rPr>
                <w:rFonts w:hint="eastAsia" w:asciiTheme="minorEastAsia" w:hAnsiTheme="minorEastAsia"/>
                <w:color w:val="auto"/>
                <w:szCs w:val="21"/>
                <w:highlight w:val="none"/>
              </w:rPr>
              <w:t>价格部分</w:t>
            </w:r>
          </w:p>
        </w:tc>
        <w:tc>
          <w:tcPr>
            <w:tcW w:w="599" w:type="pct"/>
            <w:vAlign w:val="center"/>
          </w:tcPr>
          <w:p w14:paraId="77B793BE">
            <w:pPr>
              <w:adjustRightInd w:val="0"/>
              <w:snapToGrid w:val="0"/>
              <w:spacing w:line="460" w:lineRule="exact"/>
              <w:jc w:val="center"/>
              <w:textAlignment w:val="center"/>
              <w:rPr>
                <w:rFonts w:asciiTheme="minorEastAsia" w:hAnsiTheme="minorEastAsia"/>
                <w:color w:val="auto"/>
                <w:szCs w:val="21"/>
                <w:highlight w:val="none"/>
              </w:rPr>
            </w:pPr>
            <w:r>
              <w:rPr>
                <w:rFonts w:asciiTheme="minorEastAsia" w:hAnsiTheme="minorEastAsia"/>
                <w:color w:val="auto"/>
                <w:szCs w:val="21"/>
                <w:highlight w:val="none"/>
              </w:rPr>
              <w:t>价格分</w:t>
            </w:r>
          </w:p>
        </w:tc>
        <w:tc>
          <w:tcPr>
            <w:tcW w:w="578" w:type="pct"/>
            <w:vAlign w:val="center"/>
          </w:tcPr>
          <w:p w14:paraId="63961CF0">
            <w:pPr>
              <w:adjustRightInd w:val="0"/>
              <w:snapToGrid w:val="0"/>
              <w:spacing w:line="460" w:lineRule="exact"/>
              <w:jc w:val="center"/>
              <w:textAlignment w:val="center"/>
              <w:rPr>
                <w:rFonts w:asciiTheme="minorEastAsia" w:hAnsiTheme="minorEastAsia"/>
                <w:color w:val="auto"/>
                <w:szCs w:val="21"/>
                <w:highlight w:val="none"/>
              </w:rPr>
            </w:pPr>
            <w:r>
              <w:rPr>
                <w:rFonts w:hint="eastAsia" w:asciiTheme="minorEastAsia" w:hAnsiTheme="minorEastAsia"/>
                <w:color w:val="auto"/>
                <w:szCs w:val="21"/>
                <w:highlight w:val="none"/>
              </w:rPr>
              <w:t>10</w:t>
            </w:r>
            <w:r>
              <w:rPr>
                <w:rFonts w:asciiTheme="minorEastAsia" w:hAnsiTheme="minorEastAsia"/>
                <w:color w:val="auto"/>
                <w:szCs w:val="21"/>
                <w:highlight w:val="none"/>
              </w:rPr>
              <w:t>分</w:t>
            </w:r>
          </w:p>
        </w:tc>
        <w:tc>
          <w:tcPr>
            <w:tcW w:w="3241" w:type="pct"/>
            <w:vAlign w:val="center"/>
          </w:tcPr>
          <w:p w14:paraId="03291341">
            <w:pPr>
              <w:adjustRightInd w:val="0"/>
              <w:snapToGrid w:val="0"/>
              <w:spacing w:line="460" w:lineRule="exact"/>
              <w:jc w:val="left"/>
              <w:textAlignment w:val="center"/>
              <w:rPr>
                <w:rFonts w:asciiTheme="minorEastAsia" w:hAnsiTheme="minorEastAsia"/>
                <w:color w:val="auto"/>
                <w:szCs w:val="21"/>
                <w:highlight w:val="none"/>
              </w:rPr>
            </w:pPr>
            <w:r>
              <w:rPr>
                <w:rFonts w:asciiTheme="minorEastAsia" w:hAnsiTheme="minorEastAsia"/>
                <w:color w:val="auto"/>
                <w:szCs w:val="21"/>
                <w:highlight w:val="none"/>
              </w:rPr>
              <w:t>满足招标文件要求且投标价格最低的投标报价为评标基准价，其价格分为满分。其他投标人的价格分统一按照下列公式计算：</w:t>
            </w:r>
          </w:p>
          <w:p w14:paraId="6C34EBA1">
            <w:pPr>
              <w:adjustRightInd w:val="0"/>
              <w:snapToGrid w:val="0"/>
              <w:spacing w:line="460" w:lineRule="exact"/>
              <w:jc w:val="left"/>
              <w:textAlignment w:val="center"/>
              <w:rPr>
                <w:rFonts w:asciiTheme="minorEastAsia" w:hAnsiTheme="minorEastAsia"/>
                <w:color w:val="auto"/>
                <w:szCs w:val="21"/>
                <w:highlight w:val="none"/>
              </w:rPr>
            </w:pPr>
            <w:r>
              <w:rPr>
                <w:rFonts w:asciiTheme="minorEastAsia" w:hAnsiTheme="minorEastAsia"/>
                <w:color w:val="auto"/>
                <w:szCs w:val="21"/>
                <w:highlight w:val="none"/>
              </w:rPr>
              <w:t>投标报价得分=(评标基准价／投标报价)×10（该结果四舍五入，保留两位小数）</w:t>
            </w:r>
          </w:p>
        </w:tc>
      </w:tr>
      <w:tr w14:paraId="51C6CD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581" w:type="pct"/>
            <w:vMerge w:val="restart"/>
            <w:vAlign w:val="center"/>
          </w:tcPr>
          <w:p w14:paraId="0CE11182">
            <w:pPr>
              <w:pStyle w:val="24"/>
              <w:adjustRightInd w:val="0"/>
              <w:snapToGrid w:val="0"/>
              <w:spacing w:line="460" w:lineRule="exact"/>
              <w:jc w:val="center"/>
              <w:rPr>
                <w:rFonts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商务部分</w:t>
            </w:r>
          </w:p>
        </w:tc>
        <w:tc>
          <w:tcPr>
            <w:tcW w:w="599" w:type="pct"/>
            <w:vAlign w:val="center"/>
          </w:tcPr>
          <w:p w14:paraId="78ABF340">
            <w:pPr>
              <w:pStyle w:val="24"/>
              <w:adjustRightInd w:val="0"/>
              <w:snapToGrid w:val="0"/>
              <w:spacing w:line="460" w:lineRule="exact"/>
              <w:jc w:val="center"/>
              <w:rPr>
                <w:rFonts w:cs="宋体" w:asciiTheme="minorEastAsia" w:hAnsiTheme="minorEastAsia" w:eastAsiaTheme="minorEastAsia"/>
                <w:color w:val="auto"/>
                <w:sz w:val="21"/>
                <w:szCs w:val="21"/>
                <w:highlight w:val="none"/>
              </w:rPr>
            </w:pPr>
            <w:bookmarkStart w:id="194" w:name="OLE_LINK5"/>
            <w:bookmarkStart w:id="195" w:name="OLE_LINK4"/>
            <w:r>
              <w:rPr>
                <w:rFonts w:hint="eastAsia" w:cs="宋体" w:asciiTheme="minorEastAsia" w:hAnsiTheme="minorEastAsia" w:eastAsiaTheme="minorEastAsia"/>
                <w:color w:val="auto"/>
                <w:sz w:val="21"/>
                <w:szCs w:val="21"/>
                <w:highlight w:val="none"/>
              </w:rPr>
              <w:t>企业业绩</w:t>
            </w:r>
            <w:bookmarkEnd w:id="194"/>
            <w:bookmarkEnd w:id="195"/>
          </w:p>
        </w:tc>
        <w:tc>
          <w:tcPr>
            <w:tcW w:w="578" w:type="pct"/>
            <w:vAlign w:val="center"/>
          </w:tcPr>
          <w:p w14:paraId="52D3B59D">
            <w:pPr>
              <w:pStyle w:val="24"/>
              <w:adjustRightInd w:val="0"/>
              <w:snapToGrid w:val="0"/>
              <w:spacing w:line="460" w:lineRule="exact"/>
              <w:jc w:val="center"/>
              <w:rPr>
                <w:rFonts w:cs="宋体" w:asciiTheme="minorEastAsia" w:hAnsiTheme="minorEastAsia" w:eastAsiaTheme="minorEastAsia"/>
                <w:color w:val="auto"/>
                <w:sz w:val="21"/>
                <w:szCs w:val="21"/>
                <w:highlight w:val="none"/>
              </w:rPr>
            </w:pPr>
            <w:bookmarkStart w:id="196" w:name="OLE_LINK30"/>
            <w:bookmarkStart w:id="197" w:name="OLE_LINK29"/>
            <w:r>
              <w:rPr>
                <w:rFonts w:hint="eastAsia" w:cs="宋体" w:asciiTheme="minorEastAsia" w:hAnsiTheme="minorEastAsia" w:eastAsiaTheme="minorEastAsia"/>
                <w:color w:val="auto"/>
                <w:sz w:val="21"/>
                <w:szCs w:val="21"/>
                <w:highlight w:val="none"/>
              </w:rPr>
              <w:t>10</w:t>
            </w:r>
            <w:r>
              <w:rPr>
                <w:rFonts w:asciiTheme="minorEastAsia" w:hAnsiTheme="minorEastAsia" w:eastAsiaTheme="minorEastAsia"/>
                <w:color w:val="auto"/>
                <w:sz w:val="21"/>
                <w:szCs w:val="21"/>
                <w:highlight w:val="none"/>
              </w:rPr>
              <w:t>分</w:t>
            </w:r>
            <w:bookmarkEnd w:id="196"/>
            <w:bookmarkEnd w:id="197"/>
          </w:p>
        </w:tc>
        <w:tc>
          <w:tcPr>
            <w:tcW w:w="3241" w:type="pct"/>
            <w:vAlign w:val="center"/>
          </w:tcPr>
          <w:p w14:paraId="70289C7C">
            <w:pPr>
              <w:adjustRightInd w:val="0"/>
              <w:snapToGrid w:val="0"/>
              <w:spacing w:line="46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1.投标人自2022年1月1日（含）以来(以合同签订时间为准)</w:t>
            </w:r>
            <w:bookmarkStart w:id="198" w:name="OLE_LINK3"/>
            <w:bookmarkStart w:id="199" w:name="OLE_LINK2"/>
            <w:r>
              <w:rPr>
                <w:rFonts w:hint="eastAsia" w:cs="宋体" w:asciiTheme="minorEastAsia" w:hAnsiTheme="minorEastAsia"/>
                <w:color w:val="auto"/>
                <w:szCs w:val="21"/>
                <w:highlight w:val="none"/>
              </w:rPr>
              <w:t>承担过类似</w:t>
            </w:r>
            <w:bookmarkStart w:id="200" w:name="OLE_LINK1"/>
            <w:r>
              <w:rPr>
                <w:rFonts w:hint="eastAsia" w:cs="宋体" w:asciiTheme="minorEastAsia" w:hAnsiTheme="minorEastAsia"/>
                <w:color w:val="auto"/>
                <w:szCs w:val="21"/>
                <w:highlight w:val="none"/>
              </w:rPr>
              <w:t>项目业绩</w:t>
            </w:r>
            <w:bookmarkEnd w:id="200"/>
            <w:r>
              <w:rPr>
                <w:rFonts w:hint="eastAsia" w:cs="Arial" w:asciiTheme="minorEastAsia" w:hAnsiTheme="minorEastAsia"/>
                <w:color w:val="auto"/>
                <w:szCs w:val="21"/>
                <w:highlight w:val="none"/>
              </w:rPr>
              <w:t>[类似项目指卫生经济运营管理类人才培养项目；短期（三天及以内）培训、会议、论坛等不计入有效业绩</w:t>
            </w:r>
            <w:bookmarkEnd w:id="198"/>
            <w:bookmarkEnd w:id="199"/>
            <w:r>
              <w:rPr>
                <w:rFonts w:hint="eastAsia" w:cs="Arial" w:asciiTheme="minorEastAsia" w:hAnsiTheme="minorEastAsia"/>
                <w:color w:val="auto"/>
                <w:szCs w:val="21"/>
                <w:highlight w:val="none"/>
              </w:rPr>
              <w:t>]</w:t>
            </w:r>
            <w:r>
              <w:rPr>
                <w:rFonts w:hint="eastAsia" w:cs="宋体" w:asciiTheme="minorEastAsia" w:hAnsiTheme="minorEastAsia"/>
                <w:color w:val="auto"/>
                <w:szCs w:val="21"/>
                <w:highlight w:val="none"/>
              </w:rPr>
              <w:t>，每有一个得</w:t>
            </w:r>
            <w:r>
              <w:rPr>
                <w:rFonts w:cs="宋体" w:asciiTheme="minorEastAsia" w:hAnsiTheme="minorEastAsia"/>
                <w:color w:val="auto"/>
                <w:szCs w:val="21"/>
                <w:highlight w:val="none"/>
              </w:rPr>
              <w:t>2</w:t>
            </w:r>
            <w:r>
              <w:rPr>
                <w:rFonts w:hint="eastAsia" w:cs="宋体" w:asciiTheme="minorEastAsia" w:hAnsiTheme="minorEastAsia"/>
                <w:color w:val="auto"/>
                <w:szCs w:val="21"/>
                <w:highlight w:val="none"/>
              </w:rPr>
              <w:t>.5分，本项最高得10分。</w:t>
            </w:r>
          </w:p>
          <w:p w14:paraId="7907DF3B">
            <w:pPr>
              <w:adjustRightInd w:val="0"/>
              <w:snapToGrid w:val="0"/>
              <w:spacing w:line="46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注:</w:t>
            </w:r>
            <w:r>
              <w:rPr>
                <w:rFonts w:cs="宋体" w:asciiTheme="minorEastAsia" w:hAnsiTheme="minorEastAsia"/>
                <w:color w:val="auto"/>
                <w:szCs w:val="21"/>
                <w:highlight w:val="none"/>
              </w:rPr>
              <w:t>投标时</w:t>
            </w:r>
            <w:r>
              <w:rPr>
                <w:rFonts w:hint="eastAsia" w:cs="宋体" w:asciiTheme="minorEastAsia" w:hAnsiTheme="minorEastAsia"/>
                <w:color w:val="auto"/>
                <w:szCs w:val="21"/>
                <w:highlight w:val="none"/>
              </w:rPr>
              <w:t>需同时提供以下材料：</w:t>
            </w:r>
          </w:p>
          <w:p w14:paraId="778D7257">
            <w:pPr>
              <w:adjustRightInd w:val="0"/>
              <w:snapToGrid w:val="0"/>
              <w:spacing w:line="460" w:lineRule="exact"/>
              <w:rPr>
                <w:rFonts w:cs="宋体" w:asciiTheme="minorEastAsia" w:hAnsiTheme="minorEastAsia"/>
                <w:color w:val="auto"/>
                <w:szCs w:val="21"/>
                <w:highlight w:val="none"/>
              </w:rPr>
            </w:pPr>
            <w:r>
              <w:rPr>
                <w:rFonts w:cs="宋体" w:asciiTheme="minorEastAsia" w:hAnsiTheme="minorEastAsia"/>
                <w:color w:val="auto"/>
                <w:szCs w:val="21"/>
                <w:highlight w:val="none"/>
              </w:rPr>
              <w:fldChar w:fldCharType="begin"/>
            </w:r>
            <w:r>
              <w:rPr>
                <w:rFonts w:cs="宋体" w:asciiTheme="minorEastAsia" w:hAnsiTheme="minorEastAsia"/>
                <w:color w:val="auto"/>
                <w:szCs w:val="21"/>
                <w:highlight w:val="none"/>
              </w:rPr>
              <w:instrText xml:space="preserve"> </w:instrText>
            </w:r>
            <w:r>
              <w:rPr>
                <w:rFonts w:hint="eastAsia" w:cs="宋体" w:asciiTheme="minorEastAsia" w:hAnsiTheme="minorEastAsia"/>
                <w:color w:val="auto"/>
                <w:szCs w:val="21"/>
                <w:highlight w:val="none"/>
              </w:rPr>
              <w:instrText xml:space="preserve">= 1 \* GB3</w:instrText>
            </w:r>
            <w:r>
              <w:rPr>
                <w:rFonts w:cs="宋体" w:asciiTheme="minorEastAsia" w:hAnsiTheme="minorEastAsia"/>
                <w:color w:val="auto"/>
                <w:szCs w:val="21"/>
                <w:highlight w:val="none"/>
              </w:rPr>
              <w:instrText xml:space="preserve"> </w:instrText>
            </w:r>
            <w:r>
              <w:rPr>
                <w:rFonts w:cs="宋体" w:asciiTheme="minorEastAsia" w:hAnsiTheme="minorEastAsia"/>
                <w:color w:val="auto"/>
                <w:szCs w:val="21"/>
                <w:highlight w:val="none"/>
              </w:rPr>
              <w:fldChar w:fldCharType="separate"/>
            </w:r>
            <w:r>
              <w:rPr>
                <w:rFonts w:hint="eastAsia" w:cs="宋体" w:asciiTheme="minorEastAsia" w:hAnsiTheme="minorEastAsia"/>
                <w:color w:val="auto"/>
                <w:szCs w:val="21"/>
                <w:highlight w:val="none"/>
              </w:rPr>
              <w:t>①</w:t>
            </w:r>
            <w:r>
              <w:rPr>
                <w:rFonts w:cs="宋体" w:asciiTheme="minorEastAsia" w:hAnsiTheme="minorEastAsia"/>
                <w:color w:val="auto"/>
                <w:szCs w:val="21"/>
                <w:highlight w:val="none"/>
              </w:rPr>
              <w:fldChar w:fldCharType="end"/>
            </w:r>
            <w:r>
              <w:rPr>
                <w:rFonts w:cs="宋体" w:asciiTheme="minorEastAsia" w:hAnsiTheme="minorEastAsia"/>
                <w:color w:val="auto"/>
                <w:szCs w:val="21"/>
                <w:highlight w:val="none"/>
              </w:rPr>
              <w:t>业绩合同：</w:t>
            </w:r>
            <w:r>
              <w:rPr>
                <w:rFonts w:hint="eastAsia" w:cs="宋体" w:asciiTheme="minorEastAsia" w:hAnsiTheme="minorEastAsia"/>
                <w:color w:val="auto"/>
                <w:szCs w:val="21"/>
                <w:highlight w:val="none"/>
              </w:rPr>
              <w:t>合同彩色扫描件并加盖公章或电子签章、上传至电子响应文件，合同中须能够清晰、明确体现合同签订时间、合同内容等主要信息，否则不得分。</w:t>
            </w:r>
          </w:p>
          <w:p w14:paraId="0FF61709">
            <w:pPr>
              <w:adjustRightInd w:val="0"/>
              <w:snapToGrid w:val="0"/>
              <w:spacing w:line="460" w:lineRule="exact"/>
              <w:rPr>
                <w:rFonts w:cs="宋体" w:asciiTheme="minorEastAsia" w:hAnsiTheme="minorEastAsia"/>
                <w:color w:val="auto"/>
                <w:szCs w:val="21"/>
                <w:highlight w:val="none"/>
              </w:rPr>
            </w:pPr>
            <w:r>
              <w:rPr>
                <w:rFonts w:cs="宋体" w:asciiTheme="minorEastAsia" w:hAnsiTheme="minorEastAsia"/>
                <w:color w:val="auto"/>
                <w:szCs w:val="21"/>
                <w:highlight w:val="none"/>
              </w:rPr>
              <w:fldChar w:fldCharType="begin"/>
            </w:r>
            <w:r>
              <w:rPr>
                <w:rFonts w:cs="宋体" w:asciiTheme="minorEastAsia" w:hAnsiTheme="minorEastAsia"/>
                <w:color w:val="auto"/>
                <w:szCs w:val="21"/>
                <w:highlight w:val="none"/>
              </w:rPr>
              <w:instrText xml:space="preserve"> </w:instrText>
            </w:r>
            <w:r>
              <w:rPr>
                <w:rFonts w:hint="eastAsia" w:cs="宋体" w:asciiTheme="minorEastAsia" w:hAnsiTheme="minorEastAsia"/>
                <w:color w:val="auto"/>
                <w:szCs w:val="21"/>
                <w:highlight w:val="none"/>
              </w:rPr>
              <w:instrText xml:space="preserve">= 2 \* GB3</w:instrText>
            </w:r>
            <w:r>
              <w:rPr>
                <w:rFonts w:cs="宋体" w:asciiTheme="minorEastAsia" w:hAnsiTheme="minorEastAsia"/>
                <w:color w:val="auto"/>
                <w:szCs w:val="21"/>
                <w:highlight w:val="none"/>
              </w:rPr>
              <w:instrText xml:space="preserve"> </w:instrText>
            </w:r>
            <w:r>
              <w:rPr>
                <w:rFonts w:cs="宋体" w:asciiTheme="minorEastAsia" w:hAnsiTheme="minorEastAsia"/>
                <w:color w:val="auto"/>
                <w:szCs w:val="21"/>
                <w:highlight w:val="none"/>
              </w:rPr>
              <w:fldChar w:fldCharType="separate"/>
            </w:r>
            <w:r>
              <w:rPr>
                <w:rFonts w:hint="eastAsia" w:cs="宋体" w:asciiTheme="minorEastAsia" w:hAnsiTheme="minorEastAsia"/>
                <w:color w:val="auto"/>
                <w:szCs w:val="21"/>
                <w:highlight w:val="none"/>
              </w:rPr>
              <w:t>②</w:t>
            </w:r>
            <w:r>
              <w:rPr>
                <w:rFonts w:cs="宋体" w:asciiTheme="minorEastAsia" w:hAnsiTheme="minorEastAsia"/>
                <w:color w:val="auto"/>
                <w:szCs w:val="21"/>
                <w:highlight w:val="none"/>
              </w:rPr>
              <w:fldChar w:fldCharType="end"/>
            </w:r>
            <w:r>
              <w:rPr>
                <w:rFonts w:hint="eastAsia" w:cs="宋体" w:asciiTheme="minorEastAsia" w:hAnsiTheme="minorEastAsia"/>
                <w:color w:val="auto"/>
                <w:szCs w:val="21"/>
                <w:highlight w:val="none"/>
              </w:rPr>
              <w:t>能证明项目系统化培养过程的佐证材料，包括但不限于：培养方案、课程体系安排、学员名单、考核评价记录等。</w:t>
            </w:r>
          </w:p>
          <w:p w14:paraId="39F9BE70">
            <w:pPr>
              <w:adjustRightInd w:val="0"/>
              <w:snapToGrid w:val="0"/>
              <w:spacing w:line="460" w:lineRule="exact"/>
              <w:rPr>
                <w:rFonts w:cs="宋体" w:asciiTheme="minorEastAsia" w:hAnsiTheme="minorEastAsia"/>
                <w:color w:val="auto"/>
                <w:szCs w:val="21"/>
                <w:highlight w:val="none"/>
              </w:rPr>
            </w:pPr>
            <w:r>
              <w:rPr>
                <w:rFonts w:cs="宋体" w:asciiTheme="minorEastAsia" w:hAnsiTheme="minorEastAsia"/>
                <w:color w:val="auto"/>
                <w:szCs w:val="21"/>
                <w:highlight w:val="none"/>
              </w:rPr>
              <w:t>上述材料未提供或提供不全不得分。</w:t>
            </w:r>
          </w:p>
        </w:tc>
      </w:tr>
      <w:tr w14:paraId="0CCC1E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581" w:type="pct"/>
            <w:vMerge w:val="continue"/>
            <w:vAlign w:val="center"/>
          </w:tcPr>
          <w:p w14:paraId="78E93037">
            <w:pPr>
              <w:pStyle w:val="24"/>
              <w:adjustRightInd w:val="0"/>
              <w:snapToGrid w:val="0"/>
              <w:spacing w:line="460" w:lineRule="exact"/>
              <w:jc w:val="center"/>
              <w:rPr>
                <w:rFonts w:cs="宋体" w:asciiTheme="minorEastAsia" w:hAnsiTheme="minorEastAsia" w:eastAsiaTheme="minorEastAsia"/>
                <w:color w:val="auto"/>
                <w:sz w:val="21"/>
                <w:szCs w:val="21"/>
                <w:highlight w:val="none"/>
              </w:rPr>
            </w:pPr>
          </w:p>
        </w:tc>
        <w:tc>
          <w:tcPr>
            <w:tcW w:w="599" w:type="pct"/>
            <w:vAlign w:val="center"/>
          </w:tcPr>
          <w:p w14:paraId="7F84FFFB">
            <w:pPr>
              <w:pStyle w:val="24"/>
              <w:adjustRightInd w:val="0"/>
              <w:snapToGrid w:val="0"/>
              <w:spacing w:line="460" w:lineRule="exact"/>
              <w:jc w:val="center"/>
              <w:rPr>
                <w:rFonts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项目完成（服务期满）后的服务承诺</w:t>
            </w:r>
          </w:p>
        </w:tc>
        <w:tc>
          <w:tcPr>
            <w:tcW w:w="578" w:type="pct"/>
            <w:vAlign w:val="center"/>
          </w:tcPr>
          <w:p w14:paraId="56F1E63B">
            <w:pPr>
              <w:pStyle w:val="24"/>
              <w:adjustRightInd w:val="0"/>
              <w:snapToGrid w:val="0"/>
              <w:spacing w:line="460" w:lineRule="exact"/>
              <w:jc w:val="center"/>
              <w:rPr>
                <w:rFonts w:cs="宋体" w:asciiTheme="minorEastAsia" w:hAnsiTheme="minorEastAsia" w:eastAsiaTheme="minorEastAsia"/>
                <w:color w:val="auto"/>
                <w:sz w:val="21"/>
                <w:szCs w:val="21"/>
                <w:highlight w:val="none"/>
              </w:rPr>
            </w:pPr>
            <w:r>
              <w:rPr>
                <w:rFonts w:cs="Arial" w:asciiTheme="minorEastAsia" w:hAnsiTheme="minorEastAsia" w:eastAsiaTheme="minorEastAsia"/>
                <w:color w:val="auto"/>
                <w:sz w:val="21"/>
                <w:szCs w:val="21"/>
                <w:highlight w:val="none"/>
              </w:rPr>
              <w:t>3</w:t>
            </w:r>
            <w:r>
              <w:rPr>
                <w:rFonts w:hint="eastAsia" w:cs="Arial" w:asciiTheme="minorEastAsia" w:hAnsiTheme="minorEastAsia" w:eastAsiaTheme="minorEastAsia"/>
                <w:color w:val="auto"/>
                <w:sz w:val="21"/>
                <w:szCs w:val="21"/>
                <w:highlight w:val="none"/>
              </w:rPr>
              <w:t>分</w:t>
            </w:r>
          </w:p>
        </w:tc>
        <w:tc>
          <w:tcPr>
            <w:tcW w:w="3241" w:type="pct"/>
            <w:vAlign w:val="center"/>
          </w:tcPr>
          <w:p w14:paraId="1E321FBD">
            <w:pPr>
              <w:adjustRightInd w:val="0"/>
              <w:snapToGrid w:val="0"/>
              <w:spacing w:line="460" w:lineRule="exact"/>
              <w:rPr>
                <w:rFonts w:cs="Arial" w:asciiTheme="minorEastAsia" w:hAnsiTheme="minorEastAsia"/>
                <w:color w:val="auto"/>
                <w:szCs w:val="21"/>
                <w:highlight w:val="none"/>
              </w:rPr>
            </w:pPr>
            <w:r>
              <w:rPr>
                <w:rFonts w:hint="eastAsia" w:cs="Arial" w:asciiTheme="minorEastAsia" w:hAnsiTheme="minorEastAsia"/>
                <w:color w:val="auto"/>
                <w:szCs w:val="21"/>
                <w:highlight w:val="none"/>
              </w:rPr>
              <w:t>投标人作出以下全部三项承诺（格式由投标人自行拟定）的得</w:t>
            </w:r>
            <w:r>
              <w:rPr>
                <w:rFonts w:hint="eastAsia" w:cs="Arial" w:asciiTheme="minorEastAsia" w:hAnsiTheme="minorEastAsia"/>
                <w:color w:val="auto"/>
                <w:szCs w:val="21"/>
                <w:highlight w:val="none"/>
                <w:lang w:val="en-US" w:eastAsia="zh-CN"/>
              </w:rPr>
              <w:t>3</w:t>
            </w:r>
            <w:bookmarkStart w:id="227" w:name="_GoBack"/>
            <w:bookmarkEnd w:id="227"/>
            <w:r>
              <w:rPr>
                <w:rFonts w:hint="eastAsia" w:cs="Arial" w:asciiTheme="minorEastAsia" w:hAnsiTheme="minorEastAsia"/>
                <w:color w:val="auto"/>
                <w:szCs w:val="21"/>
                <w:highlight w:val="none"/>
              </w:rPr>
              <w:t>分，否则不得分。</w:t>
            </w:r>
          </w:p>
          <w:p w14:paraId="612DEFD4">
            <w:pPr>
              <w:adjustRightInd w:val="0"/>
              <w:snapToGrid w:val="0"/>
              <w:spacing w:line="460" w:lineRule="exact"/>
              <w:rPr>
                <w:rFonts w:cs="Arial" w:asciiTheme="minorEastAsia" w:hAnsiTheme="minorEastAsia"/>
                <w:color w:val="auto"/>
                <w:szCs w:val="21"/>
                <w:highlight w:val="none"/>
              </w:rPr>
            </w:pPr>
            <w:r>
              <w:rPr>
                <w:rFonts w:cs="Arial" w:asciiTheme="minorEastAsia" w:hAnsiTheme="minorEastAsia"/>
                <w:color w:val="auto"/>
                <w:szCs w:val="21"/>
                <w:highlight w:val="none"/>
              </w:rPr>
              <w:t>1</w:t>
            </w:r>
            <w:r>
              <w:rPr>
                <w:rFonts w:hint="eastAsia" w:cs="Arial" w:asciiTheme="minorEastAsia" w:hAnsiTheme="minorEastAsia"/>
                <w:color w:val="auto"/>
                <w:szCs w:val="21"/>
                <w:highlight w:val="none"/>
              </w:rPr>
              <w:t>、承诺项目结束后按照采购人要求向采购人提交一份项目工作总结报告。</w:t>
            </w:r>
          </w:p>
          <w:p w14:paraId="051B2AF0">
            <w:pPr>
              <w:adjustRightInd w:val="0"/>
              <w:snapToGrid w:val="0"/>
              <w:spacing w:line="460" w:lineRule="exact"/>
              <w:rPr>
                <w:rFonts w:cs="Arial" w:asciiTheme="minorEastAsia" w:hAnsiTheme="minorEastAsia"/>
                <w:color w:val="auto"/>
                <w:szCs w:val="21"/>
                <w:highlight w:val="none"/>
              </w:rPr>
            </w:pPr>
            <w:r>
              <w:rPr>
                <w:rFonts w:cs="Arial" w:asciiTheme="minorEastAsia" w:hAnsiTheme="minorEastAsia"/>
                <w:color w:val="auto"/>
                <w:szCs w:val="21"/>
                <w:highlight w:val="none"/>
              </w:rPr>
              <w:t>2</w:t>
            </w:r>
            <w:r>
              <w:rPr>
                <w:rFonts w:hint="eastAsia" w:cs="Arial" w:asciiTheme="minorEastAsia" w:hAnsiTheme="minorEastAsia"/>
                <w:color w:val="auto"/>
                <w:szCs w:val="21"/>
                <w:highlight w:val="none"/>
              </w:rPr>
              <w:t>、承诺项目结束后按照采购人要求向采购人提交一份资料汇编；</w:t>
            </w:r>
            <w:r>
              <w:rPr>
                <w:rFonts w:cs="Arial" w:asciiTheme="minorEastAsia" w:hAnsiTheme="minorEastAsia"/>
                <w:color w:val="auto"/>
                <w:szCs w:val="21"/>
                <w:highlight w:val="none"/>
              </w:rPr>
              <w:t>3</w:t>
            </w:r>
            <w:r>
              <w:rPr>
                <w:rFonts w:hint="eastAsia" w:cs="Arial" w:asciiTheme="minorEastAsia" w:hAnsiTheme="minorEastAsia"/>
                <w:color w:val="auto"/>
                <w:szCs w:val="21"/>
                <w:highlight w:val="none"/>
              </w:rPr>
              <w:t>、服务期满，服务内容未完成或后续服务投标人未到位前仍按原合同服务承诺提供服务。</w:t>
            </w:r>
          </w:p>
        </w:tc>
      </w:tr>
      <w:tr w14:paraId="2A273B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581" w:type="pct"/>
            <w:vMerge w:val="continue"/>
            <w:vAlign w:val="center"/>
          </w:tcPr>
          <w:p w14:paraId="691B177A">
            <w:pPr>
              <w:pStyle w:val="24"/>
              <w:adjustRightInd w:val="0"/>
              <w:snapToGrid w:val="0"/>
              <w:spacing w:line="460" w:lineRule="exact"/>
              <w:jc w:val="center"/>
              <w:rPr>
                <w:rFonts w:cs="宋体" w:asciiTheme="minorEastAsia" w:hAnsiTheme="minorEastAsia" w:eastAsiaTheme="minorEastAsia"/>
                <w:color w:val="auto"/>
                <w:sz w:val="21"/>
                <w:szCs w:val="21"/>
                <w:highlight w:val="none"/>
              </w:rPr>
            </w:pPr>
          </w:p>
        </w:tc>
        <w:tc>
          <w:tcPr>
            <w:tcW w:w="599" w:type="pct"/>
            <w:vAlign w:val="center"/>
          </w:tcPr>
          <w:p w14:paraId="530BCBC0">
            <w:pPr>
              <w:pStyle w:val="24"/>
              <w:adjustRightInd w:val="0"/>
              <w:snapToGrid w:val="0"/>
              <w:spacing w:line="460" w:lineRule="exact"/>
              <w:jc w:val="center"/>
              <w:rPr>
                <w:rFonts w:cs="宋体" w:asciiTheme="minorEastAsia" w:hAnsiTheme="minorEastAsia" w:eastAsiaTheme="minorEastAsia"/>
                <w:color w:val="auto"/>
                <w:sz w:val="21"/>
                <w:szCs w:val="21"/>
                <w:highlight w:val="none"/>
              </w:rPr>
            </w:pPr>
            <w:r>
              <w:rPr>
                <w:rFonts w:hint="eastAsia" w:cs="Arial" w:asciiTheme="minorEastAsia" w:hAnsiTheme="minorEastAsia" w:eastAsiaTheme="minorEastAsia"/>
                <w:color w:val="auto"/>
                <w:sz w:val="21"/>
                <w:szCs w:val="21"/>
                <w:highlight w:val="none"/>
              </w:rPr>
              <w:t>学员安全承诺</w:t>
            </w:r>
          </w:p>
        </w:tc>
        <w:tc>
          <w:tcPr>
            <w:tcW w:w="578" w:type="pct"/>
            <w:vAlign w:val="center"/>
          </w:tcPr>
          <w:p w14:paraId="6013E282">
            <w:pPr>
              <w:pStyle w:val="24"/>
              <w:adjustRightInd w:val="0"/>
              <w:snapToGrid w:val="0"/>
              <w:spacing w:line="460" w:lineRule="exact"/>
              <w:jc w:val="center"/>
              <w:rPr>
                <w:rFonts w:cs="Arial" w:asciiTheme="minorEastAsia" w:hAnsiTheme="minorEastAsia" w:eastAsiaTheme="minorEastAsia"/>
                <w:color w:val="auto"/>
                <w:sz w:val="21"/>
                <w:szCs w:val="21"/>
                <w:highlight w:val="none"/>
              </w:rPr>
            </w:pPr>
            <w:r>
              <w:rPr>
                <w:rFonts w:hint="eastAsia" w:cs="Arial" w:asciiTheme="minorEastAsia" w:hAnsiTheme="minorEastAsia" w:eastAsiaTheme="minorEastAsia"/>
                <w:color w:val="auto"/>
                <w:sz w:val="21"/>
                <w:szCs w:val="21"/>
                <w:highlight w:val="none"/>
              </w:rPr>
              <w:t>3</w:t>
            </w:r>
            <w:r>
              <w:rPr>
                <w:rFonts w:asciiTheme="minorEastAsia" w:hAnsiTheme="minorEastAsia" w:eastAsiaTheme="minorEastAsia"/>
                <w:color w:val="auto"/>
                <w:sz w:val="21"/>
                <w:szCs w:val="21"/>
                <w:highlight w:val="none"/>
              </w:rPr>
              <w:t>分</w:t>
            </w:r>
          </w:p>
        </w:tc>
        <w:tc>
          <w:tcPr>
            <w:tcW w:w="3241" w:type="pct"/>
            <w:vAlign w:val="center"/>
          </w:tcPr>
          <w:p w14:paraId="282B6B7A">
            <w:pPr>
              <w:adjustRightInd w:val="0"/>
              <w:snapToGrid w:val="0"/>
              <w:spacing w:line="460" w:lineRule="exact"/>
              <w:rPr>
                <w:rFonts w:cs="Arial" w:asciiTheme="minorEastAsia" w:hAnsiTheme="minorEastAsia"/>
                <w:color w:val="auto"/>
                <w:szCs w:val="21"/>
                <w:highlight w:val="none"/>
              </w:rPr>
            </w:pPr>
            <w:r>
              <w:rPr>
                <w:rFonts w:hint="eastAsia" w:cs="Arial" w:asciiTheme="minorEastAsia" w:hAnsiTheme="minorEastAsia"/>
                <w:color w:val="auto"/>
                <w:szCs w:val="21"/>
                <w:highlight w:val="none"/>
              </w:rPr>
              <w:t>为保证学员教学安全、学员安全，投标人须承诺不出现任何教学安全事故，并承诺不泄露学员信息，确保学员安全的得3分；未提供承诺函（承诺函格式由投标人自行拟定）不得分。</w:t>
            </w:r>
          </w:p>
        </w:tc>
      </w:tr>
      <w:tr w14:paraId="58EF57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581" w:type="pct"/>
            <w:vMerge w:val="continue"/>
            <w:vAlign w:val="center"/>
          </w:tcPr>
          <w:p w14:paraId="0CF35B7E">
            <w:pPr>
              <w:pStyle w:val="24"/>
              <w:adjustRightInd w:val="0"/>
              <w:snapToGrid w:val="0"/>
              <w:spacing w:line="460" w:lineRule="exact"/>
              <w:jc w:val="center"/>
              <w:rPr>
                <w:rFonts w:cs="宋体" w:asciiTheme="minorEastAsia" w:hAnsiTheme="minorEastAsia" w:eastAsiaTheme="minorEastAsia"/>
                <w:color w:val="auto"/>
                <w:sz w:val="21"/>
                <w:szCs w:val="21"/>
                <w:highlight w:val="none"/>
              </w:rPr>
            </w:pPr>
          </w:p>
        </w:tc>
        <w:tc>
          <w:tcPr>
            <w:tcW w:w="599" w:type="pct"/>
            <w:vAlign w:val="center"/>
          </w:tcPr>
          <w:p w14:paraId="6BCB69D7">
            <w:pPr>
              <w:pStyle w:val="24"/>
              <w:adjustRightInd w:val="0"/>
              <w:snapToGrid w:val="0"/>
              <w:spacing w:line="460" w:lineRule="exact"/>
              <w:jc w:val="center"/>
              <w:rPr>
                <w:rFonts w:cs="Arial" w:asciiTheme="minorEastAsia" w:hAnsiTheme="minorEastAsia" w:eastAsiaTheme="minorEastAsia"/>
                <w:color w:val="auto"/>
                <w:sz w:val="21"/>
                <w:szCs w:val="21"/>
                <w:highlight w:val="none"/>
              </w:rPr>
            </w:pPr>
            <w:r>
              <w:rPr>
                <w:rFonts w:hint="eastAsia" w:cs="Arial" w:asciiTheme="minorEastAsia" w:hAnsiTheme="minorEastAsia" w:eastAsiaTheme="minorEastAsia"/>
                <w:color w:val="auto"/>
                <w:sz w:val="21"/>
                <w:szCs w:val="21"/>
                <w:highlight w:val="none"/>
              </w:rPr>
              <w:t>教学培训场地安排承诺</w:t>
            </w:r>
          </w:p>
        </w:tc>
        <w:tc>
          <w:tcPr>
            <w:tcW w:w="578" w:type="pct"/>
            <w:vAlign w:val="center"/>
          </w:tcPr>
          <w:p w14:paraId="57CA0380">
            <w:pPr>
              <w:pStyle w:val="24"/>
              <w:adjustRightInd w:val="0"/>
              <w:snapToGrid w:val="0"/>
              <w:spacing w:line="460" w:lineRule="exact"/>
              <w:jc w:val="center"/>
              <w:rPr>
                <w:rFonts w:cs="Arial" w:asciiTheme="minorEastAsia" w:hAnsiTheme="minorEastAsia" w:eastAsiaTheme="minorEastAsia"/>
                <w:color w:val="auto"/>
                <w:sz w:val="21"/>
                <w:szCs w:val="21"/>
                <w:highlight w:val="none"/>
              </w:rPr>
            </w:pPr>
            <w:r>
              <w:rPr>
                <w:rFonts w:hint="eastAsia" w:cs="Arial" w:asciiTheme="minorEastAsia" w:hAnsiTheme="minorEastAsia" w:eastAsiaTheme="minorEastAsia"/>
                <w:color w:val="auto"/>
                <w:sz w:val="21"/>
                <w:szCs w:val="21"/>
                <w:highlight w:val="none"/>
              </w:rPr>
              <w:t>3分</w:t>
            </w:r>
          </w:p>
        </w:tc>
        <w:tc>
          <w:tcPr>
            <w:tcW w:w="3241" w:type="pct"/>
            <w:vAlign w:val="center"/>
          </w:tcPr>
          <w:p w14:paraId="5BD4D0C7">
            <w:pPr>
              <w:adjustRightInd w:val="0"/>
              <w:snapToGrid w:val="0"/>
              <w:spacing w:line="460" w:lineRule="exact"/>
              <w:rPr>
                <w:rFonts w:asciiTheme="minorEastAsia" w:hAnsiTheme="minorEastAsia"/>
                <w:color w:val="auto"/>
                <w:highlight w:val="none"/>
              </w:rPr>
            </w:pPr>
            <w:bookmarkStart w:id="201" w:name="OLE_LINK18"/>
            <w:bookmarkStart w:id="202" w:name="OLE_LINK17"/>
            <w:r>
              <w:rPr>
                <w:rFonts w:asciiTheme="minorEastAsia" w:hAnsiTheme="minorEastAsia"/>
                <w:color w:val="auto"/>
                <w:highlight w:val="none"/>
              </w:rPr>
              <w:t>教学培训场地</w:t>
            </w:r>
            <w:bookmarkEnd w:id="201"/>
            <w:bookmarkEnd w:id="202"/>
            <w:r>
              <w:rPr>
                <w:rFonts w:asciiTheme="minorEastAsia" w:hAnsiTheme="minorEastAsia"/>
                <w:bCs/>
                <w:color w:val="auto"/>
                <w:highlight w:val="none"/>
              </w:rPr>
              <w:t>地理位置优越，选址合理</w:t>
            </w:r>
            <w:r>
              <w:rPr>
                <w:rFonts w:asciiTheme="minorEastAsia" w:hAnsiTheme="minorEastAsia"/>
                <w:color w:val="auto"/>
                <w:highlight w:val="none"/>
              </w:rPr>
              <w:t>，与</w:t>
            </w:r>
            <w:r>
              <w:rPr>
                <w:rFonts w:hint="eastAsia" w:asciiTheme="minorEastAsia" w:hAnsiTheme="minorEastAsia"/>
                <w:color w:val="auto"/>
                <w:highlight w:val="none"/>
              </w:rPr>
              <w:t>采购人</w:t>
            </w:r>
            <w:r>
              <w:rPr>
                <w:rFonts w:asciiTheme="minorEastAsia" w:hAnsiTheme="minorEastAsia"/>
                <w:color w:val="auto"/>
                <w:highlight w:val="none"/>
              </w:rPr>
              <w:t>地点距离适中、交通便捷，往返通行耗时短</w:t>
            </w:r>
            <w:r>
              <w:rPr>
                <w:rFonts w:hint="eastAsia" w:asciiTheme="minorEastAsia" w:hAnsiTheme="minorEastAsia"/>
                <w:color w:val="auto"/>
                <w:highlight w:val="none"/>
              </w:rPr>
              <w:t>，</w:t>
            </w:r>
            <w:r>
              <w:rPr>
                <w:rFonts w:asciiTheme="minorEastAsia" w:hAnsiTheme="minorEastAsia"/>
                <w:color w:val="auto"/>
                <w:highlight w:val="none"/>
              </w:rPr>
              <w:t>便于人员集中参训、组织管理及日常教学统筹安排；场地周边交通路网完善，通勤通达性强，区位便利性满足集中教学组织需求。</w:t>
            </w:r>
          </w:p>
          <w:p w14:paraId="10A61BFA">
            <w:pPr>
              <w:adjustRightInd w:val="0"/>
              <w:snapToGrid w:val="0"/>
              <w:spacing w:line="460" w:lineRule="exact"/>
              <w:rPr>
                <w:rFonts w:asciiTheme="minorEastAsia" w:hAnsiTheme="minorEastAsia"/>
                <w:bCs/>
                <w:color w:val="auto"/>
                <w:highlight w:val="none"/>
              </w:rPr>
            </w:pPr>
            <w:r>
              <w:rPr>
                <w:rFonts w:hint="eastAsia" w:asciiTheme="minorEastAsia" w:hAnsiTheme="minorEastAsia"/>
                <w:color w:val="auto"/>
                <w:highlight w:val="none"/>
              </w:rPr>
              <w:t>以</w:t>
            </w:r>
            <w:r>
              <w:rPr>
                <w:rFonts w:hint="eastAsia" w:cs="Arial" w:asciiTheme="minorEastAsia" w:hAnsiTheme="minorEastAsia"/>
                <w:color w:val="auto"/>
                <w:szCs w:val="21"/>
                <w:highlight w:val="none"/>
              </w:rPr>
              <w:t>投标人</w:t>
            </w:r>
            <w:r>
              <w:rPr>
                <w:rFonts w:hint="eastAsia" w:asciiTheme="minorEastAsia" w:hAnsiTheme="minorEastAsia"/>
                <w:bCs/>
                <w:color w:val="auto"/>
                <w:highlight w:val="none"/>
              </w:rPr>
              <w:t>主要集中培训场地所在地（不含现场教学场地）高铁站与盐城市高铁站（</w:t>
            </w:r>
            <w:r>
              <w:rPr>
                <w:rFonts w:asciiTheme="minorEastAsia" w:hAnsiTheme="minorEastAsia"/>
                <w:bCs/>
                <w:color w:val="auto"/>
                <w:highlight w:val="none"/>
              </w:rPr>
              <w:t>盐城站</w:t>
            </w:r>
            <w:r>
              <w:rPr>
                <w:rFonts w:hint="eastAsia" w:asciiTheme="minorEastAsia" w:hAnsiTheme="minorEastAsia"/>
                <w:bCs/>
                <w:color w:val="auto"/>
                <w:highlight w:val="none"/>
              </w:rPr>
              <w:t>）之间的交通时间进行测算，</w:t>
            </w:r>
            <w:r>
              <w:rPr>
                <w:rFonts w:hint="eastAsia" w:cs="Arial" w:asciiTheme="minorEastAsia" w:hAnsiTheme="minorEastAsia"/>
                <w:color w:val="auto"/>
                <w:szCs w:val="21"/>
                <w:highlight w:val="none"/>
              </w:rPr>
              <w:t>投标人</w:t>
            </w:r>
            <w:r>
              <w:rPr>
                <w:rFonts w:hint="eastAsia"/>
                <w:color w:val="auto"/>
                <w:highlight w:val="none"/>
              </w:rPr>
              <w:t>承诺</w:t>
            </w:r>
            <w:r>
              <w:rPr>
                <w:rFonts w:hint="eastAsia" w:asciiTheme="minorEastAsia" w:hAnsiTheme="minorEastAsia"/>
                <w:bCs/>
                <w:color w:val="auto"/>
                <w:highlight w:val="none"/>
              </w:rPr>
              <w:t>交通时间≤</w:t>
            </w:r>
            <w:r>
              <w:rPr>
                <w:rFonts w:asciiTheme="minorEastAsia" w:hAnsiTheme="minorEastAsia"/>
                <w:bCs/>
                <w:color w:val="auto"/>
                <w:highlight w:val="none"/>
              </w:rPr>
              <w:t>3小时的</w:t>
            </w:r>
            <w:r>
              <w:rPr>
                <w:rFonts w:hint="eastAsia" w:asciiTheme="minorEastAsia" w:hAnsiTheme="minorEastAsia"/>
                <w:bCs/>
                <w:color w:val="auto"/>
                <w:highlight w:val="none"/>
              </w:rPr>
              <w:t>得</w:t>
            </w:r>
            <w:r>
              <w:rPr>
                <w:rFonts w:asciiTheme="minorEastAsia" w:hAnsiTheme="minorEastAsia"/>
                <w:bCs/>
                <w:color w:val="auto"/>
                <w:highlight w:val="none"/>
              </w:rPr>
              <w:t>3</w:t>
            </w:r>
            <w:r>
              <w:rPr>
                <w:rFonts w:hint="eastAsia" w:asciiTheme="minorEastAsia" w:hAnsiTheme="minorEastAsia"/>
                <w:bCs/>
                <w:color w:val="auto"/>
                <w:highlight w:val="none"/>
              </w:rPr>
              <w:t>分；</w:t>
            </w:r>
            <w:r>
              <w:rPr>
                <w:rFonts w:hint="eastAsia" w:cs="Arial" w:asciiTheme="minorEastAsia" w:hAnsiTheme="minorEastAsia"/>
                <w:color w:val="auto"/>
                <w:szCs w:val="21"/>
                <w:highlight w:val="none"/>
              </w:rPr>
              <w:t>投标人</w:t>
            </w:r>
            <w:r>
              <w:rPr>
                <w:rFonts w:hint="eastAsia"/>
                <w:color w:val="auto"/>
                <w:highlight w:val="none"/>
              </w:rPr>
              <w:t>承诺</w:t>
            </w:r>
            <w:r>
              <w:rPr>
                <w:rFonts w:hint="eastAsia" w:asciiTheme="minorEastAsia" w:hAnsiTheme="minorEastAsia"/>
                <w:bCs/>
                <w:color w:val="auto"/>
                <w:highlight w:val="none"/>
              </w:rPr>
              <w:t>交通时间大于</w:t>
            </w:r>
            <w:r>
              <w:rPr>
                <w:rFonts w:asciiTheme="minorEastAsia" w:hAnsiTheme="minorEastAsia"/>
                <w:bCs/>
                <w:color w:val="auto"/>
                <w:highlight w:val="none"/>
              </w:rPr>
              <w:t>3小时</w:t>
            </w:r>
            <w:r>
              <w:rPr>
                <w:rFonts w:hint="eastAsia" w:asciiTheme="minorEastAsia" w:hAnsiTheme="minorEastAsia"/>
                <w:bCs/>
                <w:color w:val="auto"/>
                <w:highlight w:val="none"/>
              </w:rPr>
              <w:t>且</w:t>
            </w:r>
            <w:r>
              <w:rPr>
                <w:rFonts w:asciiTheme="minorEastAsia" w:hAnsiTheme="minorEastAsia"/>
                <w:bCs/>
                <w:color w:val="auto"/>
                <w:highlight w:val="none"/>
              </w:rPr>
              <w:t>≤4小时的</w:t>
            </w:r>
            <w:r>
              <w:rPr>
                <w:rFonts w:hint="eastAsia" w:asciiTheme="minorEastAsia" w:hAnsiTheme="minorEastAsia"/>
                <w:bCs/>
                <w:color w:val="auto"/>
                <w:highlight w:val="none"/>
              </w:rPr>
              <w:t>得</w:t>
            </w:r>
            <w:r>
              <w:rPr>
                <w:rFonts w:asciiTheme="minorEastAsia" w:hAnsiTheme="minorEastAsia"/>
                <w:bCs/>
                <w:color w:val="auto"/>
                <w:highlight w:val="none"/>
              </w:rPr>
              <w:t>2</w:t>
            </w:r>
            <w:r>
              <w:rPr>
                <w:rFonts w:hint="eastAsia" w:asciiTheme="minorEastAsia" w:hAnsiTheme="minorEastAsia"/>
                <w:bCs/>
                <w:color w:val="auto"/>
                <w:highlight w:val="none"/>
              </w:rPr>
              <w:t>分；</w:t>
            </w:r>
            <w:r>
              <w:rPr>
                <w:rFonts w:hint="eastAsia" w:cs="Arial" w:asciiTheme="minorEastAsia" w:hAnsiTheme="minorEastAsia"/>
                <w:color w:val="auto"/>
                <w:szCs w:val="21"/>
                <w:highlight w:val="none"/>
              </w:rPr>
              <w:t>投标人</w:t>
            </w:r>
            <w:r>
              <w:rPr>
                <w:rFonts w:hint="eastAsia"/>
                <w:color w:val="auto"/>
                <w:highlight w:val="none"/>
              </w:rPr>
              <w:t>承诺</w:t>
            </w:r>
            <w:r>
              <w:rPr>
                <w:rFonts w:hint="eastAsia" w:asciiTheme="minorEastAsia" w:hAnsiTheme="minorEastAsia"/>
                <w:bCs/>
                <w:color w:val="auto"/>
                <w:highlight w:val="none"/>
              </w:rPr>
              <w:t>交通时间大于4</w:t>
            </w:r>
            <w:r>
              <w:rPr>
                <w:rFonts w:asciiTheme="minorEastAsia" w:hAnsiTheme="minorEastAsia"/>
                <w:bCs/>
                <w:color w:val="auto"/>
                <w:highlight w:val="none"/>
              </w:rPr>
              <w:t>小时</w:t>
            </w:r>
            <w:r>
              <w:rPr>
                <w:rFonts w:hint="eastAsia" w:asciiTheme="minorEastAsia" w:hAnsiTheme="minorEastAsia"/>
                <w:bCs/>
                <w:color w:val="auto"/>
                <w:highlight w:val="none"/>
              </w:rPr>
              <w:t>且</w:t>
            </w:r>
            <w:r>
              <w:rPr>
                <w:rFonts w:asciiTheme="minorEastAsia" w:hAnsiTheme="minorEastAsia"/>
                <w:bCs/>
                <w:color w:val="auto"/>
                <w:highlight w:val="none"/>
              </w:rPr>
              <w:t>≤</w:t>
            </w:r>
            <w:r>
              <w:rPr>
                <w:rFonts w:hint="eastAsia" w:asciiTheme="minorEastAsia" w:hAnsiTheme="minorEastAsia"/>
                <w:bCs/>
                <w:color w:val="auto"/>
                <w:highlight w:val="none"/>
              </w:rPr>
              <w:t>5</w:t>
            </w:r>
            <w:r>
              <w:rPr>
                <w:rFonts w:asciiTheme="minorEastAsia" w:hAnsiTheme="minorEastAsia"/>
                <w:bCs/>
                <w:color w:val="auto"/>
                <w:highlight w:val="none"/>
              </w:rPr>
              <w:t>小时的</w:t>
            </w:r>
            <w:r>
              <w:rPr>
                <w:rFonts w:hint="eastAsia" w:asciiTheme="minorEastAsia" w:hAnsiTheme="minorEastAsia"/>
                <w:bCs/>
                <w:color w:val="auto"/>
                <w:highlight w:val="none"/>
              </w:rPr>
              <w:t>得</w:t>
            </w:r>
            <w:r>
              <w:rPr>
                <w:rFonts w:asciiTheme="minorEastAsia" w:hAnsiTheme="minorEastAsia"/>
                <w:bCs/>
                <w:color w:val="auto"/>
                <w:highlight w:val="none"/>
              </w:rPr>
              <w:t>1</w:t>
            </w:r>
            <w:r>
              <w:rPr>
                <w:rFonts w:hint="eastAsia" w:asciiTheme="minorEastAsia" w:hAnsiTheme="minorEastAsia"/>
                <w:bCs/>
                <w:color w:val="auto"/>
                <w:highlight w:val="none"/>
              </w:rPr>
              <w:t>分；</w:t>
            </w:r>
            <w:r>
              <w:rPr>
                <w:rFonts w:hint="eastAsia" w:cs="Arial" w:asciiTheme="minorEastAsia" w:hAnsiTheme="minorEastAsia"/>
                <w:color w:val="auto"/>
                <w:szCs w:val="21"/>
                <w:highlight w:val="none"/>
              </w:rPr>
              <w:t>投标人</w:t>
            </w:r>
            <w:r>
              <w:rPr>
                <w:rFonts w:hint="eastAsia"/>
                <w:color w:val="auto"/>
                <w:highlight w:val="none"/>
              </w:rPr>
              <w:t>承诺</w:t>
            </w:r>
            <w:r>
              <w:rPr>
                <w:rFonts w:hint="eastAsia" w:asciiTheme="minorEastAsia" w:hAnsiTheme="minorEastAsia"/>
                <w:bCs/>
                <w:color w:val="auto"/>
                <w:highlight w:val="none"/>
              </w:rPr>
              <w:t>交通时间大于5</w:t>
            </w:r>
            <w:r>
              <w:rPr>
                <w:rFonts w:asciiTheme="minorEastAsia" w:hAnsiTheme="minorEastAsia"/>
                <w:bCs/>
                <w:color w:val="auto"/>
                <w:highlight w:val="none"/>
              </w:rPr>
              <w:t>小时的</w:t>
            </w:r>
            <w:r>
              <w:rPr>
                <w:rFonts w:hint="eastAsia" w:asciiTheme="minorEastAsia" w:hAnsiTheme="minorEastAsia"/>
                <w:bCs/>
                <w:color w:val="auto"/>
                <w:highlight w:val="none"/>
              </w:rPr>
              <w:t>不得分</w:t>
            </w:r>
            <w:r>
              <w:rPr>
                <w:rFonts w:asciiTheme="minorEastAsia" w:hAnsiTheme="minorEastAsia"/>
                <w:bCs/>
                <w:color w:val="auto"/>
                <w:highlight w:val="none"/>
              </w:rPr>
              <w:t>。</w:t>
            </w:r>
          </w:p>
          <w:p w14:paraId="42028483">
            <w:pPr>
              <w:adjustRightInd w:val="0"/>
              <w:snapToGrid w:val="0"/>
              <w:spacing w:line="460" w:lineRule="exact"/>
              <w:rPr>
                <w:rFonts w:asciiTheme="minorEastAsia" w:hAnsiTheme="minorEastAsia"/>
                <w:bCs/>
                <w:color w:val="auto"/>
                <w:highlight w:val="none"/>
              </w:rPr>
            </w:pPr>
            <w:r>
              <w:rPr>
                <w:rFonts w:hint="eastAsia"/>
                <w:color w:val="auto"/>
                <w:highlight w:val="none"/>
              </w:rPr>
              <w:t>注：本项以</w:t>
            </w:r>
            <w:r>
              <w:rPr>
                <w:rFonts w:hint="eastAsia" w:cs="Arial" w:asciiTheme="minorEastAsia" w:hAnsiTheme="minorEastAsia"/>
                <w:color w:val="auto"/>
                <w:szCs w:val="21"/>
                <w:highlight w:val="none"/>
              </w:rPr>
              <w:t>投标人</w:t>
            </w:r>
            <w:r>
              <w:rPr>
                <w:rFonts w:hint="eastAsia"/>
                <w:color w:val="auto"/>
                <w:highlight w:val="none"/>
              </w:rPr>
              <w:t>提供承诺函计分，格式自拟。</w:t>
            </w:r>
            <w:r>
              <w:rPr>
                <w:color w:val="auto"/>
                <w:highlight w:val="none"/>
              </w:rPr>
              <w:t>未提供</w:t>
            </w:r>
            <w:r>
              <w:rPr>
                <w:rFonts w:hint="eastAsia"/>
                <w:color w:val="auto"/>
                <w:highlight w:val="none"/>
              </w:rPr>
              <w:t>或提供</w:t>
            </w:r>
            <w:r>
              <w:rPr>
                <w:color w:val="auto"/>
                <w:highlight w:val="none"/>
              </w:rPr>
              <w:t>不齐全不得分。</w:t>
            </w:r>
          </w:p>
        </w:tc>
      </w:tr>
      <w:tr w14:paraId="354965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581" w:type="pct"/>
            <w:vMerge w:val="continue"/>
            <w:vAlign w:val="center"/>
          </w:tcPr>
          <w:p w14:paraId="0B271419">
            <w:pPr>
              <w:pStyle w:val="24"/>
              <w:adjustRightInd w:val="0"/>
              <w:snapToGrid w:val="0"/>
              <w:spacing w:line="460" w:lineRule="exact"/>
              <w:jc w:val="both"/>
              <w:rPr>
                <w:rFonts w:cs="宋体" w:asciiTheme="minorEastAsia" w:hAnsiTheme="minorEastAsia" w:eastAsiaTheme="minorEastAsia"/>
                <w:color w:val="auto"/>
                <w:sz w:val="21"/>
                <w:szCs w:val="21"/>
                <w:highlight w:val="none"/>
              </w:rPr>
            </w:pPr>
          </w:p>
        </w:tc>
        <w:tc>
          <w:tcPr>
            <w:tcW w:w="599" w:type="pct"/>
            <w:vAlign w:val="center"/>
          </w:tcPr>
          <w:p w14:paraId="5C95230D">
            <w:pPr>
              <w:pStyle w:val="24"/>
              <w:adjustRightInd w:val="0"/>
              <w:snapToGrid w:val="0"/>
              <w:spacing w:line="460" w:lineRule="exact"/>
              <w:jc w:val="center"/>
              <w:rPr>
                <w:rFonts w:cs="Arial" w:asciiTheme="minorEastAsia" w:hAnsiTheme="minorEastAsia" w:eastAsiaTheme="minorEastAsia"/>
                <w:color w:val="auto"/>
                <w:sz w:val="21"/>
                <w:szCs w:val="21"/>
                <w:highlight w:val="none"/>
              </w:rPr>
            </w:pPr>
            <w:r>
              <w:rPr>
                <w:rFonts w:hint="eastAsia" w:asciiTheme="minorEastAsia" w:hAnsiTheme="minorEastAsia" w:eastAsiaTheme="minorEastAsia" w:cstheme="minorBidi"/>
                <w:color w:val="auto"/>
                <w:kern w:val="2"/>
                <w:sz w:val="21"/>
                <w:highlight w:val="none"/>
              </w:rPr>
              <w:t>投入本单位</w:t>
            </w:r>
            <w:bookmarkStart w:id="203" w:name="OLE_LINK10"/>
            <w:r>
              <w:rPr>
                <w:rFonts w:hint="eastAsia" w:asciiTheme="minorEastAsia" w:hAnsiTheme="minorEastAsia" w:eastAsiaTheme="minorEastAsia" w:cstheme="minorBidi"/>
                <w:color w:val="auto"/>
                <w:kern w:val="2"/>
                <w:sz w:val="21"/>
                <w:highlight w:val="none"/>
              </w:rPr>
              <w:t>授课师资配置</w:t>
            </w:r>
            <w:bookmarkEnd w:id="203"/>
            <w:r>
              <w:rPr>
                <w:rFonts w:hint="eastAsia" w:asciiTheme="minorEastAsia" w:hAnsiTheme="minorEastAsia" w:eastAsiaTheme="minorEastAsia" w:cstheme="minorBidi"/>
                <w:color w:val="auto"/>
                <w:kern w:val="2"/>
                <w:sz w:val="21"/>
                <w:highlight w:val="none"/>
              </w:rPr>
              <w:t>情况</w:t>
            </w:r>
          </w:p>
        </w:tc>
        <w:tc>
          <w:tcPr>
            <w:tcW w:w="578" w:type="pct"/>
            <w:vAlign w:val="center"/>
          </w:tcPr>
          <w:p w14:paraId="4A56F4D8">
            <w:pPr>
              <w:adjustRightInd w:val="0"/>
              <w:snapToGrid w:val="0"/>
              <w:spacing w:line="460" w:lineRule="exact"/>
              <w:jc w:val="center"/>
              <w:rPr>
                <w:rFonts w:cs="Arial" w:asciiTheme="minorEastAsia" w:hAnsiTheme="minorEastAsia"/>
                <w:color w:val="auto"/>
                <w:kern w:val="0"/>
                <w:szCs w:val="21"/>
                <w:highlight w:val="none"/>
              </w:rPr>
            </w:pPr>
            <w:r>
              <w:rPr>
                <w:rFonts w:asciiTheme="minorEastAsia" w:hAnsiTheme="minorEastAsia"/>
                <w:color w:val="auto"/>
                <w:highlight w:val="none"/>
              </w:rPr>
              <w:t>10分</w:t>
            </w:r>
          </w:p>
        </w:tc>
        <w:tc>
          <w:tcPr>
            <w:tcW w:w="3241" w:type="pct"/>
            <w:vAlign w:val="center"/>
          </w:tcPr>
          <w:p w14:paraId="1E493187">
            <w:pPr>
              <w:spacing w:line="460" w:lineRule="exact"/>
              <w:jc w:val="left"/>
              <w:rPr>
                <w:rFonts w:asciiTheme="minorEastAsia" w:hAnsiTheme="minorEastAsia"/>
                <w:color w:val="auto"/>
                <w:highlight w:val="none"/>
              </w:rPr>
            </w:pPr>
            <w:r>
              <w:rPr>
                <w:rFonts w:hint="eastAsia" w:cs="Arial" w:asciiTheme="minorEastAsia" w:hAnsiTheme="minorEastAsia"/>
                <w:color w:val="auto"/>
                <w:szCs w:val="21"/>
                <w:highlight w:val="none"/>
              </w:rPr>
              <w:t>投标人</w:t>
            </w:r>
            <w:r>
              <w:rPr>
                <w:rFonts w:hint="eastAsia" w:asciiTheme="minorEastAsia" w:hAnsiTheme="minorEastAsia"/>
                <w:color w:val="auto"/>
                <w:highlight w:val="none"/>
              </w:rPr>
              <w:t>投入本项目的授课老师具有教授（</w:t>
            </w:r>
            <w:r>
              <w:rPr>
                <w:rFonts w:asciiTheme="minorEastAsia" w:hAnsiTheme="minorEastAsia"/>
                <w:color w:val="auto"/>
                <w:highlight w:val="none"/>
              </w:rPr>
              <w:t>《高等学校教授资格证书》</w:t>
            </w:r>
            <w:r>
              <w:rPr>
                <w:rFonts w:hint="eastAsia" w:asciiTheme="minorEastAsia" w:hAnsiTheme="minorEastAsia"/>
                <w:color w:val="auto"/>
                <w:highlight w:val="none"/>
              </w:rPr>
              <w:t>）或正高级相关专业职称的，每有1个得</w:t>
            </w:r>
            <w:r>
              <w:rPr>
                <w:rFonts w:asciiTheme="minorEastAsia" w:hAnsiTheme="minorEastAsia"/>
                <w:color w:val="auto"/>
                <w:highlight w:val="none"/>
              </w:rPr>
              <w:t>1</w:t>
            </w:r>
            <w:r>
              <w:rPr>
                <w:rFonts w:hint="eastAsia" w:asciiTheme="minorEastAsia" w:hAnsiTheme="minorEastAsia"/>
                <w:color w:val="auto"/>
                <w:highlight w:val="none"/>
              </w:rPr>
              <w:t>分；副教授（</w:t>
            </w:r>
            <w:r>
              <w:rPr>
                <w:rFonts w:asciiTheme="minorEastAsia" w:hAnsiTheme="minorEastAsia"/>
                <w:color w:val="auto"/>
                <w:highlight w:val="none"/>
              </w:rPr>
              <w:t>高等学校副教授资格证书</w:t>
            </w:r>
            <w:r>
              <w:rPr>
                <w:rFonts w:hint="eastAsia" w:asciiTheme="minorEastAsia" w:hAnsiTheme="minorEastAsia"/>
                <w:color w:val="auto"/>
                <w:highlight w:val="none"/>
              </w:rPr>
              <w:t>）或副高级相关专业职称的，每有1个得</w:t>
            </w:r>
            <w:r>
              <w:rPr>
                <w:rFonts w:asciiTheme="minorEastAsia" w:hAnsiTheme="minorEastAsia"/>
                <w:color w:val="auto"/>
                <w:highlight w:val="none"/>
              </w:rPr>
              <w:t>0.5</w:t>
            </w:r>
            <w:r>
              <w:rPr>
                <w:rFonts w:hint="eastAsia" w:asciiTheme="minorEastAsia" w:hAnsiTheme="minorEastAsia"/>
                <w:color w:val="auto"/>
                <w:highlight w:val="none"/>
              </w:rPr>
              <w:t>分，本项最高得</w:t>
            </w:r>
            <w:r>
              <w:rPr>
                <w:rFonts w:asciiTheme="minorEastAsia" w:hAnsiTheme="minorEastAsia"/>
                <w:color w:val="auto"/>
                <w:highlight w:val="none"/>
              </w:rPr>
              <w:t>10</w:t>
            </w:r>
            <w:r>
              <w:rPr>
                <w:rFonts w:hint="eastAsia" w:asciiTheme="minorEastAsia" w:hAnsiTheme="minorEastAsia"/>
                <w:color w:val="auto"/>
                <w:highlight w:val="none"/>
              </w:rPr>
              <w:t>分。</w:t>
            </w:r>
          </w:p>
          <w:p w14:paraId="77102E97">
            <w:pPr>
              <w:spacing w:line="460" w:lineRule="exact"/>
              <w:jc w:val="left"/>
              <w:rPr>
                <w:rFonts w:cs="Arial" w:asciiTheme="minorEastAsia" w:hAnsiTheme="minorEastAsia"/>
                <w:color w:val="auto"/>
                <w:szCs w:val="21"/>
                <w:highlight w:val="none"/>
              </w:rPr>
            </w:pPr>
            <w:r>
              <w:rPr>
                <w:rFonts w:hint="eastAsia" w:asciiTheme="minorEastAsia" w:hAnsiTheme="minorEastAsia"/>
                <w:color w:val="auto"/>
                <w:highlight w:val="none"/>
              </w:rPr>
              <w:t>注：本项以</w:t>
            </w:r>
            <w:r>
              <w:rPr>
                <w:rFonts w:hint="eastAsia" w:cs="Arial" w:asciiTheme="minorEastAsia" w:hAnsiTheme="minorEastAsia"/>
                <w:color w:val="auto"/>
                <w:szCs w:val="21"/>
                <w:highlight w:val="none"/>
              </w:rPr>
              <w:t>投标人</w:t>
            </w:r>
            <w:r>
              <w:rPr>
                <w:rFonts w:hint="eastAsia" w:asciiTheme="minorEastAsia" w:hAnsiTheme="minorEastAsia"/>
                <w:color w:val="auto"/>
                <w:highlight w:val="none"/>
              </w:rPr>
              <w:t>提供的上述人员的证书原件彩色扫描件、</w:t>
            </w:r>
            <w:r>
              <w:rPr>
                <w:rFonts w:hint="eastAsia" w:cs="Arial" w:asciiTheme="minorEastAsia" w:hAnsiTheme="minorEastAsia"/>
                <w:color w:val="auto"/>
                <w:szCs w:val="21"/>
                <w:highlight w:val="none"/>
              </w:rPr>
              <w:t>投标人</w:t>
            </w:r>
            <w:r>
              <w:rPr>
                <w:rFonts w:hint="eastAsia" w:asciiTheme="minorEastAsia" w:hAnsiTheme="minorEastAsia"/>
                <w:color w:val="auto"/>
                <w:highlight w:val="none"/>
              </w:rPr>
              <w:t>的承诺函（承诺中标后本项用于加分的授课老师均参与本项目相关专业的授课活动；承诺函格式自拟）计分。</w:t>
            </w:r>
            <w:r>
              <w:rPr>
                <w:rFonts w:asciiTheme="minorEastAsia" w:hAnsiTheme="minorEastAsia"/>
                <w:color w:val="auto"/>
                <w:highlight w:val="none"/>
              </w:rPr>
              <w:t>未提供</w:t>
            </w:r>
            <w:r>
              <w:rPr>
                <w:rFonts w:hint="eastAsia" w:asciiTheme="minorEastAsia" w:hAnsiTheme="minorEastAsia"/>
                <w:color w:val="auto"/>
                <w:highlight w:val="none"/>
              </w:rPr>
              <w:t>或提供</w:t>
            </w:r>
            <w:r>
              <w:rPr>
                <w:rFonts w:asciiTheme="minorEastAsia" w:hAnsiTheme="minorEastAsia"/>
                <w:color w:val="auto"/>
                <w:highlight w:val="none"/>
              </w:rPr>
              <w:t>不齐全不得分。</w:t>
            </w:r>
          </w:p>
        </w:tc>
      </w:tr>
      <w:tr w14:paraId="031171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581" w:type="pct"/>
            <w:vMerge w:val="restart"/>
            <w:vAlign w:val="center"/>
          </w:tcPr>
          <w:p w14:paraId="400782ED">
            <w:pPr>
              <w:pStyle w:val="24"/>
              <w:adjustRightInd w:val="0"/>
              <w:snapToGrid w:val="0"/>
              <w:spacing w:line="460" w:lineRule="exact"/>
              <w:jc w:val="both"/>
              <w:rPr>
                <w:rFonts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技术部分</w:t>
            </w:r>
          </w:p>
        </w:tc>
        <w:tc>
          <w:tcPr>
            <w:tcW w:w="599" w:type="pct"/>
            <w:vAlign w:val="center"/>
          </w:tcPr>
          <w:p w14:paraId="65689350">
            <w:pPr>
              <w:pStyle w:val="24"/>
              <w:adjustRightInd w:val="0"/>
              <w:snapToGrid w:val="0"/>
              <w:spacing w:line="460" w:lineRule="exact"/>
              <w:jc w:val="center"/>
              <w:rPr>
                <w:rFonts w:cs="宋体" w:asciiTheme="minorEastAsia" w:hAnsiTheme="minorEastAsia" w:eastAsiaTheme="minorEastAsia"/>
                <w:color w:val="auto"/>
                <w:sz w:val="21"/>
                <w:szCs w:val="21"/>
                <w:highlight w:val="none"/>
              </w:rPr>
            </w:pPr>
            <w:r>
              <w:rPr>
                <w:rFonts w:hint="eastAsia" w:cs="Arial" w:asciiTheme="minorEastAsia" w:hAnsiTheme="minorEastAsia" w:eastAsiaTheme="minorEastAsia"/>
                <w:color w:val="auto"/>
                <w:sz w:val="21"/>
                <w:szCs w:val="21"/>
                <w:highlight w:val="none"/>
              </w:rPr>
              <w:t>需求理解</w:t>
            </w:r>
          </w:p>
        </w:tc>
        <w:tc>
          <w:tcPr>
            <w:tcW w:w="578" w:type="pct"/>
            <w:vAlign w:val="center"/>
          </w:tcPr>
          <w:p w14:paraId="23DE7390">
            <w:pPr>
              <w:adjustRightInd w:val="0"/>
              <w:snapToGrid w:val="0"/>
              <w:spacing w:line="460" w:lineRule="exact"/>
              <w:jc w:val="center"/>
              <w:rPr>
                <w:rFonts w:cs="宋体" w:asciiTheme="minorEastAsia" w:hAnsiTheme="minorEastAsia"/>
                <w:color w:val="auto"/>
                <w:kern w:val="0"/>
                <w:szCs w:val="21"/>
                <w:highlight w:val="none"/>
              </w:rPr>
            </w:pPr>
            <w:r>
              <w:rPr>
                <w:rFonts w:cs="Arial" w:asciiTheme="minorEastAsia" w:hAnsiTheme="minorEastAsia"/>
                <w:color w:val="auto"/>
                <w:kern w:val="0"/>
                <w:szCs w:val="21"/>
                <w:highlight w:val="none"/>
              </w:rPr>
              <w:t>5</w:t>
            </w:r>
            <w:r>
              <w:rPr>
                <w:rFonts w:asciiTheme="minorEastAsia" w:hAnsiTheme="minorEastAsia"/>
                <w:color w:val="auto"/>
                <w:szCs w:val="21"/>
                <w:highlight w:val="none"/>
              </w:rPr>
              <w:t>分</w:t>
            </w:r>
          </w:p>
        </w:tc>
        <w:tc>
          <w:tcPr>
            <w:tcW w:w="3241" w:type="pct"/>
            <w:vAlign w:val="center"/>
          </w:tcPr>
          <w:p w14:paraId="60F420C5">
            <w:pPr>
              <w:adjustRightInd w:val="0"/>
              <w:snapToGrid w:val="0"/>
              <w:spacing w:line="460" w:lineRule="exact"/>
              <w:rPr>
                <w:rFonts w:cs="Arial" w:asciiTheme="minorEastAsia" w:hAnsiTheme="minorEastAsia"/>
                <w:color w:val="auto"/>
                <w:szCs w:val="21"/>
                <w:highlight w:val="none"/>
                <w:lang w:val="zh-CN"/>
              </w:rPr>
            </w:pPr>
            <w:r>
              <w:rPr>
                <w:rFonts w:hint="eastAsia" w:cs="Arial" w:asciiTheme="minorEastAsia" w:hAnsiTheme="minorEastAsia"/>
                <w:color w:val="auto"/>
                <w:szCs w:val="21"/>
                <w:highlight w:val="none"/>
              </w:rPr>
              <w:t>投标人</w:t>
            </w:r>
            <w:r>
              <w:rPr>
                <w:rFonts w:hint="eastAsia" w:cs="Arial" w:asciiTheme="minorEastAsia" w:hAnsiTheme="minorEastAsia"/>
                <w:color w:val="auto"/>
                <w:szCs w:val="21"/>
                <w:highlight w:val="none"/>
                <w:lang w:val="zh-CN"/>
              </w:rPr>
              <w:t>根据第四章第</w:t>
            </w:r>
            <w:r>
              <w:rPr>
                <w:rFonts w:hint="eastAsia" w:cs="Arial" w:asciiTheme="minorEastAsia" w:hAnsiTheme="minorEastAsia"/>
                <w:color w:val="auto"/>
                <w:szCs w:val="21"/>
                <w:highlight w:val="none"/>
              </w:rPr>
              <w:t>七</w:t>
            </w:r>
            <w:r>
              <w:rPr>
                <w:rFonts w:hint="eastAsia" w:cs="Arial" w:asciiTheme="minorEastAsia" w:hAnsiTheme="minorEastAsia"/>
                <w:color w:val="auto"/>
                <w:szCs w:val="21"/>
                <w:highlight w:val="none"/>
                <w:lang w:val="zh-CN"/>
              </w:rPr>
              <w:t>款的“</w:t>
            </w:r>
            <w:r>
              <w:rPr>
                <w:rFonts w:hint="eastAsia" w:cs="Arial" w:asciiTheme="minorEastAsia" w:hAnsiTheme="minorEastAsia"/>
                <w:color w:val="auto"/>
                <w:szCs w:val="21"/>
                <w:highlight w:val="none"/>
              </w:rPr>
              <w:t>需求理解</w:t>
            </w:r>
            <w:r>
              <w:rPr>
                <w:rFonts w:hint="eastAsia" w:cs="Arial" w:asciiTheme="minorEastAsia" w:hAnsiTheme="minorEastAsia"/>
                <w:color w:val="auto"/>
                <w:szCs w:val="21"/>
                <w:highlight w:val="none"/>
                <w:lang w:val="zh-CN"/>
              </w:rPr>
              <w:t>”，</w:t>
            </w:r>
            <w:r>
              <w:rPr>
                <w:rFonts w:hint="eastAsia" w:cs="Arial" w:asciiTheme="minorEastAsia" w:hAnsiTheme="minorEastAsia"/>
                <w:color w:val="auto"/>
                <w:szCs w:val="21"/>
                <w:highlight w:val="none"/>
              </w:rPr>
              <w:t>至少要包括（1）对项目背景与目标的理解；（2）对培养对象及需求的分析；（3）对服务范围与要求的认知。</w:t>
            </w:r>
            <w:r>
              <w:rPr>
                <w:rFonts w:hint="eastAsia" w:cs="Arial" w:asciiTheme="minorEastAsia" w:hAnsiTheme="minorEastAsia"/>
                <w:color w:val="auto"/>
                <w:szCs w:val="21"/>
                <w:highlight w:val="none"/>
                <w:lang w:val="zh-CN"/>
              </w:rPr>
              <w:t>进行综合评定：方案完整严谨、合理可行、解决措施得当，优于招标文件要求的得5分；满足采购需求的得3分；方案不满足采购需求或未提供的不得分。</w:t>
            </w:r>
          </w:p>
          <w:p w14:paraId="20CA84DA">
            <w:pPr>
              <w:adjustRightInd w:val="0"/>
              <w:snapToGrid w:val="0"/>
              <w:spacing w:line="460" w:lineRule="exact"/>
              <w:rPr>
                <w:rFonts w:cs="Arial" w:asciiTheme="minorEastAsia" w:hAnsiTheme="minorEastAsia"/>
                <w:color w:val="auto"/>
                <w:szCs w:val="21"/>
                <w:highlight w:val="none"/>
                <w:lang w:val="zh-CN"/>
              </w:rPr>
            </w:pPr>
            <w:r>
              <w:rPr>
                <w:rFonts w:hint="eastAsia" w:cs="Arial" w:asciiTheme="minorEastAsia" w:hAnsiTheme="minorEastAsia"/>
                <w:color w:val="auto"/>
                <w:szCs w:val="21"/>
                <w:highlight w:val="none"/>
              </w:rPr>
              <w:t>投标人</w:t>
            </w:r>
            <w:r>
              <w:rPr>
                <w:rFonts w:hint="eastAsia" w:cs="Arial" w:asciiTheme="minorEastAsia" w:hAnsiTheme="minorEastAsia"/>
                <w:color w:val="auto"/>
                <w:szCs w:val="21"/>
                <w:highlight w:val="none"/>
                <w:lang w:val="zh-CN"/>
              </w:rPr>
              <w:t>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p>
        </w:tc>
      </w:tr>
      <w:tr w14:paraId="0A313E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75" w:hRule="atLeast"/>
          <w:jc w:val="center"/>
        </w:trPr>
        <w:tc>
          <w:tcPr>
            <w:tcW w:w="581" w:type="pct"/>
            <w:vMerge w:val="continue"/>
            <w:vAlign w:val="center"/>
          </w:tcPr>
          <w:p w14:paraId="172ADB38">
            <w:pPr>
              <w:pStyle w:val="24"/>
              <w:adjustRightInd w:val="0"/>
              <w:snapToGrid w:val="0"/>
              <w:spacing w:line="460" w:lineRule="exact"/>
              <w:jc w:val="both"/>
              <w:rPr>
                <w:rFonts w:cs="宋体" w:asciiTheme="minorEastAsia" w:hAnsiTheme="minorEastAsia" w:eastAsiaTheme="minorEastAsia"/>
                <w:color w:val="auto"/>
                <w:sz w:val="21"/>
                <w:szCs w:val="21"/>
                <w:highlight w:val="none"/>
              </w:rPr>
            </w:pPr>
          </w:p>
        </w:tc>
        <w:tc>
          <w:tcPr>
            <w:tcW w:w="599" w:type="pct"/>
            <w:vAlign w:val="center"/>
          </w:tcPr>
          <w:p w14:paraId="545B3E4C">
            <w:pPr>
              <w:pStyle w:val="24"/>
              <w:adjustRightInd w:val="0"/>
              <w:snapToGrid w:val="0"/>
              <w:spacing w:line="460" w:lineRule="exact"/>
              <w:jc w:val="center"/>
              <w:rPr>
                <w:rFonts w:cs="宋体" w:asciiTheme="minorEastAsia" w:hAnsiTheme="minorEastAsia" w:eastAsiaTheme="minorEastAsia"/>
                <w:color w:val="auto"/>
                <w:sz w:val="21"/>
                <w:szCs w:val="21"/>
                <w:highlight w:val="none"/>
              </w:rPr>
            </w:pPr>
            <w:r>
              <w:rPr>
                <w:rFonts w:hint="eastAsia" w:cs="Arial" w:asciiTheme="minorEastAsia" w:hAnsiTheme="minorEastAsia" w:eastAsiaTheme="minorEastAsia"/>
                <w:color w:val="auto"/>
                <w:sz w:val="21"/>
                <w:szCs w:val="21"/>
                <w:highlight w:val="none"/>
              </w:rPr>
              <w:t>实施方案</w:t>
            </w:r>
          </w:p>
        </w:tc>
        <w:tc>
          <w:tcPr>
            <w:tcW w:w="578" w:type="pct"/>
            <w:vAlign w:val="center"/>
          </w:tcPr>
          <w:p w14:paraId="2B9ABAFE">
            <w:pPr>
              <w:adjustRightInd w:val="0"/>
              <w:snapToGrid w:val="0"/>
              <w:spacing w:line="460" w:lineRule="exact"/>
              <w:jc w:val="center"/>
              <w:rPr>
                <w:rFonts w:asciiTheme="minorEastAsia" w:hAnsiTheme="minorEastAsia"/>
                <w:color w:val="auto"/>
                <w:szCs w:val="21"/>
                <w:highlight w:val="none"/>
              </w:rPr>
            </w:pPr>
            <w:r>
              <w:rPr>
                <w:rFonts w:cs="Arial" w:asciiTheme="minorEastAsia" w:hAnsiTheme="minorEastAsia"/>
                <w:color w:val="auto"/>
                <w:kern w:val="0"/>
                <w:szCs w:val="21"/>
                <w:highlight w:val="none"/>
              </w:rPr>
              <w:t>13</w:t>
            </w:r>
            <w:r>
              <w:rPr>
                <w:rFonts w:asciiTheme="minorEastAsia" w:hAnsiTheme="minorEastAsia"/>
                <w:color w:val="auto"/>
                <w:szCs w:val="21"/>
                <w:highlight w:val="none"/>
              </w:rPr>
              <w:t>分</w:t>
            </w:r>
          </w:p>
        </w:tc>
        <w:tc>
          <w:tcPr>
            <w:tcW w:w="3241" w:type="pct"/>
            <w:vAlign w:val="center"/>
          </w:tcPr>
          <w:p w14:paraId="3BA00E34">
            <w:pPr>
              <w:adjustRightInd w:val="0"/>
              <w:snapToGrid w:val="0"/>
              <w:spacing w:line="460" w:lineRule="exact"/>
              <w:rPr>
                <w:rFonts w:cs="Arial" w:asciiTheme="minorEastAsia" w:hAnsiTheme="minorEastAsia"/>
                <w:color w:val="auto"/>
                <w:szCs w:val="21"/>
                <w:highlight w:val="none"/>
                <w:lang w:val="zh-CN"/>
              </w:rPr>
            </w:pPr>
            <w:r>
              <w:rPr>
                <w:rFonts w:hint="eastAsia" w:cs="Arial" w:asciiTheme="minorEastAsia" w:hAnsiTheme="minorEastAsia"/>
                <w:color w:val="auto"/>
                <w:szCs w:val="21"/>
                <w:highlight w:val="none"/>
              </w:rPr>
              <w:t>投标人</w:t>
            </w:r>
            <w:r>
              <w:rPr>
                <w:rFonts w:hint="eastAsia" w:cs="Arial" w:asciiTheme="minorEastAsia" w:hAnsiTheme="minorEastAsia"/>
                <w:color w:val="auto"/>
                <w:szCs w:val="21"/>
                <w:highlight w:val="none"/>
                <w:lang w:val="zh-CN"/>
              </w:rPr>
              <w:t>根据第四章第</w:t>
            </w:r>
            <w:r>
              <w:rPr>
                <w:rFonts w:hint="eastAsia" w:cs="Arial" w:asciiTheme="minorEastAsia" w:hAnsiTheme="minorEastAsia"/>
                <w:color w:val="auto"/>
                <w:szCs w:val="21"/>
                <w:highlight w:val="none"/>
              </w:rPr>
              <w:t>七</w:t>
            </w:r>
            <w:r>
              <w:rPr>
                <w:rFonts w:hint="eastAsia" w:cs="Arial" w:asciiTheme="minorEastAsia" w:hAnsiTheme="minorEastAsia"/>
                <w:color w:val="auto"/>
                <w:szCs w:val="21"/>
                <w:highlight w:val="none"/>
                <w:lang w:val="zh-CN"/>
              </w:rPr>
              <w:t>款的“实施方案”，至少要包括（1）编制项目流程；（2）设计执行方案；（3）协调沟通措施；（4）项目实施进度计划；（</w:t>
            </w:r>
            <w:r>
              <w:rPr>
                <w:rFonts w:hint="eastAsia" w:cs="Arial" w:asciiTheme="minorEastAsia" w:hAnsiTheme="minorEastAsia"/>
                <w:color w:val="auto"/>
                <w:szCs w:val="21"/>
                <w:highlight w:val="none"/>
              </w:rPr>
              <w:t>5</w:t>
            </w:r>
            <w:r>
              <w:rPr>
                <w:rFonts w:hint="eastAsia" w:cs="Arial" w:asciiTheme="minorEastAsia" w:hAnsiTheme="minorEastAsia"/>
                <w:color w:val="auto"/>
                <w:szCs w:val="21"/>
                <w:highlight w:val="none"/>
                <w:lang w:val="zh-CN"/>
              </w:rPr>
              <w:t>）持续跟踪服务等，根据</w:t>
            </w:r>
            <w:r>
              <w:rPr>
                <w:rFonts w:hint="eastAsia" w:cs="Arial" w:asciiTheme="minorEastAsia" w:hAnsiTheme="minorEastAsia"/>
                <w:color w:val="auto"/>
                <w:szCs w:val="21"/>
                <w:highlight w:val="none"/>
              </w:rPr>
              <w:t>投标人</w:t>
            </w:r>
            <w:r>
              <w:rPr>
                <w:rFonts w:hint="eastAsia" w:cs="Arial" w:asciiTheme="minorEastAsia" w:hAnsiTheme="minorEastAsia"/>
                <w:color w:val="auto"/>
                <w:szCs w:val="21"/>
                <w:highlight w:val="none"/>
                <w:lang w:val="zh-CN"/>
              </w:rPr>
              <w:t>实施方案进行综合评分。进行综合评定：方案完整严谨、合理可行、解决措施得当，优于招标文件要求的得</w:t>
            </w:r>
            <w:r>
              <w:rPr>
                <w:rFonts w:hint="eastAsia" w:cs="Arial" w:asciiTheme="minorEastAsia" w:hAnsiTheme="minorEastAsia"/>
                <w:color w:val="auto"/>
                <w:szCs w:val="21"/>
                <w:highlight w:val="none"/>
              </w:rPr>
              <w:t>13</w:t>
            </w:r>
            <w:r>
              <w:rPr>
                <w:rFonts w:hint="eastAsia" w:cs="Arial" w:asciiTheme="minorEastAsia" w:hAnsiTheme="minorEastAsia"/>
                <w:color w:val="auto"/>
                <w:szCs w:val="21"/>
                <w:highlight w:val="none"/>
                <w:lang w:val="zh-CN"/>
              </w:rPr>
              <w:t>分；满足采购需求的得</w:t>
            </w:r>
            <w:r>
              <w:rPr>
                <w:rFonts w:hint="eastAsia" w:cs="Arial" w:asciiTheme="minorEastAsia" w:hAnsiTheme="minorEastAsia"/>
                <w:color w:val="auto"/>
                <w:szCs w:val="21"/>
                <w:highlight w:val="none"/>
              </w:rPr>
              <w:t>10</w:t>
            </w:r>
            <w:r>
              <w:rPr>
                <w:rFonts w:hint="eastAsia" w:cs="Arial" w:asciiTheme="minorEastAsia" w:hAnsiTheme="minorEastAsia"/>
                <w:color w:val="auto"/>
                <w:szCs w:val="21"/>
                <w:highlight w:val="none"/>
                <w:lang w:val="zh-CN"/>
              </w:rPr>
              <w:t>分；方案不满足采购需求或未提供的不得分。</w:t>
            </w:r>
          </w:p>
          <w:p w14:paraId="6D529485">
            <w:pPr>
              <w:adjustRightInd w:val="0"/>
              <w:snapToGrid w:val="0"/>
              <w:spacing w:line="460" w:lineRule="exact"/>
              <w:rPr>
                <w:rFonts w:cs="Arial" w:asciiTheme="minorEastAsia" w:hAnsiTheme="minorEastAsia"/>
                <w:color w:val="auto"/>
                <w:szCs w:val="21"/>
                <w:highlight w:val="none"/>
                <w:lang w:val="zh-CN"/>
              </w:rPr>
            </w:pPr>
            <w:r>
              <w:rPr>
                <w:rFonts w:hint="eastAsia" w:cs="Arial" w:asciiTheme="minorEastAsia" w:hAnsiTheme="minorEastAsia"/>
                <w:color w:val="auto"/>
                <w:szCs w:val="21"/>
                <w:highlight w:val="none"/>
              </w:rPr>
              <w:t>投标人</w:t>
            </w:r>
            <w:r>
              <w:rPr>
                <w:rFonts w:hint="eastAsia" w:cs="Arial" w:asciiTheme="minorEastAsia" w:hAnsiTheme="minorEastAsia"/>
                <w:color w:val="auto"/>
                <w:szCs w:val="21"/>
                <w:highlight w:val="none"/>
                <w:lang w:val="zh-CN"/>
              </w:rPr>
              <w:t>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p>
        </w:tc>
      </w:tr>
      <w:tr w14:paraId="3DEAA5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581" w:type="pct"/>
            <w:vMerge w:val="continue"/>
            <w:vAlign w:val="center"/>
          </w:tcPr>
          <w:p w14:paraId="1CABA0E0">
            <w:pPr>
              <w:pStyle w:val="24"/>
              <w:adjustRightInd w:val="0"/>
              <w:snapToGrid w:val="0"/>
              <w:spacing w:line="460" w:lineRule="exact"/>
              <w:jc w:val="center"/>
              <w:rPr>
                <w:rFonts w:cs="宋体" w:asciiTheme="minorEastAsia" w:hAnsiTheme="minorEastAsia" w:eastAsiaTheme="minorEastAsia"/>
                <w:color w:val="auto"/>
                <w:sz w:val="21"/>
                <w:szCs w:val="21"/>
                <w:highlight w:val="none"/>
              </w:rPr>
            </w:pPr>
          </w:p>
        </w:tc>
        <w:tc>
          <w:tcPr>
            <w:tcW w:w="599" w:type="pct"/>
            <w:vAlign w:val="center"/>
          </w:tcPr>
          <w:p w14:paraId="327F4E74">
            <w:pPr>
              <w:pStyle w:val="24"/>
              <w:adjustRightInd w:val="0"/>
              <w:snapToGrid w:val="0"/>
              <w:spacing w:line="460" w:lineRule="exact"/>
              <w:jc w:val="center"/>
              <w:rPr>
                <w:rFonts w:cs="宋体" w:asciiTheme="minorEastAsia" w:hAnsiTheme="minorEastAsia" w:eastAsiaTheme="minorEastAsia"/>
                <w:color w:val="auto"/>
                <w:sz w:val="21"/>
                <w:szCs w:val="21"/>
                <w:highlight w:val="none"/>
              </w:rPr>
            </w:pPr>
            <w:r>
              <w:rPr>
                <w:rFonts w:hint="eastAsia" w:cs="Arial" w:asciiTheme="minorEastAsia" w:hAnsiTheme="minorEastAsia" w:eastAsiaTheme="minorEastAsia"/>
                <w:color w:val="auto"/>
                <w:sz w:val="21"/>
                <w:szCs w:val="21"/>
                <w:highlight w:val="none"/>
              </w:rPr>
              <w:t>课程设置方案</w:t>
            </w:r>
          </w:p>
        </w:tc>
        <w:tc>
          <w:tcPr>
            <w:tcW w:w="578" w:type="pct"/>
            <w:vAlign w:val="center"/>
          </w:tcPr>
          <w:p w14:paraId="5382247D">
            <w:pPr>
              <w:adjustRightInd w:val="0"/>
              <w:snapToGrid w:val="0"/>
              <w:spacing w:line="460" w:lineRule="exact"/>
              <w:jc w:val="center"/>
              <w:rPr>
                <w:rFonts w:cs="宋体" w:asciiTheme="minorEastAsia" w:hAnsiTheme="minorEastAsia"/>
                <w:color w:val="auto"/>
                <w:szCs w:val="21"/>
                <w:highlight w:val="none"/>
              </w:rPr>
            </w:pPr>
            <w:r>
              <w:rPr>
                <w:rFonts w:cs="宋体" w:asciiTheme="minorEastAsia" w:hAnsiTheme="minorEastAsia"/>
                <w:color w:val="auto"/>
                <w:kern w:val="0"/>
                <w:szCs w:val="21"/>
                <w:highlight w:val="none"/>
              </w:rPr>
              <w:t>1</w:t>
            </w:r>
            <w:r>
              <w:rPr>
                <w:rFonts w:hint="eastAsia" w:cs="宋体" w:asciiTheme="minorEastAsia" w:hAnsiTheme="minorEastAsia"/>
                <w:color w:val="auto"/>
                <w:kern w:val="0"/>
                <w:szCs w:val="21"/>
                <w:highlight w:val="none"/>
              </w:rPr>
              <w:t>7</w:t>
            </w:r>
            <w:r>
              <w:rPr>
                <w:rFonts w:asciiTheme="minorEastAsia" w:hAnsiTheme="minorEastAsia"/>
                <w:color w:val="auto"/>
                <w:szCs w:val="21"/>
                <w:highlight w:val="none"/>
              </w:rPr>
              <w:t>分</w:t>
            </w:r>
          </w:p>
        </w:tc>
        <w:tc>
          <w:tcPr>
            <w:tcW w:w="3241" w:type="pct"/>
            <w:vAlign w:val="center"/>
          </w:tcPr>
          <w:p w14:paraId="22AB908F">
            <w:pPr>
              <w:adjustRightInd w:val="0"/>
              <w:snapToGrid w:val="0"/>
              <w:spacing w:line="460" w:lineRule="exact"/>
              <w:rPr>
                <w:rFonts w:cs="Arial" w:asciiTheme="minorEastAsia" w:hAnsiTheme="minorEastAsia"/>
                <w:color w:val="auto"/>
                <w:szCs w:val="21"/>
                <w:highlight w:val="none"/>
                <w:lang w:val="zh-CN"/>
              </w:rPr>
            </w:pPr>
            <w:r>
              <w:rPr>
                <w:rFonts w:hint="eastAsia" w:cs="Arial" w:asciiTheme="minorEastAsia" w:hAnsiTheme="minorEastAsia"/>
                <w:color w:val="auto"/>
                <w:szCs w:val="21"/>
                <w:highlight w:val="none"/>
              </w:rPr>
              <w:t>投标人</w:t>
            </w:r>
            <w:r>
              <w:rPr>
                <w:rFonts w:hint="eastAsia" w:cs="Arial" w:asciiTheme="minorEastAsia" w:hAnsiTheme="minorEastAsia"/>
                <w:color w:val="auto"/>
                <w:szCs w:val="21"/>
                <w:highlight w:val="none"/>
                <w:lang w:val="zh-CN"/>
              </w:rPr>
              <w:t>根据第四章第</w:t>
            </w:r>
            <w:r>
              <w:rPr>
                <w:rFonts w:hint="eastAsia" w:cs="Arial" w:asciiTheme="minorEastAsia" w:hAnsiTheme="minorEastAsia"/>
                <w:color w:val="auto"/>
                <w:szCs w:val="21"/>
                <w:highlight w:val="none"/>
              </w:rPr>
              <w:t>七</w:t>
            </w:r>
            <w:r>
              <w:rPr>
                <w:rFonts w:hint="eastAsia" w:cs="Arial" w:asciiTheme="minorEastAsia" w:hAnsiTheme="minorEastAsia"/>
                <w:color w:val="auto"/>
                <w:szCs w:val="21"/>
                <w:highlight w:val="none"/>
                <w:lang w:val="zh-CN"/>
              </w:rPr>
              <w:t>款的“</w:t>
            </w:r>
            <w:r>
              <w:rPr>
                <w:rFonts w:hint="eastAsia" w:cs="Arial" w:asciiTheme="minorEastAsia" w:hAnsiTheme="minorEastAsia"/>
                <w:color w:val="auto"/>
                <w:szCs w:val="21"/>
                <w:highlight w:val="none"/>
              </w:rPr>
              <w:t>课程设置方案</w:t>
            </w:r>
            <w:r>
              <w:rPr>
                <w:rFonts w:hint="eastAsia" w:cs="Arial" w:asciiTheme="minorEastAsia" w:hAnsiTheme="minorEastAsia"/>
                <w:color w:val="auto"/>
                <w:szCs w:val="21"/>
                <w:highlight w:val="none"/>
                <w:lang w:val="zh-CN"/>
              </w:rPr>
              <w:t>”，至少要包括（1）课程体系架构与核心模块；（2）课程内容设计原则与开发方法；（3）师资配备标准与专家邀请机制。进行综合评定：方案完整严谨、合理可行、解决措施得当，优于招标文件要求的得</w:t>
            </w:r>
            <w:r>
              <w:rPr>
                <w:rFonts w:hint="eastAsia" w:cs="Arial" w:asciiTheme="minorEastAsia" w:hAnsiTheme="minorEastAsia"/>
                <w:color w:val="auto"/>
                <w:szCs w:val="21"/>
                <w:highlight w:val="none"/>
              </w:rPr>
              <w:t>17</w:t>
            </w:r>
            <w:r>
              <w:rPr>
                <w:rFonts w:hint="eastAsia" w:cs="Arial" w:asciiTheme="minorEastAsia" w:hAnsiTheme="minorEastAsia"/>
                <w:color w:val="auto"/>
                <w:szCs w:val="21"/>
                <w:highlight w:val="none"/>
                <w:lang w:val="zh-CN"/>
              </w:rPr>
              <w:t>分；满足采购需求的得</w:t>
            </w:r>
            <w:r>
              <w:rPr>
                <w:rFonts w:hint="eastAsia" w:cs="Arial" w:asciiTheme="minorEastAsia" w:hAnsiTheme="minorEastAsia"/>
                <w:color w:val="auto"/>
                <w:szCs w:val="21"/>
                <w:highlight w:val="none"/>
              </w:rPr>
              <w:t>13</w:t>
            </w:r>
            <w:r>
              <w:rPr>
                <w:rFonts w:hint="eastAsia" w:cs="Arial" w:asciiTheme="minorEastAsia" w:hAnsiTheme="minorEastAsia"/>
                <w:color w:val="auto"/>
                <w:szCs w:val="21"/>
                <w:highlight w:val="none"/>
                <w:lang w:val="zh-CN"/>
              </w:rPr>
              <w:t>分；方案不满足采购需求或未提供的不得分。</w:t>
            </w:r>
          </w:p>
          <w:p w14:paraId="0221CCF6">
            <w:pPr>
              <w:adjustRightInd w:val="0"/>
              <w:snapToGrid w:val="0"/>
              <w:spacing w:line="460" w:lineRule="exact"/>
              <w:rPr>
                <w:rFonts w:cs="宋体" w:asciiTheme="minorEastAsia" w:hAnsiTheme="minorEastAsia"/>
                <w:color w:val="auto"/>
                <w:szCs w:val="21"/>
                <w:highlight w:val="none"/>
              </w:rPr>
            </w:pPr>
            <w:r>
              <w:rPr>
                <w:rFonts w:hint="eastAsia" w:cs="Arial" w:asciiTheme="minorEastAsia" w:hAnsiTheme="minorEastAsia"/>
                <w:color w:val="auto"/>
                <w:szCs w:val="21"/>
                <w:highlight w:val="none"/>
              </w:rPr>
              <w:t>投标人</w:t>
            </w:r>
            <w:r>
              <w:rPr>
                <w:rFonts w:hint="eastAsia" w:cs="Arial" w:asciiTheme="minorEastAsia" w:hAnsiTheme="minorEastAsia"/>
                <w:color w:val="auto"/>
                <w:szCs w:val="21"/>
                <w:highlight w:val="none"/>
                <w:lang w:val="zh-CN"/>
              </w:rPr>
              <w:t>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p>
        </w:tc>
      </w:tr>
      <w:tr w14:paraId="4166B4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5" w:hRule="atLeast"/>
          <w:jc w:val="center"/>
        </w:trPr>
        <w:tc>
          <w:tcPr>
            <w:tcW w:w="581" w:type="pct"/>
            <w:vMerge w:val="continue"/>
            <w:vAlign w:val="center"/>
          </w:tcPr>
          <w:p w14:paraId="263AEC00">
            <w:pPr>
              <w:pStyle w:val="24"/>
              <w:adjustRightInd w:val="0"/>
              <w:snapToGrid w:val="0"/>
              <w:spacing w:line="460" w:lineRule="exact"/>
              <w:jc w:val="center"/>
              <w:rPr>
                <w:rFonts w:cs="宋体" w:asciiTheme="minorEastAsia" w:hAnsiTheme="minorEastAsia" w:eastAsiaTheme="minorEastAsia"/>
                <w:color w:val="auto"/>
                <w:sz w:val="21"/>
                <w:szCs w:val="21"/>
                <w:highlight w:val="none"/>
              </w:rPr>
            </w:pPr>
          </w:p>
        </w:tc>
        <w:tc>
          <w:tcPr>
            <w:tcW w:w="599" w:type="pct"/>
            <w:vAlign w:val="center"/>
          </w:tcPr>
          <w:p w14:paraId="10016291">
            <w:pPr>
              <w:pStyle w:val="24"/>
              <w:adjustRightInd w:val="0"/>
              <w:snapToGrid w:val="0"/>
              <w:spacing w:line="460" w:lineRule="exact"/>
              <w:jc w:val="center"/>
              <w:rPr>
                <w:rFonts w:cs="宋体" w:asciiTheme="minorEastAsia" w:hAnsiTheme="minorEastAsia" w:eastAsiaTheme="minorEastAsia"/>
                <w:color w:val="auto"/>
                <w:sz w:val="21"/>
                <w:szCs w:val="21"/>
                <w:highlight w:val="none"/>
              </w:rPr>
            </w:pPr>
            <w:r>
              <w:rPr>
                <w:rFonts w:hint="eastAsia" w:cs="Arial" w:asciiTheme="minorEastAsia" w:hAnsiTheme="minorEastAsia" w:eastAsiaTheme="minorEastAsia"/>
                <w:color w:val="auto"/>
                <w:sz w:val="21"/>
                <w:szCs w:val="21"/>
                <w:highlight w:val="none"/>
              </w:rPr>
              <w:t>管理制度</w:t>
            </w:r>
          </w:p>
        </w:tc>
        <w:tc>
          <w:tcPr>
            <w:tcW w:w="578" w:type="pct"/>
            <w:vAlign w:val="center"/>
          </w:tcPr>
          <w:p w14:paraId="4D95FA5F">
            <w:pPr>
              <w:adjustRightInd w:val="0"/>
              <w:snapToGrid w:val="0"/>
              <w:spacing w:line="460" w:lineRule="exact"/>
              <w:jc w:val="center"/>
              <w:rPr>
                <w:rFonts w:cs="宋体" w:asciiTheme="minorEastAsia" w:hAnsiTheme="minorEastAsia"/>
                <w:color w:val="auto"/>
                <w:szCs w:val="21"/>
                <w:highlight w:val="none"/>
              </w:rPr>
            </w:pPr>
            <w:r>
              <w:rPr>
                <w:rFonts w:hint="eastAsia" w:cs="宋体" w:asciiTheme="minorEastAsia" w:hAnsiTheme="minorEastAsia"/>
                <w:color w:val="auto"/>
                <w:kern w:val="0"/>
                <w:szCs w:val="21"/>
                <w:highlight w:val="none"/>
              </w:rPr>
              <w:t>5</w:t>
            </w:r>
            <w:r>
              <w:rPr>
                <w:rFonts w:asciiTheme="minorEastAsia" w:hAnsiTheme="minorEastAsia"/>
                <w:color w:val="auto"/>
                <w:szCs w:val="21"/>
                <w:highlight w:val="none"/>
              </w:rPr>
              <w:t>分</w:t>
            </w:r>
          </w:p>
        </w:tc>
        <w:tc>
          <w:tcPr>
            <w:tcW w:w="3241" w:type="pct"/>
            <w:vAlign w:val="center"/>
          </w:tcPr>
          <w:p w14:paraId="3C705084">
            <w:pPr>
              <w:adjustRightInd w:val="0"/>
              <w:snapToGrid w:val="0"/>
              <w:spacing w:line="460" w:lineRule="exact"/>
              <w:rPr>
                <w:rFonts w:cs="Arial" w:asciiTheme="minorEastAsia" w:hAnsiTheme="minorEastAsia"/>
                <w:color w:val="auto"/>
                <w:szCs w:val="21"/>
                <w:highlight w:val="none"/>
                <w:lang w:val="zh-CN"/>
              </w:rPr>
            </w:pPr>
            <w:r>
              <w:rPr>
                <w:rFonts w:hint="eastAsia" w:cs="Arial" w:asciiTheme="minorEastAsia" w:hAnsiTheme="minorEastAsia"/>
                <w:color w:val="auto"/>
                <w:szCs w:val="21"/>
                <w:highlight w:val="none"/>
              </w:rPr>
              <w:t>投标人</w:t>
            </w:r>
            <w:r>
              <w:rPr>
                <w:rFonts w:hint="eastAsia" w:cs="Arial" w:asciiTheme="minorEastAsia" w:hAnsiTheme="minorEastAsia"/>
                <w:color w:val="auto"/>
                <w:szCs w:val="21"/>
                <w:highlight w:val="none"/>
                <w:lang w:val="zh-CN"/>
              </w:rPr>
              <w:t>根据第四章第</w:t>
            </w:r>
            <w:r>
              <w:rPr>
                <w:rFonts w:hint="eastAsia" w:cs="Arial" w:asciiTheme="minorEastAsia" w:hAnsiTheme="minorEastAsia"/>
                <w:color w:val="auto"/>
                <w:szCs w:val="21"/>
                <w:highlight w:val="none"/>
              </w:rPr>
              <w:t>七</w:t>
            </w:r>
            <w:r>
              <w:rPr>
                <w:rFonts w:hint="eastAsia" w:cs="Arial" w:asciiTheme="minorEastAsia" w:hAnsiTheme="minorEastAsia"/>
                <w:color w:val="auto"/>
                <w:szCs w:val="21"/>
                <w:highlight w:val="none"/>
                <w:lang w:val="zh-CN"/>
              </w:rPr>
              <w:t>款的“</w:t>
            </w:r>
            <w:r>
              <w:rPr>
                <w:rFonts w:hint="eastAsia" w:cs="Arial" w:asciiTheme="minorEastAsia" w:hAnsiTheme="minorEastAsia"/>
                <w:color w:val="auto"/>
                <w:szCs w:val="21"/>
                <w:highlight w:val="none"/>
              </w:rPr>
              <w:t>管理制度</w:t>
            </w:r>
            <w:r>
              <w:rPr>
                <w:rFonts w:hint="eastAsia" w:cs="Arial" w:asciiTheme="minorEastAsia" w:hAnsiTheme="minorEastAsia"/>
                <w:color w:val="auto"/>
                <w:szCs w:val="21"/>
                <w:highlight w:val="none"/>
                <w:lang w:val="zh-CN"/>
              </w:rPr>
              <w:t>”，</w:t>
            </w:r>
            <w:r>
              <w:rPr>
                <w:rFonts w:hint="eastAsia" w:cs="Arial" w:asciiTheme="minorEastAsia" w:hAnsiTheme="minorEastAsia"/>
                <w:color w:val="auto"/>
                <w:szCs w:val="21"/>
                <w:highlight w:val="none"/>
              </w:rPr>
              <w:t>至少要包括（1）教学管理制度；（2）学员管理制度；（3）沟通协调制度；（4）档案与资料管理制度。</w:t>
            </w:r>
            <w:r>
              <w:rPr>
                <w:rFonts w:hint="eastAsia" w:cs="Arial" w:asciiTheme="minorEastAsia" w:hAnsiTheme="minorEastAsia"/>
                <w:color w:val="auto"/>
                <w:szCs w:val="21"/>
                <w:highlight w:val="none"/>
                <w:lang w:val="zh-CN"/>
              </w:rPr>
              <w:t>进行综合评定：方案完整严谨、合理可行、解决措施得当，优于招标文件要求的得5分；满足采购需求的得3分；方案不满足采购需求或未提供的不得分。</w:t>
            </w:r>
          </w:p>
          <w:p w14:paraId="1C00B8DF">
            <w:pPr>
              <w:adjustRightInd w:val="0"/>
              <w:snapToGrid w:val="0"/>
              <w:spacing w:line="460" w:lineRule="exact"/>
              <w:jc w:val="left"/>
              <w:rPr>
                <w:rFonts w:cs="宋体" w:asciiTheme="minorEastAsia" w:hAnsiTheme="minorEastAsia"/>
                <w:color w:val="auto"/>
                <w:szCs w:val="21"/>
                <w:highlight w:val="none"/>
              </w:rPr>
            </w:pPr>
            <w:r>
              <w:rPr>
                <w:rFonts w:hint="eastAsia" w:cs="Arial" w:asciiTheme="minorEastAsia" w:hAnsiTheme="minorEastAsia"/>
                <w:color w:val="auto"/>
                <w:szCs w:val="21"/>
                <w:highlight w:val="none"/>
              </w:rPr>
              <w:t>投标人</w:t>
            </w:r>
            <w:r>
              <w:rPr>
                <w:rFonts w:hint="eastAsia" w:cs="Arial" w:asciiTheme="minorEastAsia" w:hAnsiTheme="minorEastAsia"/>
                <w:color w:val="auto"/>
                <w:szCs w:val="21"/>
                <w:highlight w:val="none"/>
                <w:lang w:val="zh-CN"/>
              </w:rPr>
              <w:t>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p>
        </w:tc>
      </w:tr>
      <w:tr w14:paraId="17A0DE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5" w:hRule="atLeast"/>
          <w:jc w:val="center"/>
        </w:trPr>
        <w:tc>
          <w:tcPr>
            <w:tcW w:w="581" w:type="pct"/>
            <w:vMerge w:val="continue"/>
            <w:vAlign w:val="center"/>
          </w:tcPr>
          <w:p w14:paraId="5F939BB0">
            <w:pPr>
              <w:pStyle w:val="24"/>
              <w:adjustRightInd w:val="0"/>
              <w:snapToGrid w:val="0"/>
              <w:spacing w:line="460" w:lineRule="exact"/>
              <w:jc w:val="center"/>
              <w:rPr>
                <w:rFonts w:cs="宋体" w:asciiTheme="minorEastAsia" w:hAnsiTheme="minorEastAsia" w:eastAsiaTheme="minorEastAsia"/>
                <w:color w:val="auto"/>
                <w:sz w:val="21"/>
                <w:szCs w:val="21"/>
                <w:highlight w:val="none"/>
              </w:rPr>
            </w:pPr>
          </w:p>
        </w:tc>
        <w:tc>
          <w:tcPr>
            <w:tcW w:w="599" w:type="pct"/>
            <w:vAlign w:val="center"/>
          </w:tcPr>
          <w:p w14:paraId="0CF6178C">
            <w:pPr>
              <w:pStyle w:val="24"/>
              <w:adjustRightInd w:val="0"/>
              <w:snapToGrid w:val="0"/>
              <w:spacing w:line="460" w:lineRule="exact"/>
              <w:jc w:val="center"/>
              <w:rPr>
                <w:rFonts w:cs="宋体" w:asciiTheme="minorEastAsia" w:hAnsiTheme="minorEastAsia" w:eastAsiaTheme="minorEastAsia"/>
                <w:color w:val="auto"/>
                <w:sz w:val="21"/>
                <w:szCs w:val="21"/>
                <w:highlight w:val="none"/>
              </w:rPr>
            </w:pPr>
            <w:r>
              <w:rPr>
                <w:rFonts w:hint="eastAsia" w:cs="Arial" w:asciiTheme="minorEastAsia" w:hAnsiTheme="minorEastAsia" w:eastAsiaTheme="minorEastAsia"/>
                <w:color w:val="auto"/>
                <w:sz w:val="21"/>
                <w:szCs w:val="21"/>
                <w:highlight w:val="none"/>
              </w:rPr>
              <w:t>后勤保障方案</w:t>
            </w:r>
          </w:p>
        </w:tc>
        <w:tc>
          <w:tcPr>
            <w:tcW w:w="578" w:type="pct"/>
            <w:vAlign w:val="center"/>
          </w:tcPr>
          <w:p w14:paraId="6A6B74D7">
            <w:pPr>
              <w:adjustRightInd w:val="0"/>
              <w:snapToGrid w:val="0"/>
              <w:spacing w:line="460" w:lineRule="exact"/>
              <w:jc w:val="center"/>
              <w:rPr>
                <w:rFonts w:cs="宋体" w:asciiTheme="minorEastAsia" w:hAnsiTheme="minorEastAsia"/>
                <w:color w:val="auto"/>
                <w:szCs w:val="21"/>
                <w:highlight w:val="none"/>
              </w:rPr>
            </w:pPr>
            <w:r>
              <w:rPr>
                <w:rFonts w:cs="宋体" w:asciiTheme="minorEastAsia" w:hAnsiTheme="minorEastAsia"/>
                <w:color w:val="auto"/>
                <w:kern w:val="0"/>
                <w:szCs w:val="21"/>
                <w:highlight w:val="none"/>
              </w:rPr>
              <w:t>5</w:t>
            </w:r>
            <w:r>
              <w:rPr>
                <w:rFonts w:asciiTheme="minorEastAsia" w:hAnsiTheme="minorEastAsia"/>
                <w:color w:val="auto"/>
                <w:szCs w:val="21"/>
                <w:highlight w:val="none"/>
              </w:rPr>
              <w:t>分</w:t>
            </w:r>
          </w:p>
        </w:tc>
        <w:tc>
          <w:tcPr>
            <w:tcW w:w="3241" w:type="pct"/>
            <w:vAlign w:val="center"/>
          </w:tcPr>
          <w:p w14:paraId="75227DEA">
            <w:pPr>
              <w:adjustRightInd w:val="0"/>
              <w:snapToGrid w:val="0"/>
              <w:spacing w:line="460" w:lineRule="exact"/>
              <w:rPr>
                <w:rFonts w:cs="Arial" w:asciiTheme="minorEastAsia" w:hAnsiTheme="minorEastAsia"/>
                <w:color w:val="auto"/>
                <w:szCs w:val="21"/>
                <w:highlight w:val="none"/>
                <w:lang w:val="zh-CN"/>
              </w:rPr>
            </w:pPr>
            <w:r>
              <w:rPr>
                <w:rFonts w:hint="eastAsia" w:cs="Arial" w:asciiTheme="minorEastAsia" w:hAnsiTheme="minorEastAsia"/>
                <w:color w:val="auto"/>
                <w:szCs w:val="21"/>
                <w:highlight w:val="none"/>
              </w:rPr>
              <w:t>投标人</w:t>
            </w:r>
            <w:r>
              <w:rPr>
                <w:rFonts w:hint="eastAsia" w:cs="Arial" w:asciiTheme="minorEastAsia" w:hAnsiTheme="minorEastAsia"/>
                <w:color w:val="auto"/>
                <w:szCs w:val="21"/>
                <w:highlight w:val="none"/>
                <w:lang w:val="zh-CN"/>
              </w:rPr>
              <w:t>根据第四章第七款的“后勤保障方案”，至少要包括（1）教学场地保障；（2）学员食宿与交通安排；（3）教学设备与物资保障。进行综合评定：方案完整严谨、合理可行、解决措施得当，优于招标文件要求的得5分；满足采购需求的得3分；方案不满足采购需求或未提供的不得分。</w:t>
            </w:r>
          </w:p>
          <w:p w14:paraId="125720C6">
            <w:pPr>
              <w:pStyle w:val="25"/>
              <w:adjustRightInd w:val="0"/>
              <w:snapToGrid w:val="0"/>
              <w:spacing w:line="460" w:lineRule="exact"/>
              <w:ind w:firstLine="0"/>
              <w:rPr>
                <w:rFonts w:cs="宋体" w:asciiTheme="minorEastAsia" w:hAnsiTheme="minorEastAsia" w:eastAsiaTheme="minorEastAsia"/>
                <w:color w:val="auto"/>
                <w:sz w:val="24"/>
                <w:szCs w:val="24"/>
                <w:highlight w:val="none"/>
              </w:rPr>
            </w:pPr>
            <w:r>
              <w:rPr>
                <w:rFonts w:hint="eastAsia" w:cs="Arial" w:asciiTheme="minorEastAsia" w:hAnsiTheme="minorEastAsia"/>
                <w:color w:val="auto"/>
                <w:highlight w:val="none"/>
              </w:rPr>
              <w:t>投标人</w:t>
            </w:r>
            <w:r>
              <w:rPr>
                <w:rFonts w:hint="eastAsia" w:cs="Arial" w:asciiTheme="minorEastAsia" w:hAnsiTheme="minorEastAsia" w:eastAsiaTheme="minorEastAsia"/>
                <w:color w:val="auto"/>
                <w:kern w:val="2"/>
                <w:sz w:val="21"/>
                <w:highlight w:val="none"/>
                <w:lang w:val="zh-CN"/>
              </w:rPr>
              <w:t>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p>
        </w:tc>
      </w:tr>
      <w:tr w14:paraId="40C91D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1" w:hRule="atLeast"/>
          <w:jc w:val="center"/>
        </w:trPr>
        <w:tc>
          <w:tcPr>
            <w:tcW w:w="581" w:type="pct"/>
            <w:vMerge w:val="restart"/>
            <w:vAlign w:val="center"/>
          </w:tcPr>
          <w:p w14:paraId="18BDDA06">
            <w:pPr>
              <w:pStyle w:val="24"/>
              <w:adjustRightInd w:val="0"/>
              <w:snapToGrid w:val="0"/>
              <w:spacing w:line="460" w:lineRule="exact"/>
              <w:jc w:val="center"/>
              <w:rPr>
                <w:rFonts w:cs="宋体" w:asciiTheme="minorEastAsia" w:hAnsiTheme="minorEastAsia" w:eastAsiaTheme="minorEastAsia"/>
                <w:color w:val="auto"/>
                <w:sz w:val="21"/>
                <w:szCs w:val="21"/>
                <w:highlight w:val="none"/>
              </w:rPr>
            </w:pPr>
          </w:p>
        </w:tc>
        <w:tc>
          <w:tcPr>
            <w:tcW w:w="599" w:type="pct"/>
            <w:vAlign w:val="center"/>
          </w:tcPr>
          <w:p w14:paraId="297EB052">
            <w:pPr>
              <w:pStyle w:val="24"/>
              <w:adjustRightInd w:val="0"/>
              <w:snapToGrid w:val="0"/>
              <w:spacing w:line="460" w:lineRule="exact"/>
              <w:jc w:val="center"/>
              <w:rPr>
                <w:rFonts w:cs="宋体" w:asciiTheme="minorEastAsia" w:hAnsiTheme="minorEastAsia" w:eastAsiaTheme="minorEastAsia"/>
                <w:color w:val="auto"/>
                <w:sz w:val="21"/>
                <w:szCs w:val="21"/>
                <w:highlight w:val="none"/>
              </w:rPr>
            </w:pPr>
            <w:r>
              <w:rPr>
                <w:rFonts w:hint="eastAsia" w:cs="Arial" w:asciiTheme="minorEastAsia" w:hAnsiTheme="minorEastAsia" w:eastAsiaTheme="minorEastAsia"/>
                <w:color w:val="auto"/>
                <w:sz w:val="21"/>
                <w:szCs w:val="21"/>
                <w:highlight w:val="none"/>
              </w:rPr>
              <w:t>质量保障方案</w:t>
            </w:r>
          </w:p>
        </w:tc>
        <w:tc>
          <w:tcPr>
            <w:tcW w:w="578" w:type="pct"/>
            <w:vAlign w:val="center"/>
          </w:tcPr>
          <w:p w14:paraId="0BE5592B">
            <w:pPr>
              <w:adjustRightInd w:val="0"/>
              <w:snapToGrid w:val="0"/>
              <w:spacing w:line="460" w:lineRule="exact"/>
              <w:jc w:val="center"/>
              <w:rPr>
                <w:rFonts w:cs="宋体" w:asciiTheme="minorEastAsia" w:hAnsiTheme="minorEastAsia"/>
                <w:color w:val="auto"/>
                <w:szCs w:val="21"/>
                <w:highlight w:val="none"/>
              </w:rPr>
            </w:pPr>
            <w:r>
              <w:rPr>
                <w:rFonts w:hint="eastAsia" w:cs="宋体" w:asciiTheme="minorEastAsia" w:hAnsiTheme="minorEastAsia"/>
                <w:color w:val="auto"/>
                <w:kern w:val="0"/>
                <w:szCs w:val="21"/>
                <w:highlight w:val="none"/>
              </w:rPr>
              <w:t>5分</w:t>
            </w:r>
          </w:p>
        </w:tc>
        <w:tc>
          <w:tcPr>
            <w:tcW w:w="3241" w:type="pct"/>
            <w:vAlign w:val="center"/>
          </w:tcPr>
          <w:p w14:paraId="56DE022A">
            <w:pPr>
              <w:adjustRightInd w:val="0"/>
              <w:snapToGrid w:val="0"/>
              <w:spacing w:line="460" w:lineRule="exact"/>
              <w:rPr>
                <w:rFonts w:cs="Arial" w:asciiTheme="minorEastAsia" w:hAnsiTheme="minorEastAsia"/>
                <w:color w:val="auto"/>
                <w:szCs w:val="21"/>
                <w:highlight w:val="none"/>
                <w:lang w:val="zh-CN"/>
              </w:rPr>
            </w:pPr>
            <w:r>
              <w:rPr>
                <w:rFonts w:hint="eastAsia" w:cs="Arial" w:asciiTheme="minorEastAsia" w:hAnsiTheme="minorEastAsia"/>
                <w:color w:val="auto"/>
                <w:szCs w:val="21"/>
                <w:highlight w:val="none"/>
              </w:rPr>
              <w:t>投标人</w:t>
            </w:r>
            <w:r>
              <w:rPr>
                <w:rFonts w:hint="eastAsia" w:cs="Arial" w:asciiTheme="minorEastAsia" w:hAnsiTheme="minorEastAsia"/>
                <w:color w:val="auto"/>
                <w:szCs w:val="21"/>
                <w:highlight w:val="none"/>
                <w:lang w:val="zh-CN"/>
              </w:rPr>
              <w:t>根据第四章第</w:t>
            </w:r>
            <w:r>
              <w:rPr>
                <w:rFonts w:hint="eastAsia" w:cs="Arial" w:asciiTheme="minorEastAsia" w:hAnsiTheme="minorEastAsia"/>
                <w:color w:val="auto"/>
                <w:szCs w:val="21"/>
                <w:highlight w:val="none"/>
              </w:rPr>
              <w:t>七</w:t>
            </w:r>
            <w:r>
              <w:rPr>
                <w:rFonts w:hint="eastAsia" w:cs="Arial" w:asciiTheme="minorEastAsia" w:hAnsiTheme="minorEastAsia"/>
                <w:color w:val="auto"/>
                <w:szCs w:val="21"/>
                <w:highlight w:val="none"/>
                <w:lang w:val="zh-CN"/>
              </w:rPr>
              <w:t>款的“</w:t>
            </w:r>
            <w:r>
              <w:rPr>
                <w:rFonts w:hint="eastAsia" w:cs="Arial" w:asciiTheme="minorEastAsia" w:hAnsiTheme="minorEastAsia"/>
                <w:color w:val="auto"/>
                <w:szCs w:val="21"/>
                <w:highlight w:val="none"/>
              </w:rPr>
              <w:t>质量保障方案</w:t>
            </w:r>
            <w:r>
              <w:rPr>
                <w:rFonts w:hint="eastAsia" w:cs="Arial" w:asciiTheme="minorEastAsia" w:hAnsiTheme="minorEastAsia"/>
                <w:color w:val="auto"/>
                <w:szCs w:val="21"/>
                <w:highlight w:val="none"/>
                <w:lang w:val="zh-CN"/>
              </w:rPr>
              <w:t>”，至少要包括（1）教学质量监控方法；（2）过程评估与反馈机制；（3）成果质量验收标准。</w:t>
            </w:r>
            <w:r>
              <w:rPr>
                <w:rFonts w:hint="eastAsia" w:cs="宋体" w:asciiTheme="minorEastAsia" w:hAnsiTheme="minorEastAsia"/>
                <w:color w:val="auto"/>
                <w:szCs w:val="21"/>
                <w:highlight w:val="none"/>
                <w:lang w:val="zh-CN"/>
              </w:rPr>
              <w:t>进行综合评定：方案完整严谨、合理可行、解决措施得当，优于</w:t>
            </w:r>
            <w:r>
              <w:rPr>
                <w:rFonts w:hint="eastAsia" w:cs="宋体" w:asciiTheme="minorEastAsia" w:hAnsiTheme="minorEastAsia"/>
                <w:color w:val="auto"/>
                <w:szCs w:val="21"/>
                <w:highlight w:val="none"/>
              </w:rPr>
              <w:t>招标</w:t>
            </w:r>
            <w:r>
              <w:rPr>
                <w:rFonts w:hint="eastAsia" w:cs="宋体" w:asciiTheme="minorEastAsia" w:hAnsiTheme="minorEastAsia"/>
                <w:color w:val="auto"/>
                <w:szCs w:val="21"/>
                <w:highlight w:val="none"/>
                <w:lang w:val="zh-CN"/>
              </w:rPr>
              <w:t>文件要求的得</w:t>
            </w:r>
            <w:r>
              <w:rPr>
                <w:rFonts w:hint="eastAsia" w:cs="宋体" w:asciiTheme="minorEastAsia" w:hAnsiTheme="minorEastAsia"/>
                <w:color w:val="auto"/>
                <w:szCs w:val="21"/>
                <w:highlight w:val="none"/>
              </w:rPr>
              <w:t>5</w:t>
            </w:r>
            <w:r>
              <w:rPr>
                <w:rFonts w:hint="eastAsia" w:cs="宋体" w:asciiTheme="minorEastAsia" w:hAnsiTheme="minorEastAsia"/>
                <w:color w:val="auto"/>
                <w:szCs w:val="21"/>
                <w:highlight w:val="none"/>
                <w:lang w:val="zh-CN"/>
              </w:rPr>
              <w:t>分；满足采购需求的得</w:t>
            </w:r>
            <w:r>
              <w:rPr>
                <w:rFonts w:hint="eastAsia" w:cs="宋体" w:asciiTheme="minorEastAsia" w:hAnsiTheme="minorEastAsia"/>
                <w:color w:val="auto"/>
                <w:szCs w:val="21"/>
                <w:highlight w:val="none"/>
              </w:rPr>
              <w:t>3</w:t>
            </w:r>
            <w:r>
              <w:rPr>
                <w:rFonts w:hint="eastAsia" w:cs="宋体" w:asciiTheme="minorEastAsia" w:hAnsiTheme="minorEastAsia"/>
                <w:color w:val="auto"/>
                <w:szCs w:val="21"/>
                <w:highlight w:val="none"/>
                <w:lang w:val="zh-CN"/>
              </w:rPr>
              <w:t>分；方案不满足采购需求或未提供的不得分。</w:t>
            </w:r>
          </w:p>
          <w:p w14:paraId="2AF2D73C">
            <w:pPr>
              <w:spacing w:line="460" w:lineRule="exact"/>
              <w:rPr>
                <w:color w:val="auto"/>
                <w:szCs w:val="21"/>
                <w:highlight w:val="none"/>
              </w:rPr>
            </w:pPr>
            <w:r>
              <w:rPr>
                <w:rFonts w:hint="eastAsia" w:cs="Arial" w:asciiTheme="minorEastAsia" w:hAnsiTheme="minorEastAsia"/>
                <w:color w:val="auto"/>
                <w:szCs w:val="21"/>
                <w:highlight w:val="none"/>
              </w:rPr>
              <w:t>投标人</w:t>
            </w:r>
            <w:r>
              <w:rPr>
                <w:rFonts w:hint="eastAsia" w:cs="Arial" w:asciiTheme="minorEastAsia" w:hAnsiTheme="minorEastAsia"/>
                <w:color w:val="auto"/>
                <w:szCs w:val="21"/>
                <w:highlight w:val="none"/>
                <w:lang w:val="zh-CN"/>
              </w:rPr>
              <w:t>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p>
        </w:tc>
      </w:tr>
      <w:tr w14:paraId="2AAEB0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5" w:hRule="atLeast"/>
          <w:jc w:val="center"/>
        </w:trPr>
        <w:tc>
          <w:tcPr>
            <w:tcW w:w="581" w:type="pct"/>
            <w:vMerge w:val="continue"/>
            <w:vAlign w:val="center"/>
          </w:tcPr>
          <w:p w14:paraId="5D1A8867">
            <w:pPr>
              <w:pStyle w:val="24"/>
              <w:adjustRightInd w:val="0"/>
              <w:snapToGrid w:val="0"/>
              <w:spacing w:line="460" w:lineRule="exact"/>
              <w:jc w:val="center"/>
              <w:rPr>
                <w:rFonts w:cs="宋体" w:asciiTheme="minorEastAsia" w:hAnsiTheme="minorEastAsia" w:eastAsiaTheme="minorEastAsia"/>
                <w:color w:val="auto"/>
                <w:sz w:val="21"/>
                <w:szCs w:val="21"/>
                <w:highlight w:val="none"/>
              </w:rPr>
            </w:pPr>
          </w:p>
        </w:tc>
        <w:tc>
          <w:tcPr>
            <w:tcW w:w="599" w:type="pct"/>
            <w:vAlign w:val="center"/>
          </w:tcPr>
          <w:p w14:paraId="6DCFDA72">
            <w:pPr>
              <w:pStyle w:val="24"/>
              <w:adjustRightInd w:val="0"/>
              <w:snapToGrid w:val="0"/>
              <w:spacing w:line="460" w:lineRule="exact"/>
              <w:jc w:val="center"/>
              <w:rPr>
                <w:rFonts w:cs="宋体" w:asciiTheme="minorEastAsia" w:hAnsiTheme="minorEastAsia" w:eastAsiaTheme="minorEastAsia"/>
                <w:color w:val="auto"/>
                <w:sz w:val="21"/>
                <w:szCs w:val="21"/>
                <w:highlight w:val="none"/>
              </w:rPr>
            </w:pPr>
            <w:r>
              <w:rPr>
                <w:rFonts w:hint="eastAsia" w:cs="Arial" w:asciiTheme="minorEastAsia" w:hAnsiTheme="minorEastAsia" w:eastAsiaTheme="minorEastAsia"/>
                <w:color w:val="auto"/>
                <w:sz w:val="21"/>
                <w:szCs w:val="21"/>
                <w:highlight w:val="none"/>
              </w:rPr>
              <w:t>学员考核方案</w:t>
            </w:r>
          </w:p>
        </w:tc>
        <w:tc>
          <w:tcPr>
            <w:tcW w:w="578" w:type="pct"/>
            <w:vAlign w:val="center"/>
          </w:tcPr>
          <w:p w14:paraId="67420805">
            <w:pPr>
              <w:adjustRightInd w:val="0"/>
              <w:snapToGrid w:val="0"/>
              <w:spacing w:line="460" w:lineRule="exact"/>
              <w:ind w:firstLine="210" w:firstLineChars="100"/>
              <w:rPr>
                <w:rFonts w:cs="宋体" w:asciiTheme="minorEastAsia" w:hAnsiTheme="minorEastAsia"/>
                <w:color w:val="auto"/>
                <w:szCs w:val="21"/>
                <w:highlight w:val="none"/>
              </w:rPr>
            </w:pPr>
            <w:r>
              <w:rPr>
                <w:rFonts w:cs="宋体" w:asciiTheme="minorEastAsia" w:hAnsiTheme="minorEastAsia"/>
                <w:color w:val="auto"/>
                <w:kern w:val="0"/>
                <w:szCs w:val="21"/>
                <w:highlight w:val="none"/>
              </w:rPr>
              <w:t>5分</w:t>
            </w:r>
          </w:p>
        </w:tc>
        <w:tc>
          <w:tcPr>
            <w:tcW w:w="3241" w:type="pct"/>
            <w:vAlign w:val="center"/>
          </w:tcPr>
          <w:p w14:paraId="23CE78EA">
            <w:pPr>
              <w:adjustRightInd w:val="0"/>
              <w:snapToGrid w:val="0"/>
              <w:spacing w:line="460" w:lineRule="exact"/>
              <w:rPr>
                <w:rFonts w:cs="Arial" w:asciiTheme="minorEastAsia" w:hAnsiTheme="minorEastAsia"/>
                <w:color w:val="auto"/>
                <w:szCs w:val="21"/>
                <w:highlight w:val="none"/>
                <w:lang w:val="zh-CN"/>
              </w:rPr>
            </w:pPr>
            <w:r>
              <w:rPr>
                <w:rFonts w:hint="eastAsia" w:cs="Arial" w:asciiTheme="minorEastAsia" w:hAnsiTheme="minorEastAsia"/>
                <w:color w:val="auto"/>
                <w:szCs w:val="21"/>
                <w:highlight w:val="none"/>
              </w:rPr>
              <w:t>投标人</w:t>
            </w:r>
            <w:r>
              <w:rPr>
                <w:rFonts w:hint="eastAsia" w:cs="宋体" w:asciiTheme="minorEastAsia" w:hAnsiTheme="minorEastAsia"/>
                <w:color w:val="auto"/>
                <w:szCs w:val="21"/>
                <w:highlight w:val="none"/>
                <w:lang w:val="zh-CN"/>
              </w:rPr>
              <w:t>根据第四章第</w:t>
            </w:r>
            <w:r>
              <w:rPr>
                <w:rFonts w:hint="eastAsia" w:cs="宋体" w:asciiTheme="minorEastAsia" w:hAnsiTheme="minorEastAsia"/>
                <w:color w:val="auto"/>
                <w:szCs w:val="21"/>
                <w:highlight w:val="none"/>
              </w:rPr>
              <w:t>七</w:t>
            </w:r>
            <w:r>
              <w:rPr>
                <w:rFonts w:hint="eastAsia" w:cs="宋体" w:asciiTheme="minorEastAsia" w:hAnsiTheme="minorEastAsia"/>
                <w:color w:val="auto"/>
                <w:szCs w:val="21"/>
                <w:highlight w:val="none"/>
                <w:lang w:val="zh-CN"/>
              </w:rPr>
              <w:t>款的“</w:t>
            </w:r>
            <w:r>
              <w:rPr>
                <w:rFonts w:hint="eastAsia" w:cs="宋体" w:asciiTheme="minorEastAsia" w:hAnsiTheme="minorEastAsia"/>
                <w:color w:val="auto"/>
                <w:szCs w:val="21"/>
                <w:highlight w:val="none"/>
              </w:rPr>
              <w:t>学员考核方案</w:t>
            </w:r>
            <w:r>
              <w:rPr>
                <w:rFonts w:hint="eastAsia" w:cs="宋体" w:asciiTheme="minorEastAsia" w:hAnsiTheme="minorEastAsia"/>
                <w:color w:val="auto"/>
                <w:szCs w:val="21"/>
                <w:highlight w:val="none"/>
                <w:lang w:val="zh-CN"/>
              </w:rPr>
              <w:t>”，至少要包括（1）考核指标体系设计；（2）考核方式与流程；（3）考核结果应用与反馈。进行综合评定：方案完整严谨、合理可行、解决措施得当，优于</w:t>
            </w:r>
            <w:r>
              <w:rPr>
                <w:rFonts w:hint="eastAsia" w:cs="宋体" w:asciiTheme="minorEastAsia" w:hAnsiTheme="minorEastAsia"/>
                <w:color w:val="auto"/>
                <w:szCs w:val="21"/>
                <w:highlight w:val="none"/>
              </w:rPr>
              <w:t>招标</w:t>
            </w:r>
            <w:r>
              <w:rPr>
                <w:rFonts w:hint="eastAsia" w:cs="宋体" w:asciiTheme="minorEastAsia" w:hAnsiTheme="minorEastAsia"/>
                <w:color w:val="auto"/>
                <w:szCs w:val="21"/>
                <w:highlight w:val="none"/>
                <w:lang w:val="zh-CN"/>
              </w:rPr>
              <w:t>文件要求的得</w:t>
            </w:r>
            <w:r>
              <w:rPr>
                <w:rFonts w:hint="eastAsia" w:cs="宋体" w:asciiTheme="minorEastAsia" w:hAnsiTheme="minorEastAsia"/>
                <w:color w:val="auto"/>
                <w:szCs w:val="21"/>
                <w:highlight w:val="none"/>
              </w:rPr>
              <w:t>5</w:t>
            </w:r>
            <w:r>
              <w:rPr>
                <w:rFonts w:hint="eastAsia" w:cs="宋体" w:asciiTheme="minorEastAsia" w:hAnsiTheme="minorEastAsia"/>
                <w:color w:val="auto"/>
                <w:szCs w:val="21"/>
                <w:highlight w:val="none"/>
                <w:lang w:val="zh-CN"/>
              </w:rPr>
              <w:t>分；满足采购需求的得</w:t>
            </w:r>
            <w:r>
              <w:rPr>
                <w:rFonts w:hint="eastAsia" w:cs="宋体" w:asciiTheme="minorEastAsia" w:hAnsiTheme="minorEastAsia"/>
                <w:color w:val="auto"/>
                <w:szCs w:val="21"/>
                <w:highlight w:val="none"/>
              </w:rPr>
              <w:t>3</w:t>
            </w:r>
            <w:r>
              <w:rPr>
                <w:rFonts w:hint="eastAsia" w:cs="宋体" w:asciiTheme="minorEastAsia" w:hAnsiTheme="minorEastAsia"/>
                <w:color w:val="auto"/>
                <w:szCs w:val="21"/>
                <w:highlight w:val="none"/>
                <w:lang w:val="zh-CN"/>
              </w:rPr>
              <w:t>分；方案不满足采购需求或未提供的不得分。</w:t>
            </w:r>
          </w:p>
          <w:p w14:paraId="18980EB4">
            <w:pPr>
              <w:adjustRightInd w:val="0"/>
              <w:snapToGrid w:val="0"/>
              <w:spacing w:line="460" w:lineRule="exact"/>
              <w:rPr>
                <w:color w:val="auto"/>
                <w:szCs w:val="21"/>
                <w:highlight w:val="none"/>
              </w:rPr>
            </w:pPr>
            <w:r>
              <w:rPr>
                <w:rFonts w:hint="eastAsia" w:cs="Arial" w:asciiTheme="minorEastAsia" w:hAnsiTheme="minorEastAsia"/>
                <w:color w:val="auto"/>
                <w:szCs w:val="21"/>
                <w:highlight w:val="none"/>
              </w:rPr>
              <w:t>投标人</w:t>
            </w:r>
            <w:r>
              <w:rPr>
                <w:rFonts w:hint="eastAsia" w:cs="Arial" w:asciiTheme="minorEastAsia" w:hAnsiTheme="minorEastAsia"/>
                <w:color w:val="auto"/>
                <w:szCs w:val="21"/>
                <w:highlight w:val="none"/>
                <w:lang w:val="zh-CN"/>
              </w:rPr>
              <w:t>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p>
        </w:tc>
      </w:tr>
      <w:tr w14:paraId="1F4848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5" w:hRule="atLeast"/>
          <w:jc w:val="center"/>
        </w:trPr>
        <w:tc>
          <w:tcPr>
            <w:tcW w:w="581" w:type="pct"/>
            <w:vMerge w:val="continue"/>
            <w:vAlign w:val="center"/>
          </w:tcPr>
          <w:p w14:paraId="3FE195A2">
            <w:pPr>
              <w:pStyle w:val="24"/>
              <w:adjustRightInd w:val="0"/>
              <w:snapToGrid w:val="0"/>
              <w:spacing w:line="460" w:lineRule="exact"/>
              <w:jc w:val="center"/>
              <w:rPr>
                <w:rFonts w:cs="宋体" w:asciiTheme="minorEastAsia" w:hAnsiTheme="minorEastAsia" w:eastAsiaTheme="minorEastAsia"/>
                <w:color w:val="auto"/>
                <w:sz w:val="21"/>
                <w:szCs w:val="21"/>
                <w:highlight w:val="none"/>
              </w:rPr>
            </w:pPr>
          </w:p>
        </w:tc>
        <w:tc>
          <w:tcPr>
            <w:tcW w:w="599" w:type="pct"/>
            <w:vAlign w:val="center"/>
          </w:tcPr>
          <w:p w14:paraId="2967FCDC">
            <w:pPr>
              <w:pStyle w:val="24"/>
              <w:adjustRightInd w:val="0"/>
              <w:snapToGrid w:val="0"/>
              <w:spacing w:line="460" w:lineRule="exact"/>
              <w:jc w:val="center"/>
              <w:rPr>
                <w:rFonts w:cs="宋体" w:asciiTheme="minorEastAsia" w:hAnsiTheme="minorEastAsia" w:eastAsiaTheme="minorEastAsia"/>
                <w:color w:val="auto"/>
                <w:sz w:val="21"/>
                <w:szCs w:val="21"/>
                <w:highlight w:val="none"/>
              </w:rPr>
            </w:pPr>
            <w:r>
              <w:rPr>
                <w:rFonts w:hint="eastAsia" w:cs="Arial" w:asciiTheme="minorEastAsia" w:hAnsiTheme="minorEastAsia" w:eastAsiaTheme="minorEastAsia"/>
                <w:color w:val="auto"/>
                <w:sz w:val="21"/>
                <w:szCs w:val="21"/>
                <w:highlight w:val="none"/>
              </w:rPr>
              <w:t>应急保障方案</w:t>
            </w:r>
          </w:p>
        </w:tc>
        <w:tc>
          <w:tcPr>
            <w:tcW w:w="578" w:type="pct"/>
            <w:vAlign w:val="center"/>
          </w:tcPr>
          <w:p w14:paraId="240DEE65">
            <w:pPr>
              <w:adjustRightInd w:val="0"/>
              <w:snapToGrid w:val="0"/>
              <w:spacing w:line="460" w:lineRule="exact"/>
              <w:ind w:firstLine="210" w:firstLineChars="100"/>
              <w:rPr>
                <w:rFonts w:cs="宋体" w:asciiTheme="minorEastAsia" w:hAnsiTheme="minorEastAsia"/>
                <w:color w:val="auto"/>
                <w:szCs w:val="21"/>
                <w:highlight w:val="none"/>
              </w:rPr>
            </w:pPr>
            <w:r>
              <w:rPr>
                <w:rFonts w:hint="eastAsia" w:cs="宋体" w:asciiTheme="minorEastAsia" w:hAnsiTheme="minorEastAsia"/>
                <w:color w:val="auto"/>
                <w:kern w:val="0"/>
                <w:szCs w:val="21"/>
                <w:highlight w:val="none"/>
              </w:rPr>
              <w:t>6</w:t>
            </w:r>
            <w:r>
              <w:rPr>
                <w:rFonts w:cs="宋体" w:asciiTheme="minorEastAsia" w:hAnsiTheme="minorEastAsia"/>
                <w:color w:val="auto"/>
                <w:kern w:val="0"/>
                <w:szCs w:val="21"/>
                <w:highlight w:val="none"/>
              </w:rPr>
              <w:t>分</w:t>
            </w:r>
          </w:p>
        </w:tc>
        <w:tc>
          <w:tcPr>
            <w:tcW w:w="3241" w:type="pct"/>
            <w:vAlign w:val="center"/>
          </w:tcPr>
          <w:p w14:paraId="5C5CAE1D">
            <w:pPr>
              <w:adjustRightInd w:val="0"/>
              <w:snapToGrid w:val="0"/>
              <w:spacing w:line="460" w:lineRule="exact"/>
              <w:rPr>
                <w:rFonts w:cs="Arial" w:asciiTheme="minorEastAsia" w:hAnsiTheme="minorEastAsia"/>
                <w:color w:val="auto"/>
                <w:szCs w:val="21"/>
                <w:highlight w:val="none"/>
                <w:lang w:val="zh-CN"/>
              </w:rPr>
            </w:pPr>
            <w:r>
              <w:rPr>
                <w:rFonts w:hint="eastAsia" w:cs="Arial" w:asciiTheme="minorEastAsia" w:hAnsiTheme="minorEastAsia"/>
                <w:color w:val="auto"/>
                <w:szCs w:val="21"/>
                <w:highlight w:val="none"/>
              </w:rPr>
              <w:t>投标人</w:t>
            </w:r>
            <w:r>
              <w:rPr>
                <w:rFonts w:hint="eastAsia" w:cs="宋体" w:asciiTheme="minorEastAsia" w:hAnsiTheme="minorEastAsia"/>
                <w:color w:val="auto"/>
                <w:szCs w:val="21"/>
                <w:highlight w:val="none"/>
                <w:lang w:val="zh-CN"/>
              </w:rPr>
              <w:t>根据第四章第</w:t>
            </w:r>
            <w:r>
              <w:rPr>
                <w:rFonts w:hint="eastAsia" w:cs="宋体" w:asciiTheme="minorEastAsia" w:hAnsiTheme="minorEastAsia"/>
                <w:color w:val="auto"/>
                <w:szCs w:val="21"/>
                <w:highlight w:val="none"/>
              </w:rPr>
              <w:t>七</w:t>
            </w:r>
            <w:r>
              <w:rPr>
                <w:rFonts w:hint="eastAsia" w:cs="宋体" w:asciiTheme="minorEastAsia" w:hAnsiTheme="minorEastAsia"/>
                <w:color w:val="auto"/>
                <w:szCs w:val="21"/>
                <w:highlight w:val="none"/>
                <w:lang w:val="zh-CN"/>
              </w:rPr>
              <w:t>款的“</w:t>
            </w:r>
            <w:r>
              <w:rPr>
                <w:rFonts w:hint="eastAsia" w:cs="Arial" w:asciiTheme="minorEastAsia" w:hAnsiTheme="minorEastAsia"/>
                <w:color w:val="auto"/>
                <w:szCs w:val="21"/>
                <w:highlight w:val="none"/>
              </w:rPr>
              <w:t>应急保障方案</w:t>
            </w:r>
            <w:r>
              <w:rPr>
                <w:rFonts w:hint="eastAsia" w:cs="宋体" w:asciiTheme="minorEastAsia" w:hAnsiTheme="minorEastAsia"/>
                <w:color w:val="auto"/>
                <w:szCs w:val="21"/>
                <w:highlight w:val="none"/>
                <w:lang w:val="zh-CN"/>
              </w:rPr>
              <w:t>”，至少要包括（1）</w:t>
            </w:r>
            <w:r>
              <w:rPr>
                <w:rFonts w:hint="eastAsia" w:cs="宋体" w:asciiTheme="minorEastAsia" w:hAnsiTheme="minorEastAsia"/>
                <w:color w:val="auto"/>
                <w:szCs w:val="21"/>
                <w:highlight w:val="none"/>
              </w:rPr>
              <w:t>风险及异常识别与评估</w:t>
            </w:r>
            <w:r>
              <w:rPr>
                <w:rFonts w:hint="eastAsia" w:cs="宋体" w:asciiTheme="minorEastAsia" w:hAnsiTheme="minorEastAsia"/>
                <w:color w:val="auto"/>
                <w:szCs w:val="21"/>
                <w:highlight w:val="none"/>
                <w:lang w:val="zh-CN"/>
              </w:rPr>
              <w:t>；（2）</w:t>
            </w:r>
            <w:r>
              <w:rPr>
                <w:rFonts w:hint="eastAsia" w:cs="宋体" w:asciiTheme="minorEastAsia" w:hAnsiTheme="minorEastAsia"/>
                <w:color w:val="auto"/>
                <w:szCs w:val="21"/>
                <w:highlight w:val="none"/>
              </w:rPr>
              <w:t>风</w:t>
            </w:r>
            <w:r>
              <w:rPr>
                <w:rFonts w:hint="eastAsia" w:cs="宋体" w:asciiTheme="minorEastAsia" w:hAnsiTheme="minorEastAsia"/>
                <w:color w:val="auto"/>
                <w:szCs w:val="21"/>
                <w:highlight w:val="none"/>
                <w:lang w:val="zh-CN"/>
              </w:rPr>
              <w:t>险处理流程；（3）常见突发事件处理措施；（4）应急预案。进行综合评定：方案完整严谨、合理可行、解决措施得当，优于</w:t>
            </w:r>
            <w:r>
              <w:rPr>
                <w:rFonts w:hint="eastAsia" w:cs="宋体" w:asciiTheme="minorEastAsia" w:hAnsiTheme="minorEastAsia"/>
                <w:color w:val="auto"/>
                <w:szCs w:val="21"/>
                <w:highlight w:val="none"/>
              </w:rPr>
              <w:t>招标</w:t>
            </w:r>
            <w:r>
              <w:rPr>
                <w:rFonts w:hint="eastAsia" w:cs="宋体" w:asciiTheme="minorEastAsia" w:hAnsiTheme="minorEastAsia"/>
                <w:color w:val="auto"/>
                <w:szCs w:val="21"/>
                <w:highlight w:val="none"/>
                <w:lang w:val="zh-CN"/>
              </w:rPr>
              <w:t>文件要求的得6分；满足采购需求的得</w:t>
            </w:r>
            <w:r>
              <w:rPr>
                <w:rFonts w:hint="eastAsia" w:cs="宋体" w:asciiTheme="minorEastAsia" w:hAnsiTheme="minorEastAsia"/>
                <w:color w:val="auto"/>
                <w:szCs w:val="21"/>
                <w:highlight w:val="none"/>
              </w:rPr>
              <w:t>4</w:t>
            </w:r>
            <w:r>
              <w:rPr>
                <w:rFonts w:hint="eastAsia" w:cs="宋体" w:asciiTheme="minorEastAsia" w:hAnsiTheme="minorEastAsia"/>
                <w:color w:val="auto"/>
                <w:szCs w:val="21"/>
                <w:highlight w:val="none"/>
                <w:lang w:val="zh-CN"/>
              </w:rPr>
              <w:t>分；方案不满足采购需求或未提供的不得分。</w:t>
            </w:r>
          </w:p>
          <w:p w14:paraId="21D7F543">
            <w:pPr>
              <w:adjustRightInd w:val="0"/>
              <w:snapToGrid w:val="0"/>
              <w:spacing w:line="460" w:lineRule="exact"/>
              <w:rPr>
                <w:color w:val="auto"/>
                <w:szCs w:val="21"/>
                <w:highlight w:val="none"/>
              </w:rPr>
            </w:pPr>
            <w:r>
              <w:rPr>
                <w:rFonts w:hint="eastAsia" w:cs="Arial" w:asciiTheme="minorEastAsia" w:hAnsiTheme="minorEastAsia"/>
                <w:color w:val="auto"/>
                <w:szCs w:val="21"/>
                <w:highlight w:val="none"/>
              </w:rPr>
              <w:t>投标人</w:t>
            </w:r>
            <w:r>
              <w:rPr>
                <w:rFonts w:hint="eastAsia" w:cs="Arial" w:asciiTheme="minorEastAsia" w:hAnsiTheme="minorEastAsia"/>
                <w:color w:val="auto"/>
                <w:szCs w:val="21"/>
                <w:highlight w:val="none"/>
                <w:lang w:val="zh-CN"/>
              </w:rPr>
              <w:t>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p>
        </w:tc>
      </w:tr>
    </w:tbl>
    <w:p w14:paraId="5A20FA1F">
      <w:pPr>
        <w:pStyle w:val="11"/>
        <w:spacing w:beforeAutospacing="0" w:afterAutospacing="0"/>
        <w:jc w:val="both"/>
        <w:rPr>
          <w:rFonts w:ascii="宋体" w:hAnsi="宋体" w:eastAsia="宋体" w:cs="宋体"/>
          <w:color w:val="auto"/>
          <w:highlight w:val="none"/>
        </w:rPr>
      </w:pPr>
    </w:p>
    <w:p w14:paraId="758F41D5">
      <w:pPr>
        <w:pStyle w:val="11"/>
        <w:spacing w:beforeAutospacing="0" w:afterAutospacing="0"/>
        <w:jc w:val="both"/>
        <w:rPr>
          <w:rFonts w:ascii="宋体" w:hAnsi="宋体" w:eastAsia="宋体" w:cs="宋体"/>
          <w:color w:val="auto"/>
          <w:highlight w:val="none"/>
        </w:rPr>
      </w:pPr>
      <w:r>
        <w:rPr>
          <w:rFonts w:hint="eastAsia" w:ascii="宋体" w:hAnsi="宋体" w:eastAsia="宋体" w:cs="宋体"/>
          <w:color w:val="auto"/>
          <w:highlight w:val="none"/>
        </w:rPr>
        <w:t> </w:t>
      </w:r>
    </w:p>
    <w:p w14:paraId="577377BE">
      <w:pPr>
        <w:pStyle w:val="6"/>
        <w:ind w:firstLine="620"/>
        <w:rPr>
          <w:color w:val="auto"/>
          <w:kern w:val="0"/>
          <w:sz w:val="24"/>
          <w:highlight w:val="none"/>
          <w:lang w:eastAsia="zh-CN"/>
        </w:rPr>
      </w:pPr>
      <w:r>
        <w:rPr>
          <w:color w:val="auto"/>
          <w:highlight w:val="none"/>
          <w:lang w:eastAsia="zh-CN"/>
        </w:rPr>
        <w:br w:type="page"/>
      </w:r>
    </w:p>
    <w:p w14:paraId="6AD6BEFD">
      <w:pPr>
        <w:widowControl/>
        <w:ind w:firstLine="2200" w:firstLineChars="500"/>
        <w:jc w:val="left"/>
        <w:rPr>
          <w:color w:val="auto"/>
          <w:highlight w:val="none"/>
        </w:rPr>
      </w:pPr>
      <w:r>
        <w:rPr>
          <w:rFonts w:hint="eastAsia" w:ascii="黑体" w:hAnsi="宋体" w:eastAsia="黑体" w:cs="黑体"/>
          <w:color w:val="auto"/>
          <w:sz w:val="44"/>
          <w:szCs w:val="44"/>
          <w:highlight w:val="none"/>
        </w:rPr>
        <w:t xml:space="preserve">第六章  投标文件格式 </w:t>
      </w:r>
    </w:p>
    <w:p w14:paraId="7EF9FC5B">
      <w:pPr>
        <w:pStyle w:val="11"/>
        <w:spacing w:beforeAutospacing="0" w:afterAutospacing="0"/>
        <w:ind w:firstLine="1446"/>
        <w:jc w:val="center"/>
        <w:rPr>
          <w:color w:val="auto"/>
          <w:highlight w:val="none"/>
        </w:rPr>
      </w:pPr>
      <w:bookmarkStart w:id="204" w:name="_Hlt26671244"/>
      <w:bookmarkEnd w:id="204"/>
      <w:bookmarkStart w:id="205" w:name="_Hlt26955039"/>
      <w:bookmarkEnd w:id="205"/>
      <w:bookmarkStart w:id="206" w:name="_Toc26554094"/>
      <w:bookmarkEnd w:id="206"/>
      <w:bookmarkStart w:id="207" w:name="_Toc120614282"/>
      <w:bookmarkStart w:id="208" w:name="_Toc49090576"/>
      <w:r>
        <w:rPr>
          <w:rFonts w:hint="eastAsia" w:ascii="宋体" w:hAnsi="宋体" w:eastAsia="宋体" w:cs="宋体"/>
          <w:b/>
          <w:color w:val="auto"/>
          <w:sz w:val="72"/>
          <w:szCs w:val="72"/>
          <w:highlight w:val="none"/>
        </w:rPr>
        <w:t>投  标  文  件</w:t>
      </w:r>
    </w:p>
    <w:p w14:paraId="3324AB4D">
      <w:pPr>
        <w:pStyle w:val="11"/>
        <w:spacing w:beforeAutospacing="0" w:afterAutospacing="0"/>
        <w:jc w:val="center"/>
        <w:rPr>
          <w:color w:val="auto"/>
          <w:highlight w:val="none"/>
        </w:rPr>
      </w:pPr>
      <w:r>
        <w:rPr>
          <w:color w:val="auto"/>
          <w:highlight w:val="none"/>
        </w:rPr>
        <w:t> </w:t>
      </w:r>
    </w:p>
    <w:p w14:paraId="1CE57F9C">
      <w:pPr>
        <w:pStyle w:val="11"/>
        <w:spacing w:beforeAutospacing="0" w:afterAutospacing="0"/>
        <w:jc w:val="center"/>
        <w:rPr>
          <w:color w:val="auto"/>
          <w:highlight w:val="none"/>
        </w:rPr>
      </w:pPr>
      <w:r>
        <w:rPr>
          <w:color w:val="auto"/>
          <w:highlight w:val="none"/>
        </w:rPr>
        <w:t> </w:t>
      </w:r>
    </w:p>
    <w:p w14:paraId="7E30B546">
      <w:pPr>
        <w:pStyle w:val="11"/>
        <w:spacing w:beforeAutospacing="0" w:afterAutospacing="0"/>
        <w:jc w:val="center"/>
        <w:rPr>
          <w:color w:val="auto"/>
          <w:highlight w:val="none"/>
        </w:rPr>
      </w:pPr>
      <w:r>
        <w:rPr>
          <w:color w:val="auto"/>
          <w:highlight w:val="none"/>
        </w:rPr>
        <w:t> </w:t>
      </w:r>
    </w:p>
    <w:p w14:paraId="01954849">
      <w:pPr>
        <w:pStyle w:val="11"/>
        <w:spacing w:beforeAutospacing="0" w:afterAutospacing="0"/>
        <w:jc w:val="center"/>
        <w:rPr>
          <w:color w:val="auto"/>
          <w:highlight w:val="none"/>
        </w:rPr>
      </w:pPr>
      <w:r>
        <w:rPr>
          <w:color w:val="auto"/>
          <w:highlight w:val="none"/>
        </w:rPr>
        <w:t> </w:t>
      </w:r>
    </w:p>
    <w:p w14:paraId="4F2C0A98">
      <w:pPr>
        <w:pStyle w:val="11"/>
        <w:spacing w:beforeAutospacing="0" w:afterAutospacing="0"/>
        <w:jc w:val="center"/>
        <w:rPr>
          <w:color w:val="auto"/>
          <w:highlight w:val="none"/>
        </w:rPr>
      </w:pPr>
      <w:r>
        <w:rPr>
          <w:color w:val="auto"/>
          <w:highlight w:val="none"/>
        </w:rPr>
        <w:t> </w:t>
      </w:r>
    </w:p>
    <w:p w14:paraId="0C6E200B">
      <w:pPr>
        <w:pStyle w:val="11"/>
        <w:spacing w:beforeAutospacing="0" w:afterAutospacing="0"/>
        <w:ind w:firstLine="723"/>
        <w:jc w:val="both"/>
        <w:rPr>
          <w:color w:val="auto"/>
          <w:highlight w:val="none"/>
        </w:rPr>
      </w:pPr>
      <w:r>
        <w:rPr>
          <w:rFonts w:hint="eastAsia" w:ascii="宋体" w:hAnsi="宋体" w:eastAsia="宋体" w:cs="宋体"/>
          <w:b/>
          <w:color w:val="auto"/>
          <w:sz w:val="36"/>
          <w:szCs w:val="36"/>
          <w:highlight w:val="none"/>
        </w:rPr>
        <w:t>项目 名 称：</w:t>
      </w:r>
      <w:r>
        <w:rPr>
          <w:rFonts w:hint="eastAsia" w:ascii="宋体" w:hAnsi="宋体" w:eastAsia="宋体" w:cs="宋体"/>
          <w:b/>
          <w:color w:val="auto"/>
          <w:sz w:val="36"/>
          <w:szCs w:val="36"/>
          <w:highlight w:val="none"/>
          <w:u w:val="single"/>
        </w:rPr>
        <w:t xml:space="preserve">               </w:t>
      </w:r>
    </w:p>
    <w:p w14:paraId="4D94D92B">
      <w:pPr>
        <w:pStyle w:val="11"/>
        <w:spacing w:beforeAutospacing="0" w:afterAutospacing="0"/>
        <w:ind w:firstLine="723"/>
        <w:jc w:val="both"/>
        <w:rPr>
          <w:color w:val="auto"/>
          <w:highlight w:val="none"/>
        </w:rPr>
      </w:pPr>
      <w:r>
        <w:rPr>
          <w:rFonts w:hint="eastAsia" w:ascii="宋体" w:hAnsi="宋体" w:eastAsia="宋体" w:cs="宋体"/>
          <w:b/>
          <w:color w:val="auto"/>
          <w:sz w:val="36"/>
          <w:szCs w:val="36"/>
          <w:highlight w:val="none"/>
        </w:rPr>
        <w:t>项目 编 号：</w:t>
      </w:r>
      <w:r>
        <w:rPr>
          <w:rFonts w:hint="eastAsia" w:ascii="宋体" w:hAnsi="宋体" w:eastAsia="宋体" w:cs="宋体"/>
          <w:b/>
          <w:color w:val="auto"/>
          <w:sz w:val="36"/>
          <w:szCs w:val="36"/>
          <w:highlight w:val="none"/>
          <w:u w:val="single"/>
        </w:rPr>
        <w:t xml:space="preserve">               </w:t>
      </w:r>
    </w:p>
    <w:p w14:paraId="54B4F7F2">
      <w:pPr>
        <w:pStyle w:val="11"/>
        <w:spacing w:beforeAutospacing="0" w:afterAutospacing="0"/>
        <w:ind w:firstLine="723"/>
        <w:jc w:val="both"/>
        <w:rPr>
          <w:color w:val="auto"/>
          <w:highlight w:val="none"/>
        </w:rPr>
      </w:pPr>
      <w:r>
        <w:rPr>
          <w:rFonts w:hint="eastAsia" w:ascii="宋体" w:hAnsi="宋体" w:eastAsia="宋体" w:cs="宋体"/>
          <w:b/>
          <w:color w:val="auto"/>
          <w:sz w:val="36"/>
          <w:szCs w:val="36"/>
          <w:highlight w:val="none"/>
        </w:rPr>
        <w:t>投标人名称 ：</w:t>
      </w:r>
      <w:r>
        <w:rPr>
          <w:rFonts w:hint="eastAsia" w:ascii="宋体" w:hAnsi="宋体" w:eastAsia="宋体" w:cs="宋体"/>
          <w:b/>
          <w:color w:val="auto"/>
          <w:sz w:val="36"/>
          <w:szCs w:val="36"/>
          <w:highlight w:val="none"/>
          <w:u w:val="single"/>
        </w:rPr>
        <w:t xml:space="preserve">（加盖CA电子公章）   </w:t>
      </w:r>
      <w:r>
        <w:rPr>
          <w:rFonts w:ascii="宋体" w:hAnsi="宋体" w:eastAsia="宋体" w:cs="宋体"/>
          <w:b/>
          <w:color w:val="auto"/>
          <w:sz w:val="36"/>
          <w:szCs w:val="36"/>
          <w:highlight w:val="none"/>
          <w:u w:val="single"/>
        </w:rPr>
        <w:t xml:space="preserve"> </w:t>
      </w:r>
      <w:r>
        <w:rPr>
          <w:rFonts w:hint="eastAsia" w:ascii="宋体" w:hAnsi="宋体" w:eastAsia="宋体" w:cs="宋体"/>
          <w:b/>
          <w:color w:val="auto"/>
          <w:sz w:val="36"/>
          <w:szCs w:val="36"/>
          <w:highlight w:val="none"/>
          <w:u w:val="single"/>
        </w:rPr>
        <w:t xml:space="preserve">     </w:t>
      </w:r>
    </w:p>
    <w:p w14:paraId="7BB6E233">
      <w:pPr>
        <w:pStyle w:val="11"/>
        <w:spacing w:beforeAutospacing="0" w:afterAutospacing="0"/>
        <w:ind w:firstLine="723"/>
        <w:jc w:val="both"/>
        <w:rPr>
          <w:color w:val="auto"/>
          <w:highlight w:val="none"/>
        </w:rPr>
      </w:pPr>
      <w:r>
        <w:rPr>
          <w:rFonts w:hint="eastAsia" w:ascii="宋体" w:hAnsi="宋体" w:eastAsia="宋体" w:cs="宋体"/>
          <w:b/>
          <w:color w:val="auto"/>
          <w:sz w:val="36"/>
          <w:szCs w:val="36"/>
          <w:highlight w:val="none"/>
        </w:rPr>
        <w:t>日   期 ：</w:t>
      </w:r>
      <w:r>
        <w:rPr>
          <w:rFonts w:hint="eastAsia" w:ascii="宋体" w:hAnsi="宋体" w:eastAsia="宋体" w:cs="宋体"/>
          <w:b/>
          <w:color w:val="auto"/>
          <w:sz w:val="36"/>
          <w:szCs w:val="36"/>
          <w:highlight w:val="none"/>
          <w:u w:val="single"/>
        </w:rPr>
        <w:t>                     </w:t>
      </w:r>
    </w:p>
    <w:p w14:paraId="1A0223EE">
      <w:pPr>
        <w:pStyle w:val="11"/>
        <w:spacing w:beforeAutospacing="0" w:afterAutospacing="0" w:line="0" w:lineRule="atLeast"/>
        <w:jc w:val="center"/>
        <w:rPr>
          <w:color w:val="auto"/>
          <w:highlight w:val="none"/>
        </w:rPr>
      </w:pPr>
      <w:r>
        <w:rPr>
          <w:color w:val="auto"/>
          <w:highlight w:val="none"/>
        </w:rPr>
        <w:t> </w:t>
      </w:r>
    </w:p>
    <w:p w14:paraId="65E52BFE">
      <w:pPr>
        <w:pStyle w:val="11"/>
        <w:spacing w:beforeAutospacing="0" w:afterAutospacing="0" w:line="0" w:lineRule="atLeast"/>
        <w:jc w:val="both"/>
        <w:rPr>
          <w:color w:val="auto"/>
          <w:highlight w:val="none"/>
        </w:rPr>
      </w:pPr>
      <w:r>
        <w:rPr>
          <w:color w:val="auto"/>
          <w:highlight w:val="none"/>
        </w:rPr>
        <w:t> </w:t>
      </w:r>
    </w:p>
    <w:p w14:paraId="4C853278">
      <w:pPr>
        <w:pStyle w:val="11"/>
        <w:spacing w:beforeAutospacing="0" w:afterAutospacing="0" w:line="0" w:lineRule="atLeast"/>
        <w:ind w:firstLine="723"/>
        <w:jc w:val="center"/>
        <w:rPr>
          <w:rFonts w:ascii="宋体" w:hAnsi="宋体" w:eastAsia="宋体" w:cs="宋体"/>
          <w:b/>
          <w:color w:val="auto"/>
          <w:sz w:val="36"/>
          <w:szCs w:val="36"/>
          <w:highlight w:val="none"/>
          <w:u w:val="single"/>
        </w:rPr>
      </w:pPr>
    </w:p>
    <w:p w14:paraId="3192BDBA">
      <w:pPr>
        <w:pStyle w:val="11"/>
        <w:spacing w:beforeAutospacing="0" w:afterAutospacing="0" w:line="0" w:lineRule="atLeast"/>
        <w:ind w:firstLine="723"/>
        <w:jc w:val="center"/>
        <w:rPr>
          <w:rFonts w:ascii="宋体" w:hAnsi="宋体" w:eastAsia="宋体" w:cs="宋体"/>
          <w:b/>
          <w:color w:val="auto"/>
          <w:sz w:val="36"/>
          <w:szCs w:val="36"/>
          <w:highlight w:val="none"/>
          <w:u w:val="single"/>
        </w:rPr>
      </w:pPr>
    </w:p>
    <w:p w14:paraId="0CD2989F">
      <w:pPr>
        <w:pStyle w:val="11"/>
        <w:spacing w:beforeAutospacing="0" w:afterAutospacing="0" w:line="0" w:lineRule="atLeast"/>
        <w:ind w:firstLine="723"/>
        <w:jc w:val="center"/>
        <w:rPr>
          <w:rFonts w:ascii="宋体" w:hAnsi="宋体" w:eastAsia="宋体" w:cs="宋体"/>
          <w:b/>
          <w:color w:val="auto"/>
          <w:sz w:val="36"/>
          <w:szCs w:val="36"/>
          <w:highlight w:val="none"/>
          <w:u w:val="single"/>
        </w:rPr>
      </w:pPr>
    </w:p>
    <w:p w14:paraId="3CAC5697">
      <w:pPr>
        <w:pStyle w:val="11"/>
        <w:spacing w:beforeAutospacing="0" w:afterAutospacing="0" w:line="0" w:lineRule="atLeast"/>
        <w:ind w:firstLine="723"/>
        <w:jc w:val="center"/>
        <w:rPr>
          <w:rFonts w:ascii="宋体" w:hAnsi="宋体" w:eastAsia="宋体" w:cs="宋体"/>
          <w:b/>
          <w:color w:val="auto"/>
          <w:sz w:val="36"/>
          <w:szCs w:val="36"/>
          <w:highlight w:val="none"/>
          <w:u w:val="single"/>
        </w:rPr>
      </w:pPr>
    </w:p>
    <w:p w14:paraId="0A3857AA">
      <w:pPr>
        <w:pStyle w:val="11"/>
        <w:spacing w:beforeAutospacing="0" w:afterAutospacing="0" w:line="0" w:lineRule="atLeast"/>
        <w:ind w:firstLine="723"/>
        <w:jc w:val="center"/>
        <w:rPr>
          <w:rFonts w:ascii="宋体" w:hAnsi="宋体" w:eastAsia="宋体" w:cs="宋体"/>
          <w:b/>
          <w:color w:val="auto"/>
          <w:sz w:val="36"/>
          <w:szCs w:val="36"/>
          <w:highlight w:val="none"/>
          <w:u w:val="single"/>
        </w:rPr>
      </w:pPr>
    </w:p>
    <w:p w14:paraId="21E1715A">
      <w:pPr>
        <w:pStyle w:val="11"/>
        <w:spacing w:beforeAutospacing="0" w:afterAutospacing="0" w:line="0" w:lineRule="atLeast"/>
        <w:ind w:firstLine="723"/>
        <w:jc w:val="center"/>
        <w:rPr>
          <w:rFonts w:ascii="宋体" w:hAnsi="宋体" w:eastAsia="宋体" w:cs="宋体"/>
          <w:b/>
          <w:color w:val="auto"/>
          <w:sz w:val="36"/>
          <w:szCs w:val="36"/>
          <w:highlight w:val="none"/>
          <w:u w:val="single"/>
        </w:rPr>
      </w:pPr>
    </w:p>
    <w:p w14:paraId="4F5867E1">
      <w:pPr>
        <w:pStyle w:val="11"/>
        <w:spacing w:beforeAutospacing="0" w:afterAutospacing="0" w:line="0" w:lineRule="atLeast"/>
        <w:ind w:firstLine="723"/>
        <w:jc w:val="center"/>
        <w:rPr>
          <w:rFonts w:ascii="宋体" w:hAnsi="宋体" w:eastAsia="宋体" w:cs="宋体"/>
          <w:b/>
          <w:color w:val="auto"/>
          <w:sz w:val="36"/>
          <w:szCs w:val="36"/>
          <w:highlight w:val="none"/>
          <w:u w:val="single"/>
        </w:rPr>
      </w:pPr>
    </w:p>
    <w:p w14:paraId="0DC2ECF7">
      <w:pPr>
        <w:pStyle w:val="11"/>
        <w:spacing w:beforeAutospacing="0" w:afterAutospacing="0" w:line="0" w:lineRule="atLeast"/>
        <w:ind w:firstLine="723"/>
        <w:jc w:val="center"/>
        <w:rPr>
          <w:rFonts w:ascii="宋体" w:hAnsi="宋体" w:eastAsia="宋体" w:cs="宋体"/>
          <w:b/>
          <w:color w:val="auto"/>
          <w:sz w:val="36"/>
          <w:szCs w:val="36"/>
          <w:highlight w:val="none"/>
          <w:u w:val="single"/>
        </w:rPr>
      </w:pPr>
    </w:p>
    <w:p w14:paraId="61221EF3">
      <w:pPr>
        <w:pStyle w:val="11"/>
        <w:spacing w:beforeAutospacing="0" w:afterAutospacing="0" w:line="0" w:lineRule="atLeast"/>
        <w:ind w:firstLine="723"/>
        <w:jc w:val="center"/>
        <w:rPr>
          <w:rFonts w:ascii="宋体" w:hAnsi="宋体" w:eastAsia="宋体" w:cs="宋体"/>
          <w:b/>
          <w:color w:val="auto"/>
          <w:sz w:val="36"/>
          <w:szCs w:val="36"/>
          <w:highlight w:val="none"/>
          <w:u w:val="single"/>
        </w:rPr>
      </w:pPr>
    </w:p>
    <w:p w14:paraId="2B5EC0D8">
      <w:pPr>
        <w:pStyle w:val="11"/>
        <w:spacing w:beforeAutospacing="0" w:afterAutospacing="0" w:line="0" w:lineRule="atLeast"/>
        <w:ind w:firstLine="723"/>
        <w:jc w:val="center"/>
        <w:rPr>
          <w:rFonts w:ascii="宋体" w:hAnsi="宋体" w:eastAsia="宋体" w:cs="宋体"/>
          <w:b/>
          <w:color w:val="auto"/>
          <w:sz w:val="36"/>
          <w:szCs w:val="36"/>
          <w:highlight w:val="none"/>
          <w:u w:val="single"/>
        </w:rPr>
      </w:pPr>
    </w:p>
    <w:p w14:paraId="4931888E">
      <w:pPr>
        <w:widowControl/>
        <w:ind w:firstLine="643"/>
        <w:jc w:val="left"/>
        <w:rPr>
          <w:rFonts w:ascii="宋体" w:hAnsi="宋体" w:eastAsia="宋体" w:cs="宋体"/>
          <w:b/>
          <w:color w:val="auto"/>
          <w:kern w:val="0"/>
          <w:sz w:val="32"/>
          <w:szCs w:val="32"/>
          <w:highlight w:val="none"/>
        </w:rPr>
      </w:pPr>
      <w:r>
        <w:rPr>
          <w:rFonts w:ascii="宋体" w:hAnsi="宋体" w:eastAsia="宋体" w:cs="宋体"/>
          <w:b/>
          <w:color w:val="auto"/>
          <w:sz w:val="32"/>
          <w:szCs w:val="32"/>
          <w:highlight w:val="none"/>
        </w:rPr>
        <w:br w:type="page"/>
      </w:r>
    </w:p>
    <w:p w14:paraId="4D36B9B4">
      <w:pPr>
        <w:pStyle w:val="11"/>
        <w:spacing w:beforeAutospacing="0" w:afterAutospacing="0" w:line="0" w:lineRule="atLeast"/>
        <w:ind w:firstLine="643"/>
        <w:jc w:val="center"/>
        <w:rPr>
          <w:color w:val="auto"/>
          <w:highlight w:val="none"/>
        </w:rPr>
      </w:pPr>
      <w:r>
        <w:rPr>
          <w:rFonts w:hint="eastAsia" w:ascii="宋体" w:hAnsi="宋体" w:eastAsia="宋体" w:cs="宋体"/>
          <w:b/>
          <w:color w:val="auto"/>
          <w:sz w:val="32"/>
          <w:szCs w:val="32"/>
          <w:highlight w:val="none"/>
        </w:rPr>
        <w:t>投标文件目录</w:t>
      </w:r>
    </w:p>
    <w:p w14:paraId="7CA262E3">
      <w:pPr>
        <w:pStyle w:val="11"/>
        <w:spacing w:beforeAutospacing="0" w:afterAutospacing="0" w:line="0" w:lineRule="atLeast"/>
        <w:jc w:val="center"/>
        <w:rPr>
          <w:color w:val="auto"/>
          <w:highlight w:val="none"/>
        </w:rPr>
      </w:pPr>
      <w:r>
        <w:rPr>
          <w:color w:val="auto"/>
          <w:highlight w:val="none"/>
        </w:rPr>
        <w:t> </w:t>
      </w:r>
    </w:p>
    <w:p w14:paraId="69850239">
      <w:pPr>
        <w:pStyle w:val="11"/>
        <w:spacing w:beforeAutospacing="0" w:afterAutospacing="0"/>
        <w:ind w:left="480"/>
        <w:jc w:val="both"/>
        <w:rPr>
          <w:rFonts w:ascii="宋体" w:hAnsi="宋体" w:eastAsia="宋体" w:cs="宋体"/>
          <w:iCs/>
          <w:color w:val="auto"/>
          <w:highlight w:val="none"/>
        </w:rPr>
      </w:pPr>
      <w:r>
        <w:rPr>
          <w:rFonts w:hint="eastAsia" w:ascii="宋体" w:hAnsi="宋体" w:eastAsia="宋体" w:cs="宋体"/>
          <w:iCs/>
          <w:color w:val="auto"/>
          <w:highlight w:val="none"/>
        </w:rPr>
        <w:t>一、法人或者其他组织的营业执照等证明文件，自然人的身份证明</w:t>
      </w:r>
    </w:p>
    <w:p w14:paraId="2BD840A0">
      <w:pPr>
        <w:tabs>
          <w:tab w:val="left" w:pos="1331"/>
        </w:tabs>
        <w:ind w:firstLine="480" w:firstLineChars="200"/>
        <w:jc w:val="left"/>
        <w:rPr>
          <w:rFonts w:ascii="宋体" w:hAnsi="宋体" w:eastAsia="宋体" w:cs="宋体"/>
          <w:iCs/>
          <w:color w:val="auto"/>
          <w:kern w:val="0"/>
          <w:sz w:val="24"/>
          <w:highlight w:val="none"/>
        </w:rPr>
      </w:pPr>
      <w:r>
        <w:rPr>
          <w:rFonts w:hint="eastAsia" w:ascii="宋体" w:hAnsi="宋体" w:eastAsia="宋体" w:cs="宋体"/>
          <w:iCs/>
          <w:color w:val="auto"/>
          <w:kern w:val="0"/>
          <w:sz w:val="24"/>
          <w:highlight w:val="none"/>
        </w:rPr>
        <w:t>二、上一年度的财务状况报告（至少提供资产负债表、利润表、现金流量表，</w:t>
      </w:r>
    </w:p>
    <w:p w14:paraId="6723FF31">
      <w:pPr>
        <w:pStyle w:val="11"/>
        <w:spacing w:beforeAutospacing="0" w:afterAutospacing="0"/>
        <w:ind w:left="480"/>
        <w:jc w:val="both"/>
        <w:rPr>
          <w:rFonts w:ascii="宋体" w:hAnsi="宋体" w:eastAsia="宋体" w:cs="宋体"/>
          <w:iCs/>
          <w:color w:val="auto"/>
          <w:highlight w:val="none"/>
        </w:rPr>
      </w:pPr>
      <w:r>
        <w:rPr>
          <w:rFonts w:hint="eastAsia" w:ascii="宋体" w:hAnsi="宋体" w:eastAsia="宋体" w:cs="宋体"/>
          <w:iCs/>
          <w:color w:val="auto"/>
          <w:highlight w:val="none"/>
        </w:rPr>
        <w:t>投标人成立不满一年无需提供）</w:t>
      </w:r>
    </w:p>
    <w:p w14:paraId="3F3CADB2">
      <w:pPr>
        <w:pStyle w:val="11"/>
        <w:spacing w:beforeAutospacing="0" w:afterAutospacing="0"/>
        <w:ind w:left="480"/>
        <w:jc w:val="both"/>
        <w:rPr>
          <w:rFonts w:ascii="宋体" w:hAnsi="宋体" w:eastAsia="宋体" w:cs="宋体"/>
          <w:iCs/>
          <w:color w:val="auto"/>
          <w:highlight w:val="none"/>
        </w:rPr>
      </w:pPr>
      <w:r>
        <w:rPr>
          <w:rFonts w:hint="eastAsia" w:ascii="宋体" w:hAnsi="宋体" w:eastAsia="宋体" w:cs="宋体"/>
          <w:iCs/>
          <w:color w:val="auto"/>
          <w:highlight w:val="none"/>
        </w:rPr>
        <w:t>三、具备履行合同所必需的设备和专业技术能力的书面声明</w:t>
      </w:r>
    </w:p>
    <w:p w14:paraId="08AA8F1D">
      <w:pPr>
        <w:pStyle w:val="11"/>
        <w:spacing w:beforeAutospacing="0" w:afterAutospacing="0"/>
        <w:ind w:left="480"/>
        <w:jc w:val="both"/>
        <w:rPr>
          <w:rFonts w:ascii="宋体" w:hAnsi="宋体" w:eastAsia="宋体" w:cs="宋体"/>
          <w:iCs/>
          <w:color w:val="auto"/>
          <w:highlight w:val="none"/>
        </w:rPr>
      </w:pPr>
      <w:r>
        <w:rPr>
          <w:rFonts w:hint="eastAsia" w:ascii="宋体" w:hAnsi="宋体" w:eastAsia="宋体" w:cs="宋体"/>
          <w:iCs/>
          <w:color w:val="auto"/>
          <w:highlight w:val="none"/>
        </w:rPr>
        <w:t>四、依法缴纳税收和社会保障资金的相关材料（提供提交投标文件截止时间前一年内至少一个月依法缴纳税收及缴纳社会保障资金的证明材料。投标人依法享受缓缴、免缴税收、社会保障资金的提供证明材料）</w:t>
      </w:r>
    </w:p>
    <w:p w14:paraId="15C9D449">
      <w:pPr>
        <w:pStyle w:val="11"/>
        <w:spacing w:beforeAutospacing="0" w:afterAutospacing="0"/>
        <w:ind w:left="480"/>
        <w:jc w:val="both"/>
        <w:rPr>
          <w:rFonts w:ascii="宋体" w:hAnsi="宋体" w:eastAsia="宋体" w:cs="宋体"/>
          <w:iCs/>
          <w:color w:val="auto"/>
          <w:highlight w:val="none"/>
        </w:rPr>
      </w:pPr>
      <w:r>
        <w:rPr>
          <w:rFonts w:hint="eastAsia" w:ascii="宋体" w:hAnsi="宋体" w:eastAsia="宋体" w:cs="宋体"/>
          <w:iCs/>
          <w:color w:val="auto"/>
          <w:highlight w:val="none"/>
        </w:rPr>
        <w:t>五、参加政府采购活动前 3 年内在经营活动中没有重大违法记录的书面声明</w:t>
      </w:r>
    </w:p>
    <w:p w14:paraId="560BA82D">
      <w:pPr>
        <w:pStyle w:val="11"/>
        <w:spacing w:beforeAutospacing="0" w:afterAutospacing="0"/>
        <w:ind w:left="480"/>
        <w:jc w:val="both"/>
        <w:rPr>
          <w:rFonts w:ascii="宋体" w:hAnsi="宋体" w:eastAsia="宋体" w:cs="宋体"/>
          <w:iCs/>
          <w:color w:val="auto"/>
          <w:highlight w:val="none"/>
        </w:rPr>
      </w:pPr>
      <w:r>
        <w:rPr>
          <w:rFonts w:hint="eastAsia" w:ascii="宋体" w:hAnsi="宋体" w:eastAsia="宋体" w:cs="宋体"/>
          <w:iCs/>
          <w:color w:val="auto"/>
          <w:highlight w:val="none"/>
        </w:rPr>
        <w:t>六、特定资格要求的证明文件</w:t>
      </w:r>
    </w:p>
    <w:p w14:paraId="2E0B766B">
      <w:pPr>
        <w:pStyle w:val="11"/>
        <w:spacing w:beforeAutospacing="0" w:afterAutospacing="0"/>
        <w:ind w:left="480"/>
        <w:jc w:val="both"/>
        <w:rPr>
          <w:rFonts w:ascii="宋体" w:hAnsi="宋体" w:eastAsia="宋体" w:cs="宋体"/>
          <w:iCs/>
          <w:color w:val="auto"/>
          <w:highlight w:val="none"/>
        </w:rPr>
      </w:pPr>
      <w:r>
        <w:rPr>
          <w:rFonts w:hint="eastAsia" w:ascii="宋体" w:hAnsi="宋体" w:eastAsia="宋体" w:cs="宋体"/>
          <w:iCs/>
          <w:color w:val="auto"/>
          <w:highlight w:val="none"/>
        </w:rPr>
        <w:t>七、法人授权书</w:t>
      </w:r>
    </w:p>
    <w:p w14:paraId="3FF91088">
      <w:pPr>
        <w:pStyle w:val="11"/>
        <w:spacing w:beforeAutospacing="0" w:afterAutospacing="0"/>
        <w:ind w:left="480"/>
        <w:jc w:val="both"/>
        <w:rPr>
          <w:rFonts w:ascii="宋体" w:hAnsi="宋体" w:eastAsia="宋体" w:cs="宋体"/>
          <w:iCs/>
          <w:color w:val="auto"/>
          <w:highlight w:val="none"/>
        </w:rPr>
      </w:pPr>
      <w:r>
        <w:rPr>
          <w:rFonts w:hint="eastAsia" w:ascii="宋体" w:hAnsi="宋体" w:eastAsia="宋体" w:cs="宋体"/>
          <w:iCs/>
          <w:color w:val="auto"/>
          <w:highlight w:val="none"/>
        </w:rPr>
        <w:t>八、投标函</w:t>
      </w:r>
    </w:p>
    <w:p w14:paraId="610D906F">
      <w:pPr>
        <w:pStyle w:val="11"/>
        <w:spacing w:beforeAutospacing="0" w:afterAutospacing="0" w:line="0" w:lineRule="atLeast"/>
        <w:ind w:firstLine="480"/>
        <w:jc w:val="both"/>
        <w:rPr>
          <w:rFonts w:ascii="宋体" w:hAnsi="宋体" w:eastAsia="宋体" w:cs="宋体"/>
          <w:iCs/>
          <w:color w:val="auto"/>
          <w:highlight w:val="none"/>
        </w:rPr>
      </w:pPr>
      <w:r>
        <w:rPr>
          <w:rFonts w:hint="eastAsia" w:ascii="宋体" w:hAnsi="宋体" w:eastAsia="宋体" w:cs="宋体"/>
          <w:iCs/>
          <w:color w:val="auto"/>
          <w:highlight w:val="none"/>
        </w:rPr>
        <w:t>九、中小企业声明函</w:t>
      </w:r>
    </w:p>
    <w:p w14:paraId="75D41C44">
      <w:pPr>
        <w:pStyle w:val="11"/>
        <w:spacing w:beforeAutospacing="0" w:afterAutospacing="0" w:line="0" w:lineRule="atLeast"/>
        <w:ind w:firstLine="480"/>
        <w:jc w:val="both"/>
        <w:rPr>
          <w:rFonts w:ascii="宋体" w:hAnsi="宋体" w:eastAsia="宋体" w:cs="宋体"/>
          <w:iCs/>
          <w:color w:val="auto"/>
          <w:highlight w:val="none"/>
        </w:rPr>
      </w:pPr>
      <w:r>
        <w:rPr>
          <w:rFonts w:hint="eastAsia" w:ascii="宋体" w:hAnsi="宋体" w:eastAsia="宋体" w:cs="宋体"/>
          <w:iCs/>
          <w:color w:val="auto"/>
          <w:highlight w:val="none"/>
        </w:rPr>
        <w:t>十、残疾人福利性单位声明函</w:t>
      </w:r>
    </w:p>
    <w:p w14:paraId="1533FE91">
      <w:pPr>
        <w:pStyle w:val="11"/>
        <w:spacing w:beforeAutospacing="0" w:afterAutospacing="0" w:line="0" w:lineRule="atLeast"/>
        <w:ind w:firstLine="480"/>
        <w:jc w:val="both"/>
        <w:rPr>
          <w:rFonts w:ascii="宋体" w:hAnsi="宋体" w:eastAsia="宋体" w:cs="宋体"/>
          <w:iCs/>
          <w:color w:val="auto"/>
          <w:highlight w:val="none"/>
        </w:rPr>
      </w:pPr>
      <w:r>
        <w:rPr>
          <w:rFonts w:hint="eastAsia" w:ascii="宋体" w:hAnsi="宋体" w:eastAsia="宋体" w:cs="宋体"/>
          <w:iCs/>
          <w:color w:val="auto"/>
          <w:highlight w:val="none"/>
        </w:rPr>
        <w:t>十一、关于符合本国产品标准的声明函</w:t>
      </w:r>
    </w:p>
    <w:p w14:paraId="0DE75E12">
      <w:pPr>
        <w:pStyle w:val="11"/>
        <w:spacing w:beforeAutospacing="0" w:afterAutospacing="0" w:line="0" w:lineRule="atLeast"/>
        <w:ind w:firstLine="480"/>
        <w:jc w:val="both"/>
        <w:rPr>
          <w:rFonts w:ascii="宋体" w:hAnsi="宋体" w:eastAsia="宋体" w:cs="宋体"/>
          <w:iCs/>
          <w:color w:val="auto"/>
          <w:highlight w:val="none"/>
        </w:rPr>
      </w:pPr>
      <w:r>
        <w:rPr>
          <w:rFonts w:hint="eastAsia" w:ascii="宋体" w:hAnsi="宋体" w:eastAsia="宋体" w:cs="宋体"/>
          <w:iCs/>
          <w:color w:val="auto"/>
          <w:highlight w:val="none"/>
        </w:rPr>
        <w:t>十二、联合体协议</w:t>
      </w:r>
    </w:p>
    <w:p w14:paraId="45E6DA47">
      <w:pPr>
        <w:pStyle w:val="11"/>
        <w:spacing w:beforeAutospacing="0" w:afterAutospacing="0" w:line="0" w:lineRule="atLeast"/>
        <w:ind w:firstLine="480"/>
        <w:jc w:val="both"/>
        <w:rPr>
          <w:rFonts w:ascii="宋体" w:hAnsi="宋体" w:eastAsia="宋体" w:cs="宋体"/>
          <w:iCs/>
          <w:color w:val="auto"/>
          <w:highlight w:val="none"/>
        </w:rPr>
      </w:pPr>
      <w:r>
        <w:rPr>
          <w:rFonts w:hint="eastAsia" w:ascii="宋体" w:hAnsi="宋体" w:eastAsia="宋体" w:cs="宋体"/>
          <w:iCs/>
          <w:color w:val="auto"/>
          <w:highlight w:val="none"/>
        </w:rPr>
        <w:t>十三、投标分项报价表</w:t>
      </w:r>
    </w:p>
    <w:p w14:paraId="2792B3EE">
      <w:pPr>
        <w:pStyle w:val="11"/>
        <w:spacing w:beforeAutospacing="0" w:afterAutospacing="0" w:line="0" w:lineRule="atLeast"/>
        <w:ind w:firstLine="480"/>
        <w:jc w:val="both"/>
        <w:rPr>
          <w:rFonts w:ascii="宋体" w:hAnsi="宋体" w:eastAsia="宋体" w:cs="宋体"/>
          <w:iCs/>
          <w:color w:val="auto"/>
          <w:highlight w:val="none"/>
        </w:rPr>
      </w:pPr>
      <w:r>
        <w:rPr>
          <w:rFonts w:hint="eastAsia" w:ascii="宋体" w:hAnsi="宋体" w:eastAsia="宋体" w:cs="宋体"/>
          <w:iCs/>
          <w:color w:val="auto"/>
          <w:highlight w:val="none"/>
        </w:rPr>
        <w:t>十四、技术要求响应及偏离表</w:t>
      </w:r>
    </w:p>
    <w:p w14:paraId="2982B253">
      <w:pPr>
        <w:pStyle w:val="11"/>
        <w:spacing w:beforeAutospacing="0" w:afterAutospacing="0" w:line="0" w:lineRule="atLeast"/>
        <w:ind w:firstLine="480"/>
        <w:jc w:val="both"/>
        <w:rPr>
          <w:rFonts w:ascii="宋体" w:hAnsi="宋体" w:eastAsia="宋体" w:cs="宋体"/>
          <w:iCs/>
          <w:color w:val="auto"/>
          <w:highlight w:val="none"/>
        </w:rPr>
      </w:pPr>
      <w:r>
        <w:rPr>
          <w:rFonts w:hint="eastAsia" w:ascii="宋体" w:hAnsi="宋体" w:eastAsia="宋体" w:cs="宋体"/>
          <w:iCs/>
          <w:color w:val="auto"/>
          <w:highlight w:val="none"/>
        </w:rPr>
        <w:t>十五、商务要求响应及偏离表</w:t>
      </w:r>
    </w:p>
    <w:p w14:paraId="527FE5F6">
      <w:pPr>
        <w:pStyle w:val="11"/>
        <w:spacing w:beforeAutospacing="0" w:afterAutospacing="0"/>
        <w:ind w:left="480"/>
        <w:jc w:val="both"/>
        <w:rPr>
          <w:rFonts w:ascii="宋体" w:hAnsi="宋体" w:eastAsia="宋体" w:cs="宋体"/>
          <w:iCs/>
          <w:color w:val="auto"/>
          <w:highlight w:val="none"/>
        </w:rPr>
      </w:pPr>
      <w:r>
        <w:rPr>
          <w:rFonts w:hint="eastAsia" w:ascii="宋体" w:hAnsi="宋体" w:eastAsia="宋体" w:cs="宋体"/>
          <w:iCs/>
          <w:color w:val="auto"/>
          <w:highlight w:val="none"/>
        </w:rPr>
        <w:t>十六、开标一览表</w:t>
      </w:r>
    </w:p>
    <w:p w14:paraId="768D4A6B">
      <w:pPr>
        <w:widowControl/>
        <w:spacing w:before="50" w:after="50"/>
        <w:ind w:firstLine="480" w:firstLineChars="200"/>
        <w:rPr>
          <w:rFonts w:ascii="宋体" w:hAnsi="宋体" w:eastAsia="宋体" w:cs="宋体"/>
          <w:iCs/>
          <w:color w:val="auto"/>
          <w:kern w:val="0"/>
          <w:sz w:val="24"/>
          <w:highlight w:val="none"/>
        </w:rPr>
      </w:pPr>
      <w:r>
        <w:rPr>
          <w:rFonts w:hint="eastAsia" w:ascii="宋体" w:hAnsi="宋体" w:eastAsia="宋体" w:cs="宋体"/>
          <w:iCs/>
          <w:color w:val="auto"/>
          <w:kern w:val="0"/>
          <w:sz w:val="24"/>
          <w:highlight w:val="none"/>
        </w:rPr>
        <w:t>十七、技术方案、服务承诺、培训承诺等</w:t>
      </w:r>
    </w:p>
    <w:p w14:paraId="496C7C16">
      <w:pPr>
        <w:pStyle w:val="11"/>
        <w:spacing w:beforeAutospacing="0" w:afterAutospacing="0" w:line="360" w:lineRule="auto"/>
        <w:ind w:firstLine="480"/>
        <w:jc w:val="both"/>
        <w:rPr>
          <w:rFonts w:ascii="宋体" w:hAnsi="宋体" w:eastAsia="宋体" w:cs="宋体"/>
          <w:iCs/>
          <w:color w:val="auto"/>
          <w:highlight w:val="none"/>
        </w:rPr>
      </w:pPr>
      <w:r>
        <w:rPr>
          <w:rFonts w:hint="eastAsia" w:ascii="宋体" w:hAnsi="宋体" w:eastAsia="宋体" w:cs="宋体"/>
          <w:iCs/>
          <w:color w:val="auto"/>
          <w:highlight w:val="none"/>
        </w:rPr>
        <w:t>十八、盐城市政府采购事前信用承诺书</w:t>
      </w:r>
    </w:p>
    <w:p w14:paraId="1B81F413">
      <w:pPr>
        <w:pStyle w:val="11"/>
        <w:spacing w:beforeAutospacing="0" w:afterAutospacing="0" w:line="0" w:lineRule="atLeast"/>
        <w:ind w:firstLine="480"/>
        <w:jc w:val="both"/>
        <w:rPr>
          <w:rFonts w:ascii="宋体" w:hAnsi="宋体" w:eastAsia="宋体" w:cs="宋体"/>
          <w:color w:val="auto"/>
          <w:highlight w:val="none"/>
        </w:rPr>
      </w:pPr>
    </w:p>
    <w:p w14:paraId="61FBB9D0">
      <w:pPr>
        <w:pStyle w:val="11"/>
        <w:spacing w:beforeAutospacing="0" w:afterAutospacing="0" w:line="0" w:lineRule="atLeast"/>
        <w:ind w:firstLine="480"/>
        <w:jc w:val="both"/>
        <w:rPr>
          <w:rFonts w:ascii="宋体" w:hAnsi="宋体" w:eastAsia="宋体" w:cs="宋体"/>
          <w:color w:val="auto"/>
          <w:highlight w:val="none"/>
        </w:rPr>
      </w:pPr>
    </w:p>
    <w:p w14:paraId="5605A8F0">
      <w:pPr>
        <w:pStyle w:val="11"/>
        <w:spacing w:beforeAutospacing="0" w:afterAutospacing="0" w:line="0" w:lineRule="atLeast"/>
        <w:ind w:firstLine="480"/>
        <w:jc w:val="both"/>
        <w:rPr>
          <w:color w:val="auto"/>
          <w:highlight w:val="none"/>
        </w:rPr>
      </w:pPr>
      <w:r>
        <w:rPr>
          <w:color w:val="auto"/>
          <w:highlight w:val="none"/>
        </w:rPr>
        <w:t> </w:t>
      </w:r>
    </w:p>
    <w:p w14:paraId="0D98AFB8">
      <w:pPr>
        <w:pStyle w:val="11"/>
        <w:spacing w:beforeAutospacing="0" w:afterAutospacing="0" w:line="0" w:lineRule="atLeast"/>
        <w:ind w:firstLine="480"/>
        <w:jc w:val="both"/>
        <w:rPr>
          <w:color w:val="auto"/>
          <w:highlight w:val="none"/>
        </w:rPr>
      </w:pPr>
      <w:r>
        <w:rPr>
          <w:color w:val="auto"/>
          <w:highlight w:val="none"/>
        </w:rPr>
        <w:t> </w:t>
      </w:r>
    </w:p>
    <w:p w14:paraId="30C20E36">
      <w:pPr>
        <w:pStyle w:val="11"/>
        <w:spacing w:beforeAutospacing="0" w:afterAutospacing="0" w:line="0" w:lineRule="atLeast"/>
        <w:ind w:firstLine="480"/>
        <w:jc w:val="both"/>
        <w:rPr>
          <w:color w:val="auto"/>
          <w:highlight w:val="none"/>
        </w:rPr>
      </w:pPr>
      <w:r>
        <w:rPr>
          <w:color w:val="auto"/>
          <w:highlight w:val="none"/>
        </w:rPr>
        <w:t> </w:t>
      </w:r>
    </w:p>
    <w:p w14:paraId="58E0765D">
      <w:pPr>
        <w:pStyle w:val="11"/>
        <w:spacing w:beforeAutospacing="0" w:afterAutospacing="0" w:line="0" w:lineRule="atLeast"/>
        <w:ind w:firstLine="480"/>
        <w:jc w:val="both"/>
        <w:rPr>
          <w:color w:val="auto"/>
          <w:highlight w:val="none"/>
        </w:rPr>
      </w:pPr>
      <w:r>
        <w:rPr>
          <w:color w:val="auto"/>
          <w:highlight w:val="none"/>
        </w:rPr>
        <w:t> </w:t>
      </w:r>
    </w:p>
    <w:p w14:paraId="367409E7">
      <w:pPr>
        <w:pStyle w:val="11"/>
        <w:spacing w:beforeAutospacing="0" w:afterAutospacing="0" w:line="0" w:lineRule="atLeast"/>
        <w:ind w:firstLine="480"/>
        <w:jc w:val="both"/>
        <w:rPr>
          <w:color w:val="auto"/>
          <w:highlight w:val="none"/>
        </w:rPr>
      </w:pPr>
    </w:p>
    <w:p w14:paraId="7E47788B">
      <w:pPr>
        <w:pStyle w:val="11"/>
        <w:spacing w:beforeAutospacing="0" w:afterAutospacing="0" w:line="0" w:lineRule="atLeast"/>
        <w:ind w:firstLine="480"/>
        <w:jc w:val="both"/>
        <w:rPr>
          <w:color w:val="auto"/>
          <w:highlight w:val="none"/>
        </w:rPr>
      </w:pPr>
    </w:p>
    <w:p w14:paraId="6E8DEA93">
      <w:pPr>
        <w:pStyle w:val="11"/>
        <w:spacing w:beforeAutospacing="0" w:afterAutospacing="0" w:line="0" w:lineRule="atLeast"/>
        <w:ind w:firstLine="480"/>
        <w:jc w:val="both"/>
        <w:rPr>
          <w:color w:val="auto"/>
          <w:highlight w:val="none"/>
        </w:rPr>
      </w:pPr>
    </w:p>
    <w:p w14:paraId="2245E152">
      <w:pPr>
        <w:pStyle w:val="11"/>
        <w:spacing w:beforeAutospacing="0" w:afterAutospacing="0" w:line="0" w:lineRule="atLeast"/>
        <w:ind w:firstLine="480"/>
        <w:jc w:val="both"/>
        <w:rPr>
          <w:color w:val="auto"/>
          <w:highlight w:val="none"/>
        </w:rPr>
      </w:pPr>
    </w:p>
    <w:p w14:paraId="52AAF0F0">
      <w:pPr>
        <w:pStyle w:val="11"/>
        <w:spacing w:beforeAutospacing="0" w:afterAutospacing="0" w:line="0" w:lineRule="atLeast"/>
        <w:ind w:firstLine="480"/>
        <w:jc w:val="both"/>
        <w:rPr>
          <w:color w:val="auto"/>
          <w:highlight w:val="none"/>
        </w:rPr>
      </w:pPr>
    </w:p>
    <w:p w14:paraId="6AD6A3D6">
      <w:pPr>
        <w:pStyle w:val="11"/>
        <w:spacing w:beforeAutospacing="0" w:afterAutospacing="0" w:line="0" w:lineRule="atLeast"/>
        <w:ind w:firstLine="480"/>
        <w:jc w:val="both"/>
        <w:rPr>
          <w:color w:val="auto"/>
          <w:highlight w:val="none"/>
        </w:rPr>
      </w:pPr>
    </w:p>
    <w:p w14:paraId="6E9EE0A8">
      <w:pPr>
        <w:pStyle w:val="11"/>
        <w:spacing w:beforeAutospacing="0" w:afterAutospacing="0" w:line="0" w:lineRule="atLeast"/>
        <w:ind w:firstLine="480"/>
        <w:jc w:val="both"/>
        <w:rPr>
          <w:color w:val="auto"/>
          <w:highlight w:val="none"/>
        </w:rPr>
      </w:pPr>
    </w:p>
    <w:p w14:paraId="6519CE06">
      <w:pPr>
        <w:pStyle w:val="11"/>
        <w:spacing w:beforeAutospacing="0" w:afterAutospacing="0" w:line="0" w:lineRule="atLeast"/>
        <w:ind w:firstLine="480"/>
        <w:jc w:val="both"/>
        <w:rPr>
          <w:color w:val="auto"/>
          <w:highlight w:val="none"/>
        </w:rPr>
      </w:pPr>
    </w:p>
    <w:p w14:paraId="3E2837F3">
      <w:pPr>
        <w:pStyle w:val="11"/>
        <w:spacing w:beforeAutospacing="0" w:afterAutospacing="0" w:line="0" w:lineRule="atLeast"/>
        <w:ind w:firstLine="480"/>
        <w:jc w:val="both"/>
        <w:rPr>
          <w:color w:val="auto"/>
          <w:highlight w:val="none"/>
        </w:rPr>
      </w:pPr>
    </w:p>
    <w:p w14:paraId="5895EFFC">
      <w:pPr>
        <w:pStyle w:val="11"/>
        <w:spacing w:beforeAutospacing="0" w:afterAutospacing="0" w:line="0" w:lineRule="atLeast"/>
        <w:ind w:firstLine="480"/>
        <w:jc w:val="both"/>
        <w:rPr>
          <w:color w:val="auto"/>
          <w:highlight w:val="none"/>
        </w:rPr>
      </w:pPr>
    </w:p>
    <w:p w14:paraId="5DD75115">
      <w:pPr>
        <w:pStyle w:val="11"/>
        <w:spacing w:beforeAutospacing="0" w:afterAutospacing="0" w:line="0" w:lineRule="atLeast"/>
        <w:ind w:firstLine="480"/>
        <w:jc w:val="both"/>
        <w:rPr>
          <w:color w:val="auto"/>
          <w:highlight w:val="none"/>
        </w:rPr>
      </w:pPr>
    </w:p>
    <w:p w14:paraId="0B4D4EA5">
      <w:pPr>
        <w:pStyle w:val="11"/>
        <w:spacing w:beforeAutospacing="0" w:afterAutospacing="0" w:line="0" w:lineRule="atLeast"/>
        <w:ind w:firstLine="480"/>
        <w:jc w:val="both"/>
        <w:rPr>
          <w:color w:val="auto"/>
          <w:highlight w:val="none"/>
        </w:rPr>
      </w:pPr>
    </w:p>
    <w:p w14:paraId="379A8040">
      <w:pPr>
        <w:pStyle w:val="11"/>
        <w:spacing w:beforeAutospacing="0" w:afterAutospacing="0" w:line="0" w:lineRule="atLeast"/>
        <w:ind w:firstLine="480"/>
        <w:jc w:val="both"/>
        <w:rPr>
          <w:color w:val="auto"/>
          <w:highlight w:val="none"/>
        </w:rPr>
      </w:pPr>
    </w:p>
    <w:p w14:paraId="6E48C671">
      <w:pPr>
        <w:pStyle w:val="11"/>
        <w:spacing w:beforeAutospacing="0" w:afterAutospacing="0" w:line="0" w:lineRule="atLeast"/>
        <w:ind w:firstLine="480"/>
        <w:jc w:val="both"/>
        <w:rPr>
          <w:color w:val="auto"/>
          <w:highlight w:val="none"/>
        </w:rPr>
      </w:pPr>
    </w:p>
    <w:p w14:paraId="3154B8F0">
      <w:pPr>
        <w:pStyle w:val="11"/>
        <w:spacing w:beforeAutospacing="0" w:afterAutospacing="0" w:line="0" w:lineRule="atLeast"/>
        <w:ind w:firstLine="480"/>
        <w:jc w:val="both"/>
        <w:rPr>
          <w:color w:val="auto"/>
          <w:highlight w:val="none"/>
        </w:rPr>
      </w:pPr>
      <w:r>
        <w:rPr>
          <w:color w:val="auto"/>
          <w:highlight w:val="none"/>
        </w:rPr>
        <w:t> </w:t>
      </w:r>
    </w:p>
    <w:p w14:paraId="1A685984">
      <w:pPr>
        <w:pStyle w:val="11"/>
        <w:spacing w:beforeAutospacing="0" w:afterAutospacing="0"/>
        <w:ind w:firstLine="640"/>
        <w:jc w:val="both"/>
        <w:rPr>
          <w:color w:val="auto"/>
          <w:highlight w:val="none"/>
        </w:rPr>
      </w:pPr>
      <w:r>
        <w:rPr>
          <w:rFonts w:hint="eastAsia" w:ascii="黑体" w:hAnsi="宋体" w:eastAsia="黑体" w:cs="黑体"/>
          <w:i/>
          <w:color w:val="auto"/>
          <w:sz w:val="32"/>
          <w:szCs w:val="32"/>
          <w:highlight w:val="none"/>
          <w:u w:val="single"/>
        </w:rPr>
        <w:t>一、法人或者其他组织的营业执照等证明文件，自然人的身份证明</w:t>
      </w:r>
    </w:p>
    <w:p w14:paraId="48780D73">
      <w:pPr>
        <w:pStyle w:val="11"/>
        <w:spacing w:beforeAutospacing="0" w:afterAutospacing="0" w:line="0" w:lineRule="atLeast"/>
        <w:ind w:firstLine="480"/>
        <w:jc w:val="both"/>
        <w:rPr>
          <w:color w:val="auto"/>
          <w:highlight w:val="none"/>
        </w:rPr>
      </w:pPr>
      <w:r>
        <w:rPr>
          <w:color w:val="auto"/>
          <w:highlight w:val="none"/>
        </w:rPr>
        <w:t> </w:t>
      </w:r>
    </w:p>
    <w:p w14:paraId="171DA570">
      <w:pPr>
        <w:pStyle w:val="11"/>
        <w:spacing w:beforeAutospacing="0" w:afterAutospacing="0"/>
        <w:ind w:firstLine="640"/>
        <w:jc w:val="both"/>
        <w:rPr>
          <w:rFonts w:eastAsia="黑体"/>
          <w:color w:val="auto"/>
          <w:highlight w:val="none"/>
        </w:rPr>
      </w:pPr>
      <w:r>
        <w:rPr>
          <w:rFonts w:hint="eastAsia" w:ascii="黑体" w:hAnsi="宋体" w:eastAsia="黑体" w:cs="黑体"/>
          <w:i/>
          <w:color w:val="auto"/>
          <w:sz w:val="32"/>
          <w:szCs w:val="32"/>
          <w:highlight w:val="none"/>
          <w:u w:val="single"/>
        </w:rPr>
        <w:t>二、上一年度的财务状况报告</w:t>
      </w:r>
    </w:p>
    <w:p w14:paraId="36364D73">
      <w:pPr>
        <w:tabs>
          <w:tab w:val="left" w:pos="1331"/>
        </w:tabs>
        <w:jc w:val="left"/>
        <w:rPr>
          <w:rFonts w:ascii="宋体" w:hAnsi="宋体" w:eastAsia="宋体" w:cs="宋体"/>
          <w:iCs/>
          <w:color w:val="auto"/>
          <w:kern w:val="0"/>
          <w:sz w:val="24"/>
          <w:highlight w:val="none"/>
        </w:rPr>
      </w:pPr>
      <w:r>
        <w:rPr>
          <w:rFonts w:hint="eastAsia" w:ascii="宋体" w:hAnsi="宋体" w:eastAsia="宋体" w:cs="宋体"/>
          <w:iCs/>
          <w:color w:val="auto"/>
          <w:kern w:val="0"/>
          <w:sz w:val="24"/>
          <w:highlight w:val="none"/>
        </w:rPr>
        <w:t>（至少提供资产负债表、利润表、现金流量表，投标人成立不满一年无需提供）</w:t>
      </w:r>
    </w:p>
    <w:p w14:paraId="0EB61B07">
      <w:pPr>
        <w:pStyle w:val="11"/>
        <w:spacing w:beforeAutospacing="0" w:afterAutospacing="0" w:line="0" w:lineRule="atLeast"/>
        <w:ind w:firstLine="480"/>
        <w:jc w:val="both"/>
        <w:rPr>
          <w:color w:val="auto"/>
          <w:highlight w:val="none"/>
        </w:rPr>
      </w:pPr>
    </w:p>
    <w:p w14:paraId="4C920C07">
      <w:pPr>
        <w:pStyle w:val="11"/>
        <w:spacing w:beforeAutospacing="0" w:afterAutospacing="0"/>
        <w:jc w:val="both"/>
        <w:rPr>
          <w:color w:val="auto"/>
          <w:highlight w:val="none"/>
        </w:rPr>
      </w:pPr>
      <w:r>
        <w:rPr>
          <w:color w:val="auto"/>
          <w:highlight w:val="none"/>
        </w:rPr>
        <w:t> </w:t>
      </w:r>
    </w:p>
    <w:p w14:paraId="00AC0EF1">
      <w:pPr>
        <w:pStyle w:val="11"/>
        <w:spacing w:beforeAutospacing="0" w:afterAutospacing="0"/>
        <w:jc w:val="both"/>
        <w:rPr>
          <w:color w:val="auto"/>
          <w:highlight w:val="none"/>
        </w:rPr>
      </w:pPr>
      <w:r>
        <w:rPr>
          <w:color w:val="auto"/>
          <w:highlight w:val="none"/>
        </w:rPr>
        <w:t> </w:t>
      </w:r>
    </w:p>
    <w:p w14:paraId="10661D07">
      <w:pPr>
        <w:pStyle w:val="11"/>
        <w:spacing w:beforeAutospacing="0" w:afterAutospacing="0"/>
        <w:ind w:firstLine="640"/>
        <w:jc w:val="both"/>
        <w:rPr>
          <w:color w:val="auto"/>
          <w:highlight w:val="none"/>
        </w:rPr>
      </w:pPr>
      <w:r>
        <w:rPr>
          <w:rFonts w:hint="eastAsia" w:ascii="黑体" w:hAnsi="宋体" w:eastAsia="黑体" w:cs="黑体"/>
          <w:i/>
          <w:color w:val="auto"/>
          <w:sz w:val="32"/>
          <w:szCs w:val="32"/>
          <w:highlight w:val="none"/>
          <w:u w:val="single"/>
        </w:rPr>
        <w:t>三、具备履行合同所必需的设备和专业技术能力的书面声明</w:t>
      </w:r>
    </w:p>
    <w:p w14:paraId="2449414E">
      <w:pPr>
        <w:pStyle w:val="11"/>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我单位郑重声明：我单位具备履行本项采购合同所必需的设备和专业技术能力，为履行本项采购合同我公司具备如下主要设备和主要专业技术能力：</w:t>
      </w:r>
    </w:p>
    <w:p w14:paraId="4B7C0E28">
      <w:pPr>
        <w:pStyle w:val="11"/>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4265EF28">
      <w:pPr>
        <w:pStyle w:val="11"/>
        <w:spacing w:beforeAutospacing="0" w:afterAutospacing="0"/>
        <w:jc w:val="both"/>
        <w:rPr>
          <w:rFonts w:ascii="宋体" w:hAnsi="宋体" w:eastAsia="宋体" w:cs="宋体"/>
          <w:color w:val="auto"/>
          <w:highlight w:val="none"/>
        </w:rPr>
      </w:pPr>
      <w:r>
        <w:rPr>
          <w:rFonts w:hint="eastAsia" w:ascii="宋体" w:hAnsi="宋体" w:eastAsia="宋体" w:cs="宋体"/>
          <w:color w:val="auto"/>
          <w:highlight w:val="none"/>
        </w:rPr>
        <w:t>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6ED92E8F">
      <w:pPr>
        <w:pStyle w:val="11"/>
        <w:spacing w:beforeAutospacing="0" w:afterAutospacing="0"/>
        <w:ind w:firstLine="640"/>
        <w:jc w:val="both"/>
        <w:rPr>
          <w:color w:val="auto"/>
          <w:highlight w:val="none"/>
        </w:rPr>
      </w:pPr>
      <w:r>
        <w:rPr>
          <w:rFonts w:hint="eastAsia" w:ascii="黑体" w:hAnsi="宋体" w:eastAsia="黑体" w:cs="黑体"/>
          <w:i/>
          <w:color w:val="auto"/>
          <w:sz w:val="32"/>
          <w:szCs w:val="32"/>
          <w:highlight w:val="none"/>
          <w:u w:val="single"/>
        </w:rPr>
        <w:t>四、依法缴纳税收和社会保障资金的相关材料</w:t>
      </w:r>
    </w:p>
    <w:p w14:paraId="0779B26F">
      <w:pPr>
        <w:pStyle w:val="11"/>
        <w:spacing w:beforeAutospacing="0" w:afterAutospacing="0"/>
        <w:ind w:firstLine="480"/>
        <w:jc w:val="both"/>
        <w:rPr>
          <w:color w:val="auto"/>
          <w:highlight w:val="none"/>
        </w:rPr>
      </w:pPr>
      <w:bookmarkStart w:id="209" w:name="_Toc120614284"/>
      <w:r>
        <w:rPr>
          <w:rFonts w:hint="eastAsia" w:ascii="宋体" w:hAnsi="宋体" w:eastAsia="宋体" w:cs="宋体"/>
          <w:color w:val="auto"/>
          <w:highlight w:val="none"/>
        </w:rPr>
        <w:t>提供提交投标文件截止时间前一年内至少一个月依法缴纳税收及缴纳社会保障资金的证明材料。投标人依法享受缓缴、免缴税收、社会保障资金的提供证明材料。</w:t>
      </w:r>
      <w:bookmarkEnd w:id="209"/>
    </w:p>
    <w:p w14:paraId="0058A1FA">
      <w:pPr>
        <w:pStyle w:val="11"/>
        <w:spacing w:beforeAutospacing="0" w:afterAutospacing="0"/>
        <w:ind w:firstLine="640"/>
        <w:jc w:val="both"/>
        <w:rPr>
          <w:color w:val="auto"/>
          <w:highlight w:val="none"/>
        </w:rPr>
      </w:pPr>
      <w:r>
        <w:rPr>
          <w:rFonts w:hint="eastAsia" w:ascii="黑体" w:hAnsi="宋体" w:eastAsia="黑体" w:cs="黑体"/>
          <w:i/>
          <w:color w:val="auto"/>
          <w:sz w:val="32"/>
          <w:szCs w:val="32"/>
          <w:highlight w:val="none"/>
          <w:u w:val="single"/>
        </w:rPr>
        <w:t>五、参加政府采购活动前 3 年内在经营活动中没有重大违法记录的书面声明</w:t>
      </w:r>
    </w:p>
    <w:p w14:paraId="36DA5600">
      <w:pPr>
        <w:pStyle w:val="11"/>
        <w:spacing w:beforeAutospacing="0" w:afterAutospacing="0" w:line="0" w:lineRule="atLeast"/>
        <w:ind w:firstLine="883"/>
        <w:jc w:val="both"/>
        <w:rPr>
          <w:color w:val="auto"/>
          <w:highlight w:val="none"/>
        </w:rPr>
      </w:pPr>
      <w:r>
        <w:rPr>
          <w:rFonts w:hint="eastAsia" w:ascii="宋体" w:hAnsi="宋体" w:eastAsia="宋体" w:cs="宋体"/>
          <w:b/>
          <w:color w:val="auto"/>
          <w:sz w:val="44"/>
          <w:szCs w:val="44"/>
          <w:highlight w:val="none"/>
        </w:rPr>
        <w:t>       声  明</w:t>
      </w:r>
    </w:p>
    <w:p w14:paraId="38B550D0">
      <w:pPr>
        <w:pStyle w:val="11"/>
        <w:spacing w:beforeAutospacing="0" w:afterAutospacing="0" w:line="0" w:lineRule="atLeast"/>
        <w:ind w:firstLine="482"/>
        <w:jc w:val="both"/>
        <w:rPr>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我单位郑重声明：参加本次政府采购活动前 3 年内，我单位在经营活动中没有因违法经营受到刑事处罚或者责令停产停业、吊销许可证或者执照、较大数额罚款等行政处罚。</w:t>
      </w:r>
    </w:p>
    <w:p w14:paraId="5769647B">
      <w:pPr>
        <w:pStyle w:val="11"/>
        <w:spacing w:beforeAutospacing="0" w:afterAutospacing="0"/>
        <w:jc w:val="both"/>
        <w:rPr>
          <w:color w:val="auto"/>
          <w:highlight w:val="none"/>
        </w:rPr>
      </w:pPr>
      <w:r>
        <w:rPr>
          <w:color w:val="auto"/>
          <w:highlight w:val="none"/>
        </w:rPr>
        <w:t> </w:t>
      </w:r>
    </w:p>
    <w:p w14:paraId="3F99CC16">
      <w:pPr>
        <w:pStyle w:val="11"/>
        <w:spacing w:beforeAutospacing="0" w:afterAutospacing="0"/>
        <w:ind w:firstLine="640"/>
        <w:jc w:val="both"/>
        <w:rPr>
          <w:color w:val="auto"/>
          <w:highlight w:val="none"/>
        </w:rPr>
      </w:pPr>
      <w:r>
        <w:rPr>
          <w:rFonts w:hint="eastAsia" w:ascii="黑体" w:hAnsi="宋体" w:eastAsia="黑体" w:cs="黑体"/>
          <w:i/>
          <w:color w:val="auto"/>
          <w:sz w:val="32"/>
          <w:szCs w:val="32"/>
          <w:highlight w:val="none"/>
          <w:u w:val="single"/>
        </w:rPr>
        <w:t>六、特定资格要求的证明文件</w:t>
      </w:r>
    </w:p>
    <w:p w14:paraId="60CE4A57">
      <w:pPr>
        <w:pStyle w:val="11"/>
        <w:spacing w:beforeAutospacing="0" w:afterAutospacing="0" w:line="0" w:lineRule="atLeast"/>
        <w:jc w:val="both"/>
        <w:rPr>
          <w:color w:val="auto"/>
          <w:highlight w:val="none"/>
        </w:rPr>
      </w:pPr>
      <w:r>
        <w:rPr>
          <w:rFonts w:hint="eastAsia" w:ascii="宋体" w:hAnsi="宋体" w:eastAsia="宋体" w:cs="宋体"/>
          <w:color w:val="auto"/>
          <w:highlight w:val="none"/>
        </w:rPr>
        <w:t>    如果本项目申请人的特定资格要求中要求提供的，必须提供。</w:t>
      </w:r>
    </w:p>
    <w:p w14:paraId="1CC8EBD7">
      <w:pPr>
        <w:pStyle w:val="11"/>
        <w:spacing w:beforeAutospacing="0" w:afterAutospacing="0" w:line="0" w:lineRule="atLeast"/>
        <w:jc w:val="both"/>
        <w:rPr>
          <w:color w:val="auto"/>
          <w:highlight w:val="none"/>
        </w:rPr>
      </w:pPr>
      <w:r>
        <w:rPr>
          <w:color w:val="auto"/>
          <w:highlight w:val="none"/>
        </w:rPr>
        <w:t> </w:t>
      </w:r>
    </w:p>
    <w:p w14:paraId="21E81E88">
      <w:pPr>
        <w:pStyle w:val="11"/>
        <w:spacing w:beforeAutospacing="0" w:afterAutospacing="0"/>
        <w:ind w:firstLine="640"/>
        <w:jc w:val="center"/>
        <w:rPr>
          <w:rFonts w:ascii="黑体" w:hAnsi="宋体" w:eastAsia="黑体" w:cs="黑体"/>
          <w:i/>
          <w:color w:val="auto"/>
          <w:sz w:val="32"/>
          <w:szCs w:val="32"/>
          <w:highlight w:val="none"/>
          <w:u w:val="single"/>
        </w:rPr>
      </w:pPr>
    </w:p>
    <w:p w14:paraId="15AC7DA5">
      <w:pPr>
        <w:pStyle w:val="11"/>
        <w:spacing w:beforeAutospacing="0" w:afterAutospacing="0"/>
        <w:ind w:firstLine="640"/>
        <w:jc w:val="center"/>
        <w:rPr>
          <w:rFonts w:ascii="黑体" w:hAnsi="宋体" w:eastAsia="黑体" w:cs="黑体"/>
          <w:i/>
          <w:color w:val="auto"/>
          <w:sz w:val="32"/>
          <w:szCs w:val="32"/>
          <w:highlight w:val="none"/>
          <w:u w:val="single"/>
        </w:rPr>
      </w:pPr>
    </w:p>
    <w:p w14:paraId="526D0617">
      <w:pPr>
        <w:pStyle w:val="11"/>
        <w:spacing w:beforeAutospacing="0" w:afterAutospacing="0"/>
        <w:ind w:firstLine="640"/>
        <w:jc w:val="center"/>
        <w:rPr>
          <w:rFonts w:ascii="黑体" w:hAnsi="宋体" w:eastAsia="黑体" w:cs="黑体"/>
          <w:i/>
          <w:color w:val="auto"/>
          <w:sz w:val="32"/>
          <w:szCs w:val="32"/>
          <w:highlight w:val="none"/>
          <w:u w:val="single"/>
        </w:rPr>
      </w:pPr>
    </w:p>
    <w:p w14:paraId="4C0BE972">
      <w:pPr>
        <w:pStyle w:val="11"/>
        <w:spacing w:beforeAutospacing="0" w:afterAutospacing="0"/>
        <w:ind w:firstLine="640"/>
        <w:jc w:val="center"/>
        <w:rPr>
          <w:rFonts w:ascii="黑体" w:hAnsi="宋体" w:eastAsia="黑体" w:cs="黑体"/>
          <w:i/>
          <w:color w:val="auto"/>
          <w:sz w:val="32"/>
          <w:szCs w:val="32"/>
          <w:highlight w:val="none"/>
          <w:u w:val="single"/>
        </w:rPr>
      </w:pPr>
    </w:p>
    <w:p w14:paraId="06004B63">
      <w:pPr>
        <w:pStyle w:val="11"/>
        <w:spacing w:beforeAutospacing="0" w:afterAutospacing="0"/>
        <w:ind w:firstLine="640"/>
        <w:jc w:val="center"/>
        <w:rPr>
          <w:rFonts w:ascii="黑体" w:hAnsi="宋体" w:eastAsia="黑体" w:cs="黑体"/>
          <w:i/>
          <w:color w:val="auto"/>
          <w:sz w:val="32"/>
          <w:szCs w:val="32"/>
          <w:highlight w:val="none"/>
          <w:u w:val="single"/>
        </w:rPr>
      </w:pPr>
    </w:p>
    <w:p w14:paraId="2B72EFE2">
      <w:pPr>
        <w:pStyle w:val="11"/>
        <w:spacing w:beforeAutospacing="0" w:afterAutospacing="0"/>
        <w:ind w:firstLine="640"/>
        <w:jc w:val="center"/>
        <w:rPr>
          <w:rFonts w:ascii="黑体" w:hAnsi="宋体" w:eastAsia="黑体" w:cs="黑体"/>
          <w:i/>
          <w:color w:val="auto"/>
          <w:sz w:val="32"/>
          <w:szCs w:val="32"/>
          <w:highlight w:val="none"/>
          <w:u w:val="single"/>
        </w:rPr>
      </w:pPr>
    </w:p>
    <w:p w14:paraId="3F34550D">
      <w:pPr>
        <w:pStyle w:val="11"/>
        <w:spacing w:beforeAutospacing="0" w:afterAutospacing="0"/>
        <w:ind w:firstLine="640"/>
        <w:jc w:val="center"/>
        <w:rPr>
          <w:color w:val="auto"/>
          <w:highlight w:val="none"/>
        </w:rPr>
      </w:pPr>
      <w:r>
        <w:rPr>
          <w:rFonts w:hint="eastAsia" w:ascii="黑体" w:hAnsi="宋体" w:eastAsia="黑体" w:cs="黑体"/>
          <w:i/>
          <w:color w:val="auto"/>
          <w:sz w:val="32"/>
          <w:szCs w:val="32"/>
          <w:highlight w:val="none"/>
          <w:u w:val="single"/>
        </w:rPr>
        <w:t>七、法人授权书</w:t>
      </w:r>
    </w:p>
    <w:p w14:paraId="30C8D5FA">
      <w:pPr>
        <w:pStyle w:val="11"/>
        <w:tabs>
          <w:tab w:val="left" w:pos="360"/>
        </w:tabs>
        <w:spacing w:beforeAutospacing="0" w:afterAutospacing="0"/>
        <w:ind w:firstLine="480"/>
        <w:jc w:val="both"/>
        <w:rPr>
          <w:color w:val="auto"/>
          <w:highlight w:val="none"/>
        </w:rPr>
      </w:pPr>
      <w:r>
        <w:rPr>
          <w:rFonts w:ascii="Times New Roman" w:hAnsi="Times New Roman"/>
          <w:color w:val="auto"/>
          <w:highlight w:val="none"/>
        </w:rPr>
        <w:t>本授权书声明：____________（投标人名称）授权________________（被授权人的姓名）为我方就JSZC-</w:t>
      </w:r>
      <w:r>
        <w:rPr>
          <w:rFonts w:ascii="Times New Roman" w:hAnsi="Times New Roman"/>
          <w:color w:val="auto"/>
          <w:highlight w:val="none"/>
          <w:u w:val="single"/>
        </w:rPr>
        <w:t xml:space="preserve">        </w:t>
      </w:r>
      <w:r>
        <w:rPr>
          <w:rFonts w:ascii="Times New Roman" w:hAnsi="Times New Roman"/>
          <w:color w:val="auto"/>
          <w:highlight w:val="none"/>
        </w:rPr>
        <w:t>号项目采购活动的合法代理人，以本单位名义全权处理一切与该项目采购有关的事务。</w:t>
      </w:r>
    </w:p>
    <w:p w14:paraId="502E0901">
      <w:pPr>
        <w:pStyle w:val="11"/>
        <w:tabs>
          <w:tab w:val="left" w:pos="360"/>
        </w:tabs>
        <w:spacing w:beforeAutospacing="0" w:afterAutospacing="0"/>
        <w:ind w:firstLine="480"/>
        <w:jc w:val="both"/>
        <w:rPr>
          <w:color w:val="auto"/>
          <w:highlight w:val="none"/>
        </w:rPr>
      </w:pPr>
      <w:r>
        <w:rPr>
          <w:rFonts w:ascii="Times New Roman" w:hAnsi="Times New Roman"/>
          <w:color w:val="auto"/>
          <w:highlight w:val="none"/>
        </w:rPr>
        <w:t>本授权书于______年____月____日起生效，特此声明。</w:t>
      </w:r>
    </w:p>
    <w:p w14:paraId="555A9F99">
      <w:pPr>
        <w:pStyle w:val="11"/>
        <w:tabs>
          <w:tab w:val="left" w:pos="360"/>
        </w:tabs>
        <w:spacing w:beforeAutospacing="0" w:afterAutospacing="0"/>
        <w:jc w:val="both"/>
        <w:rPr>
          <w:color w:val="auto"/>
          <w:highlight w:val="none"/>
        </w:rPr>
      </w:pPr>
      <w:r>
        <w:rPr>
          <w:rFonts w:ascii="Times New Roman" w:hAnsi="Times New Roman"/>
          <w:color w:val="auto"/>
          <w:highlight w:val="none"/>
        </w:rPr>
        <w:t>          被授权人身份证号码：</w:t>
      </w:r>
      <w:r>
        <w:rPr>
          <w:rFonts w:ascii="Times New Roman" w:hAnsi="Times New Roman"/>
          <w:color w:val="auto"/>
          <w:highlight w:val="none"/>
          <w:u w:val="single"/>
        </w:rPr>
        <w:t xml:space="preserve">                              </w:t>
      </w:r>
    </w:p>
    <w:p w14:paraId="607D6F0C">
      <w:pPr>
        <w:pStyle w:val="11"/>
        <w:tabs>
          <w:tab w:val="left" w:pos="360"/>
        </w:tabs>
        <w:spacing w:beforeAutospacing="0" w:afterAutospacing="0"/>
        <w:jc w:val="both"/>
        <w:rPr>
          <w:color w:val="auto"/>
          <w:highlight w:val="none"/>
        </w:rPr>
      </w:pPr>
      <w:r>
        <w:rPr>
          <w:rFonts w:ascii="Times New Roman" w:hAnsi="Times New Roman"/>
          <w:color w:val="auto"/>
          <w:highlight w:val="none"/>
        </w:rPr>
        <w:t>          被授权人联系电话：（手机）</w:t>
      </w:r>
      <w:r>
        <w:rPr>
          <w:rFonts w:ascii="Times New Roman" w:hAnsi="Times New Roman"/>
          <w:color w:val="auto"/>
          <w:highlight w:val="none"/>
          <w:u w:val="single"/>
        </w:rPr>
        <w:t xml:space="preserve">                          </w:t>
      </w:r>
    </w:p>
    <w:p w14:paraId="5681D530">
      <w:pPr>
        <w:pStyle w:val="11"/>
        <w:tabs>
          <w:tab w:val="left" w:pos="360"/>
        </w:tabs>
        <w:spacing w:beforeAutospacing="0" w:afterAutospacing="0"/>
        <w:ind w:firstLine="480"/>
        <w:jc w:val="both"/>
        <w:rPr>
          <w:color w:val="auto"/>
          <w:highlight w:val="none"/>
        </w:rPr>
      </w:pPr>
      <w:r>
        <w:rPr>
          <w:rFonts w:ascii="Times New Roman" w:hAnsi="Times New Roman"/>
          <w:color w:val="auto"/>
          <w:highlight w:val="none"/>
        </w:rPr>
        <w:t>授权单位名称：</w:t>
      </w:r>
      <w:r>
        <w:rPr>
          <w:rFonts w:ascii="Times New Roman" w:hAnsi="Times New Roman"/>
          <w:color w:val="auto"/>
          <w:highlight w:val="none"/>
          <w:u w:val="single"/>
        </w:rPr>
        <w:t>（加盖CA电子公章）</w:t>
      </w:r>
    </w:p>
    <w:p w14:paraId="5A0E4B84">
      <w:pPr>
        <w:pStyle w:val="11"/>
        <w:tabs>
          <w:tab w:val="left" w:pos="360"/>
        </w:tabs>
        <w:spacing w:beforeAutospacing="0" w:afterAutospacing="0"/>
        <w:ind w:firstLine="480"/>
        <w:jc w:val="both"/>
        <w:rPr>
          <w:color w:val="auto"/>
          <w:highlight w:val="none"/>
        </w:rPr>
      </w:pPr>
      <w:r>
        <w:rPr>
          <w:rFonts w:ascii="Times New Roman" w:hAnsi="Times New Roman"/>
          <w:color w:val="auto"/>
          <w:highlight w:val="none"/>
        </w:rPr>
        <w:t>      单位地址：</w:t>
      </w:r>
      <w:r>
        <w:rPr>
          <w:rFonts w:ascii="Times New Roman" w:hAnsi="Times New Roman"/>
          <w:color w:val="auto"/>
          <w:highlight w:val="none"/>
          <w:u w:val="single"/>
        </w:rPr>
        <w:t xml:space="preserve">                                         </w:t>
      </w:r>
    </w:p>
    <w:p w14:paraId="15285F50">
      <w:pPr>
        <w:pStyle w:val="11"/>
        <w:tabs>
          <w:tab w:val="left" w:pos="360"/>
        </w:tabs>
        <w:spacing w:beforeAutospacing="0" w:afterAutospacing="0"/>
        <w:ind w:firstLine="480"/>
        <w:jc w:val="both"/>
        <w:rPr>
          <w:color w:val="auto"/>
          <w:highlight w:val="none"/>
        </w:rPr>
      </w:pPr>
      <w:r>
        <w:rPr>
          <w:rFonts w:ascii="Times New Roman" w:hAnsi="Times New Roman"/>
          <w:color w:val="auto"/>
          <w:highlight w:val="none"/>
        </w:rPr>
        <w:t>      日期：</w:t>
      </w:r>
      <w:bookmarkStart w:id="210" w:name="_格式3__银行出具的资信证明"/>
      <w:bookmarkStart w:id="211" w:name="_Hlt26955070"/>
      <w:bookmarkStart w:id="212" w:name="_Hlt26671380"/>
      <w:r>
        <w:rPr>
          <w:rFonts w:ascii="Times New Roman" w:hAnsi="Times New Roman"/>
          <w:color w:val="auto"/>
          <w:highlight w:val="none"/>
          <w:u w:val="single"/>
        </w:rPr>
        <w:t xml:space="preserve">                                         </w:t>
      </w:r>
    </w:p>
    <w:p w14:paraId="010B9552">
      <w:pPr>
        <w:pStyle w:val="11"/>
        <w:spacing w:beforeAutospacing="0" w:afterAutospacing="0"/>
        <w:ind w:firstLine="480"/>
        <w:jc w:val="both"/>
        <w:rPr>
          <w:color w:val="auto"/>
          <w:highlight w:val="none"/>
        </w:rPr>
      </w:pPr>
      <w:r>
        <w:rPr>
          <w:color w:val="auto"/>
          <w:highlight w:val="none"/>
        </w:rPr>
        <w:t> </w:t>
      </w:r>
    </w:p>
    <w:p w14:paraId="4EF07E1E">
      <w:pPr>
        <w:pStyle w:val="11"/>
        <w:spacing w:beforeAutospacing="0" w:afterAutospacing="0"/>
        <w:jc w:val="both"/>
        <w:rPr>
          <w:color w:val="auto"/>
          <w:highlight w:val="none"/>
        </w:rPr>
      </w:pPr>
      <w:r>
        <w:rPr>
          <w:color w:val="auto"/>
          <w:highlight w:val="none"/>
        </w:rPr>
        <w:t> </w:t>
      </w:r>
    </w:p>
    <w:p w14:paraId="47D86CD2">
      <w:pPr>
        <w:pStyle w:val="11"/>
        <w:spacing w:beforeAutospacing="0" w:afterAutospacing="0" w:line="0" w:lineRule="atLeast"/>
        <w:jc w:val="both"/>
        <w:rPr>
          <w:color w:val="auto"/>
          <w:highlight w:val="none"/>
        </w:rPr>
      </w:pPr>
      <w:r>
        <w:rPr>
          <w:color w:val="auto"/>
          <w:highlight w:val="none"/>
        </w:rPr>
        <w:t> </w:t>
      </w:r>
    </w:p>
    <w:p w14:paraId="191413BD">
      <w:pPr>
        <w:pStyle w:val="11"/>
        <w:spacing w:beforeAutospacing="0" w:afterAutospacing="0" w:line="0" w:lineRule="atLeast"/>
        <w:jc w:val="both"/>
        <w:rPr>
          <w:color w:val="auto"/>
          <w:highlight w:val="none"/>
        </w:rPr>
      </w:pPr>
      <w:r>
        <w:rPr>
          <w:color w:val="auto"/>
          <w:highlight w:val="none"/>
        </w:rPr>
        <w:t> </w:t>
      </w:r>
    </w:p>
    <w:p w14:paraId="26952605">
      <w:pPr>
        <w:pStyle w:val="11"/>
        <w:keepNext/>
        <w:keepLines/>
        <w:spacing w:before="260" w:beforeAutospacing="0" w:after="260" w:afterAutospacing="0" w:line="415" w:lineRule="auto"/>
        <w:ind w:firstLine="482"/>
        <w:jc w:val="both"/>
        <w:rPr>
          <w:rFonts w:ascii="黑体" w:hAnsi="宋体" w:eastAsia="黑体" w:cs="黑体"/>
          <w:b/>
          <w:color w:val="auto"/>
          <w:sz w:val="32"/>
          <w:szCs w:val="32"/>
          <w:highlight w:val="none"/>
        </w:rPr>
      </w:pPr>
      <w:r>
        <w:rPr>
          <w:rFonts w:hint="eastAsia" w:ascii="宋体" w:hAnsi="宋体" w:eastAsia="宋体" w:cs="宋体"/>
          <w:b/>
          <w:color w:val="auto"/>
          <w:highlight w:val="none"/>
        </w:rPr>
        <w:br w:type="page"/>
      </w:r>
      <w:r>
        <w:rPr>
          <w:rFonts w:hint="eastAsia" w:ascii="宋体" w:hAnsi="宋体" w:eastAsia="宋体" w:cs="宋体"/>
          <w:b/>
          <w:color w:val="auto"/>
          <w:highlight w:val="none"/>
        </w:rPr>
        <w:t> </w:t>
      </w:r>
      <w:r>
        <w:rPr>
          <w:rFonts w:ascii="宋体" w:hAnsi="宋体" w:eastAsia="宋体" w:cs="宋体"/>
          <w:b/>
          <w:color w:val="auto"/>
          <w:highlight w:val="none"/>
        </w:rPr>
        <w:t xml:space="preserve">                        </w:t>
      </w:r>
      <w:r>
        <w:rPr>
          <w:rFonts w:hint="eastAsia" w:ascii="黑体" w:hAnsi="宋体" w:eastAsia="黑体" w:cs="黑体"/>
          <w:b/>
          <w:color w:val="auto"/>
          <w:sz w:val="32"/>
          <w:szCs w:val="32"/>
          <w:highlight w:val="none"/>
        </w:rPr>
        <w:t>八、投标函</w:t>
      </w:r>
    </w:p>
    <w:p w14:paraId="64E1B927">
      <w:pPr>
        <w:pStyle w:val="11"/>
        <w:spacing w:beforeAutospacing="0" w:afterAutospacing="0" w:line="0" w:lineRule="atLeast"/>
        <w:rPr>
          <w:color w:val="auto"/>
          <w:highlight w:val="none"/>
        </w:rPr>
      </w:pPr>
      <w:r>
        <w:rPr>
          <w:rFonts w:hint="eastAsia" w:ascii="宋体" w:hAnsi="宋体" w:eastAsia="宋体" w:cs="宋体"/>
          <w:color w:val="auto"/>
          <w:highlight w:val="none"/>
        </w:rPr>
        <w:t>致：盐城市卫生健康委员会</w:t>
      </w:r>
    </w:p>
    <w:p w14:paraId="6268B23A">
      <w:pPr>
        <w:pStyle w:val="11"/>
        <w:spacing w:beforeAutospacing="0" w:afterAutospacing="0" w:line="0" w:lineRule="atLeast"/>
        <w:ind w:firstLine="480"/>
        <w:rPr>
          <w:color w:val="auto"/>
          <w:highlight w:val="none"/>
        </w:rPr>
      </w:pPr>
      <w:r>
        <w:rPr>
          <w:rFonts w:hint="eastAsia" w:ascii="宋体" w:hAnsi="宋体" w:eastAsia="宋体" w:cs="宋体"/>
          <w:color w:val="auto"/>
          <w:highlight w:val="none"/>
        </w:rPr>
        <w:t>根据贵方的JSZC-320000-***号招标文件，正式授权下述签字人______(姓名)代表我方______________（投标人的名称），全权处理本次项目投标的有关事宜。</w:t>
      </w:r>
    </w:p>
    <w:p w14:paraId="54D6552C">
      <w:pPr>
        <w:pStyle w:val="11"/>
        <w:spacing w:beforeAutospacing="0" w:afterAutospacing="0" w:line="0" w:lineRule="atLeast"/>
        <w:ind w:firstLine="480"/>
        <w:rPr>
          <w:color w:val="auto"/>
          <w:highlight w:val="none"/>
        </w:rPr>
      </w:pPr>
      <w:r>
        <w:rPr>
          <w:rFonts w:hint="eastAsia" w:ascii="宋体" w:hAnsi="宋体" w:eastAsia="宋体" w:cs="宋体"/>
          <w:color w:val="auto"/>
          <w:highlight w:val="none"/>
        </w:rPr>
        <w:t>据此函，__________签字人兹宣布同意如下：</w:t>
      </w:r>
    </w:p>
    <w:p w14:paraId="1A63EE2D">
      <w:pPr>
        <w:pStyle w:val="11"/>
        <w:spacing w:beforeAutospacing="0" w:afterAutospacing="0" w:line="0" w:lineRule="atLeast"/>
        <w:ind w:firstLine="480"/>
        <w:rPr>
          <w:color w:val="auto"/>
          <w:highlight w:val="none"/>
        </w:rPr>
      </w:pPr>
      <w:r>
        <w:rPr>
          <w:rFonts w:hint="eastAsia" w:ascii="宋体" w:hAnsi="宋体" w:eastAsia="宋体" w:cs="宋体"/>
          <w:color w:val="auto"/>
          <w:highlight w:val="none"/>
        </w:rPr>
        <w:t>1.按招标文件规定的各项要求，向买方提供所需服务（包含与服务相关的货物）。</w:t>
      </w:r>
    </w:p>
    <w:p w14:paraId="0490B914">
      <w:pPr>
        <w:pStyle w:val="11"/>
        <w:spacing w:beforeAutospacing="0" w:afterAutospacing="0" w:line="0" w:lineRule="atLeast"/>
        <w:ind w:firstLine="480"/>
        <w:rPr>
          <w:color w:val="auto"/>
          <w:highlight w:val="none"/>
        </w:rPr>
      </w:pPr>
      <w:r>
        <w:rPr>
          <w:rFonts w:hint="eastAsia" w:ascii="宋体" w:hAnsi="宋体" w:eastAsia="宋体" w:cs="宋体"/>
          <w:color w:val="auto"/>
          <w:highlight w:val="none"/>
        </w:rPr>
        <w:t>2.我们完全理解贵方不一定将合同授予最低报价的投标人。</w:t>
      </w:r>
    </w:p>
    <w:p w14:paraId="3A225DF0">
      <w:pPr>
        <w:pStyle w:val="11"/>
        <w:spacing w:beforeAutospacing="0" w:afterAutospacing="0" w:line="0" w:lineRule="atLeast"/>
        <w:ind w:firstLine="480"/>
        <w:rPr>
          <w:color w:val="auto"/>
          <w:highlight w:val="none"/>
        </w:rPr>
      </w:pPr>
      <w:r>
        <w:rPr>
          <w:rFonts w:hint="eastAsia" w:ascii="宋体" w:hAnsi="宋体" w:eastAsia="宋体" w:cs="宋体"/>
          <w:color w:val="auto"/>
          <w:highlight w:val="none"/>
        </w:rPr>
        <w:t>3.我们已详细审核全部招标文件及其有效补充文件，我们知道必须放弃提出含糊不清或误解问题的权利。</w:t>
      </w:r>
    </w:p>
    <w:p w14:paraId="147B33B2">
      <w:pPr>
        <w:pStyle w:val="11"/>
        <w:spacing w:beforeAutospacing="0" w:afterAutospacing="0" w:line="0" w:lineRule="atLeast"/>
        <w:ind w:firstLine="480"/>
        <w:rPr>
          <w:color w:val="auto"/>
          <w:highlight w:val="none"/>
        </w:rPr>
      </w:pPr>
      <w:r>
        <w:rPr>
          <w:rFonts w:hint="eastAsia" w:ascii="宋体" w:hAnsi="宋体" w:eastAsia="宋体" w:cs="宋体"/>
          <w:color w:val="auto"/>
          <w:highlight w:val="none"/>
        </w:rPr>
        <w:t>4.我们同意从规定的开标日期起遵循本投标文件，并在规定的投标有效期期满之前均具有约束力。</w:t>
      </w:r>
    </w:p>
    <w:p w14:paraId="1604AF80">
      <w:pPr>
        <w:pStyle w:val="11"/>
        <w:spacing w:beforeAutospacing="0" w:afterAutospacing="0" w:line="0" w:lineRule="atLeast"/>
        <w:ind w:firstLine="480"/>
        <w:rPr>
          <w:color w:val="auto"/>
          <w:highlight w:val="none"/>
        </w:rPr>
      </w:pPr>
      <w:r>
        <w:rPr>
          <w:rFonts w:hint="eastAsia" w:ascii="宋体" w:hAnsi="宋体" w:eastAsia="宋体" w:cs="宋体"/>
          <w:color w:val="auto"/>
          <w:highlight w:val="none"/>
        </w:rPr>
        <w:t>5.同意向贵方提供贵方可能另外要求的与投标有关的任何证据或资料，并保证我方已提供和将要提供的文件是真实的、准确的。</w:t>
      </w:r>
    </w:p>
    <w:p w14:paraId="5D815667">
      <w:pPr>
        <w:pStyle w:val="11"/>
        <w:spacing w:beforeAutospacing="0" w:afterAutospacing="0" w:line="0" w:lineRule="atLeast"/>
        <w:ind w:firstLine="480"/>
        <w:rPr>
          <w:color w:val="auto"/>
          <w:highlight w:val="none"/>
        </w:rPr>
      </w:pPr>
      <w:r>
        <w:rPr>
          <w:rFonts w:hint="eastAsia" w:ascii="宋体" w:hAnsi="宋体" w:eastAsia="宋体" w:cs="宋体"/>
          <w:color w:val="auto"/>
          <w:highlight w:val="none"/>
        </w:rPr>
        <w:t>6.一旦我方中标,我方将根据招标文件的规定，严格履行合同的责任和义务,并保证在招标文件规定的时间内完成项目，交付买方验收、使用。</w:t>
      </w:r>
    </w:p>
    <w:p w14:paraId="055DFA20">
      <w:pPr>
        <w:pStyle w:val="11"/>
        <w:spacing w:beforeAutospacing="0" w:afterAutospacing="0" w:line="0" w:lineRule="atLeast"/>
        <w:ind w:firstLine="480"/>
        <w:rPr>
          <w:color w:val="auto"/>
          <w:highlight w:val="none"/>
        </w:rPr>
      </w:pPr>
      <w:r>
        <w:rPr>
          <w:rFonts w:hint="eastAsia" w:ascii="宋体" w:hAnsi="宋体" w:eastAsia="宋体" w:cs="宋体"/>
          <w:color w:val="auto"/>
          <w:highlight w:val="none"/>
        </w:rPr>
        <w:t>7.与本投标有关的正式通讯地址为：</w:t>
      </w:r>
    </w:p>
    <w:p w14:paraId="5B627D0D">
      <w:pPr>
        <w:pStyle w:val="11"/>
        <w:spacing w:beforeAutospacing="0" w:afterAutospacing="0" w:line="0" w:lineRule="atLeast"/>
        <w:ind w:left="420" w:firstLine="480"/>
        <w:rPr>
          <w:color w:val="auto"/>
          <w:highlight w:val="none"/>
        </w:rPr>
      </w:pPr>
      <w:r>
        <w:rPr>
          <w:rFonts w:hint="eastAsia" w:ascii="宋体" w:hAnsi="宋体" w:eastAsia="宋体" w:cs="宋体"/>
          <w:color w:val="auto"/>
          <w:highlight w:val="none"/>
        </w:rPr>
        <w:t>地          址：</w:t>
      </w:r>
    </w:p>
    <w:p w14:paraId="289CE53A">
      <w:pPr>
        <w:pStyle w:val="11"/>
        <w:spacing w:beforeAutospacing="0" w:afterAutospacing="0" w:line="0" w:lineRule="atLeast"/>
        <w:ind w:left="420" w:firstLine="480"/>
        <w:rPr>
          <w:color w:val="auto"/>
          <w:highlight w:val="none"/>
        </w:rPr>
      </w:pPr>
      <w:r>
        <w:rPr>
          <w:rFonts w:hint="eastAsia" w:ascii="宋体" w:hAnsi="宋体" w:eastAsia="宋体" w:cs="宋体"/>
          <w:color w:val="auto"/>
          <w:highlight w:val="none"/>
        </w:rPr>
        <w:t>邮          编：</w:t>
      </w:r>
    </w:p>
    <w:p w14:paraId="25E1AAD7">
      <w:pPr>
        <w:pStyle w:val="11"/>
        <w:spacing w:beforeAutospacing="0" w:afterAutospacing="0" w:line="0" w:lineRule="atLeast"/>
        <w:ind w:left="420" w:firstLine="480"/>
        <w:rPr>
          <w:color w:val="auto"/>
          <w:highlight w:val="none"/>
        </w:rPr>
      </w:pPr>
      <w:r>
        <w:rPr>
          <w:rFonts w:hint="eastAsia" w:ascii="宋体" w:hAnsi="宋体" w:eastAsia="宋体" w:cs="宋体"/>
          <w:color w:val="auto"/>
          <w:highlight w:val="none"/>
        </w:rPr>
        <w:t>电          话：</w:t>
      </w:r>
    </w:p>
    <w:p w14:paraId="4DBB6DF2">
      <w:pPr>
        <w:pStyle w:val="11"/>
        <w:spacing w:beforeAutospacing="0" w:afterAutospacing="0" w:line="0" w:lineRule="atLeast"/>
        <w:ind w:left="420" w:firstLine="480"/>
        <w:rPr>
          <w:color w:val="auto"/>
          <w:highlight w:val="none"/>
        </w:rPr>
      </w:pPr>
      <w:r>
        <w:rPr>
          <w:rFonts w:hint="eastAsia" w:ascii="宋体" w:hAnsi="宋体" w:eastAsia="宋体" w:cs="宋体"/>
          <w:color w:val="auto"/>
          <w:highlight w:val="none"/>
        </w:rPr>
        <w:t>传          真：</w:t>
      </w:r>
    </w:p>
    <w:p w14:paraId="1493546A">
      <w:pPr>
        <w:pStyle w:val="11"/>
        <w:spacing w:beforeAutospacing="0" w:afterAutospacing="0" w:line="0" w:lineRule="atLeast"/>
        <w:ind w:left="420" w:firstLine="480"/>
        <w:rPr>
          <w:color w:val="auto"/>
          <w:highlight w:val="none"/>
        </w:rPr>
      </w:pPr>
      <w:r>
        <w:rPr>
          <w:rFonts w:hint="eastAsia" w:ascii="宋体" w:hAnsi="宋体" w:eastAsia="宋体" w:cs="宋体"/>
          <w:color w:val="auto"/>
          <w:highlight w:val="none"/>
        </w:rPr>
        <w:t>投标人开户行：</w:t>
      </w:r>
    </w:p>
    <w:p w14:paraId="27CDDBF4">
      <w:pPr>
        <w:pStyle w:val="11"/>
        <w:spacing w:beforeAutospacing="0" w:afterAutospacing="0" w:line="0" w:lineRule="atLeast"/>
        <w:ind w:left="420" w:firstLine="480"/>
        <w:rPr>
          <w:color w:val="auto"/>
          <w:highlight w:val="none"/>
        </w:rPr>
      </w:pPr>
      <w:r>
        <w:rPr>
          <w:rFonts w:hint="eastAsia" w:ascii="宋体" w:hAnsi="宋体" w:eastAsia="宋体" w:cs="宋体"/>
          <w:color w:val="auto"/>
          <w:highlight w:val="none"/>
        </w:rPr>
        <w:t xml:space="preserve">账          号： </w:t>
      </w:r>
    </w:p>
    <w:p w14:paraId="27478ABF">
      <w:pPr>
        <w:pStyle w:val="11"/>
        <w:spacing w:beforeAutospacing="0" w:afterAutospacing="0" w:line="0" w:lineRule="atLeast"/>
        <w:ind w:left="420" w:firstLine="480"/>
        <w:rPr>
          <w:color w:val="auto"/>
          <w:highlight w:val="none"/>
        </w:rPr>
      </w:pPr>
      <w:r>
        <w:rPr>
          <w:rFonts w:hint="eastAsia" w:ascii="宋体" w:hAnsi="宋体" w:eastAsia="宋体" w:cs="宋体"/>
          <w:color w:val="auto"/>
          <w:highlight w:val="none"/>
        </w:rPr>
        <w:t>日           期：________年____月____日</w:t>
      </w:r>
    </w:p>
    <w:p w14:paraId="090EEBF2">
      <w:pPr>
        <w:pStyle w:val="11"/>
        <w:spacing w:beforeAutospacing="0" w:afterAutospacing="0" w:line="0" w:lineRule="atLeast"/>
        <w:ind w:firstLine="480"/>
        <w:jc w:val="center"/>
        <w:rPr>
          <w:color w:val="auto"/>
          <w:highlight w:val="none"/>
        </w:rPr>
      </w:pPr>
      <w:r>
        <w:rPr>
          <w:color w:val="auto"/>
          <w:highlight w:val="none"/>
        </w:rPr>
        <w:t> </w:t>
      </w:r>
    </w:p>
    <w:p w14:paraId="09CFDA67">
      <w:pPr>
        <w:pStyle w:val="11"/>
        <w:spacing w:beforeAutospacing="0" w:afterAutospacing="0" w:line="0" w:lineRule="atLeast"/>
        <w:ind w:firstLine="480"/>
        <w:jc w:val="center"/>
        <w:rPr>
          <w:color w:val="auto"/>
          <w:highlight w:val="none"/>
        </w:rPr>
      </w:pPr>
      <w:r>
        <w:rPr>
          <w:color w:val="auto"/>
          <w:highlight w:val="none"/>
        </w:rPr>
        <w:t> </w:t>
      </w:r>
    </w:p>
    <w:p w14:paraId="3F9F162A">
      <w:pPr>
        <w:pStyle w:val="11"/>
        <w:spacing w:beforeAutospacing="0" w:afterAutospacing="0" w:line="0" w:lineRule="atLeast"/>
        <w:ind w:firstLine="480"/>
        <w:jc w:val="center"/>
        <w:rPr>
          <w:color w:val="auto"/>
          <w:highlight w:val="none"/>
        </w:rPr>
      </w:pPr>
      <w:r>
        <w:rPr>
          <w:color w:val="auto"/>
          <w:highlight w:val="none"/>
        </w:rPr>
        <w:t> </w:t>
      </w:r>
    </w:p>
    <w:p w14:paraId="2DA9EFA7">
      <w:pPr>
        <w:pStyle w:val="11"/>
        <w:spacing w:beforeAutospacing="0" w:afterAutospacing="0" w:line="0" w:lineRule="atLeast"/>
        <w:ind w:firstLine="480"/>
        <w:jc w:val="center"/>
        <w:rPr>
          <w:color w:val="auto"/>
          <w:highlight w:val="none"/>
        </w:rPr>
      </w:pPr>
      <w:r>
        <w:rPr>
          <w:color w:val="auto"/>
          <w:highlight w:val="none"/>
        </w:rPr>
        <w:t> </w:t>
      </w:r>
    </w:p>
    <w:p w14:paraId="7623785B">
      <w:pPr>
        <w:pStyle w:val="11"/>
        <w:spacing w:beforeAutospacing="0" w:afterAutospacing="0" w:line="0" w:lineRule="atLeast"/>
        <w:ind w:firstLine="480"/>
        <w:jc w:val="center"/>
        <w:rPr>
          <w:color w:val="auto"/>
          <w:highlight w:val="none"/>
        </w:rPr>
      </w:pPr>
      <w:r>
        <w:rPr>
          <w:color w:val="auto"/>
          <w:highlight w:val="none"/>
        </w:rPr>
        <w:t> </w:t>
      </w:r>
    </w:p>
    <w:p w14:paraId="54ADFA08">
      <w:pPr>
        <w:pStyle w:val="11"/>
        <w:spacing w:beforeAutospacing="0" w:afterAutospacing="0" w:line="0" w:lineRule="atLeast"/>
        <w:ind w:firstLine="480"/>
        <w:jc w:val="center"/>
        <w:rPr>
          <w:color w:val="auto"/>
          <w:highlight w:val="none"/>
        </w:rPr>
      </w:pPr>
    </w:p>
    <w:p w14:paraId="50AC31A7">
      <w:pPr>
        <w:pStyle w:val="11"/>
        <w:spacing w:beforeAutospacing="0" w:afterAutospacing="0" w:line="0" w:lineRule="atLeast"/>
        <w:ind w:firstLine="480"/>
        <w:jc w:val="center"/>
        <w:rPr>
          <w:color w:val="auto"/>
          <w:highlight w:val="none"/>
        </w:rPr>
      </w:pPr>
    </w:p>
    <w:p w14:paraId="74CB101E">
      <w:pPr>
        <w:pStyle w:val="11"/>
        <w:spacing w:beforeAutospacing="0" w:afterAutospacing="0" w:line="0" w:lineRule="atLeast"/>
        <w:ind w:firstLine="480"/>
        <w:jc w:val="center"/>
        <w:rPr>
          <w:color w:val="auto"/>
          <w:highlight w:val="none"/>
        </w:rPr>
      </w:pPr>
    </w:p>
    <w:p w14:paraId="6403E5D7">
      <w:pPr>
        <w:pStyle w:val="11"/>
        <w:spacing w:beforeAutospacing="0" w:afterAutospacing="0" w:line="0" w:lineRule="atLeast"/>
        <w:ind w:firstLine="480"/>
        <w:jc w:val="center"/>
        <w:rPr>
          <w:color w:val="auto"/>
          <w:highlight w:val="none"/>
        </w:rPr>
      </w:pPr>
    </w:p>
    <w:p w14:paraId="1F7DF9CF">
      <w:pPr>
        <w:pStyle w:val="11"/>
        <w:spacing w:beforeAutospacing="0" w:afterAutospacing="0" w:line="0" w:lineRule="atLeast"/>
        <w:ind w:firstLine="480"/>
        <w:jc w:val="center"/>
        <w:rPr>
          <w:color w:val="auto"/>
          <w:highlight w:val="none"/>
        </w:rPr>
      </w:pPr>
    </w:p>
    <w:p w14:paraId="7365A4DF">
      <w:pPr>
        <w:pStyle w:val="11"/>
        <w:spacing w:beforeAutospacing="0" w:afterAutospacing="0" w:line="0" w:lineRule="atLeast"/>
        <w:ind w:firstLine="480"/>
        <w:jc w:val="center"/>
        <w:rPr>
          <w:color w:val="auto"/>
          <w:highlight w:val="none"/>
        </w:rPr>
      </w:pPr>
    </w:p>
    <w:p w14:paraId="7B82C732">
      <w:pPr>
        <w:pStyle w:val="11"/>
        <w:spacing w:beforeAutospacing="0" w:afterAutospacing="0" w:line="0" w:lineRule="atLeast"/>
        <w:ind w:firstLine="480"/>
        <w:jc w:val="center"/>
        <w:rPr>
          <w:color w:val="auto"/>
          <w:highlight w:val="none"/>
        </w:rPr>
      </w:pPr>
    </w:p>
    <w:p w14:paraId="2CF7B22B">
      <w:pPr>
        <w:pStyle w:val="11"/>
        <w:spacing w:beforeAutospacing="0" w:afterAutospacing="0" w:line="0" w:lineRule="atLeast"/>
        <w:ind w:firstLine="480"/>
        <w:jc w:val="center"/>
        <w:rPr>
          <w:color w:val="auto"/>
          <w:highlight w:val="none"/>
        </w:rPr>
      </w:pPr>
    </w:p>
    <w:p w14:paraId="234D23A2">
      <w:pPr>
        <w:pStyle w:val="11"/>
        <w:spacing w:beforeAutospacing="0" w:afterAutospacing="0" w:line="0" w:lineRule="atLeast"/>
        <w:ind w:firstLine="480"/>
        <w:jc w:val="center"/>
        <w:rPr>
          <w:color w:val="auto"/>
          <w:highlight w:val="none"/>
        </w:rPr>
      </w:pPr>
    </w:p>
    <w:p w14:paraId="316A5B9E">
      <w:pPr>
        <w:pStyle w:val="11"/>
        <w:spacing w:beforeAutospacing="0" w:afterAutospacing="0" w:line="0" w:lineRule="atLeast"/>
        <w:ind w:firstLine="480"/>
        <w:jc w:val="center"/>
        <w:rPr>
          <w:color w:val="auto"/>
          <w:highlight w:val="none"/>
        </w:rPr>
      </w:pPr>
    </w:p>
    <w:p w14:paraId="32CE4957">
      <w:pPr>
        <w:pStyle w:val="11"/>
        <w:spacing w:beforeAutospacing="0" w:afterAutospacing="0" w:line="0" w:lineRule="atLeast"/>
        <w:ind w:firstLine="480"/>
        <w:jc w:val="center"/>
        <w:rPr>
          <w:color w:val="auto"/>
          <w:highlight w:val="none"/>
        </w:rPr>
      </w:pPr>
    </w:p>
    <w:p w14:paraId="3F22F5D3">
      <w:pPr>
        <w:pStyle w:val="11"/>
        <w:spacing w:beforeAutospacing="0" w:afterAutospacing="0" w:line="0" w:lineRule="atLeast"/>
        <w:jc w:val="center"/>
        <w:rPr>
          <w:color w:val="auto"/>
          <w:highlight w:val="none"/>
        </w:rPr>
      </w:pPr>
      <w:r>
        <w:rPr>
          <w:color w:val="auto"/>
          <w:highlight w:val="none"/>
        </w:rPr>
        <w:t> </w:t>
      </w:r>
    </w:p>
    <w:p w14:paraId="5413CB34">
      <w:pPr>
        <w:widowControl/>
        <w:ind w:firstLine="643"/>
        <w:jc w:val="left"/>
        <w:rPr>
          <w:rFonts w:ascii="黑体" w:hAnsi="宋体" w:eastAsia="黑体" w:cs="黑体"/>
          <w:b/>
          <w:color w:val="auto"/>
          <w:kern w:val="0"/>
          <w:sz w:val="32"/>
          <w:szCs w:val="32"/>
          <w:highlight w:val="none"/>
        </w:rPr>
      </w:pPr>
      <w:r>
        <w:rPr>
          <w:rFonts w:ascii="黑体" w:hAnsi="宋体" w:eastAsia="黑体" w:cs="黑体"/>
          <w:b/>
          <w:color w:val="auto"/>
          <w:sz w:val="32"/>
          <w:szCs w:val="32"/>
          <w:highlight w:val="none"/>
        </w:rPr>
        <w:br w:type="page"/>
      </w:r>
    </w:p>
    <w:p w14:paraId="0554136C">
      <w:pPr>
        <w:pStyle w:val="11"/>
        <w:spacing w:beforeAutospacing="0" w:afterAutospacing="0" w:line="0" w:lineRule="atLeast"/>
        <w:ind w:firstLine="643"/>
        <w:jc w:val="center"/>
        <w:rPr>
          <w:color w:val="auto"/>
          <w:highlight w:val="none"/>
        </w:rPr>
      </w:pPr>
      <w:r>
        <w:rPr>
          <w:rFonts w:hint="eastAsia" w:ascii="黑体" w:hAnsi="宋体" w:eastAsia="黑体" w:cs="黑体"/>
          <w:b/>
          <w:color w:val="auto"/>
          <w:sz w:val="32"/>
          <w:szCs w:val="32"/>
          <w:highlight w:val="none"/>
        </w:rPr>
        <w:t>九、中小企业声明函（服务）（分包号：**）</w:t>
      </w:r>
    </w:p>
    <w:p w14:paraId="3E72E172">
      <w:pPr>
        <w:spacing w:line="500" w:lineRule="exact"/>
        <w:ind w:firstLine="480"/>
        <w:rPr>
          <w:color w:val="auto"/>
          <w:sz w:val="24"/>
          <w:highlight w:val="none"/>
        </w:rPr>
      </w:pPr>
      <w:r>
        <w:rPr>
          <w:rFonts w:hint="eastAsia"/>
          <w:color w:val="auto"/>
          <w:sz w:val="24"/>
          <w:highlight w:val="none"/>
        </w:rPr>
        <w:t>本公司（联合体）郑重声明，根据《政府采购促进中小企业发展管理办法》（财库﹝2020﹞46 号）的规定，本公司（联合体）参加盐城市招标代理有限公司组织的</w:t>
      </w:r>
      <w:r>
        <w:rPr>
          <w:rFonts w:hint="eastAsia"/>
          <w:i/>
          <w:iCs/>
          <w:color w:val="auto"/>
          <w:sz w:val="24"/>
          <w:highlight w:val="none"/>
          <w:u w:val="single"/>
        </w:rPr>
        <w:t>（单位名称）</w:t>
      </w:r>
      <w:r>
        <w:rPr>
          <w:rFonts w:hint="eastAsia"/>
          <w:color w:val="auto"/>
          <w:sz w:val="24"/>
          <w:szCs w:val="20"/>
          <w:highlight w:val="none"/>
        </w:rPr>
        <w:t>，</w:t>
      </w:r>
      <w:r>
        <w:rPr>
          <w:rFonts w:hint="eastAsia"/>
          <w:color w:val="auto"/>
          <w:sz w:val="24"/>
          <w:highlight w:val="none"/>
        </w:rPr>
        <w:t>采购编号为</w:t>
      </w:r>
      <w:r>
        <w:rPr>
          <w:rFonts w:hint="eastAsia"/>
          <w:color w:val="auto"/>
          <w:sz w:val="24"/>
          <w:highlight w:val="none"/>
          <w:u w:val="single"/>
        </w:rPr>
        <w:t xml:space="preserve">     </w:t>
      </w:r>
      <w:r>
        <w:rPr>
          <w:rFonts w:hint="eastAsia"/>
          <w:color w:val="auto"/>
          <w:sz w:val="24"/>
          <w:highlight w:val="none"/>
        </w:rPr>
        <w:t>的</w:t>
      </w:r>
      <w:r>
        <w:rPr>
          <w:rFonts w:hint="eastAsia"/>
          <w:i/>
          <w:iCs/>
          <w:color w:val="auto"/>
          <w:sz w:val="24"/>
          <w:highlight w:val="none"/>
          <w:u w:val="single"/>
        </w:rPr>
        <w:t>（项目名称）</w:t>
      </w:r>
      <w:r>
        <w:rPr>
          <w:rFonts w:hint="eastAsia"/>
          <w:color w:val="auto"/>
          <w:sz w:val="24"/>
          <w:highlight w:val="none"/>
        </w:rPr>
        <w:t>的采购活动，服务全部由符合政策要求的中小企业承接。相关企业（含联合体中的中小企业、签订分包意向协议的中小企业）的具体情况如下：</w:t>
      </w:r>
    </w:p>
    <w:p w14:paraId="5C984A28">
      <w:pPr>
        <w:numPr>
          <w:ilvl w:val="0"/>
          <w:numId w:val="1"/>
        </w:numPr>
        <w:spacing w:line="500" w:lineRule="exact"/>
        <w:ind w:firstLine="480"/>
        <w:rPr>
          <w:color w:val="auto"/>
          <w:sz w:val="24"/>
          <w:highlight w:val="none"/>
        </w:rPr>
      </w:pPr>
      <w:r>
        <w:rPr>
          <w:rFonts w:hint="eastAsia"/>
          <w:i/>
          <w:iCs/>
          <w:color w:val="auto"/>
          <w:sz w:val="24"/>
          <w:highlight w:val="none"/>
          <w:u w:val="single"/>
        </w:rPr>
        <w:t>（标的名称）</w:t>
      </w:r>
      <w:r>
        <w:rPr>
          <w:rFonts w:hint="eastAsia"/>
          <w:color w:val="auto"/>
          <w:sz w:val="24"/>
          <w:highlight w:val="none"/>
        </w:rPr>
        <w:t xml:space="preserve"> ，属于</w:t>
      </w:r>
      <w:r>
        <w:rPr>
          <w:rFonts w:hint="eastAsia"/>
          <w:i/>
          <w:iCs/>
          <w:color w:val="auto"/>
          <w:sz w:val="24"/>
          <w:highlight w:val="none"/>
          <w:u w:val="single"/>
        </w:rPr>
        <w:t>（采购文件中明确的所属行业）</w:t>
      </w:r>
      <w:r>
        <w:rPr>
          <w:rFonts w:hint="eastAsia"/>
          <w:color w:val="auto"/>
          <w:sz w:val="24"/>
          <w:highlight w:val="none"/>
        </w:rPr>
        <w:t>；承建（承接）企业为</w:t>
      </w:r>
      <w:r>
        <w:rPr>
          <w:rFonts w:hint="eastAsia"/>
          <w:i/>
          <w:iCs/>
          <w:color w:val="auto"/>
          <w:sz w:val="24"/>
          <w:highlight w:val="none"/>
          <w:u w:val="single"/>
        </w:rPr>
        <w:t>（企业名称）</w:t>
      </w:r>
      <w:r>
        <w:rPr>
          <w:rFonts w:hint="eastAsia"/>
          <w:color w:val="auto"/>
          <w:sz w:val="24"/>
          <w:highlight w:val="none"/>
        </w:rPr>
        <w:t>，从业人员</w:t>
      </w:r>
      <w:r>
        <w:rPr>
          <w:rFonts w:hint="eastAsia"/>
          <w:color w:val="auto"/>
          <w:sz w:val="24"/>
          <w:highlight w:val="none"/>
          <w:u w:val="single"/>
        </w:rPr>
        <w:t xml:space="preserve">    </w:t>
      </w:r>
      <w:r>
        <w:rPr>
          <w:rFonts w:hint="eastAsia"/>
          <w:color w:val="auto"/>
          <w:sz w:val="24"/>
          <w:highlight w:val="none"/>
        </w:rPr>
        <w:t>人，营业收入为</w:t>
      </w:r>
      <w:r>
        <w:rPr>
          <w:rFonts w:hint="eastAsia"/>
          <w:color w:val="auto"/>
          <w:sz w:val="24"/>
          <w:highlight w:val="none"/>
          <w:u w:val="single"/>
        </w:rPr>
        <w:t xml:space="preserve">    </w:t>
      </w:r>
      <w:r>
        <w:rPr>
          <w:rFonts w:hint="eastAsia"/>
          <w:color w:val="auto"/>
          <w:sz w:val="24"/>
          <w:highlight w:val="none"/>
        </w:rPr>
        <w:t>万元，资产总额为</w:t>
      </w:r>
      <w:r>
        <w:rPr>
          <w:rFonts w:hint="eastAsia"/>
          <w:color w:val="auto"/>
          <w:sz w:val="24"/>
          <w:highlight w:val="none"/>
          <w:u w:val="single"/>
        </w:rPr>
        <w:t xml:space="preserve">    </w:t>
      </w:r>
      <w:r>
        <w:rPr>
          <w:rFonts w:hint="eastAsia"/>
          <w:color w:val="auto"/>
          <w:sz w:val="24"/>
          <w:highlight w:val="none"/>
        </w:rPr>
        <w:t>万元，属于（</w:t>
      </w:r>
      <w:r>
        <w:rPr>
          <w:rFonts w:hint="eastAsia"/>
          <w:i/>
          <w:iCs/>
          <w:color w:val="auto"/>
          <w:sz w:val="24"/>
          <w:highlight w:val="none"/>
          <w:u w:val="single"/>
        </w:rPr>
        <w:t>中型企业、小型企业、微型企业</w:t>
      </w:r>
      <w:r>
        <w:rPr>
          <w:rFonts w:hint="eastAsia"/>
          <w:color w:val="auto"/>
          <w:sz w:val="24"/>
          <w:highlight w:val="none"/>
        </w:rPr>
        <w:t>）；</w:t>
      </w:r>
    </w:p>
    <w:p w14:paraId="14A96255">
      <w:pPr>
        <w:numPr>
          <w:ilvl w:val="0"/>
          <w:numId w:val="1"/>
        </w:numPr>
        <w:spacing w:line="500" w:lineRule="exact"/>
        <w:ind w:firstLine="480"/>
        <w:rPr>
          <w:color w:val="auto"/>
          <w:sz w:val="24"/>
          <w:highlight w:val="none"/>
        </w:rPr>
      </w:pPr>
      <w:r>
        <w:rPr>
          <w:rFonts w:hint="eastAsia"/>
          <w:i/>
          <w:iCs/>
          <w:color w:val="auto"/>
          <w:sz w:val="24"/>
          <w:highlight w:val="none"/>
          <w:u w:val="single"/>
        </w:rPr>
        <w:t>（标的名称）</w:t>
      </w:r>
      <w:r>
        <w:rPr>
          <w:rFonts w:hint="eastAsia"/>
          <w:color w:val="auto"/>
          <w:sz w:val="24"/>
          <w:highlight w:val="none"/>
        </w:rPr>
        <w:t xml:space="preserve"> ，属于</w:t>
      </w:r>
      <w:r>
        <w:rPr>
          <w:rFonts w:hint="eastAsia"/>
          <w:i/>
          <w:iCs/>
          <w:color w:val="auto"/>
          <w:sz w:val="24"/>
          <w:highlight w:val="none"/>
          <w:u w:val="single"/>
        </w:rPr>
        <w:t>（采购文件中明确的所属行业）</w:t>
      </w:r>
      <w:r>
        <w:rPr>
          <w:rFonts w:hint="eastAsia"/>
          <w:color w:val="auto"/>
          <w:sz w:val="24"/>
          <w:highlight w:val="none"/>
        </w:rPr>
        <w:t>；承建（承接）企业为</w:t>
      </w:r>
      <w:r>
        <w:rPr>
          <w:rFonts w:hint="eastAsia"/>
          <w:i/>
          <w:iCs/>
          <w:color w:val="auto"/>
          <w:sz w:val="24"/>
          <w:highlight w:val="none"/>
          <w:u w:val="single"/>
        </w:rPr>
        <w:t>（企业名称）</w:t>
      </w:r>
      <w:r>
        <w:rPr>
          <w:rFonts w:hint="eastAsia"/>
          <w:color w:val="auto"/>
          <w:sz w:val="24"/>
          <w:highlight w:val="none"/>
        </w:rPr>
        <w:t>，从业人员</w:t>
      </w:r>
      <w:r>
        <w:rPr>
          <w:rFonts w:hint="eastAsia"/>
          <w:color w:val="auto"/>
          <w:sz w:val="24"/>
          <w:highlight w:val="none"/>
          <w:u w:val="single"/>
        </w:rPr>
        <w:t xml:space="preserve">    </w:t>
      </w:r>
      <w:r>
        <w:rPr>
          <w:rFonts w:hint="eastAsia"/>
          <w:color w:val="auto"/>
          <w:sz w:val="24"/>
          <w:highlight w:val="none"/>
        </w:rPr>
        <w:t>人，营业收入为</w:t>
      </w:r>
      <w:r>
        <w:rPr>
          <w:rFonts w:hint="eastAsia"/>
          <w:color w:val="auto"/>
          <w:sz w:val="24"/>
          <w:highlight w:val="none"/>
          <w:u w:val="single"/>
        </w:rPr>
        <w:t xml:space="preserve">    </w:t>
      </w:r>
      <w:r>
        <w:rPr>
          <w:rFonts w:hint="eastAsia"/>
          <w:color w:val="auto"/>
          <w:sz w:val="24"/>
          <w:highlight w:val="none"/>
        </w:rPr>
        <w:t>万元，资产总额为</w:t>
      </w:r>
      <w:r>
        <w:rPr>
          <w:rFonts w:hint="eastAsia"/>
          <w:color w:val="auto"/>
          <w:sz w:val="24"/>
          <w:highlight w:val="none"/>
          <w:u w:val="single"/>
        </w:rPr>
        <w:t xml:space="preserve">    </w:t>
      </w:r>
      <w:r>
        <w:rPr>
          <w:rFonts w:hint="eastAsia"/>
          <w:color w:val="auto"/>
          <w:sz w:val="24"/>
          <w:highlight w:val="none"/>
        </w:rPr>
        <w:t>万元，属于</w:t>
      </w:r>
      <w:r>
        <w:rPr>
          <w:rFonts w:hint="eastAsia"/>
          <w:i/>
          <w:iCs/>
          <w:color w:val="auto"/>
          <w:sz w:val="24"/>
          <w:highlight w:val="none"/>
          <w:u w:val="single"/>
        </w:rPr>
        <w:t>（中型企业、小型企业、微型企业）</w:t>
      </w:r>
      <w:r>
        <w:rPr>
          <w:rFonts w:hint="eastAsia"/>
          <w:color w:val="auto"/>
          <w:sz w:val="24"/>
          <w:highlight w:val="none"/>
        </w:rPr>
        <w:t>；</w:t>
      </w:r>
    </w:p>
    <w:p w14:paraId="252B9C85">
      <w:pPr>
        <w:spacing w:line="500" w:lineRule="exact"/>
        <w:ind w:firstLine="480" w:firstLineChars="200"/>
        <w:rPr>
          <w:color w:val="auto"/>
          <w:sz w:val="24"/>
          <w:highlight w:val="none"/>
        </w:rPr>
      </w:pPr>
      <w:r>
        <w:rPr>
          <w:rFonts w:hint="eastAsia"/>
          <w:color w:val="auto"/>
          <w:sz w:val="24"/>
          <w:highlight w:val="none"/>
        </w:rPr>
        <w:t>……</w:t>
      </w:r>
    </w:p>
    <w:p w14:paraId="52AC813E">
      <w:pPr>
        <w:spacing w:line="500" w:lineRule="exact"/>
        <w:ind w:firstLine="480" w:firstLineChars="200"/>
        <w:rPr>
          <w:color w:val="auto"/>
          <w:sz w:val="24"/>
          <w:highlight w:val="none"/>
        </w:rPr>
      </w:pPr>
      <w:r>
        <w:rPr>
          <w:rFonts w:hint="eastAsia"/>
          <w:color w:val="auto"/>
          <w:sz w:val="24"/>
          <w:highlight w:val="none"/>
        </w:rPr>
        <w:t>以上企业，不属于大企业的分支机构，不存在控股股东为大企业的情形，也不存在与大企业的负责人为同一人的情形。</w:t>
      </w:r>
    </w:p>
    <w:p w14:paraId="2E3D138F">
      <w:pPr>
        <w:spacing w:line="500" w:lineRule="exact"/>
        <w:ind w:firstLine="480" w:firstLineChars="200"/>
        <w:rPr>
          <w:color w:val="auto"/>
          <w:sz w:val="24"/>
          <w:highlight w:val="none"/>
        </w:rPr>
      </w:pPr>
      <w:r>
        <w:rPr>
          <w:rFonts w:hint="eastAsia"/>
          <w:color w:val="auto"/>
          <w:sz w:val="24"/>
          <w:highlight w:val="none"/>
        </w:rPr>
        <w:t>本企业对上述声明内容的真实性负责。如有虚假，将依法承担相应责任。</w:t>
      </w:r>
    </w:p>
    <w:p w14:paraId="233F19BB">
      <w:pPr>
        <w:pStyle w:val="11"/>
        <w:spacing w:beforeAutospacing="0" w:afterAutospacing="0" w:line="0" w:lineRule="atLeast"/>
        <w:ind w:right="720"/>
        <w:jc w:val="both"/>
        <w:rPr>
          <w:color w:val="auto"/>
          <w:highlight w:val="none"/>
        </w:rPr>
      </w:pPr>
      <w:r>
        <w:rPr>
          <w:color w:val="auto"/>
          <w:highlight w:val="none"/>
        </w:rPr>
        <w:t> </w:t>
      </w:r>
    </w:p>
    <w:p w14:paraId="032F96B5">
      <w:pPr>
        <w:pStyle w:val="11"/>
        <w:spacing w:beforeAutospacing="0" w:afterAutospacing="0" w:line="0" w:lineRule="atLeast"/>
        <w:ind w:right="180" w:firstLine="480"/>
        <w:jc w:val="right"/>
        <w:rPr>
          <w:color w:val="auto"/>
          <w:highlight w:val="none"/>
        </w:rPr>
      </w:pPr>
      <w:r>
        <w:rPr>
          <w:rFonts w:hint="eastAsia" w:ascii="宋体" w:hAnsi="宋体" w:eastAsia="宋体" w:cs="宋体"/>
          <w:color w:val="auto"/>
          <w:highlight w:val="none"/>
        </w:rPr>
        <w:t>企业名称（加盖CA电子公章）：</w:t>
      </w:r>
    </w:p>
    <w:p w14:paraId="1E42BA09">
      <w:pPr>
        <w:pStyle w:val="11"/>
        <w:spacing w:beforeAutospacing="0" w:afterAutospacing="0" w:line="0" w:lineRule="atLeast"/>
        <w:ind w:right="480" w:firstLine="480"/>
        <w:jc w:val="both"/>
        <w:rPr>
          <w:color w:val="auto"/>
          <w:highlight w:val="none"/>
        </w:rPr>
      </w:pPr>
      <w:r>
        <w:rPr>
          <w:rFonts w:hint="eastAsia" w:ascii="宋体" w:hAnsi="宋体" w:eastAsia="宋体" w:cs="宋体"/>
          <w:color w:val="auto"/>
          <w:highlight w:val="none"/>
        </w:rPr>
        <w:t>日  期：</w:t>
      </w:r>
    </w:p>
    <w:p w14:paraId="42AA5B8F">
      <w:pPr>
        <w:pStyle w:val="11"/>
        <w:spacing w:beforeAutospacing="0" w:afterAutospacing="0" w:line="0" w:lineRule="atLeast"/>
        <w:ind w:firstLine="480"/>
        <w:jc w:val="both"/>
        <w:rPr>
          <w:color w:val="auto"/>
          <w:highlight w:val="none"/>
        </w:rPr>
      </w:pPr>
      <w:r>
        <w:rPr>
          <w:color w:val="auto"/>
          <w:highlight w:val="none"/>
        </w:rPr>
        <w:t> </w:t>
      </w:r>
    </w:p>
    <w:p w14:paraId="197BC33C">
      <w:pPr>
        <w:pStyle w:val="11"/>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备注1：从业人员、营业收入、资产总额填报上一年度数据，无上一年度数据的新成立企业可不填报。</w:t>
      </w:r>
    </w:p>
    <w:p w14:paraId="39F9F279">
      <w:pPr>
        <w:pStyle w:val="11"/>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备注2：供应商如不提供此声明函，价格将不做相应扣除（如项目全面面向中小企业，则资格审查不通过）。</w:t>
      </w:r>
    </w:p>
    <w:p w14:paraId="17119BBD">
      <w:pPr>
        <w:pStyle w:val="11"/>
        <w:spacing w:beforeAutospacing="0" w:afterAutospacing="0" w:line="0" w:lineRule="atLeast"/>
        <w:ind w:firstLine="643"/>
        <w:jc w:val="center"/>
        <w:rPr>
          <w:color w:val="auto"/>
          <w:highlight w:val="none"/>
        </w:rPr>
      </w:pPr>
      <w:r>
        <w:rPr>
          <w:rFonts w:hint="eastAsia" w:ascii="黑体" w:hAnsi="宋体" w:eastAsia="黑体" w:cs="黑体"/>
          <w:b/>
          <w:color w:val="auto"/>
          <w:sz w:val="32"/>
          <w:szCs w:val="32"/>
          <w:highlight w:val="none"/>
        </w:rPr>
        <w:br w:type="page"/>
      </w:r>
      <w:r>
        <w:rPr>
          <w:rFonts w:hint="eastAsia" w:ascii="黑体" w:hAnsi="宋体" w:eastAsia="黑体" w:cs="黑体"/>
          <w:b/>
          <w:color w:val="auto"/>
          <w:sz w:val="32"/>
          <w:szCs w:val="32"/>
          <w:highlight w:val="none"/>
        </w:rPr>
        <w:t> 十、残疾人福利性单位声明函（分包号：**）</w:t>
      </w:r>
    </w:p>
    <w:p w14:paraId="573BD004">
      <w:pPr>
        <w:pStyle w:val="11"/>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项目（分包号：**）采购活动由本单位提供服务。</w:t>
      </w:r>
    </w:p>
    <w:p w14:paraId="721FE1BB">
      <w:pPr>
        <w:pStyle w:val="11"/>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本单位对上述声明的真实性负责。如有虚假，将依法承担相应责任。</w:t>
      </w:r>
    </w:p>
    <w:p w14:paraId="0FE8EB36">
      <w:pPr>
        <w:pStyle w:val="11"/>
        <w:spacing w:beforeAutospacing="0" w:afterAutospacing="0" w:line="0" w:lineRule="atLeast"/>
        <w:ind w:firstLine="480"/>
        <w:jc w:val="both"/>
        <w:rPr>
          <w:color w:val="auto"/>
          <w:highlight w:val="none"/>
        </w:rPr>
      </w:pPr>
      <w:r>
        <w:rPr>
          <w:color w:val="auto"/>
          <w:highlight w:val="none"/>
        </w:rPr>
        <w:t> </w:t>
      </w:r>
    </w:p>
    <w:p w14:paraId="7F3A622D">
      <w:pPr>
        <w:pStyle w:val="11"/>
        <w:spacing w:beforeAutospacing="0" w:afterAutospacing="0" w:line="0" w:lineRule="atLeast"/>
        <w:ind w:firstLine="480"/>
        <w:jc w:val="both"/>
        <w:rPr>
          <w:rFonts w:eastAsia="宋体"/>
          <w:color w:val="auto"/>
          <w:highlight w:val="none"/>
        </w:rPr>
      </w:pPr>
      <w:r>
        <w:rPr>
          <w:rFonts w:hint="eastAsia" w:ascii="宋体" w:hAnsi="宋体" w:eastAsia="宋体" w:cs="宋体"/>
          <w:color w:val="auto"/>
          <w:highlight w:val="none"/>
        </w:rPr>
        <w:t>备注：1、供应商如不提供此声明函，价格将不做相应扣除（如项目全面面向中小企业，则资格审查不通过）。</w:t>
      </w:r>
    </w:p>
    <w:p w14:paraId="4F30FC37">
      <w:pPr>
        <w:pStyle w:val="11"/>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2、中标人为残疾人福利单位的，此声明函将随中标结果同时公告，接受社会监督</w:t>
      </w:r>
    </w:p>
    <w:p w14:paraId="355C280D">
      <w:pPr>
        <w:pStyle w:val="11"/>
        <w:spacing w:beforeAutospacing="0" w:afterAutospacing="0" w:line="0" w:lineRule="atLeast"/>
        <w:ind w:firstLine="480"/>
        <w:jc w:val="both"/>
        <w:rPr>
          <w:color w:val="auto"/>
          <w:highlight w:val="none"/>
        </w:rPr>
      </w:pPr>
      <w:r>
        <w:rPr>
          <w:color w:val="auto"/>
          <w:highlight w:val="none"/>
        </w:rPr>
        <w:t> </w:t>
      </w:r>
    </w:p>
    <w:p w14:paraId="131E0787">
      <w:pPr>
        <w:pStyle w:val="11"/>
        <w:tabs>
          <w:tab w:val="left" w:pos="4864"/>
        </w:tabs>
        <w:spacing w:beforeAutospacing="0" w:afterAutospacing="0" w:line="0" w:lineRule="atLeast"/>
        <w:ind w:right="1560" w:firstLine="600"/>
        <w:jc w:val="center"/>
        <w:rPr>
          <w:color w:val="auto"/>
          <w:highlight w:val="none"/>
        </w:rPr>
      </w:pPr>
      <w:r>
        <w:rPr>
          <w:rFonts w:ascii="仿宋_GB2312" w:eastAsia="仿宋_GB2312" w:cs="仿宋_GB2312"/>
          <w:color w:val="auto"/>
          <w:sz w:val="30"/>
          <w:szCs w:val="30"/>
          <w:highlight w:val="none"/>
        </w:rPr>
        <w:t xml:space="preserve">             </w:t>
      </w:r>
      <w:r>
        <w:rPr>
          <w:rFonts w:hint="eastAsia" w:ascii="宋体" w:hAnsi="宋体" w:eastAsia="宋体" w:cs="宋体"/>
          <w:color w:val="auto"/>
          <w:highlight w:val="none"/>
        </w:rPr>
        <w:t>          供应商全称（加盖CA电子公章）：</w:t>
      </w:r>
    </w:p>
    <w:p w14:paraId="15401AF7">
      <w:pPr>
        <w:pStyle w:val="11"/>
        <w:tabs>
          <w:tab w:val="left" w:pos="4864"/>
        </w:tabs>
        <w:spacing w:beforeAutospacing="0" w:afterAutospacing="0" w:line="0" w:lineRule="atLeast"/>
        <w:ind w:right="1560" w:firstLine="480"/>
        <w:jc w:val="center"/>
        <w:rPr>
          <w:color w:val="auto"/>
          <w:highlight w:val="none"/>
        </w:rPr>
      </w:pPr>
      <w:r>
        <w:rPr>
          <w:rFonts w:hint="eastAsia" w:ascii="宋体" w:hAnsi="宋体" w:eastAsia="宋体" w:cs="宋体"/>
          <w:color w:val="auto"/>
          <w:highlight w:val="none"/>
        </w:rPr>
        <w:t>        日  期：</w:t>
      </w:r>
    </w:p>
    <w:p w14:paraId="44706661">
      <w:pPr>
        <w:pStyle w:val="11"/>
        <w:spacing w:beforeAutospacing="0" w:afterAutospacing="0" w:line="0" w:lineRule="atLeast"/>
        <w:jc w:val="center"/>
        <w:rPr>
          <w:color w:val="auto"/>
          <w:highlight w:val="none"/>
        </w:rPr>
      </w:pPr>
      <w:r>
        <w:rPr>
          <w:color w:val="auto"/>
          <w:highlight w:val="none"/>
        </w:rPr>
        <w:t> </w:t>
      </w:r>
    </w:p>
    <w:p w14:paraId="6376A820">
      <w:pPr>
        <w:pStyle w:val="11"/>
        <w:spacing w:beforeAutospacing="0" w:afterAutospacing="0" w:line="0" w:lineRule="atLeast"/>
        <w:jc w:val="center"/>
        <w:rPr>
          <w:color w:val="auto"/>
          <w:highlight w:val="none"/>
        </w:rPr>
      </w:pPr>
      <w:r>
        <w:rPr>
          <w:color w:val="auto"/>
          <w:highlight w:val="none"/>
        </w:rPr>
        <w:t> </w:t>
      </w:r>
    </w:p>
    <w:p w14:paraId="75AB00EA">
      <w:pPr>
        <w:pStyle w:val="11"/>
        <w:spacing w:beforeAutospacing="0" w:afterAutospacing="0" w:line="0" w:lineRule="atLeast"/>
        <w:jc w:val="center"/>
        <w:rPr>
          <w:color w:val="auto"/>
          <w:highlight w:val="none"/>
        </w:rPr>
      </w:pPr>
      <w:r>
        <w:rPr>
          <w:color w:val="auto"/>
          <w:highlight w:val="none"/>
        </w:rPr>
        <w:t> </w:t>
      </w:r>
    </w:p>
    <w:p w14:paraId="1EF4EE73">
      <w:pPr>
        <w:pStyle w:val="11"/>
        <w:spacing w:beforeAutospacing="0" w:afterAutospacing="0" w:line="0" w:lineRule="atLeast"/>
        <w:jc w:val="center"/>
        <w:rPr>
          <w:color w:val="auto"/>
          <w:highlight w:val="none"/>
        </w:rPr>
      </w:pPr>
      <w:r>
        <w:rPr>
          <w:color w:val="auto"/>
          <w:highlight w:val="none"/>
        </w:rPr>
        <w:t> </w:t>
      </w:r>
    </w:p>
    <w:p w14:paraId="5769DDCD">
      <w:pPr>
        <w:pStyle w:val="11"/>
        <w:spacing w:beforeAutospacing="0" w:afterAutospacing="0" w:line="0" w:lineRule="atLeast"/>
        <w:jc w:val="center"/>
        <w:rPr>
          <w:color w:val="auto"/>
          <w:highlight w:val="none"/>
        </w:rPr>
      </w:pPr>
      <w:r>
        <w:rPr>
          <w:color w:val="auto"/>
          <w:highlight w:val="none"/>
        </w:rPr>
        <w:t> </w:t>
      </w:r>
    </w:p>
    <w:p w14:paraId="0CBB8E35">
      <w:pPr>
        <w:pStyle w:val="11"/>
        <w:spacing w:beforeAutospacing="0" w:afterAutospacing="0" w:line="0" w:lineRule="atLeast"/>
        <w:jc w:val="center"/>
        <w:rPr>
          <w:color w:val="auto"/>
          <w:highlight w:val="none"/>
        </w:rPr>
      </w:pPr>
      <w:r>
        <w:rPr>
          <w:color w:val="auto"/>
          <w:highlight w:val="none"/>
        </w:rPr>
        <w:t> </w:t>
      </w:r>
    </w:p>
    <w:p w14:paraId="7A744F6D">
      <w:pPr>
        <w:pStyle w:val="11"/>
        <w:spacing w:beforeAutospacing="0" w:afterAutospacing="0" w:line="0" w:lineRule="atLeast"/>
        <w:jc w:val="center"/>
        <w:rPr>
          <w:color w:val="auto"/>
          <w:highlight w:val="none"/>
        </w:rPr>
      </w:pPr>
      <w:r>
        <w:rPr>
          <w:color w:val="auto"/>
          <w:highlight w:val="none"/>
        </w:rPr>
        <w:t> </w:t>
      </w:r>
    </w:p>
    <w:p w14:paraId="2353DB39">
      <w:pPr>
        <w:pStyle w:val="11"/>
        <w:spacing w:beforeAutospacing="0" w:afterAutospacing="0"/>
        <w:ind w:firstLine="643"/>
        <w:jc w:val="center"/>
        <w:rPr>
          <w:color w:val="auto"/>
          <w:highlight w:val="none"/>
        </w:rPr>
      </w:pPr>
      <w:r>
        <w:rPr>
          <w:rFonts w:ascii="黑体" w:hAnsi="宋体" w:eastAsia="黑体" w:cs="黑体"/>
          <w:b/>
          <w:bCs/>
          <w:color w:val="auto"/>
          <w:sz w:val="32"/>
          <w:szCs w:val="32"/>
          <w:highlight w:val="none"/>
        </w:rPr>
        <w:t>十一、 关于符合本国产品标准的声明函（采购包号：**）</w:t>
      </w:r>
    </w:p>
    <w:p w14:paraId="1FF7B795">
      <w:pPr>
        <w:pStyle w:val="11"/>
        <w:spacing w:beforeAutospacing="0" w:afterAutospacing="0"/>
        <w:ind w:firstLine="480"/>
        <w:jc w:val="both"/>
        <w:rPr>
          <w:color w:val="auto"/>
          <w:highlight w:val="none"/>
        </w:rPr>
      </w:pPr>
      <w:r>
        <w:rPr>
          <w:rFonts w:ascii="Arial" w:hAnsi="Arial" w:cs="Arial"/>
          <w:color w:val="auto"/>
          <w:highlight w:val="none"/>
        </w:rPr>
        <w:t> </w:t>
      </w:r>
    </w:p>
    <w:p w14:paraId="68566D75">
      <w:pPr>
        <w:spacing w:line="241" w:lineRule="auto"/>
        <w:jc w:val="center"/>
        <w:rPr>
          <w:rFonts w:ascii="Arial"/>
          <w:color w:val="auto"/>
          <w:highlight w:val="none"/>
        </w:rPr>
      </w:pPr>
      <w:r>
        <w:rPr>
          <w:rFonts w:hint="eastAsia" w:ascii="宋体" w:hAnsi="宋体" w:eastAsia="宋体" w:cs="宋体"/>
          <w:color w:val="auto"/>
          <w:sz w:val="24"/>
          <w:highlight w:val="none"/>
        </w:rPr>
        <w:t>无</w:t>
      </w:r>
    </w:p>
    <w:p w14:paraId="23ACC600">
      <w:pPr>
        <w:pStyle w:val="11"/>
        <w:spacing w:beforeAutospacing="0" w:afterAutospacing="0" w:line="0" w:lineRule="atLeast"/>
        <w:jc w:val="center"/>
        <w:rPr>
          <w:color w:val="auto"/>
          <w:highlight w:val="none"/>
        </w:rPr>
      </w:pPr>
    </w:p>
    <w:p w14:paraId="6D6BE1FC">
      <w:pPr>
        <w:ind w:firstLine="643"/>
        <w:rPr>
          <w:color w:val="auto"/>
          <w:highlight w:val="none"/>
        </w:rPr>
      </w:pPr>
      <w:r>
        <w:rPr>
          <w:rFonts w:hint="eastAsia" w:ascii="黑体" w:hAnsi="宋体" w:eastAsia="黑体" w:cs="黑体"/>
          <w:b/>
          <w:color w:val="auto"/>
          <w:sz w:val="32"/>
          <w:szCs w:val="32"/>
          <w:highlight w:val="none"/>
        </w:rPr>
        <w:t>十二、联合体协议（参考格式）（分包号：**）</w:t>
      </w:r>
    </w:p>
    <w:p w14:paraId="6BDF24BE">
      <w:pPr>
        <w:pStyle w:val="11"/>
        <w:spacing w:beforeAutospacing="0" w:afterAutospacing="0" w:line="0" w:lineRule="atLeast"/>
        <w:jc w:val="both"/>
        <w:rPr>
          <w:color w:val="auto"/>
          <w:highlight w:val="none"/>
        </w:rPr>
      </w:pPr>
      <w:r>
        <w:rPr>
          <w:rFonts w:hint="eastAsia" w:ascii="宋体" w:hAnsi="宋体" w:eastAsia="宋体" w:cs="宋体"/>
          <w:color w:val="auto"/>
          <w:highlight w:val="none"/>
        </w:rPr>
        <w:t>（联合体中各供应商全称）在此达成以下协议：</w:t>
      </w:r>
    </w:p>
    <w:p w14:paraId="1846FA7F">
      <w:pPr>
        <w:pStyle w:val="11"/>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1、我们</w:t>
      </w:r>
      <w:r>
        <w:rPr>
          <w:rFonts w:hint="eastAsia" w:ascii="宋体" w:hAnsi="宋体" w:eastAsia="宋体" w:cs="宋体"/>
          <w:color w:val="auto"/>
          <w:highlight w:val="none"/>
          <w:u w:val="single"/>
        </w:rPr>
        <w:t xml:space="preserve"> （供应商1），（供应商2） ，……</w:t>
      </w:r>
      <w:r>
        <w:rPr>
          <w:rFonts w:hint="eastAsia" w:ascii="宋体" w:hAnsi="宋体" w:eastAsia="宋体" w:cs="宋体"/>
          <w:color w:val="auto"/>
          <w:highlight w:val="none"/>
        </w:rPr>
        <w:t>自愿组成联合体，参加盐城市招标代理有限公司组织的采购编号为</w:t>
      </w:r>
      <w:r>
        <w:rPr>
          <w:rFonts w:hint="eastAsia" w:ascii="宋体" w:hAnsi="宋体" w:eastAsia="宋体" w:cs="宋体"/>
          <w:color w:val="auto"/>
          <w:highlight w:val="none"/>
          <w:u w:val="single"/>
        </w:rPr>
        <w:t>（编号全称），（项目全称）</w:t>
      </w:r>
      <w:r>
        <w:rPr>
          <w:rFonts w:hint="eastAsia" w:ascii="宋体" w:hAnsi="宋体" w:eastAsia="宋体" w:cs="宋体"/>
          <w:color w:val="auto"/>
          <w:highlight w:val="none"/>
        </w:rPr>
        <w:t>项目（分包号：**）的政府采购活动，我联合体指定</w:t>
      </w:r>
      <w:r>
        <w:rPr>
          <w:rFonts w:hint="eastAsia" w:ascii="宋体" w:hAnsi="宋体" w:eastAsia="宋体" w:cs="宋体"/>
          <w:color w:val="auto"/>
          <w:highlight w:val="none"/>
          <w:u w:val="single"/>
        </w:rPr>
        <w:t>（供应商*）</w:t>
      </w:r>
      <w:r>
        <w:rPr>
          <w:rFonts w:hint="eastAsia" w:ascii="宋体" w:hAnsi="宋体" w:eastAsia="宋体" w:cs="宋体"/>
          <w:color w:val="auto"/>
          <w:highlight w:val="none"/>
        </w:rPr>
        <w:t>为牵头单位（牵头单位必须为联合体成员）。</w:t>
      </w:r>
    </w:p>
    <w:p w14:paraId="4328F2C1">
      <w:pPr>
        <w:pStyle w:val="11"/>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p>
    <w:p w14:paraId="79BD2462">
      <w:pPr>
        <w:pStyle w:val="11"/>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3、其中</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（小型、微型企业/残疾人福利性单位/监狱企业全称）为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（小型、微型企业/残疾人福利性单位/监狱企业）企业，且我们约定该公司/单位所承担的合同金额将占本项目合同总金额的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1B499733">
      <w:pPr>
        <w:pStyle w:val="11"/>
        <w:spacing w:beforeAutospacing="0" w:afterAutospacing="0" w:line="0" w:lineRule="atLeast"/>
        <w:ind w:firstLine="480"/>
        <w:jc w:val="both"/>
        <w:rPr>
          <w:color w:val="auto"/>
          <w:highlight w:val="none"/>
        </w:rPr>
      </w:pPr>
      <w:r>
        <w:rPr>
          <w:color w:val="auto"/>
          <w:highlight w:val="none"/>
        </w:rPr>
        <w:t> </w:t>
      </w:r>
    </w:p>
    <w:p w14:paraId="349951AA">
      <w:pPr>
        <w:pStyle w:val="11"/>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备注：本招标文件中要求加盖CA电子签章的地方，仅需加盖牵头单位的CA电子签章。</w:t>
      </w:r>
    </w:p>
    <w:p w14:paraId="695E1EB7">
      <w:pPr>
        <w:pStyle w:val="11"/>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                               </w:t>
      </w:r>
    </w:p>
    <w:p w14:paraId="58AC55C7">
      <w:pPr>
        <w:pStyle w:val="11"/>
        <w:spacing w:beforeAutospacing="0" w:afterAutospacing="0" w:line="0" w:lineRule="atLeast"/>
        <w:ind w:firstLine="480"/>
        <w:jc w:val="right"/>
        <w:rPr>
          <w:color w:val="auto"/>
          <w:highlight w:val="none"/>
        </w:rPr>
      </w:pPr>
      <w:r>
        <w:rPr>
          <w:rFonts w:hint="eastAsia" w:ascii="宋体" w:hAnsi="宋体" w:eastAsia="宋体" w:cs="宋体"/>
          <w:color w:val="auto"/>
          <w:highlight w:val="none"/>
        </w:rPr>
        <w:t xml:space="preserve">联合体中各供应商全称（公章）：     </w:t>
      </w:r>
    </w:p>
    <w:p w14:paraId="40747C7D">
      <w:pPr>
        <w:pStyle w:val="11"/>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                                                          日期：</w:t>
      </w:r>
    </w:p>
    <w:p w14:paraId="61749C46">
      <w:pPr>
        <w:pStyle w:val="11"/>
        <w:spacing w:beforeAutospacing="0" w:afterAutospacing="0" w:line="0" w:lineRule="atLeast"/>
        <w:ind w:firstLine="480"/>
        <w:jc w:val="both"/>
        <w:rPr>
          <w:color w:val="auto"/>
          <w:highlight w:val="none"/>
        </w:rPr>
      </w:pPr>
      <w:r>
        <w:rPr>
          <w:color w:val="auto"/>
          <w:highlight w:val="none"/>
        </w:rPr>
        <w:t> </w:t>
      </w:r>
    </w:p>
    <w:p w14:paraId="5850CD69">
      <w:pPr>
        <w:widowControl/>
        <w:ind w:firstLine="643"/>
        <w:jc w:val="left"/>
        <w:rPr>
          <w:rFonts w:ascii="黑体" w:hAnsi="宋体" w:eastAsia="黑体" w:cs="黑体"/>
          <w:b/>
          <w:color w:val="auto"/>
          <w:kern w:val="0"/>
          <w:sz w:val="32"/>
          <w:szCs w:val="32"/>
          <w:highlight w:val="none"/>
        </w:rPr>
      </w:pPr>
      <w:r>
        <w:rPr>
          <w:color w:val="auto"/>
          <w:highlight w:val="none"/>
        </w:rPr>
        <w:t> </w:t>
      </w:r>
    </w:p>
    <w:p w14:paraId="2FAF2E6C">
      <w:pPr>
        <w:pStyle w:val="11"/>
        <w:spacing w:beforeAutospacing="0" w:afterAutospacing="0"/>
        <w:ind w:firstLine="643"/>
        <w:jc w:val="center"/>
        <w:rPr>
          <w:color w:val="auto"/>
          <w:highlight w:val="none"/>
        </w:rPr>
      </w:pPr>
      <w:r>
        <w:rPr>
          <w:rFonts w:hint="eastAsia" w:ascii="黑体" w:hAnsi="宋体" w:eastAsia="黑体" w:cs="黑体"/>
          <w:b/>
          <w:color w:val="auto"/>
          <w:sz w:val="32"/>
          <w:szCs w:val="32"/>
          <w:highlight w:val="none"/>
        </w:rPr>
        <w:t>十三、投标分项报价表（分包号：**）</w:t>
      </w:r>
    </w:p>
    <w:tbl>
      <w:tblPr>
        <w:tblStyle w:val="13"/>
        <w:tblpPr w:leftFromText="180" w:rightFromText="180" w:vertAnchor="text" w:horzAnchor="page" w:tblpXSpec="center" w:tblpY="601"/>
        <w:tblOverlap w:val="never"/>
        <w:tblW w:w="4748" w:type="pct"/>
        <w:jc w:val="center"/>
        <w:tblLayout w:type="autofit"/>
        <w:tblCellMar>
          <w:top w:w="0" w:type="dxa"/>
          <w:left w:w="108" w:type="dxa"/>
          <w:bottom w:w="0" w:type="dxa"/>
          <w:right w:w="108" w:type="dxa"/>
        </w:tblCellMar>
      </w:tblPr>
      <w:tblGrid>
        <w:gridCol w:w="784"/>
        <w:gridCol w:w="2262"/>
        <w:gridCol w:w="1163"/>
        <w:gridCol w:w="1569"/>
        <w:gridCol w:w="1560"/>
        <w:gridCol w:w="1417"/>
      </w:tblGrid>
      <w:tr w14:paraId="365E545D">
        <w:tblPrEx>
          <w:tblCellMar>
            <w:top w:w="0" w:type="dxa"/>
            <w:left w:w="108" w:type="dxa"/>
            <w:bottom w:w="0" w:type="dxa"/>
            <w:right w:w="108" w:type="dxa"/>
          </w:tblCellMar>
        </w:tblPrEx>
        <w:trPr>
          <w:cantSplit/>
          <w:trHeight w:val="747" w:hRule="atLeast"/>
          <w:jc w:val="center"/>
        </w:trPr>
        <w:tc>
          <w:tcPr>
            <w:tcW w:w="448" w:type="pct"/>
            <w:tcBorders>
              <w:top w:val="single" w:color="auto" w:sz="4" w:space="0"/>
              <w:left w:val="single" w:color="auto" w:sz="4" w:space="0"/>
              <w:bottom w:val="single" w:color="auto" w:sz="4" w:space="0"/>
              <w:right w:val="single" w:color="auto" w:sz="6" w:space="0"/>
            </w:tcBorders>
            <w:vAlign w:val="center"/>
          </w:tcPr>
          <w:p w14:paraId="056CAB60">
            <w:pPr>
              <w:autoSpaceDE w:val="0"/>
              <w:autoSpaceDN w:val="0"/>
              <w:spacing w:line="500" w:lineRule="exact"/>
              <w:ind w:right="-5"/>
              <w:jc w:val="center"/>
              <w:textAlignment w:val="bottom"/>
              <w:rPr>
                <w:rFonts w:asciiTheme="minorEastAsia" w:hAnsiTheme="minorEastAsia"/>
                <w:color w:val="auto"/>
                <w:sz w:val="24"/>
                <w:highlight w:val="none"/>
              </w:rPr>
            </w:pPr>
            <w:r>
              <w:rPr>
                <w:rFonts w:hint="eastAsia" w:asciiTheme="minorEastAsia" w:hAnsiTheme="minorEastAsia"/>
                <w:color w:val="auto"/>
                <w:sz w:val="24"/>
                <w:highlight w:val="none"/>
              </w:rPr>
              <w:t>序号</w:t>
            </w:r>
          </w:p>
        </w:tc>
        <w:tc>
          <w:tcPr>
            <w:tcW w:w="1292" w:type="pct"/>
            <w:tcBorders>
              <w:top w:val="single" w:color="auto" w:sz="4" w:space="0"/>
              <w:left w:val="single" w:color="auto" w:sz="6" w:space="0"/>
              <w:bottom w:val="single" w:color="auto" w:sz="4" w:space="0"/>
              <w:right w:val="single" w:color="auto" w:sz="4" w:space="0"/>
            </w:tcBorders>
            <w:vAlign w:val="center"/>
          </w:tcPr>
          <w:p w14:paraId="280857C2">
            <w:pPr>
              <w:autoSpaceDE w:val="0"/>
              <w:autoSpaceDN w:val="0"/>
              <w:spacing w:line="500" w:lineRule="exact"/>
              <w:ind w:right="-5"/>
              <w:jc w:val="center"/>
              <w:textAlignment w:val="bottom"/>
              <w:rPr>
                <w:rFonts w:asciiTheme="minorEastAsia" w:hAnsiTheme="minorEastAsia"/>
                <w:color w:val="auto"/>
                <w:sz w:val="24"/>
                <w:highlight w:val="none"/>
              </w:rPr>
            </w:pPr>
            <w:r>
              <w:rPr>
                <w:rFonts w:hint="eastAsia" w:asciiTheme="minorEastAsia" w:hAnsiTheme="minorEastAsia"/>
                <w:color w:val="auto"/>
                <w:sz w:val="24"/>
                <w:highlight w:val="none"/>
              </w:rPr>
              <w:t>名称</w:t>
            </w:r>
          </w:p>
        </w:tc>
        <w:tc>
          <w:tcPr>
            <w:tcW w:w="664" w:type="pct"/>
            <w:tcBorders>
              <w:top w:val="single" w:color="auto" w:sz="4" w:space="0"/>
              <w:left w:val="single" w:color="auto" w:sz="4" w:space="0"/>
              <w:bottom w:val="single" w:color="auto" w:sz="4" w:space="0"/>
              <w:right w:val="single" w:color="auto" w:sz="6" w:space="0"/>
            </w:tcBorders>
            <w:vAlign w:val="center"/>
          </w:tcPr>
          <w:p w14:paraId="22287EBF">
            <w:pPr>
              <w:autoSpaceDE w:val="0"/>
              <w:autoSpaceDN w:val="0"/>
              <w:spacing w:line="500" w:lineRule="exact"/>
              <w:ind w:right="-5"/>
              <w:jc w:val="center"/>
              <w:textAlignment w:val="bottom"/>
              <w:rPr>
                <w:rFonts w:asciiTheme="minorEastAsia" w:hAnsiTheme="minorEastAsia"/>
                <w:color w:val="auto"/>
                <w:sz w:val="24"/>
                <w:highlight w:val="none"/>
              </w:rPr>
            </w:pPr>
            <w:r>
              <w:rPr>
                <w:rFonts w:asciiTheme="minorEastAsia" w:hAnsiTheme="minorEastAsia"/>
                <w:color w:val="auto"/>
                <w:sz w:val="24"/>
                <w:highlight w:val="none"/>
              </w:rPr>
              <w:t>数量</w:t>
            </w:r>
          </w:p>
        </w:tc>
        <w:tc>
          <w:tcPr>
            <w:tcW w:w="896" w:type="pct"/>
            <w:tcBorders>
              <w:top w:val="single" w:color="auto" w:sz="4" w:space="0"/>
              <w:left w:val="single" w:color="auto" w:sz="6" w:space="0"/>
              <w:bottom w:val="single" w:color="auto" w:sz="4" w:space="0"/>
              <w:right w:val="single" w:color="auto" w:sz="4" w:space="0"/>
            </w:tcBorders>
            <w:vAlign w:val="center"/>
          </w:tcPr>
          <w:p w14:paraId="444E824D">
            <w:pPr>
              <w:autoSpaceDE w:val="0"/>
              <w:autoSpaceDN w:val="0"/>
              <w:spacing w:line="500" w:lineRule="exact"/>
              <w:ind w:right="-5"/>
              <w:jc w:val="center"/>
              <w:textAlignment w:val="bottom"/>
              <w:rPr>
                <w:rFonts w:asciiTheme="minorEastAsia" w:hAnsiTheme="minorEastAsia"/>
                <w:color w:val="auto"/>
                <w:sz w:val="24"/>
                <w:highlight w:val="none"/>
              </w:rPr>
            </w:pPr>
            <w:r>
              <w:rPr>
                <w:rFonts w:asciiTheme="minorEastAsia" w:hAnsiTheme="minorEastAsia"/>
                <w:color w:val="auto"/>
                <w:sz w:val="24"/>
                <w:highlight w:val="none"/>
              </w:rPr>
              <w:t>单位</w:t>
            </w:r>
          </w:p>
        </w:tc>
        <w:tc>
          <w:tcPr>
            <w:tcW w:w="891" w:type="pct"/>
            <w:tcBorders>
              <w:top w:val="single" w:color="auto" w:sz="4" w:space="0"/>
              <w:left w:val="single" w:color="auto" w:sz="6" w:space="0"/>
              <w:bottom w:val="single" w:color="auto" w:sz="4" w:space="0"/>
              <w:right w:val="single" w:color="auto" w:sz="4" w:space="0"/>
            </w:tcBorders>
            <w:vAlign w:val="center"/>
          </w:tcPr>
          <w:p w14:paraId="4ADC3EDE">
            <w:pPr>
              <w:autoSpaceDE w:val="0"/>
              <w:autoSpaceDN w:val="0"/>
              <w:spacing w:line="500" w:lineRule="exact"/>
              <w:ind w:right="-5"/>
              <w:jc w:val="center"/>
              <w:textAlignment w:val="bottom"/>
              <w:rPr>
                <w:rFonts w:asciiTheme="minorEastAsia" w:hAnsiTheme="minorEastAsia"/>
                <w:color w:val="auto"/>
                <w:sz w:val="24"/>
                <w:highlight w:val="none"/>
              </w:rPr>
            </w:pPr>
            <w:r>
              <w:rPr>
                <w:rFonts w:hint="eastAsia" w:asciiTheme="minorEastAsia" w:hAnsiTheme="minorEastAsia"/>
                <w:color w:val="auto"/>
                <w:sz w:val="24"/>
                <w:highlight w:val="none"/>
              </w:rPr>
              <w:t>合计（元）</w:t>
            </w:r>
          </w:p>
        </w:tc>
        <w:tc>
          <w:tcPr>
            <w:tcW w:w="809" w:type="pct"/>
            <w:tcBorders>
              <w:top w:val="single" w:color="auto" w:sz="4" w:space="0"/>
              <w:left w:val="single" w:color="auto" w:sz="6" w:space="0"/>
              <w:bottom w:val="single" w:color="auto" w:sz="4" w:space="0"/>
              <w:right w:val="single" w:color="auto" w:sz="4" w:space="0"/>
            </w:tcBorders>
            <w:vAlign w:val="center"/>
          </w:tcPr>
          <w:p w14:paraId="0757668F">
            <w:pPr>
              <w:autoSpaceDE w:val="0"/>
              <w:autoSpaceDN w:val="0"/>
              <w:spacing w:line="500" w:lineRule="exact"/>
              <w:ind w:right="-5"/>
              <w:jc w:val="center"/>
              <w:textAlignment w:val="bottom"/>
              <w:rPr>
                <w:rFonts w:asciiTheme="minorEastAsia" w:hAnsiTheme="minorEastAsia"/>
                <w:color w:val="auto"/>
                <w:sz w:val="24"/>
                <w:highlight w:val="none"/>
              </w:rPr>
            </w:pPr>
            <w:r>
              <w:rPr>
                <w:rFonts w:hint="eastAsia" w:asciiTheme="minorEastAsia" w:hAnsiTheme="minorEastAsia"/>
                <w:color w:val="auto"/>
                <w:sz w:val="24"/>
                <w:highlight w:val="none"/>
              </w:rPr>
              <w:t>备注</w:t>
            </w:r>
          </w:p>
        </w:tc>
      </w:tr>
      <w:tr w14:paraId="35417BCA">
        <w:tblPrEx>
          <w:tblCellMar>
            <w:top w:w="0" w:type="dxa"/>
            <w:left w:w="108" w:type="dxa"/>
            <w:bottom w:w="0" w:type="dxa"/>
            <w:right w:w="108" w:type="dxa"/>
          </w:tblCellMar>
        </w:tblPrEx>
        <w:trPr>
          <w:cantSplit/>
          <w:trHeight w:val="1357" w:hRule="atLeast"/>
          <w:jc w:val="center"/>
        </w:trPr>
        <w:tc>
          <w:tcPr>
            <w:tcW w:w="448" w:type="pct"/>
            <w:tcBorders>
              <w:top w:val="single" w:color="auto" w:sz="4" w:space="0"/>
              <w:left w:val="single" w:color="auto" w:sz="4" w:space="0"/>
              <w:bottom w:val="single" w:color="auto" w:sz="4" w:space="0"/>
              <w:right w:val="single" w:color="auto" w:sz="6" w:space="0"/>
            </w:tcBorders>
            <w:vAlign w:val="center"/>
          </w:tcPr>
          <w:p w14:paraId="5C530EC2">
            <w:pPr>
              <w:autoSpaceDE w:val="0"/>
              <w:autoSpaceDN w:val="0"/>
              <w:spacing w:line="500" w:lineRule="exact"/>
              <w:ind w:right="-5"/>
              <w:jc w:val="center"/>
              <w:textAlignment w:val="bottom"/>
              <w:rPr>
                <w:rFonts w:asciiTheme="minorEastAsia" w:hAnsiTheme="minorEastAsia"/>
                <w:color w:val="auto"/>
                <w:sz w:val="24"/>
                <w:highlight w:val="none"/>
              </w:rPr>
            </w:pPr>
            <w:r>
              <w:rPr>
                <w:rFonts w:hint="eastAsia" w:asciiTheme="minorEastAsia" w:hAnsiTheme="minorEastAsia"/>
                <w:color w:val="auto"/>
                <w:sz w:val="24"/>
                <w:highlight w:val="none"/>
              </w:rPr>
              <w:t>1</w:t>
            </w:r>
          </w:p>
        </w:tc>
        <w:tc>
          <w:tcPr>
            <w:tcW w:w="1292" w:type="pct"/>
            <w:tcBorders>
              <w:top w:val="single" w:color="auto" w:sz="4" w:space="0"/>
              <w:left w:val="single" w:color="auto" w:sz="6" w:space="0"/>
              <w:bottom w:val="single" w:color="auto" w:sz="4" w:space="0"/>
              <w:right w:val="single" w:color="auto" w:sz="4" w:space="0"/>
            </w:tcBorders>
            <w:vAlign w:val="center"/>
          </w:tcPr>
          <w:p w14:paraId="5FCA7C2A">
            <w:pPr>
              <w:pStyle w:val="11"/>
              <w:spacing w:before="120" w:beforeAutospacing="0" w:after="120" w:afterAutospacing="0" w:line="360" w:lineRule="auto"/>
              <w:rPr>
                <w:rFonts w:asciiTheme="minorEastAsia" w:hAnsiTheme="minorEastAsia" w:cstheme="minorBidi"/>
                <w:color w:val="auto"/>
                <w:kern w:val="2"/>
                <w:highlight w:val="none"/>
              </w:rPr>
            </w:pPr>
            <w:r>
              <w:rPr>
                <w:rFonts w:hint="eastAsia" w:asciiTheme="minorEastAsia" w:hAnsiTheme="minorEastAsia" w:cstheme="minorBidi"/>
                <w:color w:val="auto"/>
                <w:kern w:val="2"/>
                <w:highlight w:val="none"/>
              </w:rPr>
              <w:t>盐城市卫生健康委员会卫生健康经济运营管理人才培养项目</w:t>
            </w:r>
          </w:p>
        </w:tc>
        <w:tc>
          <w:tcPr>
            <w:tcW w:w="664" w:type="pct"/>
            <w:tcBorders>
              <w:top w:val="single" w:color="auto" w:sz="4" w:space="0"/>
              <w:left w:val="single" w:color="auto" w:sz="4" w:space="0"/>
              <w:bottom w:val="single" w:color="auto" w:sz="4" w:space="0"/>
              <w:right w:val="single" w:color="auto" w:sz="6" w:space="0"/>
            </w:tcBorders>
            <w:vAlign w:val="center"/>
          </w:tcPr>
          <w:p w14:paraId="6D5A4C69">
            <w:pPr>
              <w:autoSpaceDE w:val="0"/>
              <w:autoSpaceDN w:val="0"/>
              <w:spacing w:line="500" w:lineRule="exact"/>
              <w:ind w:right="-5"/>
              <w:jc w:val="center"/>
              <w:textAlignment w:val="bottom"/>
              <w:rPr>
                <w:rFonts w:asciiTheme="minorEastAsia" w:hAnsiTheme="minorEastAsia"/>
                <w:color w:val="auto"/>
                <w:sz w:val="24"/>
                <w:highlight w:val="none"/>
              </w:rPr>
            </w:pPr>
            <w:r>
              <w:rPr>
                <w:rFonts w:asciiTheme="minorEastAsia" w:hAnsiTheme="minorEastAsia"/>
                <w:color w:val="auto"/>
                <w:sz w:val="24"/>
                <w:highlight w:val="none"/>
              </w:rPr>
              <w:t>1</w:t>
            </w:r>
          </w:p>
        </w:tc>
        <w:tc>
          <w:tcPr>
            <w:tcW w:w="896" w:type="pct"/>
            <w:tcBorders>
              <w:top w:val="single" w:color="auto" w:sz="4" w:space="0"/>
              <w:left w:val="single" w:color="auto" w:sz="6" w:space="0"/>
              <w:bottom w:val="single" w:color="auto" w:sz="4" w:space="0"/>
              <w:right w:val="single" w:color="auto" w:sz="4" w:space="0"/>
            </w:tcBorders>
            <w:vAlign w:val="center"/>
          </w:tcPr>
          <w:p w14:paraId="0D6B7D1F">
            <w:pPr>
              <w:autoSpaceDE w:val="0"/>
              <w:autoSpaceDN w:val="0"/>
              <w:spacing w:line="500" w:lineRule="exact"/>
              <w:ind w:right="-5"/>
              <w:jc w:val="center"/>
              <w:textAlignment w:val="bottom"/>
              <w:rPr>
                <w:rFonts w:asciiTheme="minorEastAsia" w:hAnsiTheme="minorEastAsia"/>
                <w:color w:val="auto"/>
                <w:sz w:val="24"/>
                <w:highlight w:val="none"/>
              </w:rPr>
            </w:pPr>
            <w:r>
              <w:rPr>
                <w:rFonts w:asciiTheme="minorEastAsia" w:hAnsiTheme="minorEastAsia"/>
                <w:color w:val="auto"/>
                <w:sz w:val="24"/>
                <w:highlight w:val="none"/>
              </w:rPr>
              <w:t>项</w:t>
            </w:r>
          </w:p>
        </w:tc>
        <w:tc>
          <w:tcPr>
            <w:tcW w:w="891" w:type="pct"/>
            <w:tcBorders>
              <w:top w:val="single" w:color="auto" w:sz="4" w:space="0"/>
              <w:left w:val="single" w:color="auto" w:sz="6" w:space="0"/>
              <w:bottom w:val="single" w:color="auto" w:sz="4" w:space="0"/>
              <w:right w:val="single" w:color="auto" w:sz="4" w:space="0"/>
            </w:tcBorders>
            <w:vAlign w:val="center"/>
          </w:tcPr>
          <w:p w14:paraId="5A3FF9E3">
            <w:pPr>
              <w:autoSpaceDE w:val="0"/>
              <w:autoSpaceDN w:val="0"/>
              <w:spacing w:line="500" w:lineRule="exact"/>
              <w:ind w:right="-5"/>
              <w:textAlignment w:val="bottom"/>
              <w:rPr>
                <w:rFonts w:asciiTheme="minorEastAsia" w:hAnsiTheme="minorEastAsia"/>
                <w:color w:val="auto"/>
                <w:sz w:val="24"/>
                <w:highlight w:val="none"/>
              </w:rPr>
            </w:pPr>
          </w:p>
        </w:tc>
        <w:tc>
          <w:tcPr>
            <w:tcW w:w="809" w:type="pct"/>
            <w:tcBorders>
              <w:top w:val="single" w:color="auto" w:sz="4" w:space="0"/>
              <w:left w:val="single" w:color="auto" w:sz="6" w:space="0"/>
              <w:bottom w:val="single" w:color="auto" w:sz="4" w:space="0"/>
              <w:right w:val="single" w:color="auto" w:sz="4" w:space="0"/>
            </w:tcBorders>
            <w:vAlign w:val="center"/>
          </w:tcPr>
          <w:p w14:paraId="61E4E492">
            <w:pPr>
              <w:autoSpaceDE w:val="0"/>
              <w:autoSpaceDN w:val="0"/>
              <w:spacing w:line="500" w:lineRule="exact"/>
              <w:ind w:right="-5"/>
              <w:jc w:val="center"/>
              <w:textAlignment w:val="bottom"/>
              <w:rPr>
                <w:rFonts w:asciiTheme="minorEastAsia" w:hAnsiTheme="minorEastAsia"/>
                <w:color w:val="auto"/>
                <w:sz w:val="24"/>
                <w:highlight w:val="none"/>
              </w:rPr>
            </w:pPr>
          </w:p>
        </w:tc>
      </w:tr>
      <w:tr w14:paraId="17EEB143">
        <w:trPr>
          <w:cantSplit/>
          <w:trHeight w:val="1357" w:hRule="atLeast"/>
          <w:jc w:val="center"/>
        </w:trPr>
        <w:tc>
          <w:tcPr>
            <w:tcW w:w="448" w:type="pct"/>
            <w:tcBorders>
              <w:top w:val="single" w:color="auto" w:sz="4" w:space="0"/>
              <w:left w:val="single" w:color="auto" w:sz="4" w:space="0"/>
              <w:bottom w:val="single" w:color="auto" w:sz="4" w:space="0"/>
              <w:right w:val="single" w:color="auto" w:sz="6" w:space="0"/>
            </w:tcBorders>
            <w:vAlign w:val="center"/>
          </w:tcPr>
          <w:p w14:paraId="6465C5CA">
            <w:pPr>
              <w:autoSpaceDE w:val="0"/>
              <w:autoSpaceDN w:val="0"/>
              <w:spacing w:line="500" w:lineRule="exact"/>
              <w:ind w:right="-5"/>
              <w:jc w:val="center"/>
              <w:textAlignment w:val="bottom"/>
              <w:rPr>
                <w:rFonts w:asciiTheme="minorEastAsia" w:hAnsiTheme="minorEastAsia"/>
                <w:color w:val="auto"/>
                <w:sz w:val="24"/>
                <w:highlight w:val="none"/>
              </w:rPr>
            </w:pPr>
            <w:r>
              <w:rPr>
                <w:rFonts w:hint="eastAsia" w:asciiTheme="minorEastAsia" w:hAnsiTheme="minorEastAsia"/>
                <w:color w:val="auto"/>
                <w:sz w:val="24"/>
                <w:highlight w:val="none"/>
              </w:rPr>
              <w:t>2</w:t>
            </w:r>
          </w:p>
        </w:tc>
        <w:tc>
          <w:tcPr>
            <w:tcW w:w="1292" w:type="pct"/>
            <w:tcBorders>
              <w:top w:val="single" w:color="auto" w:sz="4" w:space="0"/>
              <w:left w:val="single" w:color="auto" w:sz="6" w:space="0"/>
              <w:bottom w:val="single" w:color="auto" w:sz="4" w:space="0"/>
              <w:right w:val="single" w:color="auto" w:sz="4" w:space="0"/>
            </w:tcBorders>
            <w:vAlign w:val="center"/>
          </w:tcPr>
          <w:p w14:paraId="67AB8345">
            <w:pPr>
              <w:autoSpaceDE w:val="0"/>
              <w:autoSpaceDN w:val="0"/>
              <w:ind w:right="-5"/>
              <w:jc w:val="center"/>
              <w:textAlignment w:val="bottom"/>
              <w:rPr>
                <w:rFonts w:asciiTheme="minorEastAsia" w:hAnsiTheme="minorEastAsia"/>
                <w:color w:val="auto"/>
                <w:sz w:val="24"/>
                <w:highlight w:val="none"/>
              </w:rPr>
            </w:pPr>
            <w:r>
              <w:rPr>
                <w:rFonts w:hint="eastAsia" w:asciiTheme="minorEastAsia" w:hAnsiTheme="minorEastAsia"/>
                <w:color w:val="auto"/>
                <w:sz w:val="24"/>
                <w:highlight w:val="none"/>
              </w:rPr>
              <w:t>合计（元）</w:t>
            </w:r>
          </w:p>
        </w:tc>
        <w:tc>
          <w:tcPr>
            <w:tcW w:w="3260" w:type="pct"/>
            <w:gridSpan w:val="4"/>
            <w:tcBorders>
              <w:top w:val="single" w:color="auto" w:sz="4" w:space="0"/>
              <w:left w:val="single" w:color="auto" w:sz="4" w:space="0"/>
              <w:bottom w:val="single" w:color="auto" w:sz="4" w:space="0"/>
              <w:right w:val="single" w:color="auto" w:sz="4" w:space="0"/>
            </w:tcBorders>
            <w:vAlign w:val="center"/>
          </w:tcPr>
          <w:p w14:paraId="73704DAE">
            <w:pPr>
              <w:autoSpaceDE w:val="0"/>
              <w:autoSpaceDN w:val="0"/>
              <w:spacing w:line="500" w:lineRule="exact"/>
              <w:ind w:right="-5"/>
              <w:jc w:val="center"/>
              <w:textAlignment w:val="bottom"/>
              <w:rPr>
                <w:rFonts w:asciiTheme="minorEastAsia" w:hAnsiTheme="minorEastAsia"/>
                <w:color w:val="auto"/>
                <w:sz w:val="24"/>
                <w:highlight w:val="none"/>
              </w:rPr>
            </w:pPr>
          </w:p>
        </w:tc>
      </w:tr>
    </w:tbl>
    <w:p w14:paraId="55E1DD6A">
      <w:pPr>
        <w:pStyle w:val="11"/>
        <w:spacing w:beforeAutospacing="0" w:afterAutospacing="0" w:line="0" w:lineRule="atLeast"/>
        <w:ind w:firstLine="480"/>
        <w:jc w:val="both"/>
        <w:rPr>
          <w:rFonts w:ascii="宋体" w:hAnsi="宋体" w:eastAsia="宋体" w:cs="宋体"/>
          <w:color w:val="auto"/>
          <w:highlight w:val="none"/>
        </w:rPr>
      </w:pPr>
    </w:p>
    <w:p w14:paraId="4A130C2D">
      <w:pPr>
        <w:pStyle w:val="11"/>
        <w:spacing w:beforeAutospacing="0" w:afterAutospacing="0" w:line="0" w:lineRule="atLeast"/>
        <w:ind w:firstLine="480"/>
        <w:jc w:val="both"/>
        <w:rPr>
          <w:rFonts w:ascii="宋体" w:hAnsi="宋体" w:eastAsia="宋体" w:cs="宋体"/>
          <w:color w:val="auto"/>
          <w:highlight w:val="none"/>
        </w:rPr>
      </w:pPr>
    </w:p>
    <w:p w14:paraId="7EE50E10">
      <w:pPr>
        <w:pStyle w:val="11"/>
        <w:spacing w:beforeAutospacing="0" w:afterAutospacing="0" w:line="0" w:lineRule="atLeast"/>
        <w:ind w:firstLine="480"/>
        <w:jc w:val="both"/>
        <w:rPr>
          <w:rFonts w:ascii="宋体" w:hAnsi="宋体" w:eastAsia="宋体" w:cs="宋体"/>
          <w:color w:val="auto"/>
          <w:highlight w:val="none"/>
        </w:rPr>
      </w:pPr>
    </w:p>
    <w:p w14:paraId="10E93E6D">
      <w:pPr>
        <w:pStyle w:val="11"/>
        <w:spacing w:beforeAutospacing="0" w:afterAutospacing="0" w:line="0" w:lineRule="atLeast"/>
        <w:ind w:firstLine="480"/>
        <w:jc w:val="both"/>
        <w:rPr>
          <w:rFonts w:ascii="宋体" w:hAnsi="宋体" w:eastAsia="宋体" w:cs="宋体"/>
          <w:color w:val="auto"/>
          <w:highlight w:val="none"/>
        </w:rPr>
      </w:pPr>
    </w:p>
    <w:p w14:paraId="0337A768">
      <w:pPr>
        <w:adjustRightInd w:val="0"/>
        <w:snapToGrid w:val="0"/>
        <w:spacing w:line="500" w:lineRule="exact"/>
        <w:ind w:firstLine="420" w:firstLineChars="200"/>
        <w:rPr>
          <w:rFonts w:asciiTheme="minorEastAsia" w:hAnsiTheme="minorEastAsia"/>
          <w:color w:val="auto"/>
          <w:sz w:val="24"/>
          <w:highlight w:val="none"/>
        </w:rPr>
      </w:pPr>
      <w:r>
        <w:rPr>
          <w:rFonts w:hint="eastAsia" w:ascii="宋体" w:hAnsi="宋体" w:eastAsia="宋体" w:cs="宋体"/>
          <w:color w:val="auto"/>
          <w:highlight w:val="none"/>
        </w:rPr>
        <w:t>备注：1、</w:t>
      </w:r>
      <w:r>
        <w:rPr>
          <w:rFonts w:hint="eastAsia" w:asciiTheme="minorEastAsia" w:hAnsiTheme="minorEastAsia"/>
          <w:color w:val="auto"/>
          <w:sz w:val="24"/>
          <w:highlight w:val="none"/>
        </w:rPr>
        <w:t>本合同总金额包括培养期间全部学员在培养地点发生的培养费（包括教师课酬、授课场地使用费、学习资料费、现场教学费、教学管理费[（包含教学课程内学员交通费）、其他费用等）、课题指导费、产出式研讨指导费（包括教师指导费用、培养成果刊印成册费用）]，以及甲方跟踪管理人员（原则上不超过3人）的食宿等一切培养所需的必要费用，不包含学员在城市间往返的交通费用、意外险、食宿费等。</w:t>
      </w:r>
      <w:r>
        <w:rPr>
          <w:rFonts w:asciiTheme="minorEastAsia" w:hAnsiTheme="minorEastAsia"/>
          <w:color w:val="auto"/>
          <w:sz w:val="24"/>
          <w:highlight w:val="none"/>
        </w:rPr>
        <w:t>在集中培养期间，乙方应向甲方提供</w:t>
      </w:r>
      <w:r>
        <w:rPr>
          <w:rFonts w:hint="eastAsia" w:asciiTheme="minorEastAsia" w:hAnsiTheme="minorEastAsia"/>
          <w:color w:val="auto"/>
          <w:sz w:val="24"/>
          <w:highlight w:val="none"/>
        </w:rPr>
        <w:t>学员学习期间集中</w:t>
      </w:r>
      <w:r>
        <w:rPr>
          <w:rFonts w:asciiTheme="minorEastAsia" w:hAnsiTheme="minorEastAsia"/>
          <w:color w:val="auto"/>
          <w:sz w:val="24"/>
          <w:highlight w:val="none"/>
        </w:rPr>
        <w:t>住宿场地和餐饮场地，上述两项场地收费标准不得高于470元</w:t>
      </w:r>
      <w:r>
        <w:rPr>
          <w:rFonts w:hint="eastAsia" w:asciiTheme="minorEastAsia" w:hAnsiTheme="minorEastAsia"/>
          <w:color w:val="auto"/>
          <w:sz w:val="24"/>
          <w:highlight w:val="none"/>
        </w:rPr>
        <w:t>/人/天</w:t>
      </w:r>
      <w:r>
        <w:rPr>
          <w:rFonts w:asciiTheme="minorEastAsia" w:hAnsiTheme="minorEastAsia"/>
          <w:color w:val="auto"/>
          <w:sz w:val="24"/>
          <w:highlight w:val="none"/>
        </w:rPr>
        <w:t>（其中：住宿费不得高于</w:t>
      </w:r>
      <w:r>
        <w:rPr>
          <w:rFonts w:hint="eastAsia" w:asciiTheme="minorEastAsia" w:hAnsiTheme="minorEastAsia"/>
          <w:color w:val="auto"/>
          <w:sz w:val="24"/>
          <w:highlight w:val="none"/>
        </w:rPr>
        <w:t>3</w:t>
      </w:r>
      <w:r>
        <w:rPr>
          <w:rFonts w:asciiTheme="minorEastAsia" w:hAnsiTheme="minorEastAsia"/>
          <w:color w:val="auto"/>
          <w:sz w:val="24"/>
          <w:highlight w:val="none"/>
        </w:rPr>
        <w:t>40元</w:t>
      </w:r>
      <w:r>
        <w:rPr>
          <w:rFonts w:hint="eastAsia" w:asciiTheme="minorEastAsia" w:hAnsiTheme="minorEastAsia"/>
          <w:color w:val="auto"/>
          <w:sz w:val="24"/>
          <w:highlight w:val="none"/>
        </w:rPr>
        <w:t>/人/天，餐饮费不得高于1</w:t>
      </w:r>
      <w:r>
        <w:rPr>
          <w:rFonts w:asciiTheme="minorEastAsia" w:hAnsiTheme="minorEastAsia"/>
          <w:color w:val="auto"/>
          <w:sz w:val="24"/>
          <w:highlight w:val="none"/>
        </w:rPr>
        <w:t>30元</w:t>
      </w:r>
      <w:r>
        <w:rPr>
          <w:rFonts w:hint="eastAsia" w:asciiTheme="minorEastAsia" w:hAnsiTheme="minorEastAsia"/>
          <w:color w:val="auto"/>
          <w:sz w:val="24"/>
          <w:highlight w:val="none"/>
        </w:rPr>
        <w:t>/人/</w:t>
      </w:r>
      <w:r>
        <w:rPr>
          <w:rFonts w:asciiTheme="minorEastAsia" w:hAnsiTheme="minorEastAsia"/>
          <w:color w:val="auto"/>
          <w:sz w:val="24"/>
          <w:highlight w:val="none"/>
        </w:rPr>
        <w:t>天）。</w:t>
      </w:r>
      <w:r>
        <w:rPr>
          <w:rFonts w:hint="eastAsia" w:asciiTheme="minorEastAsia" w:hAnsiTheme="minorEastAsia"/>
          <w:color w:val="auto"/>
          <w:sz w:val="24"/>
          <w:highlight w:val="none"/>
        </w:rPr>
        <w:t>上述费用是在乙方全面履行本合同基础上，甲方应向乙方支付的全部费用，除另有约定外，甲方无需就本项目向乙方另行支付任何其他费用。</w:t>
      </w:r>
    </w:p>
    <w:p w14:paraId="14458855">
      <w:pPr>
        <w:adjustRightInd w:val="0"/>
        <w:snapToGrid w:val="0"/>
        <w:spacing w:line="500" w:lineRule="exact"/>
        <w:ind w:firstLine="420" w:firstLineChars="200"/>
        <w:rPr>
          <w:rFonts w:asciiTheme="minorEastAsia" w:hAnsiTheme="minorEastAsia"/>
          <w:color w:val="auto"/>
          <w:sz w:val="24"/>
          <w:highlight w:val="none"/>
        </w:rPr>
      </w:pPr>
      <w:r>
        <w:rPr>
          <w:rFonts w:hint="eastAsia" w:ascii="宋体" w:hAnsi="宋体" w:eastAsia="宋体" w:cs="宋体"/>
          <w:color w:val="auto"/>
          <w:highlight w:val="none"/>
        </w:rPr>
        <w:t>2. “投标分项报价表”中“投标总报价”数额应当与“开标一览表”中“投标总报价”数额一致。</w:t>
      </w:r>
    </w:p>
    <w:p w14:paraId="2F81EAA7">
      <w:pPr>
        <w:pStyle w:val="6"/>
        <w:rPr>
          <w:color w:val="auto"/>
          <w:kern w:val="0"/>
          <w:sz w:val="24"/>
          <w:highlight w:val="none"/>
          <w:lang w:eastAsia="zh-CN"/>
        </w:rPr>
      </w:pPr>
      <w:r>
        <w:rPr>
          <w:color w:val="auto"/>
          <w:highlight w:val="none"/>
          <w:lang w:eastAsia="zh-CN"/>
        </w:rPr>
        <w:br w:type="page"/>
      </w:r>
    </w:p>
    <w:p w14:paraId="28648695">
      <w:pPr>
        <w:pStyle w:val="11"/>
        <w:spacing w:beforeAutospacing="0" w:afterAutospacing="0" w:line="0" w:lineRule="atLeast"/>
        <w:ind w:firstLine="480"/>
        <w:jc w:val="both"/>
        <w:rPr>
          <w:rFonts w:ascii="黑体" w:hAnsi="宋体" w:eastAsia="黑体" w:cs="黑体"/>
          <w:b/>
          <w:color w:val="auto"/>
          <w:sz w:val="32"/>
          <w:szCs w:val="32"/>
          <w:highlight w:val="none"/>
        </w:rPr>
      </w:pPr>
    </w:p>
    <w:p w14:paraId="2A0EE2D0">
      <w:pPr>
        <w:pStyle w:val="11"/>
        <w:spacing w:beforeAutospacing="0" w:afterAutospacing="0"/>
        <w:ind w:firstLine="643"/>
        <w:jc w:val="center"/>
        <w:rPr>
          <w:color w:val="auto"/>
          <w:highlight w:val="none"/>
        </w:rPr>
      </w:pPr>
      <w:r>
        <w:rPr>
          <w:rFonts w:hint="eastAsia" w:ascii="黑体" w:hAnsi="宋体" w:eastAsia="黑体" w:cs="黑体"/>
          <w:b/>
          <w:color w:val="auto"/>
          <w:sz w:val="32"/>
          <w:szCs w:val="32"/>
          <w:highlight w:val="none"/>
        </w:rPr>
        <w:t>十四、技术要求响应及偏离表（分包号：**）</w:t>
      </w:r>
    </w:p>
    <w:tbl>
      <w:tblPr>
        <w:tblStyle w:val="13"/>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4B209AE3">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DEFBC">
            <w:pPr>
              <w:pStyle w:val="11"/>
              <w:spacing w:beforeAutospacing="0" w:afterAutospacing="0"/>
              <w:jc w:val="center"/>
              <w:rPr>
                <w:color w:val="auto"/>
                <w:highlight w:val="none"/>
              </w:rPr>
            </w:pPr>
            <w:r>
              <w:rPr>
                <w:rFonts w:hint="eastAsia" w:ascii="宋体" w:hAnsi="宋体" w:eastAsia="宋体" w:cs="宋体"/>
                <w:color w:val="auto"/>
                <w:highlight w:val="none"/>
              </w:rPr>
              <w:t>序号</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17F27">
            <w:pPr>
              <w:pStyle w:val="11"/>
              <w:spacing w:beforeAutospacing="0" w:afterAutospacing="0"/>
              <w:jc w:val="center"/>
              <w:rPr>
                <w:color w:val="auto"/>
                <w:highlight w:val="none"/>
              </w:rPr>
            </w:pPr>
            <w:r>
              <w:rPr>
                <w:rFonts w:hint="eastAsia" w:ascii="宋体" w:hAnsi="宋体" w:eastAsia="宋体" w:cs="宋体"/>
                <w:color w:val="auto"/>
                <w:highlight w:val="none"/>
              </w:rPr>
              <w:t>招标文件要求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A28AEB">
            <w:pPr>
              <w:pStyle w:val="11"/>
              <w:spacing w:beforeAutospacing="0" w:afterAutospacing="0"/>
              <w:jc w:val="center"/>
              <w:rPr>
                <w:color w:val="auto"/>
                <w:highlight w:val="none"/>
              </w:rPr>
            </w:pPr>
            <w:r>
              <w:rPr>
                <w:rFonts w:hint="eastAsia" w:ascii="宋体" w:hAnsi="宋体" w:eastAsia="宋体" w:cs="宋体"/>
                <w:color w:val="auto"/>
                <w:highlight w:val="none"/>
              </w:rPr>
              <w:t>投标响应情况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4081D0">
            <w:pPr>
              <w:pStyle w:val="11"/>
              <w:spacing w:beforeAutospacing="0" w:afterAutospacing="0"/>
              <w:jc w:val="center"/>
              <w:rPr>
                <w:color w:val="auto"/>
                <w:highlight w:val="none"/>
              </w:rPr>
            </w:pPr>
            <w:r>
              <w:rPr>
                <w:rFonts w:hint="eastAsia" w:ascii="宋体" w:hAnsi="宋体" w:eastAsia="宋体" w:cs="宋体"/>
                <w:color w:val="auto"/>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B06AB">
            <w:pPr>
              <w:pStyle w:val="11"/>
              <w:spacing w:beforeAutospacing="0" w:afterAutospacing="0"/>
              <w:jc w:val="center"/>
              <w:rPr>
                <w:color w:val="auto"/>
                <w:highlight w:val="none"/>
              </w:rPr>
            </w:pPr>
            <w:r>
              <w:rPr>
                <w:rFonts w:hint="eastAsia" w:ascii="宋体" w:hAnsi="宋体" w:eastAsia="宋体" w:cs="宋体"/>
                <w:color w:val="auto"/>
                <w:highlight w:val="none"/>
              </w:rPr>
              <w:t>证明</w:t>
            </w:r>
          </w:p>
          <w:p w14:paraId="64746976">
            <w:pPr>
              <w:pStyle w:val="11"/>
              <w:spacing w:beforeAutospacing="0" w:afterAutospacing="0"/>
              <w:jc w:val="center"/>
              <w:rPr>
                <w:color w:val="auto"/>
                <w:highlight w:val="none"/>
              </w:rPr>
            </w:pPr>
            <w:r>
              <w:rPr>
                <w:rFonts w:hint="eastAsia" w:ascii="宋体" w:hAnsi="宋体" w:eastAsia="宋体" w:cs="宋体"/>
                <w:color w:val="auto"/>
                <w:highlight w:val="none"/>
              </w:rPr>
              <w:t>材料</w:t>
            </w:r>
          </w:p>
        </w:tc>
      </w:tr>
      <w:tr w14:paraId="14EAA869">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ABB499">
            <w:pPr>
              <w:pStyle w:val="11"/>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F16FC">
            <w:pPr>
              <w:pStyle w:val="11"/>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36D91">
            <w:pPr>
              <w:pStyle w:val="11"/>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0BACB">
            <w:pPr>
              <w:pStyle w:val="11"/>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9731F">
            <w:pPr>
              <w:pStyle w:val="11"/>
              <w:spacing w:beforeAutospacing="0" w:afterAutospacing="0"/>
              <w:jc w:val="center"/>
              <w:rPr>
                <w:color w:val="auto"/>
                <w:highlight w:val="none"/>
              </w:rPr>
            </w:pPr>
            <w:r>
              <w:rPr>
                <w:color w:val="auto"/>
                <w:highlight w:val="none"/>
              </w:rPr>
              <w:t> </w:t>
            </w:r>
          </w:p>
        </w:tc>
      </w:tr>
      <w:tr w14:paraId="2806794F">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21AC2">
            <w:pPr>
              <w:pStyle w:val="11"/>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F6F6D">
            <w:pPr>
              <w:pStyle w:val="11"/>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7E91D">
            <w:pPr>
              <w:pStyle w:val="11"/>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C5ED4">
            <w:pPr>
              <w:pStyle w:val="11"/>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CF316B">
            <w:pPr>
              <w:pStyle w:val="11"/>
              <w:spacing w:beforeAutospacing="0" w:afterAutospacing="0"/>
              <w:jc w:val="center"/>
              <w:rPr>
                <w:color w:val="auto"/>
                <w:highlight w:val="none"/>
              </w:rPr>
            </w:pPr>
            <w:r>
              <w:rPr>
                <w:color w:val="auto"/>
                <w:highlight w:val="none"/>
              </w:rPr>
              <w:t> </w:t>
            </w:r>
          </w:p>
        </w:tc>
      </w:tr>
      <w:tr w14:paraId="72FEE869">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5DD5F">
            <w:pPr>
              <w:pStyle w:val="11"/>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693392">
            <w:pPr>
              <w:pStyle w:val="11"/>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EF78C">
            <w:pPr>
              <w:pStyle w:val="11"/>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5DCD6">
            <w:pPr>
              <w:pStyle w:val="11"/>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9A881">
            <w:pPr>
              <w:pStyle w:val="11"/>
              <w:spacing w:beforeAutospacing="0" w:afterAutospacing="0"/>
              <w:jc w:val="center"/>
              <w:rPr>
                <w:color w:val="auto"/>
                <w:highlight w:val="none"/>
              </w:rPr>
            </w:pPr>
            <w:r>
              <w:rPr>
                <w:color w:val="auto"/>
                <w:highlight w:val="none"/>
              </w:rPr>
              <w:t> </w:t>
            </w:r>
          </w:p>
        </w:tc>
      </w:tr>
      <w:tr w14:paraId="77F8965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17E74">
            <w:pPr>
              <w:pStyle w:val="11"/>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FF570">
            <w:pPr>
              <w:pStyle w:val="11"/>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CEBB2">
            <w:pPr>
              <w:pStyle w:val="11"/>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92DA8">
            <w:pPr>
              <w:pStyle w:val="11"/>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DB0C3">
            <w:pPr>
              <w:pStyle w:val="11"/>
              <w:spacing w:beforeAutospacing="0" w:afterAutospacing="0"/>
              <w:jc w:val="center"/>
              <w:rPr>
                <w:color w:val="auto"/>
                <w:highlight w:val="none"/>
              </w:rPr>
            </w:pPr>
            <w:r>
              <w:rPr>
                <w:color w:val="auto"/>
                <w:highlight w:val="none"/>
              </w:rPr>
              <w:t> </w:t>
            </w:r>
          </w:p>
        </w:tc>
      </w:tr>
      <w:tr w14:paraId="7A504595">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A3FF8">
            <w:pPr>
              <w:pStyle w:val="11"/>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ABED97">
            <w:pPr>
              <w:pStyle w:val="11"/>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C9A37">
            <w:pPr>
              <w:pStyle w:val="11"/>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C99C7">
            <w:pPr>
              <w:pStyle w:val="11"/>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4DA32">
            <w:pPr>
              <w:pStyle w:val="11"/>
              <w:spacing w:beforeAutospacing="0" w:afterAutospacing="0"/>
              <w:jc w:val="center"/>
              <w:rPr>
                <w:color w:val="auto"/>
                <w:highlight w:val="none"/>
              </w:rPr>
            </w:pPr>
            <w:r>
              <w:rPr>
                <w:color w:val="auto"/>
                <w:highlight w:val="none"/>
              </w:rPr>
              <w:t> </w:t>
            </w:r>
          </w:p>
        </w:tc>
      </w:tr>
      <w:tr w14:paraId="0FFABDAB">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9D4CB">
            <w:pPr>
              <w:pStyle w:val="11"/>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96E62">
            <w:pPr>
              <w:pStyle w:val="11"/>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F87BA">
            <w:pPr>
              <w:pStyle w:val="11"/>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52BA0">
            <w:pPr>
              <w:pStyle w:val="11"/>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80272">
            <w:pPr>
              <w:pStyle w:val="11"/>
              <w:spacing w:beforeAutospacing="0" w:afterAutospacing="0"/>
              <w:jc w:val="center"/>
              <w:rPr>
                <w:color w:val="auto"/>
                <w:highlight w:val="none"/>
              </w:rPr>
            </w:pPr>
            <w:r>
              <w:rPr>
                <w:color w:val="auto"/>
                <w:highlight w:val="none"/>
              </w:rPr>
              <w:t> </w:t>
            </w:r>
          </w:p>
        </w:tc>
      </w:tr>
      <w:tr w14:paraId="583A8BC0">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CE312">
            <w:pPr>
              <w:pStyle w:val="11"/>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6C592">
            <w:pPr>
              <w:pStyle w:val="11"/>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57ABF2">
            <w:pPr>
              <w:pStyle w:val="11"/>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095068">
            <w:pPr>
              <w:pStyle w:val="11"/>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89CD8E">
            <w:pPr>
              <w:pStyle w:val="11"/>
              <w:spacing w:beforeAutospacing="0" w:afterAutospacing="0"/>
              <w:jc w:val="center"/>
              <w:rPr>
                <w:color w:val="auto"/>
                <w:highlight w:val="none"/>
              </w:rPr>
            </w:pPr>
            <w:r>
              <w:rPr>
                <w:color w:val="auto"/>
                <w:highlight w:val="none"/>
              </w:rPr>
              <w:t> </w:t>
            </w:r>
          </w:p>
        </w:tc>
      </w:tr>
      <w:tr w14:paraId="7D7BB93D">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356A7C">
            <w:pPr>
              <w:pStyle w:val="11"/>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6A7B0">
            <w:pPr>
              <w:pStyle w:val="11"/>
              <w:spacing w:beforeAutospacing="0" w:afterAutospacing="0"/>
              <w:jc w:val="center"/>
              <w:rPr>
                <w:color w:val="auto"/>
                <w:highlight w:val="none"/>
              </w:rPr>
            </w:pPr>
            <w:r>
              <w:rPr>
                <w:rFonts w:hint="eastAsia" w:ascii="宋体" w:hAnsi="宋体" w:eastAsia="宋体" w:cs="宋体"/>
                <w:color w:val="auto"/>
                <w:highlight w:val="none"/>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A7FBFB">
            <w:pPr>
              <w:pStyle w:val="11"/>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4B2C9">
            <w:pPr>
              <w:pStyle w:val="11"/>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AB68C">
            <w:pPr>
              <w:pStyle w:val="11"/>
              <w:spacing w:beforeAutospacing="0" w:afterAutospacing="0"/>
              <w:jc w:val="center"/>
              <w:rPr>
                <w:color w:val="auto"/>
                <w:highlight w:val="none"/>
              </w:rPr>
            </w:pPr>
            <w:r>
              <w:rPr>
                <w:color w:val="auto"/>
                <w:highlight w:val="none"/>
              </w:rPr>
              <w:t> </w:t>
            </w:r>
          </w:p>
        </w:tc>
      </w:tr>
    </w:tbl>
    <w:p w14:paraId="053CC7BA">
      <w:pPr>
        <w:pStyle w:val="11"/>
        <w:spacing w:beforeAutospacing="0" w:afterAutospacing="0"/>
        <w:jc w:val="both"/>
        <w:rPr>
          <w:color w:val="auto"/>
          <w:highlight w:val="none"/>
        </w:rPr>
      </w:pPr>
      <w:r>
        <w:rPr>
          <w:rFonts w:hint="eastAsia" w:ascii="宋体" w:hAnsi="宋体" w:eastAsia="宋体" w:cs="宋体"/>
          <w:color w:val="auto"/>
          <w:highlight w:val="none"/>
        </w:rPr>
        <w:t>注： 行数不够，可自行添加。</w:t>
      </w:r>
    </w:p>
    <w:p w14:paraId="298F73F5">
      <w:pPr>
        <w:pStyle w:val="11"/>
        <w:spacing w:beforeAutospacing="0" w:afterAutospacing="0"/>
        <w:jc w:val="center"/>
        <w:rPr>
          <w:color w:val="auto"/>
          <w:highlight w:val="none"/>
        </w:rPr>
      </w:pPr>
      <w:r>
        <w:rPr>
          <w:color w:val="auto"/>
          <w:highlight w:val="none"/>
        </w:rPr>
        <w:t> </w:t>
      </w:r>
    </w:p>
    <w:p w14:paraId="69101EE0">
      <w:pPr>
        <w:pStyle w:val="11"/>
        <w:spacing w:beforeAutospacing="0" w:afterAutospacing="0"/>
        <w:jc w:val="center"/>
        <w:rPr>
          <w:color w:val="auto"/>
          <w:highlight w:val="none"/>
        </w:rPr>
      </w:pPr>
      <w:r>
        <w:rPr>
          <w:color w:val="auto"/>
          <w:highlight w:val="none"/>
        </w:rPr>
        <w:t> </w:t>
      </w:r>
    </w:p>
    <w:p w14:paraId="59EE0BBF">
      <w:pPr>
        <w:pStyle w:val="11"/>
        <w:spacing w:beforeAutospacing="0" w:afterAutospacing="0"/>
        <w:jc w:val="center"/>
        <w:rPr>
          <w:color w:val="auto"/>
          <w:highlight w:val="none"/>
        </w:rPr>
      </w:pPr>
      <w:r>
        <w:rPr>
          <w:color w:val="auto"/>
          <w:highlight w:val="none"/>
        </w:rPr>
        <w:t> </w:t>
      </w:r>
    </w:p>
    <w:p w14:paraId="714AC57B">
      <w:pPr>
        <w:pStyle w:val="11"/>
        <w:spacing w:beforeAutospacing="0" w:afterAutospacing="0"/>
        <w:jc w:val="center"/>
        <w:rPr>
          <w:color w:val="auto"/>
          <w:highlight w:val="none"/>
        </w:rPr>
      </w:pPr>
      <w:r>
        <w:rPr>
          <w:color w:val="auto"/>
          <w:highlight w:val="none"/>
        </w:rPr>
        <w:t> </w:t>
      </w:r>
    </w:p>
    <w:p w14:paraId="0EBAFA6C">
      <w:pPr>
        <w:pStyle w:val="11"/>
        <w:spacing w:beforeAutospacing="0" w:afterAutospacing="0"/>
        <w:jc w:val="both"/>
        <w:rPr>
          <w:color w:val="auto"/>
          <w:highlight w:val="none"/>
        </w:rPr>
      </w:pPr>
      <w:r>
        <w:rPr>
          <w:color w:val="auto"/>
          <w:highlight w:val="none"/>
        </w:rPr>
        <w:t> </w:t>
      </w:r>
    </w:p>
    <w:p w14:paraId="2AE29630">
      <w:pPr>
        <w:pStyle w:val="11"/>
        <w:spacing w:beforeAutospacing="0" w:afterAutospacing="0"/>
        <w:jc w:val="both"/>
        <w:rPr>
          <w:color w:val="auto"/>
          <w:highlight w:val="none"/>
        </w:rPr>
      </w:pPr>
      <w:r>
        <w:rPr>
          <w:color w:val="auto"/>
          <w:highlight w:val="none"/>
        </w:rPr>
        <w:t> </w:t>
      </w:r>
    </w:p>
    <w:p w14:paraId="68CFA666">
      <w:pPr>
        <w:pStyle w:val="11"/>
        <w:spacing w:beforeAutospacing="0" w:afterAutospacing="0"/>
        <w:jc w:val="both"/>
        <w:rPr>
          <w:color w:val="auto"/>
          <w:highlight w:val="none"/>
        </w:rPr>
      </w:pPr>
      <w:r>
        <w:rPr>
          <w:color w:val="auto"/>
          <w:highlight w:val="none"/>
        </w:rPr>
        <w:t> </w:t>
      </w:r>
    </w:p>
    <w:p w14:paraId="1AEF5178">
      <w:pPr>
        <w:pStyle w:val="11"/>
        <w:spacing w:beforeAutospacing="0" w:afterAutospacing="0"/>
        <w:jc w:val="both"/>
        <w:rPr>
          <w:color w:val="auto"/>
          <w:highlight w:val="none"/>
        </w:rPr>
      </w:pPr>
      <w:r>
        <w:rPr>
          <w:color w:val="auto"/>
          <w:highlight w:val="none"/>
        </w:rPr>
        <w:t> </w:t>
      </w:r>
    </w:p>
    <w:p w14:paraId="3FA3DBCD">
      <w:pPr>
        <w:pStyle w:val="11"/>
        <w:spacing w:beforeAutospacing="0" w:afterAutospacing="0"/>
        <w:jc w:val="both"/>
        <w:rPr>
          <w:color w:val="auto"/>
          <w:highlight w:val="none"/>
        </w:rPr>
      </w:pPr>
    </w:p>
    <w:p w14:paraId="61B49C54">
      <w:pPr>
        <w:pStyle w:val="11"/>
        <w:spacing w:beforeAutospacing="0" w:afterAutospacing="0"/>
        <w:jc w:val="both"/>
        <w:rPr>
          <w:color w:val="auto"/>
          <w:highlight w:val="none"/>
        </w:rPr>
      </w:pPr>
    </w:p>
    <w:p w14:paraId="50FD0298">
      <w:pPr>
        <w:pStyle w:val="11"/>
        <w:spacing w:beforeAutospacing="0" w:afterAutospacing="0"/>
        <w:jc w:val="both"/>
        <w:rPr>
          <w:color w:val="auto"/>
          <w:highlight w:val="none"/>
        </w:rPr>
      </w:pPr>
    </w:p>
    <w:p w14:paraId="739FE4AC">
      <w:pPr>
        <w:pStyle w:val="11"/>
        <w:spacing w:beforeAutospacing="0" w:afterAutospacing="0"/>
        <w:jc w:val="both"/>
        <w:rPr>
          <w:color w:val="auto"/>
          <w:highlight w:val="none"/>
        </w:rPr>
      </w:pPr>
    </w:p>
    <w:p w14:paraId="6FC0DAFB">
      <w:pPr>
        <w:pStyle w:val="11"/>
        <w:spacing w:beforeAutospacing="0" w:afterAutospacing="0"/>
        <w:jc w:val="both"/>
        <w:rPr>
          <w:color w:val="auto"/>
          <w:highlight w:val="none"/>
        </w:rPr>
      </w:pPr>
    </w:p>
    <w:p w14:paraId="7CD77B11">
      <w:pPr>
        <w:pStyle w:val="11"/>
        <w:spacing w:beforeAutospacing="0" w:afterAutospacing="0"/>
        <w:jc w:val="both"/>
        <w:rPr>
          <w:color w:val="auto"/>
          <w:highlight w:val="none"/>
        </w:rPr>
      </w:pPr>
    </w:p>
    <w:p w14:paraId="0646BA28">
      <w:pPr>
        <w:pStyle w:val="11"/>
        <w:spacing w:beforeAutospacing="0" w:afterAutospacing="0"/>
        <w:jc w:val="both"/>
        <w:rPr>
          <w:color w:val="auto"/>
          <w:highlight w:val="none"/>
        </w:rPr>
      </w:pPr>
    </w:p>
    <w:p w14:paraId="504C6314">
      <w:pPr>
        <w:pStyle w:val="11"/>
        <w:spacing w:beforeAutospacing="0" w:afterAutospacing="0"/>
        <w:jc w:val="both"/>
        <w:rPr>
          <w:color w:val="auto"/>
          <w:highlight w:val="none"/>
        </w:rPr>
      </w:pPr>
    </w:p>
    <w:p w14:paraId="28A95C73">
      <w:pPr>
        <w:pStyle w:val="11"/>
        <w:spacing w:beforeAutospacing="0" w:afterAutospacing="0"/>
        <w:jc w:val="both"/>
        <w:rPr>
          <w:color w:val="auto"/>
          <w:highlight w:val="none"/>
        </w:rPr>
      </w:pPr>
    </w:p>
    <w:p w14:paraId="73D06022">
      <w:pPr>
        <w:pStyle w:val="11"/>
        <w:spacing w:beforeAutospacing="0" w:afterAutospacing="0"/>
        <w:jc w:val="both"/>
        <w:rPr>
          <w:color w:val="auto"/>
          <w:highlight w:val="none"/>
        </w:rPr>
      </w:pPr>
    </w:p>
    <w:p w14:paraId="5138E471">
      <w:pPr>
        <w:pStyle w:val="11"/>
        <w:spacing w:beforeAutospacing="0" w:afterAutospacing="0"/>
        <w:jc w:val="both"/>
        <w:rPr>
          <w:color w:val="auto"/>
          <w:highlight w:val="none"/>
        </w:rPr>
      </w:pPr>
    </w:p>
    <w:p w14:paraId="1D53FDB1">
      <w:pPr>
        <w:pStyle w:val="11"/>
        <w:spacing w:beforeAutospacing="0" w:afterAutospacing="0"/>
        <w:jc w:val="both"/>
        <w:rPr>
          <w:color w:val="auto"/>
          <w:highlight w:val="none"/>
        </w:rPr>
      </w:pPr>
    </w:p>
    <w:p w14:paraId="361D8F78">
      <w:pPr>
        <w:pStyle w:val="11"/>
        <w:spacing w:beforeAutospacing="0" w:afterAutospacing="0"/>
        <w:jc w:val="both"/>
        <w:rPr>
          <w:color w:val="auto"/>
          <w:highlight w:val="none"/>
        </w:rPr>
      </w:pPr>
    </w:p>
    <w:p w14:paraId="50933824">
      <w:pPr>
        <w:pStyle w:val="11"/>
        <w:spacing w:beforeAutospacing="0" w:afterAutospacing="0"/>
        <w:jc w:val="both"/>
        <w:rPr>
          <w:color w:val="auto"/>
          <w:highlight w:val="none"/>
        </w:rPr>
      </w:pPr>
      <w:r>
        <w:rPr>
          <w:color w:val="auto"/>
          <w:highlight w:val="none"/>
        </w:rPr>
        <w:t> </w:t>
      </w:r>
    </w:p>
    <w:p w14:paraId="689323A8">
      <w:pPr>
        <w:pStyle w:val="11"/>
        <w:spacing w:beforeAutospacing="0" w:afterAutospacing="0"/>
        <w:jc w:val="both"/>
        <w:rPr>
          <w:color w:val="auto"/>
          <w:highlight w:val="none"/>
        </w:rPr>
      </w:pPr>
      <w:r>
        <w:rPr>
          <w:color w:val="auto"/>
          <w:highlight w:val="none"/>
        </w:rPr>
        <w:t> </w:t>
      </w:r>
    </w:p>
    <w:p w14:paraId="2549DD7F">
      <w:pPr>
        <w:pStyle w:val="11"/>
        <w:spacing w:beforeAutospacing="0" w:afterAutospacing="0"/>
        <w:ind w:firstLine="643"/>
        <w:jc w:val="center"/>
        <w:rPr>
          <w:color w:val="auto"/>
          <w:highlight w:val="none"/>
        </w:rPr>
      </w:pPr>
      <w:bookmarkStart w:id="213" w:name="_Hlt26955054"/>
      <w:r>
        <w:rPr>
          <w:rFonts w:hint="eastAsia" w:ascii="黑体" w:hAnsi="宋体" w:eastAsia="黑体" w:cs="黑体"/>
          <w:b/>
          <w:color w:val="auto"/>
          <w:sz w:val="32"/>
          <w:szCs w:val="32"/>
          <w:highlight w:val="none"/>
        </w:rPr>
        <w:t>十五、商务要求响应及偏离表（分包号：**）</w:t>
      </w:r>
    </w:p>
    <w:tbl>
      <w:tblPr>
        <w:tblStyle w:val="13"/>
        <w:tblW w:w="8520" w:type="dxa"/>
        <w:tblCellSpacing w:w="0" w:type="dxa"/>
        <w:tblInd w:w="10" w:type="dxa"/>
        <w:tblLayout w:type="fixed"/>
        <w:tblCellMar>
          <w:top w:w="0" w:type="dxa"/>
          <w:left w:w="108" w:type="dxa"/>
          <w:bottom w:w="0" w:type="dxa"/>
          <w:right w:w="108" w:type="dxa"/>
        </w:tblCellMar>
      </w:tblPr>
      <w:tblGrid>
        <w:gridCol w:w="661"/>
        <w:gridCol w:w="2469"/>
        <w:gridCol w:w="2645"/>
        <w:gridCol w:w="1244"/>
        <w:gridCol w:w="1501"/>
      </w:tblGrid>
      <w:tr w14:paraId="02FB0B7C">
        <w:tblPrEx>
          <w:tblCellMar>
            <w:top w:w="0" w:type="dxa"/>
            <w:left w:w="108" w:type="dxa"/>
            <w:bottom w:w="0" w:type="dxa"/>
            <w:right w:w="108" w:type="dxa"/>
          </w:tblCellMar>
        </w:tblPrEx>
        <w:trPr>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A06FF">
            <w:pPr>
              <w:pStyle w:val="11"/>
              <w:spacing w:beforeAutospacing="0" w:afterAutospacing="0"/>
              <w:jc w:val="center"/>
              <w:rPr>
                <w:color w:val="auto"/>
                <w:highlight w:val="none"/>
              </w:rPr>
            </w:pPr>
            <w:bookmarkStart w:id="214" w:name="_Hlt26955056"/>
            <w:bookmarkStart w:id="215" w:name="_Hlt26671343"/>
            <w:bookmarkStart w:id="216" w:name="_Hlt26671372"/>
            <w:bookmarkStart w:id="217" w:name="_Hlt26955064"/>
            <w:bookmarkStart w:id="218" w:name="_Hlt26782999"/>
            <w:bookmarkStart w:id="219" w:name="_Hlt26580838"/>
            <w:bookmarkStart w:id="220" w:name="_Hlt24879081"/>
            <w:bookmarkStart w:id="221" w:name="_Hlt26609391"/>
            <w:r>
              <w:rPr>
                <w:rFonts w:hint="eastAsia" w:ascii="宋体" w:hAnsi="宋体" w:eastAsia="宋体" w:cs="宋体"/>
                <w:color w:val="auto"/>
                <w:highlight w:val="none"/>
              </w:rPr>
              <w:t>序号</w:t>
            </w:r>
          </w:p>
          <w:bookmarkEnd w:id="214"/>
          <w:bookmarkEnd w:id="215"/>
          <w:bookmarkEnd w:id="216"/>
          <w:bookmarkEnd w:id="217"/>
          <w:bookmarkEnd w:id="218"/>
          <w:bookmarkEnd w:id="219"/>
          <w:bookmarkEnd w:id="220"/>
          <w:bookmarkEnd w:id="221"/>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929CAD">
            <w:pPr>
              <w:pStyle w:val="11"/>
              <w:spacing w:beforeAutospacing="0" w:afterAutospacing="0"/>
              <w:jc w:val="center"/>
              <w:rPr>
                <w:color w:val="auto"/>
                <w:highlight w:val="none"/>
              </w:rPr>
            </w:pPr>
            <w:r>
              <w:rPr>
                <w:rFonts w:hint="eastAsia" w:ascii="宋体" w:hAnsi="宋体" w:eastAsia="宋体" w:cs="宋体"/>
                <w:color w:val="auto"/>
                <w:highlight w:val="none"/>
              </w:rPr>
              <w:t>招标文件要求</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1C9E7">
            <w:pPr>
              <w:pStyle w:val="11"/>
              <w:spacing w:beforeAutospacing="0" w:afterAutospacing="0"/>
              <w:jc w:val="center"/>
              <w:rPr>
                <w:color w:val="auto"/>
                <w:highlight w:val="none"/>
              </w:rPr>
            </w:pPr>
            <w:r>
              <w:rPr>
                <w:rFonts w:hint="eastAsia" w:ascii="宋体" w:hAnsi="宋体" w:eastAsia="宋体" w:cs="宋体"/>
                <w:color w:val="auto"/>
                <w:highlight w:val="none"/>
              </w:rPr>
              <w:t>投标响应情况</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E6C82">
            <w:pPr>
              <w:pStyle w:val="11"/>
              <w:spacing w:beforeAutospacing="0" w:afterAutospacing="0"/>
              <w:jc w:val="center"/>
              <w:rPr>
                <w:color w:val="auto"/>
                <w:highlight w:val="none"/>
              </w:rPr>
            </w:pPr>
            <w:r>
              <w:rPr>
                <w:rFonts w:hint="eastAsia" w:ascii="宋体" w:hAnsi="宋体" w:eastAsia="宋体" w:cs="宋体"/>
                <w:color w:val="auto"/>
                <w:highlight w:val="none"/>
              </w:rPr>
              <w:t>超出、符合或偏离</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BE872D">
            <w:pPr>
              <w:pStyle w:val="11"/>
              <w:spacing w:beforeAutospacing="0" w:afterAutospacing="0"/>
              <w:jc w:val="center"/>
              <w:rPr>
                <w:color w:val="auto"/>
                <w:highlight w:val="none"/>
              </w:rPr>
            </w:pPr>
            <w:r>
              <w:rPr>
                <w:rFonts w:hint="eastAsia" w:ascii="宋体" w:hAnsi="宋体" w:eastAsia="宋体" w:cs="宋体"/>
                <w:color w:val="auto"/>
                <w:highlight w:val="none"/>
              </w:rPr>
              <w:t>证明</w:t>
            </w:r>
          </w:p>
          <w:p w14:paraId="61E1E290">
            <w:pPr>
              <w:pStyle w:val="11"/>
              <w:spacing w:beforeAutospacing="0" w:afterAutospacing="0"/>
              <w:jc w:val="center"/>
              <w:rPr>
                <w:color w:val="auto"/>
                <w:highlight w:val="none"/>
              </w:rPr>
            </w:pPr>
            <w:r>
              <w:rPr>
                <w:rFonts w:hint="eastAsia" w:ascii="宋体" w:hAnsi="宋体" w:eastAsia="宋体" w:cs="宋体"/>
                <w:color w:val="auto"/>
                <w:highlight w:val="none"/>
              </w:rPr>
              <w:t>材料</w:t>
            </w:r>
          </w:p>
        </w:tc>
      </w:tr>
      <w:tr w14:paraId="7F23EF11">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2BB69">
            <w:pPr>
              <w:pStyle w:val="11"/>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4D186">
            <w:pPr>
              <w:pStyle w:val="11"/>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A5393">
            <w:pPr>
              <w:pStyle w:val="11"/>
              <w:spacing w:beforeAutospacing="0" w:afterAutospacing="0"/>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249F26">
            <w:pPr>
              <w:pStyle w:val="11"/>
              <w:spacing w:beforeAutospacing="0" w:afterAutospacing="0"/>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EA93F">
            <w:pPr>
              <w:pStyle w:val="11"/>
              <w:spacing w:beforeAutospacing="0" w:afterAutospacing="0"/>
              <w:jc w:val="center"/>
              <w:rPr>
                <w:color w:val="auto"/>
                <w:highlight w:val="none"/>
              </w:rPr>
            </w:pPr>
            <w:r>
              <w:rPr>
                <w:color w:val="auto"/>
                <w:highlight w:val="none"/>
              </w:rPr>
              <w:t> </w:t>
            </w:r>
          </w:p>
        </w:tc>
      </w:tr>
      <w:tr w14:paraId="354C51AA">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6A25A">
            <w:pPr>
              <w:pStyle w:val="11"/>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9A144">
            <w:pPr>
              <w:pStyle w:val="11"/>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988BBD">
            <w:pPr>
              <w:pStyle w:val="11"/>
              <w:spacing w:beforeAutospacing="0" w:afterAutospacing="0"/>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4E28B">
            <w:pPr>
              <w:pStyle w:val="11"/>
              <w:spacing w:beforeAutospacing="0" w:afterAutospacing="0"/>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0275B1">
            <w:pPr>
              <w:pStyle w:val="11"/>
              <w:spacing w:beforeAutospacing="0" w:afterAutospacing="0"/>
              <w:jc w:val="center"/>
              <w:rPr>
                <w:color w:val="auto"/>
                <w:highlight w:val="none"/>
              </w:rPr>
            </w:pPr>
            <w:r>
              <w:rPr>
                <w:color w:val="auto"/>
                <w:highlight w:val="none"/>
              </w:rPr>
              <w:t> </w:t>
            </w:r>
          </w:p>
        </w:tc>
      </w:tr>
      <w:tr w14:paraId="7B8447FA">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6616E">
            <w:pPr>
              <w:pStyle w:val="11"/>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B1ED8">
            <w:pPr>
              <w:pStyle w:val="11"/>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E5F80">
            <w:pPr>
              <w:pStyle w:val="11"/>
              <w:spacing w:beforeAutospacing="0" w:afterAutospacing="0"/>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60CEF">
            <w:pPr>
              <w:pStyle w:val="11"/>
              <w:spacing w:beforeAutospacing="0" w:afterAutospacing="0"/>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F68F64">
            <w:pPr>
              <w:pStyle w:val="11"/>
              <w:spacing w:beforeAutospacing="0" w:afterAutospacing="0"/>
              <w:jc w:val="center"/>
              <w:rPr>
                <w:color w:val="auto"/>
                <w:highlight w:val="none"/>
              </w:rPr>
            </w:pPr>
            <w:r>
              <w:rPr>
                <w:color w:val="auto"/>
                <w:highlight w:val="none"/>
              </w:rPr>
              <w:t> </w:t>
            </w:r>
          </w:p>
        </w:tc>
      </w:tr>
      <w:tr w14:paraId="028CB9B7">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12932">
            <w:pPr>
              <w:pStyle w:val="11"/>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DB5DB">
            <w:pPr>
              <w:pStyle w:val="11"/>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BE408">
            <w:pPr>
              <w:pStyle w:val="11"/>
              <w:spacing w:beforeAutospacing="0" w:afterAutospacing="0"/>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4F463">
            <w:pPr>
              <w:pStyle w:val="11"/>
              <w:spacing w:beforeAutospacing="0" w:afterAutospacing="0"/>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B823B">
            <w:pPr>
              <w:pStyle w:val="11"/>
              <w:spacing w:beforeAutospacing="0" w:afterAutospacing="0"/>
              <w:jc w:val="center"/>
              <w:rPr>
                <w:color w:val="auto"/>
                <w:highlight w:val="none"/>
              </w:rPr>
            </w:pPr>
            <w:r>
              <w:rPr>
                <w:color w:val="auto"/>
                <w:highlight w:val="none"/>
              </w:rPr>
              <w:t> </w:t>
            </w:r>
          </w:p>
        </w:tc>
      </w:tr>
      <w:tr w14:paraId="720C38E4">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2121DF">
            <w:pPr>
              <w:pStyle w:val="11"/>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D896C">
            <w:pPr>
              <w:pStyle w:val="11"/>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23FDA">
            <w:pPr>
              <w:pStyle w:val="11"/>
              <w:spacing w:beforeAutospacing="0" w:afterAutospacing="0"/>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E4FB8">
            <w:pPr>
              <w:pStyle w:val="11"/>
              <w:spacing w:beforeAutospacing="0" w:afterAutospacing="0"/>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A3D9BC">
            <w:pPr>
              <w:pStyle w:val="11"/>
              <w:spacing w:beforeAutospacing="0" w:afterAutospacing="0"/>
              <w:jc w:val="center"/>
              <w:rPr>
                <w:color w:val="auto"/>
                <w:highlight w:val="none"/>
              </w:rPr>
            </w:pPr>
            <w:r>
              <w:rPr>
                <w:color w:val="auto"/>
                <w:highlight w:val="none"/>
              </w:rPr>
              <w:t> </w:t>
            </w:r>
          </w:p>
        </w:tc>
      </w:tr>
      <w:tr w14:paraId="641E7A75">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0242FF">
            <w:pPr>
              <w:pStyle w:val="11"/>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DF855">
            <w:pPr>
              <w:pStyle w:val="11"/>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77C81">
            <w:pPr>
              <w:pStyle w:val="11"/>
              <w:spacing w:beforeAutospacing="0" w:afterAutospacing="0"/>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8A52CD">
            <w:pPr>
              <w:pStyle w:val="11"/>
              <w:spacing w:beforeAutospacing="0" w:afterAutospacing="0"/>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19238">
            <w:pPr>
              <w:pStyle w:val="11"/>
              <w:spacing w:beforeAutospacing="0" w:afterAutospacing="0"/>
              <w:jc w:val="center"/>
              <w:rPr>
                <w:color w:val="auto"/>
                <w:highlight w:val="none"/>
              </w:rPr>
            </w:pPr>
            <w:r>
              <w:rPr>
                <w:color w:val="auto"/>
                <w:highlight w:val="none"/>
              </w:rPr>
              <w:t> </w:t>
            </w:r>
          </w:p>
        </w:tc>
      </w:tr>
      <w:tr w14:paraId="3769BA49">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29EF63">
            <w:pPr>
              <w:pStyle w:val="11"/>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3B7F3">
            <w:pPr>
              <w:pStyle w:val="11"/>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0CFF8">
            <w:pPr>
              <w:pStyle w:val="11"/>
              <w:spacing w:beforeAutospacing="0" w:afterAutospacing="0"/>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EB24C">
            <w:pPr>
              <w:pStyle w:val="11"/>
              <w:spacing w:beforeAutospacing="0" w:afterAutospacing="0"/>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012CE">
            <w:pPr>
              <w:pStyle w:val="11"/>
              <w:spacing w:beforeAutospacing="0" w:afterAutospacing="0"/>
              <w:jc w:val="center"/>
              <w:rPr>
                <w:color w:val="auto"/>
                <w:highlight w:val="none"/>
              </w:rPr>
            </w:pPr>
            <w:r>
              <w:rPr>
                <w:color w:val="auto"/>
                <w:highlight w:val="none"/>
              </w:rPr>
              <w:t> </w:t>
            </w:r>
          </w:p>
        </w:tc>
      </w:tr>
      <w:tr w14:paraId="042680DB">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8E4C6">
            <w:pPr>
              <w:pStyle w:val="11"/>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BA8C0">
            <w:pPr>
              <w:pStyle w:val="11"/>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95494">
            <w:pPr>
              <w:pStyle w:val="11"/>
              <w:spacing w:beforeAutospacing="0" w:afterAutospacing="0"/>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F95C9B">
            <w:pPr>
              <w:pStyle w:val="11"/>
              <w:spacing w:beforeAutospacing="0" w:afterAutospacing="0"/>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13E87">
            <w:pPr>
              <w:pStyle w:val="11"/>
              <w:spacing w:beforeAutospacing="0" w:afterAutospacing="0"/>
              <w:jc w:val="center"/>
              <w:rPr>
                <w:color w:val="auto"/>
                <w:highlight w:val="none"/>
              </w:rPr>
            </w:pPr>
            <w:r>
              <w:rPr>
                <w:color w:val="auto"/>
                <w:highlight w:val="none"/>
              </w:rPr>
              <w:t> </w:t>
            </w:r>
          </w:p>
        </w:tc>
      </w:tr>
    </w:tbl>
    <w:p w14:paraId="768D0CC2">
      <w:pPr>
        <w:pStyle w:val="11"/>
        <w:spacing w:beforeAutospacing="0" w:afterAutospacing="0"/>
        <w:jc w:val="both"/>
        <w:rPr>
          <w:color w:val="auto"/>
          <w:highlight w:val="none"/>
        </w:rPr>
      </w:pPr>
      <w:r>
        <w:rPr>
          <w:rFonts w:hint="eastAsia" w:ascii="宋体" w:hAnsi="宋体" w:eastAsia="宋体" w:cs="宋体"/>
          <w:color w:val="auto"/>
          <w:highlight w:val="none"/>
        </w:rPr>
        <w:t>注： 行数不够，可自行添加。</w:t>
      </w:r>
    </w:p>
    <w:p w14:paraId="52F75564">
      <w:pPr>
        <w:pStyle w:val="11"/>
        <w:spacing w:beforeAutospacing="0" w:afterAutospacing="0" w:line="480" w:lineRule="auto"/>
        <w:jc w:val="both"/>
        <w:rPr>
          <w:color w:val="auto"/>
          <w:highlight w:val="none"/>
        </w:rPr>
      </w:pPr>
      <w:r>
        <w:rPr>
          <w:color w:val="auto"/>
          <w:highlight w:val="none"/>
        </w:rPr>
        <w:t> </w:t>
      </w:r>
    </w:p>
    <w:p w14:paraId="093E515C">
      <w:pPr>
        <w:pStyle w:val="11"/>
        <w:spacing w:beforeAutospacing="0" w:afterAutospacing="0" w:line="480" w:lineRule="auto"/>
        <w:jc w:val="both"/>
        <w:rPr>
          <w:color w:val="auto"/>
          <w:highlight w:val="none"/>
        </w:rPr>
      </w:pPr>
      <w:r>
        <w:rPr>
          <w:color w:val="auto"/>
          <w:highlight w:val="none"/>
        </w:rPr>
        <w:t> </w:t>
      </w:r>
    </w:p>
    <w:p w14:paraId="70C4747D">
      <w:pPr>
        <w:pStyle w:val="11"/>
        <w:spacing w:beforeAutospacing="0" w:afterAutospacing="0"/>
        <w:jc w:val="center"/>
        <w:rPr>
          <w:color w:val="auto"/>
          <w:highlight w:val="none"/>
        </w:rPr>
      </w:pPr>
      <w:bookmarkStart w:id="222" w:name="_Toc462564146"/>
      <w:bookmarkStart w:id="223" w:name="_格式2__法定代表人授权书"/>
      <w:bookmarkStart w:id="224" w:name="_Hlt26955066"/>
      <w:bookmarkStart w:id="225" w:name="_Hlt26609389"/>
      <w:bookmarkStart w:id="226" w:name="_Hlt26671374"/>
      <w:r>
        <w:rPr>
          <w:color w:val="auto"/>
          <w:highlight w:val="none"/>
        </w:rPr>
        <w:t> </w:t>
      </w:r>
    </w:p>
    <w:p w14:paraId="7E51955A">
      <w:pPr>
        <w:pStyle w:val="11"/>
        <w:spacing w:beforeAutospacing="0" w:afterAutospacing="0"/>
        <w:jc w:val="both"/>
        <w:rPr>
          <w:color w:val="auto"/>
          <w:highlight w:val="none"/>
        </w:rPr>
      </w:pPr>
      <w:r>
        <w:rPr>
          <w:color w:val="auto"/>
          <w:highlight w:val="none"/>
        </w:rPr>
        <w:t> </w:t>
      </w:r>
    </w:p>
    <w:p w14:paraId="39F704E8">
      <w:pPr>
        <w:pStyle w:val="11"/>
        <w:spacing w:beforeAutospacing="0" w:afterAutospacing="0"/>
        <w:jc w:val="both"/>
        <w:rPr>
          <w:color w:val="auto"/>
          <w:highlight w:val="none"/>
        </w:rPr>
      </w:pPr>
      <w:r>
        <w:rPr>
          <w:color w:val="auto"/>
          <w:highlight w:val="none"/>
        </w:rPr>
        <w:t> </w:t>
      </w:r>
    </w:p>
    <w:p w14:paraId="10B81F8A">
      <w:pPr>
        <w:pStyle w:val="11"/>
        <w:spacing w:beforeAutospacing="0" w:afterAutospacing="0"/>
        <w:jc w:val="both"/>
        <w:rPr>
          <w:color w:val="auto"/>
          <w:highlight w:val="none"/>
        </w:rPr>
      </w:pPr>
    </w:p>
    <w:p w14:paraId="331D7E01">
      <w:pPr>
        <w:pStyle w:val="11"/>
        <w:spacing w:beforeAutospacing="0" w:afterAutospacing="0"/>
        <w:jc w:val="both"/>
        <w:rPr>
          <w:color w:val="auto"/>
          <w:highlight w:val="none"/>
        </w:rPr>
      </w:pPr>
    </w:p>
    <w:p w14:paraId="584DCB41">
      <w:pPr>
        <w:pStyle w:val="11"/>
        <w:spacing w:beforeAutospacing="0" w:afterAutospacing="0"/>
        <w:jc w:val="both"/>
        <w:rPr>
          <w:color w:val="auto"/>
          <w:highlight w:val="none"/>
        </w:rPr>
      </w:pPr>
    </w:p>
    <w:p w14:paraId="76FE7A00">
      <w:pPr>
        <w:pStyle w:val="11"/>
        <w:spacing w:beforeAutospacing="0" w:afterAutospacing="0"/>
        <w:jc w:val="both"/>
        <w:rPr>
          <w:color w:val="auto"/>
          <w:highlight w:val="none"/>
        </w:rPr>
      </w:pPr>
    </w:p>
    <w:p w14:paraId="26EB77DF">
      <w:pPr>
        <w:pStyle w:val="11"/>
        <w:spacing w:beforeAutospacing="0" w:afterAutospacing="0"/>
        <w:jc w:val="both"/>
        <w:rPr>
          <w:color w:val="auto"/>
          <w:highlight w:val="none"/>
        </w:rPr>
      </w:pPr>
    </w:p>
    <w:p w14:paraId="2A79E58C">
      <w:pPr>
        <w:pStyle w:val="11"/>
        <w:spacing w:beforeAutospacing="0" w:afterAutospacing="0"/>
        <w:jc w:val="both"/>
        <w:rPr>
          <w:color w:val="auto"/>
          <w:highlight w:val="none"/>
        </w:rPr>
      </w:pPr>
    </w:p>
    <w:p w14:paraId="0D47F49C">
      <w:pPr>
        <w:pStyle w:val="11"/>
        <w:spacing w:beforeAutospacing="0" w:afterAutospacing="0"/>
        <w:jc w:val="both"/>
        <w:rPr>
          <w:color w:val="auto"/>
          <w:highlight w:val="none"/>
        </w:rPr>
      </w:pPr>
    </w:p>
    <w:p w14:paraId="46E36FA9">
      <w:pPr>
        <w:pStyle w:val="11"/>
        <w:spacing w:beforeAutospacing="0" w:afterAutospacing="0"/>
        <w:jc w:val="both"/>
        <w:rPr>
          <w:color w:val="auto"/>
          <w:highlight w:val="none"/>
        </w:rPr>
      </w:pPr>
    </w:p>
    <w:p w14:paraId="79742E97">
      <w:pPr>
        <w:pStyle w:val="11"/>
        <w:spacing w:beforeAutospacing="0" w:afterAutospacing="0"/>
        <w:jc w:val="both"/>
        <w:rPr>
          <w:color w:val="auto"/>
          <w:highlight w:val="none"/>
        </w:rPr>
      </w:pPr>
    </w:p>
    <w:p w14:paraId="10C93384">
      <w:pPr>
        <w:pStyle w:val="11"/>
        <w:spacing w:beforeAutospacing="0" w:afterAutospacing="0"/>
        <w:jc w:val="both"/>
        <w:rPr>
          <w:color w:val="auto"/>
          <w:highlight w:val="none"/>
        </w:rPr>
      </w:pPr>
    </w:p>
    <w:p w14:paraId="2264292F">
      <w:pPr>
        <w:pStyle w:val="11"/>
        <w:spacing w:beforeAutospacing="0" w:afterAutospacing="0"/>
        <w:jc w:val="both"/>
        <w:rPr>
          <w:color w:val="auto"/>
          <w:highlight w:val="none"/>
        </w:rPr>
      </w:pPr>
    </w:p>
    <w:p w14:paraId="696B923D">
      <w:pPr>
        <w:pStyle w:val="11"/>
        <w:spacing w:beforeAutospacing="0" w:afterAutospacing="0"/>
        <w:jc w:val="both"/>
        <w:rPr>
          <w:color w:val="auto"/>
          <w:highlight w:val="none"/>
        </w:rPr>
      </w:pPr>
    </w:p>
    <w:p w14:paraId="01602C82">
      <w:pPr>
        <w:pStyle w:val="11"/>
        <w:spacing w:beforeAutospacing="0" w:afterAutospacing="0"/>
        <w:jc w:val="both"/>
        <w:rPr>
          <w:color w:val="auto"/>
          <w:highlight w:val="none"/>
        </w:rPr>
      </w:pPr>
    </w:p>
    <w:p w14:paraId="414DE58E">
      <w:pPr>
        <w:pStyle w:val="11"/>
        <w:spacing w:beforeAutospacing="0" w:afterAutospacing="0"/>
        <w:jc w:val="both"/>
        <w:rPr>
          <w:color w:val="auto"/>
          <w:highlight w:val="none"/>
        </w:rPr>
      </w:pPr>
    </w:p>
    <w:p w14:paraId="2883EF12">
      <w:pPr>
        <w:pStyle w:val="11"/>
        <w:spacing w:beforeAutospacing="0" w:afterAutospacing="0"/>
        <w:jc w:val="both"/>
        <w:rPr>
          <w:color w:val="auto"/>
          <w:highlight w:val="none"/>
        </w:rPr>
      </w:pPr>
    </w:p>
    <w:p w14:paraId="1C1F1283">
      <w:pPr>
        <w:pStyle w:val="11"/>
        <w:spacing w:beforeAutospacing="0" w:afterAutospacing="0"/>
        <w:ind w:firstLine="643"/>
        <w:jc w:val="both"/>
        <w:rPr>
          <w:color w:val="auto"/>
          <w:highlight w:val="none"/>
        </w:rPr>
      </w:pPr>
      <w:r>
        <w:rPr>
          <w:rFonts w:hint="eastAsia" w:ascii="黑体" w:hAnsi="宋体" w:eastAsia="黑体" w:cs="黑体"/>
          <w:b/>
          <w:i/>
          <w:color w:val="auto"/>
          <w:sz w:val="32"/>
          <w:szCs w:val="32"/>
          <w:highlight w:val="none"/>
          <w:u w:val="single"/>
        </w:rPr>
        <w:t>十六、开标一览表</w:t>
      </w:r>
    </w:p>
    <w:p w14:paraId="76816297">
      <w:pPr>
        <w:pStyle w:val="11"/>
        <w:widowControl/>
        <w:rPr>
          <w:color w:val="auto"/>
          <w:highlight w:val="none"/>
        </w:rPr>
      </w:pPr>
      <w:r>
        <w:rPr>
          <w:color w:val="auto"/>
          <w:highlight w:val="none"/>
        </w:rPr>
        <w:t>项目编号：项目编号 </w:t>
      </w:r>
    </w:p>
    <w:p w14:paraId="177E7696">
      <w:pPr>
        <w:pStyle w:val="11"/>
        <w:widowControl/>
        <w:rPr>
          <w:color w:val="auto"/>
          <w:highlight w:val="none"/>
        </w:rPr>
      </w:pPr>
      <w:r>
        <w:rPr>
          <w:color w:val="auto"/>
          <w:highlight w:val="none"/>
        </w:rPr>
        <w:t>货币单位：人民币元</w:t>
      </w:r>
    </w:p>
    <w:tbl>
      <w:tblPr>
        <w:tblStyle w:val="14"/>
        <w:tblW w:w="96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25"/>
        <w:gridCol w:w="3227"/>
        <w:gridCol w:w="3227"/>
      </w:tblGrid>
      <w:tr w14:paraId="46D1F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12" w:hRule="atLeast"/>
        </w:trPr>
        <w:tc>
          <w:tcPr>
            <w:tcW w:w="3225" w:type="dxa"/>
          </w:tcPr>
          <w:p w14:paraId="32B3A8B2">
            <w:pPr>
              <w:pStyle w:val="11"/>
              <w:widowControl/>
              <w:spacing w:beforeAutospacing="0" w:afterAutospacing="0"/>
              <w:jc w:val="both"/>
              <w:rPr>
                <w:color w:val="auto"/>
                <w:highlight w:val="none"/>
              </w:rPr>
            </w:pPr>
            <w:r>
              <w:rPr>
                <w:color w:val="auto"/>
                <w:highlight w:val="none"/>
              </w:rPr>
              <w:t>项目名称</w:t>
            </w:r>
          </w:p>
        </w:tc>
        <w:tc>
          <w:tcPr>
            <w:tcW w:w="3227" w:type="dxa"/>
          </w:tcPr>
          <w:p w14:paraId="70D45582">
            <w:pPr>
              <w:pStyle w:val="11"/>
              <w:widowControl/>
              <w:spacing w:beforeAutospacing="0" w:afterAutospacing="0"/>
              <w:jc w:val="both"/>
              <w:rPr>
                <w:color w:val="auto"/>
                <w:highlight w:val="none"/>
              </w:rPr>
            </w:pPr>
            <w:r>
              <w:rPr>
                <w:rFonts w:ascii="宋体" w:hAnsi="宋体" w:eastAsia="宋体" w:cs="宋体"/>
                <w:color w:val="auto"/>
                <w:highlight w:val="none"/>
              </w:rPr>
              <w:t>项目内容</w:t>
            </w:r>
          </w:p>
        </w:tc>
        <w:tc>
          <w:tcPr>
            <w:tcW w:w="3227" w:type="dxa"/>
          </w:tcPr>
          <w:p w14:paraId="4F0B2B4B">
            <w:pPr>
              <w:pStyle w:val="11"/>
              <w:widowControl/>
              <w:spacing w:beforeAutospacing="0" w:afterAutospacing="0"/>
              <w:jc w:val="both"/>
              <w:rPr>
                <w:color w:val="auto"/>
                <w:highlight w:val="none"/>
              </w:rPr>
            </w:pPr>
            <w:r>
              <w:rPr>
                <w:rFonts w:ascii="宋体" w:hAnsi="宋体" w:eastAsia="宋体" w:cs="宋体"/>
                <w:color w:val="auto"/>
                <w:highlight w:val="none"/>
              </w:rPr>
              <w:t>总价（小写）</w:t>
            </w:r>
          </w:p>
        </w:tc>
      </w:tr>
      <w:tr w14:paraId="62B51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8" w:hRule="atLeast"/>
        </w:trPr>
        <w:tc>
          <w:tcPr>
            <w:tcW w:w="3225" w:type="dxa"/>
          </w:tcPr>
          <w:p w14:paraId="19775757">
            <w:pPr>
              <w:widowControl/>
              <w:jc w:val="left"/>
              <w:rPr>
                <w:color w:val="auto"/>
                <w:highlight w:val="none"/>
              </w:rPr>
            </w:pPr>
            <w:r>
              <w:rPr>
                <w:rFonts w:ascii="宋体" w:hAnsi="宋体" w:eastAsia="宋体" w:cs="宋体"/>
                <w:color w:val="auto"/>
                <w:kern w:val="0"/>
                <w:sz w:val="24"/>
                <w:highlight w:val="none"/>
                <w:lang w:bidi="ar"/>
              </w:rPr>
              <w:t xml:space="preserve">项目名称  </w:t>
            </w:r>
          </w:p>
        </w:tc>
        <w:tc>
          <w:tcPr>
            <w:tcW w:w="3227" w:type="dxa"/>
          </w:tcPr>
          <w:p w14:paraId="0004E76D">
            <w:pPr>
              <w:widowControl/>
              <w:jc w:val="left"/>
              <w:rPr>
                <w:color w:val="auto"/>
                <w:highlight w:val="none"/>
              </w:rPr>
            </w:pPr>
            <w:r>
              <w:rPr>
                <w:rFonts w:ascii="宋体" w:hAnsi="宋体" w:eastAsia="宋体" w:cs="宋体"/>
                <w:color w:val="auto"/>
                <w:sz w:val="24"/>
                <w:highlight w:val="none"/>
              </w:rPr>
              <w:t>详见投标文件</w:t>
            </w:r>
          </w:p>
        </w:tc>
        <w:tc>
          <w:tcPr>
            <w:tcW w:w="3227" w:type="dxa"/>
            <w:vAlign w:val="center"/>
          </w:tcPr>
          <w:p w14:paraId="2C6F3BDD">
            <w:pPr>
              <w:widowControl/>
              <w:ind w:firstLine="720" w:firstLineChars="300"/>
              <w:jc w:val="center"/>
              <w:rPr>
                <w:rFonts w:ascii="宋体" w:hAnsi="宋体" w:eastAsia="宋体" w:cs="宋体"/>
                <w:color w:val="auto"/>
                <w:kern w:val="0"/>
                <w:sz w:val="24"/>
                <w:highlight w:val="none"/>
                <w:lang w:bidi="ar"/>
              </w:rPr>
            </w:pP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65"/>
            </w:tblGrid>
            <w:tr w14:paraId="0F61A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765" w:type="dxa"/>
                  <w:vAlign w:val="center"/>
                </w:tcPr>
                <w:p w14:paraId="00F77FD6">
                  <w:pPr>
                    <w:widowControl/>
                    <w:jc w:val="center"/>
                    <w:rPr>
                      <w:rFonts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 xml:space="preserve"> </w:t>
                  </w:r>
                  <w:r>
                    <w:rPr>
                      <w:rFonts w:ascii="宋体" w:hAnsi="宋体" w:eastAsia="宋体" w:cs="宋体"/>
                      <w:color w:val="auto"/>
                      <w:kern w:val="0"/>
                      <w:sz w:val="24"/>
                      <w:highlight w:val="none"/>
                      <w:lang w:bidi="ar"/>
                    </w:rPr>
                    <w:t xml:space="preserve">    </w:t>
                  </w:r>
                </w:p>
              </w:tc>
            </w:tr>
          </w:tbl>
          <w:p w14:paraId="7A7E427E">
            <w:pPr>
              <w:widowControl/>
              <w:rPr>
                <w:color w:val="auto"/>
                <w:highlight w:val="none"/>
              </w:rPr>
            </w:pPr>
            <w:r>
              <w:rPr>
                <w:rFonts w:hint="eastAsia" w:ascii="宋体" w:hAnsi="宋体" w:eastAsia="宋体" w:cs="宋体"/>
                <w:color w:val="auto"/>
                <w:kern w:val="0"/>
                <w:sz w:val="24"/>
                <w:highlight w:val="none"/>
                <w:lang w:bidi="ar"/>
              </w:rPr>
              <w:t>元</w:t>
            </w:r>
          </w:p>
        </w:tc>
      </w:tr>
      <w:tr w14:paraId="3FBAE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3225" w:type="dxa"/>
          </w:tcPr>
          <w:p w14:paraId="1537F99E">
            <w:pPr>
              <w:pStyle w:val="11"/>
              <w:spacing w:beforeAutospacing="0" w:afterAutospacing="0"/>
              <w:jc w:val="both"/>
              <w:rPr>
                <w:color w:val="auto"/>
                <w:highlight w:val="none"/>
              </w:rPr>
            </w:pPr>
            <w:r>
              <w:rPr>
                <w:rFonts w:ascii="宋体" w:hAnsi="宋体" w:eastAsia="宋体" w:cs="宋体"/>
                <w:color w:val="auto"/>
                <w:highlight w:val="none"/>
              </w:rPr>
              <w:t>总价（大写）：</w:t>
            </w:r>
          </w:p>
        </w:tc>
        <w:tc>
          <w:tcPr>
            <w:tcW w:w="6454" w:type="dxa"/>
            <w:gridSpan w:val="2"/>
          </w:tcPr>
          <w:p w14:paraId="09B7F052">
            <w:pPr>
              <w:pStyle w:val="11"/>
              <w:spacing w:beforeAutospacing="0" w:afterAutospacing="0"/>
              <w:jc w:val="both"/>
              <w:rPr>
                <w:color w:val="auto"/>
                <w:highlight w:val="none"/>
              </w:rPr>
            </w:pPr>
            <w:r>
              <w:rPr>
                <w:rFonts w:ascii="宋体" w:hAnsi="宋体" w:eastAsia="宋体" w:cs="宋体"/>
                <w:color w:val="auto"/>
                <w:highlight w:val="none"/>
              </w:rPr>
              <w:t>金额大写 </w:t>
            </w:r>
          </w:p>
        </w:tc>
      </w:tr>
    </w:tbl>
    <w:p w14:paraId="0515AA81">
      <w:pPr>
        <w:pStyle w:val="11"/>
        <w:spacing w:beforeAutospacing="0" w:afterAutospacing="0"/>
        <w:jc w:val="both"/>
        <w:rPr>
          <w:color w:val="auto"/>
          <w:highlight w:val="none"/>
        </w:rPr>
      </w:pPr>
      <w:r>
        <w:rPr>
          <w:color w:val="auto"/>
          <w:highlight w:val="none"/>
        </w:rPr>
        <w:t> </w:t>
      </w:r>
    </w:p>
    <w:p w14:paraId="125B16CD">
      <w:pPr>
        <w:pStyle w:val="11"/>
        <w:spacing w:beforeAutospacing="0" w:afterAutospacing="0"/>
        <w:rPr>
          <w:color w:val="auto"/>
          <w:highlight w:val="none"/>
        </w:rPr>
      </w:pPr>
    </w:p>
    <w:p w14:paraId="7B729205">
      <w:pPr>
        <w:pStyle w:val="11"/>
        <w:spacing w:beforeAutospacing="0" w:afterAutospacing="0"/>
        <w:rPr>
          <w:color w:val="auto"/>
          <w:highlight w:val="none"/>
        </w:rPr>
      </w:pPr>
    </w:p>
    <w:p w14:paraId="5C17921F">
      <w:pPr>
        <w:pStyle w:val="11"/>
        <w:spacing w:beforeAutospacing="0" w:afterAutospacing="0"/>
        <w:rPr>
          <w:color w:val="auto"/>
          <w:highlight w:val="none"/>
        </w:rPr>
      </w:pPr>
      <w:r>
        <w:rPr>
          <w:color w:val="auto"/>
          <w:highlight w:val="none"/>
        </w:rPr>
        <w:t>投标人公章： （电子签章）</w:t>
      </w:r>
      <w:r>
        <w:rPr>
          <w:rFonts w:hint="eastAsia"/>
          <w:color w:val="auto"/>
          <w:highlight w:val="none"/>
        </w:rPr>
        <w:t> </w:t>
      </w:r>
    </w:p>
    <w:p w14:paraId="3F8283AC">
      <w:pPr>
        <w:pStyle w:val="11"/>
        <w:spacing w:beforeAutospacing="0" w:afterAutospacing="0"/>
        <w:rPr>
          <w:rFonts w:ascii="宋体" w:hAnsi="宋体" w:eastAsia="宋体" w:cs="宋体"/>
          <w:color w:val="auto"/>
          <w:highlight w:val="none"/>
        </w:rPr>
      </w:pPr>
    </w:p>
    <w:p w14:paraId="6D60F2BE">
      <w:pPr>
        <w:pStyle w:val="11"/>
        <w:spacing w:beforeAutospacing="0" w:afterAutospacing="0"/>
        <w:rPr>
          <w:rFonts w:ascii="宋体" w:hAnsi="宋体" w:eastAsia="宋体" w:cs="宋体"/>
          <w:color w:val="auto"/>
          <w:highlight w:val="none"/>
        </w:rPr>
      </w:pPr>
    </w:p>
    <w:p w14:paraId="3C5058CB">
      <w:pPr>
        <w:pStyle w:val="11"/>
        <w:spacing w:beforeAutospacing="0" w:afterAutospacing="0"/>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604991CA">
      <w:pPr>
        <w:pStyle w:val="11"/>
        <w:spacing w:beforeAutospacing="0" w:afterAutospacing="0"/>
        <w:ind w:firstLine="480"/>
        <w:jc w:val="both"/>
        <w:rPr>
          <w:rFonts w:ascii="宋体" w:hAnsi="宋体" w:eastAsia="宋体" w:cs="宋体"/>
          <w:color w:val="auto"/>
          <w:highlight w:val="none"/>
        </w:rPr>
      </w:pPr>
    </w:p>
    <w:p w14:paraId="05CC84FE">
      <w:pPr>
        <w:pStyle w:val="11"/>
        <w:spacing w:beforeAutospacing="0" w:afterAutospacing="0"/>
        <w:ind w:firstLine="480"/>
        <w:jc w:val="both"/>
        <w:rPr>
          <w:color w:val="auto"/>
          <w:highlight w:val="none"/>
        </w:rPr>
      </w:pPr>
      <w:r>
        <w:rPr>
          <w:color w:val="auto"/>
          <w:highlight w:val="none"/>
        </w:rPr>
        <w:t> </w:t>
      </w:r>
    </w:p>
    <w:p w14:paraId="12353638">
      <w:pPr>
        <w:pStyle w:val="11"/>
        <w:spacing w:beforeAutospacing="0" w:afterAutospacing="0" w:line="0" w:lineRule="atLeast"/>
        <w:ind w:firstLine="480"/>
        <w:jc w:val="both"/>
        <w:rPr>
          <w:rFonts w:ascii="宋体" w:hAnsi="宋体" w:eastAsia="宋体" w:cs="宋体"/>
          <w:color w:val="auto"/>
          <w:highlight w:val="none"/>
        </w:rPr>
      </w:pPr>
    </w:p>
    <w:p w14:paraId="0F3EDD09">
      <w:pPr>
        <w:widowControl/>
        <w:spacing w:before="50" w:after="50"/>
        <w:jc w:val="center"/>
        <w:rPr>
          <w:color w:val="auto"/>
          <w:highlight w:val="none"/>
        </w:rPr>
      </w:pPr>
      <w:r>
        <w:rPr>
          <w:color w:val="auto"/>
          <w:highlight w:val="none"/>
        </w:rPr>
        <w:tab/>
      </w:r>
    </w:p>
    <w:p w14:paraId="599DA776">
      <w:pPr>
        <w:widowControl/>
        <w:spacing w:before="50" w:after="50"/>
        <w:jc w:val="center"/>
        <w:rPr>
          <w:color w:val="auto"/>
          <w:highlight w:val="none"/>
        </w:rPr>
      </w:pPr>
    </w:p>
    <w:p w14:paraId="7E23E805">
      <w:pPr>
        <w:widowControl/>
        <w:spacing w:before="50" w:after="50"/>
        <w:jc w:val="center"/>
        <w:rPr>
          <w:color w:val="auto"/>
          <w:highlight w:val="none"/>
        </w:rPr>
      </w:pPr>
    </w:p>
    <w:p w14:paraId="25F98A9F">
      <w:pPr>
        <w:widowControl/>
        <w:spacing w:before="50" w:after="50"/>
        <w:jc w:val="center"/>
        <w:rPr>
          <w:color w:val="auto"/>
          <w:highlight w:val="none"/>
        </w:rPr>
      </w:pPr>
    </w:p>
    <w:p w14:paraId="5022B130">
      <w:pPr>
        <w:pStyle w:val="18"/>
        <w:rPr>
          <w:color w:val="auto"/>
          <w:highlight w:val="none"/>
        </w:rPr>
      </w:pPr>
    </w:p>
    <w:p w14:paraId="46275B82">
      <w:pPr>
        <w:pStyle w:val="18"/>
        <w:rPr>
          <w:color w:val="auto"/>
          <w:highlight w:val="none"/>
        </w:rPr>
      </w:pPr>
    </w:p>
    <w:p w14:paraId="74EFAD83">
      <w:pPr>
        <w:pStyle w:val="18"/>
        <w:rPr>
          <w:color w:val="auto"/>
          <w:highlight w:val="none"/>
        </w:rPr>
      </w:pPr>
    </w:p>
    <w:p w14:paraId="7978AAA5">
      <w:pPr>
        <w:widowControl/>
        <w:spacing w:before="50" w:after="50"/>
        <w:jc w:val="center"/>
        <w:rPr>
          <w:color w:val="auto"/>
          <w:highlight w:val="none"/>
        </w:rPr>
      </w:pPr>
    </w:p>
    <w:p w14:paraId="1287D011">
      <w:pPr>
        <w:widowControl/>
        <w:spacing w:before="50" w:after="50"/>
        <w:jc w:val="center"/>
        <w:rPr>
          <w:color w:val="auto"/>
          <w:highlight w:val="none"/>
        </w:rPr>
      </w:pPr>
    </w:p>
    <w:p w14:paraId="143A224B">
      <w:pPr>
        <w:widowControl/>
        <w:spacing w:before="50" w:after="50"/>
        <w:jc w:val="center"/>
        <w:rPr>
          <w:color w:val="auto"/>
          <w:highlight w:val="none"/>
        </w:rPr>
      </w:pPr>
    </w:p>
    <w:p w14:paraId="26707874">
      <w:pPr>
        <w:widowControl/>
        <w:jc w:val="left"/>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br w:type="page"/>
      </w:r>
    </w:p>
    <w:p w14:paraId="6C81166A">
      <w:pPr>
        <w:widowControl/>
        <w:spacing w:before="50" w:after="50"/>
        <w:ind w:firstLine="643"/>
        <w:jc w:val="center"/>
        <w:rPr>
          <w:rFonts w:ascii="宋体" w:hAnsi="宋体" w:eastAsia="宋体" w:cs="宋体"/>
          <w:b/>
          <w:bCs/>
          <w:color w:val="auto"/>
          <w:sz w:val="24"/>
          <w:highlight w:val="none"/>
        </w:rPr>
      </w:pPr>
      <w:r>
        <w:rPr>
          <w:rFonts w:hint="eastAsia" w:ascii="宋体" w:hAnsi="宋体" w:eastAsia="宋体" w:cs="宋体"/>
          <w:b/>
          <w:bCs/>
          <w:color w:val="auto"/>
          <w:sz w:val="32"/>
          <w:szCs w:val="32"/>
          <w:highlight w:val="none"/>
        </w:rPr>
        <w:t>十七、技术方案、服务承诺、培训承诺等</w:t>
      </w:r>
    </w:p>
    <w:p w14:paraId="5B058B5F">
      <w:pPr>
        <w:pStyle w:val="11"/>
        <w:tabs>
          <w:tab w:val="left" w:pos="2160"/>
        </w:tabs>
        <w:spacing w:beforeAutospacing="0" w:afterAutospacing="0"/>
        <w:jc w:val="both"/>
        <w:rPr>
          <w:color w:val="auto"/>
          <w:highlight w:val="none"/>
        </w:rPr>
      </w:pPr>
    </w:p>
    <w:p w14:paraId="31E3145C">
      <w:pPr>
        <w:widowControl/>
        <w:spacing w:line="499" w:lineRule="atLeast"/>
        <w:ind w:firstLine="643"/>
        <w:rPr>
          <w:rFonts w:ascii="宋体" w:hAnsi="宋体" w:eastAsia="宋体" w:cs="宋体"/>
          <w:b/>
          <w:bCs/>
          <w:color w:val="auto"/>
          <w:sz w:val="24"/>
          <w:highlight w:val="none"/>
        </w:rPr>
      </w:pPr>
      <w:r>
        <w:rPr>
          <w:rFonts w:hint="eastAsia" w:ascii="宋体" w:hAnsi="宋体" w:eastAsia="宋体" w:cs="宋体"/>
          <w:b/>
          <w:bCs/>
          <w:color w:val="auto"/>
          <w:sz w:val="32"/>
          <w:szCs w:val="32"/>
          <w:highlight w:val="none"/>
        </w:rPr>
        <w:t>十八、盐城市政府采购事前信用承诺书</w:t>
      </w:r>
    </w:p>
    <w:p w14:paraId="590DAC3D">
      <w:pPr>
        <w:widowControl/>
        <w:spacing w:line="499" w:lineRule="atLeast"/>
        <w:ind w:firstLine="640"/>
        <w:jc w:val="left"/>
        <w:rPr>
          <w:rFonts w:ascii="宋体" w:hAnsi="宋体" w:eastAsia="宋体" w:cs="宋体"/>
          <w:color w:val="auto"/>
          <w:sz w:val="24"/>
          <w:highlight w:val="none"/>
        </w:rPr>
      </w:pPr>
      <w:r>
        <w:rPr>
          <w:rFonts w:hint="eastAsia" w:ascii="宋体" w:hAnsi="宋体" w:eastAsia="宋体" w:cs="宋体"/>
          <w:color w:val="auto"/>
          <w:sz w:val="32"/>
          <w:szCs w:val="32"/>
          <w:highlight w:val="none"/>
        </w:rPr>
        <w:t> </w:t>
      </w:r>
    </w:p>
    <w:p w14:paraId="5435F9E9">
      <w:pPr>
        <w:widowControl/>
        <w:spacing w:line="499" w:lineRule="atLeast"/>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为营造我市公开、公平、公正、诚实守信的政府采购交易环境，树立诚信守法的投标人形象，本人代表本单位作出以下承诺：</w:t>
      </w:r>
    </w:p>
    <w:p w14:paraId="35C19145">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一）本单位对所提交的企（事）业单位基本信息、企（事）业负责人、项目负责人、技术负责人、从业资质和资格、业绩、财务状况、信誉等所有资料，均合法、真实、准确、有效，无任何伪造、修改、虚假成分，并对所提供资料的真实性负责；</w:t>
      </w:r>
    </w:p>
    <w:p w14:paraId="5108BBB0">
      <w:pPr>
        <w:widowControl/>
        <w:spacing w:line="499" w:lineRule="atLeast"/>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43C6EEC3">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p>
    <w:p w14:paraId="7CB071CD">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（四）严格遵守即时信息公示规定，及时维护和更新盐城市政府采购网中与本单位相关的信息；</w:t>
      </w:r>
    </w:p>
    <w:p w14:paraId="553A728C">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37B3D7E6">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（六）自觉接受政府、行业组织、社会公众、新闻舆论的监督；</w:t>
      </w:r>
    </w:p>
    <w:p w14:paraId="166E1B98">
      <w:pPr>
        <w:widowControl/>
        <w:spacing w:line="499" w:lineRule="atLeast"/>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392B800D">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（八）本人已认真阅读了上述承诺，并向本单位员工做了宣传教育。</w:t>
      </w:r>
    </w:p>
    <w:p w14:paraId="4092FE56">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法定代表人签名：</w:t>
      </w:r>
    </w:p>
    <w:p w14:paraId="641E38F4">
      <w:pPr>
        <w:widowControl/>
        <w:spacing w:line="499" w:lineRule="atLeast"/>
        <w:jc w:val="center"/>
        <w:rPr>
          <w:rFonts w:ascii="宋体" w:hAnsi="宋体" w:eastAsia="宋体" w:cs="宋体"/>
          <w:color w:val="auto"/>
          <w:sz w:val="24"/>
          <w:highlight w:val="none"/>
        </w:rPr>
      </w:pPr>
      <w:r>
        <w:rPr>
          <w:rFonts w:hint="eastAsia" w:ascii="宋体" w:hAnsi="宋体" w:eastAsia="宋体" w:cs="宋体"/>
          <w:color w:val="auto"/>
          <w:sz w:val="24"/>
          <w:highlight w:val="none"/>
        </w:rPr>
        <w:t>                   单位名称（盖章）：</w:t>
      </w:r>
    </w:p>
    <w:p w14:paraId="36A827A1">
      <w:pPr>
        <w:widowControl/>
        <w:spacing w:line="499" w:lineRule="atLeast"/>
        <w:jc w:val="center"/>
        <w:rPr>
          <w:rFonts w:ascii="宋体" w:hAnsi="宋体" w:eastAsia="宋体" w:cs="宋体"/>
          <w:color w:val="auto"/>
          <w:sz w:val="24"/>
          <w:highlight w:val="none"/>
        </w:rPr>
      </w:pPr>
      <w:r>
        <w:rPr>
          <w:rFonts w:hint="eastAsia" w:ascii="宋体" w:hAnsi="宋体" w:eastAsia="宋体" w:cs="宋体"/>
          <w:color w:val="auto"/>
          <w:sz w:val="24"/>
          <w:highlight w:val="none"/>
        </w:rPr>
        <w:t>                      年月日</w:t>
      </w:r>
    </w:p>
    <w:bookmarkEnd w:id="34"/>
    <w:bookmarkEnd w:id="51"/>
    <w:bookmarkEnd w:id="96"/>
    <w:bookmarkEnd w:id="97"/>
    <w:bookmarkEnd w:id="98"/>
    <w:bookmarkEnd w:id="101"/>
    <w:bookmarkEnd w:id="102"/>
    <w:bookmarkEnd w:id="103"/>
    <w:bookmarkEnd w:id="104"/>
    <w:bookmarkEnd w:id="105"/>
    <w:bookmarkEnd w:id="106"/>
    <w:bookmarkEnd w:id="107"/>
    <w:bookmarkEnd w:id="108"/>
    <w:bookmarkEnd w:id="109"/>
    <w:bookmarkEnd w:id="110"/>
    <w:bookmarkEnd w:id="111"/>
    <w:bookmarkEnd w:id="112"/>
    <w:bookmarkEnd w:id="113"/>
    <w:bookmarkEnd w:id="118"/>
    <w:bookmarkEnd w:id="119"/>
    <w:bookmarkEnd w:id="120"/>
    <w:bookmarkEnd w:id="125"/>
    <w:bookmarkEnd w:id="126"/>
    <w:bookmarkEnd w:id="133"/>
    <w:bookmarkEnd w:id="183"/>
    <w:bookmarkEnd w:id="193"/>
    <w:bookmarkEnd w:id="207"/>
    <w:bookmarkEnd w:id="208"/>
    <w:bookmarkEnd w:id="210"/>
    <w:bookmarkEnd w:id="211"/>
    <w:bookmarkEnd w:id="212"/>
    <w:bookmarkEnd w:id="213"/>
    <w:bookmarkEnd w:id="222"/>
    <w:bookmarkEnd w:id="223"/>
    <w:bookmarkEnd w:id="224"/>
    <w:bookmarkEnd w:id="225"/>
    <w:bookmarkEnd w:id="226"/>
    <w:p w14:paraId="6E4F2308">
      <w:pPr>
        <w:pStyle w:val="11"/>
        <w:spacing w:beforeAutospacing="0" w:afterAutospacing="0"/>
        <w:ind w:firstLine="643"/>
        <w:jc w:val="center"/>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质疑函范本</w:t>
      </w:r>
    </w:p>
    <w:p w14:paraId="2430CBF7">
      <w:pPr>
        <w:pStyle w:val="11"/>
        <w:spacing w:before="290"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一、质疑供应商基本信息</w:t>
      </w:r>
    </w:p>
    <w:p w14:paraId="5B823537">
      <w:pPr>
        <w:pStyle w:val="11"/>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质疑供应商：</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3662A330">
      <w:pPr>
        <w:pStyle w:val="11"/>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w:t>
      </w:r>
    </w:p>
    <w:p w14:paraId="53BD9A3A">
      <w:pPr>
        <w:pStyle w:val="11"/>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邮编：</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299E9E9F">
      <w:pPr>
        <w:pStyle w:val="11"/>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联系人：</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36F72CA3">
      <w:pPr>
        <w:pStyle w:val="11"/>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xml:space="preserve">                                           </w:t>
      </w:r>
    </w:p>
    <w:p w14:paraId="4A9723D7">
      <w:pPr>
        <w:pStyle w:val="11"/>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授权代表：</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2BCE91D9">
      <w:pPr>
        <w:pStyle w:val="11"/>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705250CF">
      <w:pPr>
        <w:pStyle w:val="11"/>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地址： </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2CD18CD3">
      <w:pPr>
        <w:pStyle w:val="11"/>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邮编：</w:t>
      </w:r>
      <w:r>
        <w:rPr>
          <w:rFonts w:hint="eastAsia" w:ascii="宋体" w:hAnsi="宋体" w:eastAsia="宋体" w:cs="宋体"/>
          <w:color w:val="auto"/>
          <w:highlight w:val="none"/>
          <w:u w:val="single"/>
        </w:rPr>
        <w:t xml:space="preserve">                                </w:t>
      </w:r>
    </w:p>
    <w:p w14:paraId="26472623">
      <w:pPr>
        <w:pStyle w:val="11"/>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二、质疑项目基本情况</w:t>
      </w:r>
    </w:p>
    <w:p w14:paraId="304FBA36">
      <w:pPr>
        <w:pStyle w:val="11"/>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质疑项目的名称：</w:t>
      </w:r>
      <w:r>
        <w:rPr>
          <w:rFonts w:hint="eastAsia" w:ascii="宋体" w:hAnsi="宋体" w:eastAsia="宋体" w:cs="宋体"/>
          <w:color w:val="auto"/>
          <w:highlight w:val="none"/>
          <w:u w:val="single"/>
        </w:rPr>
        <w:t xml:space="preserve">                            </w:t>
      </w:r>
    </w:p>
    <w:p w14:paraId="472CAF62">
      <w:pPr>
        <w:pStyle w:val="11"/>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质疑项目的编号：</w:t>
      </w:r>
      <w:r>
        <w:rPr>
          <w:rFonts w:hint="eastAsia" w:ascii="宋体" w:hAnsi="宋体" w:eastAsia="宋体" w:cs="宋体"/>
          <w:color w:val="auto"/>
          <w:highlight w:val="none"/>
          <w:u w:val="single"/>
        </w:rPr>
        <w:t xml:space="preserve">                          </w:t>
      </w:r>
    </w:p>
    <w:p w14:paraId="71C25F19">
      <w:pPr>
        <w:pStyle w:val="11"/>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02117A3D">
      <w:pPr>
        <w:pStyle w:val="11"/>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采购人名称：</w:t>
      </w:r>
      <w:r>
        <w:rPr>
          <w:rFonts w:hint="eastAsia" w:ascii="宋体" w:hAnsi="宋体" w:eastAsia="宋体" w:cs="宋体"/>
          <w:color w:val="auto"/>
          <w:highlight w:val="none"/>
          <w:u w:val="single"/>
        </w:rPr>
        <w:t xml:space="preserve">                            </w:t>
      </w:r>
    </w:p>
    <w:p w14:paraId="54DB2313">
      <w:pPr>
        <w:pStyle w:val="11"/>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采购文件获取日期：</w:t>
      </w:r>
      <w:r>
        <w:rPr>
          <w:rFonts w:hint="eastAsia" w:ascii="宋体" w:hAnsi="宋体" w:eastAsia="宋体" w:cs="宋体"/>
          <w:color w:val="auto"/>
          <w:highlight w:val="none"/>
          <w:u w:val="single"/>
        </w:rPr>
        <w:t xml:space="preserve">                             </w:t>
      </w:r>
    </w:p>
    <w:p w14:paraId="41757935">
      <w:pPr>
        <w:pStyle w:val="11"/>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三、质疑事项具体内容</w:t>
      </w:r>
    </w:p>
    <w:p w14:paraId="55EEFB6D">
      <w:pPr>
        <w:pStyle w:val="11"/>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质疑事项1：</w:t>
      </w:r>
      <w:r>
        <w:rPr>
          <w:rFonts w:hint="eastAsia" w:ascii="宋体" w:hAnsi="宋体" w:eastAsia="宋体" w:cs="宋体"/>
          <w:color w:val="auto"/>
          <w:highlight w:val="none"/>
          <w:u w:val="single"/>
        </w:rPr>
        <w:t xml:space="preserve">                             </w:t>
      </w:r>
    </w:p>
    <w:p w14:paraId="30236841">
      <w:pPr>
        <w:pStyle w:val="11"/>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事实依据：</w:t>
      </w:r>
      <w:r>
        <w:rPr>
          <w:rFonts w:hint="eastAsia" w:ascii="宋体" w:hAnsi="宋体" w:eastAsia="宋体" w:cs="宋体"/>
          <w:color w:val="auto"/>
          <w:highlight w:val="none"/>
          <w:u w:val="single"/>
        </w:rPr>
        <w:t xml:space="preserve">                                                   </w:t>
      </w:r>
    </w:p>
    <w:p w14:paraId="25741007">
      <w:pPr>
        <w:pStyle w:val="11"/>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法律依据：</w:t>
      </w:r>
      <w:r>
        <w:rPr>
          <w:rFonts w:hint="eastAsia" w:ascii="宋体" w:hAnsi="宋体" w:eastAsia="宋体" w:cs="宋体"/>
          <w:color w:val="auto"/>
          <w:highlight w:val="none"/>
          <w:u w:val="single"/>
        </w:rPr>
        <w:t xml:space="preserve">                                                    </w:t>
      </w:r>
    </w:p>
    <w:p w14:paraId="7FFF39DA">
      <w:pPr>
        <w:pStyle w:val="11"/>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质疑事项2</w:t>
      </w:r>
    </w:p>
    <w:p w14:paraId="3B44E2E6">
      <w:pPr>
        <w:pStyle w:val="11"/>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w:t>
      </w:r>
    </w:p>
    <w:p w14:paraId="3A05E157">
      <w:pPr>
        <w:pStyle w:val="11"/>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四、与质疑事项相关的质疑请求</w:t>
      </w:r>
    </w:p>
    <w:p w14:paraId="0FD306F6">
      <w:pPr>
        <w:pStyle w:val="11"/>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请求：</w:t>
      </w:r>
      <w:r>
        <w:rPr>
          <w:rFonts w:hint="eastAsia" w:ascii="宋体" w:hAnsi="宋体" w:eastAsia="宋体" w:cs="宋体"/>
          <w:color w:val="auto"/>
          <w:highlight w:val="none"/>
          <w:u w:val="single"/>
        </w:rPr>
        <w:t xml:space="preserve">                                                          </w:t>
      </w:r>
    </w:p>
    <w:p w14:paraId="6D910048">
      <w:pPr>
        <w:pStyle w:val="11"/>
        <w:spacing w:beforeAutospacing="0" w:afterAutospacing="0"/>
        <w:jc w:val="both"/>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p>
    <w:p w14:paraId="09B6F7DD">
      <w:pPr>
        <w:pStyle w:val="11"/>
        <w:spacing w:beforeAutospacing="0" w:afterAutospacing="0" w:line="0" w:lineRule="atLeast"/>
        <w:ind w:firstLine="482"/>
        <w:jc w:val="both"/>
        <w:rPr>
          <w:rFonts w:ascii="宋体" w:hAnsi="宋体" w:eastAsia="宋体" w:cs="宋体"/>
          <w:color w:val="auto"/>
          <w:highlight w:val="none"/>
        </w:rPr>
      </w:pPr>
      <w:r>
        <w:rPr>
          <w:rFonts w:hint="eastAsia" w:ascii="宋体" w:hAnsi="宋体" w:eastAsia="宋体" w:cs="宋体"/>
          <w:b/>
          <w:color w:val="auto"/>
          <w:highlight w:val="none"/>
        </w:rPr>
        <w:t>质疑函制作说明：</w:t>
      </w:r>
    </w:p>
    <w:p w14:paraId="3D0440D7">
      <w:pPr>
        <w:pStyle w:val="11"/>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1.供应商提出质疑时，应提交质疑函和必要的证明材料。</w:t>
      </w:r>
    </w:p>
    <w:p w14:paraId="1E7C0D3B">
      <w:pPr>
        <w:pStyle w:val="11"/>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392FFD86">
      <w:pPr>
        <w:pStyle w:val="11"/>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3.质疑供应商若对项目的某一分包进行质疑，质疑函中应列明具体分包号。</w:t>
      </w:r>
    </w:p>
    <w:p w14:paraId="3A1A5EE8">
      <w:pPr>
        <w:pStyle w:val="11"/>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4.质疑函的质疑事项应具体、明确，并有必要的事实依据和法律依据。</w:t>
      </w:r>
    </w:p>
    <w:p w14:paraId="4F5DCE11">
      <w:pPr>
        <w:pStyle w:val="11"/>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5.质疑函的质疑请求应与质疑事项相关。</w:t>
      </w:r>
    </w:p>
    <w:p w14:paraId="53CF312F">
      <w:pPr>
        <w:pStyle w:val="11"/>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6.质疑供应商为自然人的，质疑函应由本人签字；质疑供应商为法人或者其他组织的，质疑函应由法定代表人、主要负责人，或者其授权代表签字或者盖章，并加盖公章。</w:t>
      </w:r>
    </w:p>
    <w:p w14:paraId="49048CC6">
      <w:pPr>
        <w:pStyle w:val="11"/>
        <w:spacing w:beforeAutospacing="0" w:afterAutospacing="0"/>
        <w:ind w:firstLine="480"/>
        <w:jc w:val="both"/>
        <w:rPr>
          <w:rFonts w:ascii="宋体" w:hAnsi="宋体" w:eastAsia="宋体" w:cs="宋体"/>
          <w:color w:val="auto"/>
          <w:highlight w:val="none"/>
        </w:rPr>
      </w:pPr>
      <w:r>
        <w:rPr>
          <w:rFonts w:hint="eastAsia" w:ascii="宋体" w:hAnsi="宋体" w:eastAsia="宋体" w:cs="宋体"/>
          <w:color w:val="auto"/>
          <w:highlight w:val="none"/>
        </w:rPr>
        <w:t> </w:t>
      </w:r>
    </w:p>
    <w:p w14:paraId="2D26B0A6">
      <w:pPr>
        <w:rPr>
          <w:color w:val="auto"/>
          <w:highlight w:val="none"/>
        </w:rPr>
      </w:pPr>
    </w:p>
    <w:sectPr>
      <w:footerReference r:id="rId3" w:type="default"/>
      <w:pgSz w:w="11906" w:h="16838"/>
      <w:pgMar w:top="1440" w:right="1451" w:bottom="1440" w:left="1451" w:header="851" w:footer="992" w:gutter="0"/>
      <w:pgNumType w:fmt="numberInDash"/>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 w:name="华文楷体">
    <w:panose1 w:val="02010600040101010101"/>
    <w:charset w:val="86"/>
    <w:family w:val="auto"/>
    <w:pitch w:val="default"/>
    <w:sig w:usb0="00000287" w:usb1="080F0000" w:usb2="00000000" w:usb3="00000000" w:csb0="0004009F" w:csb1="DFD7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方正仿宋_GBK">
    <w:panose1 w:val="02000000000000000000"/>
    <w:charset w:val="86"/>
    <w:family w:val="script"/>
    <w:pitch w:val="default"/>
    <w:sig w:usb0="A00002BF" w:usb1="38CF7CFA" w:usb2="00082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AAB421">
    <w:pPr>
      <w:pStyle w:val="8"/>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8CDF996">
                          <w:pPr>
                            <w:pStyle w:val="8"/>
                          </w:pPr>
                          <w:r>
                            <w:fldChar w:fldCharType="begin"/>
                          </w:r>
                          <w:r>
                            <w:instrText xml:space="preserve"> PAGE  \* MERGEFORMAT </w:instrText>
                          </w:r>
                          <w:r>
                            <w:fldChar w:fldCharType="separate"/>
                          </w:r>
                          <w:r>
                            <w:t>- 1 -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68CDF996">
                    <w:pPr>
                      <w:pStyle w:val="8"/>
                    </w:pPr>
                    <w:r>
                      <w:fldChar w:fldCharType="begin"/>
                    </w:r>
                    <w:r>
                      <w:instrText xml:space="preserve"> PAGE  \* MERGEFORMAT </w:instrText>
                    </w:r>
                    <w:r>
                      <w:fldChar w:fldCharType="separate"/>
                    </w:r>
                    <w:r>
                      <w:t>- 1 -</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6EBBEA5"/>
    <w:multiLevelType w:val="singleLevel"/>
    <w:tmpl w:val="C6EBBEA5"/>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8"/>
  <w:displayBackgroundShape w:val="1"/>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M5NjQ4MDViNzI1OGY2YzE4MzhiZmY5ZTY1YTkxNGYifQ=="/>
  </w:docVars>
  <w:rsids>
    <w:rsidRoot w:val="00172A27"/>
    <w:rsid w:val="000263F6"/>
    <w:rsid w:val="000303E6"/>
    <w:rsid w:val="00030A71"/>
    <w:rsid w:val="0004486D"/>
    <w:rsid w:val="00055AFA"/>
    <w:rsid w:val="00055C5B"/>
    <w:rsid w:val="000638B6"/>
    <w:rsid w:val="00063FAA"/>
    <w:rsid w:val="00075369"/>
    <w:rsid w:val="00077137"/>
    <w:rsid w:val="00086B5D"/>
    <w:rsid w:val="000872CB"/>
    <w:rsid w:val="00093DD2"/>
    <w:rsid w:val="000B0134"/>
    <w:rsid w:val="000C1847"/>
    <w:rsid w:val="000C70C0"/>
    <w:rsid w:val="000D37FE"/>
    <w:rsid w:val="000D73BC"/>
    <w:rsid w:val="000F425E"/>
    <w:rsid w:val="00100CC0"/>
    <w:rsid w:val="001054B7"/>
    <w:rsid w:val="001238FA"/>
    <w:rsid w:val="00131CB1"/>
    <w:rsid w:val="00136A8D"/>
    <w:rsid w:val="00141600"/>
    <w:rsid w:val="001460E9"/>
    <w:rsid w:val="00155A39"/>
    <w:rsid w:val="00172A27"/>
    <w:rsid w:val="00177F0B"/>
    <w:rsid w:val="001A3225"/>
    <w:rsid w:val="001B267B"/>
    <w:rsid w:val="001E0B46"/>
    <w:rsid w:val="001E41CB"/>
    <w:rsid w:val="001F3F03"/>
    <w:rsid w:val="001F4115"/>
    <w:rsid w:val="001F5DDE"/>
    <w:rsid w:val="0021299E"/>
    <w:rsid w:val="00215AA4"/>
    <w:rsid w:val="002236C2"/>
    <w:rsid w:val="002261C0"/>
    <w:rsid w:val="0022622E"/>
    <w:rsid w:val="00233ECE"/>
    <w:rsid w:val="00251125"/>
    <w:rsid w:val="00256EAF"/>
    <w:rsid w:val="00263911"/>
    <w:rsid w:val="00264359"/>
    <w:rsid w:val="00265DFA"/>
    <w:rsid w:val="0028188E"/>
    <w:rsid w:val="00283D54"/>
    <w:rsid w:val="0029775A"/>
    <w:rsid w:val="002A4D51"/>
    <w:rsid w:val="002A5622"/>
    <w:rsid w:val="002D03C9"/>
    <w:rsid w:val="002E61F3"/>
    <w:rsid w:val="002F12F8"/>
    <w:rsid w:val="002F3456"/>
    <w:rsid w:val="003170AA"/>
    <w:rsid w:val="0032195A"/>
    <w:rsid w:val="0036238C"/>
    <w:rsid w:val="00362C4F"/>
    <w:rsid w:val="00384C91"/>
    <w:rsid w:val="0038575F"/>
    <w:rsid w:val="003C1A89"/>
    <w:rsid w:val="003C6894"/>
    <w:rsid w:val="003C74D9"/>
    <w:rsid w:val="003E67C2"/>
    <w:rsid w:val="003F2E71"/>
    <w:rsid w:val="0040361D"/>
    <w:rsid w:val="004201F0"/>
    <w:rsid w:val="004204E6"/>
    <w:rsid w:val="00422936"/>
    <w:rsid w:val="0043276E"/>
    <w:rsid w:val="00450BA2"/>
    <w:rsid w:val="00451E58"/>
    <w:rsid w:val="004529E6"/>
    <w:rsid w:val="00455E51"/>
    <w:rsid w:val="004670D5"/>
    <w:rsid w:val="00474047"/>
    <w:rsid w:val="004900FB"/>
    <w:rsid w:val="00491F6E"/>
    <w:rsid w:val="004970BA"/>
    <w:rsid w:val="004B1520"/>
    <w:rsid w:val="004B1B86"/>
    <w:rsid w:val="004B2814"/>
    <w:rsid w:val="004B33FA"/>
    <w:rsid w:val="004B647B"/>
    <w:rsid w:val="004D3110"/>
    <w:rsid w:val="004D5916"/>
    <w:rsid w:val="004F4A61"/>
    <w:rsid w:val="00502ACB"/>
    <w:rsid w:val="00520AC5"/>
    <w:rsid w:val="00552DFB"/>
    <w:rsid w:val="0055489C"/>
    <w:rsid w:val="00567B6C"/>
    <w:rsid w:val="005730C5"/>
    <w:rsid w:val="005812CA"/>
    <w:rsid w:val="00593EB7"/>
    <w:rsid w:val="005A6BC7"/>
    <w:rsid w:val="005E09BA"/>
    <w:rsid w:val="005E0CAC"/>
    <w:rsid w:val="005E57E9"/>
    <w:rsid w:val="005F04DE"/>
    <w:rsid w:val="005F3704"/>
    <w:rsid w:val="005F645E"/>
    <w:rsid w:val="006046D4"/>
    <w:rsid w:val="00625B64"/>
    <w:rsid w:val="006459B3"/>
    <w:rsid w:val="006606E2"/>
    <w:rsid w:val="00660704"/>
    <w:rsid w:val="00673F30"/>
    <w:rsid w:val="00682BDE"/>
    <w:rsid w:val="006860AB"/>
    <w:rsid w:val="006932C0"/>
    <w:rsid w:val="00693E6E"/>
    <w:rsid w:val="006A6614"/>
    <w:rsid w:val="006B0123"/>
    <w:rsid w:val="006B6F15"/>
    <w:rsid w:val="006C25CB"/>
    <w:rsid w:val="006D0DD5"/>
    <w:rsid w:val="006E54C7"/>
    <w:rsid w:val="006F22BA"/>
    <w:rsid w:val="00710EB2"/>
    <w:rsid w:val="007561F1"/>
    <w:rsid w:val="007871B9"/>
    <w:rsid w:val="00790039"/>
    <w:rsid w:val="007A220C"/>
    <w:rsid w:val="007A2A33"/>
    <w:rsid w:val="007A6C76"/>
    <w:rsid w:val="007A7B98"/>
    <w:rsid w:val="007B0F2E"/>
    <w:rsid w:val="007B1441"/>
    <w:rsid w:val="007B1CF4"/>
    <w:rsid w:val="007B6985"/>
    <w:rsid w:val="007C60B4"/>
    <w:rsid w:val="007C6C91"/>
    <w:rsid w:val="007D6428"/>
    <w:rsid w:val="007E0F61"/>
    <w:rsid w:val="007E2734"/>
    <w:rsid w:val="007E526A"/>
    <w:rsid w:val="007E746A"/>
    <w:rsid w:val="007F4033"/>
    <w:rsid w:val="00814795"/>
    <w:rsid w:val="0081491B"/>
    <w:rsid w:val="00817A96"/>
    <w:rsid w:val="00824727"/>
    <w:rsid w:val="00834FE2"/>
    <w:rsid w:val="00845B7D"/>
    <w:rsid w:val="0087145E"/>
    <w:rsid w:val="008743F8"/>
    <w:rsid w:val="0088127E"/>
    <w:rsid w:val="008A1BE8"/>
    <w:rsid w:val="008B090D"/>
    <w:rsid w:val="008B5A3A"/>
    <w:rsid w:val="008D5512"/>
    <w:rsid w:val="008E4636"/>
    <w:rsid w:val="00924D7E"/>
    <w:rsid w:val="00935693"/>
    <w:rsid w:val="00935824"/>
    <w:rsid w:val="00965A96"/>
    <w:rsid w:val="00997DD9"/>
    <w:rsid w:val="009A0730"/>
    <w:rsid w:val="009A3194"/>
    <w:rsid w:val="009C7019"/>
    <w:rsid w:val="009D477B"/>
    <w:rsid w:val="009D47DE"/>
    <w:rsid w:val="009E34B0"/>
    <w:rsid w:val="00A15145"/>
    <w:rsid w:val="00A26376"/>
    <w:rsid w:val="00A32315"/>
    <w:rsid w:val="00A33138"/>
    <w:rsid w:val="00A35874"/>
    <w:rsid w:val="00A36EFD"/>
    <w:rsid w:val="00A4304F"/>
    <w:rsid w:val="00A619AA"/>
    <w:rsid w:val="00A62079"/>
    <w:rsid w:val="00A626E4"/>
    <w:rsid w:val="00A6643A"/>
    <w:rsid w:val="00A70028"/>
    <w:rsid w:val="00A76A95"/>
    <w:rsid w:val="00A80AB0"/>
    <w:rsid w:val="00A865D2"/>
    <w:rsid w:val="00A8728E"/>
    <w:rsid w:val="00A8759F"/>
    <w:rsid w:val="00A97F05"/>
    <w:rsid w:val="00AA2A8E"/>
    <w:rsid w:val="00AE0B16"/>
    <w:rsid w:val="00AE7998"/>
    <w:rsid w:val="00AF0BE9"/>
    <w:rsid w:val="00AF3FAA"/>
    <w:rsid w:val="00B07FD4"/>
    <w:rsid w:val="00B27B35"/>
    <w:rsid w:val="00B40D95"/>
    <w:rsid w:val="00B44AF5"/>
    <w:rsid w:val="00B454C4"/>
    <w:rsid w:val="00B747DE"/>
    <w:rsid w:val="00B80B06"/>
    <w:rsid w:val="00B81BA0"/>
    <w:rsid w:val="00B93CDF"/>
    <w:rsid w:val="00BD1549"/>
    <w:rsid w:val="00BD1ACF"/>
    <w:rsid w:val="00BD1EE9"/>
    <w:rsid w:val="00BE692E"/>
    <w:rsid w:val="00BE787D"/>
    <w:rsid w:val="00C04884"/>
    <w:rsid w:val="00C175ED"/>
    <w:rsid w:val="00C274DA"/>
    <w:rsid w:val="00C30C78"/>
    <w:rsid w:val="00C36D58"/>
    <w:rsid w:val="00C74A5E"/>
    <w:rsid w:val="00C83D22"/>
    <w:rsid w:val="00C86C58"/>
    <w:rsid w:val="00CA5EFE"/>
    <w:rsid w:val="00CB1DFB"/>
    <w:rsid w:val="00CB578B"/>
    <w:rsid w:val="00CC0C95"/>
    <w:rsid w:val="00D01A5C"/>
    <w:rsid w:val="00D1282F"/>
    <w:rsid w:val="00D163CC"/>
    <w:rsid w:val="00D32304"/>
    <w:rsid w:val="00D510DE"/>
    <w:rsid w:val="00D550E3"/>
    <w:rsid w:val="00D63F4B"/>
    <w:rsid w:val="00D67E5C"/>
    <w:rsid w:val="00D766FE"/>
    <w:rsid w:val="00D93FCD"/>
    <w:rsid w:val="00DA1C9B"/>
    <w:rsid w:val="00DA7B4B"/>
    <w:rsid w:val="00DD2B19"/>
    <w:rsid w:val="00DE4F21"/>
    <w:rsid w:val="00DE5BDE"/>
    <w:rsid w:val="00DE7372"/>
    <w:rsid w:val="00DF52B9"/>
    <w:rsid w:val="00E432EE"/>
    <w:rsid w:val="00E47BCE"/>
    <w:rsid w:val="00E57898"/>
    <w:rsid w:val="00E6087B"/>
    <w:rsid w:val="00E70111"/>
    <w:rsid w:val="00E839C7"/>
    <w:rsid w:val="00E87AC1"/>
    <w:rsid w:val="00E919E6"/>
    <w:rsid w:val="00EA07A8"/>
    <w:rsid w:val="00F00A70"/>
    <w:rsid w:val="00F0349D"/>
    <w:rsid w:val="00F130C8"/>
    <w:rsid w:val="00F17121"/>
    <w:rsid w:val="00F264FD"/>
    <w:rsid w:val="00F33192"/>
    <w:rsid w:val="00F37ED1"/>
    <w:rsid w:val="00F435ED"/>
    <w:rsid w:val="00F50207"/>
    <w:rsid w:val="00F5544A"/>
    <w:rsid w:val="00F818C0"/>
    <w:rsid w:val="00F8669E"/>
    <w:rsid w:val="00F957B2"/>
    <w:rsid w:val="00F97E15"/>
    <w:rsid w:val="00FB52FF"/>
    <w:rsid w:val="00FC6132"/>
    <w:rsid w:val="00FE3C91"/>
    <w:rsid w:val="00FF1410"/>
    <w:rsid w:val="01057174"/>
    <w:rsid w:val="014036E0"/>
    <w:rsid w:val="01416DF2"/>
    <w:rsid w:val="015C3D17"/>
    <w:rsid w:val="01AA1AC9"/>
    <w:rsid w:val="01C209CB"/>
    <w:rsid w:val="02357688"/>
    <w:rsid w:val="026D3223"/>
    <w:rsid w:val="02783976"/>
    <w:rsid w:val="02851591"/>
    <w:rsid w:val="02BD5381"/>
    <w:rsid w:val="02D505AD"/>
    <w:rsid w:val="03365B5E"/>
    <w:rsid w:val="034E4AD1"/>
    <w:rsid w:val="037E0789"/>
    <w:rsid w:val="03913FFC"/>
    <w:rsid w:val="04CF1FA6"/>
    <w:rsid w:val="056E5657"/>
    <w:rsid w:val="05AD05DE"/>
    <w:rsid w:val="05BD3D79"/>
    <w:rsid w:val="05D1541D"/>
    <w:rsid w:val="0621639E"/>
    <w:rsid w:val="062C42CE"/>
    <w:rsid w:val="06764670"/>
    <w:rsid w:val="06867FD2"/>
    <w:rsid w:val="068A6E34"/>
    <w:rsid w:val="06AD45D4"/>
    <w:rsid w:val="06B12B65"/>
    <w:rsid w:val="06BD3726"/>
    <w:rsid w:val="071D689A"/>
    <w:rsid w:val="07887E6F"/>
    <w:rsid w:val="07994E3B"/>
    <w:rsid w:val="07A02A3F"/>
    <w:rsid w:val="07A40F48"/>
    <w:rsid w:val="07F651C7"/>
    <w:rsid w:val="080A468F"/>
    <w:rsid w:val="0842376E"/>
    <w:rsid w:val="0854758E"/>
    <w:rsid w:val="08992D34"/>
    <w:rsid w:val="08C86899"/>
    <w:rsid w:val="09132265"/>
    <w:rsid w:val="096C340A"/>
    <w:rsid w:val="097609BE"/>
    <w:rsid w:val="09D92A42"/>
    <w:rsid w:val="09FE79EC"/>
    <w:rsid w:val="0A1C108A"/>
    <w:rsid w:val="0AB319EF"/>
    <w:rsid w:val="0ABC363A"/>
    <w:rsid w:val="0AD8294B"/>
    <w:rsid w:val="0B4B3B00"/>
    <w:rsid w:val="0B8A23C1"/>
    <w:rsid w:val="0BA111B6"/>
    <w:rsid w:val="0BAE3813"/>
    <w:rsid w:val="0BFF003E"/>
    <w:rsid w:val="0C9413AC"/>
    <w:rsid w:val="0CFF0F1B"/>
    <w:rsid w:val="0D1A1FCD"/>
    <w:rsid w:val="0D4D2FC1"/>
    <w:rsid w:val="0E0362D5"/>
    <w:rsid w:val="0E966A8C"/>
    <w:rsid w:val="0E9C279A"/>
    <w:rsid w:val="0EB36461"/>
    <w:rsid w:val="0EE61CD2"/>
    <w:rsid w:val="0F0A004B"/>
    <w:rsid w:val="0F655282"/>
    <w:rsid w:val="0F6D24BC"/>
    <w:rsid w:val="0F7D537E"/>
    <w:rsid w:val="0FBC4A1F"/>
    <w:rsid w:val="0FE97C61"/>
    <w:rsid w:val="10007707"/>
    <w:rsid w:val="10B2533E"/>
    <w:rsid w:val="11072A94"/>
    <w:rsid w:val="11625F1D"/>
    <w:rsid w:val="11AB711C"/>
    <w:rsid w:val="11EB7CC0"/>
    <w:rsid w:val="12A21019"/>
    <w:rsid w:val="12D9220E"/>
    <w:rsid w:val="12F015A0"/>
    <w:rsid w:val="132711CC"/>
    <w:rsid w:val="13D157F4"/>
    <w:rsid w:val="143E4A1F"/>
    <w:rsid w:val="14477BA7"/>
    <w:rsid w:val="14B051F1"/>
    <w:rsid w:val="14CA0061"/>
    <w:rsid w:val="157923E7"/>
    <w:rsid w:val="162C6AF9"/>
    <w:rsid w:val="163E3563"/>
    <w:rsid w:val="169263C8"/>
    <w:rsid w:val="16A61788"/>
    <w:rsid w:val="16AF4856"/>
    <w:rsid w:val="16FC471D"/>
    <w:rsid w:val="170045BA"/>
    <w:rsid w:val="174D6D27"/>
    <w:rsid w:val="174D7871"/>
    <w:rsid w:val="17666D47"/>
    <w:rsid w:val="176F0FD8"/>
    <w:rsid w:val="17732C32"/>
    <w:rsid w:val="178521C3"/>
    <w:rsid w:val="17884203"/>
    <w:rsid w:val="18BC4109"/>
    <w:rsid w:val="18D23988"/>
    <w:rsid w:val="18D825F4"/>
    <w:rsid w:val="193260E4"/>
    <w:rsid w:val="19835197"/>
    <w:rsid w:val="19A11C2E"/>
    <w:rsid w:val="1A1C3150"/>
    <w:rsid w:val="1A4F2C83"/>
    <w:rsid w:val="1AA839EE"/>
    <w:rsid w:val="1AD2708F"/>
    <w:rsid w:val="1AD4263E"/>
    <w:rsid w:val="1AD75285"/>
    <w:rsid w:val="1AE6196C"/>
    <w:rsid w:val="1B193AF0"/>
    <w:rsid w:val="1B5508A0"/>
    <w:rsid w:val="1B5F5046"/>
    <w:rsid w:val="1B9509DF"/>
    <w:rsid w:val="1BA002D8"/>
    <w:rsid w:val="1BAD2FAF"/>
    <w:rsid w:val="1C493F61"/>
    <w:rsid w:val="1CAC4347"/>
    <w:rsid w:val="1D0922B5"/>
    <w:rsid w:val="1D1C1092"/>
    <w:rsid w:val="1D4E33F7"/>
    <w:rsid w:val="1D605A5A"/>
    <w:rsid w:val="1D812873"/>
    <w:rsid w:val="1DC1221D"/>
    <w:rsid w:val="1DDF4451"/>
    <w:rsid w:val="1DE2466D"/>
    <w:rsid w:val="1DFD1285"/>
    <w:rsid w:val="1E002D45"/>
    <w:rsid w:val="1E4E1D03"/>
    <w:rsid w:val="1EA100CB"/>
    <w:rsid w:val="1EC70509"/>
    <w:rsid w:val="1EE6018D"/>
    <w:rsid w:val="1F4A0271"/>
    <w:rsid w:val="1FA5245A"/>
    <w:rsid w:val="1FA6791C"/>
    <w:rsid w:val="1FC7762D"/>
    <w:rsid w:val="2000702C"/>
    <w:rsid w:val="205C376D"/>
    <w:rsid w:val="20607ACB"/>
    <w:rsid w:val="20677E3C"/>
    <w:rsid w:val="20733730"/>
    <w:rsid w:val="209429D0"/>
    <w:rsid w:val="20A83FAF"/>
    <w:rsid w:val="20CE42A1"/>
    <w:rsid w:val="215025DE"/>
    <w:rsid w:val="21827A71"/>
    <w:rsid w:val="21CC717D"/>
    <w:rsid w:val="21D37832"/>
    <w:rsid w:val="21FE57EE"/>
    <w:rsid w:val="22187F77"/>
    <w:rsid w:val="22424AA4"/>
    <w:rsid w:val="228C104B"/>
    <w:rsid w:val="22934188"/>
    <w:rsid w:val="22F62B8A"/>
    <w:rsid w:val="23151041"/>
    <w:rsid w:val="23254D08"/>
    <w:rsid w:val="23534E2B"/>
    <w:rsid w:val="242C02D7"/>
    <w:rsid w:val="24533DC2"/>
    <w:rsid w:val="24BE643D"/>
    <w:rsid w:val="2532334D"/>
    <w:rsid w:val="259B3353"/>
    <w:rsid w:val="26750FF7"/>
    <w:rsid w:val="26D40F74"/>
    <w:rsid w:val="27194423"/>
    <w:rsid w:val="27206206"/>
    <w:rsid w:val="27290FC5"/>
    <w:rsid w:val="27AE1F33"/>
    <w:rsid w:val="280F2F92"/>
    <w:rsid w:val="282D2989"/>
    <w:rsid w:val="28BC3D0D"/>
    <w:rsid w:val="28FE41FC"/>
    <w:rsid w:val="29142DC3"/>
    <w:rsid w:val="29345C52"/>
    <w:rsid w:val="2996274E"/>
    <w:rsid w:val="29BD7D3C"/>
    <w:rsid w:val="2A4648B7"/>
    <w:rsid w:val="2A9A62D0"/>
    <w:rsid w:val="2AB949A8"/>
    <w:rsid w:val="2B005440"/>
    <w:rsid w:val="2BCA6741"/>
    <w:rsid w:val="2C03574A"/>
    <w:rsid w:val="2C0A4EA8"/>
    <w:rsid w:val="2C1125C1"/>
    <w:rsid w:val="2C7B3B05"/>
    <w:rsid w:val="2CB50D30"/>
    <w:rsid w:val="2CC277F5"/>
    <w:rsid w:val="2CCE255B"/>
    <w:rsid w:val="2CEA709A"/>
    <w:rsid w:val="2D39592C"/>
    <w:rsid w:val="2E0C4DEE"/>
    <w:rsid w:val="2E440A2C"/>
    <w:rsid w:val="2E5E7AF7"/>
    <w:rsid w:val="2E9F2106"/>
    <w:rsid w:val="2ED05F2C"/>
    <w:rsid w:val="2EE73822"/>
    <w:rsid w:val="2FA80D19"/>
    <w:rsid w:val="2FAD4FD9"/>
    <w:rsid w:val="2FB346FB"/>
    <w:rsid w:val="2FFA5778"/>
    <w:rsid w:val="303074BA"/>
    <w:rsid w:val="30495C84"/>
    <w:rsid w:val="30650005"/>
    <w:rsid w:val="30DC6BE1"/>
    <w:rsid w:val="310333AD"/>
    <w:rsid w:val="3126266B"/>
    <w:rsid w:val="31522189"/>
    <w:rsid w:val="318E0F10"/>
    <w:rsid w:val="31DB0550"/>
    <w:rsid w:val="32531113"/>
    <w:rsid w:val="32874142"/>
    <w:rsid w:val="329E6CD8"/>
    <w:rsid w:val="32AE0B6A"/>
    <w:rsid w:val="32E77BD8"/>
    <w:rsid w:val="330B345D"/>
    <w:rsid w:val="33440753"/>
    <w:rsid w:val="334B4AB3"/>
    <w:rsid w:val="33773E42"/>
    <w:rsid w:val="33A07B45"/>
    <w:rsid w:val="33A1247D"/>
    <w:rsid w:val="34367069"/>
    <w:rsid w:val="34E14EA2"/>
    <w:rsid w:val="34E346A0"/>
    <w:rsid w:val="35064DE3"/>
    <w:rsid w:val="359B1151"/>
    <w:rsid w:val="35A41DB0"/>
    <w:rsid w:val="35AD49A2"/>
    <w:rsid w:val="35BC534C"/>
    <w:rsid w:val="36172BC3"/>
    <w:rsid w:val="3623361D"/>
    <w:rsid w:val="36721EAF"/>
    <w:rsid w:val="367B6FB5"/>
    <w:rsid w:val="36CC7C95"/>
    <w:rsid w:val="36E076F0"/>
    <w:rsid w:val="36EB650A"/>
    <w:rsid w:val="375B1FDF"/>
    <w:rsid w:val="376161AB"/>
    <w:rsid w:val="378133A9"/>
    <w:rsid w:val="383A233E"/>
    <w:rsid w:val="39101F1B"/>
    <w:rsid w:val="392D7EB3"/>
    <w:rsid w:val="39643D30"/>
    <w:rsid w:val="39720FC7"/>
    <w:rsid w:val="39987E7E"/>
    <w:rsid w:val="39A84137"/>
    <w:rsid w:val="39CD52E9"/>
    <w:rsid w:val="39F01A68"/>
    <w:rsid w:val="3A1C0AAF"/>
    <w:rsid w:val="3A575643"/>
    <w:rsid w:val="3A64388F"/>
    <w:rsid w:val="3AB02FA5"/>
    <w:rsid w:val="3B0B043D"/>
    <w:rsid w:val="3B702E61"/>
    <w:rsid w:val="3B9710EF"/>
    <w:rsid w:val="3BDF2457"/>
    <w:rsid w:val="3BDF7FE6"/>
    <w:rsid w:val="3C0B1046"/>
    <w:rsid w:val="3CC36DCD"/>
    <w:rsid w:val="3D23372C"/>
    <w:rsid w:val="3D2823FA"/>
    <w:rsid w:val="3D581DFE"/>
    <w:rsid w:val="3D6A4AAA"/>
    <w:rsid w:val="3DF80C94"/>
    <w:rsid w:val="3DFD4754"/>
    <w:rsid w:val="3E064F5A"/>
    <w:rsid w:val="3E161B6B"/>
    <w:rsid w:val="3E496B6B"/>
    <w:rsid w:val="3E7F5998"/>
    <w:rsid w:val="3EED6576"/>
    <w:rsid w:val="3F0056DB"/>
    <w:rsid w:val="3F0156C1"/>
    <w:rsid w:val="3F1A3023"/>
    <w:rsid w:val="3F243A9D"/>
    <w:rsid w:val="3FC26720"/>
    <w:rsid w:val="40260F22"/>
    <w:rsid w:val="402B33C8"/>
    <w:rsid w:val="40350295"/>
    <w:rsid w:val="40672358"/>
    <w:rsid w:val="406E1D8D"/>
    <w:rsid w:val="42053C57"/>
    <w:rsid w:val="42214BD9"/>
    <w:rsid w:val="42324DFA"/>
    <w:rsid w:val="42A6360C"/>
    <w:rsid w:val="42AF59D8"/>
    <w:rsid w:val="431353F3"/>
    <w:rsid w:val="43455446"/>
    <w:rsid w:val="43931DE2"/>
    <w:rsid w:val="4450382F"/>
    <w:rsid w:val="44DA072F"/>
    <w:rsid w:val="45321187"/>
    <w:rsid w:val="454D0F8E"/>
    <w:rsid w:val="45FC0A54"/>
    <w:rsid w:val="461D469A"/>
    <w:rsid w:val="466976E6"/>
    <w:rsid w:val="468123C6"/>
    <w:rsid w:val="46D32596"/>
    <w:rsid w:val="46EA0CE7"/>
    <w:rsid w:val="470D4256"/>
    <w:rsid w:val="472208AE"/>
    <w:rsid w:val="47704C41"/>
    <w:rsid w:val="47755C7D"/>
    <w:rsid w:val="477F6C5D"/>
    <w:rsid w:val="478101A3"/>
    <w:rsid w:val="47B925F3"/>
    <w:rsid w:val="47E66F6F"/>
    <w:rsid w:val="48771F96"/>
    <w:rsid w:val="48850C2F"/>
    <w:rsid w:val="48910AEC"/>
    <w:rsid w:val="48913E27"/>
    <w:rsid w:val="489A776F"/>
    <w:rsid w:val="489D725F"/>
    <w:rsid w:val="48B3170D"/>
    <w:rsid w:val="493C7DE9"/>
    <w:rsid w:val="49D62B33"/>
    <w:rsid w:val="4A1E13B4"/>
    <w:rsid w:val="4A2C49B0"/>
    <w:rsid w:val="4A7D1B0F"/>
    <w:rsid w:val="4AAC50D1"/>
    <w:rsid w:val="4AB10DA0"/>
    <w:rsid w:val="4AF64A04"/>
    <w:rsid w:val="4AFA44F5"/>
    <w:rsid w:val="4B0C37B9"/>
    <w:rsid w:val="4B1C090F"/>
    <w:rsid w:val="4B944949"/>
    <w:rsid w:val="4BC33B49"/>
    <w:rsid w:val="4BD12EAB"/>
    <w:rsid w:val="4C0C6ECB"/>
    <w:rsid w:val="4C5A2B74"/>
    <w:rsid w:val="4D2D20D9"/>
    <w:rsid w:val="4D317F76"/>
    <w:rsid w:val="4D3C69F8"/>
    <w:rsid w:val="4D784E5B"/>
    <w:rsid w:val="4DA074F7"/>
    <w:rsid w:val="4DA33F07"/>
    <w:rsid w:val="4DDE52C0"/>
    <w:rsid w:val="4DF90E71"/>
    <w:rsid w:val="4E02077D"/>
    <w:rsid w:val="4EDD03B5"/>
    <w:rsid w:val="4F337FD5"/>
    <w:rsid w:val="4F526BF1"/>
    <w:rsid w:val="4FC2427A"/>
    <w:rsid w:val="505D275A"/>
    <w:rsid w:val="50A0169A"/>
    <w:rsid w:val="50A1397F"/>
    <w:rsid w:val="50E517A3"/>
    <w:rsid w:val="51C4585C"/>
    <w:rsid w:val="51C75DFE"/>
    <w:rsid w:val="52741FCB"/>
    <w:rsid w:val="52CA1464"/>
    <w:rsid w:val="52D06B10"/>
    <w:rsid w:val="52D52291"/>
    <w:rsid w:val="53112879"/>
    <w:rsid w:val="533D58C6"/>
    <w:rsid w:val="53536515"/>
    <w:rsid w:val="536B21BA"/>
    <w:rsid w:val="53A2397B"/>
    <w:rsid w:val="53A862CC"/>
    <w:rsid w:val="53C75E8C"/>
    <w:rsid w:val="542645AC"/>
    <w:rsid w:val="542A0FDA"/>
    <w:rsid w:val="545729B8"/>
    <w:rsid w:val="546C11F4"/>
    <w:rsid w:val="546E1AAF"/>
    <w:rsid w:val="54857525"/>
    <w:rsid w:val="54ED53D0"/>
    <w:rsid w:val="55091CCC"/>
    <w:rsid w:val="557650C0"/>
    <w:rsid w:val="559E63C4"/>
    <w:rsid w:val="55A6050A"/>
    <w:rsid w:val="55C67DF5"/>
    <w:rsid w:val="55F17CD3"/>
    <w:rsid w:val="55FA184D"/>
    <w:rsid w:val="56307253"/>
    <w:rsid w:val="56453199"/>
    <w:rsid w:val="57E02CC4"/>
    <w:rsid w:val="582B2191"/>
    <w:rsid w:val="582F6DAB"/>
    <w:rsid w:val="58366D88"/>
    <w:rsid w:val="588910E4"/>
    <w:rsid w:val="58977827"/>
    <w:rsid w:val="58AD45AF"/>
    <w:rsid w:val="58D4718C"/>
    <w:rsid w:val="59274DA4"/>
    <w:rsid w:val="597131E7"/>
    <w:rsid w:val="599211F9"/>
    <w:rsid w:val="59A82CA5"/>
    <w:rsid w:val="5ABD109B"/>
    <w:rsid w:val="5AD514E8"/>
    <w:rsid w:val="5AD536B4"/>
    <w:rsid w:val="5AEA4CCC"/>
    <w:rsid w:val="5B031B11"/>
    <w:rsid w:val="5B2C4517"/>
    <w:rsid w:val="5B6D2AC1"/>
    <w:rsid w:val="5B96574B"/>
    <w:rsid w:val="5C2A4141"/>
    <w:rsid w:val="5C5A652B"/>
    <w:rsid w:val="5CE305DA"/>
    <w:rsid w:val="5D3E5EBD"/>
    <w:rsid w:val="5D437F7D"/>
    <w:rsid w:val="5D6B0E69"/>
    <w:rsid w:val="5DDD75C3"/>
    <w:rsid w:val="5DE138D8"/>
    <w:rsid w:val="5E1921ED"/>
    <w:rsid w:val="5E677C9B"/>
    <w:rsid w:val="5EF07A1A"/>
    <w:rsid w:val="5F7D5E8E"/>
    <w:rsid w:val="5F7F522A"/>
    <w:rsid w:val="5FD72BFF"/>
    <w:rsid w:val="5FFC4413"/>
    <w:rsid w:val="601337BB"/>
    <w:rsid w:val="60762DC3"/>
    <w:rsid w:val="60D51B2B"/>
    <w:rsid w:val="617F2D1C"/>
    <w:rsid w:val="61891CD7"/>
    <w:rsid w:val="61EA6C19"/>
    <w:rsid w:val="62312A9A"/>
    <w:rsid w:val="6283706E"/>
    <w:rsid w:val="62A87E16"/>
    <w:rsid w:val="62C43294"/>
    <w:rsid w:val="62CA561A"/>
    <w:rsid w:val="62D358FF"/>
    <w:rsid w:val="62F46593"/>
    <w:rsid w:val="6313315F"/>
    <w:rsid w:val="637172BE"/>
    <w:rsid w:val="63CD6C1F"/>
    <w:rsid w:val="64526CF8"/>
    <w:rsid w:val="64813139"/>
    <w:rsid w:val="64A56430"/>
    <w:rsid w:val="65BB2793"/>
    <w:rsid w:val="65DD5A8E"/>
    <w:rsid w:val="65FB46E7"/>
    <w:rsid w:val="667027CF"/>
    <w:rsid w:val="6688694C"/>
    <w:rsid w:val="66990C0E"/>
    <w:rsid w:val="66B22301"/>
    <w:rsid w:val="66D41C46"/>
    <w:rsid w:val="670D4A21"/>
    <w:rsid w:val="67B6759E"/>
    <w:rsid w:val="67F500C6"/>
    <w:rsid w:val="68076E78"/>
    <w:rsid w:val="68245589"/>
    <w:rsid w:val="68777DD2"/>
    <w:rsid w:val="68CF442F"/>
    <w:rsid w:val="69605A13"/>
    <w:rsid w:val="69983CE0"/>
    <w:rsid w:val="6A1C1694"/>
    <w:rsid w:val="6A751DB0"/>
    <w:rsid w:val="6AB95533"/>
    <w:rsid w:val="6B037E0E"/>
    <w:rsid w:val="6BDD2B0A"/>
    <w:rsid w:val="6BDE41BB"/>
    <w:rsid w:val="6BF40AC7"/>
    <w:rsid w:val="6C5462A8"/>
    <w:rsid w:val="6C7041BF"/>
    <w:rsid w:val="6C917FD7"/>
    <w:rsid w:val="6D154D66"/>
    <w:rsid w:val="6DEE183F"/>
    <w:rsid w:val="6E401402"/>
    <w:rsid w:val="6F3574FF"/>
    <w:rsid w:val="6F6F7A6D"/>
    <w:rsid w:val="6F711F0A"/>
    <w:rsid w:val="6FBB0862"/>
    <w:rsid w:val="70106954"/>
    <w:rsid w:val="710772BC"/>
    <w:rsid w:val="71BB7860"/>
    <w:rsid w:val="71C1726B"/>
    <w:rsid w:val="72440385"/>
    <w:rsid w:val="72CC236B"/>
    <w:rsid w:val="73761484"/>
    <w:rsid w:val="73EA0CFB"/>
    <w:rsid w:val="743F3C99"/>
    <w:rsid w:val="74835482"/>
    <w:rsid w:val="74877DC7"/>
    <w:rsid w:val="74DB35C2"/>
    <w:rsid w:val="75890D8F"/>
    <w:rsid w:val="75B043EA"/>
    <w:rsid w:val="767C4F6D"/>
    <w:rsid w:val="76D90F68"/>
    <w:rsid w:val="77280C7C"/>
    <w:rsid w:val="772E7150"/>
    <w:rsid w:val="77660E93"/>
    <w:rsid w:val="77A613DD"/>
    <w:rsid w:val="77BB58EB"/>
    <w:rsid w:val="77C1540B"/>
    <w:rsid w:val="783E7320"/>
    <w:rsid w:val="787474DA"/>
    <w:rsid w:val="78C43643"/>
    <w:rsid w:val="78CB19C0"/>
    <w:rsid w:val="78F35EFE"/>
    <w:rsid w:val="78F85C68"/>
    <w:rsid w:val="78FF5669"/>
    <w:rsid w:val="793275BA"/>
    <w:rsid w:val="79A724F1"/>
    <w:rsid w:val="79B53B59"/>
    <w:rsid w:val="79C1605A"/>
    <w:rsid w:val="7A4B7878"/>
    <w:rsid w:val="7A6D100D"/>
    <w:rsid w:val="7B4056A4"/>
    <w:rsid w:val="7B4231CA"/>
    <w:rsid w:val="7B946370"/>
    <w:rsid w:val="7BBA5457"/>
    <w:rsid w:val="7BC9719E"/>
    <w:rsid w:val="7C3F1529"/>
    <w:rsid w:val="7C5F16F8"/>
    <w:rsid w:val="7C6929D9"/>
    <w:rsid w:val="7C9D3E10"/>
    <w:rsid w:val="7CAF2E48"/>
    <w:rsid w:val="7CB122FF"/>
    <w:rsid w:val="7D424A7C"/>
    <w:rsid w:val="7DA05FAF"/>
    <w:rsid w:val="7DBA67DE"/>
    <w:rsid w:val="7DF53ACA"/>
    <w:rsid w:val="7DF7159A"/>
    <w:rsid w:val="7E7C50A3"/>
    <w:rsid w:val="7F0E4C61"/>
    <w:rsid w:val="7F547970"/>
    <w:rsid w:val="7F7F4C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qFormat="1" w:unhideWhenUsed="0" w:uiPriority="39"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qFormat="1"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99"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autoRedefine/>
    <w:semiHidden/>
    <w:unhideWhenUsed/>
    <w:qFormat/>
    <w:uiPriority w:val="0"/>
    <w:pPr>
      <w:spacing w:beforeAutospacing="1" w:afterAutospacing="1"/>
      <w:jc w:val="left"/>
      <w:outlineLvl w:val="1"/>
    </w:pPr>
    <w:rPr>
      <w:rFonts w:hint="eastAsia" w:ascii="宋体" w:hAnsi="宋体" w:eastAsia="宋体" w:cs="Times New Roman"/>
      <w:b/>
      <w:bCs/>
      <w:kern w:val="0"/>
      <w:sz w:val="36"/>
      <w:szCs w:val="36"/>
    </w:rPr>
  </w:style>
  <w:style w:type="paragraph" w:styleId="3">
    <w:name w:val="heading 3"/>
    <w:basedOn w:val="1"/>
    <w:next w:val="1"/>
    <w:semiHidden/>
    <w:unhideWhenUsed/>
    <w:qFormat/>
    <w:uiPriority w:val="0"/>
    <w:pPr>
      <w:spacing w:beforeAutospacing="1" w:afterAutospacing="1"/>
      <w:jc w:val="left"/>
      <w:outlineLvl w:val="2"/>
    </w:pPr>
    <w:rPr>
      <w:rFonts w:hint="eastAsia" w:ascii="宋体" w:hAnsi="宋体" w:eastAsia="宋体" w:cs="Times New Roman"/>
      <w:b/>
      <w:bCs/>
      <w:kern w:val="0"/>
      <w:sz w:val="27"/>
      <w:szCs w:val="27"/>
    </w:rPr>
  </w:style>
  <w:style w:type="character" w:default="1" w:styleId="15">
    <w:name w:val="Default Paragraph Font"/>
    <w:semiHidden/>
    <w:unhideWhenUsed/>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4">
    <w:name w:val="List 3"/>
    <w:basedOn w:val="1"/>
    <w:qFormat/>
    <w:uiPriority w:val="0"/>
    <w:pPr>
      <w:ind w:left="1260" w:hanging="420"/>
    </w:pPr>
    <w:rPr>
      <w:rFonts w:ascii="Times New Roman" w:hAnsi="Times New Roman" w:eastAsia="宋体" w:cs="Times New Roman"/>
      <w:szCs w:val="20"/>
    </w:rPr>
  </w:style>
  <w:style w:type="paragraph" w:styleId="5">
    <w:name w:val="annotation text"/>
    <w:basedOn w:val="1"/>
    <w:link w:val="30"/>
    <w:autoRedefine/>
    <w:qFormat/>
    <w:uiPriority w:val="0"/>
    <w:pPr>
      <w:jc w:val="left"/>
    </w:pPr>
  </w:style>
  <w:style w:type="paragraph" w:styleId="6">
    <w:name w:val="Body Text"/>
    <w:basedOn w:val="1"/>
    <w:next w:val="1"/>
    <w:semiHidden/>
    <w:qFormat/>
    <w:uiPriority w:val="0"/>
    <w:rPr>
      <w:rFonts w:ascii="仿宋" w:hAnsi="仿宋" w:eastAsia="仿宋" w:cs="仿宋"/>
      <w:sz w:val="31"/>
      <w:szCs w:val="31"/>
      <w:lang w:eastAsia="en-US"/>
    </w:rPr>
  </w:style>
  <w:style w:type="paragraph" w:styleId="7">
    <w:name w:val="toc 8"/>
    <w:basedOn w:val="1"/>
    <w:next w:val="1"/>
    <w:qFormat/>
    <w:uiPriority w:val="39"/>
    <w:pPr>
      <w:ind w:left="2940" w:leftChars="1400"/>
    </w:pPr>
    <w:rPr>
      <w:rFonts w:ascii="Times New Roman" w:hAnsi="Times New Roman" w:eastAsia="宋体" w:cs="Times New Roman"/>
    </w:rPr>
  </w:style>
  <w:style w:type="paragraph" w:styleId="8">
    <w:name w:val="footer"/>
    <w:basedOn w:val="1"/>
    <w:link w:val="20"/>
    <w:autoRedefine/>
    <w:qFormat/>
    <w:uiPriority w:val="0"/>
    <w:pPr>
      <w:tabs>
        <w:tab w:val="center" w:pos="4153"/>
        <w:tab w:val="right" w:pos="8306"/>
      </w:tabs>
      <w:snapToGrid w:val="0"/>
      <w:jc w:val="left"/>
    </w:pPr>
    <w:rPr>
      <w:sz w:val="18"/>
      <w:szCs w:val="18"/>
    </w:rPr>
  </w:style>
  <w:style w:type="paragraph" w:styleId="9">
    <w:name w:val="header"/>
    <w:basedOn w:val="1"/>
    <w:link w:val="19"/>
    <w:autoRedefine/>
    <w:qFormat/>
    <w:uiPriority w:val="0"/>
    <w:pPr>
      <w:pBdr>
        <w:bottom w:val="single" w:color="auto" w:sz="6" w:space="1"/>
      </w:pBdr>
      <w:tabs>
        <w:tab w:val="center" w:pos="4153"/>
        <w:tab w:val="right" w:pos="8306"/>
      </w:tabs>
      <w:snapToGrid w:val="0"/>
      <w:jc w:val="center"/>
    </w:pPr>
    <w:rPr>
      <w:sz w:val="18"/>
      <w:szCs w:val="18"/>
    </w:rPr>
  </w:style>
  <w:style w:type="paragraph" w:styleId="10">
    <w:name w:val="Body Text 2"/>
    <w:basedOn w:val="1"/>
    <w:qFormat/>
    <w:uiPriority w:val="99"/>
    <w:pPr>
      <w:spacing w:after="120" w:line="480" w:lineRule="auto"/>
    </w:pPr>
  </w:style>
  <w:style w:type="paragraph" w:styleId="11">
    <w:name w:val="Normal (Web)"/>
    <w:basedOn w:val="1"/>
    <w:autoRedefine/>
    <w:qFormat/>
    <w:uiPriority w:val="0"/>
    <w:pPr>
      <w:spacing w:beforeAutospacing="1" w:afterAutospacing="1"/>
      <w:jc w:val="left"/>
    </w:pPr>
    <w:rPr>
      <w:rFonts w:cs="Times New Roman"/>
      <w:kern w:val="0"/>
      <w:sz w:val="24"/>
    </w:rPr>
  </w:style>
  <w:style w:type="paragraph" w:styleId="12">
    <w:name w:val="Body Text First Indent"/>
    <w:basedOn w:val="6"/>
    <w:qFormat/>
    <w:uiPriority w:val="0"/>
    <w:pPr>
      <w:adjustRightInd w:val="0"/>
      <w:spacing w:line="360" w:lineRule="auto"/>
      <w:ind w:right="-24" w:rightChars="-10" w:firstLine="425" w:firstLineChars="225"/>
    </w:pPr>
    <w:rPr>
      <w:rFonts w:ascii="Arial" w:eastAsia="仿宋_GB2312"/>
      <w:szCs w:val="32"/>
    </w:rPr>
  </w:style>
  <w:style w:type="table" w:styleId="14">
    <w:name w:val="Table Grid"/>
    <w:basedOn w:val="13"/>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6">
    <w:name w:val="Strong"/>
    <w:basedOn w:val="15"/>
    <w:qFormat/>
    <w:uiPriority w:val="22"/>
    <w:rPr>
      <w:b/>
      <w:bCs/>
    </w:rPr>
  </w:style>
  <w:style w:type="character" w:styleId="17">
    <w:name w:val="Emphasis"/>
    <w:qFormat/>
    <w:uiPriority w:val="0"/>
    <w:rPr>
      <w:i/>
    </w:rPr>
  </w:style>
  <w:style w:type="paragraph" w:customStyle="1" w:styleId="18">
    <w:name w:val="Default"/>
    <w:basedOn w:val="1"/>
    <w:qFormat/>
    <w:uiPriority w:val="0"/>
    <w:pPr>
      <w:autoSpaceDE w:val="0"/>
      <w:autoSpaceDN w:val="0"/>
      <w:adjustRightInd w:val="0"/>
      <w:jc w:val="left"/>
    </w:pPr>
    <w:rPr>
      <w:rFonts w:ascii="宋体" w:hAnsi="Calibri" w:cs="宋体"/>
      <w:color w:val="000000"/>
      <w:kern w:val="0"/>
      <w:sz w:val="24"/>
    </w:rPr>
  </w:style>
  <w:style w:type="character" w:customStyle="1" w:styleId="19">
    <w:name w:val="页眉 Char"/>
    <w:basedOn w:val="15"/>
    <w:link w:val="9"/>
    <w:autoRedefine/>
    <w:qFormat/>
    <w:uiPriority w:val="0"/>
    <w:rPr>
      <w:rFonts w:asciiTheme="minorHAnsi" w:hAnsiTheme="minorHAnsi" w:eastAsiaTheme="minorEastAsia" w:cstheme="minorBidi"/>
      <w:kern w:val="2"/>
      <w:sz w:val="18"/>
      <w:szCs w:val="18"/>
    </w:rPr>
  </w:style>
  <w:style w:type="character" w:customStyle="1" w:styleId="20">
    <w:name w:val="页脚 Char"/>
    <w:basedOn w:val="15"/>
    <w:link w:val="8"/>
    <w:autoRedefine/>
    <w:qFormat/>
    <w:uiPriority w:val="0"/>
    <w:rPr>
      <w:rFonts w:asciiTheme="minorHAnsi" w:hAnsiTheme="minorHAnsi" w:eastAsiaTheme="minorEastAsia" w:cstheme="minorBidi"/>
      <w:kern w:val="2"/>
      <w:sz w:val="18"/>
      <w:szCs w:val="18"/>
    </w:rPr>
  </w:style>
  <w:style w:type="paragraph" w:customStyle="1" w:styleId="21">
    <w:name w:val="普通正文"/>
    <w:basedOn w:val="1"/>
    <w:autoRedefine/>
    <w:qFormat/>
    <w:uiPriority w:val="0"/>
    <w:pPr>
      <w:adjustRightInd w:val="0"/>
      <w:spacing w:before="120" w:after="120" w:line="360" w:lineRule="auto"/>
      <w:ind w:firstLine="480"/>
      <w:jc w:val="left"/>
    </w:pPr>
    <w:rPr>
      <w:rFonts w:ascii="Arial" w:hAnsi="Arial" w:eastAsia="等线" w:cs="Arial"/>
      <w:sz w:val="24"/>
    </w:rPr>
  </w:style>
  <w:style w:type="paragraph" w:customStyle="1" w:styleId="22">
    <w:name w:val="正文首行缩进 21"/>
    <w:basedOn w:val="23"/>
    <w:qFormat/>
    <w:uiPriority w:val="0"/>
    <w:pPr>
      <w:ind w:firstLine="420"/>
    </w:pPr>
  </w:style>
  <w:style w:type="paragraph" w:customStyle="1" w:styleId="23">
    <w:name w:val="正文文本缩进1"/>
    <w:basedOn w:val="1"/>
    <w:qFormat/>
    <w:uiPriority w:val="0"/>
    <w:pPr>
      <w:spacing w:after="120"/>
      <w:ind w:left="420"/>
    </w:pPr>
  </w:style>
  <w:style w:type="paragraph" w:customStyle="1" w:styleId="24">
    <w:name w:val="Normal_1"/>
    <w:qFormat/>
    <w:uiPriority w:val="0"/>
    <w:rPr>
      <w:rFonts w:ascii="Times New Roman" w:hAnsi="Times New Roman" w:eastAsia="Times New Roman" w:cs="Times New Roman"/>
      <w:sz w:val="24"/>
      <w:szCs w:val="24"/>
      <w:lang w:val="en-US" w:eastAsia="zh-CN" w:bidi="ar-SA"/>
    </w:rPr>
  </w:style>
  <w:style w:type="paragraph" w:customStyle="1" w:styleId="25">
    <w:name w:val="AONormal"/>
    <w:qFormat/>
    <w:uiPriority w:val="0"/>
    <w:pPr>
      <w:spacing w:line="400" w:lineRule="exact"/>
      <w:ind w:firstLine="440"/>
    </w:pPr>
    <w:rPr>
      <w:rFonts w:ascii="华文楷体" w:hAnsi="华文楷体" w:eastAsia="华文楷体" w:cs="华文楷体"/>
      <w:sz w:val="22"/>
      <w:szCs w:val="21"/>
      <w:lang w:val="en-US" w:eastAsia="zh-CN" w:bidi="ar-SA"/>
    </w:rPr>
  </w:style>
  <w:style w:type="character" w:customStyle="1" w:styleId="26">
    <w:name w:val="NormalCharacter"/>
    <w:qFormat/>
    <w:uiPriority w:val="0"/>
  </w:style>
  <w:style w:type="paragraph" w:customStyle="1" w:styleId="27">
    <w:name w:val="PlainText"/>
    <w:basedOn w:val="1"/>
    <w:qFormat/>
    <w:uiPriority w:val="0"/>
    <w:rPr>
      <w:rFonts w:ascii="宋体" w:hAnsi="Courier New"/>
      <w:kern w:val="0"/>
    </w:rPr>
  </w:style>
  <w:style w:type="paragraph" w:customStyle="1" w:styleId="28">
    <w:name w:val="BodyText"/>
    <w:basedOn w:val="1"/>
    <w:next w:val="29"/>
    <w:qFormat/>
    <w:uiPriority w:val="0"/>
    <w:rPr>
      <w:rFonts w:ascii="楷体_GB2312" w:hAnsi="Arial" w:eastAsia="楷体_GB2312"/>
      <w:kern w:val="0"/>
      <w:sz w:val="28"/>
      <w:szCs w:val="28"/>
    </w:rPr>
  </w:style>
  <w:style w:type="paragraph" w:customStyle="1" w:styleId="29">
    <w:name w:val="BodyText2"/>
    <w:basedOn w:val="1"/>
    <w:qFormat/>
    <w:uiPriority w:val="0"/>
    <w:pPr>
      <w:jc w:val="center"/>
    </w:pPr>
    <w:rPr>
      <w:rFonts w:ascii="楷体_GB2312" w:eastAsia="楷体_GB2312"/>
      <w:kern w:val="0"/>
      <w:sz w:val="28"/>
      <w:szCs w:val="28"/>
    </w:rPr>
  </w:style>
  <w:style w:type="character" w:customStyle="1" w:styleId="30">
    <w:name w:val="批注文字 Char"/>
    <w:basedOn w:val="15"/>
    <w:link w:val="5"/>
    <w:qFormat/>
    <w:uiPriority w:val="0"/>
    <w:rPr>
      <w:rFonts w:asciiTheme="minorHAnsi" w:hAnsiTheme="minorHAnsi" w:eastAsiaTheme="minorEastAsia" w:cstheme="minorBidi"/>
      <w:kern w:val="2"/>
      <w:sz w:val="21"/>
      <w:szCs w:val="24"/>
    </w:rPr>
  </w:style>
  <w:style w:type="paragraph" w:customStyle="1" w:styleId="31">
    <w:name w:val="Table Text"/>
    <w:basedOn w:val="1"/>
    <w:semiHidden/>
    <w:qFormat/>
    <w:uiPriority w:val="0"/>
    <w:pPr>
      <w:ind w:firstLine="562"/>
    </w:pPr>
    <w:rPr>
      <w:rFonts w:ascii="方正仿宋_GBK" w:hAnsi="宋体" w:eastAsia="方正仿宋_GBK" w:cs="宋体"/>
      <w:sz w:val="28"/>
      <w:szCs w:val="28"/>
    </w:rPr>
  </w:style>
  <w:style w:type="paragraph" w:styleId="32">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58</Pages>
  <Words>24501</Words>
  <Characters>25691</Characters>
  <Lines>258</Lines>
  <Paragraphs>72</Paragraphs>
  <TotalTime>94</TotalTime>
  <ScaleCrop>false</ScaleCrop>
  <LinksUpToDate>false</LinksUpToDate>
  <CharactersWithSpaces>26145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2026-05-25T01:20:00Z</dcterms:created>
  <dc:creator>正式环境陈艳测试账号</dc:creator>
  <cp:lastModifiedBy>红星的光芒</cp:lastModifiedBy>
  <dcterms:modified xsi:type="dcterms:W3CDTF">2026-07-21T02:32:04Z</dcterms:modified>
  <cp:revision>30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6B839D07AF824471B53EC4950579406A_13</vt:lpwstr>
  </property>
  <property fmtid="{D5CDD505-2E9C-101B-9397-08002B2CF9AE}" pid="4" name="KSOTemplateDocerSaveRecord">
    <vt:lpwstr>eyJoZGlkIjoiZTUwZjUxMTMyNDc5YWQ4ZWJlMThhMGZlNTA3YWEyYTciLCJ1c2VySWQiOiI0MjQ2NTM5OTcifQ==</vt:lpwstr>
  </property>
</Properties>
</file>