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85EC7">
      <w:pPr>
        <w:tabs>
          <w:tab w:val="left" w:pos="420"/>
        </w:tabs>
        <w:autoSpaceDE w:val="0"/>
        <w:autoSpaceDN w:val="0"/>
        <w:adjustRightInd w:val="0"/>
        <w:spacing w:line="312" w:lineRule="auto"/>
        <w:jc w:val="center"/>
        <w:rPr>
          <w:rFonts w:hint="eastAsia" w:ascii="宋体" w:hAnsi="宋体" w:cs="宋体"/>
          <w:b/>
          <w:sz w:val="44"/>
          <w:szCs w:val="44"/>
          <w:highlight w:val="none"/>
          <w:lang w:eastAsia="zh-CN"/>
        </w:rPr>
      </w:pPr>
    </w:p>
    <w:p w14:paraId="3F9E27D6">
      <w:pPr>
        <w:tabs>
          <w:tab w:val="left" w:pos="420"/>
        </w:tabs>
        <w:autoSpaceDE w:val="0"/>
        <w:autoSpaceDN w:val="0"/>
        <w:adjustRightInd w:val="0"/>
        <w:spacing w:line="312" w:lineRule="auto"/>
        <w:jc w:val="center"/>
        <w:rPr>
          <w:rFonts w:hint="eastAsia" w:ascii="宋体" w:hAnsi="宋体" w:eastAsia="宋体" w:cs="宋体"/>
          <w:b/>
          <w:bCs/>
          <w:sz w:val="100"/>
          <w:szCs w:val="100"/>
          <w:highlight w:val="none"/>
          <w:lang w:eastAsia="zh-CN"/>
        </w:rPr>
      </w:pPr>
      <w:r>
        <w:rPr>
          <w:rFonts w:hint="eastAsia" w:ascii="宋体" w:hAnsi="宋体" w:cs="宋体"/>
          <w:b/>
          <w:sz w:val="44"/>
          <w:szCs w:val="44"/>
          <w:highlight w:val="none"/>
          <w:lang w:eastAsia="zh-CN"/>
        </w:rPr>
        <w:t>启东市2026年度绿色高产高效县行动建设物化产品采购项目（一标包）（二次）</w:t>
      </w:r>
    </w:p>
    <w:p w14:paraId="6EFFCBDC">
      <w:pPr>
        <w:autoSpaceDE w:val="0"/>
        <w:autoSpaceDN w:val="0"/>
        <w:adjustRightInd w:val="0"/>
        <w:spacing w:line="312" w:lineRule="auto"/>
        <w:jc w:val="center"/>
        <w:rPr>
          <w:rFonts w:ascii="宋体" w:hAnsi="宋体" w:cs="宋体"/>
          <w:b/>
          <w:bCs/>
          <w:sz w:val="100"/>
          <w:szCs w:val="100"/>
          <w:highlight w:val="none"/>
          <w:lang w:val="zh-CN"/>
        </w:rPr>
      </w:pPr>
      <w:r>
        <w:rPr>
          <w:rFonts w:hint="eastAsia" w:ascii="宋体" w:hAnsi="宋体" w:cs="宋体"/>
          <w:b/>
          <w:bCs/>
          <w:sz w:val="100"/>
          <w:szCs w:val="100"/>
          <w:highlight w:val="none"/>
          <w:lang w:val="en-US" w:eastAsia="zh-CN"/>
        </w:rPr>
        <w:t>分散</w:t>
      </w:r>
      <w:r>
        <w:rPr>
          <w:rFonts w:hint="eastAsia" w:ascii="宋体" w:hAnsi="宋体" w:cs="宋体"/>
          <w:b/>
          <w:bCs/>
          <w:sz w:val="100"/>
          <w:szCs w:val="100"/>
          <w:highlight w:val="none"/>
          <w:lang w:val="zh-CN"/>
        </w:rPr>
        <w:t>采购询价文件</w:t>
      </w:r>
    </w:p>
    <w:p w14:paraId="04596E2C">
      <w:pPr>
        <w:autoSpaceDE w:val="0"/>
        <w:autoSpaceDN w:val="0"/>
        <w:adjustRightInd w:val="0"/>
        <w:spacing w:line="312" w:lineRule="auto"/>
        <w:jc w:val="center"/>
        <w:rPr>
          <w:rFonts w:hint="eastAsia" w:ascii="宋体" w:hAnsi="宋体" w:eastAsia="宋体" w:cs="宋体"/>
          <w:b/>
          <w:sz w:val="44"/>
          <w:szCs w:val="44"/>
          <w:highlight w:val="none"/>
          <w:lang w:eastAsia="zh-CN"/>
        </w:rPr>
      </w:pPr>
      <w:r>
        <w:rPr>
          <w:rFonts w:hint="eastAsia" w:ascii="宋体" w:hAnsi="宋体" w:cs="宋体"/>
          <w:b/>
          <w:sz w:val="36"/>
          <w:szCs w:val="36"/>
          <w:highlight w:val="none"/>
        </w:rPr>
        <w:t>采购文件编号：</w:t>
      </w:r>
      <w:r>
        <w:rPr>
          <w:rFonts w:hint="eastAsia" w:ascii="宋体" w:hAnsi="宋体" w:cs="宋体"/>
          <w:b/>
          <w:sz w:val="36"/>
          <w:szCs w:val="36"/>
          <w:highlight w:val="none"/>
          <w:lang w:eastAsia="zh-CN"/>
        </w:rPr>
        <w:t>JSZC-320681-JSYC-X2026-0023</w:t>
      </w:r>
    </w:p>
    <w:p w14:paraId="3CCD37B1">
      <w:pPr>
        <w:pStyle w:val="7"/>
        <w:rPr>
          <w:highlight w:val="none"/>
          <w:lang w:val="zh-CN"/>
        </w:rPr>
      </w:pPr>
    </w:p>
    <w:p w14:paraId="666E5D9A">
      <w:pPr>
        <w:pStyle w:val="7"/>
        <w:rPr>
          <w:highlight w:val="none"/>
          <w:lang w:val="zh-CN"/>
        </w:rPr>
      </w:pPr>
    </w:p>
    <w:p w14:paraId="7F3484B1">
      <w:pPr>
        <w:pStyle w:val="7"/>
        <w:rPr>
          <w:highlight w:val="none"/>
          <w:lang w:val="zh-CN"/>
        </w:rPr>
      </w:pPr>
    </w:p>
    <w:p w14:paraId="15041B72">
      <w:pPr>
        <w:pStyle w:val="7"/>
        <w:rPr>
          <w:highlight w:val="none"/>
          <w:lang w:val="zh-CN"/>
        </w:rPr>
      </w:pPr>
    </w:p>
    <w:p w14:paraId="70937E96">
      <w:pPr>
        <w:pStyle w:val="7"/>
        <w:widowControl/>
        <w:spacing w:line="312" w:lineRule="auto"/>
        <w:rPr>
          <w:rFonts w:ascii="宋体" w:hAnsi="宋体" w:cs="宋体"/>
          <w:highlight w:val="none"/>
        </w:rPr>
      </w:pPr>
    </w:p>
    <w:p w14:paraId="5EC88442">
      <w:pPr>
        <w:autoSpaceDE w:val="0"/>
        <w:autoSpaceDN w:val="0"/>
        <w:adjustRightInd w:val="0"/>
        <w:spacing w:line="312" w:lineRule="auto"/>
        <w:ind w:firstLine="625" w:firstLineChars="298"/>
        <w:jc w:val="left"/>
        <w:rPr>
          <w:rFonts w:ascii="宋体" w:hAnsi="宋体" w:cs="宋体"/>
          <w:szCs w:val="21"/>
          <w:highlight w:val="none"/>
        </w:rPr>
      </w:pPr>
    </w:p>
    <w:p w14:paraId="23B8136D">
      <w:pPr>
        <w:autoSpaceDE w:val="0"/>
        <w:autoSpaceDN w:val="0"/>
        <w:adjustRightInd w:val="0"/>
        <w:spacing w:line="312" w:lineRule="auto"/>
        <w:jc w:val="center"/>
        <w:rPr>
          <w:rFonts w:ascii="宋体" w:hAnsi="宋体" w:cs="宋体"/>
          <w:szCs w:val="21"/>
          <w:highlight w:val="none"/>
        </w:rPr>
      </w:pPr>
    </w:p>
    <w:p w14:paraId="543CB3F4">
      <w:pPr>
        <w:autoSpaceDE w:val="0"/>
        <w:autoSpaceDN w:val="0"/>
        <w:adjustRightInd w:val="0"/>
        <w:spacing w:line="312" w:lineRule="auto"/>
        <w:ind w:firstLine="420"/>
        <w:jc w:val="center"/>
        <w:rPr>
          <w:rFonts w:ascii="宋体" w:hAnsi="宋体" w:cs="宋体"/>
          <w:szCs w:val="21"/>
          <w:highlight w:val="none"/>
        </w:rPr>
      </w:pPr>
    </w:p>
    <w:p w14:paraId="3B7D6DB3">
      <w:pPr>
        <w:autoSpaceDE w:val="0"/>
        <w:autoSpaceDN w:val="0"/>
        <w:adjustRightInd w:val="0"/>
        <w:spacing w:line="312" w:lineRule="auto"/>
        <w:rPr>
          <w:rFonts w:ascii="宋体" w:hAnsi="宋体" w:cs="宋体"/>
          <w:b/>
          <w:bCs/>
          <w:sz w:val="36"/>
          <w:szCs w:val="36"/>
          <w:highlight w:val="none"/>
          <w:lang w:val="zh-CN"/>
        </w:rPr>
      </w:pPr>
    </w:p>
    <w:p w14:paraId="59C6645A">
      <w:pPr>
        <w:pStyle w:val="7"/>
        <w:rPr>
          <w:highlight w:val="none"/>
          <w:lang w:val="zh-CN"/>
        </w:rPr>
      </w:pPr>
    </w:p>
    <w:p w14:paraId="0B097A6C">
      <w:pPr>
        <w:rPr>
          <w:highlight w:val="none"/>
          <w:lang w:val="zh-CN"/>
        </w:rPr>
      </w:pPr>
    </w:p>
    <w:p w14:paraId="395941BB">
      <w:pPr>
        <w:rPr>
          <w:highlight w:val="none"/>
          <w:lang w:val="zh-CN"/>
        </w:rPr>
      </w:pPr>
    </w:p>
    <w:p w14:paraId="5B856D6D">
      <w:pPr>
        <w:spacing w:line="312" w:lineRule="auto"/>
        <w:jc w:val="center"/>
        <w:rPr>
          <w:rFonts w:ascii="宋体" w:hAnsi="宋体" w:cs="宋体"/>
          <w:b/>
          <w:spacing w:val="20"/>
          <w:sz w:val="44"/>
          <w:highlight w:val="none"/>
        </w:rPr>
      </w:pPr>
      <w:r>
        <w:rPr>
          <w:rFonts w:hint="eastAsia" w:ascii="宋体" w:hAnsi="宋体" w:cs="宋体"/>
          <w:b/>
          <w:spacing w:val="20"/>
          <w:sz w:val="44"/>
          <w:highlight w:val="none"/>
        </w:rPr>
        <w:t>启东市农业农村局</w:t>
      </w:r>
    </w:p>
    <w:p w14:paraId="408A5E8A">
      <w:pPr>
        <w:spacing w:line="312" w:lineRule="auto"/>
        <w:jc w:val="center"/>
        <w:rPr>
          <w:rFonts w:ascii="宋体" w:hAnsi="宋体" w:cs="宋体"/>
          <w:b/>
          <w:sz w:val="36"/>
          <w:szCs w:val="36"/>
          <w:highlight w:val="none"/>
        </w:rPr>
      </w:pPr>
      <w:r>
        <w:rPr>
          <w:rFonts w:hint="eastAsia" w:ascii="宋体" w:hAnsi="宋体" w:cs="宋体"/>
          <w:b/>
          <w:sz w:val="36"/>
          <w:szCs w:val="36"/>
          <w:highlight w:val="none"/>
        </w:rPr>
        <w:t>202</w:t>
      </w:r>
      <w:r>
        <w:rPr>
          <w:rFonts w:hint="eastAsia" w:ascii="宋体" w:hAnsi="宋体" w:cs="宋体"/>
          <w:b/>
          <w:sz w:val="36"/>
          <w:szCs w:val="36"/>
          <w:highlight w:val="none"/>
          <w:lang w:val="en-US" w:eastAsia="zh-CN"/>
        </w:rPr>
        <w:t>6</w:t>
      </w:r>
      <w:r>
        <w:rPr>
          <w:rFonts w:hint="eastAsia" w:ascii="宋体" w:hAnsi="宋体" w:cs="宋体"/>
          <w:b/>
          <w:sz w:val="36"/>
          <w:szCs w:val="36"/>
          <w:highlight w:val="none"/>
        </w:rPr>
        <w:t>年</w:t>
      </w:r>
      <w:r>
        <w:rPr>
          <w:rFonts w:hint="eastAsia" w:ascii="宋体" w:hAnsi="宋体" w:cs="宋体"/>
          <w:b/>
          <w:sz w:val="36"/>
          <w:szCs w:val="36"/>
          <w:highlight w:val="none"/>
          <w:lang w:val="en-US" w:eastAsia="zh-CN"/>
        </w:rPr>
        <w:t>8</w:t>
      </w:r>
      <w:r>
        <w:rPr>
          <w:rFonts w:hint="eastAsia" w:ascii="宋体" w:hAnsi="宋体" w:cs="宋体"/>
          <w:b/>
          <w:sz w:val="36"/>
          <w:szCs w:val="36"/>
          <w:highlight w:val="none"/>
        </w:rPr>
        <w:t>月</w:t>
      </w:r>
      <w:r>
        <w:rPr>
          <w:rFonts w:hint="eastAsia" w:ascii="宋体" w:hAnsi="宋体" w:cs="宋体"/>
          <w:b/>
          <w:sz w:val="36"/>
          <w:szCs w:val="36"/>
          <w:highlight w:val="none"/>
          <w:lang w:val="en-US" w:eastAsia="zh-CN"/>
        </w:rPr>
        <w:t>11</w:t>
      </w:r>
      <w:r>
        <w:rPr>
          <w:rFonts w:hint="eastAsia" w:ascii="宋体" w:hAnsi="宋体" w:cs="宋体"/>
          <w:b/>
          <w:sz w:val="36"/>
          <w:szCs w:val="36"/>
          <w:highlight w:val="none"/>
        </w:rPr>
        <w:t>日</w:t>
      </w:r>
    </w:p>
    <w:p w14:paraId="21B83590">
      <w:pPr>
        <w:adjustRightInd w:val="0"/>
        <w:snapToGrid w:val="0"/>
        <w:spacing w:line="312" w:lineRule="auto"/>
        <w:ind w:left="-157" w:leftChars="-75"/>
        <w:rPr>
          <w:rFonts w:ascii="宋体" w:hAnsi="宋体" w:cs="宋体"/>
          <w:b/>
          <w:snapToGrid w:val="0"/>
          <w:sz w:val="26"/>
          <w:szCs w:val="28"/>
          <w:highlight w:val="none"/>
          <w:u w:val="single"/>
        </w:rPr>
      </w:pPr>
    </w:p>
    <w:p w14:paraId="453D5022">
      <w:pPr>
        <w:pStyle w:val="7"/>
        <w:rPr>
          <w:highlight w:val="none"/>
        </w:rPr>
      </w:pPr>
    </w:p>
    <w:p w14:paraId="54341D4C">
      <w:pPr>
        <w:rPr>
          <w:highlight w:val="none"/>
        </w:rPr>
      </w:pPr>
    </w:p>
    <w:p w14:paraId="2C5237EE">
      <w:pPr>
        <w:adjustRightInd w:val="0"/>
        <w:snapToGrid w:val="0"/>
        <w:ind w:left="-157" w:leftChars="-75"/>
        <w:jc w:val="left"/>
        <w:rPr>
          <w:rFonts w:eastAsia="方正仿宋_GBK"/>
          <w:snapToGrid w:val="0"/>
          <w:sz w:val="32"/>
          <w:szCs w:val="32"/>
          <w:highlight w:val="none"/>
        </w:rPr>
      </w:pPr>
      <w:r>
        <w:rPr>
          <w:rFonts w:eastAsia="方正仿宋_GBK"/>
          <w:b/>
          <w:snapToGrid w:val="0"/>
          <w:sz w:val="32"/>
          <w:szCs w:val="32"/>
          <w:highlight w:val="none"/>
        </w:rPr>
        <w:t>地址:</w:t>
      </w:r>
      <w:r>
        <w:rPr>
          <w:rFonts w:hint="eastAsia" w:eastAsia="方正仿宋_GBK"/>
          <w:snapToGrid w:val="0"/>
          <w:sz w:val="32"/>
          <w:szCs w:val="32"/>
          <w:highlight w:val="none"/>
        </w:rPr>
        <w:t xml:space="preserve"> 启东市汇龙镇紫薇中路578号</w:t>
      </w:r>
      <w:r>
        <w:rPr>
          <w:rFonts w:eastAsia="方正仿宋_GBK"/>
          <w:snapToGrid w:val="0"/>
          <w:sz w:val="32"/>
          <w:szCs w:val="32"/>
          <w:highlight w:val="none"/>
        </w:rPr>
        <w:t xml:space="preserve">           </w:t>
      </w:r>
    </w:p>
    <w:p w14:paraId="21A45F2B">
      <w:pPr>
        <w:adjustRightInd w:val="0"/>
        <w:snapToGrid w:val="0"/>
        <w:ind w:left="-157" w:leftChars="-75"/>
        <w:jc w:val="left"/>
        <w:rPr>
          <w:rFonts w:eastAsia="方正仿宋_GBK"/>
          <w:snapToGrid w:val="0"/>
          <w:sz w:val="32"/>
          <w:szCs w:val="32"/>
          <w:highlight w:val="none"/>
        </w:rPr>
      </w:pPr>
      <w:r>
        <w:rPr>
          <w:rFonts w:eastAsia="方正仿宋_GBK"/>
          <w:b/>
          <w:snapToGrid w:val="0"/>
          <w:sz w:val="32"/>
          <w:szCs w:val="32"/>
          <w:highlight w:val="none"/>
        </w:rPr>
        <w:t>邮政编码：</w:t>
      </w:r>
      <w:r>
        <w:rPr>
          <w:rFonts w:eastAsia="方正仿宋_GBK"/>
          <w:snapToGrid w:val="0"/>
          <w:sz w:val="32"/>
          <w:szCs w:val="32"/>
          <w:highlight w:val="none"/>
        </w:rPr>
        <w:t>226</w:t>
      </w:r>
      <w:r>
        <w:rPr>
          <w:rFonts w:hint="eastAsia" w:eastAsia="方正仿宋_GBK"/>
          <w:snapToGrid w:val="0"/>
          <w:sz w:val="32"/>
          <w:szCs w:val="32"/>
          <w:highlight w:val="none"/>
        </w:rPr>
        <w:t>200</w:t>
      </w:r>
      <w:r>
        <w:rPr>
          <w:rFonts w:eastAsia="方正仿宋_GBK"/>
          <w:snapToGrid w:val="0"/>
          <w:sz w:val="32"/>
          <w:szCs w:val="32"/>
          <w:highlight w:val="none"/>
        </w:rPr>
        <w:t xml:space="preserve">        </w:t>
      </w:r>
    </w:p>
    <w:p w14:paraId="4BC88466">
      <w:pPr>
        <w:adjustRightInd w:val="0"/>
        <w:snapToGrid w:val="0"/>
        <w:ind w:left="-157" w:leftChars="-75" w:right="-600" w:rightChars="-286"/>
        <w:rPr>
          <w:rFonts w:eastAsia="方正仿宋_GBK"/>
          <w:snapToGrid w:val="0"/>
          <w:sz w:val="32"/>
          <w:szCs w:val="32"/>
          <w:highlight w:val="none"/>
        </w:rPr>
      </w:pPr>
      <w:r>
        <w:rPr>
          <w:rFonts w:hint="eastAsia" w:eastAsia="方正仿宋_GBK"/>
          <w:b/>
          <w:snapToGrid w:val="0"/>
          <w:sz w:val="32"/>
          <w:szCs w:val="32"/>
          <w:highlight w:val="none"/>
        </w:rPr>
        <w:t>江苏</w:t>
      </w:r>
      <w:r>
        <w:rPr>
          <w:rFonts w:eastAsia="方正仿宋_GBK"/>
          <w:b/>
          <w:snapToGrid w:val="0"/>
          <w:sz w:val="32"/>
          <w:szCs w:val="32"/>
          <w:highlight w:val="none"/>
        </w:rPr>
        <w:t>政府采购网</w:t>
      </w:r>
    </w:p>
    <w:p w14:paraId="66DD3DC5">
      <w:pPr>
        <w:tabs>
          <w:tab w:val="left" w:pos="1260"/>
        </w:tabs>
        <w:adjustRightInd w:val="0"/>
        <w:snapToGrid w:val="0"/>
        <w:spacing w:line="312" w:lineRule="auto"/>
        <w:ind w:left="-157" w:leftChars="-75" w:right="-600" w:rightChars="-286"/>
        <w:rPr>
          <w:rFonts w:ascii="Times New Roman" w:hAnsi="Times New Roman" w:eastAsia="方正仿宋_GBK"/>
          <w:sz w:val="32"/>
          <w:szCs w:val="32"/>
          <w:highlight w:val="none"/>
        </w:rPr>
      </w:pPr>
      <w:r>
        <w:rPr>
          <w:rFonts w:ascii="Times New Roman" w:hAnsi="Times New Roman" w:eastAsia="方正仿宋_GBK"/>
          <w:sz w:val="32"/>
          <w:szCs w:val="32"/>
          <w:highlight w:val="none"/>
        </w:rPr>
        <w:tab/>
      </w:r>
    </w:p>
    <w:p w14:paraId="648B7ABE">
      <w:pPr>
        <w:tabs>
          <w:tab w:val="left" w:pos="1260"/>
        </w:tabs>
        <w:adjustRightInd w:val="0"/>
        <w:snapToGrid w:val="0"/>
        <w:spacing w:line="312" w:lineRule="auto"/>
        <w:ind w:left="-157" w:leftChars="-75" w:right="-600" w:rightChars="-286"/>
        <w:rPr>
          <w:rFonts w:ascii="Times New Roman" w:hAnsi="Times New Roman" w:eastAsia="方正仿宋_GBK"/>
          <w:sz w:val="32"/>
          <w:szCs w:val="32"/>
          <w:highlight w:val="none"/>
        </w:rPr>
        <w:sectPr>
          <w:pgSz w:w="11906" w:h="16838"/>
          <w:pgMar w:top="1440" w:right="1758" w:bottom="1440" w:left="1758" w:header="851" w:footer="850" w:gutter="0"/>
          <w:pgNumType w:start="132"/>
          <w:cols w:space="720" w:num="1"/>
          <w:docGrid w:type="linesAndChars" w:linePitch="312" w:charSpace="0"/>
        </w:sectPr>
      </w:pPr>
      <w:r>
        <w:rPr>
          <w:rFonts w:ascii="Times New Roman" w:hAnsi="Times New Roman" w:eastAsia="方正仿宋_GBK"/>
          <w:sz w:val="32"/>
          <w:szCs w:val="32"/>
          <w:highlight w:val="none"/>
        </w:rPr>
        <w:tab/>
      </w:r>
    </w:p>
    <w:p w14:paraId="3DEF101F">
      <w:pPr>
        <w:autoSpaceDE w:val="0"/>
        <w:autoSpaceDN w:val="0"/>
        <w:adjustRightInd w:val="0"/>
        <w:snapToGrid w:val="0"/>
        <w:spacing w:line="360" w:lineRule="auto"/>
        <w:jc w:val="center"/>
        <w:outlineLvl w:val="0"/>
        <w:rPr>
          <w:rFonts w:ascii="方正黑体_GBK" w:hAnsi="宋体" w:eastAsia="方正黑体_GBK" w:cs="宋体"/>
          <w:bCs/>
          <w:spacing w:val="7"/>
          <w:kern w:val="0"/>
          <w:sz w:val="44"/>
          <w:szCs w:val="44"/>
          <w:highlight w:val="none"/>
        </w:rPr>
      </w:pPr>
      <w:r>
        <w:rPr>
          <w:rFonts w:hint="eastAsia" w:ascii="方正黑体_GBK" w:hAnsi="宋体" w:eastAsia="方正黑体_GBK" w:cs="宋体"/>
          <w:bCs/>
          <w:spacing w:val="7"/>
          <w:kern w:val="0"/>
          <w:sz w:val="44"/>
          <w:szCs w:val="44"/>
          <w:highlight w:val="none"/>
        </w:rPr>
        <w:t>目录</w:t>
      </w:r>
    </w:p>
    <w:p w14:paraId="7570DBAA">
      <w:pPr>
        <w:autoSpaceDE w:val="0"/>
        <w:autoSpaceDN w:val="0"/>
        <w:adjustRightInd w:val="0"/>
        <w:snapToGrid w:val="0"/>
        <w:spacing w:line="360" w:lineRule="auto"/>
        <w:rPr>
          <w:rFonts w:ascii="方正黑体_GBK" w:hAnsi="宋体" w:eastAsia="方正黑体_GBK" w:cs="宋体"/>
          <w:bCs/>
          <w:spacing w:val="7"/>
          <w:kern w:val="0"/>
          <w:sz w:val="28"/>
          <w:szCs w:val="28"/>
          <w:highlight w:val="none"/>
        </w:rPr>
      </w:pPr>
    </w:p>
    <w:p w14:paraId="26820DE3">
      <w:pPr>
        <w:pStyle w:val="7"/>
        <w:adjustRightInd w:val="0"/>
        <w:snapToGrid w:val="0"/>
        <w:spacing w:after="0" w:line="360" w:lineRule="auto"/>
        <w:rPr>
          <w:highlight w:val="none"/>
        </w:rPr>
      </w:pPr>
    </w:p>
    <w:p w14:paraId="0FDC8F7B">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第一部分  询价采购公告</w:t>
      </w:r>
    </w:p>
    <w:p w14:paraId="51AF84F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第二部分  响应须知</w:t>
      </w:r>
    </w:p>
    <w:p w14:paraId="2345E95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第三部分  项目需求</w:t>
      </w:r>
    </w:p>
    <w:p w14:paraId="7CBBDD5F">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第四部分  响应文件格式</w:t>
      </w:r>
    </w:p>
    <w:p w14:paraId="07F93012">
      <w:pPr>
        <w:autoSpaceDE w:val="0"/>
        <w:autoSpaceDN w:val="0"/>
        <w:adjustRightInd w:val="0"/>
        <w:snapToGrid w:val="0"/>
        <w:spacing w:line="500" w:lineRule="exact"/>
        <w:jc w:val="center"/>
        <w:outlineLvl w:val="0"/>
        <w:rPr>
          <w:rFonts w:ascii="方正小标宋_GBK" w:hAnsi="宋体" w:eastAsia="方正小标宋_GBK"/>
          <w:sz w:val="36"/>
          <w:szCs w:val="36"/>
          <w:highlight w:val="none"/>
        </w:rPr>
      </w:pPr>
      <w:r>
        <w:rPr>
          <w:rFonts w:hint="eastAsia" w:ascii="宋体" w:hAnsi="宋体" w:cs="宋体"/>
          <w:spacing w:val="7"/>
          <w:kern w:val="0"/>
          <w:sz w:val="28"/>
          <w:szCs w:val="28"/>
          <w:highlight w:val="none"/>
        </w:rPr>
        <w:br w:type="page"/>
      </w:r>
      <w:bookmarkStart w:id="0" w:name="OLE_LINK1"/>
      <w:bookmarkStart w:id="1" w:name="OLE_LINK2"/>
      <w:bookmarkStart w:id="2" w:name="OLE_LINK3"/>
      <w:bookmarkStart w:id="3" w:name="OLE_LINK5"/>
      <w:bookmarkStart w:id="4" w:name="OLE_LINK6"/>
      <w:r>
        <w:rPr>
          <w:rFonts w:hint="eastAsia" w:ascii="方正小标宋_GBK" w:hAnsi="宋体" w:eastAsia="方正小标宋_GBK"/>
          <w:sz w:val="36"/>
          <w:szCs w:val="36"/>
          <w:highlight w:val="none"/>
          <w:lang w:val="zh-CN"/>
        </w:rPr>
        <w:t>第一部分  询价采购公告</w:t>
      </w:r>
    </w:p>
    <w:p w14:paraId="50B71A3D">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受[</w:t>
      </w:r>
      <w:r>
        <w:rPr>
          <w:rFonts w:hint="eastAsia" w:ascii="Times New Roman" w:hAnsi="Times New Roman" w:eastAsia="方正仿宋_GBK"/>
          <w:sz w:val="28"/>
          <w:szCs w:val="28"/>
          <w:highlight w:val="none"/>
        </w:rPr>
        <w:t>启东市农业农村局</w:t>
      </w:r>
      <w:r>
        <w:rPr>
          <w:rFonts w:ascii="Times New Roman" w:hAnsi="Times New Roman" w:eastAsia="方正仿宋_GBK"/>
          <w:sz w:val="28"/>
          <w:szCs w:val="28"/>
          <w:highlight w:val="none"/>
        </w:rPr>
        <w:t>]的委托，就[</w:t>
      </w:r>
      <w:r>
        <w:rPr>
          <w:rFonts w:hint="eastAsia" w:ascii="Times New Roman" w:hAnsi="Times New Roman" w:eastAsia="方正仿宋_GBK"/>
          <w:sz w:val="28"/>
          <w:szCs w:val="28"/>
          <w:highlight w:val="none"/>
          <w:lang w:eastAsia="zh-CN"/>
        </w:rPr>
        <w:t>启东市2026年度绿色高产高效县行动建设物化产品采购项目（一标包）（二次）</w:t>
      </w:r>
      <w:r>
        <w:rPr>
          <w:rFonts w:ascii="Times New Roman" w:hAnsi="Times New Roman" w:eastAsia="方正仿宋_GBK"/>
          <w:sz w:val="28"/>
          <w:szCs w:val="28"/>
          <w:highlight w:val="none"/>
        </w:rPr>
        <w:t>](项目</w:t>
      </w:r>
      <w:r>
        <w:rPr>
          <w:rFonts w:hint="eastAsia" w:ascii="Times New Roman" w:hAnsi="Times New Roman" w:eastAsia="方正仿宋_GBK"/>
          <w:sz w:val="28"/>
          <w:szCs w:val="28"/>
          <w:highlight w:val="none"/>
        </w:rPr>
        <w:t>编</w:t>
      </w:r>
      <w:r>
        <w:rPr>
          <w:rFonts w:ascii="Times New Roman" w:hAnsi="Times New Roman" w:eastAsia="方正仿宋_GBK"/>
          <w:sz w:val="28"/>
          <w:szCs w:val="28"/>
          <w:highlight w:val="none"/>
        </w:rPr>
        <w:t>号</w:t>
      </w:r>
      <w:r>
        <w:rPr>
          <w:rFonts w:hint="eastAsia" w:ascii="Times New Roman" w:hAnsi="Times New Roman" w:eastAsia="方正仿宋_GBK"/>
          <w:sz w:val="28"/>
          <w:szCs w:val="28"/>
          <w:highlight w:val="none"/>
          <w:lang w:eastAsia="zh-CN"/>
        </w:rPr>
        <w:t>JSZC-320681-JSYC-X2026-0023</w:t>
      </w:r>
      <w:r>
        <w:rPr>
          <w:rFonts w:ascii="Times New Roman" w:hAnsi="Times New Roman" w:eastAsia="方正仿宋_GBK"/>
          <w:sz w:val="28"/>
          <w:szCs w:val="28"/>
          <w:highlight w:val="none"/>
        </w:rPr>
        <w:t>)进行询价采购，欢迎符合条件的供应商响应。</w:t>
      </w:r>
    </w:p>
    <w:p w14:paraId="10334517">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项目概况</w:t>
      </w:r>
    </w:p>
    <w:p w14:paraId="1A44B9D9">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lang w:eastAsia="zh-CN"/>
        </w:rPr>
        <w:t>启东市2026年度绿色高产高效县行动建设物化产品采购项目（一标包）（二次）</w:t>
      </w:r>
      <w:r>
        <w:rPr>
          <w:rFonts w:ascii="Times New Roman" w:hAnsi="Times New Roman" w:eastAsia="方正仿宋_GBK"/>
          <w:sz w:val="28"/>
          <w:szCs w:val="28"/>
          <w:highlight w:val="none"/>
        </w:rPr>
        <w:t>]的潜在响应供应商应在</w:t>
      </w:r>
      <w:r>
        <w:rPr>
          <w:rFonts w:hint="eastAsia" w:eastAsia="方正仿宋_GBK"/>
          <w:sz w:val="28"/>
          <w:szCs w:val="28"/>
          <w:highlight w:val="none"/>
        </w:rPr>
        <w:t>江苏</w:t>
      </w:r>
      <w:r>
        <w:rPr>
          <w:rFonts w:eastAsia="方正仿宋_GBK"/>
          <w:sz w:val="28"/>
          <w:szCs w:val="28"/>
          <w:highlight w:val="none"/>
        </w:rPr>
        <w:t>政府采购网</w:t>
      </w:r>
      <w:r>
        <w:rPr>
          <w:rFonts w:ascii="Times New Roman" w:hAnsi="Times New Roman" w:eastAsia="方正仿宋_GBK"/>
          <w:sz w:val="28"/>
          <w:szCs w:val="28"/>
          <w:highlight w:val="none"/>
        </w:rPr>
        <w:t>获取采购文件，并于</w:t>
      </w:r>
      <w:r>
        <w:rPr>
          <w:rFonts w:hint="eastAsia" w:ascii="Times New Roman" w:hAnsi="Times New Roman" w:eastAsia="方正仿宋_GBK"/>
          <w:sz w:val="28"/>
          <w:szCs w:val="28"/>
          <w:highlight w:val="none"/>
        </w:rPr>
        <w:t>202</w:t>
      </w:r>
      <w:r>
        <w:rPr>
          <w:rFonts w:hint="eastAsia" w:ascii="Times New Roman" w:hAnsi="Times New Roman" w:eastAsia="方正仿宋_GBK"/>
          <w:sz w:val="28"/>
          <w:szCs w:val="28"/>
          <w:highlight w:val="none"/>
          <w:lang w:val="en-US" w:eastAsia="zh-CN"/>
        </w:rPr>
        <w:t>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8</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rPr>
        <w:t xml:space="preserve"> </w:t>
      </w:r>
      <w:r>
        <w:rPr>
          <w:rFonts w:hint="eastAsia" w:ascii="Times New Roman" w:hAnsi="Times New Roman" w:eastAsia="方正仿宋_GBK"/>
          <w:sz w:val="28"/>
          <w:szCs w:val="28"/>
          <w:highlight w:val="none"/>
          <w:lang w:val="en-US" w:eastAsia="zh-CN"/>
        </w:rPr>
        <w:t xml:space="preserve">   17</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rPr>
        <w:t>9</w:t>
      </w:r>
      <w:r>
        <w:rPr>
          <w:rFonts w:ascii="Times New Roman" w:hAnsi="Times New Roman" w:eastAsia="方正仿宋_GBK"/>
          <w:sz w:val="28"/>
          <w:szCs w:val="28"/>
          <w:highlight w:val="none"/>
        </w:rPr>
        <w:t>点</w:t>
      </w:r>
      <w:r>
        <w:rPr>
          <w:rFonts w:hint="eastAsia" w:ascii="Times New Roman" w:hAnsi="Times New Roman" w:eastAsia="方正仿宋_GBK"/>
          <w:sz w:val="28"/>
          <w:szCs w:val="28"/>
          <w:highlight w:val="none"/>
        </w:rPr>
        <w:t>00</w:t>
      </w:r>
      <w:r>
        <w:rPr>
          <w:rFonts w:ascii="Times New Roman" w:hAnsi="Times New Roman" w:eastAsia="方正仿宋_GBK"/>
          <w:sz w:val="28"/>
          <w:szCs w:val="28"/>
          <w:highlight w:val="none"/>
        </w:rPr>
        <w:t>分（北京时间）前递交响应文件。</w:t>
      </w:r>
    </w:p>
    <w:p w14:paraId="7764DD23">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5" w:name="_Toc82505652"/>
      <w:r>
        <w:rPr>
          <w:rFonts w:ascii="Times New Roman" w:hAnsi="Times New Roman" w:eastAsia="方正仿宋_GBK"/>
          <w:b/>
          <w:bCs/>
          <w:sz w:val="28"/>
          <w:szCs w:val="28"/>
          <w:highlight w:val="none"/>
        </w:rPr>
        <w:t>一、项目基本情况</w:t>
      </w:r>
      <w:bookmarkEnd w:id="5"/>
    </w:p>
    <w:p w14:paraId="37358FB1">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lang w:eastAsia="zh-CN"/>
        </w:rPr>
        <w:t>JSZC-320681-JSYC-X2026-0023</w:t>
      </w:r>
    </w:p>
    <w:p w14:paraId="2A7F6DF7">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ascii="Times New Roman" w:hAnsi="Times New Roman" w:eastAsia="方正仿宋_GBK"/>
          <w:sz w:val="28"/>
          <w:szCs w:val="28"/>
          <w:highlight w:val="none"/>
        </w:rPr>
        <w:t>项目名称：</w:t>
      </w:r>
      <w:r>
        <w:rPr>
          <w:rFonts w:hint="eastAsia" w:ascii="Times New Roman" w:hAnsi="Times New Roman" w:eastAsia="方正仿宋_GBK"/>
          <w:sz w:val="28"/>
          <w:szCs w:val="28"/>
          <w:highlight w:val="none"/>
          <w:lang w:eastAsia="zh-CN"/>
        </w:rPr>
        <w:t>启东市2026年度绿色高产高效县行动建设物化产品采购项目（一标包）（二次）</w:t>
      </w:r>
    </w:p>
    <w:p w14:paraId="2CADA2E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项目类型：货物</w:t>
      </w:r>
    </w:p>
    <w:p w14:paraId="302AE89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所属行业：</w:t>
      </w:r>
      <w:r>
        <w:rPr>
          <w:rFonts w:hint="eastAsia" w:ascii="Times New Roman" w:hAnsi="Times New Roman" w:eastAsia="方正仿宋_GBK"/>
          <w:sz w:val="28"/>
          <w:szCs w:val="28"/>
          <w:highlight w:val="none"/>
        </w:rPr>
        <w:t>工业</w:t>
      </w:r>
    </w:p>
    <w:p w14:paraId="6ACFC8D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预算金额：</w:t>
      </w:r>
      <w:r>
        <w:rPr>
          <w:rFonts w:hint="eastAsia" w:ascii="Times New Roman" w:hAnsi="Times New Roman" w:eastAsia="方正仿宋_GBK"/>
          <w:sz w:val="28"/>
          <w:szCs w:val="28"/>
          <w:highlight w:val="none"/>
        </w:rPr>
        <w:t>一标包：10</w:t>
      </w:r>
      <w:r>
        <w:rPr>
          <w:rFonts w:hint="eastAsia" w:ascii="Times New Roman" w:hAnsi="Times New Roman" w:eastAsia="方正仿宋_GBK"/>
          <w:sz w:val="28"/>
          <w:szCs w:val="28"/>
          <w:highlight w:val="none"/>
          <w:lang w:val="en-US" w:eastAsia="zh-CN"/>
        </w:rPr>
        <w:t>9</w:t>
      </w:r>
      <w:r>
        <w:rPr>
          <w:rFonts w:hint="eastAsia" w:ascii="Times New Roman" w:hAnsi="Times New Roman" w:eastAsia="方正仿宋_GBK"/>
          <w:sz w:val="28"/>
          <w:szCs w:val="28"/>
          <w:highlight w:val="none"/>
        </w:rPr>
        <w:t>万元</w:t>
      </w:r>
      <w:r>
        <w:rPr>
          <w:rFonts w:ascii="Times New Roman" w:hAnsi="Times New Roman" w:eastAsia="方正仿宋_GBK"/>
          <w:sz w:val="28"/>
          <w:szCs w:val="28"/>
          <w:highlight w:val="none"/>
        </w:rPr>
        <w:t>。</w:t>
      </w:r>
    </w:p>
    <w:p w14:paraId="6D69C55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最高限价：固定总额</w:t>
      </w:r>
      <w:r>
        <w:rPr>
          <w:rFonts w:hint="eastAsia" w:ascii="Times New Roman" w:hAnsi="Times New Roman" w:eastAsia="方正仿宋_GBK"/>
          <w:sz w:val="28"/>
          <w:szCs w:val="28"/>
          <w:highlight w:val="none"/>
        </w:rPr>
        <w:t>（一标包：10</w:t>
      </w:r>
      <w:r>
        <w:rPr>
          <w:rFonts w:hint="eastAsia" w:ascii="Times New Roman" w:hAnsi="Times New Roman" w:eastAsia="方正仿宋_GBK"/>
          <w:sz w:val="28"/>
          <w:szCs w:val="28"/>
          <w:highlight w:val="none"/>
          <w:lang w:val="en-US" w:eastAsia="zh-CN"/>
        </w:rPr>
        <w:t>9</w:t>
      </w:r>
      <w:r>
        <w:rPr>
          <w:rFonts w:hint="eastAsia" w:ascii="Times New Roman" w:hAnsi="Times New Roman" w:eastAsia="方正仿宋_GBK"/>
          <w:sz w:val="28"/>
          <w:szCs w:val="28"/>
          <w:highlight w:val="none"/>
        </w:rPr>
        <w:t>万元）采购，单价最高限价详见第三部分《项目需求》。</w:t>
      </w:r>
    </w:p>
    <w:p w14:paraId="1815B0A9">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采购需求：详见采购文件第三部分项目需求，请仔细研究。</w:t>
      </w:r>
    </w:p>
    <w:p w14:paraId="0F2E2394">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合同履行期限：详见采购文件第三部分。</w:t>
      </w:r>
    </w:p>
    <w:p w14:paraId="72A1540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本项目</w:t>
      </w:r>
      <w:r>
        <w:rPr>
          <w:rFonts w:hint="eastAsia" w:ascii="Times New Roman" w:hAnsi="Times New Roman" w:eastAsia="方正仿宋_GBK"/>
          <w:sz w:val="28"/>
          <w:szCs w:val="28"/>
          <w:highlight w:val="none"/>
        </w:rPr>
        <w:t>不</w:t>
      </w:r>
      <w:r>
        <w:rPr>
          <w:rFonts w:ascii="Times New Roman" w:hAnsi="Times New Roman" w:eastAsia="方正仿宋_GBK"/>
          <w:sz w:val="28"/>
          <w:szCs w:val="28"/>
          <w:highlight w:val="none"/>
        </w:rPr>
        <w:t>接受联合体。</w:t>
      </w:r>
    </w:p>
    <w:p w14:paraId="484EA929">
      <w:pPr>
        <w:adjustRightInd w:val="0"/>
        <w:snapToGrid w:val="0"/>
        <w:spacing w:line="500" w:lineRule="exact"/>
        <w:ind w:firstLine="560" w:firstLineChars="200"/>
        <w:rPr>
          <w:rFonts w:ascii="Times New Roman" w:hAnsi="Times New Roman"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不</w:t>
      </w:r>
      <w:r>
        <w:rPr>
          <w:rFonts w:eastAsia="方正仿宋_GBK"/>
          <w:sz w:val="28"/>
          <w:szCs w:val="28"/>
          <w:highlight w:val="none"/>
        </w:rPr>
        <w:t>接受</w:t>
      </w:r>
      <w:r>
        <w:rPr>
          <w:rFonts w:hint="eastAsia" w:eastAsia="方正仿宋_GBK"/>
          <w:sz w:val="28"/>
          <w:szCs w:val="28"/>
          <w:highlight w:val="none"/>
        </w:rPr>
        <w:t>分包</w:t>
      </w:r>
      <w:r>
        <w:rPr>
          <w:rFonts w:eastAsia="方正仿宋_GBK"/>
          <w:sz w:val="28"/>
          <w:szCs w:val="28"/>
          <w:highlight w:val="none"/>
        </w:rPr>
        <w:t>。</w:t>
      </w:r>
    </w:p>
    <w:p w14:paraId="343B717D">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6" w:name="_Toc82505653"/>
      <w:r>
        <w:rPr>
          <w:rFonts w:ascii="Times New Roman" w:hAnsi="Times New Roman" w:eastAsia="方正仿宋_GBK"/>
          <w:b/>
          <w:bCs/>
          <w:sz w:val="28"/>
          <w:szCs w:val="28"/>
          <w:highlight w:val="none"/>
        </w:rPr>
        <w:t>二、响应供应商的资格要求：</w:t>
      </w:r>
      <w:bookmarkEnd w:id="6"/>
    </w:p>
    <w:p w14:paraId="388696C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1.满足《中华人民共和国政府采购法》第二十二条规定；</w:t>
      </w:r>
    </w:p>
    <w:p w14:paraId="65F9C07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2.落实政府采购政策需满足的资格要求：</w:t>
      </w:r>
      <w:r>
        <w:rPr>
          <w:rFonts w:hint="eastAsia" w:ascii="Times New Roman" w:hAnsi="Times New Roman" w:eastAsia="方正仿宋_GBK"/>
          <w:sz w:val="28"/>
          <w:szCs w:val="28"/>
          <w:highlight w:val="none"/>
        </w:rPr>
        <w:t>无</w:t>
      </w:r>
    </w:p>
    <w:p w14:paraId="3A05628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3.本项目特定资格要求：</w:t>
      </w:r>
    </w:p>
    <w:p w14:paraId="7C4DEC9A">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hint="eastAsia" w:ascii="Times New Roman" w:hAnsi="Times New Roman" w:eastAsia="方正仿宋_GBK"/>
          <w:sz w:val="28"/>
          <w:szCs w:val="28"/>
          <w:highlight w:val="none"/>
          <w:lang w:eastAsia="zh-CN"/>
        </w:rPr>
        <w:t>（</w:t>
      </w:r>
      <w:r>
        <w:rPr>
          <w:rFonts w:hint="eastAsia" w:ascii="Times New Roman" w:hAnsi="Times New Roman" w:eastAsia="方正仿宋_GBK"/>
          <w:sz w:val="28"/>
          <w:szCs w:val="28"/>
          <w:highlight w:val="none"/>
          <w:lang w:val="en-US" w:eastAsia="zh-CN"/>
        </w:rPr>
        <w:t>1</w:t>
      </w:r>
      <w:r>
        <w:rPr>
          <w:rFonts w:hint="eastAsia" w:ascii="Times New Roman" w:hAnsi="Times New Roman" w:eastAsia="方正仿宋_GBK"/>
          <w:sz w:val="28"/>
          <w:szCs w:val="28"/>
          <w:highlight w:val="none"/>
          <w:lang w:eastAsia="zh-CN"/>
        </w:rPr>
        <w:t>）</w:t>
      </w:r>
      <w:r>
        <w:rPr>
          <w:rFonts w:eastAsia="方正仿宋_GBK"/>
          <w:color w:val="000000"/>
          <w:kern w:val="0"/>
          <w:sz w:val="28"/>
          <w:szCs w:val="28"/>
        </w:rPr>
        <w:t>在“信用中国”网站</w:t>
      </w:r>
      <w:r>
        <w:rPr>
          <w:rFonts w:ascii="Times New Roman" w:hAnsi="Times New Roman" w:eastAsia="方正仿宋_GBK"/>
          <w:color w:val="000000"/>
          <w:kern w:val="0"/>
          <w:sz w:val="28"/>
          <w:szCs w:val="28"/>
        </w:rPr>
        <w:t>（www.creditchina.gov.cn）</w:t>
      </w:r>
      <w:r>
        <w:rPr>
          <w:rFonts w:eastAsia="方正仿宋_GBK"/>
          <w:color w:val="000000"/>
          <w:kern w:val="0"/>
          <w:sz w:val="28"/>
          <w:szCs w:val="28"/>
        </w:rPr>
        <w:t>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kern w:val="0"/>
          <w:sz w:val="28"/>
          <w:szCs w:val="28"/>
        </w:rPr>
        <w:t>响应</w:t>
      </w:r>
      <w:r>
        <w:rPr>
          <w:rFonts w:eastAsia="方正仿宋_GBK"/>
          <w:color w:val="000000"/>
          <w:kern w:val="0"/>
          <w:sz w:val="28"/>
          <w:szCs w:val="28"/>
        </w:rPr>
        <w:t>文件中无需提供证明材料）</w:t>
      </w:r>
      <w:r>
        <w:rPr>
          <w:rFonts w:hint="eastAsia" w:ascii="Times New Roman" w:hAnsi="Times New Roman" w:eastAsia="方正仿宋_GBK"/>
          <w:sz w:val="28"/>
          <w:szCs w:val="28"/>
          <w:highlight w:val="none"/>
          <w:lang w:eastAsia="zh-CN"/>
        </w:rPr>
        <w:t>。</w:t>
      </w:r>
    </w:p>
    <w:p w14:paraId="4CE1E71C">
      <w:pPr>
        <w:adjustRightInd w:val="0"/>
        <w:snapToGrid w:val="0"/>
        <w:spacing w:line="500" w:lineRule="exact"/>
        <w:ind w:firstLine="560" w:firstLineChars="200"/>
        <w:rPr>
          <w:rFonts w:hint="eastAsia" w:ascii="Times New Roman" w:hAnsi="Times New Roman" w:eastAsia="方正仿宋_GBK"/>
          <w:color w:val="auto"/>
          <w:sz w:val="28"/>
          <w:szCs w:val="28"/>
          <w:highlight w:val="none"/>
        </w:rPr>
      </w:pPr>
      <w:r>
        <w:rPr>
          <w:rFonts w:hint="eastAsia" w:ascii="Times New Roman" w:hAnsi="Times New Roman" w:eastAsia="方正仿宋_GBK"/>
          <w:sz w:val="28"/>
          <w:szCs w:val="28"/>
          <w:highlight w:val="none"/>
          <w:lang w:eastAsia="zh-CN"/>
        </w:rPr>
        <w:t>（</w:t>
      </w:r>
      <w:r>
        <w:rPr>
          <w:rFonts w:hint="eastAsia" w:ascii="Times New Roman" w:hAnsi="Times New Roman" w:eastAsia="方正仿宋_GBK"/>
          <w:sz w:val="28"/>
          <w:szCs w:val="28"/>
          <w:highlight w:val="none"/>
          <w:lang w:val="en-US" w:eastAsia="zh-CN"/>
        </w:rPr>
        <w:t>2</w:t>
      </w:r>
      <w:r>
        <w:rPr>
          <w:rFonts w:hint="eastAsia" w:ascii="Times New Roman" w:hAnsi="Times New Roman" w:eastAsia="方正仿宋_GBK"/>
          <w:sz w:val="28"/>
          <w:szCs w:val="28"/>
          <w:highlight w:val="none"/>
          <w:lang w:eastAsia="zh-CN"/>
        </w:rPr>
        <w:t>）</w:t>
      </w:r>
      <w:r>
        <w:rPr>
          <w:rFonts w:hint="eastAsia" w:ascii="Times New Roman" w:hAnsi="Times New Roman" w:eastAsia="方正仿宋_GBK"/>
          <w:sz w:val="28"/>
          <w:szCs w:val="28"/>
          <w:highlight w:val="none"/>
        </w:rPr>
        <w:t>参加一标包报价的供应商，如为经销商须提供农药经营许可证，如为生产厂商须提供农药生产及经营许可证；</w:t>
      </w:r>
      <w:r>
        <w:rPr>
          <w:rFonts w:hint="eastAsia" w:ascii="Times New Roman" w:hAnsi="Times New Roman" w:eastAsia="方正仿宋_GBK"/>
          <w:color w:val="auto"/>
          <w:sz w:val="28"/>
          <w:szCs w:val="28"/>
          <w:highlight w:val="none"/>
        </w:rPr>
        <w:t>同时所提供农药其登记作物/场所</w:t>
      </w:r>
      <w:r>
        <w:rPr>
          <w:rFonts w:hint="eastAsia" w:ascii="Times New Roman" w:hAnsi="Times New Roman" w:eastAsia="方正仿宋_GBK"/>
          <w:color w:val="auto"/>
          <w:sz w:val="28"/>
          <w:szCs w:val="28"/>
          <w:highlight w:val="none"/>
          <w:lang w:eastAsia="zh-CN"/>
        </w:rPr>
        <w:t>除</w:t>
      </w:r>
      <w:r>
        <w:rPr>
          <w:rFonts w:hint="eastAsia" w:ascii="Times New Roman" w:hAnsi="Times New Roman" w:eastAsia="方正仿宋_GBK"/>
          <w:color w:val="auto"/>
          <w:sz w:val="28"/>
          <w:szCs w:val="28"/>
          <w:highlight w:val="none"/>
        </w:rPr>
        <w:t>氯虫苯甲酰胺</w:t>
      </w:r>
      <w:r>
        <w:rPr>
          <w:rFonts w:hint="eastAsia" w:ascii="Times New Roman" w:hAnsi="Times New Roman" w:eastAsia="方正仿宋_GBK"/>
          <w:color w:val="auto"/>
          <w:sz w:val="28"/>
          <w:szCs w:val="28"/>
          <w:highlight w:val="none"/>
          <w:lang w:eastAsia="zh-CN"/>
        </w:rPr>
        <w:t>可包括</w:t>
      </w:r>
      <w:r>
        <w:rPr>
          <w:rFonts w:hint="eastAsia" w:ascii="Times New Roman" w:hAnsi="Times New Roman" w:eastAsia="方正仿宋_GBK"/>
          <w:color w:val="auto"/>
          <w:sz w:val="28"/>
          <w:szCs w:val="28"/>
          <w:highlight w:val="none"/>
        </w:rPr>
        <w:t>大豆（菜用大豆）</w:t>
      </w:r>
      <w:r>
        <w:rPr>
          <w:rFonts w:hint="eastAsia" w:ascii="Times New Roman" w:hAnsi="Times New Roman" w:eastAsia="方正仿宋_GBK"/>
          <w:color w:val="auto"/>
          <w:sz w:val="28"/>
          <w:szCs w:val="28"/>
          <w:highlight w:val="none"/>
          <w:lang w:eastAsia="zh-CN"/>
        </w:rPr>
        <w:t>和玉米，其他农药的</w:t>
      </w:r>
      <w:r>
        <w:rPr>
          <w:rFonts w:hint="eastAsia" w:ascii="Times New Roman" w:hAnsi="Times New Roman" w:eastAsia="方正仿宋_GBK"/>
          <w:color w:val="auto"/>
          <w:sz w:val="28"/>
          <w:szCs w:val="28"/>
          <w:highlight w:val="none"/>
        </w:rPr>
        <w:t>登记作物/场所须包括大豆（菜用大豆）。</w:t>
      </w:r>
    </w:p>
    <w:p w14:paraId="7511EAA6">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7" w:name="_Toc82505654"/>
      <w:r>
        <w:rPr>
          <w:rFonts w:ascii="Times New Roman" w:hAnsi="Times New Roman" w:eastAsia="方正仿宋_GBK"/>
          <w:b/>
          <w:bCs/>
          <w:sz w:val="28"/>
          <w:szCs w:val="28"/>
          <w:highlight w:val="none"/>
        </w:rPr>
        <w:t>三、获取采购文件</w:t>
      </w:r>
      <w:bookmarkEnd w:id="7"/>
    </w:p>
    <w:p w14:paraId="4C3845A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时间：</w:t>
      </w:r>
      <w:r>
        <w:rPr>
          <w:rFonts w:hint="eastAsia" w:eastAsia="方正仿宋_GBK"/>
          <w:sz w:val="28"/>
          <w:szCs w:val="28"/>
          <w:highlight w:val="none"/>
        </w:rPr>
        <w:t>自本公告发布之日</w:t>
      </w:r>
      <w:r>
        <w:rPr>
          <w:rFonts w:eastAsia="方正仿宋_GBK"/>
          <w:sz w:val="28"/>
          <w:szCs w:val="28"/>
          <w:highlight w:val="none"/>
        </w:rPr>
        <w:t>起</w:t>
      </w:r>
      <w:r>
        <w:rPr>
          <w:rFonts w:ascii="Times New Roman" w:hAnsi="Times New Roman" w:eastAsia="方正仿宋_GBK"/>
          <w:sz w:val="28"/>
          <w:szCs w:val="28"/>
          <w:highlight w:val="none"/>
        </w:rPr>
        <w:t>至</w:t>
      </w:r>
      <w:r>
        <w:rPr>
          <w:rFonts w:hint="eastAsia" w:ascii="Times New Roman" w:hAnsi="Times New Roman" w:eastAsia="方正仿宋_GBK"/>
          <w:sz w:val="28"/>
          <w:szCs w:val="28"/>
          <w:highlight w:val="none"/>
        </w:rPr>
        <w:t>202</w:t>
      </w:r>
      <w:r>
        <w:rPr>
          <w:rFonts w:hint="eastAsia" w:ascii="Times New Roman" w:hAnsi="Times New Roman" w:eastAsia="方正仿宋_GBK"/>
          <w:sz w:val="28"/>
          <w:szCs w:val="28"/>
          <w:highlight w:val="none"/>
          <w:lang w:val="en-US" w:eastAsia="zh-CN"/>
        </w:rPr>
        <w:t>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8</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17</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rPr>
        <w:t>9点00分</w:t>
      </w:r>
    </w:p>
    <w:p w14:paraId="3D694B2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地点：</w:t>
      </w:r>
      <w:r>
        <w:rPr>
          <w:rFonts w:hint="eastAsia" w:eastAsia="方正仿宋_GBK"/>
          <w:sz w:val="28"/>
          <w:szCs w:val="28"/>
          <w:highlight w:val="none"/>
        </w:rPr>
        <w:t>江苏政府采购网（网上注册登记成功后系统内免费下载）</w:t>
      </w:r>
    </w:p>
    <w:p w14:paraId="4637E57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方式：</w:t>
      </w:r>
      <w:bookmarkStart w:id="8" w:name="_Toc82505655"/>
      <w:r>
        <w:rPr>
          <w:rFonts w:hint="eastAsia" w:ascii="Times New Roman" w:hAnsi="Times New Roman" w:eastAsia="方正仿宋_GBK"/>
          <w:sz w:val="28"/>
          <w:szCs w:val="28"/>
          <w:highlight w:val="none"/>
        </w:rPr>
        <w:t>本项目采用网上注册登记方式。</w:t>
      </w:r>
    </w:p>
    <w:p w14:paraId="6E749EAD">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1潜在供应商访问电子招标响应交易平台的网络地址和方法：</w:t>
      </w:r>
    </w:p>
    <w:p w14:paraId="485D073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imes New Roman" w:hAnsi="Times New Roman" w:eastAsia="方正仿宋_GBK"/>
          <w:sz w:val="28"/>
          <w:szCs w:val="28"/>
          <w:highlight w:val="none"/>
        </w:rPr>
        <w:t>—资料下载中</w:t>
      </w:r>
      <w:r>
        <w:rPr>
          <w:rFonts w:hint="eastAsia" w:ascii="Times New Roman" w:hAnsi="Times New Roman" w:eastAsia="方正仿宋_GBK"/>
          <w:sz w:val="28"/>
          <w:szCs w:val="28"/>
          <w:highlight w:val="none"/>
        </w:rPr>
        <w:t>《江苏省政府采购管理交易系统（苏采云）供应商操作手册》。</w:t>
      </w:r>
    </w:p>
    <w:p w14:paraId="48B2DD4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2潜在供应商访问“苏采云”系统的网络地址和方法：“苏采云”系统的网址：http://jszfcg.jsczt.cn/。</w:t>
      </w:r>
    </w:p>
    <w:p w14:paraId="410AEC87">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3“CA数字证书”的获取：</w:t>
      </w:r>
    </w:p>
    <w:p w14:paraId="474AD90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供应商需办理CA锁，“苏采云”系统目前仅支持政务CA、方正签章，省内各地区办理的用于“苏采云”平台的政务CA、方正签章全省通用。“CA数字证书”的办理方法详见江苏政府采购网</w:t>
      </w:r>
      <w:r>
        <w:rPr>
          <w:rFonts w:ascii="Times New Roman" w:hAnsi="Times New Roman" w:eastAsia="方正仿宋_GBK"/>
          <w:sz w:val="28"/>
          <w:szCs w:val="28"/>
          <w:highlight w:val="none"/>
        </w:rPr>
        <w:t>—资料下载中</w:t>
      </w:r>
      <w:r>
        <w:rPr>
          <w:rFonts w:hint="eastAsia" w:ascii="Times New Roman" w:hAnsi="Times New Roman" w:eastAsia="方正仿宋_GBK"/>
          <w:sz w:val="28"/>
          <w:szCs w:val="28"/>
          <w:highlight w:val="none"/>
        </w:rPr>
        <w:t>《江苏省政府采购数字证书（供应商）CA及电子签章办理指南》。</w:t>
      </w:r>
    </w:p>
    <w:p w14:paraId="3C3D020A">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4采购文件（后缀名为“.kedt”）、供应商操作手册及政府采购客户端工具可通过“苏采云”系统--已报名项目--报名详情页面内相应链接进行下载。</w:t>
      </w:r>
    </w:p>
    <w:p w14:paraId="2EC37CBC">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5招标代理机构（采购代理机构）将数据电文形式的采购文件加载至“苏采云”系统，供潜在供应商下载或者查阅。</w:t>
      </w:r>
    </w:p>
    <w:p w14:paraId="40687297">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6请潜在投标单位提前安装相应的控件（详见《江苏省政府采购管理交易系统（苏采云）供应商操作手册》）并使用谷歌浏览器登录“苏采云”系统参与不见面开评标。</w:t>
      </w:r>
    </w:p>
    <w:p w14:paraId="5989C181">
      <w:pPr>
        <w:adjustRightInd w:val="0"/>
        <w:snapToGrid w:val="0"/>
        <w:spacing w:line="500" w:lineRule="exact"/>
        <w:ind w:firstLine="560" w:firstLineChars="200"/>
        <w:rPr>
          <w:rFonts w:ascii="Times New Roman" w:hAnsi="Times New Roman" w:eastAsia="方正仿宋_GBK"/>
          <w:b/>
          <w:sz w:val="28"/>
          <w:szCs w:val="28"/>
          <w:highlight w:val="none"/>
        </w:rPr>
      </w:pPr>
      <w:r>
        <w:rPr>
          <w:rFonts w:hint="eastAsia" w:ascii="Times New Roman" w:hAnsi="Times New Roman" w:eastAsia="方正仿宋_GBK"/>
          <w:b/>
          <w:sz w:val="28"/>
          <w:szCs w:val="28"/>
          <w:highlight w:val="none"/>
        </w:rPr>
        <w:t>注：如潜在供应商未按上述要求操作，将自行承担所产生的风险。</w:t>
      </w:r>
    </w:p>
    <w:p w14:paraId="6056DADD">
      <w:pPr>
        <w:adjustRightInd w:val="0"/>
        <w:snapToGrid w:val="0"/>
        <w:spacing w:line="500" w:lineRule="exact"/>
        <w:ind w:firstLine="560" w:firstLineChars="200"/>
        <w:rPr>
          <w:rFonts w:ascii="Times New Roman" w:hAnsi="Times New Roman" w:eastAsia="方正仿宋_GBK"/>
          <w:b/>
          <w:sz w:val="28"/>
          <w:szCs w:val="28"/>
          <w:highlight w:val="none"/>
        </w:rPr>
      </w:pPr>
      <w:r>
        <w:rPr>
          <w:rFonts w:ascii="Times New Roman" w:hAnsi="Times New Roman" w:eastAsia="方正仿宋_GBK"/>
          <w:b/>
          <w:bCs/>
          <w:sz w:val="28"/>
          <w:szCs w:val="28"/>
          <w:highlight w:val="none"/>
        </w:rPr>
        <w:t>四、响应文件提交</w:t>
      </w:r>
      <w:bookmarkEnd w:id="8"/>
      <w:bookmarkStart w:id="9" w:name="_Toc82505657"/>
      <w:r>
        <w:rPr>
          <w:rFonts w:ascii="Times New Roman" w:hAnsi="Times New Roman" w:eastAsia="方正仿宋_GBK"/>
          <w:b/>
          <w:sz w:val="28"/>
          <w:szCs w:val="28"/>
          <w:highlight w:val="none"/>
        </w:rPr>
        <w:t>截止时间、</w:t>
      </w:r>
      <w:r>
        <w:rPr>
          <w:rFonts w:hint="eastAsia" w:ascii="Times New Roman" w:hAnsi="Times New Roman" w:eastAsia="方正仿宋_GBK"/>
          <w:b/>
          <w:sz w:val="28"/>
          <w:szCs w:val="28"/>
          <w:highlight w:val="none"/>
          <w:lang w:val="en-US" w:eastAsia="zh-CN"/>
        </w:rPr>
        <w:t>开标</w:t>
      </w:r>
      <w:r>
        <w:rPr>
          <w:rFonts w:ascii="Times New Roman" w:hAnsi="Times New Roman" w:eastAsia="方正仿宋_GBK"/>
          <w:b/>
          <w:sz w:val="28"/>
          <w:szCs w:val="28"/>
          <w:highlight w:val="none"/>
        </w:rPr>
        <w:t>时间和地点</w:t>
      </w:r>
    </w:p>
    <w:p w14:paraId="749557E1">
      <w:pPr>
        <w:adjustRightInd w:val="0"/>
        <w:snapToGrid w:val="0"/>
        <w:spacing w:line="500" w:lineRule="exact"/>
        <w:ind w:firstLine="560" w:firstLineChars="200"/>
        <w:rPr>
          <w:rFonts w:ascii="Times New Roman" w:hAnsi="Times New Roman" w:eastAsia="方正仿宋_GBK"/>
          <w:i/>
          <w:sz w:val="28"/>
          <w:szCs w:val="28"/>
          <w:highlight w:val="none"/>
          <w:u w:val="singl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、202</w:t>
      </w:r>
      <w:r>
        <w:rPr>
          <w:rFonts w:hint="eastAsia" w:ascii="Times New Roman" w:hAnsi="Times New Roman" w:eastAsia="方正仿宋_GBK"/>
          <w:sz w:val="28"/>
          <w:szCs w:val="28"/>
          <w:highlight w:val="none"/>
          <w:lang w:val="en-US" w:eastAsia="zh-CN"/>
        </w:rPr>
        <w:t>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8</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17</w:t>
      </w:r>
      <w:r>
        <w:rPr>
          <w:rFonts w:ascii="Times New Roman" w:hAnsi="Times New Roman" w:eastAsia="方正仿宋_GBK"/>
          <w:sz w:val="28"/>
          <w:szCs w:val="28"/>
          <w:highlight w:val="none"/>
        </w:rPr>
        <w:t>日9点00分（北京时间）</w:t>
      </w:r>
    </w:p>
    <w:p w14:paraId="1BFEB5C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逾时，交易系统将拒绝接受上传响应文件电子文档。</w:t>
      </w:r>
    </w:p>
    <w:p w14:paraId="1287487F">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注：各供应商请关注开标大厅交流区，在开标结束后，请勿离开开标大厅。</w:t>
      </w:r>
    </w:p>
    <w:p w14:paraId="4CE368F4">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2、线上开标地点：“苏采云”系统（网址：http://jszfcg.jsczt.cn/）“开标大厅”。</w:t>
      </w:r>
    </w:p>
    <w:p w14:paraId="5A7FDC7A">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highlight w:val="none"/>
        </w:rPr>
        <w:t>稳</w:t>
      </w:r>
      <w:r>
        <w:rPr>
          <w:rFonts w:hint="eastAsia" w:ascii="Times New Roman" w:hAnsi="Times New Roman" w:eastAsia="方正仿宋_GBK"/>
          <w:sz w:val="28"/>
          <w:szCs w:val="28"/>
          <w:highlight w:val="none"/>
        </w:rPr>
        <w:t>定、未按操作手</w:t>
      </w:r>
      <w:r>
        <w:rPr>
          <w:rFonts w:hint="eastAsia" w:ascii="宋体" w:hAnsi="宋体" w:cs="宋体"/>
          <w:sz w:val="28"/>
          <w:szCs w:val="28"/>
          <w:highlight w:val="none"/>
        </w:rPr>
        <w:t>册</w:t>
      </w:r>
      <w:r>
        <w:rPr>
          <w:rFonts w:hint="eastAsia" w:ascii="Times New Roman" w:hAnsi="Times New Roman" w:eastAsia="方正仿宋_GBK"/>
          <w:sz w:val="28"/>
          <w:szCs w:val="28"/>
          <w:highlight w:val="none"/>
        </w:rPr>
        <w:t>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474831CA">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五</w:t>
      </w:r>
      <w:r>
        <w:rPr>
          <w:rFonts w:ascii="Times New Roman" w:hAnsi="Times New Roman" w:eastAsia="方正仿宋_GBK"/>
          <w:b/>
          <w:bCs/>
          <w:sz w:val="28"/>
          <w:szCs w:val="28"/>
          <w:highlight w:val="none"/>
        </w:rPr>
        <w:t>、公告期限</w:t>
      </w:r>
      <w:bookmarkEnd w:id="9"/>
    </w:p>
    <w:p w14:paraId="2CCFB6F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自本公告发布之日起3个工作日。</w:t>
      </w:r>
    </w:p>
    <w:p w14:paraId="4F3CBE00">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0" w:name="_Toc82505658"/>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、其他补充事宜</w:t>
      </w:r>
      <w:bookmarkEnd w:id="10"/>
    </w:p>
    <w:p w14:paraId="3918A3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1.响应保证金：免收。</w:t>
      </w:r>
    </w:p>
    <w:p w14:paraId="5D6A7D0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2.项目开标活动模式：不见面远程开标模式。</w:t>
      </w:r>
    </w:p>
    <w:p w14:paraId="0A29EF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3.项目演示、样品、答辩等：</w:t>
      </w:r>
      <w:r>
        <w:rPr>
          <w:rFonts w:hint="eastAsia" w:eastAsia="方正仿宋_GBK"/>
          <w:sz w:val="28"/>
          <w:szCs w:val="28"/>
          <w:highlight w:val="none"/>
        </w:rPr>
        <w:t>无</w:t>
      </w:r>
    </w:p>
    <w:p w14:paraId="797ABD3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358891C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w:t>
      </w:r>
      <w:r>
        <w:rPr>
          <w:rFonts w:hint="eastAsia" w:ascii="Times New Roman" w:hAnsi="Times New Roman" w:eastAsia="方正仿宋_GBK"/>
          <w:sz w:val="28"/>
          <w:szCs w:val="28"/>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4C983B96">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1" w:name="_Toc82505660"/>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、凡对本次采购提出询问，请按以下方式联系</w:t>
      </w:r>
      <w:bookmarkEnd w:id="11"/>
    </w:p>
    <w:p w14:paraId="54E51C0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1.采购人信息</w:t>
      </w:r>
    </w:p>
    <w:p w14:paraId="49C73C56">
      <w:pPr>
        <w:adjustRightInd w:val="0"/>
        <w:snapToGrid w:val="0"/>
        <w:spacing w:line="500" w:lineRule="exact"/>
        <w:ind w:firstLine="840" w:firstLineChars="3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名称：启东市农业农村局</w:t>
      </w:r>
    </w:p>
    <w:p w14:paraId="39C7033B">
      <w:pPr>
        <w:adjustRightInd w:val="0"/>
        <w:snapToGrid w:val="0"/>
        <w:spacing w:line="500" w:lineRule="exact"/>
        <w:ind w:firstLine="840" w:firstLineChars="3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地址：启东市紫薇中路578号</w:t>
      </w:r>
    </w:p>
    <w:p w14:paraId="1DCF719E">
      <w:pPr>
        <w:adjustRightInd w:val="0"/>
        <w:snapToGrid w:val="0"/>
        <w:spacing w:line="500" w:lineRule="exact"/>
        <w:ind w:firstLine="840" w:firstLineChars="3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联系人：施先生</w:t>
      </w:r>
    </w:p>
    <w:p w14:paraId="24086F91">
      <w:pPr>
        <w:adjustRightInd w:val="0"/>
        <w:snapToGrid w:val="0"/>
        <w:spacing w:line="500" w:lineRule="exact"/>
        <w:ind w:firstLine="840" w:firstLineChars="3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联系方式：13606286737</w:t>
      </w:r>
    </w:p>
    <w:p w14:paraId="0586DE8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采购代理机构</w:t>
      </w:r>
    </w:p>
    <w:p w14:paraId="33DE44C6">
      <w:pPr>
        <w:adjustRightInd w:val="0"/>
        <w:snapToGrid w:val="0"/>
        <w:spacing w:line="500" w:lineRule="exact"/>
        <w:ind w:firstLine="840" w:firstLineChars="3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名 </w:t>
      </w:r>
      <w:r>
        <w:rPr>
          <w:rFonts w:ascii="Times New Roman" w:hAnsi="Times New Roman" w:eastAsia="方正仿宋_GBK"/>
          <w:sz w:val="28"/>
          <w:szCs w:val="28"/>
          <w:highlight w:val="none"/>
        </w:rPr>
        <w:t xml:space="preserve"> </w:t>
      </w:r>
      <w:r>
        <w:rPr>
          <w:rFonts w:hint="eastAsia" w:ascii="Times New Roman" w:hAnsi="Times New Roman" w:eastAsia="方正仿宋_GBK"/>
          <w:sz w:val="28"/>
          <w:szCs w:val="28"/>
          <w:highlight w:val="none"/>
        </w:rPr>
        <w:t>称：</w:t>
      </w:r>
      <w:r>
        <w:rPr>
          <w:rFonts w:hint="eastAsia" w:ascii="Times New Roman" w:hAnsi="Times New Roman" w:eastAsia="方正仿宋_GBK"/>
          <w:sz w:val="28"/>
          <w:szCs w:val="28"/>
          <w:highlight w:val="none"/>
          <w:lang w:val="en-US" w:eastAsia="zh-CN"/>
        </w:rPr>
        <w:t>江苏益诚建设工程咨询有限公司</w:t>
      </w:r>
    </w:p>
    <w:p w14:paraId="40B85BFC">
      <w:pPr>
        <w:adjustRightInd w:val="0"/>
        <w:snapToGrid w:val="0"/>
        <w:spacing w:line="500" w:lineRule="exact"/>
        <w:ind w:firstLine="840" w:firstLineChars="3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地  址：</w:t>
      </w:r>
      <w:r>
        <w:rPr>
          <w:rFonts w:hint="eastAsia" w:ascii="Times New Roman" w:hAnsi="Times New Roman" w:eastAsia="方正仿宋_GBK"/>
          <w:sz w:val="28"/>
          <w:szCs w:val="28"/>
          <w:highlight w:val="none"/>
          <w:lang w:val="en-US" w:eastAsia="zh-CN"/>
        </w:rPr>
        <w:t>启东市汇龙镇民乐路万豪花园35号4楼</w:t>
      </w:r>
    </w:p>
    <w:p w14:paraId="69690CD1">
      <w:pPr>
        <w:adjustRightInd w:val="0"/>
        <w:snapToGrid w:val="0"/>
        <w:spacing w:line="500" w:lineRule="exact"/>
        <w:ind w:firstLine="840" w:firstLineChars="3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联系方式：</w:t>
      </w:r>
      <w:r>
        <w:rPr>
          <w:rFonts w:hint="eastAsia" w:ascii="Times New Roman" w:hAnsi="Times New Roman" w:eastAsia="方正仿宋_GBK"/>
          <w:sz w:val="28"/>
          <w:szCs w:val="28"/>
          <w:highlight w:val="none"/>
          <w:lang w:val="en-US" w:eastAsia="zh-CN"/>
        </w:rPr>
        <w:t>05138-3286202</w:t>
      </w:r>
    </w:p>
    <w:p w14:paraId="4FFB4B26">
      <w:pPr>
        <w:adjustRightInd w:val="0"/>
        <w:snapToGrid w:val="0"/>
        <w:spacing w:line="500" w:lineRule="exact"/>
        <w:ind w:firstLine="840" w:firstLineChars="300"/>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3.软件技术支持</w:t>
      </w:r>
    </w:p>
    <w:p w14:paraId="6CC86A72">
      <w:pPr>
        <w:adjustRightInd w:val="0"/>
        <w:snapToGrid w:val="0"/>
        <w:spacing w:line="500" w:lineRule="exact"/>
        <w:ind w:firstLine="840" w:firstLineChars="300"/>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交易系统软件维护人员：0519-86722801、0519-86722806</w:t>
      </w:r>
    </w:p>
    <w:p w14:paraId="69153ED7">
      <w:pPr>
        <w:adjustRightInd w:val="0"/>
        <w:snapToGrid w:val="0"/>
        <w:spacing w:line="500" w:lineRule="exact"/>
        <w:ind w:firstLine="840" w:firstLineChars="300"/>
        <w:rPr>
          <w:rFonts w:ascii="Times New Roman" w:hAnsi="Times New Roman" w:eastAsia="方正仿宋_GBK"/>
          <w:sz w:val="28"/>
          <w:szCs w:val="28"/>
          <w:highlight w:val="none"/>
        </w:rPr>
      </w:pPr>
    </w:p>
    <w:p w14:paraId="0EA897A3">
      <w:pPr>
        <w:adjustRightInd w:val="0"/>
        <w:snapToGrid w:val="0"/>
        <w:spacing w:line="260" w:lineRule="exact"/>
        <w:ind w:firstLine="840" w:firstLineChars="300"/>
        <w:rPr>
          <w:rFonts w:ascii="Times New Roman" w:hAnsi="Times New Roman" w:eastAsia="方正仿宋_GBK"/>
          <w:sz w:val="28"/>
          <w:szCs w:val="28"/>
          <w:highlight w:val="none"/>
        </w:rPr>
      </w:pPr>
    </w:p>
    <w:bookmarkEnd w:id="0"/>
    <w:bookmarkEnd w:id="1"/>
    <w:bookmarkEnd w:id="2"/>
    <w:bookmarkEnd w:id="3"/>
    <w:bookmarkEnd w:id="4"/>
    <w:p w14:paraId="101C2781">
      <w:pPr>
        <w:adjustRightInd w:val="0"/>
        <w:snapToGrid w:val="0"/>
        <w:spacing w:line="500" w:lineRule="exact"/>
        <w:jc w:val="center"/>
        <w:outlineLvl w:val="0"/>
        <w:rPr>
          <w:rFonts w:ascii="方正小标宋_GBK" w:hAnsi="宋体" w:eastAsia="方正小标宋_GBK"/>
          <w:bCs/>
          <w:sz w:val="36"/>
          <w:szCs w:val="36"/>
          <w:highlight w:val="none"/>
        </w:rPr>
      </w:pPr>
      <w:bookmarkStart w:id="12" w:name="_Toc22736"/>
      <w:bookmarkStart w:id="13" w:name="_Toc82505661"/>
      <w:r>
        <w:rPr>
          <w:rFonts w:hint="eastAsia" w:ascii="宋体" w:hAnsi="宋体" w:cs="宋体"/>
          <w:bCs/>
          <w:sz w:val="36"/>
          <w:szCs w:val="36"/>
          <w:highlight w:val="none"/>
        </w:rPr>
        <w:br w:type="page"/>
      </w:r>
      <w:bookmarkEnd w:id="12"/>
      <w:bookmarkEnd w:id="13"/>
      <w:r>
        <w:rPr>
          <w:rFonts w:hint="eastAsia" w:ascii="方正小标宋_GBK" w:hAnsi="宋体" w:eastAsia="方正小标宋_GBK"/>
          <w:bCs/>
          <w:sz w:val="36"/>
          <w:szCs w:val="36"/>
          <w:highlight w:val="none"/>
        </w:rPr>
        <w:t>第二部分  响应须知</w:t>
      </w:r>
    </w:p>
    <w:p w14:paraId="36BC3F78">
      <w:pPr>
        <w:widowControl/>
        <w:adjustRightInd w:val="0"/>
        <w:snapToGrid w:val="0"/>
        <w:spacing w:line="500" w:lineRule="exact"/>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一、总则</w:t>
      </w:r>
    </w:p>
    <w:p w14:paraId="545A09EC">
      <w:pPr>
        <w:adjustRightInd w:val="0"/>
        <w:snapToGrid w:val="0"/>
        <w:spacing w:line="500" w:lineRule="exact"/>
        <w:ind w:firstLine="560" w:firstLineChars="200"/>
        <w:rPr>
          <w:rFonts w:ascii="Times New Roman" w:hAnsi="Times New Roman" w:eastAsia="方正仿宋_GBK"/>
          <w:sz w:val="28"/>
          <w:szCs w:val="28"/>
          <w:highlight w:val="none"/>
        </w:rPr>
      </w:pPr>
      <w:bookmarkStart w:id="14" w:name="_Toc458694821"/>
      <w:bookmarkStart w:id="15" w:name="_Toc20823276"/>
      <w:bookmarkStart w:id="16" w:name="_Toc513029204"/>
      <w:bookmarkStart w:id="17" w:name="_Toc16938520"/>
      <w:r>
        <w:rPr>
          <w:rFonts w:ascii="Times New Roman" w:hAnsi="Times New Roman" w:eastAsia="方正仿宋_GBK"/>
          <w:sz w:val="28"/>
          <w:szCs w:val="28"/>
          <w:highlight w:val="none"/>
        </w:rPr>
        <w:t>1</w:t>
      </w:r>
      <w:bookmarkEnd w:id="14"/>
      <w:r>
        <w:rPr>
          <w:rFonts w:ascii="Times New Roman" w:hAnsi="Times New Roman" w:eastAsia="方正仿宋_GBK"/>
          <w:sz w:val="28"/>
          <w:szCs w:val="28"/>
          <w:highlight w:val="none"/>
        </w:rPr>
        <w:t>.采购方式</w:t>
      </w:r>
      <w:bookmarkEnd w:id="15"/>
      <w:bookmarkEnd w:id="16"/>
      <w:bookmarkEnd w:id="17"/>
    </w:p>
    <w:p w14:paraId="4A6F964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本次采购采取询价方式，本询价文件仅适用于询价公告中所述项目。</w:t>
      </w:r>
    </w:p>
    <w:p w14:paraId="7B429091">
      <w:pPr>
        <w:adjustRightInd w:val="0"/>
        <w:snapToGrid w:val="0"/>
        <w:spacing w:line="500" w:lineRule="exact"/>
        <w:ind w:firstLine="560" w:firstLineChars="200"/>
        <w:rPr>
          <w:rFonts w:ascii="Times New Roman" w:hAnsi="Times New Roman" w:eastAsia="方正仿宋_GBK"/>
          <w:sz w:val="28"/>
          <w:szCs w:val="28"/>
          <w:highlight w:val="none"/>
        </w:rPr>
      </w:pPr>
      <w:bookmarkStart w:id="18" w:name="_Toc16938521"/>
      <w:bookmarkStart w:id="19" w:name="_Toc20823277"/>
      <w:bookmarkStart w:id="20" w:name="_Toc513029205"/>
      <w:r>
        <w:rPr>
          <w:rFonts w:ascii="Times New Roman" w:hAnsi="Times New Roman" w:eastAsia="方正仿宋_GBK"/>
          <w:sz w:val="28"/>
          <w:szCs w:val="28"/>
          <w:highlight w:val="none"/>
        </w:rPr>
        <w:t>2.合格的</w:t>
      </w:r>
      <w:bookmarkEnd w:id="18"/>
      <w:bookmarkEnd w:id="19"/>
      <w:bookmarkEnd w:id="20"/>
      <w:r>
        <w:rPr>
          <w:rFonts w:ascii="Times New Roman" w:hAnsi="Times New Roman" w:eastAsia="方正仿宋_GBK"/>
          <w:sz w:val="28"/>
          <w:szCs w:val="28"/>
          <w:highlight w:val="none"/>
        </w:rPr>
        <w:t>响应供应商</w:t>
      </w:r>
    </w:p>
    <w:p w14:paraId="5B240D1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2.1满足询价公告中供应商的资格要求的规定。</w:t>
      </w:r>
    </w:p>
    <w:p w14:paraId="5C40051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 满足本文件实质性条款的规定。</w:t>
      </w:r>
    </w:p>
    <w:p w14:paraId="662E1DAA">
      <w:pPr>
        <w:adjustRightInd w:val="0"/>
        <w:snapToGrid w:val="0"/>
        <w:spacing w:line="500" w:lineRule="exact"/>
        <w:ind w:firstLine="560" w:firstLineChars="200"/>
        <w:rPr>
          <w:rFonts w:ascii="Times New Roman" w:hAnsi="Times New Roman" w:eastAsia="方正仿宋_GBK"/>
          <w:sz w:val="28"/>
          <w:szCs w:val="28"/>
          <w:highlight w:val="none"/>
        </w:rPr>
      </w:pPr>
      <w:bookmarkStart w:id="21" w:name="_Toc20823278"/>
      <w:bookmarkStart w:id="22" w:name="_Toc513029206"/>
      <w:bookmarkStart w:id="23" w:name="_Toc16938522"/>
      <w:r>
        <w:rPr>
          <w:rFonts w:ascii="Times New Roman" w:hAnsi="Times New Roman" w:eastAsia="方正仿宋_GBK"/>
          <w:sz w:val="28"/>
          <w:szCs w:val="28"/>
          <w:highlight w:val="none"/>
        </w:rPr>
        <w:t>3.适用法律</w:t>
      </w:r>
      <w:bookmarkEnd w:id="21"/>
      <w:bookmarkEnd w:id="22"/>
      <w:bookmarkEnd w:id="23"/>
    </w:p>
    <w:p w14:paraId="7213DE35">
      <w:pPr>
        <w:adjustRightInd w:val="0"/>
        <w:snapToGrid w:val="0"/>
        <w:spacing w:line="500" w:lineRule="exact"/>
        <w:ind w:firstLine="840" w:firstLineChars="3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本次询价采购及由此产生的合同受中华人民共和国有关的法律法规制约和保护。</w:t>
      </w:r>
    </w:p>
    <w:p w14:paraId="670D5AAB">
      <w:pPr>
        <w:adjustRightInd w:val="0"/>
        <w:snapToGrid w:val="0"/>
        <w:spacing w:line="500" w:lineRule="exact"/>
        <w:ind w:firstLine="560" w:firstLineChars="200"/>
        <w:rPr>
          <w:rFonts w:ascii="Times New Roman" w:hAnsi="Times New Roman" w:eastAsia="方正仿宋_GBK"/>
          <w:sz w:val="28"/>
          <w:szCs w:val="28"/>
          <w:highlight w:val="none"/>
        </w:rPr>
      </w:pPr>
      <w:bookmarkStart w:id="24" w:name="_Toc462564067"/>
      <w:bookmarkStart w:id="25" w:name="_Toc513029207"/>
      <w:bookmarkStart w:id="26" w:name="_Toc20823279"/>
      <w:bookmarkStart w:id="27" w:name="_Toc16938523"/>
      <w:r>
        <w:rPr>
          <w:rFonts w:ascii="Times New Roman" w:hAnsi="Times New Roman" w:eastAsia="方正仿宋_GBK"/>
          <w:sz w:val="28"/>
          <w:szCs w:val="28"/>
          <w:highlight w:val="none"/>
        </w:rPr>
        <w:t>4.响应费用</w:t>
      </w:r>
      <w:bookmarkEnd w:id="24"/>
      <w:bookmarkEnd w:id="25"/>
      <w:bookmarkEnd w:id="26"/>
      <w:bookmarkEnd w:id="27"/>
    </w:p>
    <w:p w14:paraId="6146090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 响应供应商应自行承担所有与参加响应有关的费用，无论响应过程中的做法和结果如何，</w:t>
      </w:r>
      <w:r>
        <w:rPr>
          <w:rFonts w:hint="eastAsia" w:ascii="Times New Roman" w:hAnsi="Times New Roman" w:eastAsia="方正仿宋_GBK"/>
          <w:sz w:val="28"/>
          <w:szCs w:val="28"/>
          <w:highlight w:val="none"/>
        </w:rPr>
        <w:t>采购人、采购代理机构</w:t>
      </w:r>
      <w:r>
        <w:rPr>
          <w:rFonts w:ascii="Times New Roman" w:hAnsi="Times New Roman" w:eastAsia="方正仿宋_GBK"/>
          <w:sz w:val="28"/>
          <w:szCs w:val="28"/>
          <w:highlight w:val="none"/>
        </w:rPr>
        <w:t>在任何情况下均无义务和责任承担这些费用。</w:t>
      </w:r>
    </w:p>
    <w:p w14:paraId="17D67D3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4.2本次询价采购，</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和采购人不收取标书工本费。</w:t>
      </w:r>
    </w:p>
    <w:p w14:paraId="4A86DA7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5.采购文件的约束力</w:t>
      </w:r>
    </w:p>
    <w:p w14:paraId="391690F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响应供应商一旦参加本项目采购活动，即被认为接受了本询价采购文件的规定和约束。</w:t>
      </w:r>
    </w:p>
    <w:p w14:paraId="0BA6D07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6.采购文件的解释</w:t>
      </w:r>
    </w:p>
    <w:p w14:paraId="5DAEAC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本采购文件仅适用于本次询价采购，项目需求部分（供应商资格要求、项目需求）由采购人解释，其他部分由</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解释。</w:t>
      </w:r>
    </w:p>
    <w:p w14:paraId="41D0DF2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7.报价要求</w:t>
      </w:r>
    </w:p>
    <w:p w14:paraId="41B60EAC">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sz w:val="28"/>
          <w:szCs w:val="28"/>
          <w:highlight w:val="none"/>
        </w:rPr>
        <w:t>7.1</w:t>
      </w:r>
      <w:r>
        <w:rPr>
          <w:rFonts w:hint="eastAsia" w:ascii="Times New Roman" w:hAnsi="Times New Roman" w:eastAsia="方正仿宋_GBK"/>
          <w:sz w:val="28"/>
          <w:szCs w:val="28"/>
          <w:highlight w:val="none"/>
        </w:rPr>
        <w:t>供应商应按照本询价公告的要求编制报价文件，报价文件应对本询价公告提出的要求和条件作出实质性响应。否则，按照不响应处理。本项目采用单价报价方式，投标报价应包括为完成招标文件所确定的《项目需求》的全部货物和服务所发生的费用，报价中包含但不限于相关附件、货物运输、搬运、使用培训、税金、质保、售后服务等所有相关费用，在合同实施期间，合同综合单价不因市场价格波动和各种风险因素的发生而变动，请各供应商在报价时请充分考虑各种因素。</w:t>
      </w:r>
      <w:r>
        <w:rPr>
          <w:rFonts w:hint="eastAsia" w:ascii="Times New Roman" w:hAnsi="Times New Roman" w:eastAsia="方正仿宋_GBK"/>
          <w:color w:val="auto"/>
          <w:sz w:val="28"/>
          <w:szCs w:val="28"/>
          <w:highlight w:val="none"/>
        </w:rPr>
        <w:t>在供货过程中涉及质量抽检，需要供应商提供临时场所（启东范围内）存放一定时间（一个月左右），质量抽检合格后，才能进行供货配送，请各供应商在报价时充分考虑各种因素。</w:t>
      </w:r>
    </w:p>
    <w:p w14:paraId="0D0764D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7.2采购人不接受任何可选择的报价，成交供应商不得在供货期间提出任何增加费用的要求。请各供应商在报价时充分考虑各种因素。</w:t>
      </w:r>
    </w:p>
    <w:p w14:paraId="349C818A">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7.3</w:t>
      </w:r>
      <w:r>
        <w:rPr>
          <w:rFonts w:hint="eastAsia" w:ascii="Times New Roman" w:hAnsi="Times New Roman" w:eastAsia="方正仿宋_GBK" w:cs="Times New Roman"/>
          <w:sz w:val="28"/>
          <w:szCs w:val="28"/>
          <w:highlight w:val="none"/>
        </w:rPr>
        <w:t>异常低价投标（响应）审查的情形和具体要求：</w:t>
      </w:r>
    </w:p>
    <w:p w14:paraId="7322657E">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（一）评审过程中出现下列情形之一的，询价小组应当启动异常低价投标（响应）审查程序：</w:t>
      </w:r>
    </w:p>
    <w:p w14:paraId="3E68D2F0">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1.投标（响应）报价低于全部通过符合性审查供应商投标（响应）报价平均值50%的，即投标（响应）报价&lt;全部通过符合性审查供应商投标（响应）报价平均值×50%；</w:t>
      </w:r>
    </w:p>
    <w:p w14:paraId="567121FE">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2.投标（响应）报价低于通过符合性审查的次低报价供应商投标（响应）报价50%的，即投标（响应）报价&lt;通过符合性审查的次低报价供应商投标（响应）报价×50%；</w:t>
      </w:r>
    </w:p>
    <w:p w14:paraId="4D320130">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3.投标（响应）报价低于采购项目最高限价45%的，即投标（响应）报价&lt;采购项目最高限价×45%；</w:t>
      </w:r>
    </w:p>
    <w:p w14:paraId="12646834">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4.询价小组基于专业判断，认为供应商报价过低，有可能影响产品质量或者不能诚信履约的其他情形。</w:t>
      </w:r>
    </w:p>
    <w:p w14:paraId="29596DBB">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（二）启动异常低价投标（响应）审查后，属于前述第1 项至第4 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66D36CC8">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p>
    <w:p w14:paraId="58012A4B">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p>
    <w:p w14:paraId="41B2A67E">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cs="Times New Roman"/>
          <w:sz w:val="28"/>
          <w:szCs w:val="28"/>
          <w:highlight w:val="none"/>
        </w:rPr>
        <w:t>异常低价投标（响应）审查的启动原因、审查意见和审查结果应当在评审报告中记录，并随供应商提供的相关书面说明及证明材料，以及询价小组有关互联网浏览、查询历史一并归档。</w:t>
      </w:r>
    </w:p>
    <w:p w14:paraId="7DD9594D">
      <w:pPr>
        <w:widowControl/>
        <w:adjustRightInd w:val="0"/>
        <w:snapToGrid w:val="0"/>
        <w:spacing w:line="500" w:lineRule="exact"/>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二、采购文件</w:t>
      </w:r>
    </w:p>
    <w:p w14:paraId="603D70CA">
      <w:pPr>
        <w:widowControl/>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1.采购文件的构成</w:t>
      </w:r>
    </w:p>
    <w:p w14:paraId="0FE9B6E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 采购文件由以下部分组成：</w:t>
      </w:r>
    </w:p>
    <w:p w14:paraId="2E83A91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（1）询价采购公告</w:t>
      </w:r>
    </w:p>
    <w:p w14:paraId="74A35BC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（2）响应须知</w:t>
      </w:r>
    </w:p>
    <w:p w14:paraId="589FECE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（3）项目需求</w:t>
      </w:r>
    </w:p>
    <w:p w14:paraId="783CEA8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（4）响应文件</w:t>
      </w:r>
      <w:r>
        <w:rPr>
          <w:rFonts w:hint="eastAsia" w:ascii="Times New Roman" w:hAnsi="Times New Roman" w:eastAsia="方正仿宋_GBK"/>
          <w:sz w:val="28"/>
          <w:szCs w:val="28"/>
          <w:highlight w:val="none"/>
        </w:rPr>
        <w:t>格式</w:t>
      </w:r>
    </w:p>
    <w:p w14:paraId="4BCD094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（5）附件（如有）</w:t>
      </w:r>
    </w:p>
    <w:p w14:paraId="1D6F9B4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请响应供应商仔细检查采购文件是否齐全，如有缺漏请立即与</w:t>
      </w:r>
      <w:r>
        <w:rPr>
          <w:rFonts w:hint="eastAsia" w:ascii="Times New Roman" w:hAnsi="Times New Roman" w:eastAsia="方正仿宋_GBK"/>
          <w:sz w:val="28"/>
          <w:szCs w:val="28"/>
          <w:highlight w:val="none"/>
        </w:rPr>
        <w:t>采购人或招标代理机构</w:t>
      </w:r>
      <w:r>
        <w:rPr>
          <w:rFonts w:ascii="Times New Roman" w:hAnsi="Times New Roman" w:eastAsia="方正仿宋_GBK"/>
          <w:sz w:val="28"/>
          <w:szCs w:val="28"/>
          <w:highlight w:val="none"/>
        </w:rPr>
        <w:t>联系解决。</w:t>
      </w:r>
    </w:p>
    <w:p w14:paraId="259952C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1.2</w:t>
      </w:r>
      <w:r>
        <w:rPr>
          <w:rFonts w:ascii="Times New Roman" w:hAnsi="Times New Roman" w:eastAsia="方正仿宋_GBK"/>
          <w:sz w:val="28"/>
          <w:szCs w:val="28"/>
          <w:highlight w:val="none"/>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5E3966E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2.询价采购文件的澄清</w:t>
      </w:r>
    </w:p>
    <w:p w14:paraId="1437868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任何要求对采购文件进行澄清的响应供应商，应在响应截止期3日前按询价采购公告中的通讯地址，以书面形式通知采购人。采购人有权对发出的采购文件进行必要的澄清或修改。</w:t>
      </w:r>
    </w:p>
    <w:p w14:paraId="663B302F">
      <w:pPr>
        <w:adjustRightInd w:val="0"/>
        <w:snapToGrid w:val="0"/>
        <w:spacing w:line="500" w:lineRule="exact"/>
        <w:ind w:firstLine="560" w:firstLineChars="200"/>
        <w:rPr>
          <w:rFonts w:ascii="Times New Roman" w:hAnsi="Times New Roman" w:eastAsia="方正仿宋_GBK"/>
          <w:sz w:val="28"/>
          <w:szCs w:val="28"/>
          <w:highlight w:val="none"/>
        </w:rPr>
      </w:pPr>
      <w:bookmarkStart w:id="28" w:name="_Toc16938528"/>
      <w:bookmarkStart w:id="29" w:name="_Toc513029212"/>
      <w:bookmarkStart w:id="30" w:name="_Toc462564071"/>
      <w:bookmarkStart w:id="31" w:name="_Toc20823284"/>
      <w:r>
        <w:rPr>
          <w:rFonts w:ascii="Times New Roman" w:hAnsi="Times New Roman" w:eastAsia="方正仿宋_GBK"/>
          <w:sz w:val="28"/>
          <w:szCs w:val="28"/>
          <w:highlight w:val="none"/>
        </w:rPr>
        <w:t>3.询价采购文件的修改</w:t>
      </w:r>
      <w:bookmarkEnd w:id="28"/>
      <w:bookmarkEnd w:id="29"/>
      <w:bookmarkEnd w:id="30"/>
      <w:bookmarkEnd w:id="31"/>
    </w:p>
    <w:p w14:paraId="67628F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3.1</w:t>
      </w:r>
      <w:r>
        <w:rPr>
          <w:rFonts w:ascii="Times New Roman" w:hAnsi="Times New Roman" w:eastAsia="方正仿宋_GBK"/>
          <w:sz w:val="28"/>
          <w:szCs w:val="28"/>
          <w:highlight w:val="none"/>
        </w:rPr>
        <w:t>在响应截止时间前，</w:t>
      </w:r>
      <w:r>
        <w:rPr>
          <w:rFonts w:hint="eastAsia" w:ascii="Times New Roman" w:hAnsi="Times New Roman" w:eastAsia="方正仿宋_GBK"/>
          <w:sz w:val="28"/>
          <w:szCs w:val="28"/>
          <w:highlight w:val="none"/>
        </w:rPr>
        <w:t>采购人</w:t>
      </w:r>
      <w:r>
        <w:rPr>
          <w:rFonts w:ascii="Times New Roman" w:hAnsi="Times New Roman" w:eastAsia="方正仿宋_GBK"/>
          <w:sz w:val="28"/>
          <w:szCs w:val="28"/>
          <w:highlight w:val="none"/>
        </w:rPr>
        <w:t>可以对采购文件进行修改。</w:t>
      </w:r>
    </w:p>
    <w:p w14:paraId="064FA97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3.2 </w:t>
      </w:r>
      <w:r>
        <w:rPr>
          <w:rFonts w:hint="eastAsia" w:ascii="Times New Roman" w:hAnsi="Times New Roman" w:eastAsia="方正仿宋_GBK"/>
          <w:sz w:val="28"/>
          <w:szCs w:val="28"/>
          <w:highlight w:val="none"/>
        </w:rPr>
        <w:t>采购人</w:t>
      </w:r>
      <w:r>
        <w:rPr>
          <w:rFonts w:ascii="Times New Roman" w:hAnsi="Times New Roman" w:eastAsia="方正仿宋_GBK"/>
          <w:sz w:val="28"/>
          <w:szCs w:val="28"/>
          <w:highlight w:val="none"/>
        </w:rPr>
        <w:t>有权按照法定的要求推迟响应截止日期和开标日期。</w:t>
      </w:r>
    </w:p>
    <w:p w14:paraId="1AE72B6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 xml:space="preserve">3.3 </w:t>
      </w:r>
      <w:r>
        <w:rPr>
          <w:rFonts w:ascii="Times New Roman" w:hAnsi="Times New Roman" w:eastAsia="方正仿宋_GBK"/>
          <w:sz w:val="28"/>
          <w:szCs w:val="28"/>
          <w:highlight w:val="none"/>
        </w:rPr>
        <w:t>采购文件的修改将在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政府采购网公布，补充文件将作为采购文件的组成部分，并对响应供应商具有约束力，请供应商及时关注网站公告信息。</w:t>
      </w:r>
    </w:p>
    <w:p w14:paraId="7395E6E4">
      <w:pPr>
        <w:widowControl/>
        <w:adjustRightInd w:val="0"/>
        <w:snapToGrid w:val="0"/>
        <w:spacing w:line="500" w:lineRule="exact"/>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三、响应文件的编制</w:t>
      </w:r>
    </w:p>
    <w:p w14:paraId="4FADF707">
      <w:pPr>
        <w:adjustRightInd w:val="0"/>
        <w:snapToGrid w:val="0"/>
        <w:spacing w:line="500" w:lineRule="exact"/>
        <w:ind w:firstLine="560" w:firstLineChars="200"/>
        <w:rPr>
          <w:rFonts w:ascii="Times New Roman" w:hAnsi="Times New Roman" w:eastAsia="方正仿宋_GBK"/>
          <w:bCs/>
          <w:sz w:val="28"/>
          <w:szCs w:val="28"/>
          <w:highlight w:val="none"/>
        </w:rPr>
      </w:pPr>
      <w:bookmarkStart w:id="32" w:name="_Toc462564073"/>
      <w:bookmarkStart w:id="33" w:name="_Toc513029214"/>
      <w:bookmarkStart w:id="34" w:name="_Toc20823286"/>
      <w:bookmarkStart w:id="35" w:name="_Toc16938530"/>
      <w:r>
        <w:rPr>
          <w:rFonts w:ascii="Times New Roman" w:hAnsi="Times New Roman" w:eastAsia="方正仿宋_GBK"/>
          <w:bCs/>
          <w:sz w:val="28"/>
          <w:szCs w:val="28"/>
          <w:highlight w:val="none"/>
        </w:rPr>
        <w:t>1.响应文件的语言及度量衡单位</w:t>
      </w:r>
      <w:bookmarkEnd w:id="32"/>
      <w:bookmarkEnd w:id="33"/>
      <w:bookmarkEnd w:id="34"/>
      <w:bookmarkEnd w:id="35"/>
    </w:p>
    <w:p w14:paraId="1163E561">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1.1 响应供应商提交的响应文件以及响应供应商与</w:t>
      </w:r>
      <w:r>
        <w:rPr>
          <w:rFonts w:hint="eastAsia" w:ascii="Times New Roman" w:hAnsi="Times New Roman" w:eastAsia="方正仿宋_GBK"/>
          <w:bCs/>
          <w:sz w:val="28"/>
          <w:szCs w:val="28"/>
          <w:highlight w:val="none"/>
        </w:rPr>
        <w:t>采购人</w:t>
      </w:r>
      <w:r>
        <w:rPr>
          <w:rFonts w:ascii="Times New Roman" w:hAnsi="Times New Roman" w:eastAsia="方正仿宋_GBK"/>
          <w:bCs/>
          <w:sz w:val="28"/>
          <w:szCs w:val="28"/>
          <w:highlight w:val="none"/>
        </w:rPr>
        <w:t>就有关响应的所有来往通知、函件和文件均应使用简体中文。</w:t>
      </w:r>
    </w:p>
    <w:p w14:paraId="00DB2548">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1.2 除技术性能另有规定外，响应文件所使用的度量衡单位，均须采用国家法定计量单位。</w:t>
      </w:r>
    </w:p>
    <w:p w14:paraId="58C33C45">
      <w:pPr>
        <w:adjustRightInd w:val="0"/>
        <w:snapToGrid w:val="0"/>
        <w:spacing w:line="500" w:lineRule="exact"/>
        <w:ind w:firstLine="560" w:firstLineChars="200"/>
        <w:rPr>
          <w:rFonts w:ascii="Times New Roman" w:hAnsi="Times New Roman" w:eastAsia="方正仿宋_GBK"/>
          <w:bCs/>
          <w:sz w:val="28"/>
          <w:szCs w:val="28"/>
          <w:highlight w:val="none"/>
        </w:rPr>
      </w:pPr>
      <w:bookmarkStart w:id="36" w:name="_Toc20823287"/>
      <w:bookmarkStart w:id="37" w:name="_Toc16938531"/>
      <w:bookmarkStart w:id="38" w:name="_Toc513029215"/>
      <w:bookmarkStart w:id="39" w:name="_Toc462564074"/>
      <w:r>
        <w:rPr>
          <w:rFonts w:ascii="Times New Roman" w:hAnsi="Times New Roman" w:eastAsia="方正仿宋_GBK"/>
          <w:bCs/>
          <w:sz w:val="28"/>
          <w:szCs w:val="28"/>
          <w:highlight w:val="none"/>
        </w:rPr>
        <w:t>2.响应文件构成</w:t>
      </w:r>
      <w:bookmarkEnd w:id="36"/>
      <w:bookmarkEnd w:id="37"/>
      <w:bookmarkEnd w:id="38"/>
      <w:bookmarkEnd w:id="39"/>
    </w:p>
    <w:p w14:paraId="6EAEFE42">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2.1</w:t>
      </w:r>
      <w:r>
        <w:rPr>
          <w:rFonts w:ascii="Times New Roman" w:hAnsi="Times New Roman" w:eastAsia="方正仿宋_GBK"/>
          <w:bCs/>
          <w:sz w:val="28"/>
          <w:szCs w:val="28"/>
          <w:highlight w:val="none"/>
        </w:rPr>
        <w:t>响应供应商应按“第四部分响应文件</w:t>
      </w:r>
      <w:r>
        <w:rPr>
          <w:rFonts w:hint="eastAsia" w:ascii="Times New Roman" w:hAnsi="Times New Roman" w:eastAsia="方正仿宋_GBK"/>
          <w:bCs/>
          <w:sz w:val="28"/>
          <w:szCs w:val="28"/>
          <w:highlight w:val="none"/>
        </w:rPr>
        <w:t>格式</w:t>
      </w:r>
      <w:r>
        <w:rPr>
          <w:rFonts w:ascii="Times New Roman" w:hAnsi="Times New Roman" w:eastAsia="方正仿宋_GBK"/>
          <w:bCs/>
          <w:sz w:val="28"/>
          <w:szCs w:val="28"/>
          <w:highlight w:val="none"/>
        </w:rPr>
        <w:t>”要求编写响应文件。</w:t>
      </w:r>
    </w:p>
    <w:p w14:paraId="0DA45AA8">
      <w:pPr>
        <w:adjustRightInd w:val="0"/>
        <w:snapToGrid w:val="0"/>
        <w:spacing w:line="500" w:lineRule="exact"/>
        <w:ind w:firstLine="560" w:firstLineChars="200"/>
        <w:rPr>
          <w:rFonts w:ascii="Times New Roman" w:hAnsi="Times New Roman" w:eastAsia="方正仿宋_GBK"/>
          <w:bCs/>
          <w:sz w:val="28"/>
          <w:szCs w:val="28"/>
          <w:highlight w:val="none"/>
        </w:rPr>
      </w:pPr>
      <w:r>
        <w:rPr>
          <w:rFonts w:eastAsia="方正仿宋_GBK"/>
          <w:kern w:val="0"/>
          <w:sz w:val="28"/>
          <w:szCs w:val="28"/>
          <w:highlight w:val="none"/>
        </w:rPr>
        <w:t>2</w:t>
      </w:r>
      <w:r>
        <w:rPr>
          <w:rFonts w:hint="eastAsia" w:eastAsia="方正仿宋_GBK"/>
          <w:kern w:val="0"/>
          <w:sz w:val="28"/>
          <w:szCs w:val="28"/>
          <w:highlight w:val="none"/>
        </w:rPr>
        <w:t>.2 如标书制作工具中格式和内容与“江苏政府采购网”发布的询价文件不一致，请以“江苏政府采购网”发布的询价文件为准。</w:t>
      </w:r>
    </w:p>
    <w:p w14:paraId="4F43BAB2">
      <w:pPr>
        <w:adjustRightInd w:val="0"/>
        <w:snapToGrid w:val="0"/>
        <w:spacing w:line="500" w:lineRule="exact"/>
        <w:ind w:firstLine="560" w:firstLineChars="200"/>
        <w:rPr>
          <w:rFonts w:ascii="Times New Roman" w:hAnsi="Times New Roman" w:eastAsia="方正仿宋_GBK"/>
          <w:bCs/>
          <w:sz w:val="28"/>
          <w:szCs w:val="28"/>
          <w:highlight w:val="none"/>
        </w:rPr>
      </w:pPr>
      <w:bookmarkStart w:id="40" w:name="_Hlt26670360"/>
      <w:bookmarkEnd w:id="40"/>
      <w:bookmarkStart w:id="41" w:name="_Hlt26668975"/>
      <w:bookmarkEnd w:id="41"/>
      <w:bookmarkStart w:id="42" w:name="_Hlt26954838"/>
      <w:bookmarkEnd w:id="42"/>
      <w:bookmarkStart w:id="43" w:name="_Toc49090511"/>
      <w:bookmarkStart w:id="44" w:name="_Toc14577360"/>
      <w:r>
        <w:rPr>
          <w:rFonts w:ascii="Times New Roman" w:hAnsi="Times New Roman" w:eastAsia="方正仿宋_GBK"/>
          <w:bCs/>
          <w:sz w:val="28"/>
          <w:szCs w:val="28"/>
          <w:highlight w:val="none"/>
        </w:rPr>
        <w:t>3.响应有效期</w:t>
      </w:r>
      <w:bookmarkEnd w:id="43"/>
      <w:bookmarkEnd w:id="44"/>
    </w:p>
    <w:p w14:paraId="15B9BAE3">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sz w:val="28"/>
          <w:szCs w:val="28"/>
          <w:highlight w:val="none"/>
        </w:rPr>
        <w:t>响应文件和响应供应商法定代表人或其授权委托人签署的文件、资料的有效期为自开标之日起60个日历日。</w:t>
      </w:r>
      <w:r>
        <w:rPr>
          <w:rFonts w:ascii="Times New Roman" w:hAnsi="Times New Roman" w:eastAsia="方正仿宋_GBK"/>
          <w:bCs/>
          <w:sz w:val="28"/>
          <w:szCs w:val="28"/>
          <w:highlight w:val="none"/>
        </w:rPr>
        <w:t>响应有效期比规定短的将被视为非响应性响应而予以拒绝。</w:t>
      </w:r>
    </w:p>
    <w:p w14:paraId="33FB59D2">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4.响应有效期的延长</w:t>
      </w:r>
    </w:p>
    <w:p w14:paraId="3FB2509D">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在特殊情况下，</w:t>
      </w:r>
      <w:r>
        <w:rPr>
          <w:rFonts w:hint="eastAsia" w:ascii="Times New Roman" w:hAnsi="Times New Roman" w:eastAsia="方正仿宋_GBK"/>
          <w:bCs/>
          <w:sz w:val="28"/>
          <w:szCs w:val="28"/>
          <w:highlight w:val="none"/>
        </w:rPr>
        <w:t>采购人</w:t>
      </w:r>
      <w:r>
        <w:rPr>
          <w:rFonts w:ascii="Times New Roman" w:hAnsi="Times New Roman" w:eastAsia="方正仿宋_GBK"/>
          <w:bCs/>
          <w:sz w:val="28"/>
          <w:szCs w:val="28"/>
          <w:highlight w:val="none"/>
        </w:rPr>
        <w:t>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highlight w:val="none"/>
        </w:rPr>
        <w:t>代理单位</w:t>
      </w:r>
      <w:r>
        <w:rPr>
          <w:rFonts w:ascii="Times New Roman" w:hAnsi="Times New Roman" w:eastAsia="方正仿宋_GBK"/>
          <w:bCs/>
          <w:sz w:val="28"/>
          <w:szCs w:val="28"/>
          <w:highlight w:val="none"/>
        </w:rPr>
        <w:t>的这一要求而放弃响应，同意延长响应有效期的响应供应商既不能要求也不允许修改其响应文件。受响应有效期约束的所有权利与义务均延长至新的有效期。</w:t>
      </w:r>
    </w:p>
    <w:p w14:paraId="7BFDEE97">
      <w:pPr>
        <w:widowControl/>
        <w:adjustRightInd w:val="0"/>
        <w:snapToGrid w:val="0"/>
        <w:spacing w:line="500" w:lineRule="exact"/>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四、响应文件的递交</w:t>
      </w:r>
    </w:p>
    <w:p w14:paraId="37ED5AB0">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1.响应文件的递交</w:t>
      </w:r>
    </w:p>
    <w:p w14:paraId="598A042C">
      <w:pPr>
        <w:adjustRightInd w:val="0"/>
        <w:snapToGrid w:val="0"/>
        <w:spacing w:line="500" w:lineRule="exact"/>
        <w:ind w:firstLine="560" w:firstLineChars="200"/>
        <w:jc w:val="left"/>
        <w:rPr>
          <w:rFonts w:ascii="Times New Roman" w:hAnsi="Times New Roman" w:eastAsia="方正仿宋_GBK"/>
          <w:b/>
          <w:bCs/>
          <w:i/>
          <w:iCs/>
          <w:sz w:val="28"/>
          <w:szCs w:val="28"/>
          <w:highlight w:val="none"/>
        </w:rPr>
      </w:pPr>
      <w:r>
        <w:rPr>
          <w:rFonts w:ascii="Times New Roman" w:hAnsi="Times New Roman" w:eastAsia="方正仿宋_GBK"/>
          <w:bCs/>
          <w:sz w:val="28"/>
          <w:szCs w:val="28"/>
          <w:highlight w:val="none"/>
        </w:rPr>
        <w:t>1.1</w:t>
      </w:r>
      <w:r>
        <w:rPr>
          <w:rFonts w:eastAsia="方正仿宋_GBK"/>
          <w:bCs/>
          <w:sz w:val="28"/>
          <w:szCs w:val="28"/>
          <w:highlight w:val="none"/>
        </w:rPr>
        <w:t>供应商应当按照</w:t>
      </w:r>
      <w:r>
        <w:rPr>
          <w:rFonts w:hint="eastAsia" w:eastAsia="方正仿宋_GBK"/>
          <w:bCs/>
          <w:sz w:val="28"/>
          <w:szCs w:val="28"/>
          <w:highlight w:val="none"/>
        </w:rPr>
        <w:t>江苏政府采购网</w:t>
      </w:r>
      <w:r>
        <w:rPr>
          <w:rFonts w:eastAsia="方正仿宋_GBK"/>
          <w:bCs/>
          <w:sz w:val="28"/>
          <w:szCs w:val="28"/>
          <w:highlight w:val="none"/>
        </w:rPr>
        <w:t>—资料下载中</w:t>
      </w:r>
      <w:r>
        <w:rPr>
          <w:rFonts w:hint="eastAsia" w:eastAsia="方正仿宋_GBK"/>
          <w:bCs/>
          <w:sz w:val="28"/>
          <w:szCs w:val="28"/>
          <w:highlight w:val="none"/>
        </w:rPr>
        <w:t>《江苏省政府采购管理交易系统（苏采云）供应商操作手册》</w:t>
      </w:r>
      <w:r>
        <w:rPr>
          <w:rFonts w:eastAsia="方正仿宋_GBK"/>
          <w:bCs/>
          <w:sz w:val="28"/>
          <w:szCs w:val="28"/>
          <w:highlight w:val="none"/>
        </w:rPr>
        <w:t>规定，在</w:t>
      </w:r>
      <w:r>
        <w:rPr>
          <w:rFonts w:eastAsia="方正仿宋_GBK"/>
          <w:sz w:val="28"/>
          <w:szCs w:val="28"/>
          <w:highlight w:val="none"/>
        </w:rPr>
        <w:t>响应文件提交</w:t>
      </w:r>
      <w:r>
        <w:rPr>
          <w:rFonts w:eastAsia="方正仿宋_GBK"/>
          <w:bCs/>
          <w:sz w:val="28"/>
          <w:szCs w:val="28"/>
          <w:highlight w:val="none"/>
        </w:rPr>
        <w:t>截止时间前制作并上传电子响应文件。</w:t>
      </w:r>
    </w:p>
    <w:p w14:paraId="52D6B24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1.2上传响应文件的内容不清楚或不清晰的（含扫描件），造成无法评审或部分影响评审的，导致评审差错的，责任由供应商自负。</w:t>
      </w:r>
    </w:p>
    <w:p w14:paraId="0D05B7A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w:t>
      </w:r>
      <w:r>
        <w:rPr>
          <w:rFonts w:hint="eastAsia" w:ascii="Times New Roman" w:hAnsi="Times New Roman" w:eastAsia="方正仿宋_GBK"/>
          <w:sz w:val="28"/>
          <w:szCs w:val="28"/>
          <w:highlight w:val="none"/>
        </w:rPr>
        <w:t>文件</w:t>
      </w:r>
      <w:r>
        <w:rPr>
          <w:rFonts w:ascii="Times New Roman" w:hAnsi="Times New Roman" w:eastAsia="方正仿宋_GBK"/>
          <w:sz w:val="28"/>
          <w:szCs w:val="28"/>
          <w:highlight w:val="none"/>
        </w:rPr>
        <w:t>截止日期</w:t>
      </w:r>
    </w:p>
    <w:p w14:paraId="58BEA0F3">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2.1 供应商上传电子响应文件的时间不得迟于采购公告中规定的响应文件提交截止时间。供应商应充分考虑到网络环境、网络带宽等风险因素，如因供应商自身原因造成的电子响应文件上传不成功由供应商自行承担全部责任。</w:t>
      </w:r>
    </w:p>
    <w:p w14:paraId="731DA921">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 xml:space="preserve">2.2 </w:t>
      </w:r>
      <w:r>
        <w:rPr>
          <w:rFonts w:hint="eastAsia" w:ascii="Times New Roman" w:hAnsi="Times New Roman" w:eastAsia="方正仿宋_GBK"/>
          <w:bCs/>
          <w:sz w:val="28"/>
          <w:szCs w:val="28"/>
          <w:highlight w:val="none"/>
        </w:rPr>
        <w:t>采购人</w:t>
      </w:r>
      <w:r>
        <w:rPr>
          <w:rFonts w:ascii="Times New Roman" w:hAnsi="Times New Roman" w:eastAsia="方正仿宋_GBK"/>
          <w:bCs/>
          <w:sz w:val="28"/>
          <w:szCs w:val="28"/>
          <w:highlight w:val="none"/>
        </w:rPr>
        <w:t>可以按照规定，通过修改采购文件酌情延长响应截止日期，在此情况下，供应商的所有权利和义务以及供应商受制的截止日期均应以延长后新的截止日期为准。</w:t>
      </w:r>
    </w:p>
    <w:p w14:paraId="1EA6602C">
      <w:pPr>
        <w:adjustRightInd w:val="0"/>
        <w:snapToGrid w:val="0"/>
        <w:spacing w:line="500" w:lineRule="exact"/>
        <w:ind w:firstLine="560" w:firstLineChars="200"/>
        <w:rPr>
          <w:rFonts w:ascii="Times New Roman" w:hAnsi="Times New Roman" w:eastAsia="方正仿宋_GBK"/>
          <w:bCs/>
          <w:sz w:val="28"/>
          <w:szCs w:val="28"/>
          <w:highlight w:val="none"/>
        </w:rPr>
      </w:pPr>
      <w:bookmarkStart w:id="45" w:name="_Toc16938543"/>
      <w:bookmarkStart w:id="46" w:name="_Toc513029227"/>
      <w:bookmarkStart w:id="47" w:name="_Toc20823299"/>
      <w:r>
        <w:rPr>
          <w:rFonts w:ascii="Times New Roman" w:hAnsi="Times New Roman" w:eastAsia="方正仿宋_GBK"/>
          <w:bCs/>
          <w:sz w:val="28"/>
          <w:szCs w:val="28"/>
          <w:highlight w:val="none"/>
        </w:rPr>
        <w:t>3.响应文件</w:t>
      </w:r>
      <w:bookmarkEnd w:id="45"/>
      <w:bookmarkEnd w:id="46"/>
      <w:bookmarkEnd w:id="47"/>
      <w:r>
        <w:rPr>
          <w:rFonts w:ascii="Times New Roman" w:hAnsi="Times New Roman" w:eastAsia="方正仿宋_GBK"/>
          <w:bCs/>
          <w:sz w:val="28"/>
          <w:szCs w:val="28"/>
          <w:highlight w:val="none"/>
        </w:rPr>
        <w:t>的拒收</w:t>
      </w:r>
    </w:p>
    <w:p w14:paraId="3079FDD1">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采购人或招标代理机构</w:t>
      </w:r>
      <w:r>
        <w:rPr>
          <w:rFonts w:ascii="Times New Roman" w:hAnsi="Times New Roman" w:eastAsia="方正仿宋_GBK"/>
          <w:bCs/>
          <w:sz w:val="28"/>
          <w:szCs w:val="28"/>
          <w:highlight w:val="none"/>
        </w:rPr>
        <w:t>拒绝接收在其规定的响应截止时间后上传的任何响应文件。未在规定的响应截止时间内上传响应文件电子文档的，询价小组将视其放弃参与本项目采购活动。</w:t>
      </w:r>
      <w:bookmarkStart w:id="48" w:name="_Toc16938544"/>
      <w:bookmarkStart w:id="49" w:name="_Toc513029228"/>
      <w:bookmarkStart w:id="50" w:name="_Toc20823300"/>
    </w:p>
    <w:p w14:paraId="15506C59">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4.响应文件的修改</w:t>
      </w:r>
      <w:bookmarkEnd w:id="48"/>
      <w:bookmarkEnd w:id="49"/>
      <w:bookmarkEnd w:id="50"/>
    </w:p>
    <w:p w14:paraId="298E8551">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4.1 在响应文件提交截止时间之后，响应供应商不得对其响应文件作任何修改。</w:t>
      </w:r>
    </w:p>
    <w:p w14:paraId="3ED3E378">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4.2 在响应文件提交截止时间至采购文件中规定的响应有效期满之间的这段时间内，响应供应商不得撤回其响应。</w:t>
      </w:r>
    </w:p>
    <w:p w14:paraId="71DC88D0">
      <w:pPr>
        <w:adjustRightInd w:val="0"/>
        <w:snapToGrid w:val="0"/>
        <w:spacing w:line="500" w:lineRule="exact"/>
        <w:jc w:val="lef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五、询价采购程序</w:t>
      </w:r>
    </w:p>
    <w:p w14:paraId="1596F49C">
      <w:pPr>
        <w:adjustRightInd w:val="0"/>
        <w:snapToGrid w:val="0"/>
        <w:spacing w:line="500" w:lineRule="exact"/>
        <w:ind w:firstLine="42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1.询价小组</w:t>
      </w:r>
    </w:p>
    <w:p w14:paraId="46233DF8">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1.1 开标后，</w:t>
      </w:r>
      <w:r>
        <w:rPr>
          <w:rFonts w:hint="eastAsia" w:ascii="Times New Roman" w:hAnsi="Times New Roman" w:eastAsia="方正仿宋_GBK"/>
          <w:sz w:val="28"/>
          <w:szCs w:val="28"/>
          <w:highlight w:val="none"/>
        </w:rPr>
        <w:t>采购人</w:t>
      </w:r>
      <w:r>
        <w:rPr>
          <w:rFonts w:ascii="Times New Roman" w:hAnsi="Times New Roman" w:eastAsia="方正仿宋_GBK"/>
          <w:sz w:val="28"/>
          <w:szCs w:val="28"/>
          <w:highlight w:val="none"/>
        </w:rPr>
        <w:t>将立即组织询价小组进行评标。</w:t>
      </w:r>
    </w:p>
    <w:p w14:paraId="6951C46C">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1.2 询价小组由政府采购评审专家和采购人代表组成，且人员构成符合政府采购有关规定。</w:t>
      </w:r>
    </w:p>
    <w:p w14:paraId="10A455A3">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1.3询价小组应当按照客观、公正、审慎的原则评审响应供应商的响应文件。</w:t>
      </w:r>
    </w:p>
    <w:p w14:paraId="29DB04A0">
      <w:pPr>
        <w:adjustRightInd w:val="0"/>
        <w:snapToGrid w:val="0"/>
        <w:spacing w:line="500" w:lineRule="exact"/>
        <w:ind w:firstLine="42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2.响应的澄清</w:t>
      </w:r>
    </w:p>
    <w:p w14:paraId="0D8BF5FA">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2.1评审期间，为有助于对响应文件的审查、评价和比较，询价小组有权要求供应商对其响应文件进行澄清，但并非对每个供应商都作澄清要求。</w:t>
      </w:r>
    </w:p>
    <w:p w14:paraId="230F3A9C">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2.2接到询价小组澄清要求的供应商应派人按询价小组规定的时间和格式作出澄清，澄清的内容作为响应文件的补充部分，但响应的价格和实质性的内容不得做任何更改。</w:t>
      </w:r>
    </w:p>
    <w:p w14:paraId="066FC0AE">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 接到询价小组澄清要求的供应商如未按规定做出澄清，其风险由供应商自行承担。</w:t>
      </w:r>
    </w:p>
    <w:p w14:paraId="4BB6F091">
      <w:pPr>
        <w:adjustRightInd w:val="0"/>
        <w:snapToGrid w:val="0"/>
        <w:spacing w:line="500" w:lineRule="exact"/>
        <w:ind w:firstLine="420"/>
        <w:rPr>
          <w:rFonts w:ascii="Times New Roman" w:hAnsi="Times New Roman" w:eastAsia="方正仿宋_GBK"/>
          <w:sz w:val="28"/>
          <w:szCs w:val="28"/>
          <w:highlight w:val="none"/>
        </w:rPr>
      </w:pPr>
      <w:r>
        <w:rPr>
          <w:rFonts w:ascii="Times New Roman" w:hAnsi="Times New Roman" w:eastAsia="方正仿宋_GBK"/>
          <w:sz w:val="28"/>
          <w:szCs w:val="28"/>
          <w:highlight w:val="none"/>
        </w:rPr>
        <w:t>3.对响应文件的初审</w:t>
      </w:r>
    </w:p>
    <w:p w14:paraId="5B08ED3B">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3.1响应文件初审分为资格性检查和符合性检查。</w:t>
      </w:r>
    </w:p>
    <w:p w14:paraId="2D47FD28">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（1）资格性检查：依据法律法规和采购文件的规定，询价小组对响应文件中的资格证明文件等进行审查，以确定供应商是否具备参加询价的资格。</w:t>
      </w:r>
    </w:p>
    <w:p w14:paraId="3ABAA1D6">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查询结果留存并归档。</w:t>
      </w:r>
    </w:p>
    <w:p w14:paraId="107D2991">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FCAB5ED">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资格性审查未通过的响应供应商作无效响应处理。</w:t>
      </w:r>
    </w:p>
    <w:p w14:paraId="6C96418F">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符合性检查：依据采购文件的规定，询价小组从响应文件的有效性、完整性和对采购文件的响应程度进行审查，以确定是否对采购文件的实质性要求作出响应。符合性审查未通过的响应供应商作无效响应处理。</w:t>
      </w:r>
    </w:p>
    <w:p w14:paraId="5510D2F4">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（3）未通过资格性审查或符合性审查的响应供应商，</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将告知其未通过资格性审查或符合性审查的原因</w:t>
      </w:r>
      <w:r>
        <w:rPr>
          <w:rFonts w:eastAsia="方正仿宋_GBK"/>
          <w:bCs/>
          <w:sz w:val="28"/>
          <w:szCs w:val="28"/>
          <w:highlight w:val="none"/>
        </w:rPr>
        <w:t>，评审结束后，</w:t>
      </w:r>
      <w:r>
        <w:rPr>
          <w:rFonts w:hint="eastAsia" w:eastAsia="方正仿宋_GBK"/>
          <w:bCs/>
          <w:sz w:val="28"/>
          <w:szCs w:val="28"/>
          <w:highlight w:val="none"/>
        </w:rPr>
        <w:t>代理单位</w:t>
      </w:r>
      <w:r>
        <w:rPr>
          <w:rFonts w:eastAsia="方正仿宋_GBK"/>
          <w:bCs/>
          <w:sz w:val="28"/>
          <w:szCs w:val="28"/>
          <w:highlight w:val="none"/>
        </w:rPr>
        <w:t>将不再告知未通过资格审查或符合性审查的原因。</w:t>
      </w:r>
    </w:p>
    <w:p w14:paraId="7C1D6DEF">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3.2</w:t>
      </w:r>
      <w:r>
        <w:rPr>
          <w:rFonts w:ascii="Times New Roman" w:hAnsi="Times New Roman" w:eastAsia="方正仿宋_GBK"/>
          <w:bCs/>
          <w:sz w:val="28"/>
          <w:szCs w:val="28"/>
          <w:highlight w:val="none"/>
        </w:rPr>
        <w:t>询价小组将对确定为实质性响应的响应进行进一步审核，看其是否有计算</w:t>
      </w:r>
      <w:r>
        <w:rPr>
          <w:rFonts w:ascii="Times New Roman" w:hAnsi="Times New Roman" w:eastAsia="方正仿宋_GBK"/>
          <w:sz w:val="28"/>
          <w:szCs w:val="28"/>
          <w:highlight w:val="none"/>
        </w:rPr>
        <w:t>上或累加上的算术错误，修正错误的原则如下：</w:t>
      </w:r>
    </w:p>
    <w:p w14:paraId="002F4F34">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lang w:val="en-US" w:eastAsia="zh-CN"/>
        </w:rPr>
        <w:t>1</w:t>
      </w:r>
      <w:r>
        <w:rPr>
          <w:rFonts w:ascii="Times New Roman" w:hAnsi="Times New Roman" w:eastAsia="方正仿宋_GBK"/>
          <w:sz w:val="28"/>
          <w:szCs w:val="28"/>
          <w:highlight w:val="none"/>
        </w:rPr>
        <w:t>）大写金额和小写金额不一致的，以大写金额为准。</w:t>
      </w:r>
    </w:p>
    <w:p w14:paraId="0824346F">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lang w:val="en-US" w:eastAsia="zh-CN"/>
        </w:rPr>
        <w:t>2</w:t>
      </w:r>
      <w:r>
        <w:rPr>
          <w:rFonts w:ascii="Times New Roman" w:hAnsi="Times New Roman" w:eastAsia="方正仿宋_GBK"/>
          <w:sz w:val="28"/>
          <w:szCs w:val="28"/>
          <w:highlight w:val="none"/>
        </w:rPr>
        <w:t>）总价金额与按单价汇总金额不一致的，以单价金额计算结果为准。</w:t>
      </w:r>
    </w:p>
    <w:p w14:paraId="2088E22E">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同时出现两种以上错误的，按照前款规定的顺序修正。</w:t>
      </w:r>
    </w:p>
    <w:p w14:paraId="5DE1C095">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3.3询价小组将按上述修正错误的方法调整响应文件中的响应报价，并告知响应供应商，调整后的价格应对响应供应商具有约束力。如果响应供应商不接受修正后的价格，则其响应将被拒绝。</w:t>
      </w:r>
    </w:p>
    <w:p w14:paraId="67CF810D">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3.4本采购项目为一个完整标的，询价小组不接受不完整的响应报价。响应供应商或其授权委托人必须对所有项目分别报单价，并合计总价。询价小组有权将未按规定填写的报价视为无效响应。</w:t>
      </w:r>
    </w:p>
    <w:p w14:paraId="33CDA7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3.5询价小组允许修正响应文件中不构成重大偏离的、微小的、非正规的、不一致的或不规则的地方，但这些修改不能影响任何响应供应商相应的名次排列。</w:t>
      </w:r>
    </w:p>
    <w:p w14:paraId="2DE4B30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7DF864E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非单一产品采购项目，采购文件中将载明其中的核心产品。多家响应供应商提供的核心产品为同一品牌同一型号的，按前款规定处理。</w:t>
      </w:r>
    </w:p>
    <w:p w14:paraId="16D08AC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3.7响应供应商在询价采购活动全过程中应保持通讯畅通，并安排专人与</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及询价小组联系。</w:t>
      </w:r>
    </w:p>
    <w:p w14:paraId="5868D270">
      <w:pPr>
        <w:adjustRightInd w:val="0"/>
        <w:snapToGrid w:val="0"/>
        <w:spacing w:line="500" w:lineRule="exact"/>
        <w:ind w:firstLine="560" w:firstLineChars="200"/>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4.无效响应及废标情形</w:t>
      </w:r>
    </w:p>
    <w:p w14:paraId="2664CA9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4.1符合下列情形之一者，响应供应商响应无效：</w:t>
      </w:r>
    </w:p>
    <w:p w14:paraId="418C501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（1）响应供应商未按本采购文件要求上传响应文件电子文档的，或上传的文件打不开的；</w:t>
      </w:r>
    </w:p>
    <w:p w14:paraId="362C67E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（2）同一响应供应商提交两个（含两个）以上不同的响应报价的；</w:t>
      </w:r>
    </w:p>
    <w:p w14:paraId="6BA2A02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（3）响应供应商不具备采购文件中规定资格要求的；</w:t>
      </w:r>
    </w:p>
    <w:p w14:paraId="1061CC4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（4）响应供应商的报价超过了采购预算或最高限价的；</w:t>
      </w:r>
    </w:p>
    <w:p w14:paraId="4F39605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（5）未通过资格性、符合性审查的；</w:t>
      </w:r>
    </w:p>
    <w:p w14:paraId="109DA81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（6）不符合询价采购文件中规定的其他实质性要求和条件的；</w:t>
      </w:r>
    </w:p>
    <w:p w14:paraId="4FEB77A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62B352A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（8）</w:t>
      </w:r>
      <w:r>
        <w:rPr>
          <w:rFonts w:ascii="Times New Roman" w:hAnsi="Times New Roman" w:eastAsia="方正仿宋_GBK"/>
          <w:bCs/>
          <w:sz w:val="28"/>
          <w:szCs w:val="28"/>
          <w:highlight w:val="none"/>
        </w:rPr>
        <w:t>响应文件含有采购人不能接受的附加条件的；</w:t>
      </w:r>
    </w:p>
    <w:p w14:paraId="79104F0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（9）</w:t>
      </w:r>
      <w:r>
        <w:rPr>
          <w:rFonts w:ascii="Times New Roman" w:hAnsi="Times New Roman" w:eastAsia="方正仿宋_GBK"/>
          <w:bCs/>
          <w:sz w:val="28"/>
          <w:szCs w:val="28"/>
          <w:highlight w:val="none"/>
        </w:rPr>
        <w:t>本项目采购产品被财政部、国家</w:t>
      </w:r>
      <w:r>
        <w:rPr>
          <w:rFonts w:hint="eastAsia" w:ascii="Times New Roman" w:hAnsi="Times New Roman" w:eastAsia="方正仿宋_GBK"/>
          <w:bCs/>
          <w:sz w:val="28"/>
          <w:szCs w:val="28"/>
          <w:highlight w:val="none"/>
        </w:rPr>
        <w:t>发展和</w:t>
      </w:r>
      <w:r>
        <w:rPr>
          <w:rFonts w:ascii="Times New Roman" w:hAnsi="Times New Roman" w:eastAsia="方正仿宋_GBK"/>
          <w:bCs/>
          <w:sz w:val="28"/>
          <w:szCs w:val="28"/>
          <w:highlight w:val="none"/>
        </w:rPr>
        <w:t>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highlight w:val="none"/>
        </w:rPr>
        <w:t>扫描件</w:t>
      </w:r>
      <w:r>
        <w:rPr>
          <w:rFonts w:ascii="Times New Roman" w:hAnsi="Times New Roman" w:eastAsia="方正仿宋_GBK"/>
          <w:bCs/>
          <w:sz w:val="28"/>
          <w:szCs w:val="28"/>
          <w:highlight w:val="none"/>
        </w:rPr>
        <w:t>）</w:t>
      </w:r>
      <w:r>
        <w:rPr>
          <w:rFonts w:ascii="Times New Roman" w:hAnsi="Times New Roman" w:eastAsia="方正仿宋_GBK"/>
          <w:sz w:val="28"/>
          <w:szCs w:val="28"/>
          <w:highlight w:val="none"/>
        </w:rPr>
        <w:t>；</w:t>
      </w:r>
    </w:p>
    <w:p w14:paraId="4D55567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（10）</w:t>
      </w:r>
      <w:r>
        <w:rPr>
          <w:rFonts w:ascii="Times New Roman" w:hAnsi="Times New Roman" w:eastAsia="方正仿宋_GBK"/>
          <w:bCs/>
          <w:sz w:val="28"/>
          <w:szCs w:val="28"/>
          <w:highlight w:val="none"/>
        </w:rPr>
        <w:t>响应文件未按照采购文件要求加盖电子签章</w:t>
      </w:r>
      <w:r>
        <w:rPr>
          <w:rFonts w:ascii="Times New Roman" w:hAnsi="Times New Roman" w:eastAsia="方正仿宋_GBK"/>
          <w:sz w:val="28"/>
          <w:szCs w:val="28"/>
          <w:highlight w:val="none"/>
        </w:rPr>
        <w:t>；</w:t>
      </w:r>
    </w:p>
    <w:p w14:paraId="2F0854FC">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（11）</w:t>
      </w:r>
      <w:r>
        <w:rPr>
          <w:rFonts w:eastAsia="方正仿宋_GBK"/>
          <w:bCs/>
          <w:sz w:val="28"/>
          <w:szCs w:val="28"/>
          <w:highlight w:val="none"/>
        </w:rPr>
        <w:t>不同</w:t>
      </w:r>
      <w:r>
        <w:rPr>
          <w:rFonts w:hint="eastAsia" w:eastAsia="方正仿宋_GBK"/>
          <w:bCs/>
          <w:sz w:val="28"/>
          <w:szCs w:val="28"/>
          <w:highlight w:val="none"/>
        </w:rPr>
        <w:t>供应商的响应</w:t>
      </w:r>
      <w:r>
        <w:rPr>
          <w:rFonts w:eastAsia="方正仿宋_GBK"/>
          <w:bCs/>
          <w:sz w:val="28"/>
          <w:szCs w:val="28"/>
          <w:highlight w:val="none"/>
        </w:rPr>
        <w:t>文件</w:t>
      </w:r>
      <w:r>
        <w:rPr>
          <w:rFonts w:hint="eastAsia" w:eastAsia="方正仿宋_GBK"/>
          <w:bCs/>
          <w:sz w:val="28"/>
          <w:szCs w:val="28"/>
          <w:highlight w:val="none"/>
        </w:rPr>
        <w:t>经</w:t>
      </w:r>
      <w:r>
        <w:rPr>
          <w:rFonts w:eastAsia="方正仿宋_GBK"/>
          <w:bCs/>
          <w:sz w:val="28"/>
          <w:szCs w:val="28"/>
          <w:highlight w:val="none"/>
        </w:rPr>
        <w:t>系统查询</w:t>
      </w:r>
      <w:r>
        <w:rPr>
          <w:rFonts w:hint="eastAsia" w:eastAsia="方正仿宋_GBK"/>
          <w:bCs/>
          <w:sz w:val="28"/>
          <w:szCs w:val="28"/>
          <w:highlight w:val="none"/>
        </w:rPr>
        <w:t>Mac地址</w:t>
      </w:r>
      <w:r>
        <w:rPr>
          <w:rFonts w:eastAsia="方正仿宋_GBK"/>
          <w:bCs/>
          <w:sz w:val="28"/>
          <w:szCs w:val="28"/>
          <w:highlight w:val="none"/>
        </w:rPr>
        <w:t>、</w:t>
      </w:r>
      <w:r>
        <w:rPr>
          <w:rFonts w:hint="eastAsia" w:eastAsia="方正仿宋_GBK"/>
          <w:bCs/>
          <w:sz w:val="28"/>
          <w:szCs w:val="28"/>
          <w:highlight w:val="none"/>
        </w:rPr>
        <w:t>标书制作</w:t>
      </w:r>
      <w:r>
        <w:rPr>
          <w:rFonts w:eastAsia="方正仿宋_GBK"/>
          <w:bCs/>
          <w:sz w:val="28"/>
          <w:szCs w:val="28"/>
          <w:highlight w:val="none"/>
        </w:rPr>
        <w:t>工具</w:t>
      </w:r>
      <w:r>
        <w:rPr>
          <w:rFonts w:hint="eastAsia" w:eastAsia="方正仿宋_GBK"/>
          <w:bCs/>
          <w:sz w:val="28"/>
          <w:szCs w:val="28"/>
          <w:highlight w:val="none"/>
        </w:rPr>
        <w:t>客户端</w:t>
      </w:r>
      <w:r>
        <w:rPr>
          <w:rFonts w:eastAsia="方正仿宋_GBK"/>
          <w:bCs/>
          <w:sz w:val="28"/>
          <w:szCs w:val="28"/>
          <w:highlight w:val="none"/>
        </w:rPr>
        <w:t>标识码一致的。</w:t>
      </w:r>
      <w:r>
        <w:rPr>
          <w:rFonts w:hint="eastAsia" w:eastAsia="方正仿宋_GBK"/>
          <w:bCs/>
          <w:sz w:val="28"/>
          <w:szCs w:val="28"/>
          <w:highlight w:val="none"/>
        </w:rPr>
        <w:t>（符合本条款不同的供应商不得参加本项目的后续采购事项，并移送政府采购监管部门进行处理。）</w:t>
      </w:r>
    </w:p>
    <w:p w14:paraId="31F2769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w:t>
      </w:r>
      <w:r>
        <w:rPr>
          <w:rFonts w:ascii="Times New Roman" w:hAnsi="Times New Roman" w:eastAsia="方正仿宋_GBK"/>
          <w:bCs/>
          <w:sz w:val="28"/>
          <w:szCs w:val="28"/>
          <w:highlight w:val="none"/>
        </w:rPr>
        <w:t>其他法律、法规及本采购文件规定的属无效响应的情形</w:t>
      </w:r>
      <w:r>
        <w:rPr>
          <w:rFonts w:ascii="Times New Roman" w:hAnsi="Times New Roman" w:eastAsia="方正仿宋_GBK"/>
          <w:sz w:val="28"/>
          <w:szCs w:val="28"/>
          <w:highlight w:val="none"/>
        </w:rPr>
        <w:t>。</w:t>
      </w:r>
    </w:p>
    <w:p w14:paraId="478C6A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4.2符合下列情形之一者，本采购项目废标：</w:t>
      </w:r>
    </w:p>
    <w:p w14:paraId="5C635BE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bCs/>
          <w:sz w:val="28"/>
          <w:szCs w:val="28"/>
          <w:highlight w:val="none"/>
        </w:rPr>
        <w:t>符合专业条件的供应商或者对采购文件作实质响应的供应商不足三家的</w:t>
      </w:r>
      <w:r>
        <w:rPr>
          <w:rFonts w:ascii="Times New Roman" w:hAnsi="Times New Roman" w:eastAsia="方正仿宋_GBK"/>
          <w:sz w:val="28"/>
          <w:szCs w:val="28"/>
          <w:highlight w:val="none"/>
        </w:rPr>
        <w:t>；</w:t>
      </w:r>
    </w:p>
    <w:p w14:paraId="17148E0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（2）所有合格响应供应商的报价均超过本项目预算金额或最高限价的；</w:t>
      </w:r>
    </w:p>
    <w:p w14:paraId="23E583D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（3）出现影响采购公正的违法、违规行为的；</w:t>
      </w:r>
    </w:p>
    <w:p w14:paraId="43AB1ED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（4）因重大变故，采购任务取消的；</w:t>
      </w:r>
    </w:p>
    <w:p w14:paraId="1A17772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废标后，对于特殊紧急的采购项目，经监管部门批准后采购人可直接改变采购方式，现场继续组织采购活动。</w:t>
      </w:r>
    </w:p>
    <w:p w14:paraId="1AF32F8E">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、成交原则</w:t>
      </w:r>
    </w:p>
    <w:p w14:paraId="7766548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1.确定成交单位</w:t>
      </w:r>
    </w:p>
    <w:p w14:paraId="78F5A2A5">
      <w:pPr>
        <w:adjustRightInd w:val="0"/>
        <w:snapToGrid w:val="0"/>
        <w:spacing w:line="500" w:lineRule="exact"/>
        <w:ind w:firstLine="560" w:firstLineChars="200"/>
        <w:rPr>
          <w:rFonts w:hint="eastAsia" w:ascii="Times New Roman" w:hAnsi="Times New Roman" w:eastAsia="方正仿宋_GBK"/>
          <w:sz w:val="28"/>
          <w:szCs w:val="28"/>
          <w:highlight w:val="none"/>
        </w:rPr>
      </w:pPr>
      <w:r>
        <w:rPr>
          <w:rFonts w:hint="eastAsia" w:ascii="Times New Roman" w:hAnsi="Times New Roman" w:eastAsia="方正仿宋_GBK"/>
          <w:sz w:val="28"/>
          <w:szCs w:val="28"/>
          <w:highlight w:val="none"/>
        </w:rPr>
        <w:t>1.1符合采购需求，投标人各产品单价报价÷单价限价×权重系数（各品种权重系数为各品种采购金额占总金额的比重）之和（保留四位小数）最低者中标，如有相同，则通过抽签确定成交候选人。本项目根据成交原则确定前三名分别为第一、第二、第三成交候选人，如第一成交候选人因自身原因未能履约，采购人将取消其中标资格，并按相关规定处理。同时确定第二成交候选人为中标人，依此类推，采购人也可视情况进行重新招标。</w:t>
      </w:r>
    </w:p>
    <w:p w14:paraId="1A52646A">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1.2政府采购政策功能落实</w:t>
      </w:r>
    </w:p>
    <w:p w14:paraId="10FCAACD">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1.2.1非专门面向中小企业采购的项目或者采购包，执行以下价格评审优惠的扶持政策。</w:t>
      </w:r>
    </w:p>
    <w:p w14:paraId="48312435">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（1）小微型企业价格扣除：</w:t>
      </w:r>
    </w:p>
    <w:p w14:paraId="2046E5C4">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\o\ac(○,1)</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对小型和微型企业产品给予10%的扣除价格，用扣除后的价格参与评审。</w:t>
      </w:r>
    </w:p>
    <w:p w14:paraId="5AE941E1">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\o\ac(○,2)</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供应商需按照《政府采购促进中小企业发展管理办法》（财库〔2020〕46号）的规定提供相应的《中小企业声明函》。</w:t>
      </w:r>
    </w:p>
    <w:p w14:paraId="41913EFD">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\o\ac(○,3)</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企业标准请参照《关于印发中小企业划型标准规定的通知》（工信部联企业</w:t>
      </w:r>
      <w:r>
        <w:rPr>
          <w:rFonts w:hint="eastAsia" w:ascii="Times New Roman" w:hAnsi="Times New Roman" w:eastAsia="方正仿宋_GBK" w:cs="Times New Roman"/>
          <w:sz w:val="28"/>
          <w:szCs w:val="28"/>
          <w:highlight w:val="none"/>
          <w:lang w:val="zh-CN"/>
        </w:rPr>
        <w:t>〔</w:t>
      </w:r>
      <w:r>
        <w:rPr>
          <w:rFonts w:hint="eastAsia" w:ascii="Times New Roman" w:hAnsi="Times New Roman" w:eastAsia="方正仿宋_GBK" w:cs="Times New Roman"/>
          <w:sz w:val="28"/>
          <w:szCs w:val="28"/>
          <w:highlight w:val="none"/>
        </w:rPr>
        <w:t>2011</w:t>
      </w:r>
      <w:r>
        <w:rPr>
          <w:rFonts w:hint="eastAsia" w:ascii="Times New Roman" w:hAnsi="Times New Roman" w:eastAsia="方正仿宋_GBK" w:cs="Times New Roman"/>
          <w:sz w:val="28"/>
          <w:szCs w:val="28"/>
          <w:highlight w:val="none"/>
          <w:lang w:val="zh-CN"/>
        </w:rPr>
        <w:t>〕</w:t>
      </w:r>
      <w:r>
        <w:rPr>
          <w:rFonts w:hint="eastAsia" w:ascii="Times New Roman" w:hAnsi="Times New Roman" w:eastAsia="方正仿宋_GBK" w:cs="Times New Roman"/>
          <w:sz w:val="28"/>
          <w:szCs w:val="28"/>
          <w:highlight w:val="none"/>
        </w:rPr>
        <w:t>300号）文件规定自行填写。</w:t>
      </w:r>
    </w:p>
    <w:p w14:paraId="7C2A391D">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（2）残疾人福利单位价格扣除：</w:t>
      </w:r>
    </w:p>
    <w:p w14:paraId="7ADDF921">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\o\ac(○,1)</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对残疾人福利性单位，给予10%的价格扣除，用扣除后的价格参与评审。</w:t>
      </w:r>
    </w:p>
    <w:p w14:paraId="30AB60E6">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\o\ac(○,2)</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残疾人福利单位需按照采购文件的要求提供《残疾人福利性单位声明函》。</w:t>
      </w:r>
    </w:p>
    <w:p w14:paraId="39B11F69">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\o\ac(○,3)</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残疾人福利单位标准请参照《关于促进残疾人就业政府采购政策的通知》（财库〔2017〕141号）。</w:t>
      </w:r>
    </w:p>
    <w:p w14:paraId="5B0EE066">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（3）监狱和戒毒企业价格扣除</w:t>
      </w:r>
    </w:p>
    <w:p w14:paraId="64C3A06A">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\o\ac(○,1)</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对监狱和戒毒企业（简称监狱企业）给予10%的价格扣除，用扣除后的价格参与评审。</w:t>
      </w:r>
    </w:p>
    <w:p w14:paraId="3FEDE9E9">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\o\ac(○,2)</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监狱企业参加政府采购活动时，需提供由省级以上监狱管理局、戒毒管理局(含新疆生产建设兵团)出具的属于监狱企业的证明文件。供应商如不提供上述证明文件，价格将不做相应扣除。</w:t>
      </w:r>
    </w:p>
    <w:p w14:paraId="25335C99">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eq \o\ac(○,3)</w:instrTex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监狱企业标准请参照《关于政府采购支持监狱企业发展有关问题的通知》（财库〔2014</w:t>
      </w:r>
      <w:r>
        <w:rPr>
          <w:rFonts w:hint="eastAsia" w:ascii="Times New Roman" w:hAnsi="Times New Roman" w:eastAsia="方正仿宋_GBK" w:cs="Times New Roman"/>
          <w:sz w:val="28"/>
          <w:szCs w:val="28"/>
          <w:highlight w:val="none"/>
          <w:lang w:val="zh-CN"/>
        </w:rPr>
        <w:t>〕</w:t>
      </w:r>
      <w:r>
        <w:rPr>
          <w:rFonts w:hint="eastAsia" w:ascii="Times New Roman" w:hAnsi="Times New Roman" w:eastAsia="方正仿宋_GBK" w:cs="Times New Roman"/>
          <w:sz w:val="28"/>
          <w:szCs w:val="28"/>
          <w:highlight w:val="none"/>
        </w:rPr>
        <w:t>68号）。</w:t>
      </w:r>
    </w:p>
    <w:p w14:paraId="3E7421F7">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（4）残疾人福利单位、监狱企业属于小型、微型企业的，不重复享受政策。</w:t>
      </w:r>
    </w:p>
    <w:p w14:paraId="0847C60B">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44854825">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（6）联合体各方均为小型、微型企业（残疾人福利单位、监狱企业）的，联合体享受上述同类价格扣除，用扣除后的价格参与评审。</w:t>
      </w:r>
    </w:p>
    <w:p w14:paraId="76585610">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1.2.2专门面向中小企业采购的项目或者采购包，不再执行上述价格评审优惠的扶持政策。</w:t>
      </w:r>
    </w:p>
    <w:p w14:paraId="1E53F533">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1.2.3采购本国产品的支持政策</w:t>
      </w:r>
    </w:p>
    <w:p w14:paraId="15F25735">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394F49BB">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（2）当采购项目或者采购包的采购标的中含有多种产品，供应商为该采购项目或者采购包提供的符合本国产品标准的产品成本之和占该供应商提供的全部产品成本之和的比例达到80%以上时</w:t>
      </w:r>
      <w:r>
        <w:rPr>
          <w:rFonts w:hint="eastAsia" w:ascii="Times New Roman" w:hAnsi="Times New Roman" w:eastAsia="方正仿宋_GBK" w:cs="Times New Roman"/>
          <w:b/>
          <w:bCs/>
          <w:sz w:val="28"/>
          <w:szCs w:val="28"/>
          <w:highlight w:val="none"/>
        </w:rPr>
        <w:t>（供应商需在“第四部分 响应文件格式”的“附件</w:t>
      </w:r>
      <w:r>
        <w:rPr>
          <w:rFonts w:hint="eastAsia" w:ascii="Times New Roman" w:hAnsi="Times New Roman" w:eastAsia="方正仿宋_GBK" w:cs="Times New Roman"/>
          <w:b/>
          <w:bCs/>
          <w:sz w:val="28"/>
          <w:szCs w:val="28"/>
          <w:highlight w:val="none"/>
          <w:lang w:val="en-US" w:eastAsia="zh-CN"/>
        </w:rPr>
        <w:t xml:space="preserve"> </w:t>
      </w:r>
      <w:r>
        <w:rPr>
          <w:rFonts w:hint="eastAsia" w:ascii="Times New Roman" w:hAnsi="Times New Roman" w:eastAsia="方正仿宋_GBK" w:cs="Times New Roman"/>
          <w:b/>
          <w:bCs/>
          <w:sz w:val="28"/>
          <w:szCs w:val="28"/>
          <w:highlight w:val="none"/>
        </w:rPr>
        <w:t>分项报价明细表”中填写比例数值）</w:t>
      </w:r>
      <w:r>
        <w:rPr>
          <w:rFonts w:hint="eastAsia" w:ascii="Times New Roman" w:hAnsi="Times New Roman" w:eastAsia="方正仿宋_GBK" w:cs="Times New Roman"/>
          <w:sz w:val="28"/>
          <w:szCs w:val="28"/>
          <w:highlight w:val="none"/>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E3157D">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（3）对于仅有本国产品参与竞争的政府采购项目，本国产品不享受价格扣除评审优惠。</w:t>
      </w:r>
    </w:p>
    <w:p w14:paraId="12F73E49">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（4）供应商需按照询价文件的要求提供《关于符合本国产品标准的声明函》（以下简称《声明函》），如不提供将不享受本国产品价格评审优惠。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（5）供应商需在《声明函》中逐一、准确填写产品名称、厂名、生产厂址三项信息</w:t>
      </w:r>
      <w:r>
        <w:rPr>
          <w:rFonts w:hint="eastAsia" w:ascii="Times New Roman" w:hAnsi="Times New Roman" w:eastAsia="方正仿宋_GBK" w:cs="Times New Roman"/>
          <w:b/>
          <w:bCs/>
          <w:sz w:val="28"/>
          <w:szCs w:val="28"/>
          <w:highlight w:val="none"/>
        </w:rPr>
        <w:t>（《声明函》中用斜线划除的地方无需填写）</w:t>
      </w:r>
      <w:r>
        <w:rPr>
          <w:rFonts w:hint="eastAsia" w:ascii="Times New Roman" w:hAnsi="Times New Roman" w:eastAsia="方正仿宋_GBK" w:cs="Times New Roman"/>
          <w:sz w:val="28"/>
          <w:szCs w:val="28"/>
          <w:highlight w:val="none"/>
        </w:rPr>
        <w:t>，三项信息中任意一项未填写的视为该项产品不符合本国产品标准，不享受本国产品价格评审优惠。</w:t>
      </w:r>
    </w:p>
    <w:p w14:paraId="00DC0851">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1437C486">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7）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254B2CA">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1.3如出现供应商最低报价相同的情况，则优先采购“环境标志产品”或“节能产品”。</w:t>
      </w:r>
    </w:p>
    <w:p w14:paraId="565BB657">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（1）如出现最低报价相同，且响应产品均属于“环境标志产品”和“节能产品”，则将优先采购交货期短者。</w:t>
      </w:r>
    </w:p>
    <w:p w14:paraId="176F1057">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（2）如出现最低报价相同，且响应产品不能同时满足“环境标志产品”和“节能产品”（只能满足其中一项），则将优先采购交货期短者。</w:t>
      </w:r>
    </w:p>
    <w:p w14:paraId="1AD29267">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1.4如出现供应商最低报价相同的情况，且响应产品均不是“环境标志产品”或“节能产品”，则将优先采购交货期短者。</w:t>
      </w:r>
    </w:p>
    <w:p w14:paraId="1B47471F">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对于同时列入环境标志产品政府采购品目清单和节能产品政府采购品目清单的产品，则其优先于只列入其中一个品目清单的产品。</w:t>
      </w:r>
    </w:p>
    <w:p w14:paraId="1880319A">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环境标志产品是指列入财政部、生态环境部最新公布的《环境标志产品政府采购品目清单》内的产品。</w:t>
      </w:r>
    </w:p>
    <w:p w14:paraId="08FBA369">
      <w:pPr>
        <w:adjustRightInd w:val="0"/>
        <w:snapToGrid w:val="0"/>
        <w:spacing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节能产品是指列入财政部、国家发展和改革委员会最新公布的《节能产品政府采购品目清单》内的产品。</w:t>
      </w:r>
    </w:p>
    <w:p w14:paraId="38B8AB0B">
      <w:pPr>
        <w:adjustRightInd w:val="0"/>
        <w:snapToGrid w:val="0"/>
        <w:spacing w:line="500" w:lineRule="exact"/>
        <w:ind w:firstLine="560" w:firstLineChars="200"/>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注意：响应主要产品如为节能及环境标志产品的，响应供应商必须提供有关证明材料。</w:t>
      </w:r>
    </w:p>
    <w:p w14:paraId="6AA228B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1.5成交结果公告</w:t>
      </w:r>
    </w:p>
    <w:p w14:paraId="491B9B9F">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政府采购网发布成交公告，公告期限为1个工作日。</w:t>
      </w:r>
    </w:p>
    <w:p w14:paraId="7DE7B7D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1.6 若有充分证据证明，成交供应商出现下列情况之一的，一经查实，将被取消成交资格：</w:t>
      </w:r>
    </w:p>
    <w:p w14:paraId="77010FB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（1）提供虚假材料谋取</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w:t>
      </w:r>
    </w:p>
    <w:p w14:paraId="5FE9AE9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（2）向采购人、</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行贿或者提供其他不正当利益的；</w:t>
      </w:r>
    </w:p>
    <w:p w14:paraId="24FF530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（3）恶意竞争，响应总报价明显低于其自身合理成本且又无法提供证明的；</w:t>
      </w:r>
    </w:p>
    <w:p w14:paraId="6395428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（4）属于本文件规定的无效条件，但在评审过程中又未被询价小组发现的；</w:t>
      </w:r>
    </w:p>
    <w:p w14:paraId="5B5E74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（5）与采购人或者其他供应商恶意串通的；</w:t>
      </w:r>
    </w:p>
    <w:p w14:paraId="08D21DF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（6）采取不正当手段诋毁、排挤其他供应商的；</w:t>
      </w:r>
    </w:p>
    <w:p w14:paraId="32E0FD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（7）如有涉及对采购文件实质性内容的隐瞒、欺诈或违法违规行为的。</w:t>
      </w:r>
    </w:p>
    <w:p w14:paraId="542A6FE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1.7有下列情形之一的，视为响应供应商串通响应，响应无效：</w:t>
      </w:r>
    </w:p>
    <w:p w14:paraId="3143C5D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（1）不同响应供应商的响应文件由同一单位或者个人编制；</w:t>
      </w:r>
    </w:p>
    <w:p w14:paraId="14F3F8B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（2）不同响应供应商委托同一单位或者个人办理响应事宜；</w:t>
      </w:r>
    </w:p>
    <w:p w14:paraId="687F0F7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（3）不同响应供应商的响应文件载明的项目管理成员或者联系人员为同一人；</w:t>
      </w:r>
    </w:p>
    <w:p w14:paraId="1DB2BB7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（4）不同响应供应商的响应文件异常一致或者响应报价呈规律性差异；</w:t>
      </w:r>
    </w:p>
    <w:p w14:paraId="16DE3F6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（5）不同响应供应商的响应文件相互混装。</w:t>
      </w:r>
    </w:p>
    <w:p w14:paraId="137C60C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2.质疑处理</w:t>
      </w:r>
    </w:p>
    <w:p w14:paraId="3AB1C42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 提出质疑的供应商应当是参与所质疑项目采购活动的供应商。潜在供应商依法获取其可质疑的采购文件的，可以对采购文件提出质疑。</w:t>
      </w:r>
    </w:p>
    <w:p w14:paraId="6FC4B7FC">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2.2供应商认为采购文件、采购过程和采购结果使自己的权益受到损害的，可以在知道或应知其权益受到损害之日起七个工作日内，以书面形式向</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或采购人提出质疑。上述应知其权益受到损害之日，是指：</w:t>
      </w:r>
    </w:p>
    <w:p w14:paraId="3B9650FB">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kern w:val="0"/>
          <w:sz w:val="28"/>
          <w:szCs w:val="28"/>
          <w:highlight w:val="none"/>
        </w:rPr>
        <w:t>对可以质疑的采购文件提出质疑的，为收到采购文件之日或者采购文件公告期限届满之日；</w:t>
      </w:r>
    </w:p>
    <w:p w14:paraId="4A4F9B5E">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（2）</w:t>
      </w:r>
      <w:r>
        <w:rPr>
          <w:rFonts w:ascii="Times New Roman" w:hAnsi="Times New Roman" w:eastAsia="方正仿宋_GBK"/>
          <w:kern w:val="0"/>
          <w:sz w:val="28"/>
          <w:szCs w:val="28"/>
          <w:highlight w:val="none"/>
        </w:rPr>
        <w:t>对采购过程提出质疑的，为各采购程序环节结束之日；</w:t>
      </w:r>
    </w:p>
    <w:p w14:paraId="02855944">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（3）</w:t>
      </w:r>
      <w:r>
        <w:rPr>
          <w:rFonts w:ascii="Times New Roman" w:hAnsi="Times New Roman" w:eastAsia="方正仿宋_GBK"/>
          <w:kern w:val="0"/>
          <w:sz w:val="28"/>
          <w:szCs w:val="28"/>
          <w:highlight w:val="none"/>
        </w:rPr>
        <w:t>对中标或者成交结果提出质疑的，为中标或者成交结果公告期限届满之日。</w:t>
      </w:r>
    </w:p>
    <w:p w14:paraId="4C80FD4B">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kern w:val="0"/>
          <w:sz w:val="28"/>
          <w:szCs w:val="28"/>
          <w:highlight w:val="none"/>
        </w:rPr>
        <w:t>供应商应当在法定质疑期内一次性提出针对同一采购程序环节的质疑。</w:t>
      </w:r>
    </w:p>
    <w:p w14:paraId="3EC45E2A">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2.3质疑函必须按照本采购文件中《质疑函范本》（附件1</w:t>
      </w:r>
      <w:r>
        <w:rPr>
          <w:rFonts w:hint="eastAsia" w:ascii="Times New Roman" w:hAnsi="Times New Roman" w:eastAsia="方正仿宋_GBK"/>
          <w:sz w:val="28"/>
          <w:szCs w:val="28"/>
          <w:highlight w:val="none"/>
        </w:rPr>
        <w:t>3</w:t>
      </w:r>
      <w:r>
        <w:rPr>
          <w:rFonts w:ascii="Times New Roman" w:hAnsi="Times New Roman" w:eastAsia="方正仿宋_GBK"/>
          <w:sz w:val="28"/>
          <w:szCs w:val="28"/>
          <w:highlight w:val="none"/>
        </w:rPr>
        <w:t>）要求的格式和内容进行填写。供应商如组成联合体参加响应，则《质疑函范本》中要求签字、盖章、加盖公章之处，联合体各方均须按要求签字、盖章、加盖公章。</w:t>
      </w:r>
    </w:p>
    <w:p w14:paraId="2A1F849F">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sz w:val="28"/>
          <w:szCs w:val="28"/>
          <w:highlight w:val="none"/>
        </w:rPr>
        <w:t>2.4对采购方式、采购文件中项目需求、供应商资格条件等应当由采购人答复的质疑，请向采购人提出，由采购人负责答复。供应商对其他事项的质疑，请向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提出，由</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负责答复。</w:t>
      </w:r>
    </w:p>
    <w:p w14:paraId="2519C582">
      <w:pPr>
        <w:adjustRightInd w:val="0"/>
        <w:snapToGrid w:val="0"/>
        <w:spacing w:line="500" w:lineRule="exact"/>
        <w:ind w:firstLine="560" w:firstLineChars="200"/>
        <w:jc w:val="left"/>
        <w:rPr>
          <w:rFonts w:eastAsia="方正仿宋_GBK"/>
          <w:sz w:val="28"/>
          <w:szCs w:val="28"/>
          <w:highlight w:val="none"/>
        </w:rPr>
      </w:pPr>
      <w:r>
        <w:rPr>
          <w:rFonts w:eastAsia="方正仿宋_GBK"/>
          <w:sz w:val="28"/>
          <w:szCs w:val="28"/>
          <w:highlight w:val="none"/>
        </w:rPr>
        <w:t>供应商于法定期限内提起质疑，向采购人或</w:t>
      </w:r>
      <w:r>
        <w:rPr>
          <w:rFonts w:hint="eastAsia" w:eastAsia="方正仿宋_GBK"/>
          <w:sz w:val="28"/>
          <w:szCs w:val="28"/>
          <w:highlight w:val="none"/>
        </w:rPr>
        <w:t>代理单位</w:t>
      </w:r>
      <w:r>
        <w:rPr>
          <w:rFonts w:eastAsia="方正仿宋_GBK"/>
          <w:sz w:val="28"/>
          <w:szCs w:val="28"/>
          <w:highlight w:val="none"/>
        </w:rPr>
        <w:t>以书面形式提交质疑函。</w:t>
      </w:r>
    </w:p>
    <w:p w14:paraId="5497118D">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采购人</w:t>
      </w:r>
      <w:r>
        <w:rPr>
          <w:rFonts w:eastAsia="方正仿宋_GBK"/>
          <w:sz w:val="28"/>
          <w:szCs w:val="28"/>
          <w:highlight w:val="none"/>
        </w:rPr>
        <w:t>或</w:t>
      </w:r>
      <w:r>
        <w:rPr>
          <w:rFonts w:hint="eastAsia" w:eastAsia="方正仿宋_GBK"/>
          <w:sz w:val="28"/>
          <w:szCs w:val="28"/>
          <w:highlight w:val="none"/>
        </w:rPr>
        <w:t>代理单位</w:t>
      </w:r>
      <w:r>
        <w:rPr>
          <w:rFonts w:ascii="Times New Roman" w:hAnsi="Times New Roman" w:eastAsia="方正仿宋_GBK"/>
          <w:sz w:val="28"/>
          <w:szCs w:val="28"/>
          <w:highlight w:val="none"/>
        </w:rPr>
        <w:t>质疑接收人及联系方式，见采购文件第一部分。</w:t>
      </w:r>
    </w:p>
    <w:p w14:paraId="092B0987">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2.5 以下情形的质疑不予受理</w:t>
      </w:r>
    </w:p>
    <w:p w14:paraId="2B42E6B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（1）内容不符合《政府采购质疑和投诉办法》第十二条规定的质疑。</w:t>
      </w:r>
    </w:p>
    <w:p w14:paraId="3F4FB52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（2）超出政府采购法定期限的质疑。</w:t>
      </w:r>
    </w:p>
    <w:p w14:paraId="71AC96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（3）未参加响应活动的供应商或在响应活动中自身权益未受到损害的供应商所提出的质疑。</w:t>
      </w:r>
    </w:p>
    <w:p w14:paraId="37FE1A3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（4）供应商组成联合体参加响应，联合体中任何一方或多方未按要求签字、盖章、加盖公章的质疑。</w:t>
      </w:r>
    </w:p>
    <w:p w14:paraId="1A6B4222">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2.6 供应商提出书面质疑必须有理、有据，不得捏造事实、提供虚假材料进行恶意质疑。否则，一经查实，</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有权依据政府采购的有关规定，报请政府采购监管部门对该供应商进行相应的行政处罚和记录该供应商的失信信息。</w:t>
      </w:r>
    </w:p>
    <w:p w14:paraId="6DCFB336">
      <w:pPr>
        <w:numPr>
          <w:ilvl w:val="0"/>
          <w:numId w:val="1"/>
        </w:numPr>
        <w:adjustRightInd w:val="0"/>
        <w:snapToGrid w:val="0"/>
        <w:spacing w:line="500" w:lineRule="exact"/>
        <w:ind w:firstLine="489"/>
        <w:rPr>
          <w:rFonts w:ascii="Times New Roman" w:hAnsi="Times New Roman" w:eastAsia="方正仿宋_GBK"/>
          <w:sz w:val="28"/>
          <w:szCs w:val="28"/>
          <w:highlight w:val="none"/>
        </w:rPr>
      </w:pPr>
      <w:r>
        <w:rPr>
          <w:rFonts w:ascii="Times New Roman" w:hAnsi="Times New Roman" w:eastAsia="方正仿宋_GBK"/>
          <w:sz w:val="28"/>
          <w:szCs w:val="28"/>
          <w:highlight w:val="none"/>
        </w:rPr>
        <w:t>成交通知书</w:t>
      </w:r>
    </w:p>
    <w:p w14:paraId="7506D23D">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公告成交结果的同时，</w:t>
      </w:r>
      <w:r>
        <w:rPr>
          <w:rFonts w:hint="eastAsia" w:ascii="Times New Roman" w:hAnsi="Times New Roman" w:eastAsia="方正仿宋_GBK"/>
          <w:sz w:val="28"/>
          <w:szCs w:val="28"/>
          <w:highlight w:val="none"/>
        </w:rPr>
        <w:t>代理单位</w:t>
      </w:r>
      <w:r>
        <w:rPr>
          <w:rFonts w:ascii="Times New Roman" w:hAnsi="Times New Roman" w:eastAsia="方正仿宋_GBK"/>
          <w:sz w:val="28"/>
          <w:szCs w:val="28"/>
          <w:highlight w:val="none"/>
        </w:rPr>
        <w:t>向成交供应商发放成交通知书</w:t>
      </w:r>
      <w:r>
        <w:rPr>
          <w:rFonts w:hint="eastAsia" w:ascii="Times New Roman" w:hAnsi="Times New Roman" w:eastAsia="方正仿宋_GBK"/>
          <w:sz w:val="28"/>
          <w:szCs w:val="28"/>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DC16B7F">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成交通知书发出后，采购人不得违法改变成交结果，成交供应商无正当理由不得放弃成交。</w:t>
      </w:r>
    </w:p>
    <w:p w14:paraId="1CD888E2">
      <w:pPr>
        <w:adjustRightInd w:val="0"/>
        <w:snapToGrid w:val="0"/>
        <w:spacing w:line="500" w:lineRule="exact"/>
        <w:ind w:firstLine="546" w:firstLineChars="195"/>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成交供应商须提</w:t>
      </w:r>
      <w:r>
        <w:rPr>
          <w:rFonts w:hint="eastAsia" w:ascii="Times New Roman" w:hAnsi="Times New Roman" w:eastAsia="方正仿宋_GBK"/>
          <w:b/>
          <w:sz w:val="28"/>
          <w:szCs w:val="28"/>
          <w:highlight w:val="none"/>
        </w:rPr>
        <w:t>供叁份纸质版响应文件至招标代理机构</w:t>
      </w:r>
      <w:r>
        <w:rPr>
          <w:rFonts w:ascii="Times New Roman" w:hAnsi="Times New Roman" w:eastAsia="方正仿宋_GBK"/>
          <w:b/>
          <w:sz w:val="28"/>
          <w:szCs w:val="28"/>
          <w:highlight w:val="none"/>
        </w:rPr>
        <w:t>，否则不予</w:t>
      </w:r>
      <w:r>
        <w:rPr>
          <w:rFonts w:hint="eastAsia" w:ascii="Times New Roman" w:hAnsi="Times New Roman" w:eastAsia="方正仿宋_GBK"/>
          <w:b/>
          <w:sz w:val="28"/>
          <w:szCs w:val="28"/>
          <w:highlight w:val="none"/>
        </w:rPr>
        <w:t>签订合同</w:t>
      </w:r>
      <w:r>
        <w:rPr>
          <w:rFonts w:ascii="Times New Roman" w:hAnsi="Times New Roman" w:eastAsia="方正仿宋_GBK"/>
          <w:b/>
          <w:sz w:val="28"/>
          <w:szCs w:val="28"/>
          <w:highlight w:val="none"/>
        </w:rPr>
        <w:t>。</w:t>
      </w:r>
    </w:p>
    <w:p w14:paraId="43665EDC">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、授予合同</w:t>
      </w:r>
    </w:p>
    <w:p w14:paraId="072813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1.签订合同</w:t>
      </w:r>
    </w:p>
    <w:p w14:paraId="084A178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1.1成交供应商应当在成交通知书发出之日起</w:t>
      </w:r>
      <w:r>
        <w:rPr>
          <w:rFonts w:hint="eastAsia" w:ascii="Times New Roman" w:hAnsi="Times New Roman" w:eastAsia="方正仿宋_GBK"/>
          <w:sz w:val="28"/>
          <w:szCs w:val="28"/>
          <w:highlight w:val="none"/>
          <w:lang w:val="en-US" w:eastAsia="zh-CN"/>
        </w:rPr>
        <w:t>三十</w:t>
      </w:r>
      <w:r>
        <w:rPr>
          <w:rFonts w:ascii="Times New Roman" w:hAnsi="Times New Roman" w:eastAsia="方正仿宋_GBK"/>
          <w:sz w:val="28"/>
          <w:szCs w:val="28"/>
          <w:highlight w:val="none"/>
        </w:rPr>
        <w:t>日内，按照采购文件确定的事项与采购人签订政府采购合同。</w:t>
      </w:r>
    </w:p>
    <w:p w14:paraId="6819740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1.2采购文件、成交供应商的响应文件及采购过程中有关澄清、承诺文件均应作为合同附件。</w:t>
      </w:r>
    </w:p>
    <w:p w14:paraId="1DD4594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1.3签订合同后，成交供应商不得将货物及其他相关服务进行转包。未经采购人同意，成交供应商也不得随意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p>
    <w:p w14:paraId="548807C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2.货物和服务的追加、减少和添购</w:t>
      </w:r>
    </w:p>
    <w:p w14:paraId="0695D32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D4479B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2.2采购结束后，采购人若由于各种客观原因，必须对采购项目所牵涉的货物和服务进行适当的减少时，在双方协商一致的前提下，可以按照询价采购时的价格水平做相应的调减，并据此签订补充合同。</w:t>
      </w:r>
    </w:p>
    <w:p w14:paraId="18F3FB2C">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w:t>
      </w:r>
      <w:r>
        <w:rPr>
          <w:rFonts w:hint="eastAsia" w:eastAsia="方正仿宋_GBK"/>
          <w:sz w:val="28"/>
          <w:szCs w:val="28"/>
          <w:highlight w:val="none"/>
        </w:rPr>
        <w:t>合同信用融资</w:t>
      </w:r>
      <w:r>
        <w:rPr>
          <w:rFonts w:eastAsia="方正仿宋_GBK"/>
          <w:sz w:val="28"/>
          <w:szCs w:val="28"/>
          <w:highlight w:val="none"/>
        </w:rPr>
        <w:t>扶持政策</w:t>
      </w:r>
    </w:p>
    <w:p w14:paraId="36D75E8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3.1</w:t>
      </w:r>
      <w:r>
        <w:rPr>
          <w:rFonts w:ascii="Times New Roman" w:hAnsi="Times New Roman" w:eastAsia="方正仿宋_GBK"/>
          <w:sz w:val="28"/>
          <w:szCs w:val="28"/>
          <w:highlight w:val="none"/>
        </w:rPr>
        <w:t>根据《关于转发江苏省财政厅、中国人民银行南京分行&lt;关于深入推进政府采购线上合同信用融资工作的通知&gt;的通知》（通财购〔2021〕41号），对政府采购中标</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highlight w:val="none"/>
        </w:rPr>
        <w:t>中标（成交）</w:t>
      </w:r>
      <w:r>
        <w:rPr>
          <w:rFonts w:ascii="Times New Roman" w:hAnsi="Times New Roman" w:eastAsia="方正仿宋_GBK"/>
          <w:sz w:val="28"/>
          <w:szCs w:val="28"/>
          <w:highlight w:val="none"/>
        </w:rPr>
        <w:t>供应商如需获得</w:t>
      </w:r>
      <w:r>
        <w:rPr>
          <w:rFonts w:hint="eastAsia" w:ascii="Times New Roman" w:hAnsi="Times New Roman" w:eastAsia="方正仿宋_GBK"/>
          <w:sz w:val="28"/>
          <w:szCs w:val="28"/>
          <w:highlight w:val="none"/>
        </w:rPr>
        <w:t>合同信用融资</w:t>
      </w:r>
      <w:r>
        <w:rPr>
          <w:rFonts w:ascii="Times New Roman" w:hAnsi="Times New Roman" w:eastAsia="方正仿宋_GBK"/>
          <w:sz w:val="28"/>
          <w:szCs w:val="28"/>
          <w:highlight w:val="none"/>
        </w:rPr>
        <w:t>支持，可凭政府采购合同办理“政采贷”融资贷款</w:t>
      </w:r>
      <w:r>
        <w:rPr>
          <w:rFonts w:hint="eastAsia" w:eastAsia="方正仿宋_GBK"/>
          <w:sz w:val="28"/>
          <w:szCs w:val="28"/>
          <w:highlight w:val="none"/>
        </w:rPr>
        <w:t>，详情请见江苏政府采购网“政采贷”专栏。</w:t>
      </w:r>
    </w:p>
    <w:p w14:paraId="1D978B6F">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rPr>
        <w:t>八</w:t>
      </w:r>
      <w:r>
        <w:rPr>
          <w:rFonts w:ascii="Times New Roman" w:hAnsi="Times New Roman" w:eastAsia="方正仿宋_GBK"/>
          <w:b/>
          <w:sz w:val="28"/>
          <w:szCs w:val="28"/>
          <w:highlight w:val="none"/>
        </w:rPr>
        <w:t>、其他说明</w:t>
      </w:r>
    </w:p>
    <w:p w14:paraId="0B67869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1.法定代表人为同一个人的两个及两个以上法人，母公司、全资子公司及其控股公司，只能有一家单位参加本项目的响应。</w:t>
      </w:r>
    </w:p>
    <w:p w14:paraId="6079EB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采购人或招标代理机构</w:t>
      </w:r>
      <w:r>
        <w:rPr>
          <w:rFonts w:ascii="Times New Roman" w:hAnsi="Times New Roman" w:eastAsia="方正仿宋_GBK"/>
          <w:sz w:val="28"/>
          <w:szCs w:val="28"/>
          <w:highlight w:val="none"/>
        </w:rPr>
        <w:t>和询价小组不向未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的响应供应商解释未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原因，也不公布评审过程中的相关细节。</w:t>
      </w:r>
      <w:bookmarkStart w:id="51" w:name="_Toc32735"/>
    </w:p>
    <w:p w14:paraId="4ACDC135">
      <w:pPr>
        <w:adjustRightInd w:val="0"/>
        <w:snapToGrid w:val="0"/>
        <w:spacing w:line="500" w:lineRule="exact"/>
        <w:ind w:firstLine="560" w:firstLineChars="200"/>
        <w:rPr>
          <w:rFonts w:ascii="Times New Roman" w:hAnsi="Times New Roman" w:eastAsia="方正仿宋_GBK"/>
          <w:sz w:val="28"/>
          <w:szCs w:val="28"/>
          <w:highlight w:val="none"/>
        </w:rPr>
      </w:pPr>
    </w:p>
    <w:p w14:paraId="2ADB1646">
      <w:pPr>
        <w:adjustRightInd w:val="0"/>
        <w:snapToGrid w:val="0"/>
        <w:spacing w:line="500" w:lineRule="exact"/>
        <w:ind w:firstLine="560" w:firstLineChars="200"/>
        <w:rPr>
          <w:rFonts w:ascii="Times New Roman" w:hAnsi="Times New Roman" w:eastAsia="方正仿宋_GBK"/>
          <w:sz w:val="28"/>
          <w:szCs w:val="28"/>
          <w:highlight w:val="none"/>
        </w:rPr>
      </w:pPr>
    </w:p>
    <w:p w14:paraId="5212DC5C">
      <w:pPr>
        <w:adjustRightInd w:val="0"/>
        <w:snapToGrid w:val="0"/>
        <w:spacing w:line="500" w:lineRule="exact"/>
        <w:ind w:firstLine="560" w:firstLineChars="200"/>
        <w:rPr>
          <w:rFonts w:ascii="Times New Roman" w:hAnsi="Times New Roman" w:eastAsia="方正仿宋_GBK"/>
          <w:sz w:val="28"/>
          <w:szCs w:val="28"/>
          <w:highlight w:val="none"/>
        </w:rPr>
      </w:pPr>
    </w:p>
    <w:p w14:paraId="6079A838">
      <w:pPr>
        <w:adjustRightInd w:val="0"/>
        <w:snapToGrid w:val="0"/>
        <w:spacing w:line="500" w:lineRule="exact"/>
        <w:ind w:firstLine="560" w:firstLineChars="200"/>
        <w:rPr>
          <w:rFonts w:ascii="Times New Roman" w:hAnsi="Times New Roman" w:eastAsia="方正仿宋_GBK"/>
          <w:sz w:val="28"/>
          <w:szCs w:val="28"/>
          <w:highlight w:val="none"/>
        </w:rPr>
      </w:pPr>
    </w:p>
    <w:p w14:paraId="3E638806">
      <w:pPr>
        <w:adjustRightInd w:val="0"/>
        <w:snapToGrid w:val="0"/>
        <w:spacing w:line="500" w:lineRule="exact"/>
        <w:ind w:firstLine="560" w:firstLineChars="200"/>
        <w:rPr>
          <w:rFonts w:ascii="Times New Roman" w:hAnsi="Times New Roman" w:eastAsia="方正仿宋_GBK"/>
          <w:sz w:val="28"/>
          <w:szCs w:val="28"/>
          <w:highlight w:val="none"/>
        </w:rPr>
      </w:pPr>
    </w:p>
    <w:p w14:paraId="1305A851">
      <w:pPr>
        <w:pStyle w:val="7"/>
        <w:rPr>
          <w:rFonts w:ascii="Times New Roman" w:hAnsi="Times New Roman" w:eastAsia="方正仿宋_GBK"/>
          <w:sz w:val="28"/>
          <w:szCs w:val="28"/>
          <w:highlight w:val="none"/>
        </w:rPr>
      </w:pPr>
    </w:p>
    <w:p w14:paraId="4C007725">
      <w:pPr>
        <w:adjustRightInd w:val="0"/>
        <w:snapToGrid w:val="0"/>
        <w:spacing w:line="500" w:lineRule="exact"/>
        <w:jc w:val="both"/>
        <w:rPr>
          <w:rFonts w:hint="eastAsia" w:ascii="方正小标宋_GBK" w:hAnsi="宋体" w:eastAsia="方正小标宋_GBK" w:cs="宋体"/>
          <w:sz w:val="36"/>
          <w:szCs w:val="36"/>
          <w:highlight w:val="none"/>
        </w:rPr>
      </w:pPr>
    </w:p>
    <w:p w14:paraId="636166D1">
      <w:pPr>
        <w:pStyle w:val="2"/>
        <w:rPr>
          <w:rFonts w:hint="eastAsia" w:ascii="方正小标宋_GBK" w:hAnsi="宋体" w:eastAsia="方正小标宋_GBK" w:cs="宋体"/>
          <w:sz w:val="36"/>
          <w:szCs w:val="36"/>
          <w:highlight w:val="none"/>
        </w:rPr>
      </w:pPr>
    </w:p>
    <w:p w14:paraId="23C3037F">
      <w:pPr>
        <w:rPr>
          <w:rFonts w:hint="eastAsia" w:ascii="方正小标宋_GBK" w:hAnsi="宋体" w:eastAsia="方正小标宋_GBK" w:cs="宋体"/>
          <w:sz w:val="36"/>
          <w:szCs w:val="36"/>
          <w:highlight w:val="none"/>
        </w:rPr>
      </w:pPr>
    </w:p>
    <w:p w14:paraId="27D5832E">
      <w:pPr>
        <w:pStyle w:val="2"/>
        <w:rPr>
          <w:rFonts w:hint="eastAsia" w:ascii="方正小标宋_GBK" w:hAnsi="宋体" w:eastAsia="方正小标宋_GBK" w:cs="宋体"/>
          <w:sz w:val="36"/>
          <w:szCs w:val="36"/>
          <w:highlight w:val="none"/>
        </w:rPr>
      </w:pPr>
    </w:p>
    <w:p w14:paraId="14E6818A">
      <w:pPr>
        <w:rPr>
          <w:rFonts w:hint="eastAsia"/>
        </w:rPr>
      </w:pPr>
    </w:p>
    <w:p w14:paraId="14C7B9E8">
      <w:pPr>
        <w:pStyle w:val="2"/>
        <w:rPr>
          <w:rFonts w:hint="eastAsia"/>
        </w:rPr>
      </w:pPr>
    </w:p>
    <w:p w14:paraId="21BA2769">
      <w:pPr>
        <w:adjustRightInd w:val="0"/>
        <w:snapToGrid w:val="0"/>
        <w:spacing w:line="500" w:lineRule="exact"/>
        <w:jc w:val="center"/>
        <w:rPr>
          <w:rFonts w:ascii="方正小标宋_GBK" w:hAnsi="宋体" w:eastAsia="方正小标宋_GBK" w:cs="宋体"/>
          <w:sz w:val="36"/>
          <w:szCs w:val="36"/>
          <w:highlight w:val="none"/>
        </w:rPr>
      </w:pPr>
      <w:r>
        <w:rPr>
          <w:rFonts w:hint="eastAsia" w:ascii="方正小标宋_GBK" w:hAnsi="宋体" w:eastAsia="方正小标宋_GBK" w:cs="宋体"/>
          <w:sz w:val="36"/>
          <w:szCs w:val="36"/>
          <w:highlight w:val="none"/>
        </w:rPr>
        <w:t>第三部分  项目需求</w:t>
      </w:r>
    </w:p>
    <w:p w14:paraId="28669AC2">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52" w:name="_Toc82505662"/>
      <w:r>
        <w:rPr>
          <w:rFonts w:ascii="Times New Roman" w:hAnsi="Times New Roman" w:eastAsia="方正仿宋_GBK"/>
          <w:b/>
          <w:bCs/>
          <w:sz w:val="28"/>
          <w:szCs w:val="28"/>
          <w:highlight w:val="none"/>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E862E98">
      <w:pPr>
        <w:numPr>
          <w:ilvl w:val="0"/>
          <w:numId w:val="2"/>
        </w:num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采购内容</w:t>
      </w:r>
    </w:p>
    <w:tbl>
      <w:tblPr>
        <w:tblStyle w:val="14"/>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6"/>
        <w:gridCol w:w="1701"/>
        <w:gridCol w:w="3243"/>
        <w:gridCol w:w="1059"/>
        <w:gridCol w:w="1881"/>
        <w:gridCol w:w="1155"/>
      </w:tblGrid>
      <w:tr w14:paraId="0A0F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46" w:type="dxa"/>
            <w:vAlign w:val="center"/>
          </w:tcPr>
          <w:p w14:paraId="66C5A000">
            <w:pPr>
              <w:snapToGrid w:val="0"/>
              <w:spacing w:line="400" w:lineRule="exact"/>
              <w:jc w:val="center"/>
              <w:rPr>
                <w:rFonts w:ascii="宋体" w:hAnsi="宋体" w:eastAsia="宋体"/>
                <w:b/>
                <w:bCs/>
                <w:sz w:val="24"/>
                <w:szCs w:val="24"/>
                <w:highlight w:val="none"/>
              </w:rPr>
            </w:pPr>
            <w:r>
              <w:rPr>
                <w:rFonts w:hint="eastAsia" w:ascii="宋体" w:hAnsi="宋体" w:eastAsia="宋体"/>
                <w:b/>
                <w:bCs/>
                <w:sz w:val="24"/>
                <w:szCs w:val="24"/>
                <w:highlight w:val="none"/>
              </w:rPr>
              <w:t>标段</w:t>
            </w:r>
          </w:p>
        </w:tc>
        <w:tc>
          <w:tcPr>
            <w:tcW w:w="1701" w:type="dxa"/>
            <w:vAlign w:val="center"/>
          </w:tcPr>
          <w:p w14:paraId="46980707">
            <w:pPr>
              <w:snapToGrid w:val="0"/>
              <w:spacing w:line="400" w:lineRule="exact"/>
              <w:jc w:val="center"/>
              <w:rPr>
                <w:rFonts w:ascii="宋体" w:hAnsi="宋体" w:eastAsia="宋体"/>
                <w:b/>
                <w:bCs/>
                <w:sz w:val="24"/>
                <w:szCs w:val="24"/>
                <w:highlight w:val="none"/>
              </w:rPr>
            </w:pPr>
            <w:r>
              <w:rPr>
                <w:rFonts w:hint="eastAsia" w:ascii="宋体" w:hAnsi="宋体" w:eastAsia="宋体"/>
                <w:b/>
                <w:sz w:val="24"/>
                <w:szCs w:val="24"/>
                <w:highlight w:val="none"/>
              </w:rPr>
              <w:t>货物名称</w:t>
            </w:r>
          </w:p>
        </w:tc>
        <w:tc>
          <w:tcPr>
            <w:tcW w:w="3243" w:type="dxa"/>
            <w:vAlign w:val="center"/>
          </w:tcPr>
          <w:p w14:paraId="51526804">
            <w:pPr>
              <w:snapToGrid w:val="0"/>
              <w:spacing w:line="400" w:lineRule="exact"/>
              <w:jc w:val="center"/>
              <w:rPr>
                <w:rFonts w:ascii="宋体" w:hAnsi="宋体" w:eastAsia="宋体"/>
                <w:b/>
                <w:bCs/>
                <w:sz w:val="24"/>
                <w:szCs w:val="24"/>
                <w:highlight w:val="none"/>
              </w:rPr>
            </w:pPr>
            <w:r>
              <w:rPr>
                <w:rFonts w:hint="eastAsia" w:ascii="宋体" w:hAnsi="宋体" w:eastAsia="宋体"/>
                <w:b/>
                <w:bCs/>
                <w:sz w:val="24"/>
                <w:szCs w:val="24"/>
                <w:highlight w:val="none"/>
              </w:rPr>
              <w:t>采购需求</w:t>
            </w:r>
          </w:p>
        </w:tc>
        <w:tc>
          <w:tcPr>
            <w:tcW w:w="1059" w:type="dxa"/>
            <w:vAlign w:val="center"/>
          </w:tcPr>
          <w:p w14:paraId="3B761BDF">
            <w:pPr>
              <w:snapToGrid w:val="0"/>
              <w:spacing w:line="400" w:lineRule="exact"/>
              <w:jc w:val="center"/>
              <w:rPr>
                <w:rFonts w:hint="eastAsia" w:ascii="宋体" w:hAnsi="宋体" w:eastAsia="宋体"/>
                <w:b/>
                <w:bCs/>
                <w:sz w:val="24"/>
                <w:szCs w:val="24"/>
                <w:highlight w:val="none"/>
              </w:rPr>
            </w:pPr>
            <w:r>
              <w:rPr>
                <w:rFonts w:hint="eastAsia" w:ascii="仿宋" w:hAnsi="仿宋" w:eastAsia="仿宋" w:cs="仿宋"/>
                <w:b/>
                <w:bCs/>
                <w:sz w:val="24"/>
                <w:highlight w:val="none"/>
              </w:rPr>
              <w:t>单价限价</w:t>
            </w:r>
          </w:p>
        </w:tc>
        <w:tc>
          <w:tcPr>
            <w:tcW w:w="1881" w:type="dxa"/>
            <w:vAlign w:val="center"/>
          </w:tcPr>
          <w:p w14:paraId="616D3E70">
            <w:pPr>
              <w:snapToGrid w:val="0"/>
              <w:spacing w:line="400" w:lineRule="exact"/>
              <w:jc w:val="center"/>
              <w:rPr>
                <w:rFonts w:ascii="宋体" w:hAnsi="宋体" w:eastAsia="宋体"/>
                <w:b/>
                <w:bCs/>
                <w:sz w:val="24"/>
                <w:szCs w:val="24"/>
                <w:highlight w:val="none"/>
              </w:rPr>
            </w:pPr>
            <w:r>
              <w:rPr>
                <w:rFonts w:hint="eastAsia" w:ascii="宋体" w:hAnsi="宋体" w:eastAsia="宋体"/>
                <w:b/>
                <w:bCs/>
                <w:sz w:val="24"/>
                <w:szCs w:val="24"/>
                <w:highlight w:val="none"/>
              </w:rPr>
              <w:t>固定采购</w:t>
            </w:r>
          </w:p>
          <w:p w14:paraId="3701387D">
            <w:pPr>
              <w:snapToGrid w:val="0"/>
              <w:spacing w:line="400" w:lineRule="exact"/>
              <w:jc w:val="center"/>
              <w:rPr>
                <w:rFonts w:ascii="宋体" w:hAnsi="宋体" w:eastAsia="宋体"/>
                <w:b/>
                <w:bCs/>
                <w:sz w:val="24"/>
                <w:szCs w:val="24"/>
                <w:highlight w:val="none"/>
              </w:rPr>
            </w:pPr>
            <w:r>
              <w:rPr>
                <w:rFonts w:hint="eastAsia" w:ascii="宋体" w:hAnsi="宋体" w:eastAsia="宋体"/>
                <w:b/>
                <w:bCs/>
                <w:sz w:val="24"/>
                <w:szCs w:val="24"/>
                <w:highlight w:val="none"/>
              </w:rPr>
              <w:t>总额</w:t>
            </w:r>
            <w:r>
              <w:rPr>
                <w:rFonts w:hint="eastAsia" w:ascii="仿宋_GB2312" w:hAnsi="仿宋" w:eastAsia="仿宋_GB2312"/>
                <w:sz w:val="24"/>
                <w:szCs w:val="24"/>
                <w:highlight w:val="none"/>
              </w:rPr>
              <w:t>（</w:t>
            </w:r>
            <w:r>
              <w:rPr>
                <w:rFonts w:hint="eastAsia" w:ascii="宋体" w:hAnsi="宋体" w:eastAsia="宋体"/>
                <w:b/>
                <w:bCs/>
                <w:sz w:val="24"/>
                <w:szCs w:val="24"/>
                <w:highlight w:val="none"/>
              </w:rPr>
              <w:t>万元</w:t>
            </w:r>
            <w:r>
              <w:rPr>
                <w:rFonts w:hint="eastAsia" w:ascii="仿宋_GB2312" w:hAnsi="仿宋" w:eastAsia="仿宋_GB2312"/>
                <w:sz w:val="24"/>
                <w:szCs w:val="24"/>
                <w:highlight w:val="none"/>
              </w:rPr>
              <w:t>）</w:t>
            </w:r>
          </w:p>
        </w:tc>
        <w:tc>
          <w:tcPr>
            <w:tcW w:w="1155" w:type="dxa"/>
            <w:vAlign w:val="center"/>
          </w:tcPr>
          <w:p w14:paraId="175EC5D7">
            <w:pPr>
              <w:snapToGrid w:val="0"/>
              <w:spacing w:line="400" w:lineRule="exact"/>
              <w:jc w:val="center"/>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eastAsia="zh-CN"/>
              </w:rPr>
              <w:t>备注</w:t>
            </w:r>
          </w:p>
        </w:tc>
      </w:tr>
      <w:tr w14:paraId="66B17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0" w:hRule="atLeast"/>
          <w:jc w:val="center"/>
        </w:trPr>
        <w:tc>
          <w:tcPr>
            <w:tcW w:w="846" w:type="dxa"/>
            <w:vMerge w:val="restart"/>
            <w:vAlign w:val="center"/>
          </w:tcPr>
          <w:p w14:paraId="281BC9D3">
            <w:pPr>
              <w:spacing w:line="400" w:lineRule="exact"/>
              <w:jc w:val="center"/>
              <w:rPr>
                <w:rFonts w:ascii="宋体" w:hAnsi="宋体" w:eastAsia="宋体"/>
                <w:sz w:val="24"/>
                <w:szCs w:val="24"/>
                <w:highlight w:val="none"/>
              </w:rPr>
            </w:pPr>
            <w:r>
              <w:rPr>
                <w:rFonts w:hint="eastAsia" w:ascii="宋体" w:hAnsi="宋体" w:eastAsia="宋体"/>
                <w:sz w:val="24"/>
                <w:szCs w:val="24"/>
                <w:highlight w:val="none"/>
              </w:rPr>
              <w:t>一标</w:t>
            </w:r>
          </w:p>
          <w:p w14:paraId="00F82496">
            <w:pPr>
              <w:spacing w:line="400" w:lineRule="exact"/>
              <w:jc w:val="center"/>
              <w:rPr>
                <w:rFonts w:ascii="宋体" w:hAnsi="宋体" w:eastAsia="宋体"/>
                <w:sz w:val="24"/>
                <w:szCs w:val="24"/>
                <w:highlight w:val="none"/>
              </w:rPr>
            </w:pPr>
          </w:p>
        </w:tc>
        <w:tc>
          <w:tcPr>
            <w:tcW w:w="1701" w:type="dxa"/>
            <w:vAlign w:val="center"/>
          </w:tcPr>
          <w:p w14:paraId="4AA0396D">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hint="eastAsia" w:ascii="仿宋_GB2312" w:hAnsi="仿宋" w:eastAsia="仿宋_GB2312"/>
                <w:sz w:val="24"/>
                <w:szCs w:val="24"/>
                <w:highlight w:val="none"/>
              </w:rPr>
              <w:t>三十烷醇</w:t>
            </w:r>
          </w:p>
        </w:tc>
        <w:tc>
          <w:tcPr>
            <w:tcW w:w="3243" w:type="dxa"/>
            <w:vAlign w:val="center"/>
          </w:tcPr>
          <w:p w14:paraId="7FC7E782">
            <w:pPr>
              <w:keepNext w:val="0"/>
              <w:keepLines w:val="0"/>
              <w:pageBreakBefore w:val="0"/>
              <w:widowControl w:val="0"/>
              <w:kinsoku/>
              <w:wordWrap/>
              <w:overflowPunct/>
              <w:topLinePunct w:val="0"/>
              <w:bidi w:val="0"/>
              <w:snapToGrid/>
              <w:spacing w:line="240" w:lineRule="exact"/>
              <w:textAlignment w:val="auto"/>
              <w:rPr>
                <w:rFonts w:hint="eastAsia" w:ascii="仿宋_GB2312" w:hAnsi="仿宋" w:eastAsia="仿宋_GB2312"/>
                <w:sz w:val="24"/>
                <w:szCs w:val="24"/>
                <w:highlight w:val="none"/>
                <w:lang w:eastAsia="zh-CN"/>
              </w:rPr>
            </w:pPr>
            <w:r>
              <w:rPr>
                <w:rFonts w:hint="eastAsia" w:ascii="仿宋_GB2312" w:hAnsi="仿宋" w:eastAsia="仿宋_GB2312" w:cs="宋体"/>
                <w:sz w:val="18"/>
                <w:szCs w:val="18"/>
                <w:highlight w:val="none"/>
                <w:lang w:val="en-US" w:eastAsia="zh-CN"/>
              </w:rPr>
              <w:t>200毫升/瓶；0.1%，微乳剂、可溶液剂</w:t>
            </w:r>
          </w:p>
        </w:tc>
        <w:tc>
          <w:tcPr>
            <w:tcW w:w="1059" w:type="dxa"/>
            <w:shd w:val="clear" w:color="auto" w:fill="auto"/>
            <w:vAlign w:val="center"/>
          </w:tcPr>
          <w:p w14:paraId="66615F17">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9</w:t>
            </w:r>
            <w:r>
              <w:rPr>
                <w:rFonts w:hint="eastAsia"/>
                <w:sz w:val="18"/>
                <w:szCs w:val="18"/>
                <w:highlight w:val="none"/>
              </w:rPr>
              <w:t>元/瓶</w:t>
            </w:r>
          </w:p>
        </w:tc>
        <w:tc>
          <w:tcPr>
            <w:tcW w:w="1881" w:type="dxa"/>
            <w:vAlign w:val="center"/>
          </w:tcPr>
          <w:p w14:paraId="33095486">
            <w:pPr>
              <w:keepNext w:val="0"/>
              <w:keepLines w:val="0"/>
              <w:pageBreakBefore w:val="0"/>
              <w:widowControl w:val="0"/>
              <w:kinsoku/>
              <w:wordWrap/>
              <w:overflowPunct/>
              <w:topLinePunct w:val="0"/>
              <w:bidi w:val="0"/>
              <w:adjustRightInd/>
              <w:snapToGrid/>
              <w:spacing w:line="240" w:lineRule="exact"/>
              <w:jc w:val="center"/>
              <w:textAlignment w:val="auto"/>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2.5</w:t>
            </w:r>
          </w:p>
        </w:tc>
        <w:tc>
          <w:tcPr>
            <w:tcW w:w="1155" w:type="dxa"/>
            <w:vAlign w:val="center"/>
          </w:tcPr>
          <w:p w14:paraId="7395EFC0">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default" w:ascii="宋体" w:hAnsi="宋体" w:eastAsia="仿宋_GB2312"/>
                <w:sz w:val="24"/>
                <w:szCs w:val="24"/>
                <w:highlight w:val="none"/>
                <w:lang w:val="en-US" w:eastAsia="zh-CN"/>
              </w:rPr>
            </w:pPr>
            <w:r>
              <w:rPr>
                <w:rFonts w:hint="eastAsia" w:ascii="仿宋_GB2312" w:hAnsi="仿宋" w:eastAsia="仿宋_GB2312"/>
                <w:sz w:val="18"/>
                <w:szCs w:val="18"/>
                <w:highlight w:val="none"/>
                <w:lang w:eastAsia="zh-CN"/>
              </w:rPr>
              <w:t>含复配剂，其中三十烷醇含量</w:t>
            </w:r>
            <w:r>
              <w:rPr>
                <w:rFonts w:hint="eastAsia" w:ascii="仿宋_GB2312" w:hAnsi="仿宋" w:eastAsia="仿宋_GB2312"/>
                <w:sz w:val="18"/>
                <w:szCs w:val="18"/>
                <w:highlight w:val="none"/>
              </w:rPr>
              <w:t>≥</w:t>
            </w:r>
            <w:r>
              <w:rPr>
                <w:rFonts w:hint="eastAsia" w:ascii="仿宋_GB2312" w:hAnsi="仿宋" w:eastAsia="仿宋_GB2312"/>
                <w:sz w:val="18"/>
                <w:szCs w:val="18"/>
                <w:highlight w:val="none"/>
                <w:lang w:val="en-US" w:eastAsia="zh-CN"/>
              </w:rPr>
              <w:t>0.1%</w:t>
            </w:r>
          </w:p>
        </w:tc>
      </w:tr>
      <w:tr w14:paraId="302C0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0" w:hRule="atLeast"/>
          <w:jc w:val="center"/>
        </w:trPr>
        <w:tc>
          <w:tcPr>
            <w:tcW w:w="846" w:type="dxa"/>
            <w:vMerge w:val="continue"/>
            <w:vAlign w:val="center"/>
          </w:tcPr>
          <w:p w14:paraId="772A535F">
            <w:pPr>
              <w:spacing w:line="400" w:lineRule="exact"/>
              <w:jc w:val="center"/>
              <w:rPr>
                <w:rFonts w:ascii="宋体" w:hAnsi="宋体" w:eastAsia="宋体"/>
                <w:sz w:val="24"/>
                <w:szCs w:val="24"/>
                <w:highlight w:val="none"/>
              </w:rPr>
            </w:pPr>
          </w:p>
        </w:tc>
        <w:tc>
          <w:tcPr>
            <w:tcW w:w="1701" w:type="dxa"/>
            <w:vAlign w:val="center"/>
          </w:tcPr>
          <w:p w14:paraId="2DCD4B4A">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hint="eastAsia" w:ascii="仿宋_GB2312" w:hAnsi="仿宋" w:eastAsia="仿宋_GB2312"/>
                <w:sz w:val="24"/>
                <w:szCs w:val="24"/>
                <w:highlight w:val="none"/>
              </w:rPr>
              <w:t>芸苔素内酯</w:t>
            </w:r>
          </w:p>
        </w:tc>
        <w:tc>
          <w:tcPr>
            <w:tcW w:w="3243" w:type="dxa"/>
            <w:vAlign w:val="center"/>
          </w:tcPr>
          <w:p w14:paraId="37CE1F63">
            <w:pPr>
              <w:keepNext w:val="0"/>
              <w:keepLines w:val="0"/>
              <w:pageBreakBefore w:val="0"/>
              <w:widowControl w:val="0"/>
              <w:kinsoku/>
              <w:wordWrap/>
              <w:overflowPunct/>
              <w:topLinePunct w:val="0"/>
              <w:bidi w:val="0"/>
              <w:snapToGrid/>
              <w:spacing w:line="240" w:lineRule="exact"/>
              <w:textAlignment w:val="auto"/>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100毫升/瓶；0.01%，可溶液剂</w:t>
            </w:r>
          </w:p>
        </w:tc>
        <w:tc>
          <w:tcPr>
            <w:tcW w:w="1059" w:type="dxa"/>
            <w:shd w:val="clear" w:color="auto" w:fill="auto"/>
            <w:vAlign w:val="center"/>
          </w:tcPr>
          <w:p w14:paraId="5A4968F2">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cs="Times New Roman" w:eastAsiaTheme="minorEastAsia"/>
                <w:kern w:val="2"/>
                <w:sz w:val="18"/>
                <w:szCs w:val="18"/>
                <w:highlight w:val="none"/>
                <w:lang w:val="en-US" w:eastAsia="zh-CN" w:bidi="ar-SA"/>
              </w:rPr>
            </w:pPr>
            <w:r>
              <w:rPr>
                <w:rFonts w:hint="eastAsia"/>
                <w:sz w:val="18"/>
                <w:szCs w:val="18"/>
                <w:highlight w:val="none"/>
                <w:lang w:val="en-US" w:eastAsia="zh-CN"/>
              </w:rPr>
              <w:t>5.5</w:t>
            </w:r>
            <w:r>
              <w:rPr>
                <w:rFonts w:hint="eastAsia"/>
                <w:sz w:val="18"/>
                <w:szCs w:val="18"/>
                <w:highlight w:val="none"/>
              </w:rPr>
              <w:t>元/</w:t>
            </w:r>
            <w:r>
              <w:rPr>
                <w:rFonts w:hint="eastAsia"/>
                <w:sz w:val="18"/>
                <w:szCs w:val="18"/>
                <w:highlight w:val="none"/>
                <w:lang w:eastAsia="zh-CN"/>
              </w:rPr>
              <w:t>瓶</w:t>
            </w:r>
          </w:p>
        </w:tc>
        <w:tc>
          <w:tcPr>
            <w:tcW w:w="1881" w:type="dxa"/>
            <w:vAlign w:val="center"/>
          </w:tcPr>
          <w:p w14:paraId="7996FA12">
            <w:pPr>
              <w:keepNext w:val="0"/>
              <w:keepLines w:val="0"/>
              <w:pageBreakBefore w:val="0"/>
              <w:widowControl w:val="0"/>
              <w:kinsoku/>
              <w:wordWrap/>
              <w:overflowPunct/>
              <w:topLinePunct w:val="0"/>
              <w:bidi w:val="0"/>
              <w:adjustRightInd/>
              <w:snapToGrid/>
              <w:spacing w:line="240" w:lineRule="exact"/>
              <w:jc w:val="center"/>
              <w:textAlignment w:val="auto"/>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2.5</w:t>
            </w:r>
          </w:p>
        </w:tc>
        <w:tc>
          <w:tcPr>
            <w:tcW w:w="1155" w:type="dxa"/>
            <w:vAlign w:val="center"/>
          </w:tcPr>
          <w:p w14:paraId="40208959">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仿宋_GB2312" w:hAnsi="仿宋" w:eastAsia="仿宋_GB2312" w:cs="宋体"/>
                <w:sz w:val="18"/>
                <w:szCs w:val="18"/>
                <w:highlight w:val="none"/>
                <w:lang w:eastAsia="zh-CN"/>
              </w:rPr>
            </w:pPr>
            <w:r>
              <w:rPr>
                <w:rFonts w:hint="eastAsia" w:ascii="仿宋_GB2312" w:hAnsi="仿宋" w:eastAsia="仿宋_GB2312" w:cs="宋体"/>
                <w:sz w:val="18"/>
                <w:szCs w:val="18"/>
                <w:highlight w:val="none"/>
                <w:lang w:val="en-US" w:eastAsia="zh-CN"/>
              </w:rPr>
              <w:t>24-表芸及其复配剂，</w:t>
            </w:r>
            <w:r>
              <w:rPr>
                <w:rFonts w:hint="eastAsia" w:ascii="仿宋_GB2312" w:hAnsi="仿宋" w:eastAsia="仿宋_GB2312" w:cs="宋体"/>
                <w:sz w:val="18"/>
                <w:szCs w:val="18"/>
                <w:highlight w:val="none"/>
                <w:lang w:eastAsia="zh-CN"/>
              </w:rPr>
              <w:t>总有效成份不低于</w:t>
            </w:r>
            <w:r>
              <w:rPr>
                <w:rFonts w:hint="eastAsia" w:ascii="仿宋_GB2312" w:hAnsi="仿宋" w:eastAsia="仿宋_GB2312" w:cs="宋体"/>
                <w:sz w:val="18"/>
                <w:szCs w:val="18"/>
                <w:highlight w:val="none"/>
                <w:lang w:val="en-US" w:eastAsia="zh-CN"/>
              </w:rPr>
              <w:t>0.01%</w:t>
            </w:r>
          </w:p>
        </w:tc>
      </w:tr>
      <w:tr w14:paraId="6B6C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0" w:hRule="atLeast"/>
          <w:jc w:val="center"/>
        </w:trPr>
        <w:tc>
          <w:tcPr>
            <w:tcW w:w="846" w:type="dxa"/>
            <w:vMerge w:val="continue"/>
            <w:vAlign w:val="center"/>
          </w:tcPr>
          <w:p w14:paraId="34FB6616">
            <w:pPr>
              <w:spacing w:line="400" w:lineRule="exact"/>
              <w:jc w:val="center"/>
              <w:rPr>
                <w:rFonts w:ascii="宋体" w:hAnsi="宋体" w:eastAsia="宋体"/>
                <w:sz w:val="24"/>
                <w:szCs w:val="24"/>
                <w:highlight w:val="none"/>
              </w:rPr>
            </w:pPr>
          </w:p>
        </w:tc>
        <w:tc>
          <w:tcPr>
            <w:tcW w:w="1701" w:type="dxa"/>
            <w:vAlign w:val="center"/>
          </w:tcPr>
          <w:p w14:paraId="2B882D2A">
            <w:pPr>
              <w:keepNext w:val="0"/>
              <w:keepLines w:val="0"/>
              <w:pageBreakBefore w:val="0"/>
              <w:widowControl w:val="0"/>
              <w:kinsoku/>
              <w:wordWrap/>
              <w:overflowPunct/>
              <w:topLinePunct w:val="0"/>
              <w:bidi w:val="0"/>
              <w:snapToGrid/>
              <w:spacing w:line="240" w:lineRule="exact"/>
              <w:jc w:val="left"/>
              <w:textAlignment w:val="auto"/>
              <w:rPr>
                <w:rFonts w:hint="eastAsia" w:ascii="仿宋_GB2312" w:hAnsi="仿宋" w:eastAsia="仿宋_GB2312" w:cs="宋体"/>
                <w:spacing w:val="-20"/>
                <w:sz w:val="24"/>
                <w:szCs w:val="24"/>
                <w:highlight w:val="none"/>
              </w:rPr>
            </w:pPr>
            <w:r>
              <w:rPr>
                <w:rFonts w:hint="eastAsia" w:ascii="仿宋_GB2312" w:hAnsi="仿宋" w:eastAsia="仿宋_GB2312" w:cs="宋体"/>
                <w:spacing w:val="-20"/>
                <w:sz w:val="24"/>
                <w:szCs w:val="24"/>
                <w:highlight w:val="none"/>
                <w:lang w:eastAsia="zh-CN"/>
              </w:rPr>
              <w:t>大</w:t>
            </w:r>
            <w:r>
              <w:rPr>
                <w:rFonts w:hint="eastAsia" w:ascii="仿宋_GB2312" w:hAnsi="仿宋" w:eastAsia="仿宋_GB2312" w:cs="宋体"/>
                <w:spacing w:val="-20"/>
                <w:sz w:val="24"/>
                <w:szCs w:val="24"/>
                <w:highlight w:val="none"/>
              </w:rPr>
              <w:t>量元素水溶肥料</w:t>
            </w:r>
          </w:p>
        </w:tc>
        <w:tc>
          <w:tcPr>
            <w:tcW w:w="3243" w:type="dxa"/>
            <w:vAlign w:val="center"/>
          </w:tcPr>
          <w:p w14:paraId="22396F90">
            <w:pPr>
              <w:keepNext w:val="0"/>
              <w:keepLines w:val="0"/>
              <w:pageBreakBefore w:val="0"/>
              <w:widowControl w:val="0"/>
              <w:kinsoku/>
              <w:wordWrap/>
              <w:overflowPunct/>
              <w:topLinePunct w:val="0"/>
              <w:bidi w:val="0"/>
              <w:snapToGrid/>
              <w:spacing w:line="240" w:lineRule="exact"/>
              <w:jc w:val="left"/>
              <w:textAlignment w:val="auto"/>
              <w:rPr>
                <w:rFonts w:hint="eastAsia" w:ascii="仿宋_GB2312" w:hAnsi="仿宋" w:eastAsia="仿宋_GB2312" w:cs="宋体"/>
                <w:sz w:val="24"/>
                <w:szCs w:val="24"/>
                <w:highlight w:val="none"/>
              </w:rPr>
            </w:pPr>
            <w:r>
              <w:rPr>
                <w:rFonts w:hint="eastAsia" w:ascii="仿宋_GB2312" w:hAnsi="仿宋" w:eastAsia="仿宋_GB2312" w:cs="宋体"/>
                <w:sz w:val="18"/>
                <w:szCs w:val="18"/>
                <w:highlight w:val="none"/>
                <w:lang w:val="en-US" w:eastAsia="zh-CN"/>
              </w:rPr>
              <w:t>1000克/瓶；</w:t>
            </w:r>
            <w:r>
              <w:rPr>
                <w:rFonts w:hint="eastAsia" w:ascii="仿宋_GB2312" w:hAnsi="仿宋" w:eastAsia="仿宋_GB2312" w:cs="宋体"/>
                <w:sz w:val="18"/>
                <w:szCs w:val="18"/>
                <w:highlight w:val="none"/>
                <w:lang w:eastAsia="zh-CN"/>
              </w:rPr>
              <w:t>均衡型，</w:t>
            </w:r>
            <w:r>
              <w:rPr>
                <w:rFonts w:hint="eastAsia" w:ascii="仿宋_GB2312" w:hAnsi="仿宋" w:eastAsia="仿宋_GB2312" w:cs="宋体"/>
                <w:sz w:val="18"/>
                <w:szCs w:val="18"/>
                <w:highlight w:val="none"/>
              </w:rPr>
              <w:t>N+P</w:t>
            </w:r>
            <w:r>
              <w:rPr>
                <w:rFonts w:hint="eastAsia" w:ascii="仿宋_GB2312" w:hAnsi="仿宋" w:eastAsia="仿宋_GB2312" w:cs="宋体"/>
                <w:sz w:val="18"/>
                <w:szCs w:val="18"/>
                <w:highlight w:val="none"/>
                <w:vertAlign w:val="subscript"/>
              </w:rPr>
              <w:t>2</w:t>
            </w:r>
            <w:r>
              <w:rPr>
                <w:rFonts w:hint="eastAsia" w:ascii="仿宋_GB2312" w:hAnsi="仿宋" w:eastAsia="仿宋_GB2312" w:cs="宋体"/>
                <w:sz w:val="18"/>
                <w:szCs w:val="18"/>
                <w:highlight w:val="none"/>
              </w:rPr>
              <w:t>O</w:t>
            </w:r>
            <w:r>
              <w:rPr>
                <w:rFonts w:hint="eastAsia" w:ascii="仿宋_GB2312" w:hAnsi="仿宋" w:eastAsia="仿宋_GB2312" w:cs="宋体"/>
                <w:sz w:val="18"/>
                <w:szCs w:val="18"/>
                <w:highlight w:val="none"/>
                <w:vertAlign w:val="subscript"/>
              </w:rPr>
              <w:t>5</w:t>
            </w:r>
            <w:r>
              <w:rPr>
                <w:rFonts w:hint="eastAsia" w:ascii="仿宋_GB2312" w:hAnsi="仿宋" w:eastAsia="仿宋_GB2312" w:cs="宋体"/>
                <w:sz w:val="18"/>
                <w:szCs w:val="18"/>
                <w:highlight w:val="none"/>
              </w:rPr>
              <w:t>+K</w:t>
            </w:r>
            <w:r>
              <w:rPr>
                <w:rFonts w:hint="eastAsia" w:ascii="仿宋_GB2312" w:hAnsi="仿宋" w:eastAsia="仿宋_GB2312" w:cs="宋体"/>
                <w:sz w:val="18"/>
                <w:szCs w:val="18"/>
                <w:highlight w:val="none"/>
                <w:vertAlign w:val="subscript"/>
              </w:rPr>
              <w:t>2</w:t>
            </w:r>
            <w:r>
              <w:rPr>
                <w:rFonts w:hint="eastAsia" w:ascii="仿宋_GB2312" w:hAnsi="仿宋" w:eastAsia="仿宋_GB2312" w:cs="宋体"/>
                <w:sz w:val="18"/>
                <w:szCs w:val="18"/>
                <w:highlight w:val="none"/>
              </w:rPr>
              <w:t xml:space="preserve">O≥400g/ L </w:t>
            </w:r>
            <w:r>
              <w:rPr>
                <w:rFonts w:hint="eastAsia" w:ascii="仿宋_GB2312" w:hAnsi="仿宋" w:eastAsia="仿宋_GB2312" w:cs="宋体"/>
                <w:sz w:val="18"/>
                <w:szCs w:val="18"/>
                <w:highlight w:val="none"/>
                <w:lang w:val="en-US" w:eastAsia="zh-CN"/>
              </w:rPr>
              <w:t>170</w:t>
            </w:r>
            <w:r>
              <w:rPr>
                <w:rFonts w:hint="eastAsia" w:ascii="仿宋_GB2312" w:hAnsi="仿宋" w:eastAsia="仿宋_GB2312" w:cs="宋体"/>
                <w:sz w:val="18"/>
                <w:szCs w:val="18"/>
                <w:highlight w:val="none"/>
              </w:rPr>
              <w:t>-</w:t>
            </w:r>
            <w:r>
              <w:rPr>
                <w:rFonts w:hint="eastAsia" w:ascii="仿宋_GB2312" w:hAnsi="仿宋" w:eastAsia="仿宋_GB2312" w:cs="宋体"/>
                <w:sz w:val="18"/>
                <w:szCs w:val="18"/>
                <w:highlight w:val="none"/>
                <w:lang w:val="en-US" w:eastAsia="zh-CN"/>
              </w:rPr>
              <w:t>170</w:t>
            </w:r>
            <w:r>
              <w:rPr>
                <w:rFonts w:hint="eastAsia" w:ascii="仿宋_GB2312" w:hAnsi="仿宋" w:eastAsia="仿宋_GB2312" w:cs="宋体"/>
                <w:sz w:val="18"/>
                <w:szCs w:val="18"/>
                <w:highlight w:val="none"/>
              </w:rPr>
              <w:t>-</w:t>
            </w:r>
            <w:r>
              <w:rPr>
                <w:rFonts w:hint="eastAsia" w:ascii="仿宋_GB2312" w:hAnsi="仿宋" w:eastAsia="仿宋_GB2312" w:cs="宋体"/>
                <w:sz w:val="18"/>
                <w:szCs w:val="18"/>
                <w:highlight w:val="none"/>
                <w:lang w:val="en-US" w:eastAsia="zh-CN"/>
              </w:rPr>
              <w:t>170</w:t>
            </w:r>
          </w:p>
        </w:tc>
        <w:tc>
          <w:tcPr>
            <w:tcW w:w="1059" w:type="dxa"/>
            <w:shd w:val="clear" w:color="auto" w:fill="auto"/>
            <w:vAlign w:val="center"/>
          </w:tcPr>
          <w:p w14:paraId="02CCFD77">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60</w:t>
            </w:r>
            <w:r>
              <w:rPr>
                <w:rFonts w:hint="eastAsia"/>
                <w:sz w:val="18"/>
                <w:szCs w:val="18"/>
                <w:highlight w:val="none"/>
              </w:rPr>
              <w:t>元/瓶</w:t>
            </w:r>
          </w:p>
        </w:tc>
        <w:tc>
          <w:tcPr>
            <w:tcW w:w="1881" w:type="dxa"/>
            <w:vAlign w:val="center"/>
          </w:tcPr>
          <w:p w14:paraId="1079AFD9">
            <w:pPr>
              <w:keepNext w:val="0"/>
              <w:keepLines w:val="0"/>
              <w:pageBreakBefore w:val="0"/>
              <w:widowControl w:val="0"/>
              <w:kinsoku/>
              <w:wordWrap/>
              <w:overflowPunct/>
              <w:topLinePunct w:val="0"/>
              <w:bidi w:val="0"/>
              <w:adjustRightInd/>
              <w:snapToGrid/>
              <w:spacing w:line="240" w:lineRule="exact"/>
              <w:jc w:val="center"/>
              <w:textAlignment w:val="auto"/>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15</w:t>
            </w:r>
          </w:p>
        </w:tc>
        <w:tc>
          <w:tcPr>
            <w:tcW w:w="1155" w:type="dxa"/>
            <w:vAlign w:val="center"/>
          </w:tcPr>
          <w:p w14:paraId="21A564BE">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rPr>
            </w:pPr>
          </w:p>
        </w:tc>
      </w:tr>
      <w:tr w14:paraId="5480C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0" w:hRule="atLeast"/>
          <w:jc w:val="center"/>
        </w:trPr>
        <w:tc>
          <w:tcPr>
            <w:tcW w:w="846" w:type="dxa"/>
            <w:vMerge w:val="continue"/>
            <w:vAlign w:val="center"/>
          </w:tcPr>
          <w:p w14:paraId="64DF67B6">
            <w:pPr>
              <w:spacing w:line="400" w:lineRule="exact"/>
              <w:jc w:val="center"/>
              <w:rPr>
                <w:rFonts w:ascii="宋体" w:hAnsi="宋体" w:eastAsia="宋体"/>
                <w:sz w:val="24"/>
                <w:szCs w:val="24"/>
                <w:highlight w:val="none"/>
              </w:rPr>
            </w:pPr>
          </w:p>
        </w:tc>
        <w:tc>
          <w:tcPr>
            <w:tcW w:w="1701" w:type="dxa"/>
            <w:vAlign w:val="center"/>
          </w:tcPr>
          <w:p w14:paraId="6759D701">
            <w:pPr>
              <w:keepNext w:val="0"/>
              <w:keepLines w:val="0"/>
              <w:pageBreakBefore w:val="0"/>
              <w:widowControl w:val="0"/>
              <w:kinsoku/>
              <w:wordWrap/>
              <w:overflowPunct/>
              <w:topLinePunct w:val="0"/>
              <w:bidi w:val="0"/>
              <w:snapToGrid/>
              <w:spacing w:line="240" w:lineRule="exact"/>
              <w:jc w:val="left"/>
              <w:textAlignment w:val="auto"/>
              <w:rPr>
                <w:rFonts w:hint="eastAsia" w:ascii="仿宋_GB2312" w:hAnsi="仿宋" w:eastAsia="仿宋_GB2312" w:cs="宋体"/>
                <w:spacing w:val="-20"/>
                <w:sz w:val="24"/>
                <w:szCs w:val="24"/>
                <w:highlight w:val="none"/>
              </w:rPr>
            </w:pPr>
            <w:r>
              <w:rPr>
                <w:rFonts w:hint="eastAsia" w:ascii="仿宋_GB2312" w:hAnsi="仿宋" w:eastAsia="仿宋_GB2312" w:cs="宋体"/>
                <w:spacing w:val="-20"/>
                <w:sz w:val="24"/>
                <w:szCs w:val="24"/>
                <w:highlight w:val="none"/>
                <w:lang w:eastAsia="zh-CN"/>
              </w:rPr>
              <w:t>大</w:t>
            </w:r>
            <w:r>
              <w:rPr>
                <w:rFonts w:hint="eastAsia" w:ascii="仿宋_GB2312" w:hAnsi="仿宋" w:eastAsia="仿宋_GB2312" w:cs="宋体"/>
                <w:spacing w:val="-20"/>
                <w:sz w:val="24"/>
                <w:szCs w:val="24"/>
                <w:highlight w:val="none"/>
              </w:rPr>
              <w:t>量元素水溶肥料</w:t>
            </w:r>
          </w:p>
        </w:tc>
        <w:tc>
          <w:tcPr>
            <w:tcW w:w="3243" w:type="dxa"/>
            <w:vAlign w:val="center"/>
          </w:tcPr>
          <w:p w14:paraId="2941EE3A">
            <w:pPr>
              <w:keepNext w:val="0"/>
              <w:keepLines w:val="0"/>
              <w:pageBreakBefore w:val="0"/>
              <w:widowControl w:val="0"/>
              <w:kinsoku/>
              <w:wordWrap/>
              <w:overflowPunct/>
              <w:topLinePunct w:val="0"/>
              <w:bidi w:val="0"/>
              <w:snapToGrid/>
              <w:spacing w:line="240" w:lineRule="exact"/>
              <w:jc w:val="left"/>
              <w:textAlignment w:val="auto"/>
              <w:rPr>
                <w:rFonts w:hint="eastAsia" w:ascii="仿宋_GB2312" w:hAnsi="仿宋" w:eastAsia="仿宋_GB2312" w:cs="宋体"/>
                <w:sz w:val="24"/>
                <w:szCs w:val="24"/>
                <w:highlight w:val="none"/>
              </w:rPr>
            </w:pPr>
            <w:r>
              <w:rPr>
                <w:rFonts w:hint="eastAsia" w:ascii="仿宋_GB2312" w:hAnsi="仿宋" w:eastAsia="仿宋_GB2312" w:cs="宋体"/>
                <w:sz w:val="18"/>
                <w:szCs w:val="18"/>
                <w:highlight w:val="none"/>
                <w:lang w:val="en-US" w:eastAsia="zh-CN"/>
              </w:rPr>
              <w:t>1000克/瓶；侧重型，P</w:t>
            </w:r>
            <w:r>
              <w:rPr>
                <w:rFonts w:hint="eastAsia" w:ascii="仿宋_GB2312" w:hAnsi="仿宋" w:eastAsia="仿宋_GB2312" w:cs="宋体"/>
                <w:sz w:val="18"/>
                <w:szCs w:val="18"/>
                <w:highlight w:val="none"/>
                <w:vertAlign w:val="subscript"/>
                <w:lang w:val="en-US" w:eastAsia="zh-CN"/>
              </w:rPr>
              <w:t>2</w:t>
            </w:r>
            <w:r>
              <w:rPr>
                <w:rFonts w:hint="eastAsia" w:ascii="仿宋_GB2312" w:hAnsi="仿宋" w:eastAsia="仿宋_GB2312" w:cs="宋体"/>
                <w:sz w:val="18"/>
                <w:szCs w:val="18"/>
                <w:highlight w:val="none"/>
                <w:lang w:val="en-US" w:eastAsia="zh-CN"/>
              </w:rPr>
              <w:t>O</w:t>
            </w:r>
            <w:r>
              <w:rPr>
                <w:rFonts w:hint="eastAsia" w:ascii="仿宋_GB2312" w:hAnsi="仿宋" w:eastAsia="仿宋_GB2312" w:cs="宋体"/>
                <w:sz w:val="18"/>
                <w:szCs w:val="18"/>
                <w:highlight w:val="none"/>
                <w:vertAlign w:val="subscript"/>
                <w:lang w:val="en-US" w:eastAsia="zh-CN"/>
              </w:rPr>
              <w:t>5</w:t>
            </w:r>
            <w:r>
              <w:rPr>
                <w:rFonts w:hint="eastAsia" w:ascii="仿宋_GB2312" w:hAnsi="仿宋" w:eastAsia="仿宋_GB2312" w:cs="宋体"/>
                <w:sz w:val="18"/>
                <w:szCs w:val="18"/>
                <w:highlight w:val="none"/>
                <w:lang w:val="en-US" w:eastAsia="zh-CN"/>
              </w:rPr>
              <w:t>≥450g/l、K</w:t>
            </w:r>
            <w:r>
              <w:rPr>
                <w:rFonts w:hint="eastAsia" w:ascii="仿宋_GB2312" w:hAnsi="仿宋" w:eastAsia="仿宋_GB2312" w:cs="宋体"/>
                <w:sz w:val="18"/>
                <w:szCs w:val="18"/>
                <w:highlight w:val="none"/>
                <w:vertAlign w:val="subscript"/>
                <w:lang w:val="en-US" w:eastAsia="zh-CN"/>
              </w:rPr>
              <w:t>2</w:t>
            </w:r>
            <w:r>
              <w:rPr>
                <w:rFonts w:hint="eastAsia" w:ascii="仿宋_GB2312" w:hAnsi="仿宋" w:eastAsia="仿宋_GB2312" w:cs="宋体"/>
                <w:sz w:val="18"/>
                <w:szCs w:val="18"/>
                <w:highlight w:val="none"/>
                <w:lang w:val="en-US" w:eastAsia="zh-CN"/>
              </w:rPr>
              <w:t>O≥560g/l、B≥0.5g/L、Zn≥5g/L</w:t>
            </w:r>
          </w:p>
        </w:tc>
        <w:tc>
          <w:tcPr>
            <w:tcW w:w="1059" w:type="dxa"/>
            <w:shd w:val="clear" w:color="auto" w:fill="auto"/>
            <w:vAlign w:val="center"/>
          </w:tcPr>
          <w:p w14:paraId="0C662BB7">
            <w:pPr>
              <w:keepNext w:val="0"/>
              <w:keepLines w:val="0"/>
              <w:pageBreakBefore w:val="0"/>
              <w:widowControl w:val="0"/>
              <w:kinsoku/>
              <w:wordWrap/>
              <w:overflowPunct/>
              <w:topLinePunct w:val="0"/>
              <w:bidi w:val="0"/>
              <w:snapToGrid/>
              <w:spacing w:line="240" w:lineRule="exact"/>
              <w:jc w:val="center"/>
              <w:textAlignment w:val="auto"/>
              <w:rPr>
                <w:rFonts w:hint="eastAsia" w:asciiTheme="minorHAnsi" w:hAnsiTheme="minorHAnsi" w:eastAsiaTheme="minorEastAsia" w:cstheme="minorBidi"/>
                <w:kern w:val="2"/>
                <w:sz w:val="18"/>
                <w:szCs w:val="18"/>
                <w:highlight w:val="none"/>
                <w:lang w:val="en-US" w:eastAsia="zh-CN" w:bidi="ar-SA"/>
              </w:rPr>
            </w:pPr>
            <w:r>
              <w:rPr>
                <w:rFonts w:hint="eastAsia"/>
                <w:sz w:val="18"/>
                <w:szCs w:val="18"/>
                <w:highlight w:val="none"/>
                <w:lang w:val="en-US" w:eastAsia="zh-CN"/>
              </w:rPr>
              <w:t>47</w:t>
            </w:r>
            <w:r>
              <w:rPr>
                <w:rFonts w:hint="eastAsia"/>
                <w:sz w:val="18"/>
                <w:szCs w:val="18"/>
                <w:highlight w:val="none"/>
              </w:rPr>
              <w:t>元/瓶</w:t>
            </w:r>
          </w:p>
        </w:tc>
        <w:tc>
          <w:tcPr>
            <w:tcW w:w="1881" w:type="dxa"/>
            <w:vAlign w:val="center"/>
          </w:tcPr>
          <w:p w14:paraId="6CC4200E">
            <w:pPr>
              <w:keepNext w:val="0"/>
              <w:keepLines w:val="0"/>
              <w:pageBreakBefore w:val="0"/>
              <w:widowControl w:val="0"/>
              <w:kinsoku/>
              <w:wordWrap/>
              <w:overflowPunct/>
              <w:topLinePunct w:val="0"/>
              <w:bidi w:val="0"/>
              <w:adjustRightInd/>
              <w:snapToGrid/>
              <w:spacing w:line="240" w:lineRule="exact"/>
              <w:jc w:val="center"/>
              <w:textAlignment w:val="auto"/>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15</w:t>
            </w:r>
          </w:p>
        </w:tc>
        <w:tc>
          <w:tcPr>
            <w:tcW w:w="1155" w:type="dxa"/>
            <w:vAlign w:val="center"/>
          </w:tcPr>
          <w:p w14:paraId="037EAED4">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rPr>
            </w:pPr>
          </w:p>
        </w:tc>
      </w:tr>
      <w:tr w14:paraId="1462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0" w:hRule="atLeast"/>
          <w:jc w:val="center"/>
        </w:trPr>
        <w:tc>
          <w:tcPr>
            <w:tcW w:w="846" w:type="dxa"/>
            <w:vMerge w:val="continue"/>
            <w:vAlign w:val="center"/>
          </w:tcPr>
          <w:p w14:paraId="3C71B864">
            <w:pPr>
              <w:spacing w:line="400" w:lineRule="exact"/>
              <w:jc w:val="center"/>
              <w:rPr>
                <w:rFonts w:ascii="宋体" w:hAnsi="宋体" w:eastAsia="宋体"/>
                <w:sz w:val="24"/>
                <w:szCs w:val="24"/>
                <w:highlight w:val="none"/>
              </w:rPr>
            </w:pPr>
          </w:p>
        </w:tc>
        <w:tc>
          <w:tcPr>
            <w:tcW w:w="1701" w:type="dxa"/>
            <w:vAlign w:val="center"/>
          </w:tcPr>
          <w:p w14:paraId="54BD1A86">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ascii="仿宋" w:hAnsi="仿宋" w:eastAsia="仿宋" w:cs="仿宋"/>
                <w:sz w:val="24"/>
                <w:highlight w:val="none"/>
              </w:rPr>
              <w:t>精甲·咯菌腈</w:t>
            </w:r>
          </w:p>
        </w:tc>
        <w:tc>
          <w:tcPr>
            <w:tcW w:w="3243" w:type="dxa"/>
            <w:vAlign w:val="center"/>
          </w:tcPr>
          <w:p w14:paraId="75AF5A4C">
            <w:pPr>
              <w:keepNext w:val="0"/>
              <w:keepLines w:val="0"/>
              <w:pageBreakBefore w:val="0"/>
              <w:widowControl w:val="0"/>
              <w:kinsoku/>
              <w:wordWrap/>
              <w:overflowPunct/>
              <w:topLinePunct w:val="0"/>
              <w:bidi w:val="0"/>
              <w:snapToGrid/>
              <w:spacing w:line="240" w:lineRule="exact"/>
              <w:textAlignment w:val="auto"/>
              <w:rPr>
                <w:rFonts w:hint="eastAsia" w:ascii="仿宋_GB2312" w:hAnsi="仿宋" w:eastAsia="仿宋"/>
                <w:sz w:val="24"/>
                <w:szCs w:val="24"/>
                <w:highlight w:val="none"/>
                <w:lang w:eastAsia="zh-CN"/>
              </w:rPr>
            </w:pPr>
            <w:r>
              <w:rPr>
                <w:rFonts w:hint="eastAsia" w:ascii="仿宋_GB2312" w:hAnsi="仿宋" w:eastAsia="仿宋_GB2312" w:cs="宋体"/>
                <w:sz w:val="18"/>
                <w:szCs w:val="18"/>
                <w:highlight w:val="none"/>
                <w:lang w:val="en-US" w:eastAsia="zh-CN"/>
              </w:rPr>
              <w:t>500毫升/瓶；62.5克/升，悬浮种衣剂</w:t>
            </w:r>
          </w:p>
        </w:tc>
        <w:tc>
          <w:tcPr>
            <w:tcW w:w="1059" w:type="dxa"/>
            <w:shd w:val="clear" w:color="auto" w:fill="auto"/>
            <w:vAlign w:val="center"/>
          </w:tcPr>
          <w:p w14:paraId="61A65FB9">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160</w:t>
            </w:r>
            <w:r>
              <w:rPr>
                <w:rFonts w:hint="eastAsia"/>
                <w:sz w:val="18"/>
                <w:szCs w:val="18"/>
                <w:highlight w:val="none"/>
              </w:rPr>
              <w:t>元/瓶</w:t>
            </w:r>
          </w:p>
        </w:tc>
        <w:tc>
          <w:tcPr>
            <w:tcW w:w="1881" w:type="dxa"/>
            <w:vAlign w:val="center"/>
          </w:tcPr>
          <w:p w14:paraId="63280AB8">
            <w:pPr>
              <w:keepNext w:val="0"/>
              <w:keepLines w:val="0"/>
              <w:pageBreakBefore w:val="0"/>
              <w:widowControl w:val="0"/>
              <w:kinsoku/>
              <w:wordWrap/>
              <w:overflowPunct/>
              <w:topLinePunct w:val="0"/>
              <w:bidi w:val="0"/>
              <w:adjustRightInd/>
              <w:snapToGrid/>
              <w:spacing w:line="240" w:lineRule="exact"/>
              <w:jc w:val="center"/>
              <w:textAlignment w:val="auto"/>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2</w:t>
            </w:r>
          </w:p>
        </w:tc>
        <w:tc>
          <w:tcPr>
            <w:tcW w:w="1155" w:type="dxa"/>
            <w:vAlign w:val="center"/>
          </w:tcPr>
          <w:p w14:paraId="413459FD">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rPr>
            </w:pPr>
          </w:p>
        </w:tc>
      </w:tr>
      <w:tr w14:paraId="3735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0" w:hRule="atLeast"/>
          <w:jc w:val="center"/>
        </w:trPr>
        <w:tc>
          <w:tcPr>
            <w:tcW w:w="846" w:type="dxa"/>
            <w:vMerge w:val="continue"/>
            <w:vAlign w:val="center"/>
          </w:tcPr>
          <w:p w14:paraId="5DE5E53D">
            <w:pPr>
              <w:spacing w:line="400" w:lineRule="exact"/>
              <w:jc w:val="center"/>
              <w:rPr>
                <w:rFonts w:ascii="宋体" w:hAnsi="宋体" w:eastAsia="宋体"/>
                <w:sz w:val="24"/>
                <w:szCs w:val="24"/>
                <w:highlight w:val="none"/>
              </w:rPr>
            </w:pPr>
          </w:p>
        </w:tc>
        <w:tc>
          <w:tcPr>
            <w:tcW w:w="1701" w:type="dxa"/>
            <w:vAlign w:val="center"/>
          </w:tcPr>
          <w:p w14:paraId="5798348B">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hint="eastAsia" w:ascii="仿宋_GB2312" w:hAnsi="仿宋" w:eastAsia="仿宋_GB2312"/>
                <w:sz w:val="24"/>
                <w:szCs w:val="24"/>
                <w:highlight w:val="none"/>
              </w:rPr>
              <w:t>吡唑醚菌酯</w:t>
            </w:r>
          </w:p>
        </w:tc>
        <w:tc>
          <w:tcPr>
            <w:tcW w:w="3243" w:type="dxa"/>
            <w:vAlign w:val="center"/>
          </w:tcPr>
          <w:p w14:paraId="05249B1B">
            <w:pPr>
              <w:keepNext w:val="0"/>
              <w:keepLines w:val="0"/>
              <w:pageBreakBefore w:val="0"/>
              <w:widowControl w:val="0"/>
              <w:kinsoku/>
              <w:wordWrap/>
              <w:overflowPunct/>
              <w:topLinePunct w:val="0"/>
              <w:bidi w:val="0"/>
              <w:snapToGrid/>
              <w:spacing w:line="240" w:lineRule="exact"/>
              <w:textAlignment w:val="auto"/>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1000毫升/瓶；250克/升，乳油</w:t>
            </w:r>
          </w:p>
        </w:tc>
        <w:tc>
          <w:tcPr>
            <w:tcW w:w="1059" w:type="dxa"/>
            <w:shd w:val="clear" w:color="auto" w:fill="auto"/>
            <w:vAlign w:val="center"/>
          </w:tcPr>
          <w:p w14:paraId="03080C99">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200</w:t>
            </w:r>
            <w:r>
              <w:rPr>
                <w:rFonts w:hint="eastAsia"/>
                <w:sz w:val="18"/>
                <w:szCs w:val="18"/>
                <w:highlight w:val="none"/>
              </w:rPr>
              <w:t>元/瓶</w:t>
            </w:r>
          </w:p>
        </w:tc>
        <w:tc>
          <w:tcPr>
            <w:tcW w:w="1881" w:type="dxa"/>
            <w:vAlign w:val="center"/>
          </w:tcPr>
          <w:p w14:paraId="685F0FC8">
            <w:pPr>
              <w:keepNext w:val="0"/>
              <w:keepLines w:val="0"/>
              <w:pageBreakBefore w:val="0"/>
              <w:widowControl w:val="0"/>
              <w:kinsoku/>
              <w:wordWrap/>
              <w:overflowPunct/>
              <w:topLinePunct w:val="0"/>
              <w:bidi w:val="0"/>
              <w:adjustRightInd/>
              <w:snapToGrid/>
              <w:spacing w:line="240" w:lineRule="exact"/>
              <w:jc w:val="center"/>
              <w:textAlignment w:val="auto"/>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34</w:t>
            </w:r>
          </w:p>
        </w:tc>
        <w:tc>
          <w:tcPr>
            <w:tcW w:w="1155" w:type="dxa"/>
            <w:vAlign w:val="center"/>
          </w:tcPr>
          <w:p w14:paraId="400AAD78">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rPr>
            </w:pPr>
          </w:p>
        </w:tc>
      </w:tr>
      <w:tr w14:paraId="03C3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0" w:hRule="atLeast"/>
          <w:jc w:val="center"/>
        </w:trPr>
        <w:tc>
          <w:tcPr>
            <w:tcW w:w="846" w:type="dxa"/>
            <w:vMerge w:val="continue"/>
            <w:vAlign w:val="center"/>
          </w:tcPr>
          <w:p w14:paraId="71DE62DA">
            <w:pPr>
              <w:spacing w:line="400" w:lineRule="exact"/>
              <w:jc w:val="center"/>
              <w:rPr>
                <w:rFonts w:ascii="宋体" w:hAnsi="宋体" w:eastAsia="宋体"/>
                <w:sz w:val="24"/>
                <w:szCs w:val="24"/>
                <w:highlight w:val="none"/>
              </w:rPr>
            </w:pPr>
          </w:p>
        </w:tc>
        <w:tc>
          <w:tcPr>
            <w:tcW w:w="1701" w:type="dxa"/>
            <w:vAlign w:val="center"/>
          </w:tcPr>
          <w:p w14:paraId="7B834C4A">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hint="eastAsia" w:ascii="仿宋_GB2312" w:hAnsi="仿宋" w:eastAsia="仿宋_GB2312" w:cs="宋体"/>
                <w:sz w:val="24"/>
                <w:szCs w:val="24"/>
                <w:highlight w:val="none"/>
                <w:lang w:eastAsia="zh-CN"/>
              </w:rPr>
              <w:t>高氯·</w:t>
            </w:r>
            <w:r>
              <w:rPr>
                <w:rFonts w:hint="eastAsia" w:ascii="仿宋_GB2312" w:hAnsi="仿宋" w:eastAsia="仿宋_GB2312" w:cs="宋体"/>
                <w:sz w:val="24"/>
                <w:szCs w:val="24"/>
                <w:highlight w:val="none"/>
                <w:lang w:val="en-US" w:eastAsia="zh-CN"/>
              </w:rPr>
              <w:t>辛硫磷</w:t>
            </w:r>
          </w:p>
        </w:tc>
        <w:tc>
          <w:tcPr>
            <w:tcW w:w="3243" w:type="dxa"/>
            <w:vAlign w:val="center"/>
          </w:tcPr>
          <w:p w14:paraId="77129FE7">
            <w:pPr>
              <w:keepNext w:val="0"/>
              <w:keepLines w:val="0"/>
              <w:pageBreakBefore w:val="0"/>
              <w:widowControl w:val="0"/>
              <w:kinsoku/>
              <w:wordWrap/>
              <w:overflowPunct/>
              <w:topLinePunct w:val="0"/>
              <w:bidi w:val="0"/>
              <w:snapToGrid/>
              <w:spacing w:line="240" w:lineRule="exact"/>
              <w:textAlignment w:val="auto"/>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500毫升/瓶；20%，乳油</w:t>
            </w:r>
          </w:p>
        </w:tc>
        <w:tc>
          <w:tcPr>
            <w:tcW w:w="1059" w:type="dxa"/>
            <w:shd w:val="clear" w:color="auto" w:fill="auto"/>
            <w:vAlign w:val="center"/>
          </w:tcPr>
          <w:p w14:paraId="02B71B59">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40</w:t>
            </w:r>
            <w:r>
              <w:rPr>
                <w:rFonts w:hint="eastAsia"/>
                <w:sz w:val="18"/>
                <w:szCs w:val="18"/>
                <w:highlight w:val="none"/>
              </w:rPr>
              <w:t>元/瓶</w:t>
            </w:r>
          </w:p>
        </w:tc>
        <w:tc>
          <w:tcPr>
            <w:tcW w:w="1881" w:type="dxa"/>
            <w:vAlign w:val="center"/>
          </w:tcPr>
          <w:p w14:paraId="208D45D9">
            <w:pPr>
              <w:keepNext w:val="0"/>
              <w:keepLines w:val="0"/>
              <w:pageBreakBefore w:val="0"/>
              <w:widowControl w:val="0"/>
              <w:kinsoku/>
              <w:wordWrap/>
              <w:overflowPunct/>
              <w:topLinePunct w:val="0"/>
              <w:bidi w:val="0"/>
              <w:adjustRightInd/>
              <w:snapToGrid/>
              <w:spacing w:line="240" w:lineRule="exact"/>
              <w:jc w:val="center"/>
              <w:textAlignment w:val="auto"/>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8</w:t>
            </w:r>
          </w:p>
        </w:tc>
        <w:tc>
          <w:tcPr>
            <w:tcW w:w="1155" w:type="dxa"/>
            <w:vAlign w:val="center"/>
          </w:tcPr>
          <w:p w14:paraId="36AB167C">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rPr>
            </w:pPr>
          </w:p>
        </w:tc>
      </w:tr>
      <w:tr w14:paraId="1DCC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846" w:type="dxa"/>
            <w:vMerge w:val="continue"/>
            <w:vAlign w:val="center"/>
          </w:tcPr>
          <w:p w14:paraId="0A8F00E3">
            <w:pPr>
              <w:spacing w:line="400" w:lineRule="exact"/>
              <w:jc w:val="center"/>
              <w:rPr>
                <w:rFonts w:ascii="宋体" w:hAnsi="宋体" w:eastAsia="宋体"/>
                <w:sz w:val="24"/>
                <w:szCs w:val="24"/>
                <w:highlight w:val="none"/>
              </w:rPr>
            </w:pPr>
          </w:p>
        </w:tc>
        <w:tc>
          <w:tcPr>
            <w:tcW w:w="1701" w:type="dxa"/>
            <w:vAlign w:val="center"/>
          </w:tcPr>
          <w:p w14:paraId="2B21B94A">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hint="eastAsia" w:ascii="仿宋_GB2312" w:hAnsi="仿宋" w:eastAsia="仿宋_GB2312"/>
                <w:sz w:val="24"/>
                <w:szCs w:val="24"/>
                <w:highlight w:val="none"/>
              </w:rPr>
              <w:t>氯虫苯甲酰胺</w:t>
            </w:r>
          </w:p>
        </w:tc>
        <w:tc>
          <w:tcPr>
            <w:tcW w:w="3243" w:type="dxa"/>
            <w:vAlign w:val="center"/>
          </w:tcPr>
          <w:p w14:paraId="47CE27E5">
            <w:pPr>
              <w:keepNext w:val="0"/>
              <w:keepLines w:val="0"/>
              <w:pageBreakBefore w:val="0"/>
              <w:widowControl w:val="0"/>
              <w:kinsoku/>
              <w:wordWrap/>
              <w:overflowPunct/>
              <w:topLinePunct w:val="0"/>
              <w:bidi w:val="0"/>
              <w:snapToGrid/>
              <w:spacing w:line="240" w:lineRule="exact"/>
              <w:textAlignment w:val="auto"/>
              <w:rPr>
                <w:rFonts w:ascii="仿宋_GB2312" w:hAnsi="仿宋" w:eastAsia="仿宋_GB2312"/>
                <w:sz w:val="24"/>
                <w:szCs w:val="24"/>
                <w:highlight w:val="none"/>
              </w:rPr>
            </w:pPr>
            <w:r>
              <w:rPr>
                <w:rFonts w:hint="eastAsia" w:ascii="仿宋_GB2312" w:hAnsi="仿宋" w:eastAsia="仿宋_GB2312" w:cs="宋体"/>
                <w:spacing w:val="-20"/>
                <w:sz w:val="18"/>
                <w:szCs w:val="18"/>
                <w:highlight w:val="none"/>
                <w:lang w:val="en-US" w:eastAsia="zh-CN"/>
              </w:rPr>
              <w:t>100毫升/瓶；200克/升，悬浮剂</w:t>
            </w:r>
          </w:p>
        </w:tc>
        <w:tc>
          <w:tcPr>
            <w:tcW w:w="1059" w:type="dxa"/>
            <w:shd w:val="clear" w:color="auto" w:fill="auto"/>
            <w:vAlign w:val="center"/>
          </w:tcPr>
          <w:p w14:paraId="58D9B0F5">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65</w:t>
            </w:r>
            <w:r>
              <w:rPr>
                <w:rFonts w:hint="eastAsia"/>
                <w:sz w:val="18"/>
                <w:szCs w:val="18"/>
                <w:highlight w:val="none"/>
              </w:rPr>
              <w:t>元/瓶</w:t>
            </w:r>
          </w:p>
        </w:tc>
        <w:tc>
          <w:tcPr>
            <w:tcW w:w="1881" w:type="dxa"/>
            <w:vAlign w:val="center"/>
          </w:tcPr>
          <w:p w14:paraId="4ADD5821">
            <w:pPr>
              <w:keepNext w:val="0"/>
              <w:keepLines w:val="0"/>
              <w:pageBreakBefore w:val="0"/>
              <w:widowControl w:val="0"/>
              <w:kinsoku/>
              <w:wordWrap/>
              <w:overflowPunct/>
              <w:topLinePunct w:val="0"/>
              <w:bidi w:val="0"/>
              <w:adjustRightInd/>
              <w:snapToGrid/>
              <w:spacing w:line="240" w:lineRule="exact"/>
              <w:jc w:val="center"/>
              <w:textAlignment w:val="auto"/>
              <w:rPr>
                <w:rFonts w:hint="default"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10</w:t>
            </w:r>
          </w:p>
        </w:tc>
        <w:tc>
          <w:tcPr>
            <w:tcW w:w="1155" w:type="dxa"/>
            <w:vAlign w:val="center"/>
          </w:tcPr>
          <w:p w14:paraId="5C1A488E">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rPr>
            </w:pPr>
          </w:p>
        </w:tc>
      </w:tr>
      <w:tr w14:paraId="5F0D3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3" w:hRule="atLeast"/>
          <w:jc w:val="center"/>
        </w:trPr>
        <w:tc>
          <w:tcPr>
            <w:tcW w:w="846" w:type="dxa"/>
            <w:vMerge w:val="continue"/>
            <w:vAlign w:val="center"/>
          </w:tcPr>
          <w:p w14:paraId="6DCC9617">
            <w:pPr>
              <w:spacing w:line="400" w:lineRule="exact"/>
              <w:jc w:val="center"/>
              <w:rPr>
                <w:rFonts w:ascii="宋体" w:hAnsi="宋体" w:eastAsia="宋体"/>
                <w:sz w:val="24"/>
                <w:szCs w:val="24"/>
                <w:highlight w:val="none"/>
              </w:rPr>
            </w:pPr>
          </w:p>
        </w:tc>
        <w:tc>
          <w:tcPr>
            <w:tcW w:w="1701" w:type="dxa"/>
            <w:vAlign w:val="center"/>
          </w:tcPr>
          <w:p w14:paraId="5CA6EF6F">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hint="eastAsia" w:ascii="仿宋_GB2312" w:hAnsi="仿宋" w:eastAsia="仿宋_GB2312"/>
                <w:sz w:val="24"/>
                <w:szCs w:val="24"/>
                <w:highlight w:val="none"/>
              </w:rPr>
              <w:t>高效氯氟氰菊酯</w:t>
            </w:r>
          </w:p>
        </w:tc>
        <w:tc>
          <w:tcPr>
            <w:tcW w:w="3243" w:type="dxa"/>
            <w:vAlign w:val="center"/>
          </w:tcPr>
          <w:p w14:paraId="0B3C5191">
            <w:pPr>
              <w:keepNext w:val="0"/>
              <w:keepLines w:val="0"/>
              <w:pageBreakBefore w:val="0"/>
              <w:widowControl w:val="0"/>
              <w:kinsoku/>
              <w:wordWrap/>
              <w:overflowPunct/>
              <w:topLinePunct w:val="0"/>
              <w:bidi w:val="0"/>
              <w:snapToGrid/>
              <w:spacing w:line="240" w:lineRule="exact"/>
              <w:textAlignment w:val="auto"/>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500毫升/瓶；25克/升，乳油</w:t>
            </w:r>
          </w:p>
        </w:tc>
        <w:tc>
          <w:tcPr>
            <w:tcW w:w="1059" w:type="dxa"/>
            <w:shd w:val="clear" w:color="auto" w:fill="auto"/>
            <w:vAlign w:val="center"/>
          </w:tcPr>
          <w:p w14:paraId="4B213D38">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15</w:t>
            </w:r>
            <w:r>
              <w:rPr>
                <w:rFonts w:hint="eastAsia"/>
                <w:sz w:val="18"/>
                <w:szCs w:val="18"/>
                <w:highlight w:val="none"/>
              </w:rPr>
              <w:t>元/瓶</w:t>
            </w:r>
          </w:p>
        </w:tc>
        <w:tc>
          <w:tcPr>
            <w:tcW w:w="1881" w:type="dxa"/>
            <w:vAlign w:val="center"/>
          </w:tcPr>
          <w:p w14:paraId="2411CBCB">
            <w:pPr>
              <w:keepNext w:val="0"/>
              <w:keepLines w:val="0"/>
              <w:pageBreakBefore w:val="0"/>
              <w:widowControl w:val="0"/>
              <w:kinsoku/>
              <w:wordWrap/>
              <w:overflowPunct/>
              <w:topLinePunct w:val="0"/>
              <w:bidi w:val="0"/>
              <w:adjustRightInd/>
              <w:snapToGrid/>
              <w:spacing w:line="240" w:lineRule="exact"/>
              <w:jc w:val="center"/>
              <w:textAlignment w:val="auto"/>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8</w:t>
            </w:r>
          </w:p>
        </w:tc>
        <w:tc>
          <w:tcPr>
            <w:tcW w:w="1155" w:type="dxa"/>
            <w:vAlign w:val="center"/>
          </w:tcPr>
          <w:p w14:paraId="69258891">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lang w:eastAsia="zh-CN"/>
              </w:rPr>
            </w:pPr>
          </w:p>
        </w:tc>
      </w:tr>
      <w:tr w14:paraId="383F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3" w:hRule="atLeast"/>
          <w:jc w:val="center"/>
        </w:trPr>
        <w:tc>
          <w:tcPr>
            <w:tcW w:w="846" w:type="dxa"/>
            <w:vMerge w:val="continue"/>
            <w:vAlign w:val="center"/>
          </w:tcPr>
          <w:p w14:paraId="4D5B9DE9">
            <w:pPr>
              <w:spacing w:line="400" w:lineRule="exact"/>
              <w:jc w:val="center"/>
              <w:rPr>
                <w:rFonts w:ascii="宋体" w:hAnsi="宋体" w:eastAsia="宋体"/>
                <w:sz w:val="24"/>
                <w:szCs w:val="24"/>
                <w:highlight w:val="none"/>
              </w:rPr>
            </w:pPr>
          </w:p>
        </w:tc>
        <w:tc>
          <w:tcPr>
            <w:tcW w:w="1701" w:type="dxa"/>
            <w:vAlign w:val="center"/>
          </w:tcPr>
          <w:p w14:paraId="4EC5C1CB">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hint="eastAsia" w:ascii="仿宋_GB2312" w:hAnsi="仿宋" w:eastAsia="仿宋_GB2312"/>
                <w:sz w:val="24"/>
                <w:szCs w:val="24"/>
                <w:highlight w:val="none"/>
              </w:rPr>
              <w:t>农伴侣</w:t>
            </w:r>
            <w:r>
              <w:rPr>
                <w:rFonts w:hint="eastAsia" w:ascii="宋体" w:hAnsi="宋体" w:eastAsia="宋体"/>
                <w:sz w:val="24"/>
                <w:szCs w:val="24"/>
                <w:highlight w:val="none"/>
              </w:rPr>
              <w:t>•</w:t>
            </w:r>
            <w:r>
              <w:rPr>
                <w:rFonts w:hint="eastAsia" w:ascii="仿宋" w:hAnsi="仿宋" w:eastAsia="仿宋" w:cs="仿宋"/>
                <w:sz w:val="24"/>
                <w:szCs w:val="24"/>
                <w:highlight w:val="none"/>
              </w:rPr>
              <w:t>溶</w:t>
            </w:r>
          </w:p>
        </w:tc>
        <w:tc>
          <w:tcPr>
            <w:tcW w:w="3243" w:type="dxa"/>
            <w:vAlign w:val="center"/>
          </w:tcPr>
          <w:p w14:paraId="13A873E6">
            <w:pPr>
              <w:keepNext w:val="0"/>
              <w:keepLines w:val="0"/>
              <w:pageBreakBefore w:val="0"/>
              <w:widowControl w:val="0"/>
              <w:kinsoku/>
              <w:wordWrap/>
              <w:overflowPunct/>
              <w:topLinePunct w:val="0"/>
              <w:bidi w:val="0"/>
              <w:snapToGrid/>
              <w:spacing w:line="240" w:lineRule="exact"/>
              <w:textAlignment w:val="auto"/>
              <w:rPr>
                <w:rFonts w:ascii="仿宋_GB2312" w:hAnsi="仿宋" w:eastAsia="仿宋_GB2312"/>
                <w:sz w:val="24"/>
                <w:szCs w:val="24"/>
                <w:highlight w:val="none"/>
              </w:rPr>
            </w:pPr>
            <w:r>
              <w:rPr>
                <w:rFonts w:hint="eastAsia" w:ascii="仿宋_GB2312" w:hAnsi="仿宋" w:eastAsia="仿宋_GB2312" w:cs="宋体"/>
                <w:sz w:val="18"/>
                <w:szCs w:val="18"/>
                <w:highlight w:val="none"/>
                <w:lang w:val="en-US" w:eastAsia="zh-CN"/>
              </w:rPr>
              <w:t>100毫升/瓶</w:t>
            </w:r>
          </w:p>
        </w:tc>
        <w:tc>
          <w:tcPr>
            <w:tcW w:w="1059" w:type="dxa"/>
            <w:shd w:val="clear" w:color="auto" w:fill="auto"/>
            <w:vAlign w:val="center"/>
          </w:tcPr>
          <w:p w14:paraId="7791C609">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16</w:t>
            </w:r>
            <w:r>
              <w:rPr>
                <w:rFonts w:hint="eastAsia"/>
                <w:sz w:val="18"/>
                <w:szCs w:val="18"/>
                <w:highlight w:val="none"/>
              </w:rPr>
              <w:t>元/瓶</w:t>
            </w:r>
          </w:p>
        </w:tc>
        <w:tc>
          <w:tcPr>
            <w:tcW w:w="1881" w:type="dxa"/>
            <w:vAlign w:val="center"/>
          </w:tcPr>
          <w:p w14:paraId="4072E84A">
            <w:pPr>
              <w:keepNext w:val="0"/>
              <w:keepLines w:val="0"/>
              <w:pageBreakBefore w:val="0"/>
              <w:widowControl w:val="0"/>
              <w:kinsoku/>
              <w:wordWrap/>
              <w:overflowPunct/>
              <w:topLinePunct w:val="0"/>
              <w:bidi w:val="0"/>
              <w:adjustRightInd/>
              <w:snapToGrid/>
              <w:spacing w:line="240" w:lineRule="exact"/>
              <w:jc w:val="center"/>
              <w:textAlignment w:val="auto"/>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4</w:t>
            </w:r>
          </w:p>
        </w:tc>
        <w:tc>
          <w:tcPr>
            <w:tcW w:w="1155" w:type="dxa"/>
            <w:vAlign w:val="center"/>
          </w:tcPr>
          <w:p w14:paraId="1B800E35">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rPr>
            </w:pPr>
          </w:p>
        </w:tc>
      </w:tr>
      <w:tr w14:paraId="6B2A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3" w:hRule="atLeast"/>
          <w:jc w:val="center"/>
        </w:trPr>
        <w:tc>
          <w:tcPr>
            <w:tcW w:w="846" w:type="dxa"/>
            <w:vMerge w:val="continue"/>
            <w:vAlign w:val="center"/>
          </w:tcPr>
          <w:p w14:paraId="08FAB75F">
            <w:pPr>
              <w:spacing w:line="400" w:lineRule="exact"/>
              <w:jc w:val="center"/>
              <w:rPr>
                <w:rFonts w:ascii="宋体" w:hAnsi="宋体" w:eastAsia="宋体"/>
                <w:sz w:val="24"/>
                <w:szCs w:val="24"/>
                <w:highlight w:val="none"/>
              </w:rPr>
            </w:pPr>
          </w:p>
        </w:tc>
        <w:tc>
          <w:tcPr>
            <w:tcW w:w="1701" w:type="dxa"/>
            <w:vAlign w:val="center"/>
          </w:tcPr>
          <w:p w14:paraId="15597B66">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hint="eastAsia" w:ascii="仿宋_GB2312" w:hAnsi="仿宋" w:eastAsia="仿宋_GB2312"/>
                <w:sz w:val="24"/>
                <w:szCs w:val="24"/>
                <w:highlight w:val="none"/>
              </w:rPr>
              <w:t>斜纹夜蛾诱捕器</w:t>
            </w:r>
          </w:p>
        </w:tc>
        <w:tc>
          <w:tcPr>
            <w:tcW w:w="3243" w:type="dxa"/>
            <w:vAlign w:val="center"/>
          </w:tcPr>
          <w:p w14:paraId="24DFC143">
            <w:pPr>
              <w:keepNext w:val="0"/>
              <w:keepLines w:val="0"/>
              <w:pageBreakBefore w:val="0"/>
              <w:widowControl w:val="0"/>
              <w:kinsoku/>
              <w:wordWrap/>
              <w:overflowPunct/>
              <w:topLinePunct w:val="0"/>
              <w:bidi w:val="0"/>
              <w:snapToGrid/>
              <w:spacing w:line="240" w:lineRule="exact"/>
              <w:jc w:val="left"/>
              <w:textAlignment w:val="auto"/>
              <w:rPr>
                <w:rFonts w:ascii="仿宋_GB2312" w:hAnsi="仿宋" w:eastAsia="仿宋_GB2312"/>
                <w:sz w:val="18"/>
                <w:szCs w:val="18"/>
                <w:highlight w:val="none"/>
              </w:rPr>
            </w:pPr>
            <w:r>
              <w:rPr>
                <w:rFonts w:hint="eastAsia" w:ascii="仿宋_GB2312" w:hAnsi="仿宋" w:eastAsia="仿宋_GB2312"/>
                <w:sz w:val="18"/>
                <w:szCs w:val="18"/>
                <w:highlight w:val="none"/>
              </w:rPr>
              <w:t>一套含1个诱捕器（含支架）+2个诱芯；立杆高度≥1.5米，直径≥10毫米，诱芯持效期≥30天。</w:t>
            </w:r>
          </w:p>
        </w:tc>
        <w:tc>
          <w:tcPr>
            <w:tcW w:w="1059" w:type="dxa"/>
            <w:shd w:val="clear" w:color="auto" w:fill="auto"/>
            <w:vAlign w:val="center"/>
          </w:tcPr>
          <w:p w14:paraId="1A6838A3">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29</w:t>
            </w:r>
            <w:r>
              <w:rPr>
                <w:sz w:val="18"/>
                <w:szCs w:val="18"/>
                <w:highlight w:val="none"/>
              </w:rPr>
              <w:t>元</w:t>
            </w:r>
            <w:r>
              <w:rPr>
                <w:rFonts w:hint="eastAsia"/>
                <w:sz w:val="18"/>
                <w:szCs w:val="18"/>
                <w:highlight w:val="none"/>
              </w:rPr>
              <w:t>/套</w:t>
            </w:r>
          </w:p>
        </w:tc>
        <w:tc>
          <w:tcPr>
            <w:tcW w:w="1881" w:type="dxa"/>
            <w:vAlign w:val="center"/>
          </w:tcPr>
          <w:p w14:paraId="3705EC93">
            <w:pPr>
              <w:keepNext w:val="0"/>
              <w:keepLines w:val="0"/>
              <w:pageBreakBefore w:val="0"/>
              <w:widowControl w:val="0"/>
              <w:kinsoku/>
              <w:wordWrap/>
              <w:overflowPunct/>
              <w:topLinePunct w:val="0"/>
              <w:bidi w:val="0"/>
              <w:adjustRightInd/>
              <w:snapToGrid/>
              <w:spacing w:line="240" w:lineRule="exact"/>
              <w:jc w:val="center"/>
              <w:textAlignment w:val="auto"/>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4</w:t>
            </w:r>
          </w:p>
        </w:tc>
        <w:tc>
          <w:tcPr>
            <w:tcW w:w="1155" w:type="dxa"/>
            <w:vAlign w:val="center"/>
          </w:tcPr>
          <w:p w14:paraId="3B22536F">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rPr>
            </w:pPr>
          </w:p>
        </w:tc>
      </w:tr>
      <w:tr w14:paraId="61AD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3" w:hRule="atLeast"/>
          <w:jc w:val="center"/>
        </w:trPr>
        <w:tc>
          <w:tcPr>
            <w:tcW w:w="846" w:type="dxa"/>
            <w:vMerge w:val="continue"/>
            <w:vAlign w:val="center"/>
          </w:tcPr>
          <w:p w14:paraId="4A18B00F">
            <w:pPr>
              <w:spacing w:line="400" w:lineRule="exact"/>
              <w:jc w:val="center"/>
              <w:rPr>
                <w:rFonts w:ascii="宋体" w:hAnsi="宋体" w:eastAsia="宋体"/>
                <w:sz w:val="24"/>
                <w:szCs w:val="24"/>
                <w:highlight w:val="none"/>
              </w:rPr>
            </w:pPr>
          </w:p>
        </w:tc>
        <w:tc>
          <w:tcPr>
            <w:tcW w:w="1701" w:type="dxa"/>
            <w:vAlign w:val="center"/>
          </w:tcPr>
          <w:p w14:paraId="302709E4">
            <w:pPr>
              <w:keepNext w:val="0"/>
              <w:keepLines w:val="0"/>
              <w:pageBreakBefore w:val="0"/>
              <w:widowControl w:val="0"/>
              <w:kinsoku/>
              <w:wordWrap/>
              <w:overflowPunct/>
              <w:topLinePunct w:val="0"/>
              <w:bidi w:val="0"/>
              <w:snapToGrid/>
              <w:spacing w:line="240" w:lineRule="exact"/>
              <w:jc w:val="center"/>
              <w:textAlignment w:val="auto"/>
              <w:rPr>
                <w:rFonts w:ascii="仿宋_GB2312" w:hAnsi="仿宋" w:eastAsia="仿宋_GB2312"/>
                <w:sz w:val="24"/>
                <w:szCs w:val="24"/>
                <w:highlight w:val="none"/>
              </w:rPr>
            </w:pPr>
            <w:r>
              <w:rPr>
                <w:rFonts w:hint="eastAsia" w:ascii="仿宋_GB2312" w:hAnsi="仿宋" w:eastAsia="仿宋_GB2312"/>
                <w:sz w:val="24"/>
                <w:szCs w:val="24"/>
                <w:highlight w:val="none"/>
              </w:rPr>
              <w:t>甜菜夜蛾诱捕器</w:t>
            </w:r>
          </w:p>
        </w:tc>
        <w:tc>
          <w:tcPr>
            <w:tcW w:w="3243" w:type="dxa"/>
            <w:vAlign w:val="center"/>
          </w:tcPr>
          <w:p w14:paraId="64B32C85">
            <w:pPr>
              <w:keepNext w:val="0"/>
              <w:keepLines w:val="0"/>
              <w:pageBreakBefore w:val="0"/>
              <w:widowControl w:val="0"/>
              <w:kinsoku/>
              <w:wordWrap/>
              <w:overflowPunct/>
              <w:topLinePunct w:val="0"/>
              <w:bidi w:val="0"/>
              <w:snapToGrid/>
              <w:spacing w:line="240" w:lineRule="exact"/>
              <w:jc w:val="left"/>
              <w:textAlignment w:val="auto"/>
              <w:rPr>
                <w:rFonts w:ascii="仿宋_GB2312" w:hAnsi="仿宋" w:eastAsia="仿宋_GB2312"/>
                <w:sz w:val="18"/>
                <w:szCs w:val="18"/>
                <w:highlight w:val="none"/>
              </w:rPr>
            </w:pPr>
            <w:r>
              <w:rPr>
                <w:rFonts w:hint="eastAsia" w:ascii="仿宋_GB2312" w:hAnsi="仿宋" w:eastAsia="仿宋_GB2312"/>
                <w:sz w:val="18"/>
                <w:szCs w:val="18"/>
                <w:highlight w:val="none"/>
              </w:rPr>
              <w:t>一套含1个诱捕器（含支架）+2个诱芯；立杆高度≥1.5米，直径≥10毫米，诱芯持效期≥30天。</w:t>
            </w:r>
          </w:p>
        </w:tc>
        <w:tc>
          <w:tcPr>
            <w:tcW w:w="1059" w:type="dxa"/>
            <w:shd w:val="clear" w:color="auto" w:fill="auto"/>
            <w:vAlign w:val="center"/>
          </w:tcPr>
          <w:p w14:paraId="05DE5BCF">
            <w:pPr>
              <w:keepNext w:val="0"/>
              <w:keepLines w:val="0"/>
              <w:pageBreakBefore w:val="0"/>
              <w:widowControl w:val="0"/>
              <w:kinsoku/>
              <w:wordWrap/>
              <w:overflowPunct/>
              <w:topLinePunct w:val="0"/>
              <w:bidi w:val="0"/>
              <w:snapToGrid/>
              <w:spacing w:line="240" w:lineRule="exact"/>
              <w:jc w:val="center"/>
              <w:textAlignment w:val="auto"/>
              <w:rPr>
                <w:rFonts w:hint="eastAsia" w:ascii="Calibri" w:hAnsi="Calibri" w:eastAsia="宋体" w:cs="Times New Roman"/>
                <w:kern w:val="2"/>
                <w:sz w:val="18"/>
                <w:szCs w:val="18"/>
                <w:highlight w:val="none"/>
                <w:lang w:val="en-US" w:eastAsia="zh-CN" w:bidi="ar-SA"/>
              </w:rPr>
            </w:pPr>
            <w:r>
              <w:rPr>
                <w:rFonts w:hint="eastAsia"/>
                <w:sz w:val="18"/>
                <w:szCs w:val="18"/>
                <w:highlight w:val="none"/>
                <w:lang w:val="en-US" w:eastAsia="zh-CN"/>
              </w:rPr>
              <w:t>29</w:t>
            </w:r>
            <w:r>
              <w:rPr>
                <w:sz w:val="18"/>
                <w:szCs w:val="18"/>
                <w:highlight w:val="none"/>
              </w:rPr>
              <w:t>元</w:t>
            </w:r>
            <w:r>
              <w:rPr>
                <w:rFonts w:hint="eastAsia"/>
                <w:sz w:val="18"/>
                <w:szCs w:val="18"/>
                <w:highlight w:val="none"/>
              </w:rPr>
              <w:t>/套</w:t>
            </w:r>
          </w:p>
        </w:tc>
        <w:tc>
          <w:tcPr>
            <w:tcW w:w="1881" w:type="dxa"/>
            <w:vAlign w:val="center"/>
          </w:tcPr>
          <w:p w14:paraId="48BFC91A">
            <w:pPr>
              <w:keepNext w:val="0"/>
              <w:keepLines w:val="0"/>
              <w:pageBreakBefore w:val="0"/>
              <w:widowControl w:val="0"/>
              <w:kinsoku/>
              <w:wordWrap/>
              <w:overflowPunct/>
              <w:topLinePunct w:val="0"/>
              <w:bidi w:val="0"/>
              <w:adjustRightInd/>
              <w:snapToGrid/>
              <w:spacing w:line="240" w:lineRule="exact"/>
              <w:jc w:val="center"/>
              <w:textAlignment w:val="auto"/>
              <w:rPr>
                <w:rFonts w:hint="eastAsia" w:ascii="仿宋_GB2312" w:hAnsi="仿宋" w:eastAsia="仿宋_GB2312" w:cs="宋体"/>
                <w:sz w:val="24"/>
                <w:szCs w:val="24"/>
                <w:highlight w:val="none"/>
                <w:lang w:val="en-US" w:eastAsia="zh-CN"/>
              </w:rPr>
            </w:pPr>
            <w:r>
              <w:rPr>
                <w:rFonts w:hint="eastAsia" w:ascii="仿宋_GB2312" w:hAnsi="仿宋" w:eastAsia="仿宋_GB2312" w:cs="宋体"/>
                <w:sz w:val="24"/>
                <w:szCs w:val="24"/>
                <w:highlight w:val="none"/>
                <w:lang w:val="en-US" w:eastAsia="zh-CN"/>
              </w:rPr>
              <w:t>4</w:t>
            </w:r>
          </w:p>
        </w:tc>
        <w:tc>
          <w:tcPr>
            <w:tcW w:w="1155" w:type="dxa"/>
            <w:vAlign w:val="center"/>
          </w:tcPr>
          <w:p w14:paraId="4CC25CBC">
            <w:pPr>
              <w:keepNext w:val="0"/>
              <w:keepLines w:val="0"/>
              <w:pageBreakBefore w:val="0"/>
              <w:widowControl w:val="0"/>
              <w:kinsoku/>
              <w:wordWrap/>
              <w:overflowPunct/>
              <w:topLinePunct w:val="0"/>
              <w:autoSpaceDE w:val="0"/>
              <w:autoSpaceDN w:val="0"/>
              <w:bidi w:val="0"/>
              <w:adjustRightInd w:val="0"/>
              <w:snapToGrid/>
              <w:spacing w:line="240" w:lineRule="exact"/>
              <w:jc w:val="center"/>
              <w:textAlignment w:val="auto"/>
              <w:rPr>
                <w:rFonts w:hint="eastAsia" w:ascii="宋体" w:hAnsi="宋体" w:eastAsia="宋体"/>
                <w:sz w:val="24"/>
                <w:szCs w:val="24"/>
                <w:highlight w:val="none"/>
              </w:rPr>
            </w:pPr>
          </w:p>
        </w:tc>
      </w:tr>
    </w:tbl>
    <w:p w14:paraId="685CD0C2">
      <w:pPr>
        <w:pStyle w:val="7"/>
        <w:spacing w:after="0"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说明：</w:t>
      </w:r>
    </w:p>
    <w:p w14:paraId="5B88D40D">
      <w:pPr>
        <w:pStyle w:val="7"/>
        <w:spacing w:after="0" w:line="500" w:lineRule="exact"/>
        <w:ind w:firstLine="560" w:firstLineChars="200"/>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1.核心产品为吡唑醚菌酯。</w:t>
      </w:r>
    </w:p>
    <w:p w14:paraId="1AC73930">
      <w:pPr>
        <w:pStyle w:val="7"/>
        <w:spacing w:after="0" w:line="500" w:lineRule="exact"/>
        <w:ind w:firstLine="560" w:firstLineChars="200"/>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2.</w:t>
      </w:r>
      <w:r>
        <w:rPr>
          <w:rFonts w:hint="eastAsia" w:ascii="Times New Roman" w:hAnsi="Times New Roman" w:eastAsia="方正仿宋_GBK" w:cs="Times New Roman"/>
          <w:sz w:val="28"/>
          <w:szCs w:val="28"/>
          <w:highlight w:val="none"/>
        </w:rPr>
        <w:t>本项目为固定总额采购，各投标人仅需进行单价报价，报价超过单价限价的为无效报价。合同供货数量：一标</w:t>
      </w:r>
      <w:r>
        <w:rPr>
          <w:rFonts w:hint="eastAsia" w:ascii="Times New Roman" w:hAnsi="Times New Roman" w:eastAsia="方正仿宋_GBK" w:cs="Times New Roman"/>
          <w:sz w:val="28"/>
          <w:szCs w:val="28"/>
          <w:highlight w:val="none"/>
          <w:lang w:val="en-US" w:eastAsia="zh-CN"/>
        </w:rPr>
        <w:t>包</w:t>
      </w:r>
      <w:r>
        <w:rPr>
          <w:rFonts w:hint="eastAsia" w:ascii="Times New Roman" w:hAnsi="Times New Roman" w:eastAsia="方正仿宋_GBK" w:cs="Times New Roman"/>
          <w:sz w:val="28"/>
          <w:szCs w:val="28"/>
          <w:highlight w:val="none"/>
        </w:rPr>
        <w:t>为采购总额除报价单价后按“进一法”取整。</w:t>
      </w:r>
    </w:p>
    <w:p w14:paraId="3CBE5F32">
      <w:pPr>
        <w:pStyle w:val="7"/>
        <w:spacing w:after="0" w:line="500" w:lineRule="exact"/>
        <w:ind w:firstLine="560" w:firstLineChars="200"/>
        <w:rPr>
          <w:rFonts w:eastAsia="方正仿宋_GBK"/>
          <w:sz w:val="28"/>
          <w:szCs w:val="28"/>
          <w:highlight w:val="none"/>
        </w:rPr>
      </w:pPr>
      <w:r>
        <w:rPr>
          <w:rFonts w:hint="eastAsia" w:eastAsia="方正仿宋_GBK"/>
          <w:b/>
          <w:bCs/>
          <w:sz w:val="28"/>
          <w:szCs w:val="28"/>
          <w:highlight w:val="none"/>
        </w:rPr>
        <w:t>二、交货地址、交货期：</w:t>
      </w:r>
      <w:r>
        <w:rPr>
          <w:rFonts w:hint="eastAsia" w:eastAsia="方正仿宋_GBK"/>
          <w:sz w:val="28"/>
          <w:szCs w:val="28"/>
          <w:highlight w:val="none"/>
        </w:rPr>
        <w:t>供应商须在签订合同后</w:t>
      </w:r>
      <w:r>
        <w:rPr>
          <w:rFonts w:hint="eastAsia" w:eastAsia="方正仿宋_GBK"/>
          <w:sz w:val="28"/>
          <w:szCs w:val="28"/>
          <w:highlight w:val="none"/>
          <w:lang w:val="en-US" w:eastAsia="zh-CN"/>
        </w:rPr>
        <w:t>二</w:t>
      </w:r>
      <w:r>
        <w:rPr>
          <w:rFonts w:hint="eastAsia" w:eastAsia="方正仿宋_GBK"/>
          <w:sz w:val="28"/>
          <w:szCs w:val="28"/>
          <w:highlight w:val="none"/>
        </w:rPr>
        <w:t>个月内完成供货，并送至采购人指定的交货地点，否则按违约处理。如因成交供应商原因延期供货的，每推迟一天罚款1000元。</w:t>
      </w:r>
    </w:p>
    <w:p w14:paraId="51AD2610">
      <w:pPr>
        <w:pStyle w:val="7"/>
        <w:spacing w:after="0" w:line="500" w:lineRule="exact"/>
        <w:ind w:firstLine="560" w:firstLineChars="200"/>
        <w:rPr>
          <w:rFonts w:eastAsia="方正仿宋_GBK"/>
          <w:sz w:val="28"/>
          <w:szCs w:val="28"/>
          <w:highlight w:val="none"/>
        </w:rPr>
      </w:pPr>
      <w:r>
        <w:rPr>
          <w:rFonts w:hint="eastAsia" w:eastAsia="方正仿宋_GBK"/>
          <w:b/>
          <w:bCs/>
          <w:sz w:val="28"/>
          <w:szCs w:val="28"/>
          <w:highlight w:val="none"/>
        </w:rPr>
        <w:t>三、质量要求：</w:t>
      </w:r>
      <w:r>
        <w:rPr>
          <w:rFonts w:hint="eastAsia" w:eastAsia="方正仿宋_GBK"/>
          <w:sz w:val="28"/>
          <w:szCs w:val="28"/>
          <w:highlight w:val="none"/>
        </w:rPr>
        <w:t>供应商须提供符合采购需求、符合国家质量检测标准、行业标准的合格产品，有效期不得少于12个月。</w:t>
      </w:r>
    </w:p>
    <w:bookmarkEnd w:id="52"/>
    <w:p w14:paraId="2E4C79CB">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四、约定事项</w:t>
      </w:r>
    </w:p>
    <w:p w14:paraId="1FF40764">
      <w:pPr>
        <w:adjustRightInd w:val="0"/>
        <w:snapToGrid w:val="0"/>
        <w:spacing w:line="500" w:lineRule="exact"/>
        <w:ind w:firstLine="560" w:firstLineChars="200"/>
        <w:rPr>
          <w:rFonts w:hint="eastAsia"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rPr>
        <w:t>在采购单位收到供应商提供的产品后，按相关规定应组织抽样检验的，在抽检过程中供应商要到场配合，并在相关文书签字确认；如供应商因特殊原因无法到场，可书面委托专人到场负责全权处置抽检配合工作。采购单位认为有必要的情况下，可采取公证抽样取证办法。</w:t>
      </w:r>
    </w:p>
    <w:p w14:paraId="73FC8A4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rPr>
        <w:t>五、付款方式：</w:t>
      </w:r>
      <w:r>
        <w:rPr>
          <w:rFonts w:hint="eastAsia" w:ascii="Times New Roman" w:hAnsi="Times New Roman" w:eastAsia="方正仿宋_GBK"/>
          <w:sz w:val="28"/>
          <w:szCs w:val="28"/>
          <w:highlight w:val="none"/>
        </w:rPr>
        <w:t>所有货物到场并经采购人验收合格，且开具发票后三个月内一次性付清（具体支付以启东市财政局打款时间为准）。</w:t>
      </w:r>
    </w:p>
    <w:p w14:paraId="0F43E6C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rPr>
        <w:t>六、合同条款</w:t>
      </w:r>
    </w:p>
    <w:p w14:paraId="769CB960">
      <w:pPr>
        <w:adjustRightInd w:val="0"/>
        <w:snapToGrid w:val="0"/>
        <w:spacing w:line="500" w:lineRule="exact"/>
        <w:ind w:firstLine="560" w:firstLineChars="200"/>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甲方（需方）：</w:t>
      </w:r>
      <w:r>
        <w:rPr>
          <w:rFonts w:hint="eastAsia" w:ascii="Times New Roman" w:hAnsi="Times New Roman" w:eastAsia="方正仿宋_GBK"/>
          <w:sz w:val="28"/>
          <w:szCs w:val="28"/>
          <w:highlight w:val="none"/>
          <w:u w:val="single"/>
        </w:rPr>
        <w:t xml:space="preserve">             </w:t>
      </w:r>
    </w:p>
    <w:p w14:paraId="2254E9B7">
      <w:pPr>
        <w:adjustRightInd w:val="0"/>
        <w:snapToGrid w:val="0"/>
        <w:spacing w:line="500" w:lineRule="exact"/>
        <w:ind w:firstLine="560" w:firstLineChars="200"/>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地址：</w:t>
      </w:r>
      <w:r>
        <w:rPr>
          <w:rFonts w:hint="eastAsia" w:ascii="Times New Roman" w:hAnsi="Times New Roman" w:eastAsia="方正仿宋_GBK"/>
          <w:sz w:val="28"/>
          <w:szCs w:val="28"/>
          <w:highlight w:val="none"/>
          <w:u w:val="single"/>
        </w:rPr>
        <w:t xml:space="preserve">                 </w:t>
      </w:r>
    </w:p>
    <w:p w14:paraId="761315BF">
      <w:pPr>
        <w:adjustRightInd w:val="0"/>
        <w:snapToGrid w:val="0"/>
        <w:spacing w:line="500" w:lineRule="exact"/>
        <w:ind w:firstLine="560" w:firstLineChars="200"/>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乙方（供方）：</w:t>
      </w:r>
      <w:r>
        <w:rPr>
          <w:rFonts w:hint="eastAsia" w:ascii="Times New Roman" w:hAnsi="Times New Roman" w:eastAsia="方正仿宋_GBK"/>
          <w:sz w:val="28"/>
          <w:szCs w:val="28"/>
          <w:highlight w:val="none"/>
          <w:u w:val="single"/>
        </w:rPr>
        <w:t xml:space="preserve">                 </w:t>
      </w:r>
    </w:p>
    <w:p w14:paraId="61A92E6A">
      <w:pPr>
        <w:adjustRightInd w:val="0"/>
        <w:snapToGrid w:val="0"/>
        <w:spacing w:line="500" w:lineRule="exact"/>
        <w:ind w:firstLine="560" w:firstLineChars="200"/>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地址：</w:t>
      </w:r>
      <w:r>
        <w:rPr>
          <w:rFonts w:hint="eastAsia" w:ascii="Times New Roman" w:hAnsi="Times New Roman" w:eastAsia="方正仿宋_GBK"/>
          <w:sz w:val="28"/>
          <w:szCs w:val="28"/>
          <w:highlight w:val="none"/>
          <w:u w:val="single"/>
        </w:rPr>
        <w:t xml:space="preserve">                 </w:t>
      </w:r>
    </w:p>
    <w:p w14:paraId="44F0C942">
      <w:pPr>
        <w:adjustRightInd w:val="0"/>
        <w:snapToGrid w:val="0"/>
        <w:spacing w:line="500" w:lineRule="exact"/>
        <w:ind w:firstLine="560" w:firstLineChars="200"/>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签订地点：</w:t>
      </w:r>
      <w:r>
        <w:rPr>
          <w:rFonts w:hint="eastAsia" w:ascii="Times New Roman" w:hAnsi="Times New Roman" w:eastAsia="方正仿宋_GBK"/>
          <w:sz w:val="28"/>
          <w:szCs w:val="28"/>
          <w:highlight w:val="none"/>
          <w:u w:val="single"/>
        </w:rPr>
        <w:t xml:space="preserve">           </w:t>
      </w:r>
    </w:p>
    <w:p w14:paraId="7091AFF9">
      <w:pPr>
        <w:adjustRightInd w:val="0"/>
        <w:snapToGrid w:val="0"/>
        <w:spacing w:line="500" w:lineRule="exact"/>
        <w:ind w:firstLine="560" w:firstLineChars="200"/>
        <w:rPr>
          <w:rFonts w:ascii="Times New Roman" w:hAnsi="Times New Roman" w:eastAsia="方正仿宋_GBK"/>
          <w:sz w:val="28"/>
          <w:szCs w:val="28"/>
          <w:highlight w:val="none"/>
          <w:u w:val="single"/>
        </w:rPr>
      </w:pPr>
      <w:r>
        <w:rPr>
          <w:rFonts w:hint="eastAsia"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u w:val="single"/>
        </w:rPr>
        <w:t xml:space="preserve">           </w:t>
      </w:r>
    </w:p>
    <w:p w14:paraId="28DB5322">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hint="eastAsia" w:ascii="Times New Roman" w:hAnsi="Times New Roman" w:eastAsia="方正仿宋_GBK"/>
          <w:sz w:val="28"/>
          <w:szCs w:val="28"/>
          <w:highlight w:val="none"/>
        </w:rPr>
        <w:t>项目名称：</w:t>
      </w:r>
      <w:r>
        <w:rPr>
          <w:rFonts w:hint="eastAsia" w:ascii="Times New Roman" w:hAnsi="Times New Roman" w:eastAsia="方正仿宋_GBK"/>
          <w:sz w:val="28"/>
          <w:szCs w:val="28"/>
          <w:highlight w:val="none"/>
          <w:lang w:eastAsia="zh-CN"/>
        </w:rPr>
        <w:t>启东市2026年度绿色高产高效县行动建设物化产品采购项目（一标包）</w:t>
      </w:r>
    </w:p>
    <w:p w14:paraId="75973C59">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根据《中华人民共和国政府采购法》、《中华人民共和国民法典》等法律法规的规定，甲乙双方按照采购结果签订本合同。</w:t>
      </w:r>
    </w:p>
    <w:p w14:paraId="47F02326">
      <w:pPr>
        <w:pStyle w:val="7"/>
        <w:rPr>
          <w:highlight w:val="none"/>
        </w:rPr>
      </w:pPr>
    </w:p>
    <w:p w14:paraId="4FD8AB64">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firstLine="560" w:firstLineChars="200"/>
        <w:textAlignment w:val="auto"/>
        <w:rPr>
          <w:rFonts w:ascii="Times New Roman" w:hAnsi="Times New Roman" w:eastAsia="方正仿宋_GBK"/>
          <w:sz w:val="28"/>
          <w:szCs w:val="28"/>
          <w:highlight w:val="none"/>
        </w:rPr>
      </w:pPr>
      <w:r>
        <w:rPr>
          <w:rFonts w:hint="eastAsia" w:ascii="Times New Roman" w:hAnsi="Times New Roman" w:eastAsia="方正仿宋_GBK" w:cs="Times New Roman"/>
          <w:kern w:val="2"/>
          <w:sz w:val="28"/>
          <w:szCs w:val="28"/>
          <w:highlight w:val="none"/>
          <w:lang w:val="en-US" w:eastAsia="zh-CN" w:bidi="ar-SA"/>
        </w:rPr>
        <w:t>一、</w:t>
      </w:r>
      <w:r>
        <w:rPr>
          <w:rFonts w:hint="eastAsia" w:ascii="Times New Roman" w:hAnsi="Times New Roman" w:eastAsia="方正仿宋_GBK"/>
          <w:sz w:val="28"/>
          <w:szCs w:val="28"/>
          <w:highlight w:val="none"/>
        </w:rPr>
        <w:t>供货内容</w:t>
      </w:r>
    </w:p>
    <w:tbl>
      <w:tblPr>
        <w:tblStyle w:val="14"/>
        <w:tblpPr w:leftFromText="180" w:rightFromText="180" w:vertAnchor="text" w:horzAnchor="page" w:tblpX="1116" w:tblpY="496"/>
        <w:tblOverlap w:val="never"/>
        <w:tblW w:w="104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1"/>
        <w:gridCol w:w="1603"/>
        <w:gridCol w:w="2434"/>
        <w:gridCol w:w="924"/>
        <w:gridCol w:w="993"/>
        <w:gridCol w:w="1250"/>
        <w:gridCol w:w="1260"/>
        <w:gridCol w:w="1065"/>
      </w:tblGrid>
      <w:tr w14:paraId="34F45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atLeast"/>
        </w:trPr>
        <w:tc>
          <w:tcPr>
            <w:tcW w:w="961" w:type="dxa"/>
            <w:tcBorders>
              <w:top w:val="single" w:color="auto" w:sz="4" w:space="0"/>
              <w:left w:val="single" w:color="auto" w:sz="4" w:space="0"/>
              <w:bottom w:val="single" w:color="auto" w:sz="4" w:space="0"/>
              <w:right w:val="single" w:color="auto" w:sz="4" w:space="0"/>
            </w:tcBorders>
            <w:vAlign w:val="center"/>
          </w:tcPr>
          <w:p w14:paraId="7D5F5201">
            <w:pPr>
              <w:snapToGrid w:val="0"/>
              <w:spacing w:line="440" w:lineRule="exact"/>
              <w:jc w:val="center"/>
              <w:rPr>
                <w:rFonts w:ascii="仿宋" w:hAnsi="仿宋" w:eastAsia="仿宋" w:cs="仿宋"/>
                <w:bCs/>
                <w:sz w:val="24"/>
                <w:highlight w:val="none"/>
              </w:rPr>
            </w:pPr>
            <w:r>
              <w:rPr>
                <w:rFonts w:hint="eastAsia" w:ascii="仿宋" w:hAnsi="仿宋" w:eastAsia="仿宋" w:cs="仿宋"/>
                <w:bCs/>
                <w:sz w:val="24"/>
                <w:highlight w:val="none"/>
              </w:rPr>
              <w:t>标包</w:t>
            </w:r>
          </w:p>
        </w:tc>
        <w:tc>
          <w:tcPr>
            <w:tcW w:w="1603" w:type="dxa"/>
            <w:tcBorders>
              <w:top w:val="single" w:color="auto" w:sz="4" w:space="0"/>
              <w:left w:val="single" w:color="auto" w:sz="4" w:space="0"/>
              <w:bottom w:val="single" w:color="auto" w:sz="4" w:space="0"/>
              <w:right w:val="single" w:color="auto" w:sz="4" w:space="0"/>
            </w:tcBorders>
            <w:vAlign w:val="center"/>
          </w:tcPr>
          <w:p w14:paraId="2F7A07A3">
            <w:pPr>
              <w:snapToGrid w:val="0"/>
              <w:spacing w:line="440" w:lineRule="exact"/>
              <w:jc w:val="center"/>
              <w:rPr>
                <w:rFonts w:ascii="仿宋" w:hAnsi="仿宋" w:eastAsia="仿宋" w:cs="仿宋"/>
                <w:bCs/>
                <w:sz w:val="24"/>
                <w:highlight w:val="none"/>
              </w:rPr>
            </w:pPr>
            <w:r>
              <w:rPr>
                <w:rFonts w:hint="eastAsia" w:ascii="仿宋" w:hAnsi="仿宋" w:eastAsia="仿宋" w:cs="仿宋"/>
                <w:bCs/>
                <w:sz w:val="24"/>
                <w:highlight w:val="none"/>
              </w:rPr>
              <w:t>采购货物</w:t>
            </w:r>
          </w:p>
        </w:tc>
        <w:tc>
          <w:tcPr>
            <w:tcW w:w="2434" w:type="dxa"/>
            <w:tcBorders>
              <w:top w:val="single" w:color="auto" w:sz="4" w:space="0"/>
              <w:left w:val="single" w:color="auto" w:sz="4" w:space="0"/>
              <w:bottom w:val="single" w:color="auto" w:sz="4" w:space="0"/>
              <w:right w:val="single" w:color="auto" w:sz="4" w:space="0"/>
            </w:tcBorders>
            <w:vAlign w:val="center"/>
          </w:tcPr>
          <w:p w14:paraId="3D0AA872">
            <w:pPr>
              <w:pStyle w:val="13"/>
              <w:spacing w:after="0" w:line="360" w:lineRule="exact"/>
              <w:ind w:left="0" w:leftChars="0" w:firstLine="0" w:firstLineChars="0"/>
              <w:jc w:val="center"/>
              <w:rPr>
                <w:rFonts w:ascii="仿宋" w:hAnsi="仿宋" w:eastAsia="仿宋" w:cs="仿宋"/>
                <w:bCs/>
                <w:sz w:val="24"/>
                <w:szCs w:val="24"/>
                <w:highlight w:val="none"/>
              </w:rPr>
            </w:pPr>
            <w:r>
              <w:rPr>
                <w:rFonts w:hint="eastAsia" w:ascii="仿宋" w:hAnsi="仿宋" w:eastAsia="仿宋" w:cs="仿宋"/>
                <w:bCs/>
                <w:sz w:val="24"/>
                <w:szCs w:val="24"/>
                <w:highlight w:val="none"/>
              </w:rPr>
              <w:t>规格参数</w:t>
            </w:r>
          </w:p>
        </w:tc>
        <w:tc>
          <w:tcPr>
            <w:tcW w:w="924" w:type="dxa"/>
            <w:tcBorders>
              <w:top w:val="single" w:color="auto" w:sz="4" w:space="0"/>
              <w:left w:val="single" w:color="auto" w:sz="4" w:space="0"/>
              <w:bottom w:val="single" w:color="auto" w:sz="4" w:space="0"/>
              <w:right w:val="single" w:color="auto" w:sz="4" w:space="0"/>
            </w:tcBorders>
            <w:vAlign w:val="center"/>
          </w:tcPr>
          <w:p w14:paraId="42170E54">
            <w:pPr>
              <w:widowControl/>
              <w:jc w:val="center"/>
              <w:textAlignment w:val="center"/>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采购总额</w:t>
            </w:r>
          </w:p>
          <w:p w14:paraId="00D9CD37">
            <w:pPr>
              <w:widowControl/>
              <w:jc w:val="center"/>
              <w:textAlignment w:val="center"/>
              <w:rPr>
                <w:rFonts w:ascii="仿宋" w:hAnsi="仿宋" w:eastAsia="仿宋" w:cs="仿宋"/>
                <w:bCs/>
                <w:sz w:val="24"/>
                <w:highlight w:val="none"/>
              </w:rPr>
            </w:pPr>
            <w:r>
              <w:rPr>
                <w:rFonts w:hint="eastAsia" w:ascii="仿宋" w:hAnsi="仿宋" w:eastAsia="仿宋" w:cs="仿宋"/>
                <w:color w:val="000000"/>
                <w:kern w:val="0"/>
                <w:sz w:val="24"/>
                <w:highlight w:val="none"/>
              </w:rPr>
              <w:t>（万元）</w:t>
            </w:r>
          </w:p>
        </w:tc>
        <w:tc>
          <w:tcPr>
            <w:tcW w:w="993" w:type="dxa"/>
            <w:tcBorders>
              <w:top w:val="single" w:color="auto" w:sz="4" w:space="0"/>
              <w:left w:val="single" w:color="auto" w:sz="4" w:space="0"/>
              <w:bottom w:val="single" w:color="auto" w:sz="4" w:space="0"/>
              <w:right w:val="single" w:color="auto" w:sz="4" w:space="0"/>
            </w:tcBorders>
            <w:vAlign w:val="center"/>
          </w:tcPr>
          <w:p w14:paraId="30C46BCF">
            <w:pPr>
              <w:widowControl/>
              <w:jc w:val="center"/>
              <w:textAlignment w:val="center"/>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权重系数</w:t>
            </w:r>
          </w:p>
        </w:tc>
        <w:tc>
          <w:tcPr>
            <w:tcW w:w="1250" w:type="dxa"/>
            <w:tcBorders>
              <w:top w:val="single" w:color="auto" w:sz="4" w:space="0"/>
              <w:left w:val="single" w:color="auto" w:sz="4" w:space="0"/>
              <w:bottom w:val="single" w:color="auto" w:sz="4" w:space="0"/>
              <w:right w:val="single" w:color="auto" w:sz="4" w:space="0"/>
            </w:tcBorders>
            <w:vAlign w:val="center"/>
          </w:tcPr>
          <w:p w14:paraId="18A37279">
            <w:pPr>
              <w:pStyle w:val="13"/>
              <w:spacing w:after="0" w:line="360" w:lineRule="exact"/>
              <w:ind w:left="0" w:leftChars="0" w:firstLine="0" w:firstLineChars="0"/>
              <w:jc w:val="center"/>
              <w:rPr>
                <w:rFonts w:ascii="仿宋" w:hAnsi="仿宋" w:eastAsia="仿宋" w:cs="仿宋"/>
                <w:bCs/>
                <w:sz w:val="24"/>
                <w:szCs w:val="24"/>
                <w:highlight w:val="none"/>
              </w:rPr>
            </w:pPr>
            <w:r>
              <w:rPr>
                <w:rFonts w:hint="eastAsia" w:ascii="仿宋" w:hAnsi="仿宋" w:eastAsia="仿宋" w:cs="仿宋"/>
                <w:color w:val="000000"/>
                <w:kern w:val="0"/>
                <w:sz w:val="24"/>
                <w:szCs w:val="24"/>
                <w:highlight w:val="none"/>
              </w:rPr>
              <w:t>生产厂家</w:t>
            </w:r>
          </w:p>
        </w:tc>
        <w:tc>
          <w:tcPr>
            <w:tcW w:w="1260" w:type="dxa"/>
            <w:tcBorders>
              <w:top w:val="single" w:color="auto" w:sz="4" w:space="0"/>
              <w:left w:val="single" w:color="auto" w:sz="4" w:space="0"/>
              <w:bottom w:val="single" w:color="auto" w:sz="4" w:space="0"/>
              <w:right w:val="single" w:color="auto" w:sz="4" w:space="0"/>
            </w:tcBorders>
            <w:vAlign w:val="center"/>
          </w:tcPr>
          <w:p w14:paraId="33E154D9">
            <w:pPr>
              <w:pStyle w:val="13"/>
              <w:spacing w:after="0" w:line="360" w:lineRule="exact"/>
              <w:ind w:left="0" w:leftChars="0" w:firstLine="0" w:firstLineChars="0"/>
              <w:jc w:val="center"/>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单价报价</w:t>
            </w:r>
          </w:p>
        </w:tc>
        <w:tc>
          <w:tcPr>
            <w:tcW w:w="1065" w:type="dxa"/>
            <w:tcBorders>
              <w:top w:val="single" w:color="auto" w:sz="4" w:space="0"/>
              <w:left w:val="single" w:color="auto" w:sz="4" w:space="0"/>
              <w:bottom w:val="single" w:color="auto" w:sz="4" w:space="0"/>
              <w:right w:val="single" w:color="auto" w:sz="4" w:space="0"/>
            </w:tcBorders>
            <w:vAlign w:val="center"/>
          </w:tcPr>
          <w:p w14:paraId="00C1DCE8">
            <w:pPr>
              <w:pStyle w:val="13"/>
              <w:spacing w:after="0" w:line="360" w:lineRule="exact"/>
              <w:ind w:left="0" w:leftChars="0" w:firstLine="0" w:firstLineChars="0"/>
              <w:jc w:val="center"/>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供货数量</w:t>
            </w:r>
          </w:p>
        </w:tc>
      </w:tr>
      <w:tr w14:paraId="540D3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3" w:hRule="atLeast"/>
        </w:trPr>
        <w:tc>
          <w:tcPr>
            <w:tcW w:w="961" w:type="dxa"/>
            <w:vMerge w:val="restart"/>
            <w:tcBorders>
              <w:top w:val="nil"/>
              <w:left w:val="single" w:color="auto" w:sz="4" w:space="0"/>
              <w:right w:val="single" w:color="auto" w:sz="4" w:space="0"/>
            </w:tcBorders>
            <w:vAlign w:val="center"/>
          </w:tcPr>
          <w:p w14:paraId="5653C571">
            <w:pPr>
              <w:snapToGrid w:val="0"/>
              <w:spacing w:line="240" w:lineRule="atLeast"/>
              <w:jc w:val="center"/>
              <w:rPr>
                <w:rFonts w:ascii="仿宋" w:hAnsi="仿宋" w:eastAsia="仿宋" w:cs="仿宋"/>
                <w:bCs/>
                <w:sz w:val="24"/>
                <w:highlight w:val="none"/>
              </w:rPr>
            </w:pPr>
            <w:r>
              <w:rPr>
                <w:rFonts w:hint="eastAsia" w:ascii="仿宋" w:hAnsi="仿宋" w:eastAsia="仿宋" w:cs="仿宋"/>
                <w:bCs/>
                <w:sz w:val="24"/>
                <w:highlight w:val="none"/>
              </w:rPr>
              <w:t>一标包</w:t>
            </w:r>
          </w:p>
        </w:tc>
        <w:tc>
          <w:tcPr>
            <w:tcW w:w="1603" w:type="dxa"/>
            <w:tcBorders>
              <w:top w:val="single" w:color="auto" w:sz="4" w:space="0"/>
              <w:left w:val="single" w:color="auto" w:sz="4" w:space="0"/>
              <w:bottom w:val="single" w:color="auto" w:sz="4" w:space="0"/>
              <w:right w:val="single" w:color="auto" w:sz="4" w:space="0"/>
            </w:tcBorders>
            <w:shd w:val="clear" w:color="auto" w:fill="auto"/>
            <w:vAlign w:val="center"/>
          </w:tcPr>
          <w:p w14:paraId="138B90B6">
            <w:pPr>
              <w:spacing w:line="400" w:lineRule="exact"/>
              <w:jc w:val="center"/>
              <w:rPr>
                <w:rFonts w:ascii="仿宋_GB2312" w:hAnsi="仿宋" w:eastAsia="仿宋_GB2312" w:cs="Times New Roman"/>
                <w:kern w:val="2"/>
                <w:sz w:val="24"/>
                <w:szCs w:val="24"/>
                <w:highlight w:val="none"/>
                <w:lang w:val="en-US" w:eastAsia="zh-CN" w:bidi="ar-SA"/>
              </w:rPr>
            </w:pPr>
            <w:r>
              <w:rPr>
                <w:rFonts w:hint="eastAsia" w:ascii="仿宋_GB2312" w:hAnsi="仿宋" w:eastAsia="仿宋_GB2312"/>
                <w:sz w:val="24"/>
                <w:szCs w:val="24"/>
                <w:highlight w:val="none"/>
              </w:rPr>
              <w:t>三十烷醇</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1A5D1EEC">
            <w:pPr>
              <w:spacing w:line="400" w:lineRule="exact"/>
              <w:rPr>
                <w:rFonts w:hint="eastAsia" w:ascii="仿宋_GB2312" w:hAnsi="仿宋" w:eastAsia="仿宋_GB2312" w:cs="Times New Roman"/>
                <w:kern w:val="2"/>
                <w:sz w:val="18"/>
                <w:szCs w:val="18"/>
                <w:highlight w:val="none"/>
                <w:lang w:val="en-US" w:eastAsia="zh-CN" w:bidi="ar-SA"/>
              </w:rPr>
            </w:pPr>
            <w:r>
              <w:rPr>
                <w:rFonts w:hint="eastAsia" w:ascii="仿宋_GB2312" w:hAnsi="仿宋" w:eastAsia="仿宋_GB2312" w:cs="宋体"/>
                <w:sz w:val="18"/>
                <w:szCs w:val="18"/>
                <w:highlight w:val="none"/>
                <w:lang w:val="en-US" w:eastAsia="zh-CN"/>
              </w:rPr>
              <w:t>200毫升/瓶；0.1%，微乳剂、可溶液剂</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477F637F">
            <w:pPr>
              <w:autoSpaceDE w:val="0"/>
              <w:autoSpaceDN w:val="0"/>
              <w:adjustRightInd w:val="0"/>
              <w:spacing w:line="40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2.5</w:t>
            </w:r>
          </w:p>
        </w:tc>
        <w:tc>
          <w:tcPr>
            <w:tcW w:w="993" w:type="dxa"/>
            <w:tcBorders>
              <w:top w:val="single" w:color="auto" w:sz="4" w:space="0"/>
              <w:left w:val="single" w:color="auto" w:sz="4" w:space="0"/>
              <w:bottom w:val="single" w:color="auto" w:sz="4" w:space="0"/>
              <w:right w:val="single" w:color="auto" w:sz="4" w:space="0"/>
            </w:tcBorders>
            <w:vAlign w:val="center"/>
          </w:tcPr>
          <w:p w14:paraId="52126FFF">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0.0230</w:t>
            </w:r>
          </w:p>
        </w:tc>
        <w:tc>
          <w:tcPr>
            <w:tcW w:w="1250" w:type="dxa"/>
            <w:tcBorders>
              <w:top w:val="single" w:color="auto" w:sz="4" w:space="0"/>
              <w:left w:val="single" w:color="auto" w:sz="4" w:space="0"/>
              <w:bottom w:val="single" w:color="auto" w:sz="4" w:space="0"/>
              <w:right w:val="single" w:color="auto" w:sz="4" w:space="0"/>
            </w:tcBorders>
            <w:vAlign w:val="center"/>
          </w:tcPr>
          <w:p w14:paraId="298DADDF">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0EE6FF3E">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7886321C">
            <w:pPr>
              <w:widowControl/>
              <w:spacing w:line="400" w:lineRule="exact"/>
              <w:ind w:firstLine="482"/>
              <w:jc w:val="center"/>
              <w:textAlignment w:val="baseline"/>
              <w:rPr>
                <w:rFonts w:ascii="仿宋" w:hAnsi="仿宋" w:eastAsia="仿宋" w:cs="仿宋"/>
                <w:bCs/>
                <w:sz w:val="24"/>
                <w:highlight w:val="none"/>
              </w:rPr>
            </w:pPr>
          </w:p>
        </w:tc>
      </w:tr>
      <w:tr w14:paraId="75D8C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trPr>
        <w:tc>
          <w:tcPr>
            <w:tcW w:w="961" w:type="dxa"/>
            <w:vMerge w:val="continue"/>
            <w:tcBorders>
              <w:left w:val="single" w:color="auto" w:sz="4" w:space="0"/>
              <w:right w:val="single" w:color="auto" w:sz="4" w:space="0"/>
            </w:tcBorders>
            <w:vAlign w:val="center"/>
          </w:tcPr>
          <w:p w14:paraId="35DA2EE9">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shd w:val="clear" w:color="auto" w:fill="auto"/>
            <w:vAlign w:val="center"/>
          </w:tcPr>
          <w:p w14:paraId="26C06ACC">
            <w:pPr>
              <w:spacing w:line="400" w:lineRule="exact"/>
              <w:jc w:val="center"/>
              <w:rPr>
                <w:rFonts w:ascii="仿宋_GB2312" w:hAnsi="仿宋" w:eastAsia="仿宋_GB2312" w:cs="Times New Roman"/>
                <w:kern w:val="2"/>
                <w:sz w:val="24"/>
                <w:szCs w:val="24"/>
                <w:highlight w:val="none"/>
                <w:lang w:val="en-US" w:eastAsia="zh-CN" w:bidi="ar-SA"/>
              </w:rPr>
            </w:pPr>
            <w:r>
              <w:rPr>
                <w:rFonts w:hint="eastAsia" w:ascii="仿宋_GB2312" w:hAnsi="仿宋" w:eastAsia="仿宋_GB2312"/>
                <w:sz w:val="24"/>
                <w:szCs w:val="24"/>
                <w:highlight w:val="none"/>
              </w:rPr>
              <w:t>芸苔素内酯</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0A7871FC">
            <w:pPr>
              <w:spacing w:line="400" w:lineRule="exact"/>
              <w:rPr>
                <w:rFonts w:ascii="仿宋_GB2312" w:hAnsi="仿宋" w:eastAsia="仿宋_GB2312" w:cs="Times New Roman"/>
                <w:kern w:val="2"/>
                <w:sz w:val="18"/>
                <w:szCs w:val="18"/>
                <w:highlight w:val="none"/>
                <w:lang w:val="en-US" w:eastAsia="zh-CN" w:bidi="ar-SA"/>
              </w:rPr>
            </w:pPr>
            <w:r>
              <w:rPr>
                <w:rFonts w:hint="eastAsia" w:ascii="仿宋_GB2312" w:hAnsi="仿宋" w:eastAsia="仿宋_GB2312" w:cs="宋体"/>
                <w:sz w:val="18"/>
                <w:szCs w:val="18"/>
                <w:highlight w:val="none"/>
                <w:lang w:val="en-US" w:eastAsia="zh-CN"/>
              </w:rPr>
              <w:t>100毫升/瓶；0.01%，可溶液剂</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0CE0541C">
            <w:pPr>
              <w:autoSpaceDE w:val="0"/>
              <w:autoSpaceDN w:val="0"/>
              <w:adjustRightInd w:val="0"/>
              <w:spacing w:line="40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2.5</w:t>
            </w:r>
          </w:p>
        </w:tc>
        <w:tc>
          <w:tcPr>
            <w:tcW w:w="993" w:type="dxa"/>
            <w:tcBorders>
              <w:top w:val="single" w:color="auto" w:sz="4" w:space="0"/>
              <w:left w:val="single" w:color="auto" w:sz="4" w:space="0"/>
              <w:bottom w:val="single" w:color="auto" w:sz="4" w:space="0"/>
              <w:right w:val="single" w:color="auto" w:sz="4" w:space="0"/>
            </w:tcBorders>
            <w:vAlign w:val="center"/>
          </w:tcPr>
          <w:p w14:paraId="2A90CC7C">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0.0230</w:t>
            </w:r>
          </w:p>
        </w:tc>
        <w:tc>
          <w:tcPr>
            <w:tcW w:w="1250" w:type="dxa"/>
            <w:tcBorders>
              <w:top w:val="single" w:color="auto" w:sz="4" w:space="0"/>
              <w:left w:val="single" w:color="auto" w:sz="4" w:space="0"/>
              <w:bottom w:val="single" w:color="auto" w:sz="4" w:space="0"/>
              <w:right w:val="single" w:color="auto" w:sz="4" w:space="0"/>
            </w:tcBorders>
            <w:vAlign w:val="center"/>
          </w:tcPr>
          <w:p w14:paraId="14BA787A">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FCF46D7">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685C0C4B">
            <w:pPr>
              <w:widowControl/>
              <w:spacing w:line="400" w:lineRule="exact"/>
              <w:ind w:firstLine="482"/>
              <w:jc w:val="center"/>
              <w:textAlignment w:val="baseline"/>
              <w:rPr>
                <w:rFonts w:ascii="仿宋" w:hAnsi="仿宋" w:eastAsia="仿宋" w:cs="仿宋"/>
                <w:bCs/>
                <w:sz w:val="24"/>
                <w:highlight w:val="none"/>
              </w:rPr>
            </w:pPr>
          </w:p>
        </w:tc>
      </w:tr>
      <w:tr w14:paraId="4C17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5" w:hRule="atLeast"/>
        </w:trPr>
        <w:tc>
          <w:tcPr>
            <w:tcW w:w="961" w:type="dxa"/>
            <w:vMerge w:val="continue"/>
            <w:tcBorders>
              <w:left w:val="single" w:color="auto" w:sz="4" w:space="0"/>
              <w:right w:val="single" w:color="auto" w:sz="4" w:space="0"/>
            </w:tcBorders>
            <w:vAlign w:val="center"/>
          </w:tcPr>
          <w:p w14:paraId="64114849">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shd w:val="clear" w:color="auto" w:fill="auto"/>
            <w:vAlign w:val="center"/>
          </w:tcPr>
          <w:p w14:paraId="65B7AFC1">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仿宋_GB2312" w:hAnsi="仿宋" w:eastAsia="仿宋_GB2312" w:cs="宋体"/>
                <w:kern w:val="2"/>
                <w:sz w:val="24"/>
                <w:szCs w:val="24"/>
                <w:highlight w:val="none"/>
                <w:lang w:val="en-US" w:eastAsia="zh-CN" w:bidi="ar-SA"/>
              </w:rPr>
            </w:pPr>
            <w:r>
              <w:rPr>
                <w:rFonts w:hint="eastAsia" w:ascii="仿宋_GB2312" w:hAnsi="仿宋" w:eastAsia="仿宋_GB2312" w:cs="宋体"/>
                <w:sz w:val="24"/>
                <w:szCs w:val="24"/>
                <w:highlight w:val="none"/>
                <w:lang w:eastAsia="zh-CN"/>
              </w:rPr>
              <w:t>大</w:t>
            </w:r>
            <w:r>
              <w:rPr>
                <w:rFonts w:hint="eastAsia" w:ascii="仿宋_GB2312" w:hAnsi="仿宋" w:eastAsia="仿宋_GB2312" w:cs="宋体"/>
                <w:sz w:val="24"/>
                <w:szCs w:val="24"/>
                <w:highlight w:val="none"/>
              </w:rPr>
              <w:t>量元素水溶肥料</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0E1E2973">
            <w:pPr>
              <w:spacing w:line="400" w:lineRule="exact"/>
              <w:jc w:val="left"/>
              <w:rPr>
                <w:rFonts w:hint="eastAsia" w:ascii="仿宋_GB2312" w:hAnsi="仿宋" w:eastAsia="仿宋_GB2312" w:cs="宋体"/>
                <w:kern w:val="2"/>
                <w:sz w:val="18"/>
                <w:szCs w:val="18"/>
                <w:highlight w:val="none"/>
                <w:lang w:val="en-US" w:eastAsia="zh-CN" w:bidi="ar-SA"/>
              </w:rPr>
            </w:pPr>
            <w:r>
              <w:rPr>
                <w:rFonts w:hint="eastAsia" w:ascii="仿宋_GB2312" w:hAnsi="仿宋" w:eastAsia="仿宋_GB2312" w:cs="宋体"/>
                <w:sz w:val="18"/>
                <w:szCs w:val="18"/>
                <w:highlight w:val="none"/>
                <w:lang w:val="en-US" w:eastAsia="zh-CN"/>
              </w:rPr>
              <w:t>1000克/瓶；</w:t>
            </w:r>
            <w:r>
              <w:rPr>
                <w:rFonts w:hint="eastAsia" w:ascii="仿宋_GB2312" w:hAnsi="仿宋" w:eastAsia="仿宋_GB2312" w:cs="宋体"/>
                <w:sz w:val="18"/>
                <w:szCs w:val="18"/>
                <w:highlight w:val="none"/>
                <w:lang w:eastAsia="zh-CN"/>
              </w:rPr>
              <w:t>均衡型，</w:t>
            </w:r>
            <w:r>
              <w:rPr>
                <w:rFonts w:hint="eastAsia" w:ascii="仿宋_GB2312" w:hAnsi="仿宋" w:eastAsia="仿宋_GB2312" w:cs="宋体"/>
                <w:sz w:val="18"/>
                <w:szCs w:val="18"/>
                <w:highlight w:val="none"/>
              </w:rPr>
              <w:t>N+P</w:t>
            </w:r>
            <w:r>
              <w:rPr>
                <w:rFonts w:hint="eastAsia" w:ascii="仿宋_GB2312" w:hAnsi="仿宋" w:eastAsia="仿宋_GB2312" w:cs="宋体"/>
                <w:sz w:val="18"/>
                <w:szCs w:val="18"/>
                <w:highlight w:val="none"/>
                <w:vertAlign w:val="subscript"/>
              </w:rPr>
              <w:t>2</w:t>
            </w:r>
            <w:r>
              <w:rPr>
                <w:rFonts w:hint="eastAsia" w:ascii="仿宋_GB2312" w:hAnsi="仿宋" w:eastAsia="仿宋_GB2312" w:cs="宋体"/>
                <w:sz w:val="18"/>
                <w:szCs w:val="18"/>
                <w:highlight w:val="none"/>
              </w:rPr>
              <w:t>O</w:t>
            </w:r>
            <w:r>
              <w:rPr>
                <w:rFonts w:hint="eastAsia" w:ascii="仿宋_GB2312" w:hAnsi="仿宋" w:eastAsia="仿宋_GB2312" w:cs="宋体"/>
                <w:sz w:val="18"/>
                <w:szCs w:val="18"/>
                <w:highlight w:val="none"/>
                <w:vertAlign w:val="subscript"/>
              </w:rPr>
              <w:t>5</w:t>
            </w:r>
            <w:r>
              <w:rPr>
                <w:rFonts w:hint="eastAsia" w:ascii="仿宋_GB2312" w:hAnsi="仿宋" w:eastAsia="仿宋_GB2312" w:cs="宋体"/>
                <w:sz w:val="18"/>
                <w:szCs w:val="18"/>
                <w:highlight w:val="none"/>
              </w:rPr>
              <w:t>+K</w:t>
            </w:r>
            <w:r>
              <w:rPr>
                <w:rFonts w:hint="eastAsia" w:ascii="仿宋_GB2312" w:hAnsi="仿宋" w:eastAsia="仿宋_GB2312" w:cs="宋体"/>
                <w:sz w:val="18"/>
                <w:szCs w:val="18"/>
                <w:highlight w:val="none"/>
                <w:vertAlign w:val="subscript"/>
              </w:rPr>
              <w:t>2</w:t>
            </w:r>
            <w:r>
              <w:rPr>
                <w:rFonts w:hint="eastAsia" w:ascii="仿宋_GB2312" w:hAnsi="仿宋" w:eastAsia="仿宋_GB2312" w:cs="宋体"/>
                <w:sz w:val="18"/>
                <w:szCs w:val="18"/>
                <w:highlight w:val="none"/>
              </w:rPr>
              <w:t xml:space="preserve">O≥400g/ L </w:t>
            </w:r>
            <w:r>
              <w:rPr>
                <w:rFonts w:hint="eastAsia" w:ascii="仿宋_GB2312" w:hAnsi="仿宋" w:eastAsia="仿宋_GB2312" w:cs="宋体"/>
                <w:sz w:val="18"/>
                <w:szCs w:val="18"/>
                <w:highlight w:val="none"/>
                <w:lang w:val="en-US" w:eastAsia="zh-CN"/>
              </w:rPr>
              <w:t>170</w:t>
            </w:r>
            <w:r>
              <w:rPr>
                <w:rFonts w:hint="eastAsia" w:ascii="仿宋_GB2312" w:hAnsi="仿宋" w:eastAsia="仿宋_GB2312" w:cs="宋体"/>
                <w:sz w:val="18"/>
                <w:szCs w:val="18"/>
                <w:highlight w:val="none"/>
              </w:rPr>
              <w:t>-</w:t>
            </w:r>
            <w:r>
              <w:rPr>
                <w:rFonts w:hint="eastAsia" w:ascii="仿宋_GB2312" w:hAnsi="仿宋" w:eastAsia="仿宋_GB2312" w:cs="宋体"/>
                <w:sz w:val="18"/>
                <w:szCs w:val="18"/>
                <w:highlight w:val="none"/>
                <w:lang w:val="en-US" w:eastAsia="zh-CN"/>
              </w:rPr>
              <w:t>170</w:t>
            </w:r>
            <w:r>
              <w:rPr>
                <w:rFonts w:hint="eastAsia" w:ascii="仿宋_GB2312" w:hAnsi="仿宋" w:eastAsia="仿宋_GB2312" w:cs="宋体"/>
                <w:sz w:val="18"/>
                <w:szCs w:val="18"/>
                <w:highlight w:val="none"/>
              </w:rPr>
              <w:t>-</w:t>
            </w:r>
            <w:r>
              <w:rPr>
                <w:rFonts w:hint="eastAsia" w:ascii="仿宋_GB2312" w:hAnsi="仿宋" w:eastAsia="仿宋_GB2312" w:cs="宋体"/>
                <w:sz w:val="18"/>
                <w:szCs w:val="18"/>
                <w:highlight w:val="none"/>
                <w:lang w:val="en-US" w:eastAsia="zh-CN"/>
              </w:rPr>
              <w:t>170</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60CE0D98">
            <w:pPr>
              <w:autoSpaceDE w:val="0"/>
              <w:autoSpaceDN w:val="0"/>
              <w:adjustRightInd w:val="0"/>
              <w:spacing w:line="40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15</w:t>
            </w:r>
          </w:p>
        </w:tc>
        <w:tc>
          <w:tcPr>
            <w:tcW w:w="993" w:type="dxa"/>
            <w:tcBorders>
              <w:top w:val="single" w:color="auto" w:sz="4" w:space="0"/>
              <w:left w:val="single" w:color="auto" w:sz="4" w:space="0"/>
              <w:bottom w:val="single" w:color="auto" w:sz="4" w:space="0"/>
              <w:right w:val="single" w:color="auto" w:sz="4" w:space="0"/>
            </w:tcBorders>
            <w:vAlign w:val="center"/>
          </w:tcPr>
          <w:p w14:paraId="14FD792D">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0.1376</w:t>
            </w:r>
          </w:p>
        </w:tc>
        <w:tc>
          <w:tcPr>
            <w:tcW w:w="1250" w:type="dxa"/>
            <w:tcBorders>
              <w:top w:val="single" w:color="auto" w:sz="4" w:space="0"/>
              <w:left w:val="single" w:color="auto" w:sz="4" w:space="0"/>
              <w:bottom w:val="single" w:color="auto" w:sz="4" w:space="0"/>
              <w:right w:val="single" w:color="auto" w:sz="4" w:space="0"/>
            </w:tcBorders>
            <w:vAlign w:val="center"/>
          </w:tcPr>
          <w:p w14:paraId="116108A3">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BC69E45">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0D2D4804">
            <w:pPr>
              <w:widowControl/>
              <w:spacing w:line="400" w:lineRule="exact"/>
              <w:ind w:firstLine="482"/>
              <w:jc w:val="center"/>
              <w:textAlignment w:val="baseline"/>
              <w:rPr>
                <w:rFonts w:ascii="仿宋" w:hAnsi="仿宋" w:eastAsia="仿宋" w:cs="仿宋"/>
                <w:bCs/>
                <w:sz w:val="24"/>
                <w:highlight w:val="none"/>
              </w:rPr>
            </w:pPr>
          </w:p>
        </w:tc>
      </w:tr>
      <w:tr w14:paraId="7920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5" w:hRule="atLeast"/>
        </w:trPr>
        <w:tc>
          <w:tcPr>
            <w:tcW w:w="961" w:type="dxa"/>
            <w:vMerge w:val="continue"/>
            <w:tcBorders>
              <w:left w:val="single" w:color="auto" w:sz="4" w:space="0"/>
              <w:right w:val="single" w:color="auto" w:sz="4" w:space="0"/>
            </w:tcBorders>
            <w:vAlign w:val="center"/>
          </w:tcPr>
          <w:p w14:paraId="4219C627">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shd w:val="clear" w:color="auto" w:fill="auto"/>
            <w:vAlign w:val="center"/>
          </w:tcPr>
          <w:p w14:paraId="4D855BB9">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仿宋_GB2312" w:hAnsi="仿宋" w:eastAsia="仿宋_GB2312" w:cs="宋体"/>
                <w:kern w:val="2"/>
                <w:sz w:val="24"/>
                <w:szCs w:val="24"/>
                <w:highlight w:val="none"/>
                <w:lang w:val="en-US" w:eastAsia="zh-CN" w:bidi="ar-SA"/>
              </w:rPr>
            </w:pPr>
            <w:r>
              <w:rPr>
                <w:rFonts w:hint="eastAsia" w:ascii="仿宋_GB2312" w:hAnsi="仿宋" w:eastAsia="仿宋_GB2312" w:cs="宋体"/>
                <w:sz w:val="24"/>
                <w:szCs w:val="24"/>
                <w:highlight w:val="none"/>
                <w:lang w:eastAsia="zh-CN"/>
              </w:rPr>
              <w:t>大</w:t>
            </w:r>
            <w:r>
              <w:rPr>
                <w:rFonts w:hint="eastAsia" w:ascii="仿宋_GB2312" w:hAnsi="仿宋" w:eastAsia="仿宋_GB2312" w:cs="宋体"/>
                <w:sz w:val="24"/>
                <w:szCs w:val="24"/>
                <w:highlight w:val="none"/>
              </w:rPr>
              <w:t>量元素水溶肥料</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02E6F397">
            <w:pPr>
              <w:spacing w:line="400" w:lineRule="exact"/>
              <w:jc w:val="left"/>
              <w:rPr>
                <w:rFonts w:hint="eastAsia" w:ascii="仿宋_GB2312" w:hAnsi="仿宋" w:eastAsia="仿宋_GB2312" w:cs="宋体"/>
                <w:kern w:val="2"/>
                <w:sz w:val="18"/>
                <w:szCs w:val="18"/>
                <w:highlight w:val="none"/>
                <w:lang w:val="en-US" w:eastAsia="zh-CN" w:bidi="ar-SA"/>
              </w:rPr>
            </w:pPr>
            <w:r>
              <w:rPr>
                <w:rFonts w:hint="eastAsia" w:ascii="仿宋_GB2312" w:hAnsi="仿宋" w:eastAsia="仿宋_GB2312" w:cs="宋体"/>
                <w:sz w:val="18"/>
                <w:szCs w:val="18"/>
                <w:highlight w:val="none"/>
                <w:lang w:val="en-US" w:eastAsia="zh-CN"/>
              </w:rPr>
              <w:t>1000克/瓶；侧重型，P</w:t>
            </w:r>
            <w:r>
              <w:rPr>
                <w:rFonts w:hint="eastAsia" w:ascii="仿宋_GB2312" w:hAnsi="仿宋" w:eastAsia="仿宋_GB2312" w:cs="宋体"/>
                <w:sz w:val="18"/>
                <w:szCs w:val="18"/>
                <w:highlight w:val="none"/>
                <w:vertAlign w:val="subscript"/>
                <w:lang w:val="en-US" w:eastAsia="zh-CN"/>
              </w:rPr>
              <w:t>2</w:t>
            </w:r>
            <w:r>
              <w:rPr>
                <w:rFonts w:hint="eastAsia" w:ascii="仿宋_GB2312" w:hAnsi="仿宋" w:eastAsia="仿宋_GB2312" w:cs="宋体"/>
                <w:sz w:val="18"/>
                <w:szCs w:val="18"/>
                <w:highlight w:val="none"/>
                <w:lang w:val="en-US" w:eastAsia="zh-CN"/>
              </w:rPr>
              <w:t>O</w:t>
            </w:r>
            <w:r>
              <w:rPr>
                <w:rFonts w:hint="eastAsia" w:ascii="仿宋_GB2312" w:hAnsi="仿宋" w:eastAsia="仿宋_GB2312" w:cs="宋体"/>
                <w:sz w:val="18"/>
                <w:szCs w:val="18"/>
                <w:highlight w:val="none"/>
                <w:vertAlign w:val="subscript"/>
                <w:lang w:val="en-US" w:eastAsia="zh-CN"/>
              </w:rPr>
              <w:t>5</w:t>
            </w:r>
            <w:r>
              <w:rPr>
                <w:rFonts w:hint="eastAsia" w:ascii="仿宋_GB2312" w:hAnsi="仿宋" w:eastAsia="仿宋_GB2312" w:cs="宋体"/>
                <w:sz w:val="18"/>
                <w:szCs w:val="18"/>
                <w:highlight w:val="none"/>
                <w:lang w:val="en-US" w:eastAsia="zh-CN"/>
              </w:rPr>
              <w:t>≥450g/l、K</w:t>
            </w:r>
            <w:r>
              <w:rPr>
                <w:rFonts w:hint="eastAsia" w:ascii="仿宋_GB2312" w:hAnsi="仿宋" w:eastAsia="仿宋_GB2312" w:cs="宋体"/>
                <w:sz w:val="18"/>
                <w:szCs w:val="18"/>
                <w:highlight w:val="none"/>
                <w:vertAlign w:val="subscript"/>
                <w:lang w:val="en-US" w:eastAsia="zh-CN"/>
              </w:rPr>
              <w:t>2</w:t>
            </w:r>
            <w:r>
              <w:rPr>
                <w:rFonts w:hint="eastAsia" w:ascii="仿宋_GB2312" w:hAnsi="仿宋" w:eastAsia="仿宋_GB2312" w:cs="宋体"/>
                <w:sz w:val="18"/>
                <w:szCs w:val="18"/>
                <w:highlight w:val="none"/>
                <w:lang w:val="en-US" w:eastAsia="zh-CN"/>
              </w:rPr>
              <w:t>O≥560g/l、B≥0.5g/L、Zn≥5g/L</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3AA612CE">
            <w:pPr>
              <w:autoSpaceDE w:val="0"/>
              <w:autoSpaceDN w:val="0"/>
              <w:adjustRightInd w:val="0"/>
              <w:spacing w:line="400" w:lineRule="exact"/>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15</w:t>
            </w:r>
          </w:p>
        </w:tc>
        <w:tc>
          <w:tcPr>
            <w:tcW w:w="993" w:type="dxa"/>
            <w:tcBorders>
              <w:top w:val="single" w:color="auto" w:sz="4" w:space="0"/>
              <w:left w:val="single" w:color="auto" w:sz="4" w:space="0"/>
              <w:bottom w:val="single" w:color="auto" w:sz="4" w:space="0"/>
              <w:right w:val="single" w:color="auto" w:sz="4" w:space="0"/>
            </w:tcBorders>
            <w:vAlign w:val="center"/>
          </w:tcPr>
          <w:p w14:paraId="72DC232B">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0.1376</w:t>
            </w:r>
          </w:p>
        </w:tc>
        <w:tc>
          <w:tcPr>
            <w:tcW w:w="1250" w:type="dxa"/>
            <w:tcBorders>
              <w:top w:val="single" w:color="auto" w:sz="4" w:space="0"/>
              <w:left w:val="single" w:color="auto" w:sz="4" w:space="0"/>
              <w:bottom w:val="single" w:color="auto" w:sz="4" w:space="0"/>
              <w:right w:val="single" w:color="auto" w:sz="4" w:space="0"/>
            </w:tcBorders>
            <w:vAlign w:val="center"/>
          </w:tcPr>
          <w:p w14:paraId="05A37834">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D6128E8">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09B80D68">
            <w:pPr>
              <w:widowControl/>
              <w:spacing w:line="400" w:lineRule="exact"/>
              <w:ind w:firstLine="482"/>
              <w:jc w:val="center"/>
              <w:textAlignment w:val="baseline"/>
              <w:rPr>
                <w:rFonts w:ascii="仿宋" w:hAnsi="仿宋" w:eastAsia="仿宋" w:cs="仿宋"/>
                <w:bCs/>
                <w:sz w:val="24"/>
                <w:highlight w:val="none"/>
              </w:rPr>
            </w:pPr>
          </w:p>
        </w:tc>
      </w:tr>
      <w:tr w14:paraId="47499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trPr>
        <w:tc>
          <w:tcPr>
            <w:tcW w:w="961" w:type="dxa"/>
            <w:vMerge w:val="continue"/>
            <w:tcBorders>
              <w:left w:val="single" w:color="auto" w:sz="4" w:space="0"/>
              <w:right w:val="single" w:color="auto" w:sz="4" w:space="0"/>
            </w:tcBorders>
            <w:vAlign w:val="center"/>
          </w:tcPr>
          <w:p w14:paraId="59E8671E">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shd w:val="clear" w:color="auto" w:fill="auto"/>
            <w:vAlign w:val="center"/>
          </w:tcPr>
          <w:p w14:paraId="2EBFD070">
            <w:pPr>
              <w:spacing w:line="400" w:lineRule="exact"/>
              <w:jc w:val="center"/>
              <w:rPr>
                <w:rFonts w:ascii="仿宋_GB2312" w:hAnsi="仿宋" w:eastAsia="仿宋_GB2312" w:cs="Times New Roman"/>
                <w:kern w:val="2"/>
                <w:sz w:val="24"/>
                <w:szCs w:val="24"/>
                <w:highlight w:val="none"/>
                <w:lang w:val="en-US" w:eastAsia="zh-CN" w:bidi="ar-SA"/>
              </w:rPr>
            </w:pPr>
            <w:r>
              <w:rPr>
                <w:rFonts w:ascii="仿宋" w:hAnsi="仿宋" w:eastAsia="仿宋" w:cs="仿宋"/>
                <w:sz w:val="24"/>
                <w:highlight w:val="none"/>
              </w:rPr>
              <w:t>精甲·咯菌腈</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55EBAED2">
            <w:pPr>
              <w:spacing w:line="400" w:lineRule="exact"/>
              <w:rPr>
                <w:rFonts w:hint="eastAsia" w:ascii="仿宋_GB2312" w:hAnsi="仿宋" w:eastAsia="仿宋" w:cs="Times New Roman"/>
                <w:kern w:val="2"/>
                <w:sz w:val="18"/>
                <w:szCs w:val="18"/>
                <w:highlight w:val="none"/>
                <w:lang w:val="en-US" w:eastAsia="zh-CN" w:bidi="ar-SA"/>
              </w:rPr>
            </w:pPr>
            <w:r>
              <w:rPr>
                <w:rFonts w:hint="eastAsia" w:ascii="仿宋_GB2312" w:hAnsi="仿宋" w:eastAsia="仿宋_GB2312" w:cs="宋体"/>
                <w:sz w:val="18"/>
                <w:szCs w:val="18"/>
                <w:highlight w:val="none"/>
                <w:lang w:val="en-US" w:eastAsia="zh-CN"/>
              </w:rPr>
              <w:t>500毫升/瓶；62.5克/升，悬浮种衣剂</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3E86101C">
            <w:pPr>
              <w:autoSpaceDE w:val="0"/>
              <w:autoSpaceDN w:val="0"/>
              <w:adjustRightInd w:val="0"/>
              <w:spacing w:line="40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p>
        </w:tc>
        <w:tc>
          <w:tcPr>
            <w:tcW w:w="993" w:type="dxa"/>
            <w:tcBorders>
              <w:top w:val="single" w:color="auto" w:sz="4" w:space="0"/>
              <w:left w:val="single" w:color="auto" w:sz="4" w:space="0"/>
              <w:bottom w:val="single" w:color="auto" w:sz="4" w:space="0"/>
              <w:right w:val="single" w:color="auto" w:sz="4" w:space="0"/>
            </w:tcBorders>
            <w:vAlign w:val="center"/>
          </w:tcPr>
          <w:p w14:paraId="29D1BE6A">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0.0183</w:t>
            </w:r>
          </w:p>
        </w:tc>
        <w:tc>
          <w:tcPr>
            <w:tcW w:w="1250" w:type="dxa"/>
            <w:tcBorders>
              <w:top w:val="single" w:color="auto" w:sz="4" w:space="0"/>
              <w:left w:val="single" w:color="auto" w:sz="4" w:space="0"/>
              <w:bottom w:val="single" w:color="auto" w:sz="4" w:space="0"/>
              <w:right w:val="single" w:color="auto" w:sz="4" w:space="0"/>
            </w:tcBorders>
            <w:vAlign w:val="center"/>
          </w:tcPr>
          <w:p w14:paraId="32DD8CAB">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6246480">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62EB7DF2">
            <w:pPr>
              <w:widowControl/>
              <w:spacing w:line="400" w:lineRule="exact"/>
              <w:ind w:firstLine="482"/>
              <w:jc w:val="center"/>
              <w:textAlignment w:val="baseline"/>
              <w:rPr>
                <w:rFonts w:ascii="仿宋" w:hAnsi="仿宋" w:eastAsia="仿宋" w:cs="仿宋"/>
                <w:bCs/>
                <w:sz w:val="24"/>
                <w:highlight w:val="none"/>
              </w:rPr>
            </w:pPr>
          </w:p>
        </w:tc>
      </w:tr>
      <w:tr w14:paraId="2A284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961" w:type="dxa"/>
            <w:vMerge w:val="continue"/>
            <w:tcBorders>
              <w:left w:val="single" w:color="auto" w:sz="4" w:space="0"/>
              <w:right w:val="single" w:color="auto" w:sz="4" w:space="0"/>
            </w:tcBorders>
            <w:vAlign w:val="center"/>
          </w:tcPr>
          <w:p w14:paraId="0484606B">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shd w:val="clear" w:color="auto" w:fill="auto"/>
            <w:vAlign w:val="center"/>
          </w:tcPr>
          <w:p w14:paraId="39C86E41">
            <w:pPr>
              <w:spacing w:line="400" w:lineRule="exact"/>
              <w:jc w:val="center"/>
              <w:rPr>
                <w:rFonts w:ascii="仿宋_GB2312" w:hAnsi="仿宋" w:eastAsia="仿宋_GB2312" w:cs="Times New Roman"/>
                <w:kern w:val="2"/>
                <w:sz w:val="24"/>
                <w:szCs w:val="24"/>
                <w:highlight w:val="none"/>
                <w:lang w:val="en-US" w:eastAsia="zh-CN" w:bidi="ar-SA"/>
              </w:rPr>
            </w:pPr>
            <w:r>
              <w:rPr>
                <w:rFonts w:hint="eastAsia" w:ascii="仿宋_GB2312" w:hAnsi="仿宋" w:eastAsia="仿宋_GB2312"/>
                <w:sz w:val="24"/>
                <w:szCs w:val="24"/>
                <w:highlight w:val="none"/>
              </w:rPr>
              <w:t>吡唑醚菌酯</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0CC720C2">
            <w:pPr>
              <w:spacing w:line="400" w:lineRule="exact"/>
              <w:rPr>
                <w:rFonts w:ascii="仿宋_GB2312" w:hAnsi="仿宋" w:eastAsia="仿宋_GB2312" w:cs="Times New Roman"/>
                <w:kern w:val="2"/>
                <w:sz w:val="18"/>
                <w:szCs w:val="18"/>
                <w:highlight w:val="none"/>
                <w:lang w:val="en-US" w:eastAsia="zh-CN" w:bidi="ar-SA"/>
              </w:rPr>
            </w:pPr>
            <w:r>
              <w:rPr>
                <w:rFonts w:hint="eastAsia" w:ascii="仿宋_GB2312" w:hAnsi="仿宋" w:eastAsia="仿宋_GB2312" w:cs="宋体"/>
                <w:sz w:val="18"/>
                <w:szCs w:val="18"/>
                <w:highlight w:val="none"/>
                <w:lang w:val="en-US" w:eastAsia="zh-CN"/>
              </w:rPr>
              <w:t>1000毫升/瓶；250克/升，乳油</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457A458E">
            <w:pPr>
              <w:autoSpaceDE w:val="0"/>
              <w:autoSpaceDN w:val="0"/>
              <w:adjustRightInd w:val="0"/>
              <w:spacing w:line="400" w:lineRule="exact"/>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34</w:t>
            </w:r>
          </w:p>
        </w:tc>
        <w:tc>
          <w:tcPr>
            <w:tcW w:w="993" w:type="dxa"/>
            <w:tcBorders>
              <w:top w:val="single" w:color="auto" w:sz="4" w:space="0"/>
              <w:left w:val="single" w:color="auto" w:sz="4" w:space="0"/>
              <w:bottom w:val="single" w:color="auto" w:sz="4" w:space="0"/>
              <w:right w:val="single" w:color="auto" w:sz="4" w:space="0"/>
            </w:tcBorders>
            <w:vAlign w:val="center"/>
          </w:tcPr>
          <w:p w14:paraId="600798C8">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0.3119</w:t>
            </w:r>
          </w:p>
        </w:tc>
        <w:tc>
          <w:tcPr>
            <w:tcW w:w="1250" w:type="dxa"/>
            <w:tcBorders>
              <w:top w:val="single" w:color="auto" w:sz="4" w:space="0"/>
              <w:left w:val="single" w:color="auto" w:sz="4" w:space="0"/>
              <w:bottom w:val="single" w:color="auto" w:sz="4" w:space="0"/>
              <w:right w:val="single" w:color="auto" w:sz="4" w:space="0"/>
            </w:tcBorders>
            <w:vAlign w:val="center"/>
          </w:tcPr>
          <w:p w14:paraId="72E71FA9">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0CCD1A13">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5725B1B3">
            <w:pPr>
              <w:widowControl/>
              <w:spacing w:line="400" w:lineRule="exact"/>
              <w:ind w:firstLine="482"/>
              <w:jc w:val="center"/>
              <w:textAlignment w:val="baseline"/>
              <w:rPr>
                <w:rFonts w:ascii="仿宋" w:hAnsi="仿宋" w:eastAsia="仿宋" w:cs="仿宋"/>
                <w:bCs/>
                <w:sz w:val="24"/>
                <w:highlight w:val="none"/>
              </w:rPr>
            </w:pPr>
          </w:p>
        </w:tc>
      </w:tr>
      <w:tr w14:paraId="68D51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3" w:hRule="atLeast"/>
        </w:trPr>
        <w:tc>
          <w:tcPr>
            <w:tcW w:w="961" w:type="dxa"/>
            <w:vMerge w:val="continue"/>
            <w:tcBorders>
              <w:left w:val="single" w:color="auto" w:sz="4" w:space="0"/>
              <w:right w:val="single" w:color="auto" w:sz="4" w:space="0"/>
            </w:tcBorders>
            <w:vAlign w:val="center"/>
          </w:tcPr>
          <w:p w14:paraId="1C2EC472">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shd w:val="clear" w:color="auto" w:fill="auto"/>
            <w:vAlign w:val="center"/>
          </w:tcPr>
          <w:p w14:paraId="483E70C4">
            <w:pPr>
              <w:spacing w:line="400" w:lineRule="exact"/>
              <w:jc w:val="center"/>
              <w:rPr>
                <w:rFonts w:ascii="仿宋_GB2312" w:hAnsi="仿宋" w:eastAsia="仿宋_GB2312" w:cs="Times New Roman"/>
                <w:kern w:val="2"/>
                <w:sz w:val="24"/>
                <w:szCs w:val="24"/>
                <w:highlight w:val="none"/>
                <w:lang w:val="en-US" w:eastAsia="zh-CN" w:bidi="ar-SA"/>
              </w:rPr>
            </w:pPr>
            <w:r>
              <w:rPr>
                <w:rFonts w:hint="eastAsia" w:ascii="仿宋_GB2312" w:hAnsi="仿宋" w:eastAsia="仿宋_GB2312" w:cs="宋体"/>
                <w:sz w:val="24"/>
                <w:szCs w:val="24"/>
                <w:highlight w:val="none"/>
                <w:lang w:eastAsia="zh-CN"/>
              </w:rPr>
              <w:t>高氯·</w:t>
            </w:r>
            <w:r>
              <w:rPr>
                <w:rFonts w:hint="eastAsia" w:ascii="仿宋_GB2312" w:hAnsi="仿宋" w:eastAsia="仿宋_GB2312" w:cs="宋体"/>
                <w:sz w:val="24"/>
                <w:szCs w:val="24"/>
                <w:highlight w:val="none"/>
                <w:lang w:val="en-US" w:eastAsia="zh-CN"/>
              </w:rPr>
              <w:t>辛硫磷</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64B83CC3">
            <w:pPr>
              <w:spacing w:line="400" w:lineRule="exact"/>
              <w:rPr>
                <w:rFonts w:ascii="仿宋_GB2312" w:hAnsi="仿宋" w:eastAsia="仿宋_GB2312" w:cs="Times New Roman"/>
                <w:kern w:val="2"/>
                <w:sz w:val="18"/>
                <w:szCs w:val="18"/>
                <w:highlight w:val="none"/>
                <w:lang w:val="en-US" w:eastAsia="zh-CN" w:bidi="ar-SA"/>
              </w:rPr>
            </w:pPr>
            <w:r>
              <w:rPr>
                <w:rFonts w:hint="eastAsia" w:ascii="仿宋_GB2312" w:hAnsi="仿宋" w:eastAsia="仿宋_GB2312" w:cs="宋体"/>
                <w:sz w:val="18"/>
                <w:szCs w:val="18"/>
                <w:highlight w:val="none"/>
                <w:lang w:val="en-US" w:eastAsia="zh-CN"/>
              </w:rPr>
              <w:t>500毫升/瓶；20%，乳油</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428061E9">
            <w:pPr>
              <w:autoSpaceDE w:val="0"/>
              <w:autoSpaceDN w:val="0"/>
              <w:adjustRightInd w:val="0"/>
              <w:spacing w:line="40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8</w:t>
            </w:r>
          </w:p>
        </w:tc>
        <w:tc>
          <w:tcPr>
            <w:tcW w:w="993" w:type="dxa"/>
            <w:tcBorders>
              <w:top w:val="single" w:color="auto" w:sz="4" w:space="0"/>
              <w:left w:val="single" w:color="auto" w:sz="4" w:space="0"/>
              <w:bottom w:val="single" w:color="auto" w:sz="4" w:space="0"/>
              <w:right w:val="single" w:color="auto" w:sz="4" w:space="0"/>
            </w:tcBorders>
            <w:vAlign w:val="center"/>
          </w:tcPr>
          <w:p w14:paraId="259D3001">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0.0734</w:t>
            </w:r>
          </w:p>
        </w:tc>
        <w:tc>
          <w:tcPr>
            <w:tcW w:w="1250" w:type="dxa"/>
            <w:tcBorders>
              <w:top w:val="single" w:color="auto" w:sz="4" w:space="0"/>
              <w:left w:val="single" w:color="auto" w:sz="4" w:space="0"/>
              <w:bottom w:val="single" w:color="auto" w:sz="4" w:space="0"/>
              <w:right w:val="single" w:color="auto" w:sz="4" w:space="0"/>
            </w:tcBorders>
            <w:vAlign w:val="center"/>
          </w:tcPr>
          <w:p w14:paraId="1517E015">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C6C6116">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53920CAE">
            <w:pPr>
              <w:widowControl/>
              <w:spacing w:line="400" w:lineRule="exact"/>
              <w:ind w:firstLine="482"/>
              <w:jc w:val="center"/>
              <w:textAlignment w:val="baseline"/>
              <w:rPr>
                <w:rFonts w:ascii="仿宋" w:hAnsi="仿宋" w:eastAsia="仿宋" w:cs="仿宋"/>
                <w:bCs/>
                <w:sz w:val="24"/>
                <w:highlight w:val="none"/>
              </w:rPr>
            </w:pPr>
          </w:p>
        </w:tc>
      </w:tr>
      <w:tr w14:paraId="49D9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3" w:hRule="atLeast"/>
        </w:trPr>
        <w:tc>
          <w:tcPr>
            <w:tcW w:w="961" w:type="dxa"/>
            <w:vMerge w:val="continue"/>
            <w:tcBorders>
              <w:left w:val="single" w:color="auto" w:sz="4" w:space="0"/>
              <w:right w:val="single" w:color="auto" w:sz="4" w:space="0"/>
            </w:tcBorders>
            <w:vAlign w:val="center"/>
          </w:tcPr>
          <w:p w14:paraId="7FAAD435">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shd w:val="clear" w:color="auto" w:fill="auto"/>
            <w:vAlign w:val="center"/>
          </w:tcPr>
          <w:p w14:paraId="73507A55">
            <w:pPr>
              <w:spacing w:line="400" w:lineRule="exact"/>
              <w:jc w:val="center"/>
              <w:rPr>
                <w:rFonts w:ascii="仿宋_GB2312" w:hAnsi="仿宋" w:eastAsia="仿宋_GB2312" w:cs="Times New Roman"/>
                <w:kern w:val="2"/>
                <w:sz w:val="24"/>
                <w:szCs w:val="24"/>
                <w:highlight w:val="none"/>
                <w:lang w:val="en-US" w:eastAsia="zh-CN" w:bidi="ar-SA"/>
              </w:rPr>
            </w:pPr>
            <w:r>
              <w:rPr>
                <w:rFonts w:hint="eastAsia" w:ascii="仿宋_GB2312" w:hAnsi="仿宋" w:eastAsia="仿宋_GB2312"/>
                <w:sz w:val="24"/>
                <w:szCs w:val="24"/>
                <w:highlight w:val="none"/>
              </w:rPr>
              <w:t>氯虫苯甲酰胺</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76776ED6">
            <w:pPr>
              <w:spacing w:line="400" w:lineRule="exact"/>
              <w:rPr>
                <w:rFonts w:ascii="仿宋_GB2312" w:hAnsi="仿宋" w:eastAsia="仿宋_GB2312" w:cs="Times New Roman"/>
                <w:kern w:val="2"/>
                <w:sz w:val="18"/>
                <w:szCs w:val="18"/>
                <w:highlight w:val="none"/>
                <w:lang w:val="en-US" w:eastAsia="zh-CN" w:bidi="ar-SA"/>
              </w:rPr>
            </w:pPr>
            <w:r>
              <w:rPr>
                <w:rFonts w:hint="eastAsia" w:ascii="仿宋_GB2312" w:hAnsi="仿宋" w:eastAsia="仿宋_GB2312" w:cs="宋体"/>
                <w:spacing w:val="-20"/>
                <w:sz w:val="18"/>
                <w:szCs w:val="18"/>
                <w:highlight w:val="none"/>
                <w:lang w:val="en-US" w:eastAsia="zh-CN"/>
              </w:rPr>
              <w:t>100毫升/瓶；200克/升，悬浮剂</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7C4AA956">
            <w:pPr>
              <w:autoSpaceDE w:val="0"/>
              <w:autoSpaceDN w:val="0"/>
              <w:adjustRightInd w:val="0"/>
              <w:spacing w:line="400" w:lineRule="exact"/>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10</w:t>
            </w:r>
          </w:p>
        </w:tc>
        <w:tc>
          <w:tcPr>
            <w:tcW w:w="993" w:type="dxa"/>
            <w:tcBorders>
              <w:top w:val="single" w:color="auto" w:sz="4" w:space="0"/>
              <w:left w:val="single" w:color="auto" w:sz="4" w:space="0"/>
              <w:bottom w:val="single" w:color="auto" w:sz="4" w:space="0"/>
              <w:right w:val="single" w:color="auto" w:sz="4" w:space="0"/>
            </w:tcBorders>
            <w:vAlign w:val="center"/>
          </w:tcPr>
          <w:p w14:paraId="41E107C2">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0.0917</w:t>
            </w:r>
          </w:p>
        </w:tc>
        <w:tc>
          <w:tcPr>
            <w:tcW w:w="1250" w:type="dxa"/>
            <w:tcBorders>
              <w:top w:val="single" w:color="auto" w:sz="4" w:space="0"/>
              <w:left w:val="single" w:color="auto" w:sz="4" w:space="0"/>
              <w:bottom w:val="single" w:color="auto" w:sz="4" w:space="0"/>
              <w:right w:val="single" w:color="auto" w:sz="4" w:space="0"/>
            </w:tcBorders>
            <w:vAlign w:val="center"/>
          </w:tcPr>
          <w:p w14:paraId="58088210">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11150CF2">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0310F07F">
            <w:pPr>
              <w:widowControl/>
              <w:spacing w:line="400" w:lineRule="exact"/>
              <w:ind w:firstLine="482"/>
              <w:jc w:val="center"/>
              <w:textAlignment w:val="baseline"/>
              <w:rPr>
                <w:rFonts w:ascii="仿宋" w:hAnsi="仿宋" w:eastAsia="仿宋" w:cs="仿宋"/>
                <w:bCs/>
                <w:sz w:val="24"/>
                <w:highlight w:val="none"/>
              </w:rPr>
            </w:pPr>
          </w:p>
        </w:tc>
      </w:tr>
      <w:tr w14:paraId="1193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3" w:hRule="atLeast"/>
        </w:trPr>
        <w:tc>
          <w:tcPr>
            <w:tcW w:w="961" w:type="dxa"/>
            <w:vMerge w:val="continue"/>
            <w:tcBorders>
              <w:left w:val="single" w:color="auto" w:sz="4" w:space="0"/>
              <w:right w:val="single" w:color="auto" w:sz="4" w:space="0"/>
            </w:tcBorders>
            <w:vAlign w:val="center"/>
          </w:tcPr>
          <w:p w14:paraId="0157EFE7">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shd w:val="clear" w:color="auto" w:fill="auto"/>
            <w:vAlign w:val="center"/>
          </w:tcPr>
          <w:p w14:paraId="19C26250">
            <w:pPr>
              <w:spacing w:line="400" w:lineRule="exact"/>
              <w:jc w:val="center"/>
              <w:rPr>
                <w:rFonts w:ascii="仿宋_GB2312" w:hAnsi="仿宋" w:eastAsia="仿宋_GB2312" w:cs="Times New Roman"/>
                <w:kern w:val="2"/>
                <w:sz w:val="24"/>
                <w:szCs w:val="24"/>
                <w:highlight w:val="none"/>
                <w:lang w:val="en-US" w:eastAsia="zh-CN" w:bidi="ar-SA"/>
              </w:rPr>
            </w:pPr>
            <w:r>
              <w:rPr>
                <w:rFonts w:hint="eastAsia" w:ascii="仿宋_GB2312" w:hAnsi="仿宋" w:eastAsia="仿宋_GB2312"/>
                <w:sz w:val="24"/>
                <w:szCs w:val="24"/>
                <w:highlight w:val="none"/>
              </w:rPr>
              <w:t>高效氯氟氰菊酯</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23DCA021">
            <w:pPr>
              <w:spacing w:line="400" w:lineRule="exact"/>
              <w:rPr>
                <w:rFonts w:ascii="仿宋_GB2312" w:hAnsi="仿宋" w:eastAsia="仿宋_GB2312" w:cs="Times New Roman"/>
                <w:kern w:val="2"/>
                <w:sz w:val="18"/>
                <w:szCs w:val="18"/>
                <w:highlight w:val="none"/>
                <w:lang w:val="en-US" w:eastAsia="zh-CN" w:bidi="ar-SA"/>
              </w:rPr>
            </w:pPr>
            <w:r>
              <w:rPr>
                <w:rFonts w:hint="eastAsia" w:ascii="仿宋_GB2312" w:hAnsi="仿宋" w:eastAsia="仿宋_GB2312" w:cs="宋体"/>
                <w:sz w:val="18"/>
                <w:szCs w:val="18"/>
                <w:highlight w:val="none"/>
                <w:lang w:val="en-US" w:eastAsia="zh-CN"/>
              </w:rPr>
              <w:t>500毫升/瓶；25克/升，乳油</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6B8F7CE4">
            <w:pPr>
              <w:autoSpaceDE w:val="0"/>
              <w:autoSpaceDN w:val="0"/>
              <w:adjustRightInd w:val="0"/>
              <w:spacing w:line="40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8</w:t>
            </w:r>
          </w:p>
        </w:tc>
        <w:tc>
          <w:tcPr>
            <w:tcW w:w="993" w:type="dxa"/>
            <w:tcBorders>
              <w:top w:val="single" w:color="auto" w:sz="4" w:space="0"/>
              <w:left w:val="single" w:color="auto" w:sz="4" w:space="0"/>
              <w:bottom w:val="single" w:color="auto" w:sz="4" w:space="0"/>
              <w:right w:val="single" w:color="auto" w:sz="4" w:space="0"/>
            </w:tcBorders>
            <w:vAlign w:val="center"/>
          </w:tcPr>
          <w:p w14:paraId="23009DA8">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0.0734</w:t>
            </w:r>
          </w:p>
        </w:tc>
        <w:tc>
          <w:tcPr>
            <w:tcW w:w="1250" w:type="dxa"/>
            <w:tcBorders>
              <w:top w:val="single" w:color="auto" w:sz="4" w:space="0"/>
              <w:left w:val="single" w:color="auto" w:sz="4" w:space="0"/>
              <w:bottom w:val="single" w:color="auto" w:sz="4" w:space="0"/>
              <w:right w:val="single" w:color="auto" w:sz="4" w:space="0"/>
            </w:tcBorders>
            <w:vAlign w:val="center"/>
          </w:tcPr>
          <w:p w14:paraId="4BD41AB0">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5A5506C4">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48826043">
            <w:pPr>
              <w:widowControl/>
              <w:spacing w:line="400" w:lineRule="exact"/>
              <w:ind w:firstLine="482"/>
              <w:jc w:val="center"/>
              <w:textAlignment w:val="baseline"/>
              <w:rPr>
                <w:rFonts w:ascii="仿宋" w:hAnsi="仿宋" w:eastAsia="仿宋" w:cs="仿宋"/>
                <w:bCs/>
                <w:sz w:val="24"/>
                <w:highlight w:val="none"/>
              </w:rPr>
            </w:pPr>
          </w:p>
        </w:tc>
      </w:tr>
      <w:tr w14:paraId="52D0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8" w:hRule="atLeast"/>
        </w:trPr>
        <w:tc>
          <w:tcPr>
            <w:tcW w:w="961" w:type="dxa"/>
            <w:vMerge w:val="continue"/>
            <w:tcBorders>
              <w:left w:val="single" w:color="auto" w:sz="4" w:space="0"/>
              <w:right w:val="single" w:color="auto" w:sz="4" w:space="0"/>
            </w:tcBorders>
            <w:vAlign w:val="center"/>
          </w:tcPr>
          <w:p w14:paraId="05546C93">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vAlign w:val="center"/>
          </w:tcPr>
          <w:p w14:paraId="1BBA6EB4">
            <w:pPr>
              <w:spacing w:line="400" w:lineRule="exact"/>
              <w:jc w:val="center"/>
              <w:rPr>
                <w:rFonts w:ascii="仿宋" w:hAnsi="仿宋" w:eastAsia="仿宋" w:cs="仿宋"/>
                <w:sz w:val="24"/>
                <w:highlight w:val="none"/>
              </w:rPr>
            </w:pPr>
            <w:r>
              <w:rPr>
                <w:rFonts w:hint="eastAsia" w:ascii="仿宋" w:hAnsi="仿宋" w:eastAsia="仿宋" w:cs="仿宋"/>
                <w:sz w:val="24"/>
                <w:highlight w:val="none"/>
              </w:rPr>
              <w:t>农伴侣•溶</w:t>
            </w:r>
          </w:p>
        </w:tc>
        <w:tc>
          <w:tcPr>
            <w:tcW w:w="2434" w:type="dxa"/>
            <w:tcBorders>
              <w:top w:val="single" w:color="auto" w:sz="4" w:space="0"/>
              <w:left w:val="single" w:color="auto" w:sz="4" w:space="0"/>
              <w:bottom w:val="single" w:color="auto" w:sz="4" w:space="0"/>
              <w:right w:val="single" w:color="auto" w:sz="4" w:space="0"/>
            </w:tcBorders>
            <w:vAlign w:val="center"/>
          </w:tcPr>
          <w:p w14:paraId="2324888E">
            <w:pPr>
              <w:spacing w:line="400" w:lineRule="exact"/>
              <w:rPr>
                <w:rFonts w:ascii="仿宋" w:hAnsi="仿宋" w:eastAsia="仿宋" w:cs="仿宋"/>
                <w:sz w:val="24"/>
                <w:highlight w:val="none"/>
              </w:rPr>
            </w:pPr>
            <w:r>
              <w:rPr>
                <w:rFonts w:hint="eastAsia" w:ascii="仿宋_GB2312" w:hAnsi="仿宋" w:eastAsia="仿宋_GB2312" w:cs="宋体"/>
                <w:sz w:val="18"/>
                <w:szCs w:val="18"/>
                <w:highlight w:val="none"/>
                <w:lang w:val="en-US" w:eastAsia="zh-CN"/>
              </w:rPr>
              <w:t>100毫升/瓶</w:t>
            </w:r>
          </w:p>
        </w:tc>
        <w:tc>
          <w:tcPr>
            <w:tcW w:w="924" w:type="dxa"/>
            <w:tcBorders>
              <w:top w:val="single" w:color="auto" w:sz="4" w:space="0"/>
              <w:left w:val="single" w:color="auto" w:sz="4" w:space="0"/>
              <w:bottom w:val="single" w:color="auto" w:sz="4" w:space="0"/>
              <w:right w:val="single" w:color="auto" w:sz="4" w:space="0"/>
            </w:tcBorders>
            <w:vAlign w:val="center"/>
          </w:tcPr>
          <w:p w14:paraId="4EFE464F">
            <w:pPr>
              <w:autoSpaceDE w:val="0"/>
              <w:autoSpaceDN w:val="0"/>
              <w:adjustRightInd w:val="0"/>
              <w:spacing w:line="400" w:lineRule="exact"/>
              <w:jc w:val="center"/>
              <w:rPr>
                <w:rFonts w:ascii="仿宋" w:hAnsi="仿宋" w:eastAsia="仿宋" w:cs="仿宋"/>
                <w:sz w:val="24"/>
                <w:highlight w:val="none"/>
              </w:rPr>
            </w:pPr>
            <w:r>
              <w:rPr>
                <w:rFonts w:hint="eastAsia" w:ascii="仿宋" w:hAnsi="仿宋" w:eastAsia="仿宋" w:cs="仿宋"/>
                <w:sz w:val="24"/>
                <w:highlight w:val="none"/>
              </w:rPr>
              <w:t>4</w:t>
            </w:r>
          </w:p>
        </w:tc>
        <w:tc>
          <w:tcPr>
            <w:tcW w:w="993" w:type="dxa"/>
            <w:tcBorders>
              <w:top w:val="single" w:color="auto" w:sz="4" w:space="0"/>
              <w:left w:val="single" w:color="auto" w:sz="4" w:space="0"/>
              <w:bottom w:val="single" w:color="auto" w:sz="4" w:space="0"/>
              <w:right w:val="single" w:color="auto" w:sz="4" w:space="0"/>
            </w:tcBorders>
            <w:vAlign w:val="center"/>
          </w:tcPr>
          <w:p w14:paraId="25924154">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0.0367</w:t>
            </w:r>
          </w:p>
        </w:tc>
        <w:tc>
          <w:tcPr>
            <w:tcW w:w="1250" w:type="dxa"/>
            <w:tcBorders>
              <w:top w:val="single" w:color="auto" w:sz="4" w:space="0"/>
              <w:left w:val="single" w:color="auto" w:sz="4" w:space="0"/>
              <w:bottom w:val="single" w:color="auto" w:sz="4" w:space="0"/>
              <w:right w:val="single" w:color="auto" w:sz="4" w:space="0"/>
            </w:tcBorders>
            <w:vAlign w:val="center"/>
          </w:tcPr>
          <w:p w14:paraId="7EF6B5B5">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28629DA">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0AA8CC2C">
            <w:pPr>
              <w:widowControl/>
              <w:spacing w:line="400" w:lineRule="exact"/>
              <w:ind w:firstLine="482"/>
              <w:jc w:val="center"/>
              <w:textAlignment w:val="baseline"/>
              <w:rPr>
                <w:rFonts w:ascii="仿宋" w:hAnsi="仿宋" w:eastAsia="仿宋" w:cs="仿宋"/>
                <w:bCs/>
                <w:sz w:val="24"/>
                <w:highlight w:val="none"/>
              </w:rPr>
            </w:pPr>
          </w:p>
        </w:tc>
      </w:tr>
      <w:tr w14:paraId="0360C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70" w:hRule="atLeast"/>
        </w:trPr>
        <w:tc>
          <w:tcPr>
            <w:tcW w:w="961" w:type="dxa"/>
            <w:vMerge w:val="continue"/>
            <w:tcBorders>
              <w:left w:val="single" w:color="auto" w:sz="4" w:space="0"/>
              <w:right w:val="single" w:color="auto" w:sz="4" w:space="0"/>
            </w:tcBorders>
            <w:vAlign w:val="center"/>
          </w:tcPr>
          <w:p w14:paraId="6811AC60">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vAlign w:val="center"/>
          </w:tcPr>
          <w:p w14:paraId="1611913A">
            <w:pPr>
              <w:spacing w:line="400" w:lineRule="exact"/>
              <w:jc w:val="center"/>
              <w:rPr>
                <w:rFonts w:ascii="仿宋" w:hAnsi="仿宋" w:eastAsia="仿宋" w:cs="仿宋"/>
                <w:sz w:val="24"/>
                <w:highlight w:val="none"/>
              </w:rPr>
            </w:pPr>
            <w:r>
              <w:rPr>
                <w:rFonts w:hint="eastAsia" w:ascii="仿宋" w:hAnsi="仿宋" w:eastAsia="仿宋" w:cs="仿宋"/>
                <w:sz w:val="24"/>
                <w:highlight w:val="none"/>
              </w:rPr>
              <w:t>斜纹夜蛾诱捕器</w:t>
            </w:r>
          </w:p>
        </w:tc>
        <w:tc>
          <w:tcPr>
            <w:tcW w:w="2434" w:type="dxa"/>
            <w:tcBorders>
              <w:top w:val="single" w:color="auto" w:sz="4" w:space="0"/>
              <w:left w:val="single" w:color="auto" w:sz="4" w:space="0"/>
              <w:bottom w:val="single" w:color="auto" w:sz="4" w:space="0"/>
              <w:right w:val="single" w:color="auto" w:sz="4" w:space="0"/>
            </w:tcBorders>
            <w:vAlign w:val="center"/>
          </w:tcPr>
          <w:p w14:paraId="05B2800F">
            <w:pPr>
              <w:keepNext w:val="0"/>
              <w:keepLines w:val="0"/>
              <w:pageBreakBefore w:val="0"/>
              <w:widowControl w:val="0"/>
              <w:kinsoku/>
              <w:wordWrap/>
              <w:overflowPunct/>
              <w:topLinePunct w:val="0"/>
              <w:bidi w:val="0"/>
              <w:adjustRightInd/>
              <w:snapToGrid/>
              <w:spacing w:line="320" w:lineRule="exact"/>
              <w:jc w:val="left"/>
              <w:textAlignment w:val="auto"/>
              <w:rPr>
                <w:rFonts w:ascii="仿宋" w:hAnsi="仿宋" w:eastAsia="仿宋" w:cs="仿宋"/>
                <w:sz w:val="18"/>
                <w:szCs w:val="18"/>
                <w:highlight w:val="none"/>
              </w:rPr>
            </w:pPr>
            <w:r>
              <w:rPr>
                <w:rFonts w:hint="eastAsia" w:ascii="仿宋" w:hAnsi="仿宋" w:eastAsia="仿宋" w:cs="仿宋"/>
                <w:sz w:val="18"/>
                <w:szCs w:val="18"/>
                <w:highlight w:val="none"/>
              </w:rPr>
              <w:t>一套含1个诱捕器（含支架）+2个诱芯；立杆高度≥1.5米，直径≥10毫米，诱芯持效期≥30天。</w:t>
            </w:r>
          </w:p>
        </w:tc>
        <w:tc>
          <w:tcPr>
            <w:tcW w:w="924" w:type="dxa"/>
            <w:tcBorders>
              <w:top w:val="single" w:color="auto" w:sz="4" w:space="0"/>
              <w:left w:val="single" w:color="auto" w:sz="4" w:space="0"/>
              <w:bottom w:val="single" w:color="auto" w:sz="4" w:space="0"/>
              <w:right w:val="single" w:color="auto" w:sz="4" w:space="0"/>
            </w:tcBorders>
            <w:vAlign w:val="center"/>
          </w:tcPr>
          <w:p w14:paraId="2458A00C">
            <w:pPr>
              <w:autoSpaceDE w:val="0"/>
              <w:autoSpaceDN w:val="0"/>
              <w:adjustRightInd w:val="0"/>
              <w:spacing w:line="400" w:lineRule="exact"/>
              <w:jc w:val="center"/>
              <w:rPr>
                <w:rFonts w:ascii="仿宋" w:hAnsi="仿宋" w:eastAsia="仿宋" w:cs="仿宋"/>
                <w:sz w:val="24"/>
                <w:highlight w:val="none"/>
              </w:rPr>
            </w:pPr>
            <w:r>
              <w:rPr>
                <w:rFonts w:hint="eastAsia" w:ascii="仿宋" w:hAnsi="仿宋" w:eastAsia="仿宋" w:cs="仿宋"/>
                <w:sz w:val="24"/>
                <w:highlight w:val="none"/>
              </w:rPr>
              <w:t>4</w:t>
            </w:r>
          </w:p>
        </w:tc>
        <w:tc>
          <w:tcPr>
            <w:tcW w:w="993" w:type="dxa"/>
            <w:tcBorders>
              <w:top w:val="single" w:color="auto" w:sz="4" w:space="0"/>
              <w:left w:val="single" w:color="auto" w:sz="4" w:space="0"/>
              <w:bottom w:val="single" w:color="auto" w:sz="4" w:space="0"/>
              <w:right w:val="single" w:color="auto" w:sz="4" w:space="0"/>
            </w:tcBorders>
            <w:vAlign w:val="center"/>
          </w:tcPr>
          <w:p w14:paraId="0C1849AE">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0.0367</w:t>
            </w:r>
          </w:p>
        </w:tc>
        <w:tc>
          <w:tcPr>
            <w:tcW w:w="1250" w:type="dxa"/>
            <w:tcBorders>
              <w:top w:val="single" w:color="auto" w:sz="4" w:space="0"/>
              <w:left w:val="single" w:color="auto" w:sz="4" w:space="0"/>
              <w:bottom w:val="single" w:color="auto" w:sz="4" w:space="0"/>
              <w:right w:val="single" w:color="auto" w:sz="4" w:space="0"/>
            </w:tcBorders>
            <w:vAlign w:val="center"/>
          </w:tcPr>
          <w:p w14:paraId="6431265E">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5C5D0C1">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04274764">
            <w:pPr>
              <w:widowControl/>
              <w:spacing w:line="400" w:lineRule="exact"/>
              <w:ind w:firstLine="482"/>
              <w:jc w:val="center"/>
              <w:textAlignment w:val="baseline"/>
              <w:rPr>
                <w:rFonts w:ascii="仿宋" w:hAnsi="仿宋" w:eastAsia="仿宋" w:cs="仿宋"/>
                <w:bCs/>
                <w:sz w:val="24"/>
                <w:highlight w:val="none"/>
              </w:rPr>
            </w:pPr>
          </w:p>
        </w:tc>
      </w:tr>
      <w:tr w14:paraId="3CF51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5" w:hRule="atLeast"/>
        </w:trPr>
        <w:tc>
          <w:tcPr>
            <w:tcW w:w="961" w:type="dxa"/>
            <w:vMerge w:val="continue"/>
            <w:tcBorders>
              <w:left w:val="single" w:color="auto" w:sz="4" w:space="0"/>
              <w:bottom w:val="single" w:color="auto" w:sz="4" w:space="0"/>
              <w:right w:val="single" w:color="auto" w:sz="4" w:space="0"/>
            </w:tcBorders>
            <w:vAlign w:val="center"/>
          </w:tcPr>
          <w:p w14:paraId="2A159E04">
            <w:pPr>
              <w:widowControl/>
              <w:ind w:firstLine="482"/>
              <w:jc w:val="center"/>
              <w:rPr>
                <w:rFonts w:ascii="仿宋" w:hAnsi="仿宋" w:eastAsia="仿宋" w:cs="仿宋"/>
                <w:bCs/>
                <w:sz w:val="24"/>
                <w:highlight w:val="none"/>
              </w:rPr>
            </w:pPr>
          </w:p>
        </w:tc>
        <w:tc>
          <w:tcPr>
            <w:tcW w:w="1603" w:type="dxa"/>
            <w:tcBorders>
              <w:top w:val="single" w:color="auto" w:sz="4" w:space="0"/>
              <w:left w:val="single" w:color="auto" w:sz="4" w:space="0"/>
              <w:bottom w:val="single" w:color="auto" w:sz="4" w:space="0"/>
              <w:right w:val="single" w:color="auto" w:sz="4" w:space="0"/>
            </w:tcBorders>
            <w:vAlign w:val="center"/>
          </w:tcPr>
          <w:p w14:paraId="4EFA0E49">
            <w:pPr>
              <w:spacing w:line="400" w:lineRule="exact"/>
              <w:jc w:val="center"/>
              <w:rPr>
                <w:rFonts w:ascii="仿宋" w:hAnsi="仿宋" w:eastAsia="仿宋" w:cs="仿宋"/>
                <w:sz w:val="24"/>
                <w:highlight w:val="none"/>
              </w:rPr>
            </w:pPr>
            <w:r>
              <w:rPr>
                <w:rFonts w:hint="eastAsia" w:ascii="仿宋" w:hAnsi="仿宋" w:eastAsia="仿宋" w:cs="仿宋"/>
                <w:sz w:val="24"/>
                <w:highlight w:val="none"/>
              </w:rPr>
              <w:t>甜菜夜蛾诱捕器</w:t>
            </w:r>
          </w:p>
        </w:tc>
        <w:tc>
          <w:tcPr>
            <w:tcW w:w="2434" w:type="dxa"/>
            <w:tcBorders>
              <w:top w:val="single" w:color="auto" w:sz="4" w:space="0"/>
              <w:left w:val="single" w:color="auto" w:sz="4" w:space="0"/>
              <w:bottom w:val="single" w:color="auto" w:sz="4" w:space="0"/>
              <w:right w:val="single" w:color="auto" w:sz="4" w:space="0"/>
            </w:tcBorders>
            <w:vAlign w:val="center"/>
          </w:tcPr>
          <w:p w14:paraId="35B108D0">
            <w:pPr>
              <w:keepNext w:val="0"/>
              <w:keepLines w:val="0"/>
              <w:pageBreakBefore w:val="0"/>
              <w:widowControl w:val="0"/>
              <w:kinsoku/>
              <w:wordWrap/>
              <w:overflowPunct/>
              <w:topLinePunct w:val="0"/>
              <w:bidi w:val="0"/>
              <w:adjustRightInd/>
              <w:snapToGrid/>
              <w:spacing w:line="320" w:lineRule="exact"/>
              <w:jc w:val="left"/>
              <w:textAlignment w:val="auto"/>
              <w:rPr>
                <w:rFonts w:ascii="仿宋" w:hAnsi="仿宋" w:eastAsia="仿宋" w:cs="仿宋"/>
                <w:sz w:val="18"/>
                <w:szCs w:val="18"/>
                <w:highlight w:val="none"/>
              </w:rPr>
            </w:pPr>
            <w:r>
              <w:rPr>
                <w:rFonts w:hint="eastAsia" w:ascii="仿宋" w:hAnsi="仿宋" w:eastAsia="仿宋" w:cs="仿宋"/>
                <w:sz w:val="18"/>
                <w:szCs w:val="18"/>
                <w:highlight w:val="none"/>
              </w:rPr>
              <w:t>一套含1个诱捕器（含支架）+2个诱芯；立杆高度≥1.5米，直径≥10毫米，诱芯持效期≥30天。</w:t>
            </w:r>
          </w:p>
        </w:tc>
        <w:tc>
          <w:tcPr>
            <w:tcW w:w="924" w:type="dxa"/>
            <w:tcBorders>
              <w:top w:val="single" w:color="auto" w:sz="4" w:space="0"/>
              <w:left w:val="single" w:color="auto" w:sz="4" w:space="0"/>
              <w:bottom w:val="single" w:color="auto" w:sz="4" w:space="0"/>
              <w:right w:val="single" w:color="auto" w:sz="4" w:space="0"/>
            </w:tcBorders>
            <w:vAlign w:val="center"/>
          </w:tcPr>
          <w:p w14:paraId="523B616E">
            <w:pPr>
              <w:autoSpaceDE w:val="0"/>
              <w:autoSpaceDN w:val="0"/>
              <w:adjustRightInd w:val="0"/>
              <w:spacing w:line="400" w:lineRule="exact"/>
              <w:jc w:val="center"/>
              <w:rPr>
                <w:rFonts w:ascii="仿宋" w:hAnsi="仿宋" w:eastAsia="仿宋" w:cs="仿宋"/>
                <w:sz w:val="24"/>
                <w:highlight w:val="none"/>
              </w:rPr>
            </w:pPr>
            <w:r>
              <w:rPr>
                <w:rFonts w:hint="eastAsia" w:ascii="仿宋" w:hAnsi="仿宋" w:eastAsia="仿宋" w:cs="仿宋"/>
                <w:sz w:val="24"/>
                <w:highlight w:val="none"/>
              </w:rPr>
              <w:t>4</w:t>
            </w:r>
          </w:p>
        </w:tc>
        <w:tc>
          <w:tcPr>
            <w:tcW w:w="993" w:type="dxa"/>
            <w:tcBorders>
              <w:top w:val="single" w:color="auto" w:sz="4" w:space="0"/>
              <w:left w:val="single" w:color="auto" w:sz="4" w:space="0"/>
              <w:bottom w:val="single" w:color="auto" w:sz="4" w:space="0"/>
              <w:right w:val="single" w:color="auto" w:sz="4" w:space="0"/>
            </w:tcBorders>
            <w:vAlign w:val="center"/>
          </w:tcPr>
          <w:p w14:paraId="3DCBA756">
            <w:pPr>
              <w:keepNext w:val="0"/>
              <w:keepLines w:val="0"/>
              <w:widowControl/>
              <w:suppressLineNumbers w:val="0"/>
              <w:jc w:val="center"/>
              <w:textAlignment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0.0367</w:t>
            </w:r>
          </w:p>
        </w:tc>
        <w:tc>
          <w:tcPr>
            <w:tcW w:w="1250" w:type="dxa"/>
            <w:tcBorders>
              <w:top w:val="single" w:color="auto" w:sz="4" w:space="0"/>
              <w:left w:val="single" w:color="auto" w:sz="4" w:space="0"/>
              <w:bottom w:val="single" w:color="auto" w:sz="4" w:space="0"/>
              <w:right w:val="single" w:color="auto" w:sz="4" w:space="0"/>
            </w:tcBorders>
            <w:vAlign w:val="center"/>
          </w:tcPr>
          <w:p w14:paraId="00928A58">
            <w:pPr>
              <w:widowControl/>
              <w:spacing w:line="400" w:lineRule="exact"/>
              <w:ind w:firstLine="482"/>
              <w:jc w:val="center"/>
              <w:textAlignment w:val="baseline"/>
              <w:rPr>
                <w:rFonts w:ascii="仿宋" w:hAnsi="仿宋" w:eastAsia="仿宋" w:cs="仿宋"/>
                <w:bCs/>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1B27282">
            <w:pPr>
              <w:widowControl/>
              <w:spacing w:line="400" w:lineRule="exact"/>
              <w:ind w:firstLine="482"/>
              <w:jc w:val="center"/>
              <w:textAlignment w:val="baseline"/>
              <w:rPr>
                <w:rFonts w:ascii="仿宋" w:hAnsi="仿宋" w:eastAsia="仿宋" w:cs="仿宋"/>
                <w:bCs/>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239B62E1">
            <w:pPr>
              <w:widowControl/>
              <w:spacing w:line="400" w:lineRule="exact"/>
              <w:ind w:firstLine="482"/>
              <w:jc w:val="center"/>
              <w:textAlignment w:val="baseline"/>
              <w:rPr>
                <w:rFonts w:ascii="仿宋" w:hAnsi="仿宋" w:eastAsia="仿宋" w:cs="仿宋"/>
                <w:bCs/>
                <w:sz w:val="24"/>
                <w:highlight w:val="none"/>
              </w:rPr>
            </w:pPr>
          </w:p>
        </w:tc>
      </w:tr>
    </w:tbl>
    <w:p w14:paraId="687C4D95">
      <w:pPr>
        <w:adjustRightInd w:val="0"/>
        <w:snapToGrid w:val="0"/>
        <w:spacing w:line="500" w:lineRule="exact"/>
        <w:rPr>
          <w:rFonts w:ascii="Times New Roman" w:hAnsi="Times New Roman" w:eastAsia="方正仿宋_GBK"/>
          <w:sz w:val="28"/>
          <w:szCs w:val="28"/>
          <w:highlight w:val="none"/>
        </w:rPr>
      </w:pPr>
    </w:p>
    <w:p w14:paraId="3883A9FD">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二、 合同价格说明</w:t>
      </w:r>
    </w:p>
    <w:p w14:paraId="6837F9EE">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本项目为固定总额采购，一标包为采购总额除报价单价后按“进一法”取整。本合同价包含但不限于相关附件、货物运输、搬运、使用培训、税金、质保、售后服务等所有相关费用，在合同实施期间，合同综合单价不因市场价格波动和各种风险因素的发生而变动。在供货过程中涉及质量抽检，需要乙方提供临时场所（启东范围内）存放一定时间（一个月左右），质量抽检合格后，才能进行供货配送。</w:t>
      </w:r>
    </w:p>
    <w:p w14:paraId="17E2F5F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三、质量要求</w:t>
      </w:r>
    </w:p>
    <w:p w14:paraId="7ACEDFAF">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乙方须提供符合采购需求、符合国家质量检测标准、行业标准的合格产品，有效期不得少于12个月。</w:t>
      </w:r>
    </w:p>
    <w:p w14:paraId="09D4DACD">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四、供货期限</w:t>
      </w:r>
    </w:p>
    <w:p w14:paraId="12D99117">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乙方须在签订合同后二个月内完成供货，并送至甲方指定的交货地点，否则按违约处理。如因乙方原因延期供货的，每推迟一天扣除合同款1000元。</w:t>
      </w:r>
    </w:p>
    <w:p w14:paraId="61D09EB4">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五、交货地点</w:t>
      </w:r>
    </w:p>
    <w:p w14:paraId="1C42F22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乙方应按照甲方的要求，在知道位置将所供货物堆放整齐。由于包装不善所引起的货物损坏和损失均由乙方承担。</w:t>
      </w:r>
    </w:p>
    <w:p w14:paraId="034F60E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六、约定事项</w:t>
      </w:r>
    </w:p>
    <w:p w14:paraId="14F113A9">
      <w:pPr>
        <w:adjustRightInd w:val="0"/>
        <w:snapToGrid w:val="0"/>
        <w:spacing w:line="500" w:lineRule="exact"/>
        <w:ind w:firstLine="560" w:firstLineChars="200"/>
        <w:rPr>
          <w:rFonts w:hint="eastAsia" w:ascii="Times New Roman" w:hAnsi="Times New Roman" w:eastAsia="方正仿宋_GBK"/>
          <w:color w:val="C00000"/>
          <w:sz w:val="28"/>
          <w:szCs w:val="28"/>
          <w:highlight w:val="none"/>
        </w:rPr>
      </w:pPr>
      <w:r>
        <w:rPr>
          <w:rFonts w:hint="eastAsia" w:ascii="Times New Roman" w:hAnsi="Times New Roman" w:eastAsia="方正仿宋_GBK"/>
          <w:color w:val="auto"/>
          <w:sz w:val="28"/>
          <w:szCs w:val="28"/>
          <w:highlight w:val="none"/>
        </w:rPr>
        <w:t>在甲方收到乙方提供的产品后，按相关规定应组织抽样检验的，在抽检过程中乙方要到场配合，并在相关文书签字确认；如乙方因特殊原因无法到场，可书面委托专人到场负责全权处置抽检配合工作。甲方认为有必要的情况下，可采取公证抽样取证办法。</w:t>
      </w:r>
    </w:p>
    <w:p w14:paraId="2246016F">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七、付款方式</w:t>
      </w:r>
    </w:p>
    <w:p w14:paraId="60D1B05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所有货物到场并经甲方验收合格，且开具发票后三个月内一次性付清（具体支付以启东市财政局打款时间为准）。</w:t>
      </w:r>
    </w:p>
    <w:p w14:paraId="66913D1E">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八、 违约责任</w:t>
      </w:r>
    </w:p>
    <w:p w14:paraId="336F45F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任何一方违约，均需按照下列约定向对方支付违约金。</w:t>
      </w:r>
    </w:p>
    <w:p w14:paraId="5AB7C96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1、乙方不能交货及甲方中途无理由退货的违约金，按照违约部分货款总值的  每日</w:t>
      </w:r>
      <w:r>
        <w:rPr>
          <w:rFonts w:hint="eastAsia" w:ascii="Times New Roman" w:hAnsi="Times New Roman" w:eastAsia="方正仿宋_GBK"/>
          <w:sz w:val="28"/>
          <w:szCs w:val="28"/>
          <w:highlight w:val="none"/>
          <w:u w:val="single"/>
        </w:rPr>
        <w:t xml:space="preserve">0.005%  </w:t>
      </w:r>
      <w:r>
        <w:rPr>
          <w:rFonts w:hint="eastAsia" w:ascii="Times New Roman" w:hAnsi="Times New Roman" w:eastAsia="方正仿宋_GBK"/>
          <w:sz w:val="28"/>
          <w:szCs w:val="28"/>
          <w:highlight w:val="none"/>
        </w:rPr>
        <w:t>支付。</w:t>
      </w:r>
    </w:p>
    <w:p w14:paraId="2CEB1947">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2、乙方交付货物时质量明显不符合规定的，甲方有权拒收并有权要求乙方限期更换、退货或减少价款等。由于甲方原因造成乙方逾期交货的需方按约定承担逾期交货违约金。</w:t>
      </w:r>
    </w:p>
    <w:p w14:paraId="15693EA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九、解决合同争议的方式</w:t>
      </w:r>
    </w:p>
    <w:p w14:paraId="52F3AA3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本合同履行过程中如发生争议，甲、乙双方应协商解决，如协商不成，则任何一方均可向</w:t>
      </w:r>
      <w:r>
        <w:rPr>
          <w:rFonts w:hint="eastAsia" w:ascii="Times New Roman" w:hAnsi="Times New Roman" w:eastAsia="方正仿宋_GBK"/>
          <w:sz w:val="28"/>
          <w:szCs w:val="28"/>
          <w:highlight w:val="none"/>
          <w:u w:val="single"/>
        </w:rPr>
        <w:t xml:space="preserve">  启东市  </w:t>
      </w:r>
      <w:r>
        <w:rPr>
          <w:rFonts w:hint="eastAsia" w:ascii="Times New Roman" w:hAnsi="Times New Roman" w:eastAsia="方正仿宋_GBK"/>
          <w:sz w:val="28"/>
          <w:szCs w:val="28"/>
          <w:highlight w:val="none"/>
        </w:rPr>
        <w:t>人民法院提起诉讼。</w:t>
      </w:r>
    </w:p>
    <w:p w14:paraId="5BF7DA3D">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十、 其他约定事项</w:t>
      </w:r>
    </w:p>
    <w:p w14:paraId="5262F6F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1.双方如在本合同的履行过程中，对标的物的质量问题发生争议时，以质量技术监督部门或有权鉴定部门的质量鉴定结果为准，由此所产生的一切费用由乙方承担。</w:t>
      </w:r>
    </w:p>
    <w:p w14:paraId="4D2CA56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2.双方在本合同的履行过程中，如遇到不可抗力等因素，造成供货时间、费用结算延迟或引起标的物质量问题等相关情况，可协商解决或另订立补充协议，补充协议与本合同具有同等效力。</w:t>
      </w:r>
    </w:p>
    <w:p w14:paraId="6BD0E82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除不可抗力的原因外，乙方超过合同规定的履行期限十日内仍不能交付本合同项目货物的，则视为不能交货，甲方有权选择决定是否继续履行本合同，如甲方决定终止本合同的履行，则乙方必须承担不能交货的违约责任。</w:t>
      </w:r>
    </w:p>
    <w:p w14:paraId="15117F99">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 乙方对甲方提出货物或服务有欺诈行为的，依照《中华人民共和国消费者权益保护法》的规定承担损害赔偿责任。</w:t>
      </w:r>
    </w:p>
    <w:p w14:paraId="4A2E70B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5. 乙方在履行合同过程中，存在恶意不履行合同或欺诈行为的，甲方将乙方列入黑名单，此后甲方所有采购项目对乙方不予受理。</w:t>
      </w:r>
    </w:p>
    <w:p w14:paraId="7F3331D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十一、本合同由甲、乙双方签订并加盖公章（同时双方应加盖骑缝章），经甲、乙双方法定代表人或委托代理人签字或盖章并经江苏政府采购网网上备案后生效，合同一式</w:t>
      </w:r>
      <w:r>
        <w:rPr>
          <w:rFonts w:hint="eastAsia" w:ascii="Times New Roman" w:hAnsi="Times New Roman" w:eastAsia="方正仿宋_GBK"/>
          <w:sz w:val="28"/>
          <w:szCs w:val="28"/>
          <w:highlight w:val="none"/>
          <w:u w:val="single"/>
        </w:rPr>
        <w:t>伍</w:t>
      </w:r>
      <w:r>
        <w:rPr>
          <w:rFonts w:hint="eastAsia" w:ascii="Times New Roman" w:hAnsi="Times New Roman" w:eastAsia="方正仿宋_GBK"/>
          <w:sz w:val="28"/>
          <w:szCs w:val="28"/>
          <w:highlight w:val="none"/>
        </w:rPr>
        <w:t>份，甲、乙双方各执</w:t>
      </w:r>
      <w:r>
        <w:rPr>
          <w:rFonts w:hint="eastAsia" w:ascii="Times New Roman" w:hAnsi="Times New Roman" w:eastAsia="方正仿宋_GBK"/>
          <w:sz w:val="28"/>
          <w:szCs w:val="28"/>
          <w:highlight w:val="none"/>
          <w:u w:val="single"/>
        </w:rPr>
        <w:t>贰</w:t>
      </w:r>
      <w:r>
        <w:rPr>
          <w:rFonts w:hint="eastAsia" w:ascii="Times New Roman" w:hAnsi="Times New Roman" w:eastAsia="方正仿宋_GBK"/>
          <w:sz w:val="28"/>
          <w:szCs w:val="28"/>
          <w:highlight w:val="none"/>
        </w:rPr>
        <w:t>份，财政监管部门备案</w:t>
      </w:r>
      <w:r>
        <w:rPr>
          <w:rFonts w:hint="eastAsia" w:ascii="Times New Roman" w:hAnsi="Times New Roman" w:eastAsia="方正仿宋_GBK"/>
          <w:sz w:val="28"/>
          <w:szCs w:val="28"/>
          <w:highlight w:val="none"/>
          <w:u w:val="single"/>
        </w:rPr>
        <w:t xml:space="preserve"> 壹 </w:t>
      </w:r>
      <w:r>
        <w:rPr>
          <w:rFonts w:hint="eastAsia" w:ascii="Times New Roman" w:hAnsi="Times New Roman" w:eastAsia="方正仿宋_GBK"/>
          <w:sz w:val="28"/>
          <w:szCs w:val="28"/>
          <w:highlight w:val="none"/>
        </w:rPr>
        <w:t>份。</w:t>
      </w:r>
    </w:p>
    <w:p w14:paraId="244FF30C">
      <w:pPr>
        <w:pStyle w:val="12"/>
        <w:spacing w:line="500" w:lineRule="exact"/>
        <w:rPr>
          <w:rFonts w:hint="default" w:ascii="Times New Roman" w:hAnsi="Times New Roman" w:eastAsia="方正仿宋_GBK"/>
          <w:kern w:val="2"/>
          <w:sz w:val="28"/>
          <w:szCs w:val="28"/>
          <w:highlight w:val="none"/>
        </w:rPr>
      </w:pPr>
    </w:p>
    <w:p w14:paraId="22A70172">
      <w:pPr>
        <w:pStyle w:val="12"/>
        <w:spacing w:line="500" w:lineRule="exact"/>
        <w:rPr>
          <w:rFonts w:hint="default" w:ascii="Times New Roman" w:hAnsi="Times New Roman" w:eastAsia="方正仿宋_GBK"/>
          <w:kern w:val="2"/>
          <w:sz w:val="28"/>
          <w:szCs w:val="28"/>
          <w:highlight w:val="none"/>
        </w:rPr>
      </w:pPr>
      <w:r>
        <w:rPr>
          <w:rFonts w:ascii="Times New Roman" w:hAnsi="Times New Roman" w:eastAsia="方正仿宋_GBK"/>
          <w:kern w:val="2"/>
          <w:sz w:val="28"/>
          <w:szCs w:val="28"/>
          <w:highlight w:val="none"/>
        </w:rPr>
        <w:t xml:space="preserve">甲方（盖章）：                   乙方（盖章）：           </w:t>
      </w:r>
    </w:p>
    <w:p w14:paraId="5B2389E4">
      <w:pPr>
        <w:pStyle w:val="12"/>
        <w:spacing w:line="500" w:lineRule="exact"/>
        <w:rPr>
          <w:rFonts w:hint="default" w:ascii="Times New Roman" w:hAnsi="Times New Roman" w:eastAsia="方正仿宋_GBK"/>
          <w:kern w:val="2"/>
          <w:sz w:val="28"/>
          <w:szCs w:val="28"/>
          <w:highlight w:val="none"/>
        </w:rPr>
      </w:pPr>
      <w:r>
        <w:rPr>
          <w:rFonts w:ascii="Times New Roman" w:hAnsi="Times New Roman" w:eastAsia="方正仿宋_GBK"/>
          <w:kern w:val="2"/>
          <w:sz w:val="28"/>
          <w:szCs w:val="28"/>
          <w:highlight w:val="none"/>
        </w:rPr>
        <w:t xml:space="preserve">法定代表人：                     法定代表人：            </w:t>
      </w:r>
    </w:p>
    <w:p w14:paraId="145C4CE6">
      <w:pPr>
        <w:pStyle w:val="12"/>
        <w:spacing w:line="500" w:lineRule="exact"/>
        <w:rPr>
          <w:rFonts w:hint="default" w:ascii="Times New Roman" w:hAnsi="Times New Roman" w:eastAsia="方正仿宋_GBK"/>
          <w:kern w:val="2"/>
          <w:sz w:val="28"/>
          <w:szCs w:val="28"/>
          <w:highlight w:val="none"/>
        </w:rPr>
      </w:pPr>
      <w:r>
        <w:rPr>
          <w:rFonts w:ascii="Times New Roman" w:hAnsi="Times New Roman" w:eastAsia="方正仿宋_GBK"/>
          <w:kern w:val="2"/>
          <w:sz w:val="28"/>
          <w:szCs w:val="28"/>
          <w:highlight w:val="none"/>
        </w:rPr>
        <w:t xml:space="preserve">委托代理人：                     委托代理人：            </w:t>
      </w:r>
    </w:p>
    <w:p w14:paraId="707D5BBF">
      <w:pPr>
        <w:pStyle w:val="12"/>
        <w:spacing w:line="500" w:lineRule="exact"/>
        <w:rPr>
          <w:rFonts w:hint="default" w:ascii="Times New Roman" w:hAnsi="Times New Roman" w:eastAsia="方正仿宋_GBK"/>
          <w:kern w:val="2"/>
          <w:sz w:val="28"/>
          <w:szCs w:val="28"/>
          <w:highlight w:val="none"/>
        </w:rPr>
      </w:pPr>
      <w:r>
        <w:rPr>
          <w:rFonts w:ascii="Times New Roman" w:hAnsi="Times New Roman" w:eastAsia="方正仿宋_GBK"/>
          <w:kern w:val="2"/>
          <w:sz w:val="28"/>
          <w:szCs w:val="28"/>
          <w:highlight w:val="none"/>
        </w:rPr>
        <w:t>联系人：                         联系人：</w:t>
      </w:r>
    </w:p>
    <w:p w14:paraId="067A3A04">
      <w:pPr>
        <w:pStyle w:val="12"/>
        <w:spacing w:line="500" w:lineRule="exact"/>
        <w:rPr>
          <w:rFonts w:hint="default" w:ascii="Times New Roman" w:hAnsi="Times New Roman" w:eastAsia="方正仿宋_GBK"/>
          <w:kern w:val="2"/>
          <w:sz w:val="28"/>
          <w:szCs w:val="28"/>
          <w:highlight w:val="none"/>
        </w:rPr>
      </w:pPr>
      <w:r>
        <w:rPr>
          <w:rFonts w:ascii="Times New Roman" w:hAnsi="Times New Roman" w:eastAsia="方正仿宋_GBK"/>
          <w:kern w:val="2"/>
          <w:sz w:val="28"/>
          <w:szCs w:val="28"/>
          <w:highlight w:val="none"/>
        </w:rPr>
        <w:t xml:space="preserve">联系电话：                       联系电话：              </w:t>
      </w:r>
    </w:p>
    <w:p w14:paraId="3F39E859">
      <w:pPr>
        <w:pStyle w:val="12"/>
        <w:spacing w:line="500" w:lineRule="exact"/>
        <w:rPr>
          <w:rFonts w:hint="default" w:ascii="Times New Roman" w:hAnsi="Times New Roman" w:eastAsia="方正仿宋_GBK"/>
          <w:kern w:val="2"/>
          <w:sz w:val="28"/>
          <w:szCs w:val="28"/>
          <w:highlight w:val="none"/>
        </w:rPr>
      </w:pPr>
      <w:r>
        <w:rPr>
          <w:rFonts w:ascii="Times New Roman" w:hAnsi="Times New Roman" w:eastAsia="方正仿宋_GBK"/>
          <w:kern w:val="2"/>
          <w:sz w:val="28"/>
          <w:szCs w:val="28"/>
          <w:highlight w:val="none"/>
        </w:rPr>
        <w:t>开户银行：                       开户银行：</w:t>
      </w:r>
    </w:p>
    <w:p w14:paraId="097B691E">
      <w:pPr>
        <w:pStyle w:val="12"/>
        <w:spacing w:line="500" w:lineRule="exact"/>
        <w:rPr>
          <w:rFonts w:hint="default" w:ascii="Times New Roman" w:hAnsi="Times New Roman" w:eastAsia="方正仿宋_GBK"/>
          <w:kern w:val="2"/>
          <w:sz w:val="28"/>
          <w:szCs w:val="28"/>
          <w:highlight w:val="none"/>
        </w:rPr>
      </w:pPr>
      <w:r>
        <w:rPr>
          <w:rFonts w:ascii="Times New Roman" w:hAnsi="Times New Roman" w:eastAsia="方正仿宋_GBK"/>
          <w:kern w:val="2"/>
          <w:sz w:val="28"/>
          <w:szCs w:val="28"/>
          <w:highlight w:val="none"/>
        </w:rPr>
        <w:t xml:space="preserve">银行帐号：                       银行帐号：                                          </w:t>
      </w:r>
    </w:p>
    <w:p w14:paraId="565A6906">
      <w:pPr>
        <w:pStyle w:val="12"/>
        <w:rPr>
          <w:rFonts w:ascii="Times New Roman" w:hAnsi="Times New Roman" w:eastAsia="方正仿宋_GBK"/>
          <w:kern w:val="2"/>
          <w:sz w:val="28"/>
          <w:szCs w:val="28"/>
          <w:highlight w:val="none"/>
        </w:rPr>
      </w:pPr>
      <w:r>
        <w:rPr>
          <w:rFonts w:ascii="Times New Roman" w:hAnsi="Times New Roman" w:eastAsia="方正仿宋_GBK"/>
          <w:kern w:val="2"/>
          <w:sz w:val="28"/>
          <w:szCs w:val="28"/>
          <w:highlight w:val="none"/>
        </w:rPr>
        <w:t>签订日期：</w:t>
      </w:r>
      <w:bookmarkStart w:id="53" w:name="_Toc82505665"/>
    </w:p>
    <w:p w14:paraId="2482AC29">
      <w:pPr>
        <w:pStyle w:val="12"/>
        <w:rPr>
          <w:rFonts w:ascii="Times New Roman" w:hAnsi="Times New Roman" w:eastAsia="方正仿宋_GBK"/>
          <w:kern w:val="2"/>
          <w:sz w:val="28"/>
          <w:szCs w:val="28"/>
          <w:highlight w:val="none"/>
        </w:rPr>
      </w:pPr>
    </w:p>
    <w:p w14:paraId="798F90B5">
      <w:pPr>
        <w:pStyle w:val="12"/>
        <w:jc w:val="center"/>
        <w:rPr>
          <w:rFonts w:hint="default" w:ascii="方正小标宋_GBK" w:hAnsi="宋体" w:eastAsia="方正小标宋_GBK" w:cs="宋体"/>
          <w:highlight w:val="none"/>
        </w:rPr>
      </w:pPr>
      <w:r>
        <w:rPr>
          <w:rFonts w:ascii="方正小标宋_GBK" w:hAnsi="宋体" w:eastAsia="方正小标宋_GBK" w:cs="宋体"/>
          <w:sz w:val="36"/>
          <w:szCs w:val="36"/>
          <w:highlight w:val="none"/>
        </w:rPr>
        <w:t>第四部分  响应文件</w:t>
      </w:r>
      <w:bookmarkEnd w:id="51"/>
      <w:bookmarkEnd w:id="53"/>
      <w:r>
        <w:rPr>
          <w:rFonts w:ascii="方正小标宋_GBK" w:hAnsi="宋体" w:eastAsia="方正小标宋_GBK" w:cs="宋体"/>
          <w:sz w:val="36"/>
          <w:szCs w:val="36"/>
          <w:highlight w:val="none"/>
        </w:rPr>
        <w:t>格式</w:t>
      </w:r>
    </w:p>
    <w:p w14:paraId="2CFF5409">
      <w:pPr>
        <w:adjustRightInd w:val="0"/>
        <w:snapToGrid w:val="0"/>
        <w:spacing w:line="500" w:lineRule="exact"/>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1.</w:t>
      </w:r>
      <w:r>
        <w:rPr>
          <w:rFonts w:hint="eastAsia" w:ascii="Times New Roman" w:hAnsi="Times New Roman" w:eastAsia="方正仿宋_GBK"/>
          <w:kern w:val="0"/>
          <w:sz w:val="28"/>
          <w:szCs w:val="28"/>
          <w:highlight w:val="none"/>
        </w:rPr>
        <w:t>投标人符合《政府采购法》第二十二条规定条件的声明函</w:t>
      </w:r>
      <w:r>
        <w:rPr>
          <w:rFonts w:ascii="Times New Roman" w:hAnsi="Times New Roman" w:eastAsia="方正仿宋_GBK"/>
          <w:kern w:val="0"/>
          <w:sz w:val="28"/>
          <w:szCs w:val="28"/>
          <w:highlight w:val="none"/>
          <w:lang w:val="zh-CN"/>
        </w:rPr>
        <w:t>（格式见附件1）</w:t>
      </w:r>
      <w:r>
        <w:rPr>
          <w:rFonts w:hint="eastAsia" w:ascii="Times New Roman" w:hAnsi="Times New Roman" w:eastAsia="方正仿宋_GBK"/>
          <w:kern w:val="0"/>
          <w:sz w:val="28"/>
          <w:szCs w:val="28"/>
          <w:highlight w:val="none"/>
          <w:lang w:val="zh-CN"/>
        </w:rPr>
        <w:t>（如分公司参加投标的，另需提供总公司的授权证明）</w:t>
      </w:r>
      <w:r>
        <w:rPr>
          <w:rFonts w:ascii="Times New Roman" w:hAnsi="Times New Roman" w:eastAsia="方正仿宋_GBK"/>
          <w:kern w:val="0"/>
          <w:sz w:val="28"/>
          <w:szCs w:val="28"/>
          <w:highlight w:val="none"/>
          <w:lang w:val="zh-CN"/>
        </w:rPr>
        <w:t>；</w:t>
      </w:r>
    </w:p>
    <w:p w14:paraId="216E2E0D">
      <w:pPr>
        <w:adjustRightInd w:val="0"/>
        <w:snapToGrid w:val="0"/>
        <w:spacing w:line="500" w:lineRule="exact"/>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2</w:t>
      </w:r>
      <w:r>
        <w:rPr>
          <w:rFonts w:ascii="Times New Roman" w:hAnsi="Times New Roman" w:eastAsia="方正仿宋_GBK"/>
          <w:kern w:val="0"/>
          <w:sz w:val="28"/>
          <w:szCs w:val="28"/>
          <w:highlight w:val="none"/>
          <w:lang w:val="zh-CN"/>
        </w:rPr>
        <w:t>.法定代表人身份证明书（格式见附件2）</w:t>
      </w:r>
      <w:r>
        <w:rPr>
          <w:rFonts w:hint="eastAsia" w:ascii="Times New Roman" w:hAnsi="Times New Roman" w:eastAsia="方正仿宋_GBK"/>
          <w:kern w:val="0"/>
          <w:sz w:val="28"/>
          <w:szCs w:val="28"/>
          <w:highlight w:val="none"/>
          <w:lang w:val="zh-CN"/>
        </w:rPr>
        <w:t>、法人或者其他组织的营业执照等证明文件，自然人的身份证明</w:t>
      </w:r>
      <w:r>
        <w:rPr>
          <w:rFonts w:ascii="Times New Roman" w:hAnsi="Times New Roman" w:eastAsia="方正仿宋_GBK"/>
          <w:kern w:val="0"/>
          <w:sz w:val="28"/>
          <w:szCs w:val="28"/>
          <w:highlight w:val="none"/>
          <w:lang w:val="zh-CN"/>
        </w:rPr>
        <w:t>；</w:t>
      </w:r>
    </w:p>
    <w:p w14:paraId="29137C61">
      <w:pPr>
        <w:adjustRightInd w:val="0"/>
        <w:snapToGrid w:val="0"/>
        <w:spacing w:line="500" w:lineRule="exact"/>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3</w:t>
      </w:r>
      <w:r>
        <w:rPr>
          <w:rFonts w:ascii="Times New Roman" w:hAnsi="Times New Roman" w:eastAsia="方正仿宋_GBK"/>
          <w:kern w:val="0"/>
          <w:sz w:val="28"/>
          <w:szCs w:val="28"/>
          <w:highlight w:val="none"/>
          <w:lang w:val="zh-CN"/>
        </w:rPr>
        <w:t>.法定代表人授权委托书原件（格式见附件3</w:t>
      </w:r>
      <w:r>
        <w:rPr>
          <w:rFonts w:hint="eastAsia" w:ascii="Times New Roman" w:hAnsi="Times New Roman" w:eastAsia="方正仿宋_GBK"/>
          <w:kern w:val="0"/>
          <w:sz w:val="28"/>
          <w:szCs w:val="28"/>
          <w:highlight w:val="none"/>
          <w:lang w:val="zh-CN"/>
        </w:rPr>
        <w:t>，法定代表人参加的，无需提供授权委托书</w:t>
      </w:r>
      <w:r>
        <w:rPr>
          <w:rFonts w:ascii="Times New Roman" w:hAnsi="Times New Roman" w:eastAsia="方正仿宋_GBK"/>
          <w:kern w:val="0"/>
          <w:sz w:val="28"/>
          <w:szCs w:val="28"/>
          <w:highlight w:val="none"/>
          <w:lang w:val="zh-CN"/>
        </w:rPr>
        <w:t>），</w:t>
      </w:r>
      <w:r>
        <w:rPr>
          <w:rFonts w:hint="eastAsia" w:ascii="Times New Roman" w:hAnsi="Times New Roman" w:eastAsia="方正仿宋_GBK"/>
          <w:kern w:val="0"/>
          <w:sz w:val="28"/>
          <w:szCs w:val="28"/>
          <w:highlight w:val="none"/>
          <w:lang w:val="zh-CN"/>
        </w:rPr>
        <w:t>谈判</w:t>
      </w:r>
      <w:r>
        <w:rPr>
          <w:rFonts w:ascii="Times New Roman" w:hAnsi="Times New Roman" w:eastAsia="方正仿宋_GBK"/>
          <w:kern w:val="0"/>
          <w:sz w:val="28"/>
          <w:szCs w:val="28"/>
          <w:highlight w:val="none"/>
          <w:lang w:val="zh-CN"/>
        </w:rPr>
        <w:t>代表本人身份证复印件；</w:t>
      </w:r>
    </w:p>
    <w:p w14:paraId="660B6E21">
      <w:pPr>
        <w:adjustRightInd w:val="0"/>
        <w:snapToGrid w:val="0"/>
        <w:spacing w:line="500" w:lineRule="exact"/>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供应商信用承诺书（格式见附件</w:t>
      </w:r>
      <w:r>
        <w:rPr>
          <w:rFonts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w:t>
      </w:r>
    </w:p>
    <w:p w14:paraId="7EBC00CA">
      <w:pPr>
        <w:adjustRightInd w:val="0"/>
        <w:snapToGrid w:val="0"/>
        <w:spacing w:line="500" w:lineRule="exact"/>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lang w:val="zh-CN"/>
        </w:rPr>
        <w:t>5.有效的营业执照原件扫描件；</w:t>
      </w:r>
    </w:p>
    <w:p w14:paraId="15018753">
      <w:pPr>
        <w:adjustRightInd w:val="0"/>
        <w:snapToGrid w:val="0"/>
        <w:spacing w:line="500" w:lineRule="exact"/>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lang w:val="zh-CN"/>
        </w:rPr>
        <w:t>6.农药生产许可证或农药经营许可证原件扫描件；</w:t>
      </w:r>
    </w:p>
    <w:p w14:paraId="6559C29A">
      <w:pPr>
        <w:adjustRightInd w:val="0"/>
        <w:snapToGrid w:val="0"/>
        <w:spacing w:line="500" w:lineRule="exact"/>
        <w:rPr>
          <w:rFonts w:hint="eastAsia"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7</w:t>
      </w:r>
      <w:r>
        <w:rPr>
          <w:rFonts w:hint="eastAsia" w:ascii="Times New Roman" w:hAnsi="Times New Roman" w:eastAsia="方正仿宋_GBK"/>
          <w:kern w:val="0"/>
          <w:sz w:val="28"/>
          <w:szCs w:val="28"/>
          <w:highlight w:val="none"/>
          <w:lang w:val="zh-CN"/>
        </w:rPr>
        <w:t>.询价响应函（格式见附件5）；</w:t>
      </w:r>
    </w:p>
    <w:p w14:paraId="1C34935F">
      <w:pPr>
        <w:adjustRightInd w:val="0"/>
        <w:snapToGrid w:val="0"/>
        <w:spacing w:line="500" w:lineRule="exact"/>
        <w:rPr>
          <w:rFonts w:hint="eastAsia" w:ascii="Times New Roman" w:hAnsi="Times New Roman" w:eastAsia="方正仿宋_GBK"/>
          <w:kern w:val="0"/>
          <w:sz w:val="28"/>
          <w:szCs w:val="28"/>
          <w:highlight w:val="none"/>
          <w:lang w:val="zh-CN" w:eastAsia="zh-CN"/>
        </w:rPr>
      </w:pPr>
      <w:r>
        <w:rPr>
          <w:rFonts w:hint="eastAsia" w:ascii="Times New Roman" w:hAnsi="Times New Roman" w:eastAsia="方正仿宋_GBK"/>
          <w:kern w:val="0"/>
          <w:sz w:val="28"/>
          <w:szCs w:val="28"/>
          <w:highlight w:val="none"/>
          <w:lang w:val="en-US" w:eastAsia="zh-CN"/>
        </w:rPr>
        <w:t>8</w:t>
      </w:r>
      <w:r>
        <w:rPr>
          <w:rFonts w:hint="eastAsia" w:ascii="Times New Roman" w:hAnsi="Times New Roman" w:eastAsia="方正仿宋_GBK"/>
          <w:kern w:val="0"/>
          <w:sz w:val="28"/>
          <w:szCs w:val="28"/>
          <w:highlight w:val="none"/>
          <w:lang w:val="zh-CN" w:eastAsia="zh-CN"/>
        </w:rPr>
        <w:t>.商务部分正负偏离表；（格式见附件6）</w:t>
      </w:r>
    </w:p>
    <w:p w14:paraId="280666A6">
      <w:pPr>
        <w:adjustRightInd w:val="0"/>
        <w:snapToGrid w:val="0"/>
        <w:spacing w:line="500" w:lineRule="exact"/>
        <w:rPr>
          <w:rFonts w:hint="eastAsia" w:ascii="Times New Roman" w:hAnsi="Times New Roman" w:eastAsia="方正仿宋_GBK"/>
          <w:kern w:val="0"/>
          <w:sz w:val="28"/>
          <w:szCs w:val="28"/>
          <w:highlight w:val="none"/>
          <w:lang w:val="zh-CN" w:eastAsia="zh-CN"/>
        </w:rPr>
      </w:pPr>
      <w:r>
        <w:rPr>
          <w:rFonts w:hint="eastAsia" w:ascii="Times New Roman" w:hAnsi="Times New Roman" w:eastAsia="方正仿宋_GBK"/>
          <w:kern w:val="0"/>
          <w:sz w:val="28"/>
          <w:szCs w:val="28"/>
          <w:highlight w:val="none"/>
          <w:lang w:val="zh-CN" w:eastAsia="zh-CN"/>
        </w:rPr>
        <w:t>技术部分正负偏离表；（格式见附件7）</w:t>
      </w:r>
      <w:bookmarkStart w:id="57" w:name="_GoBack"/>
      <w:bookmarkEnd w:id="57"/>
    </w:p>
    <w:p w14:paraId="189CBE8E">
      <w:pPr>
        <w:adjustRightInd w:val="0"/>
        <w:snapToGrid w:val="0"/>
        <w:spacing w:line="500" w:lineRule="exact"/>
        <w:rPr>
          <w:rFonts w:hint="eastAsia" w:ascii="Times New Roman" w:hAnsi="Times New Roman" w:eastAsia="方正仿宋_GBK"/>
          <w:kern w:val="0"/>
          <w:sz w:val="28"/>
          <w:szCs w:val="28"/>
          <w:highlight w:val="none"/>
          <w:lang w:val="zh-CN" w:eastAsia="zh-CN"/>
        </w:rPr>
      </w:pPr>
      <w:r>
        <w:rPr>
          <w:rFonts w:hint="eastAsia" w:ascii="Times New Roman" w:hAnsi="Times New Roman" w:eastAsia="方正仿宋_GBK"/>
          <w:kern w:val="0"/>
          <w:sz w:val="28"/>
          <w:szCs w:val="28"/>
          <w:highlight w:val="none"/>
          <w:lang w:val="zh-CN" w:eastAsia="zh-CN"/>
        </w:rPr>
        <w:t>填制正负偏离表，完全响应的，请以空白表列示。不完全响应的，</w:t>
      </w:r>
    </w:p>
    <w:p w14:paraId="504715AB">
      <w:pPr>
        <w:adjustRightInd w:val="0"/>
        <w:snapToGrid w:val="0"/>
        <w:spacing w:line="500" w:lineRule="exact"/>
        <w:rPr>
          <w:rFonts w:hint="eastAsia" w:ascii="Times New Roman" w:hAnsi="Times New Roman" w:eastAsia="方正仿宋_GBK"/>
          <w:kern w:val="0"/>
          <w:sz w:val="28"/>
          <w:szCs w:val="28"/>
          <w:highlight w:val="none"/>
          <w:lang w:val="zh-CN" w:eastAsia="zh-CN"/>
        </w:rPr>
      </w:pPr>
      <w:r>
        <w:rPr>
          <w:rFonts w:hint="eastAsia" w:ascii="Times New Roman" w:hAnsi="Times New Roman" w:eastAsia="方正仿宋_GBK"/>
          <w:kern w:val="0"/>
          <w:sz w:val="28"/>
          <w:szCs w:val="28"/>
          <w:highlight w:val="none"/>
          <w:lang w:val="zh-CN" w:eastAsia="zh-CN"/>
        </w:rPr>
        <w:t>必须在偏离表中列示；列示不全的，视同故意隐瞒。</w:t>
      </w:r>
    </w:p>
    <w:p w14:paraId="56CA8A03">
      <w:pPr>
        <w:adjustRightInd w:val="0"/>
        <w:snapToGrid w:val="0"/>
        <w:spacing w:line="500" w:lineRule="exact"/>
        <w:rPr>
          <w:rFonts w:hint="eastAsia" w:ascii="Times New Roman" w:hAnsi="Times New Roman" w:eastAsia="方正仿宋_GBK"/>
          <w:kern w:val="0"/>
          <w:sz w:val="28"/>
          <w:szCs w:val="28"/>
          <w:highlight w:val="none"/>
          <w:lang w:val="zh-CN" w:eastAsia="zh-CN"/>
        </w:rPr>
      </w:pPr>
      <w:r>
        <w:rPr>
          <w:rFonts w:hint="eastAsia" w:ascii="Times New Roman" w:hAnsi="Times New Roman" w:eastAsia="方正仿宋_GBK"/>
          <w:kern w:val="0"/>
          <w:sz w:val="28"/>
          <w:szCs w:val="28"/>
          <w:highlight w:val="none"/>
          <w:lang w:val="en-US" w:eastAsia="zh-CN"/>
        </w:rPr>
        <w:t>9</w:t>
      </w:r>
      <w:r>
        <w:rPr>
          <w:rFonts w:hint="eastAsia" w:ascii="Times New Roman" w:hAnsi="Times New Roman" w:eastAsia="方正仿宋_GBK"/>
          <w:kern w:val="0"/>
          <w:sz w:val="28"/>
          <w:szCs w:val="28"/>
          <w:highlight w:val="none"/>
          <w:lang w:val="zh-CN" w:eastAsia="zh-CN"/>
        </w:rPr>
        <w:t>.询价报价表（格式见苏采云系统内电子投标(响应)文件中表式）；</w:t>
      </w:r>
    </w:p>
    <w:p w14:paraId="66C00CBF">
      <w:pPr>
        <w:adjustRightInd w:val="0"/>
        <w:snapToGrid w:val="0"/>
        <w:spacing w:line="500" w:lineRule="exact"/>
        <w:rPr>
          <w:rFonts w:ascii="Times New Roman" w:hAnsi="Times New Roman" w:eastAsia="方正仿宋_GBK"/>
          <w:kern w:val="0"/>
          <w:sz w:val="28"/>
          <w:szCs w:val="28"/>
          <w:highlight w:val="none"/>
          <w:lang w:val="zh-CN"/>
        </w:rPr>
      </w:pPr>
      <w:r>
        <w:rPr>
          <w:rFonts w:hint="eastAsia" w:ascii="Times New Roman" w:hAnsi="Times New Roman" w:eastAsia="方正仿宋_GBK"/>
          <w:b/>
          <w:bCs/>
          <w:kern w:val="0"/>
          <w:sz w:val="28"/>
          <w:szCs w:val="28"/>
          <w:highlight w:val="none"/>
          <w:lang w:val="zh-CN"/>
        </w:rPr>
        <w:t>注：询价报价表请统一填写10</w:t>
      </w:r>
      <w:r>
        <w:rPr>
          <w:rFonts w:hint="eastAsia" w:ascii="Times New Roman" w:hAnsi="Times New Roman" w:eastAsia="方正仿宋_GBK"/>
          <w:b/>
          <w:bCs/>
          <w:kern w:val="0"/>
          <w:sz w:val="28"/>
          <w:szCs w:val="28"/>
          <w:highlight w:val="none"/>
          <w:lang w:val="en-US" w:eastAsia="zh-CN"/>
        </w:rPr>
        <w:t>9</w:t>
      </w:r>
      <w:r>
        <w:rPr>
          <w:rFonts w:hint="eastAsia" w:ascii="Times New Roman" w:hAnsi="Times New Roman" w:eastAsia="方正仿宋_GBK"/>
          <w:b/>
          <w:bCs/>
          <w:kern w:val="0"/>
          <w:sz w:val="28"/>
          <w:szCs w:val="28"/>
          <w:highlight w:val="none"/>
          <w:lang w:val="zh-CN"/>
        </w:rPr>
        <w:t>万元</w:t>
      </w:r>
      <w:r>
        <w:rPr>
          <w:rFonts w:hint="eastAsia" w:ascii="Times New Roman" w:hAnsi="Times New Roman" w:eastAsia="方正仿宋_GBK"/>
          <w:b/>
          <w:bCs/>
          <w:color w:val="auto"/>
          <w:kern w:val="0"/>
          <w:sz w:val="28"/>
          <w:szCs w:val="28"/>
          <w:highlight w:val="none"/>
          <w:lang w:val="zh-CN"/>
        </w:rPr>
        <w:t>。</w:t>
      </w:r>
    </w:p>
    <w:p w14:paraId="061B2ACE">
      <w:pPr>
        <w:adjustRightInd w:val="0"/>
        <w:snapToGrid w:val="0"/>
        <w:spacing w:line="500" w:lineRule="exact"/>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lang w:val="en-US" w:eastAsia="zh-CN"/>
        </w:rPr>
        <w:t>10.</w:t>
      </w:r>
      <w:r>
        <w:rPr>
          <w:rFonts w:ascii="Times New Roman" w:hAnsi="Times New Roman" w:eastAsia="方正仿宋_GBK"/>
          <w:kern w:val="0"/>
          <w:sz w:val="28"/>
          <w:szCs w:val="28"/>
          <w:highlight w:val="none"/>
          <w:lang w:val="zh-CN"/>
        </w:rPr>
        <w:t>分项报价明细表（格式见附件</w:t>
      </w:r>
      <w:r>
        <w:rPr>
          <w:rFonts w:hint="eastAsia" w:ascii="Times New Roman" w:hAnsi="Times New Roman" w:eastAsia="方正仿宋_GBK"/>
          <w:kern w:val="0"/>
          <w:sz w:val="28"/>
          <w:szCs w:val="28"/>
          <w:highlight w:val="none"/>
          <w:lang w:val="en-US" w:eastAsia="zh-CN"/>
        </w:rPr>
        <w:t>8</w:t>
      </w:r>
      <w:r>
        <w:rPr>
          <w:rFonts w:ascii="Times New Roman" w:hAnsi="Times New Roman" w:eastAsia="方正仿宋_GBK"/>
          <w:kern w:val="0"/>
          <w:sz w:val="28"/>
          <w:szCs w:val="28"/>
          <w:highlight w:val="none"/>
          <w:lang w:val="zh-CN"/>
        </w:rPr>
        <w:t>）</w:t>
      </w:r>
      <w:r>
        <w:rPr>
          <w:rFonts w:hint="eastAsia" w:ascii="Times New Roman" w:hAnsi="Times New Roman" w:eastAsia="方正仿宋_GBK"/>
          <w:kern w:val="0"/>
          <w:sz w:val="28"/>
          <w:szCs w:val="28"/>
          <w:highlight w:val="none"/>
          <w:lang w:val="zh-CN"/>
        </w:rPr>
        <w:t>；</w:t>
      </w:r>
    </w:p>
    <w:p w14:paraId="61EF28F5">
      <w:pPr>
        <w:adjustRightInd w:val="0"/>
        <w:snapToGrid w:val="0"/>
        <w:spacing w:line="500" w:lineRule="exact"/>
        <w:rPr>
          <w:rFonts w:ascii="Times New Roman" w:hAnsi="Times New Roman" w:eastAsia="方正仿宋_GBK"/>
          <w:bCs/>
          <w:kern w:val="0"/>
          <w:sz w:val="28"/>
          <w:szCs w:val="28"/>
          <w:highlight w:val="none"/>
          <w:lang w:val="zh-CN"/>
        </w:rPr>
      </w:pPr>
      <w:r>
        <w:rPr>
          <w:rFonts w:hint="eastAsia" w:ascii="Times New Roman" w:hAnsi="Times New Roman" w:eastAsia="方正仿宋_GBK"/>
          <w:kern w:val="0"/>
          <w:sz w:val="28"/>
          <w:szCs w:val="28"/>
          <w:highlight w:val="none"/>
          <w:lang w:val="en-US" w:eastAsia="zh-CN"/>
        </w:rPr>
        <w:t>11</w:t>
      </w:r>
      <w:r>
        <w:rPr>
          <w:rFonts w:ascii="Times New Roman" w:hAnsi="Times New Roman" w:eastAsia="方正仿宋_GBK"/>
          <w:kern w:val="0"/>
          <w:sz w:val="28"/>
          <w:szCs w:val="28"/>
          <w:highlight w:val="none"/>
          <w:lang w:val="zh-CN"/>
        </w:rPr>
        <w:t>.</w:t>
      </w:r>
      <w:r>
        <w:rPr>
          <w:rFonts w:ascii="Times New Roman" w:hAnsi="Times New Roman" w:eastAsia="方正仿宋_GBK"/>
          <w:kern w:val="0"/>
          <w:sz w:val="28"/>
          <w:szCs w:val="28"/>
          <w:highlight w:val="none"/>
        </w:rPr>
        <w:t>中小企业声明函（</w:t>
      </w:r>
      <w:r>
        <w:rPr>
          <w:rFonts w:hint="eastAsia" w:ascii="Times New Roman" w:hAnsi="Times New Roman" w:eastAsia="方正仿宋_GBK"/>
          <w:kern w:val="0"/>
          <w:sz w:val="28"/>
          <w:szCs w:val="28"/>
          <w:highlight w:val="none"/>
        </w:rPr>
        <w:t>如有，</w:t>
      </w:r>
      <w:r>
        <w:rPr>
          <w:rFonts w:ascii="Times New Roman" w:hAnsi="Times New Roman" w:eastAsia="方正仿宋_GBK"/>
          <w:bCs/>
          <w:kern w:val="0"/>
          <w:sz w:val="28"/>
          <w:szCs w:val="28"/>
          <w:highlight w:val="none"/>
        </w:rPr>
        <w:t>格式见附件</w:t>
      </w:r>
      <w:r>
        <w:rPr>
          <w:rFonts w:hint="eastAsia" w:ascii="Times New Roman" w:hAnsi="Times New Roman" w:eastAsia="方正仿宋_GBK"/>
          <w:bCs/>
          <w:kern w:val="0"/>
          <w:sz w:val="28"/>
          <w:szCs w:val="28"/>
          <w:highlight w:val="none"/>
          <w:lang w:val="en-US" w:eastAsia="zh-CN"/>
        </w:rPr>
        <w:t>9</w:t>
      </w:r>
      <w:r>
        <w:rPr>
          <w:rFonts w:ascii="Times New Roman" w:hAnsi="Times New Roman" w:eastAsia="方正仿宋_GBK"/>
          <w:bCs/>
          <w:kern w:val="0"/>
          <w:sz w:val="28"/>
          <w:szCs w:val="28"/>
          <w:highlight w:val="none"/>
        </w:rPr>
        <w:t>）</w:t>
      </w:r>
      <w:r>
        <w:rPr>
          <w:rFonts w:hint="eastAsia" w:ascii="Times New Roman" w:hAnsi="Times New Roman" w:eastAsia="方正仿宋_GBK"/>
          <w:bCs/>
          <w:kern w:val="0"/>
          <w:sz w:val="28"/>
          <w:szCs w:val="28"/>
          <w:highlight w:val="none"/>
        </w:rPr>
        <w:t>；</w:t>
      </w:r>
    </w:p>
    <w:p w14:paraId="60EEB6ED">
      <w:pPr>
        <w:adjustRightInd w:val="0"/>
        <w:snapToGrid w:val="0"/>
        <w:spacing w:line="500" w:lineRule="exact"/>
        <w:rPr>
          <w:rFonts w:ascii="Times New Roman" w:hAnsi="Times New Roman" w:eastAsia="方正仿宋_GBK"/>
          <w:bCs/>
          <w:kern w:val="0"/>
          <w:sz w:val="28"/>
          <w:szCs w:val="28"/>
          <w:highlight w:val="none"/>
        </w:rPr>
      </w:pPr>
      <w:r>
        <w:rPr>
          <w:rFonts w:hint="eastAsia" w:ascii="Times New Roman" w:hAnsi="Times New Roman" w:eastAsia="方正仿宋_GBK"/>
          <w:bCs/>
          <w:kern w:val="0"/>
          <w:sz w:val="28"/>
          <w:szCs w:val="28"/>
          <w:highlight w:val="none"/>
          <w:lang w:val="en-US" w:eastAsia="zh-CN"/>
        </w:rPr>
        <w:t>12</w:t>
      </w:r>
      <w:r>
        <w:rPr>
          <w:rFonts w:ascii="Times New Roman" w:hAnsi="Times New Roman" w:eastAsia="方正仿宋_GBK"/>
          <w:bCs/>
          <w:kern w:val="0"/>
          <w:sz w:val="28"/>
          <w:szCs w:val="28"/>
          <w:highlight w:val="none"/>
          <w:lang w:val="zh-CN"/>
        </w:rPr>
        <w:t>.</w:t>
      </w:r>
      <w:r>
        <w:rPr>
          <w:rFonts w:ascii="Times New Roman" w:hAnsi="Times New Roman" w:eastAsia="方正仿宋_GBK"/>
          <w:bCs/>
          <w:kern w:val="0"/>
          <w:sz w:val="28"/>
          <w:szCs w:val="28"/>
          <w:highlight w:val="none"/>
        </w:rPr>
        <w:t>残疾人福利性单位声明函（</w:t>
      </w:r>
      <w:r>
        <w:rPr>
          <w:rFonts w:hint="eastAsia" w:ascii="Times New Roman" w:hAnsi="Times New Roman" w:eastAsia="方正仿宋_GBK"/>
          <w:kern w:val="0"/>
          <w:sz w:val="28"/>
          <w:szCs w:val="28"/>
          <w:highlight w:val="none"/>
        </w:rPr>
        <w:t>如有，</w:t>
      </w:r>
      <w:r>
        <w:rPr>
          <w:rFonts w:ascii="Times New Roman" w:hAnsi="Times New Roman" w:eastAsia="方正仿宋_GBK"/>
          <w:bCs/>
          <w:kern w:val="0"/>
          <w:sz w:val="28"/>
          <w:szCs w:val="28"/>
          <w:highlight w:val="none"/>
        </w:rPr>
        <w:t>格式见附件</w:t>
      </w:r>
      <w:r>
        <w:rPr>
          <w:rFonts w:hint="eastAsia" w:ascii="Times New Roman" w:hAnsi="Times New Roman" w:eastAsia="方正仿宋_GBK"/>
          <w:bCs/>
          <w:kern w:val="0"/>
          <w:sz w:val="28"/>
          <w:szCs w:val="28"/>
          <w:highlight w:val="none"/>
          <w:lang w:val="en-US" w:eastAsia="zh-CN"/>
        </w:rPr>
        <w:t>10</w:t>
      </w:r>
      <w:r>
        <w:rPr>
          <w:rFonts w:ascii="Times New Roman" w:hAnsi="Times New Roman" w:eastAsia="方正仿宋_GBK"/>
          <w:bCs/>
          <w:kern w:val="0"/>
          <w:sz w:val="28"/>
          <w:szCs w:val="28"/>
          <w:highlight w:val="none"/>
        </w:rPr>
        <w:t>）</w:t>
      </w:r>
      <w:r>
        <w:rPr>
          <w:rFonts w:hint="eastAsia" w:ascii="Times New Roman" w:hAnsi="Times New Roman" w:eastAsia="方正仿宋_GBK"/>
          <w:bCs/>
          <w:kern w:val="0"/>
          <w:sz w:val="28"/>
          <w:szCs w:val="28"/>
          <w:highlight w:val="none"/>
        </w:rPr>
        <w:t>；</w:t>
      </w:r>
    </w:p>
    <w:p w14:paraId="73A48C92">
      <w:pPr>
        <w:adjustRightInd w:val="0"/>
        <w:snapToGrid w:val="0"/>
        <w:spacing w:line="500" w:lineRule="exact"/>
        <w:rPr>
          <w:rFonts w:ascii="Times New Roman" w:hAnsi="Times New Roman" w:eastAsia="方正仿宋_GBK"/>
          <w:kern w:val="0"/>
          <w:sz w:val="28"/>
          <w:szCs w:val="28"/>
          <w:highlight w:val="none"/>
          <w:lang w:val="zh-CN"/>
        </w:rPr>
      </w:pPr>
      <w:r>
        <w:rPr>
          <w:rFonts w:hint="eastAsia" w:ascii="Times New Roman" w:hAnsi="Times New Roman" w:eastAsia="方正仿宋_GBK"/>
          <w:bCs/>
          <w:kern w:val="0"/>
          <w:sz w:val="28"/>
          <w:szCs w:val="28"/>
          <w:highlight w:val="none"/>
          <w:lang w:val="en-US" w:eastAsia="zh-CN"/>
        </w:rPr>
        <w:t>13</w:t>
      </w:r>
      <w:r>
        <w:rPr>
          <w:rFonts w:ascii="Times New Roman" w:hAnsi="Times New Roman" w:eastAsia="方正仿宋_GBK"/>
          <w:bCs/>
          <w:kern w:val="0"/>
          <w:sz w:val="28"/>
          <w:szCs w:val="28"/>
          <w:highlight w:val="none"/>
        </w:rPr>
        <w:t>.监狱和戒毒企业证明材料（</w:t>
      </w:r>
      <w:r>
        <w:rPr>
          <w:rFonts w:hint="eastAsia" w:ascii="Times New Roman" w:hAnsi="Times New Roman" w:eastAsia="方正仿宋_GBK"/>
          <w:kern w:val="0"/>
          <w:sz w:val="28"/>
          <w:szCs w:val="28"/>
          <w:highlight w:val="none"/>
        </w:rPr>
        <w:t>如有，</w:t>
      </w:r>
      <w:r>
        <w:rPr>
          <w:rFonts w:ascii="Times New Roman" w:hAnsi="Times New Roman" w:eastAsia="方正仿宋_GBK"/>
          <w:bCs/>
          <w:kern w:val="0"/>
          <w:sz w:val="28"/>
          <w:szCs w:val="28"/>
          <w:highlight w:val="none"/>
        </w:rPr>
        <w:t>格式见附件</w:t>
      </w:r>
      <w:r>
        <w:rPr>
          <w:rFonts w:hint="eastAsia" w:ascii="Times New Roman" w:hAnsi="Times New Roman" w:eastAsia="方正仿宋_GBK"/>
          <w:bCs/>
          <w:kern w:val="0"/>
          <w:sz w:val="28"/>
          <w:szCs w:val="28"/>
          <w:highlight w:val="none"/>
          <w:lang w:val="en-US" w:eastAsia="zh-CN"/>
        </w:rPr>
        <w:t>11</w:t>
      </w:r>
      <w:r>
        <w:rPr>
          <w:rFonts w:ascii="Times New Roman" w:hAnsi="Times New Roman" w:eastAsia="方正仿宋_GBK"/>
          <w:bCs/>
          <w:kern w:val="0"/>
          <w:sz w:val="28"/>
          <w:szCs w:val="28"/>
          <w:highlight w:val="none"/>
        </w:rPr>
        <w:t>）</w:t>
      </w:r>
      <w:r>
        <w:rPr>
          <w:rFonts w:hint="eastAsia" w:ascii="Times New Roman" w:hAnsi="Times New Roman" w:eastAsia="方正仿宋_GBK"/>
          <w:bCs/>
          <w:kern w:val="0"/>
          <w:sz w:val="28"/>
          <w:szCs w:val="28"/>
          <w:highlight w:val="none"/>
        </w:rPr>
        <w:t>。</w:t>
      </w:r>
    </w:p>
    <w:p w14:paraId="7B7B5661">
      <w:pPr>
        <w:adjustRightInd w:val="0"/>
        <w:snapToGrid w:val="0"/>
        <w:spacing w:line="500" w:lineRule="exact"/>
        <w:rPr>
          <w:rFonts w:hint="default" w:ascii="Times New Roman" w:hAnsi="Times New Roman" w:eastAsia="方正仿宋_GBK" w:cs="Times New Roman"/>
          <w:bCs/>
          <w:kern w:val="0"/>
          <w:sz w:val="28"/>
          <w:szCs w:val="28"/>
          <w:highlight w:val="none"/>
          <w:lang w:val="en-US" w:eastAsia="zh-CN"/>
        </w:rPr>
      </w:pPr>
      <w:r>
        <w:rPr>
          <w:rFonts w:hint="eastAsia" w:ascii="Times New Roman" w:hAnsi="Times New Roman" w:eastAsia="方正仿宋_GBK" w:cs="Times New Roman"/>
          <w:bCs/>
          <w:kern w:val="0"/>
          <w:sz w:val="28"/>
          <w:szCs w:val="28"/>
          <w:highlight w:val="none"/>
          <w:lang w:val="en-US" w:eastAsia="zh-CN"/>
        </w:rPr>
        <w:t>14.</w:t>
      </w:r>
      <w:r>
        <w:rPr>
          <w:rFonts w:ascii="Times New Roman" w:hAnsi="Times New Roman" w:eastAsia="方正仿宋_GBK" w:cs="Times New Roman"/>
          <w:bCs/>
          <w:kern w:val="0"/>
          <w:sz w:val="28"/>
          <w:szCs w:val="28"/>
          <w:highlight w:val="none"/>
        </w:rPr>
        <w:t>关于符合本国产品标准的声明函（格式见附件12，如不提供将不享受本国产品价格评审优惠）。</w:t>
      </w:r>
    </w:p>
    <w:p w14:paraId="306B4219">
      <w:pPr>
        <w:snapToGrid w:val="0"/>
        <w:spacing w:line="400" w:lineRule="exact"/>
        <w:ind w:firstLine="537" w:firstLineChars="192"/>
        <w:contextualSpacing/>
        <w:rPr>
          <w:rFonts w:ascii="宋体" w:hAnsi="宋体" w:cs="宋体"/>
          <w:b/>
          <w:kern w:val="0"/>
          <w:sz w:val="28"/>
          <w:szCs w:val="28"/>
          <w:highlight w:val="none"/>
          <w:lang w:val="zh-CN"/>
        </w:rPr>
      </w:pPr>
    </w:p>
    <w:p w14:paraId="648860F5">
      <w:pPr>
        <w:snapToGrid w:val="0"/>
        <w:spacing w:line="400" w:lineRule="exact"/>
        <w:contextualSpacing/>
        <w:rPr>
          <w:rFonts w:eastAsia="方正黑体_GBK"/>
          <w:kern w:val="0"/>
          <w:sz w:val="32"/>
          <w:szCs w:val="32"/>
          <w:highlight w:val="none"/>
          <w:lang w:val="zh-CN"/>
        </w:rPr>
      </w:pPr>
    </w:p>
    <w:p w14:paraId="6A03D301">
      <w:pPr>
        <w:snapToGrid w:val="0"/>
        <w:spacing w:line="400" w:lineRule="exact"/>
        <w:contextualSpacing/>
        <w:rPr>
          <w:rFonts w:eastAsia="方正黑体_GBK"/>
          <w:kern w:val="0"/>
          <w:sz w:val="32"/>
          <w:szCs w:val="32"/>
          <w:highlight w:val="none"/>
          <w:lang w:val="zh-CN"/>
        </w:rPr>
      </w:pPr>
    </w:p>
    <w:p w14:paraId="14D5DC44">
      <w:pPr>
        <w:snapToGrid w:val="0"/>
        <w:spacing w:line="400" w:lineRule="exact"/>
        <w:contextualSpacing/>
        <w:rPr>
          <w:rFonts w:eastAsia="方正黑体_GBK"/>
          <w:kern w:val="0"/>
          <w:sz w:val="32"/>
          <w:szCs w:val="32"/>
          <w:highlight w:val="none"/>
          <w:lang w:val="zh-CN"/>
        </w:rPr>
      </w:pPr>
    </w:p>
    <w:p w14:paraId="1377E57A">
      <w:pPr>
        <w:pStyle w:val="2"/>
        <w:rPr>
          <w:lang w:val="zh-CN"/>
        </w:rPr>
      </w:pPr>
    </w:p>
    <w:p w14:paraId="26F7A739">
      <w:pPr>
        <w:snapToGrid w:val="0"/>
        <w:spacing w:line="400" w:lineRule="exact"/>
        <w:contextualSpacing/>
        <w:rPr>
          <w:rFonts w:eastAsia="方正黑体_GBK"/>
          <w:kern w:val="0"/>
          <w:sz w:val="32"/>
          <w:szCs w:val="32"/>
          <w:highlight w:val="none"/>
          <w:lang w:val="zh-CN"/>
        </w:rPr>
      </w:pPr>
    </w:p>
    <w:p w14:paraId="169B97FC">
      <w:pPr>
        <w:snapToGrid w:val="0"/>
        <w:spacing w:line="400" w:lineRule="exact"/>
        <w:contextualSpacing/>
        <w:rPr>
          <w:rFonts w:eastAsia="方正黑体_GBK"/>
          <w:kern w:val="0"/>
          <w:sz w:val="32"/>
          <w:szCs w:val="32"/>
          <w:highlight w:val="none"/>
          <w:lang w:val="zh-CN"/>
        </w:rPr>
      </w:pPr>
      <w:r>
        <w:rPr>
          <w:rFonts w:eastAsia="方正黑体_GBK"/>
          <w:kern w:val="0"/>
          <w:sz w:val="32"/>
          <w:szCs w:val="32"/>
          <w:highlight w:val="none"/>
          <w:lang w:val="zh-CN"/>
        </w:rPr>
        <w:t>附件1</w:t>
      </w:r>
    </w:p>
    <w:p w14:paraId="7D7EB86D">
      <w:pPr>
        <w:jc w:val="center"/>
        <w:rPr>
          <w:rFonts w:hint="eastAsia" w:ascii="宋体" w:hAnsi="宋体"/>
          <w:b/>
          <w:color w:val="000000"/>
          <w:sz w:val="30"/>
          <w:szCs w:val="30"/>
          <w:highlight w:val="none"/>
        </w:rPr>
      </w:pPr>
      <w:r>
        <w:rPr>
          <w:rFonts w:hint="eastAsia" w:ascii="宋体" w:hAnsi="宋体"/>
          <w:b/>
          <w:color w:val="000000"/>
          <w:sz w:val="30"/>
          <w:szCs w:val="30"/>
          <w:highlight w:val="none"/>
        </w:rPr>
        <w:t>响应人符合《中华人民共和国政府采购法》第二十二条规定条件的</w:t>
      </w:r>
    </w:p>
    <w:p w14:paraId="6A22547E">
      <w:pPr>
        <w:jc w:val="center"/>
        <w:rPr>
          <w:rFonts w:ascii="宋体" w:hAnsi="宋体"/>
          <w:b/>
          <w:color w:val="000000"/>
          <w:sz w:val="30"/>
          <w:szCs w:val="30"/>
          <w:highlight w:val="none"/>
        </w:rPr>
      </w:pPr>
      <w:r>
        <w:rPr>
          <w:rFonts w:hint="eastAsia" w:ascii="宋体" w:hAnsi="宋体"/>
          <w:b/>
          <w:color w:val="000000"/>
          <w:sz w:val="30"/>
          <w:szCs w:val="30"/>
          <w:highlight w:val="none"/>
        </w:rPr>
        <w:t>声明函</w:t>
      </w:r>
    </w:p>
    <w:p w14:paraId="42105D95">
      <w:pPr>
        <w:spacing w:line="460" w:lineRule="exact"/>
        <w:rPr>
          <w:rFonts w:ascii="宋体" w:hAnsi="宋体"/>
          <w:b/>
          <w:bCs/>
          <w:color w:val="000000"/>
          <w:sz w:val="44"/>
          <w:szCs w:val="44"/>
          <w:highlight w:val="none"/>
        </w:rPr>
      </w:pPr>
    </w:p>
    <w:p w14:paraId="08E307FB">
      <w:pPr>
        <w:spacing w:line="520" w:lineRule="exact"/>
        <w:ind w:firstLine="480" w:firstLineChars="200"/>
        <w:rPr>
          <w:rFonts w:ascii="宋体" w:hAnsi="宋体"/>
          <w:b/>
          <w:bCs/>
          <w:color w:val="000000"/>
          <w:sz w:val="24"/>
          <w:highlight w:val="none"/>
        </w:rPr>
      </w:pPr>
      <w:r>
        <w:rPr>
          <w:rFonts w:hint="eastAsia" w:ascii="宋体" w:hAnsi="宋体"/>
          <w:bCs/>
          <w:color w:val="000000"/>
          <w:sz w:val="24"/>
          <w:highlight w:val="none"/>
        </w:rPr>
        <w:t>我单位参加</w:t>
      </w:r>
      <w:r>
        <w:rPr>
          <w:rFonts w:hint="eastAsia" w:ascii="宋体" w:hAnsi="宋体"/>
          <w:bCs/>
          <w:color w:val="000000"/>
          <w:sz w:val="24"/>
          <w:szCs w:val="21"/>
          <w:highlight w:val="none"/>
          <w:u w:val="single"/>
        </w:rPr>
        <w:t>__________________</w:t>
      </w:r>
      <w:r>
        <w:rPr>
          <w:rFonts w:hint="eastAsia" w:ascii="宋体" w:hAnsi="宋体"/>
          <w:bCs/>
          <w:color w:val="000000"/>
          <w:sz w:val="24"/>
          <w:szCs w:val="21"/>
          <w:highlight w:val="none"/>
        </w:rPr>
        <w:t>（项目名称），</w:t>
      </w:r>
      <w:r>
        <w:rPr>
          <w:rFonts w:hint="eastAsia" w:ascii="宋体" w:hAnsi="宋体"/>
          <w:bCs/>
          <w:color w:val="000000"/>
          <w:sz w:val="24"/>
          <w:szCs w:val="21"/>
          <w:highlight w:val="none"/>
          <w:u w:val="single"/>
        </w:rPr>
        <w:t>__________________</w:t>
      </w:r>
      <w:r>
        <w:rPr>
          <w:rFonts w:hint="eastAsia" w:ascii="宋体" w:hAnsi="宋体"/>
          <w:bCs/>
          <w:color w:val="000000"/>
          <w:sz w:val="24"/>
          <w:szCs w:val="21"/>
          <w:highlight w:val="none"/>
        </w:rPr>
        <w:t>（项目编号）响应活动。针对《中华人民共和国政府采购法》第二十二条规定做出如下声明：</w:t>
      </w:r>
    </w:p>
    <w:p w14:paraId="08B5DC6A">
      <w:pPr>
        <w:spacing w:line="520" w:lineRule="exact"/>
        <w:ind w:firstLine="482"/>
        <w:rPr>
          <w:rFonts w:ascii="宋体" w:hAnsi="宋体"/>
          <w:color w:val="000000"/>
          <w:sz w:val="24"/>
          <w:highlight w:val="none"/>
        </w:rPr>
      </w:pPr>
      <w:r>
        <w:rPr>
          <w:rFonts w:hint="eastAsia" w:ascii="宋体" w:hAnsi="宋体"/>
          <w:bCs/>
          <w:color w:val="000000"/>
          <w:sz w:val="24"/>
          <w:szCs w:val="21"/>
          <w:highlight w:val="none"/>
        </w:rPr>
        <w:t>1.我单位具有独立承担民事责任的能力；</w:t>
      </w:r>
    </w:p>
    <w:p w14:paraId="43D572C6">
      <w:pPr>
        <w:spacing w:line="520" w:lineRule="exact"/>
        <w:ind w:firstLine="482"/>
        <w:rPr>
          <w:rFonts w:ascii="宋体" w:hAnsi="宋体"/>
          <w:color w:val="000000"/>
          <w:sz w:val="24"/>
          <w:highlight w:val="none"/>
        </w:rPr>
      </w:pPr>
      <w:r>
        <w:rPr>
          <w:rFonts w:hint="eastAsia" w:ascii="宋体" w:hAnsi="宋体"/>
          <w:color w:val="000000"/>
          <w:sz w:val="24"/>
          <w:highlight w:val="none"/>
        </w:rPr>
        <w:t>2.我单位具有良好的商业信誉和健全的财务会计制度；</w:t>
      </w:r>
    </w:p>
    <w:p w14:paraId="6EA0EC78">
      <w:pPr>
        <w:spacing w:line="520" w:lineRule="exact"/>
        <w:ind w:firstLine="482"/>
        <w:rPr>
          <w:rFonts w:ascii="宋体" w:hAnsi="宋体"/>
          <w:color w:val="000000"/>
          <w:sz w:val="24"/>
          <w:highlight w:val="none"/>
        </w:rPr>
      </w:pPr>
      <w:r>
        <w:rPr>
          <w:rFonts w:hint="eastAsia" w:ascii="宋体" w:hAnsi="宋体"/>
          <w:color w:val="000000"/>
          <w:sz w:val="24"/>
          <w:highlight w:val="none"/>
        </w:rPr>
        <w:t>3.我单位具有履行合同所必需的设备和专业技术能力；</w:t>
      </w:r>
    </w:p>
    <w:p w14:paraId="2E9CAFEE">
      <w:pPr>
        <w:spacing w:line="520" w:lineRule="exact"/>
        <w:ind w:firstLine="482"/>
        <w:rPr>
          <w:rFonts w:ascii="宋体" w:hAnsi="宋体"/>
          <w:color w:val="000000"/>
          <w:sz w:val="24"/>
          <w:highlight w:val="none"/>
        </w:rPr>
      </w:pPr>
      <w:r>
        <w:rPr>
          <w:rFonts w:hint="eastAsia" w:ascii="宋体" w:hAnsi="宋体"/>
          <w:color w:val="000000"/>
          <w:sz w:val="24"/>
          <w:highlight w:val="none"/>
        </w:rPr>
        <w:t>4.我单位有依法缴纳税收和社会保障资金的良好记录；</w:t>
      </w:r>
    </w:p>
    <w:p w14:paraId="4C160C83">
      <w:pPr>
        <w:spacing w:line="520" w:lineRule="exact"/>
        <w:ind w:firstLine="482"/>
        <w:rPr>
          <w:rFonts w:ascii="宋体" w:hAnsi="宋体"/>
          <w:color w:val="000000"/>
          <w:sz w:val="24"/>
          <w:highlight w:val="none"/>
        </w:rPr>
      </w:pPr>
      <w:r>
        <w:rPr>
          <w:rFonts w:hint="eastAsia" w:ascii="宋体" w:hAnsi="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4EAC945">
      <w:pPr>
        <w:spacing w:line="520" w:lineRule="exact"/>
        <w:ind w:firstLine="482"/>
        <w:rPr>
          <w:rFonts w:ascii="宋体" w:hAnsi="宋体"/>
          <w:color w:val="000000"/>
          <w:sz w:val="24"/>
          <w:highlight w:val="none"/>
        </w:rPr>
      </w:pPr>
      <w:r>
        <w:rPr>
          <w:rFonts w:hint="eastAsia" w:ascii="宋体" w:hAnsi="宋体"/>
          <w:color w:val="000000"/>
          <w:sz w:val="24"/>
          <w:highlight w:val="none"/>
        </w:rPr>
        <w:t>6.我单位满足法律、行政法规规定的其他条件。</w:t>
      </w:r>
    </w:p>
    <w:p w14:paraId="3E382113">
      <w:pPr>
        <w:spacing w:line="500" w:lineRule="exact"/>
        <w:ind w:firstLine="482"/>
        <w:rPr>
          <w:rFonts w:ascii="宋体" w:hAnsi="宋体"/>
          <w:color w:val="000000"/>
          <w:sz w:val="24"/>
          <w:highlight w:val="none"/>
        </w:rPr>
      </w:pPr>
    </w:p>
    <w:p w14:paraId="0A59BAE9">
      <w:pPr>
        <w:spacing w:line="500" w:lineRule="exact"/>
        <w:rPr>
          <w:rFonts w:ascii="宋体" w:hAnsi="宋体"/>
          <w:color w:val="000000"/>
          <w:sz w:val="24"/>
          <w:highlight w:val="none"/>
        </w:rPr>
      </w:pPr>
    </w:p>
    <w:p w14:paraId="2F642A6D">
      <w:pPr>
        <w:spacing w:line="500" w:lineRule="exact"/>
        <w:rPr>
          <w:rFonts w:ascii="宋体" w:hAnsi="宋体"/>
          <w:bCs/>
          <w:color w:val="000000"/>
          <w:sz w:val="24"/>
          <w:szCs w:val="21"/>
          <w:highlight w:val="none"/>
        </w:rPr>
      </w:pPr>
    </w:p>
    <w:p w14:paraId="30BC70C3">
      <w:pPr>
        <w:spacing w:line="500" w:lineRule="exact"/>
        <w:rPr>
          <w:rFonts w:ascii="宋体" w:hAnsi="宋体"/>
          <w:bCs/>
          <w:color w:val="000000"/>
          <w:sz w:val="24"/>
          <w:szCs w:val="21"/>
          <w:highlight w:val="none"/>
        </w:rPr>
      </w:pPr>
    </w:p>
    <w:p w14:paraId="483EC886">
      <w:pPr>
        <w:spacing w:line="500" w:lineRule="exact"/>
        <w:rPr>
          <w:rFonts w:ascii="宋体" w:hAnsi="宋体"/>
          <w:bCs/>
          <w:color w:val="000000"/>
          <w:sz w:val="24"/>
          <w:szCs w:val="21"/>
          <w:highlight w:val="none"/>
        </w:rPr>
      </w:pPr>
    </w:p>
    <w:p w14:paraId="2B9F94CC">
      <w:pPr>
        <w:spacing w:line="460" w:lineRule="exact"/>
        <w:jc w:val="center"/>
        <w:rPr>
          <w:rFonts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14:paraId="241C20F7">
      <w:pPr>
        <w:spacing w:line="460" w:lineRule="exact"/>
        <w:jc w:val="right"/>
        <w:rPr>
          <w:rFonts w:ascii="宋体" w:hAnsi="宋体"/>
          <w:bCs/>
          <w:color w:val="000000"/>
          <w:sz w:val="24"/>
          <w:szCs w:val="21"/>
          <w:highlight w:val="none"/>
        </w:rPr>
      </w:pPr>
    </w:p>
    <w:p w14:paraId="662968D0">
      <w:pPr>
        <w:spacing w:line="460" w:lineRule="exact"/>
        <w:jc w:val="right"/>
        <w:rPr>
          <w:rFonts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______</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14:paraId="5DA6DF88">
      <w:pPr>
        <w:spacing w:line="360" w:lineRule="auto"/>
        <w:rPr>
          <w:rFonts w:ascii="宋体" w:hAnsi="宋体"/>
          <w:bCs/>
          <w:sz w:val="28"/>
          <w:szCs w:val="22"/>
          <w:highlight w:val="none"/>
        </w:rPr>
      </w:pPr>
    </w:p>
    <w:p w14:paraId="04D9F74A">
      <w:pPr>
        <w:spacing w:line="360" w:lineRule="auto"/>
        <w:rPr>
          <w:rFonts w:ascii="Times New Roman" w:hAnsi="Times New Roman" w:eastAsia="方正黑体_GBK"/>
          <w:bCs/>
          <w:sz w:val="32"/>
          <w:szCs w:val="32"/>
          <w:highlight w:val="none"/>
        </w:rPr>
      </w:pPr>
      <w:r>
        <w:rPr>
          <w:rFonts w:hint="eastAsia" w:ascii="宋体" w:hAnsi="宋体"/>
          <w:bCs/>
          <w:sz w:val="24"/>
          <w:szCs w:val="21"/>
          <w:highlight w:val="none"/>
        </w:rPr>
        <w:br w:type="page"/>
      </w:r>
      <w:r>
        <w:rPr>
          <w:rFonts w:ascii="Times New Roman" w:hAnsi="Times New Roman" w:eastAsia="方正黑体_GBK"/>
          <w:bCs/>
          <w:sz w:val="32"/>
          <w:szCs w:val="32"/>
          <w:highlight w:val="none"/>
        </w:rPr>
        <w:t>附件2</w:t>
      </w:r>
    </w:p>
    <w:p w14:paraId="1F6E3859">
      <w:pPr>
        <w:jc w:val="center"/>
        <w:rPr>
          <w:rFonts w:hint="eastAsia" w:ascii="宋体" w:hAnsi="宋体" w:eastAsia="宋体" w:cs="宋体"/>
          <w:b/>
          <w:bCs w:val="0"/>
          <w:sz w:val="28"/>
          <w:szCs w:val="28"/>
          <w:highlight w:val="none"/>
        </w:rPr>
      </w:pPr>
      <w:r>
        <w:rPr>
          <w:rFonts w:hint="eastAsia" w:ascii="宋体" w:hAnsi="宋体" w:eastAsia="宋体" w:cs="宋体"/>
          <w:b/>
          <w:bCs w:val="0"/>
          <w:color w:val="000000"/>
          <w:sz w:val="30"/>
          <w:szCs w:val="30"/>
          <w:highlight w:val="none"/>
        </w:rPr>
        <w:t>法定代表人身份证明</w:t>
      </w:r>
    </w:p>
    <w:p w14:paraId="62748386">
      <w:pPr>
        <w:spacing w:line="48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先生/女士，身份证号码：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，现任我单位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职务，为我单位法定代表人，特此证明。</w:t>
      </w:r>
    </w:p>
    <w:p w14:paraId="2AE699AD">
      <w:pPr>
        <w:spacing w:line="52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本证明用于参加</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（项目名称）</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w:t>
      </w:r>
      <w:r>
        <w:rPr>
          <w:rFonts w:hint="eastAsia" w:ascii="宋体" w:hAnsi="宋体" w:eastAsia="宋体" w:cs="宋体"/>
          <w:sz w:val="28"/>
          <w:szCs w:val="28"/>
          <w:highlight w:val="none"/>
          <w:u w:val="single"/>
        </w:rPr>
        <w:t xml:space="preserve">项目编号：                    </w:t>
      </w:r>
      <w:r>
        <w:rPr>
          <w:rFonts w:hint="eastAsia" w:ascii="宋体" w:hAnsi="宋体" w:eastAsia="宋体" w:cs="宋体"/>
          <w:bCs/>
          <w:color w:val="000000"/>
          <w:sz w:val="28"/>
          <w:szCs w:val="28"/>
          <w:highlight w:val="none"/>
        </w:rPr>
        <w:t>）询价活动。</w:t>
      </w:r>
    </w:p>
    <w:p w14:paraId="6BA24E32">
      <w:pPr>
        <w:spacing w:line="480" w:lineRule="exact"/>
        <w:ind w:firstLine="480"/>
        <w:rPr>
          <w:rFonts w:hint="eastAsia" w:ascii="宋体" w:hAnsi="宋体" w:eastAsia="宋体" w:cs="宋体"/>
          <w:sz w:val="28"/>
          <w:szCs w:val="28"/>
          <w:highlight w:val="none"/>
        </w:rPr>
      </w:pPr>
    </w:p>
    <w:p w14:paraId="4C9ED7E3">
      <w:pPr>
        <w:spacing w:line="480" w:lineRule="exact"/>
        <w:ind w:firstLine="480"/>
        <w:rPr>
          <w:rFonts w:hint="eastAsia" w:ascii="宋体" w:hAnsi="宋体" w:eastAsia="宋体" w:cs="宋体"/>
          <w:sz w:val="28"/>
          <w:szCs w:val="28"/>
          <w:highlight w:val="none"/>
        </w:rPr>
      </w:pPr>
    </w:p>
    <w:p w14:paraId="04CD05E5">
      <w:pPr>
        <w:adjustRightInd w:val="0"/>
        <w:spacing w:line="480" w:lineRule="auto"/>
        <w:ind w:left="3255" w:leftChars="1550" w:firstLine="280" w:firstLineChars="100"/>
        <w:rPr>
          <w:rFonts w:hint="eastAsia" w:ascii="宋体" w:hAnsi="宋体" w:eastAsia="宋体" w:cs="宋体"/>
          <w:sz w:val="28"/>
          <w:szCs w:val="28"/>
          <w:highlight w:val="none"/>
        </w:rPr>
      </w:pPr>
    </w:p>
    <w:p w14:paraId="4867E148">
      <w:pPr>
        <w:adjustRightInd w:val="0"/>
        <w:spacing w:line="480" w:lineRule="auto"/>
        <w:ind w:left="3255" w:leftChars="1550" w:firstLine="280" w:firstLineChars="10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bCs/>
          <w:color w:val="000000"/>
          <w:sz w:val="28"/>
          <w:szCs w:val="28"/>
          <w:highlight w:val="none"/>
        </w:rPr>
        <w:t>加盖</w:t>
      </w:r>
      <w:r>
        <w:rPr>
          <w:rFonts w:hint="eastAsia" w:ascii="宋体" w:hAnsi="宋体" w:eastAsia="宋体" w:cs="宋体"/>
          <w:sz w:val="28"/>
          <w:szCs w:val="28"/>
          <w:highlight w:val="none"/>
        </w:rPr>
        <w:t>公章）：</w:t>
      </w:r>
      <w:r>
        <w:rPr>
          <w:rFonts w:hint="eastAsia" w:ascii="宋体" w:hAnsi="宋体" w:eastAsia="宋体" w:cs="宋体"/>
          <w:sz w:val="28"/>
          <w:szCs w:val="28"/>
          <w:highlight w:val="none"/>
          <w:u w:val="single"/>
        </w:rPr>
        <w:t xml:space="preserve">                     </w:t>
      </w:r>
    </w:p>
    <w:p w14:paraId="543A5EBF">
      <w:pPr>
        <w:adjustRightInd w:val="0"/>
        <w:spacing w:line="480" w:lineRule="auto"/>
        <w:ind w:left="3255" w:leftChars="1550" w:firstLine="280" w:firstLineChars="10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5E51AC30">
      <w:pPr>
        <w:adjustRightInd w:val="0"/>
        <w:spacing w:line="480" w:lineRule="auto"/>
        <w:jc w:val="left"/>
        <w:rPr>
          <w:rFonts w:hint="eastAsia" w:ascii="宋体" w:hAnsi="宋体" w:eastAsia="宋体" w:cs="宋体"/>
          <w:sz w:val="28"/>
          <w:szCs w:val="28"/>
          <w:highlight w:val="none"/>
        </w:rPr>
      </w:pPr>
    </w:p>
    <w:p w14:paraId="7E478F5E">
      <w:pPr>
        <w:widowControl/>
        <w:spacing w:line="360" w:lineRule="auto"/>
        <w:rPr>
          <w:rFonts w:hint="eastAsia" w:ascii="宋体" w:hAnsi="宋体" w:eastAsia="宋体" w:cs="宋体"/>
          <w:b/>
          <w:bCs/>
          <w:kern w:val="0"/>
          <w:sz w:val="28"/>
          <w:szCs w:val="28"/>
          <w:highlight w:val="none"/>
        </w:rPr>
      </w:pPr>
      <w:r>
        <w:rPr>
          <w:rFonts w:hint="eastAsia" w:ascii="宋体" w:hAnsi="宋体" w:eastAsia="宋体" w:cs="宋体"/>
          <w:b/>
          <w:sz w:val="28"/>
          <w:szCs w:val="28"/>
          <w:highlight w:val="none"/>
        </w:rPr>
        <w:t>附：法定代表人的身份证复印件加盖单位公章</w:t>
      </w:r>
    </w:p>
    <w:p w14:paraId="70625840">
      <w:pPr>
        <w:adjustRightInd w:val="0"/>
        <w:snapToGrid w:val="0"/>
        <w:spacing w:line="312" w:lineRule="auto"/>
        <w:ind w:firstLine="560" w:firstLineChars="200"/>
        <w:jc w:val="left"/>
        <w:rPr>
          <w:rFonts w:ascii="宋体" w:hAnsi="宋体" w:cs="宋体"/>
          <w:b/>
          <w:sz w:val="28"/>
          <w:szCs w:val="28"/>
          <w:highlight w:val="none"/>
        </w:rPr>
      </w:pPr>
    </w:p>
    <w:p w14:paraId="3005F588">
      <w:pPr>
        <w:adjustRightInd w:val="0"/>
        <w:snapToGrid w:val="0"/>
        <w:spacing w:line="312" w:lineRule="auto"/>
        <w:jc w:val="left"/>
        <w:rPr>
          <w:rFonts w:ascii="Times New Roman" w:hAnsi="Times New Roman" w:eastAsia="方正黑体_GBK"/>
          <w:sz w:val="32"/>
          <w:szCs w:val="32"/>
          <w:highlight w:val="none"/>
        </w:rPr>
      </w:pPr>
      <w:r>
        <w:rPr>
          <w:rFonts w:hint="eastAsia" w:ascii="宋体" w:hAnsi="宋体" w:cs="宋体"/>
          <w:b/>
          <w:bCs/>
          <w:sz w:val="28"/>
          <w:szCs w:val="28"/>
          <w:highlight w:val="none"/>
        </w:rPr>
        <w:br w:type="page"/>
      </w:r>
      <w:r>
        <w:rPr>
          <w:rFonts w:ascii="Times New Roman" w:hAnsi="Times New Roman" w:eastAsia="方正黑体_GBK"/>
          <w:sz w:val="32"/>
          <w:szCs w:val="32"/>
          <w:highlight w:val="none"/>
        </w:rPr>
        <w:t>附件3</w:t>
      </w:r>
    </w:p>
    <w:p w14:paraId="012504EA">
      <w:pPr>
        <w:jc w:val="center"/>
        <w:rPr>
          <w:rFonts w:hint="eastAsia" w:ascii="宋体" w:hAnsi="宋体" w:eastAsia="宋体" w:cs="宋体"/>
          <w:b/>
          <w:bCs w:val="0"/>
          <w:sz w:val="32"/>
          <w:szCs w:val="32"/>
          <w:highlight w:val="none"/>
        </w:rPr>
      </w:pPr>
      <w:r>
        <w:rPr>
          <w:rFonts w:hint="eastAsia" w:ascii="宋体" w:hAnsi="宋体" w:eastAsia="宋体" w:cs="宋体"/>
          <w:b/>
          <w:bCs w:val="0"/>
          <w:color w:val="000000"/>
          <w:sz w:val="30"/>
          <w:szCs w:val="30"/>
          <w:highlight w:val="none"/>
        </w:rPr>
        <w:t>法定代表人授权委托书</w:t>
      </w:r>
    </w:p>
    <w:p w14:paraId="043A2FA5">
      <w:pPr>
        <w:spacing w:line="48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（姓名）系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（授权单位名称）的法定代表人，现委托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（姓名）（身份证号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）为我方代理人，以我方名义全权处理与</w:t>
      </w:r>
      <w:r>
        <w:rPr>
          <w:rFonts w:hint="eastAsia" w:ascii="宋体" w:hAnsi="宋体" w:eastAsia="宋体" w:cs="宋体"/>
          <w:sz w:val="28"/>
          <w:szCs w:val="28"/>
          <w:highlight w:val="none"/>
          <w:u w:val="single"/>
        </w:rPr>
        <w:t xml:space="preserve">                       （项目名称）</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rPr>
        <w:t>）有关的一切事务，其法律后果由我方承担。</w:t>
      </w:r>
    </w:p>
    <w:p w14:paraId="47428DFB">
      <w:pPr>
        <w:spacing w:line="48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本授权书于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日起生效。代理人无转委托权。</w:t>
      </w:r>
    </w:p>
    <w:p w14:paraId="5F4DAEA1">
      <w:pPr>
        <w:spacing w:line="480" w:lineRule="exact"/>
        <w:ind w:firstLine="420" w:firstLineChars="150"/>
        <w:rPr>
          <w:rFonts w:hint="eastAsia" w:ascii="宋体" w:hAnsi="宋体" w:eastAsia="宋体" w:cs="宋体"/>
          <w:sz w:val="28"/>
          <w:szCs w:val="28"/>
          <w:highlight w:val="none"/>
        </w:rPr>
      </w:pPr>
    </w:p>
    <w:p w14:paraId="42314C47">
      <w:pPr>
        <w:spacing w:line="480" w:lineRule="exact"/>
        <w:ind w:firstLine="420" w:firstLineChars="150"/>
        <w:rPr>
          <w:rFonts w:hint="eastAsia" w:ascii="宋体" w:hAnsi="宋体" w:eastAsia="宋体" w:cs="宋体"/>
          <w:sz w:val="28"/>
          <w:szCs w:val="28"/>
          <w:highlight w:val="none"/>
        </w:rPr>
      </w:pPr>
      <w:r>
        <w:rPr>
          <w:rFonts w:hint="eastAsia" w:ascii="宋体" w:hAnsi="宋体" w:eastAsia="宋体" w:cs="宋体"/>
          <w:sz w:val="28"/>
          <w:szCs w:val="28"/>
          <w:highlight w:val="none"/>
        </w:rPr>
        <w:t>代理人（被授权人）签字：</w:t>
      </w:r>
      <w:r>
        <w:rPr>
          <w:rFonts w:hint="eastAsia" w:ascii="宋体" w:hAnsi="宋体" w:eastAsia="宋体" w:cs="宋体"/>
          <w:sz w:val="28"/>
          <w:szCs w:val="28"/>
          <w:highlight w:val="none"/>
          <w:u w:val="single"/>
        </w:rPr>
        <w:t xml:space="preserve">                                </w:t>
      </w:r>
    </w:p>
    <w:p w14:paraId="784807F2">
      <w:pPr>
        <w:spacing w:line="480" w:lineRule="exact"/>
        <w:ind w:firstLine="420" w:firstLineChars="150"/>
        <w:rPr>
          <w:rFonts w:hint="eastAsia" w:ascii="宋体" w:hAnsi="宋体" w:eastAsia="宋体" w:cs="宋体"/>
          <w:sz w:val="28"/>
          <w:szCs w:val="28"/>
          <w:highlight w:val="none"/>
        </w:rPr>
      </w:pPr>
      <w:r>
        <w:rPr>
          <w:rFonts w:hint="eastAsia" w:ascii="宋体" w:hAnsi="宋体" w:eastAsia="宋体" w:cs="宋体"/>
          <w:sz w:val="28"/>
          <w:szCs w:val="28"/>
          <w:highlight w:val="none"/>
        </w:rPr>
        <w:t>授权单位名称（</w:t>
      </w:r>
      <w:r>
        <w:rPr>
          <w:rFonts w:hint="eastAsia" w:ascii="宋体" w:hAnsi="宋体" w:eastAsia="宋体" w:cs="宋体"/>
          <w:bCs/>
          <w:color w:val="000000"/>
          <w:sz w:val="28"/>
          <w:szCs w:val="28"/>
          <w:highlight w:val="none"/>
        </w:rPr>
        <w:t>加盖公章</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xml:space="preserve">                                </w:t>
      </w:r>
    </w:p>
    <w:p w14:paraId="7E65CC0A">
      <w:pPr>
        <w:spacing w:line="480" w:lineRule="exact"/>
        <w:ind w:firstLine="420" w:firstLineChars="150"/>
        <w:rPr>
          <w:rFonts w:hint="eastAsia" w:ascii="宋体" w:hAnsi="宋体" w:eastAsia="宋体" w:cs="宋体"/>
          <w:sz w:val="28"/>
          <w:szCs w:val="28"/>
          <w:highlight w:val="none"/>
        </w:rPr>
      </w:pPr>
      <w:r>
        <w:rPr>
          <w:rFonts w:hint="eastAsia" w:ascii="宋体" w:hAnsi="宋体" w:eastAsia="宋体" w:cs="宋体"/>
          <w:sz w:val="28"/>
          <w:szCs w:val="28"/>
          <w:highlight w:val="none"/>
        </w:rPr>
        <w:t>授权单位法定代表人（签字或盖章）：</w:t>
      </w:r>
      <w:r>
        <w:rPr>
          <w:rFonts w:hint="eastAsia" w:ascii="宋体" w:hAnsi="宋体" w:eastAsia="宋体" w:cs="宋体"/>
          <w:sz w:val="28"/>
          <w:szCs w:val="28"/>
          <w:highlight w:val="none"/>
          <w:u w:val="single"/>
        </w:rPr>
        <w:t xml:space="preserve">                  </w:t>
      </w:r>
    </w:p>
    <w:p w14:paraId="2251A906">
      <w:pPr>
        <w:spacing w:line="480" w:lineRule="exact"/>
        <w:jc w:val="right"/>
        <w:rPr>
          <w:rFonts w:hint="eastAsia" w:ascii="宋体" w:hAnsi="宋体" w:eastAsia="宋体" w:cs="宋体"/>
          <w:sz w:val="28"/>
          <w:szCs w:val="28"/>
          <w:highlight w:val="none"/>
        </w:rPr>
      </w:pPr>
    </w:p>
    <w:p w14:paraId="31CE1BBB">
      <w:pPr>
        <w:snapToGrid w:val="0"/>
        <w:spacing w:line="400" w:lineRule="exact"/>
        <w:ind w:firstLine="3897" w:firstLineChars="1392"/>
        <w:contextualSpacing/>
        <w:rPr>
          <w:rFonts w:hint="eastAsia" w:ascii="宋体" w:hAnsi="宋体" w:eastAsia="宋体" w:cs="宋体"/>
          <w:b/>
          <w:kern w:val="0"/>
          <w:sz w:val="28"/>
          <w:szCs w:val="28"/>
          <w:highlight w:val="none"/>
        </w:rPr>
      </w:pPr>
      <w:r>
        <w:rPr>
          <w:rFonts w:hint="eastAsia" w:ascii="宋体" w:hAnsi="宋体" w:eastAsia="宋体" w:cs="宋体"/>
          <w:sz w:val="28"/>
          <w:szCs w:val="28"/>
          <w:highlight w:val="none"/>
        </w:rPr>
        <w:t>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4B0A9286">
      <w:pPr>
        <w:snapToGrid w:val="0"/>
        <w:spacing w:line="400" w:lineRule="exact"/>
        <w:ind w:firstLine="537" w:firstLineChars="192"/>
        <w:contextualSpacing/>
        <w:rPr>
          <w:rFonts w:hint="eastAsia" w:ascii="宋体" w:hAnsi="宋体" w:eastAsia="宋体" w:cs="宋体"/>
          <w:b/>
          <w:kern w:val="0"/>
          <w:sz w:val="28"/>
          <w:szCs w:val="28"/>
          <w:highlight w:val="none"/>
        </w:rPr>
      </w:pPr>
    </w:p>
    <w:p w14:paraId="6FA4045B">
      <w:pPr>
        <w:snapToGrid w:val="0"/>
        <w:spacing w:line="400" w:lineRule="exact"/>
        <w:ind w:firstLine="537" w:firstLineChars="192"/>
        <w:contextualSpacing/>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附：代理人（被授权人）身份证复印件加盖单位公章</w:t>
      </w:r>
    </w:p>
    <w:p w14:paraId="78783069">
      <w:pPr>
        <w:adjustRightInd w:val="0"/>
        <w:snapToGrid w:val="0"/>
        <w:spacing w:line="312" w:lineRule="auto"/>
        <w:ind w:firstLine="480" w:firstLineChars="200"/>
        <w:jc w:val="left"/>
        <w:rPr>
          <w:rFonts w:ascii="宋体" w:hAnsi="宋体" w:cs="宋体"/>
          <w:b/>
          <w:sz w:val="24"/>
          <w:highlight w:val="none"/>
        </w:rPr>
      </w:pPr>
    </w:p>
    <w:p w14:paraId="048A8E60">
      <w:pPr>
        <w:spacing w:line="312" w:lineRule="auto"/>
        <w:rPr>
          <w:rFonts w:ascii="Times New Roman" w:hAnsi="Times New Roman" w:eastAsia="方正黑体_GBK"/>
          <w:sz w:val="32"/>
          <w:szCs w:val="32"/>
          <w:highlight w:val="none"/>
        </w:rPr>
      </w:pPr>
    </w:p>
    <w:p w14:paraId="2CA01FB8">
      <w:pPr>
        <w:spacing w:line="312" w:lineRule="auto"/>
        <w:rPr>
          <w:rFonts w:ascii="Times New Roman" w:hAnsi="Times New Roman" w:eastAsia="方正黑体_GBK"/>
          <w:sz w:val="32"/>
          <w:szCs w:val="32"/>
          <w:highlight w:val="none"/>
        </w:rPr>
      </w:pPr>
    </w:p>
    <w:p w14:paraId="50E2440B">
      <w:pPr>
        <w:spacing w:line="312" w:lineRule="auto"/>
        <w:rPr>
          <w:rFonts w:ascii="Times New Roman" w:hAnsi="Times New Roman" w:eastAsia="方正黑体_GBK"/>
          <w:sz w:val="32"/>
          <w:szCs w:val="32"/>
          <w:highlight w:val="none"/>
        </w:rPr>
      </w:pPr>
    </w:p>
    <w:p w14:paraId="40F624B2">
      <w:pPr>
        <w:spacing w:line="312" w:lineRule="auto"/>
        <w:rPr>
          <w:rFonts w:ascii="Times New Roman" w:hAnsi="Times New Roman" w:eastAsia="方正黑体_GBK"/>
          <w:sz w:val="32"/>
          <w:szCs w:val="32"/>
          <w:highlight w:val="none"/>
        </w:rPr>
      </w:pPr>
    </w:p>
    <w:p w14:paraId="1FD2F805">
      <w:pPr>
        <w:spacing w:line="312" w:lineRule="auto"/>
        <w:rPr>
          <w:rFonts w:ascii="Times New Roman" w:hAnsi="Times New Roman" w:eastAsia="方正黑体_GBK"/>
          <w:sz w:val="32"/>
          <w:szCs w:val="32"/>
          <w:highlight w:val="none"/>
        </w:rPr>
      </w:pPr>
    </w:p>
    <w:p w14:paraId="3EBF8087">
      <w:pPr>
        <w:spacing w:line="312" w:lineRule="auto"/>
        <w:rPr>
          <w:rFonts w:ascii="Times New Roman" w:hAnsi="Times New Roman" w:eastAsia="方正黑体_GBK"/>
          <w:sz w:val="32"/>
          <w:szCs w:val="32"/>
          <w:highlight w:val="none"/>
        </w:rPr>
      </w:pPr>
    </w:p>
    <w:p w14:paraId="7C41436D">
      <w:pPr>
        <w:spacing w:line="312" w:lineRule="auto"/>
        <w:rPr>
          <w:rFonts w:ascii="Times New Roman" w:hAnsi="Times New Roman" w:eastAsia="方正黑体_GBK"/>
          <w:sz w:val="32"/>
          <w:szCs w:val="32"/>
          <w:highlight w:val="none"/>
        </w:rPr>
      </w:pPr>
    </w:p>
    <w:p w14:paraId="21FEDF37">
      <w:pPr>
        <w:spacing w:line="312" w:lineRule="auto"/>
        <w:rPr>
          <w:rFonts w:ascii="Times New Roman" w:hAnsi="Times New Roman" w:eastAsia="方正黑体_GBK"/>
          <w:sz w:val="32"/>
          <w:szCs w:val="32"/>
          <w:highlight w:val="none"/>
        </w:rPr>
      </w:pPr>
    </w:p>
    <w:p w14:paraId="6762706D">
      <w:pPr>
        <w:spacing w:line="312" w:lineRule="auto"/>
        <w:rPr>
          <w:rFonts w:ascii="Times New Roman" w:hAnsi="Times New Roman" w:eastAsia="方正黑体_GBK"/>
          <w:sz w:val="32"/>
          <w:szCs w:val="32"/>
          <w:highlight w:val="none"/>
        </w:rPr>
      </w:pPr>
    </w:p>
    <w:p w14:paraId="1B61000A">
      <w:pPr>
        <w:spacing w:line="312" w:lineRule="auto"/>
        <w:rPr>
          <w:rFonts w:ascii="Times New Roman" w:hAnsi="Times New Roman" w:eastAsia="方正黑体_GBK"/>
          <w:sz w:val="32"/>
          <w:szCs w:val="32"/>
          <w:highlight w:val="none"/>
        </w:rPr>
      </w:pPr>
    </w:p>
    <w:p w14:paraId="3D4483B3">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附件4</w:t>
      </w:r>
    </w:p>
    <w:p w14:paraId="087D3F60">
      <w:pPr>
        <w:spacing w:before="240" w:line="312" w:lineRule="auto"/>
        <w:jc w:val="center"/>
        <w:rPr>
          <w:rFonts w:ascii="宋体" w:hAnsi="宋体" w:cs="宋体"/>
          <w:b/>
          <w:sz w:val="32"/>
          <w:szCs w:val="32"/>
          <w:highlight w:val="none"/>
          <w:lang w:bidi="ar"/>
        </w:rPr>
      </w:pPr>
      <w:r>
        <w:rPr>
          <w:rFonts w:hint="eastAsia" w:ascii="宋体" w:hAnsi="宋体" w:cs="宋体"/>
          <w:b/>
          <w:sz w:val="32"/>
          <w:szCs w:val="32"/>
          <w:highlight w:val="none"/>
          <w:lang w:bidi="ar"/>
        </w:rPr>
        <w:t>供应商信用承诺书</w:t>
      </w:r>
    </w:p>
    <w:p w14:paraId="47F4F514">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为营造公开、公平、公正的公共资源交易环境，树立诚信守法的投标（响应）人形象，本人代表本单位作出以下承诺：</w:t>
      </w:r>
    </w:p>
    <w:p w14:paraId="1B6AEABE">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6FBC32C4">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二、严格依照国家和省、市、县关于招标投标等方面的法律、法规、规章、规范性文件，参加公共资源交易招标投标活动；积极履行社会责任，促进廉政建设；</w:t>
      </w:r>
    </w:p>
    <w:p w14:paraId="21F48ECD">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三、严格遵守即时信息公示规定，及时更新公共资源交易中心主体信息库中信息；</w:t>
      </w:r>
    </w:p>
    <w:p w14:paraId="3E172338">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18AEDF88">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07C22320">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六、自觉接受政府部门、行业组织、社会公众、新闻舆论等监督；</w:t>
      </w:r>
    </w:p>
    <w:p w14:paraId="3DCA3760">
      <w:pPr>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bidi="ar"/>
        </w:rPr>
        <w:t>七、上述承诺已向本单位员工作了宣传教育；</w:t>
      </w:r>
    </w:p>
    <w:p w14:paraId="11BB32EC">
      <w:pPr>
        <w:spacing w:line="360" w:lineRule="auto"/>
        <w:ind w:firstLine="480" w:firstLineChars="200"/>
        <w:rPr>
          <w:rFonts w:ascii="宋体" w:hAnsi="宋体" w:cs="宋体"/>
          <w:b/>
          <w:kern w:val="0"/>
          <w:sz w:val="24"/>
          <w:highlight w:val="none"/>
          <w:lang w:val="zh-CN"/>
        </w:rPr>
      </w:pPr>
      <w:r>
        <w:rPr>
          <w:rFonts w:hint="eastAsia" w:ascii="宋体" w:hAnsi="宋体" w:cs="宋体"/>
          <w:b/>
          <w:kern w:val="0"/>
          <w:sz w:val="24"/>
          <w:highlight w:val="none"/>
          <w:lang w:val="zh-CN" w:bidi="ar"/>
        </w:rPr>
        <w:t>如有违反上述承诺的不良行为，本单位同意将其予以上网公示。</w:t>
      </w:r>
    </w:p>
    <w:p w14:paraId="559D416E">
      <w:pPr>
        <w:spacing w:line="360" w:lineRule="auto"/>
        <w:rPr>
          <w:rFonts w:ascii="宋体" w:hAnsi="宋体" w:cs="宋体"/>
          <w:kern w:val="0"/>
          <w:sz w:val="24"/>
          <w:highlight w:val="none"/>
          <w:lang w:val="zh-CN"/>
        </w:rPr>
      </w:pPr>
    </w:p>
    <w:p w14:paraId="0CE3ED8F">
      <w:pPr>
        <w:spacing w:line="360" w:lineRule="auto"/>
        <w:ind w:firstLine="4560" w:firstLineChars="1900"/>
        <w:rPr>
          <w:rFonts w:ascii="宋体" w:hAnsi="宋体" w:cs="宋体"/>
          <w:kern w:val="0"/>
          <w:sz w:val="24"/>
          <w:highlight w:val="none"/>
          <w:lang w:val="zh-CN"/>
        </w:rPr>
      </w:pPr>
    </w:p>
    <w:p w14:paraId="1F1D3D33">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响应供应商全称(盖公章)：</w:t>
      </w:r>
    </w:p>
    <w:p w14:paraId="3FC1947C">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法定代表人（签字或盖章）：</w:t>
      </w:r>
    </w:p>
    <w:p w14:paraId="006A336A">
      <w:pPr>
        <w:spacing w:line="360" w:lineRule="auto"/>
        <w:ind w:firstLine="4080" w:firstLineChars="1700"/>
        <w:rPr>
          <w:rFonts w:ascii="宋体" w:hAnsi="宋体" w:cs="宋体"/>
          <w:kern w:val="0"/>
          <w:sz w:val="24"/>
          <w:highlight w:val="none"/>
          <w:lang w:val="zh-CN" w:bidi="ar"/>
        </w:rPr>
      </w:pPr>
      <w:r>
        <w:rPr>
          <w:rFonts w:hint="eastAsia" w:ascii="宋体" w:hAnsi="宋体" w:cs="宋体"/>
          <w:kern w:val="0"/>
          <w:sz w:val="24"/>
          <w:highlight w:val="none"/>
          <w:lang w:val="zh-CN" w:bidi="ar"/>
        </w:rPr>
        <w:t>时间：  年  月   日</w:t>
      </w:r>
    </w:p>
    <w:p w14:paraId="3C97B256">
      <w:pPr>
        <w:rPr>
          <w:rFonts w:ascii="Times New Roman" w:hAnsi="Times New Roman" w:eastAsia="方正黑体_GBK"/>
          <w:sz w:val="32"/>
          <w:szCs w:val="32"/>
          <w:highlight w:val="none"/>
        </w:rPr>
      </w:pPr>
    </w:p>
    <w:p w14:paraId="3F167F33">
      <w:pPr>
        <w:rPr>
          <w:rFonts w:ascii="Times New Roman" w:hAnsi="Times New Roman" w:eastAsia="方正黑体_GBK"/>
          <w:sz w:val="32"/>
          <w:szCs w:val="32"/>
          <w:highlight w:val="none"/>
        </w:rPr>
      </w:pPr>
    </w:p>
    <w:p w14:paraId="36171E31">
      <w:pPr>
        <w:rPr>
          <w:rFonts w:ascii="Times New Roman" w:hAnsi="Times New Roman" w:eastAsia="方正黑体_GBK"/>
          <w:sz w:val="32"/>
          <w:szCs w:val="32"/>
          <w:highlight w:val="none"/>
        </w:rPr>
      </w:pPr>
    </w:p>
    <w:p w14:paraId="66A46AB0">
      <w:pPr>
        <w:rPr>
          <w:rFonts w:ascii="Times New Roman" w:hAnsi="Times New Roman" w:eastAsia="方正黑体_GBK"/>
          <w:sz w:val="32"/>
          <w:szCs w:val="32"/>
          <w:highlight w:val="none"/>
        </w:rPr>
      </w:pPr>
    </w:p>
    <w:p w14:paraId="564D50C1">
      <w:pPr>
        <w:rPr>
          <w:rFonts w:ascii="Times New Roman" w:hAnsi="Times New Roman" w:eastAsia="方正黑体_GBK"/>
          <w:sz w:val="32"/>
          <w:szCs w:val="32"/>
          <w:highlight w:val="none"/>
        </w:rPr>
      </w:pPr>
    </w:p>
    <w:p w14:paraId="05431F3C">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附件5</w:t>
      </w:r>
    </w:p>
    <w:p w14:paraId="6DE60A8E">
      <w:pPr>
        <w:jc w:val="center"/>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询价响应函</w:t>
      </w:r>
    </w:p>
    <w:p w14:paraId="2D2FEDD6">
      <w:pPr>
        <w:adjustRightInd w:val="0"/>
        <w:spacing w:line="480" w:lineRule="exact"/>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（采购人名称）</w:t>
      </w:r>
    </w:p>
    <w:p w14:paraId="22C3F526">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根据贵方项目编号为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的询价文件，我方正式提交询价响应函，并宣布同意如下内容：</w:t>
      </w:r>
    </w:p>
    <w:p w14:paraId="52A07471">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1.按询价文件规定的各项要求，向买方提供所需货物、服务（包含与货物相关的服务及与服务相关的货物）。</w:t>
      </w:r>
    </w:p>
    <w:p w14:paraId="709FF162">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2.我们已详细审核全部询价文件及其有效补充文件，我们知道必须放弃提出含糊不清或误解问题的权利。</w:t>
      </w:r>
    </w:p>
    <w:p w14:paraId="42FC30BE">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3.我们同意从规定的开标日期起遵循本响应文件，并在规定的询价有效期期满之前均具有约束力。</w:t>
      </w:r>
    </w:p>
    <w:p w14:paraId="5FE6B17A">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4.同意向贵方提供贵方可能另外要求的与询价有关的任何证据或资料，并保证我方已提供和将要提供的文件是真实的、准确的。</w:t>
      </w:r>
    </w:p>
    <w:p w14:paraId="303387F6">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5.一旦我方成交，我方将根据询价文件的规定，严格履行合同的责任和义务，并保证在询价文件规定的时间内完成项目，交付买方验收、使用。</w:t>
      </w:r>
    </w:p>
    <w:p w14:paraId="43F3BEC2">
      <w:pPr>
        <w:adjustRightInd w:val="0"/>
        <w:spacing w:line="480" w:lineRule="exact"/>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6.与本次询价有关的正式通讯地址为：</w:t>
      </w:r>
    </w:p>
    <w:p w14:paraId="78EA02DF">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地          址：</w:t>
      </w:r>
      <w:r>
        <w:rPr>
          <w:rFonts w:hint="eastAsia" w:ascii="宋体" w:hAnsi="宋体" w:eastAsia="宋体" w:cs="宋体"/>
          <w:sz w:val="28"/>
          <w:szCs w:val="28"/>
          <w:highlight w:val="none"/>
          <w:u w:val="single"/>
        </w:rPr>
        <w:t xml:space="preserve">                  </w:t>
      </w:r>
    </w:p>
    <w:p w14:paraId="447D2284">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邮          编：</w:t>
      </w:r>
      <w:r>
        <w:rPr>
          <w:rFonts w:hint="eastAsia" w:ascii="宋体" w:hAnsi="宋体" w:eastAsia="宋体" w:cs="宋体"/>
          <w:sz w:val="28"/>
          <w:szCs w:val="28"/>
          <w:highlight w:val="none"/>
          <w:u w:val="single"/>
        </w:rPr>
        <w:t xml:space="preserve">                  </w:t>
      </w:r>
    </w:p>
    <w:p w14:paraId="0FA20563">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电          话：</w:t>
      </w:r>
      <w:r>
        <w:rPr>
          <w:rFonts w:hint="eastAsia" w:ascii="宋体" w:hAnsi="宋体" w:eastAsia="宋体" w:cs="宋体"/>
          <w:sz w:val="28"/>
          <w:szCs w:val="28"/>
          <w:highlight w:val="none"/>
          <w:u w:val="single"/>
        </w:rPr>
        <w:t xml:space="preserve">                  </w:t>
      </w:r>
    </w:p>
    <w:p w14:paraId="55B55BDD">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电  子  邮  箱：</w:t>
      </w:r>
      <w:r>
        <w:rPr>
          <w:rFonts w:hint="eastAsia" w:ascii="宋体" w:hAnsi="宋体" w:eastAsia="宋体" w:cs="宋体"/>
          <w:sz w:val="28"/>
          <w:szCs w:val="28"/>
          <w:highlight w:val="none"/>
          <w:u w:val="single"/>
        </w:rPr>
        <w:t xml:space="preserve">                  </w:t>
      </w:r>
    </w:p>
    <w:p w14:paraId="29921044">
      <w:pPr>
        <w:spacing w:line="480" w:lineRule="exact"/>
        <w:rPr>
          <w:rFonts w:hint="eastAsia" w:ascii="宋体" w:hAnsi="宋体" w:eastAsia="宋体" w:cs="宋体"/>
          <w:sz w:val="28"/>
          <w:szCs w:val="28"/>
          <w:highlight w:val="none"/>
        </w:rPr>
      </w:pPr>
    </w:p>
    <w:p w14:paraId="6386D884">
      <w:pPr>
        <w:spacing w:line="480" w:lineRule="exact"/>
        <w:ind w:right="181" w:firstLine="980" w:firstLineChars="35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供应商名称（</w:t>
      </w:r>
      <w:r>
        <w:rPr>
          <w:rFonts w:hint="eastAsia" w:ascii="宋体" w:hAnsi="宋体" w:eastAsia="宋体" w:cs="宋体"/>
          <w:bCs/>
          <w:color w:val="000000"/>
          <w:sz w:val="28"/>
          <w:szCs w:val="28"/>
          <w:highlight w:val="none"/>
        </w:rPr>
        <w:t>加盖</w:t>
      </w:r>
      <w:r>
        <w:rPr>
          <w:rFonts w:hint="eastAsia" w:ascii="宋体" w:hAnsi="宋体" w:eastAsia="宋体" w:cs="宋体"/>
          <w:color w:val="000000"/>
          <w:sz w:val="28"/>
          <w:szCs w:val="28"/>
          <w:highlight w:val="none"/>
        </w:rPr>
        <w:t>公章）：</w:t>
      </w:r>
      <w:r>
        <w:rPr>
          <w:rFonts w:hint="eastAsia" w:ascii="宋体" w:hAnsi="宋体" w:eastAsia="宋体" w:cs="宋体"/>
          <w:sz w:val="28"/>
          <w:szCs w:val="28"/>
          <w:highlight w:val="none"/>
          <w:u w:val="single"/>
        </w:rPr>
        <w:t xml:space="preserve">                  </w:t>
      </w:r>
    </w:p>
    <w:p w14:paraId="472D3BA9">
      <w:pPr>
        <w:adjustRightInd w:val="0"/>
        <w:spacing w:line="480" w:lineRule="exact"/>
        <w:ind w:left="420" w:leftChars="200" w:firstLine="560" w:firstLineChars="200"/>
        <w:jc w:val="left"/>
        <w:textAlignment w:val="baseline"/>
        <w:rPr>
          <w:rFonts w:hint="eastAsia" w:ascii="宋体" w:hAnsi="宋体" w:eastAsia="宋体" w:cs="宋体"/>
          <w:sz w:val="28"/>
          <w:szCs w:val="28"/>
          <w:highlight w:val="none"/>
        </w:rPr>
      </w:pPr>
    </w:p>
    <w:p w14:paraId="2D5697F7">
      <w:pPr>
        <w:adjustRightInd w:val="0"/>
        <w:spacing w:line="480" w:lineRule="exact"/>
        <w:ind w:left="420" w:leftChars="200" w:firstLine="560" w:firstLineChars="200"/>
        <w:jc w:val="left"/>
        <w:textAlignment w:val="baseline"/>
        <w:rPr>
          <w:rFonts w:hint="eastAsia" w:ascii="宋体" w:hAnsi="宋体" w:eastAsia="宋体" w:cs="宋体"/>
          <w:b/>
          <w:sz w:val="32"/>
          <w:szCs w:val="32"/>
          <w:highlight w:val="none"/>
        </w:rPr>
      </w:pPr>
      <w:r>
        <w:rPr>
          <w:rFonts w:hint="eastAsia" w:ascii="宋体" w:hAnsi="宋体" w:eastAsia="宋体" w:cs="宋体"/>
          <w:sz w:val="28"/>
          <w:szCs w:val="28"/>
          <w:highlight w:val="none"/>
        </w:rPr>
        <w:t>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419E4D8E">
      <w:pPr>
        <w:rPr>
          <w:rFonts w:ascii="Times New Roman" w:hAnsi="Times New Roman" w:eastAsia="方正黑体_GBK"/>
          <w:sz w:val="32"/>
          <w:szCs w:val="32"/>
          <w:highlight w:val="none"/>
        </w:rPr>
      </w:pPr>
    </w:p>
    <w:p w14:paraId="649623B6">
      <w:pPr>
        <w:rPr>
          <w:rFonts w:ascii="Times New Roman" w:hAnsi="Times New Roman" w:eastAsia="方正黑体_GBK"/>
          <w:sz w:val="32"/>
          <w:szCs w:val="32"/>
          <w:highlight w:val="none"/>
        </w:rPr>
      </w:pPr>
    </w:p>
    <w:p w14:paraId="6EE4E2F1">
      <w:pPr>
        <w:rPr>
          <w:rFonts w:ascii="Times New Roman" w:hAnsi="Times New Roman" w:eastAsia="方正黑体_GBK"/>
          <w:sz w:val="32"/>
          <w:szCs w:val="32"/>
          <w:highlight w:val="none"/>
        </w:rPr>
      </w:pPr>
    </w:p>
    <w:p w14:paraId="5DE331FB">
      <w:pPr>
        <w:rPr>
          <w:rFonts w:ascii="Times New Roman" w:hAnsi="Times New Roman" w:eastAsia="方正黑体_GBK"/>
          <w:sz w:val="32"/>
          <w:szCs w:val="32"/>
          <w:highlight w:val="none"/>
        </w:rPr>
      </w:pPr>
    </w:p>
    <w:p w14:paraId="700162E4">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附件6</w:t>
      </w:r>
    </w:p>
    <w:p w14:paraId="003BB693">
      <w:pPr>
        <w:snapToGrid w:val="0"/>
        <w:spacing w:line="300" w:lineRule="auto"/>
        <w:contextualSpacing/>
        <w:jc w:val="center"/>
        <w:rPr>
          <w:rFonts w:ascii="宋体" w:hAnsi="宋体"/>
          <w:b/>
          <w:sz w:val="32"/>
          <w:szCs w:val="32"/>
          <w:highlight w:val="none"/>
        </w:rPr>
      </w:pPr>
      <w:r>
        <w:rPr>
          <w:rFonts w:hint="eastAsia" w:ascii="宋体" w:hAnsi="宋体"/>
          <w:b/>
          <w:sz w:val="32"/>
          <w:szCs w:val="32"/>
          <w:highlight w:val="none"/>
        </w:rPr>
        <w:t>商务部分正负偏离表</w:t>
      </w:r>
    </w:p>
    <w:p w14:paraId="0DD7CEB1">
      <w:pPr>
        <w:ind w:firstLine="560" w:firstLineChars="200"/>
        <w:jc w:val="center"/>
        <w:rPr>
          <w:rFonts w:ascii="宋体" w:hAnsi="宋体"/>
          <w:sz w:val="28"/>
          <w:szCs w:val="28"/>
          <w:highlight w:val="none"/>
        </w:rPr>
      </w:pPr>
      <w:r>
        <w:rPr>
          <w:rFonts w:hint="eastAsia" w:ascii="宋体" w:hAnsi="宋体"/>
          <w:sz w:val="28"/>
          <w:szCs w:val="28"/>
          <w:highlight w:val="none"/>
        </w:rPr>
        <w:t>（由响应供应商据实填写，表格不够自行添加）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65"/>
        <w:gridCol w:w="2137"/>
        <w:gridCol w:w="3235"/>
        <w:gridCol w:w="2412"/>
        <w:gridCol w:w="1314"/>
      </w:tblGrid>
      <w:tr w14:paraId="6E023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2B211300">
            <w:pPr>
              <w:spacing w:line="340" w:lineRule="exact"/>
              <w:jc w:val="center"/>
              <w:rPr>
                <w:rFonts w:ascii="宋体" w:hAnsi="宋体"/>
                <w:sz w:val="28"/>
                <w:szCs w:val="28"/>
                <w:highlight w:val="none"/>
              </w:rPr>
            </w:pPr>
            <w:r>
              <w:rPr>
                <w:rFonts w:hint="eastAsia" w:ascii="宋体" w:hAnsi="宋体"/>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2EE2BFC6">
            <w:pPr>
              <w:spacing w:line="340" w:lineRule="exact"/>
              <w:jc w:val="center"/>
              <w:rPr>
                <w:rFonts w:ascii="宋体" w:hAnsi="宋体"/>
                <w:sz w:val="28"/>
                <w:szCs w:val="28"/>
                <w:highlight w:val="none"/>
              </w:rPr>
            </w:pPr>
            <w:r>
              <w:rPr>
                <w:rFonts w:hint="eastAsia" w:ascii="宋体" w:hAnsi="宋体"/>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4BE3D3A3">
            <w:pPr>
              <w:spacing w:line="340" w:lineRule="exact"/>
              <w:jc w:val="center"/>
              <w:rPr>
                <w:rFonts w:ascii="宋体" w:hAnsi="宋体"/>
                <w:sz w:val="28"/>
                <w:szCs w:val="28"/>
                <w:highlight w:val="none"/>
              </w:rPr>
            </w:pPr>
            <w:r>
              <w:rPr>
                <w:rFonts w:hint="eastAsia" w:ascii="宋体" w:hAnsi="宋体"/>
                <w:sz w:val="28"/>
                <w:szCs w:val="28"/>
                <w:highlight w:val="none"/>
              </w:rPr>
              <w:t>采购文件要求的商务条款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7E3B03B4">
            <w:pPr>
              <w:spacing w:line="340" w:lineRule="exact"/>
              <w:jc w:val="center"/>
              <w:rPr>
                <w:rFonts w:ascii="宋体" w:hAnsi="宋体"/>
                <w:sz w:val="28"/>
                <w:szCs w:val="28"/>
                <w:highlight w:val="none"/>
              </w:rPr>
            </w:pPr>
            <w:r>
              <w:rPr>
                <w:rFonts w:hint="eastAsia" w:ascii="宋体" w:hAnsi="宋体"/>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390A1B62">
            <w:pPr>
              <w:spacing w:line="340" w:lineRule="exact"/>
              <w:jc w:val="center"/>
              <w:rPr>
                <w:rFonts w:ascii="宋体" w:hAnsi="宋体"/>
                <w:sz w:val="28"/>
                <w:szCs w:val="28"/>
                <w:highlight w:val="none"/>
              </w:rPr>
            </w:pPr>
          </w:p>
          <w:p w14:paraId="53C95657">
            <w:pPr>
              <w:spacing w:line="340" w:lineRule="exact"/>
              <w:jc w:val="center"/>
              <w:rPr>
                <w:rFonts w:ascii="宋体" w:hAnsi="宋体"/>
                <w:sz w:val="28"/>
                <w:szCs w:val="28"/>
                <w:highlight w:val="none"/>
              </w:rPr>
            </w:pPr>
            <w:r>
              <w:rPr>
                <w:rFonts w:hint="eastAsia" w:ascii="宋体" w:hAnsi="宋体"/>
                <w:sz w:val="28"/>
                <w:szCs w:val="28"/>
                <w:highlight w:val="none"/>
              </w:rPr>
              <w:t>偏离说明</w:t>
            </w:r>
          </w:p>
        </w:tc>
      </w:tr>
      <w:tr w14:paraId="7E293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6D1D5A8">
            <w:pPr>
              <w:spacing w:line="340" w:lineRule="exact"/>
              <w:jc w:val="center"/>
              <w:rPr>
                <w:rFonts w:ascii="宋体" w:hAnsi="宋体"/>
                <w:sz w:val="28"/>
                <w:szCs w:val="28"/>
                <w:highlight w:val="none"/>
              </w:rPr>
            </w:pPr>
            <w:r>
              <w:rPr>
                <w:rFonts w:hint="eastAsia" w:ascii="宋体" w:hAnsi="宋体"/>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1AFE7835">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F564B7E">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C9AEA21">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7E14C728">
            <w:pPr>
              <w:spacing w:line="340" w:lineRule="exact"/>
              <w:jc w:val="left"/>
              <w:rPr>
                <w:sz w:val="28"/>
                <w:szCs w:val="28"/>
                <w:highlight w:val="none"/>
              </w:rPr>
            </w:pPr>
          </w:p>
        </w:tc>
      </w:tr>
      <w:tr w14:paraId="31BD77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D0DC23">
            <w:pPr>
              <w:spacing w:line="340" w:lineRule="exact"/>
              <w:jc w:val="center"/>
              <w:rPr>
                <w:rFonts w:ascii="宋体" w:hAnsi="宋体"/>
                <w:sz w:val="28"/>
                <w:szCs w:val="28"/>
                <w:highlight w:val="none"/>
              </w:rPr>
            </w:pPr>
            <w:r>
              <w:rPr>
                <w:rFonts w:hint="eastAsia" w:ascii="宋体" w:hAnsi="宋体"/>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7D99DEA3">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2FF0EB3">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DE3A9B0">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01F1BBC7">
            <w:pPr>
              <w:spacing w:line="340" w:lineRule="exact"/>
              <w:jc w:val="left"/>
              <w:rPr>
                <w:sz w:val="28"/>
                <w:szCs w:val="28"/>
                <w:highlight w:val="none"/>
              </w:rPr>
            </w:pPr>
          </w:p>
        </w:tc>
      </w:tr>
      <w:tr w14:paraId="40D64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CAE35CF">
            <w:pPr>
              <w:spacing w:line="340" w:lineRule="exact"/>
              <w:jc w:val="center"/>
              <w:rPr>
                <w:rFonts w:ascii="宋体" w:hAnsi="宋体"/>
                <w:sz w:val="28"/>
                <w:szCs w:val="28"/>
                <w:highlight w:val="none"/>
              </w:rPr>
            </w:pPr>
            <w:r>
              <w:rPr>
                <w:rFonts w:hint="eastAsia" w:ascii="宋体" w:hAnsi="宋体"/>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25322F6">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A710C42">
            <w:pPr>
              <w:spacing w:line="340" w:lineRule="exact"/>
              <w:jc w:val="left"/>
              <w:rPr>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DF03876">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43B2E3B4">
            <w:pPr>
              <w:spacing w:line="340" w:lineRule="exact"/>
              <w:jc w:val="left"/>
              <w:rPr>
                <w:sz w:val="28"/>
                <w:szCs w:val="28"/>
                <w:highlight w:val="none"/>
              </w:rPr>
            </w:pPr>
          </w:p>
        </w:tc>
      </w:tr>
      <w:tr w14:paraId="2CE77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838279C">
            <w:pPr>
              <w:spacing w:line="340" w:lineRule="exact"/>
              <w:jc w:val="center"/>
              <w:rPr>
                <w:rFonts w:ascii="宋体" w:hAnsi="宋体"/>
                <w:sz w:val="28"/>
                <w:szCs w:val="28"/>
                <w:highlight w:val="none"/>
              </w:rPr>
            </w:pPr>
            <w:r>
              <w:rPr>
                <w:rFonts w:hint="eastAsia" w:ascii="宋体" w:hAnsi="宋体"/>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1D548F40">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0083C3A">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6FB5CD4">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54251019">
            <w:pPr>
              <w:spacing w:line="340" w:lineRule="exact"/>
              <w:jc w:val="left"/>
              <w:rPr>
                <w:sz w:val="28"/>
                <w:szCs w:val="28"/>
                <w:highlight w:val="none"/>
              </w:rPr>
            </w:pPr>
          </w:p>
        </w:tc>
      </w:tr>
    </w:tbl>
    <w:p w14:paraId="4793B62B">
      <w:pPr>
        <w:snapToGrid w:val="0"/>
        <w:spacing w:line="300" w:lineRule="auto"/>
        <w:contextualSpacing/>
        <w:rPr>
          <w:rFonts w:ascii="宋体" w:hAnsi="宋体"/>
          <w:b/>
          <w:sz w:val="28"/>
          <w:szCs w:val="28"/>
          <w:highlight w:val="none"/>
        </w:rPr>
      </w:pPr>
      <w:r>
        <w:rPr>
          <w:rFonts w:hint="eastAsia" w:ascii="宋体" w:hAnsi="宋体"/>
          <w:b/>
          <w:sz w:val="28"/>
          <w:szCs w:val="28"/>
          <w:highlight w:val="none"/>
        </w:rPr>
        <w:t>注：</w:t>
      </w:r>
    </w:p>
    <w:p w14:paraId="08C07813">
      <w:pPr>
        <w:snapToGrid w:val="0"/>
        <w:spacing w:line="300" w:lineRule="auto"/>
        <w:ind w:firstLine="560" w:firstLineChars="200"/>
        <w:contextualSpacing/>
        <w:rPr>
          <w:rFonts w:ascii="宋体" w:hAnsi="宋体"/>
          <w:sz w:val="28"/>
          <w:szCs w:val="28"/>
          <w:highlight w:val="none"/>
        </w:rPr>
      </w:pPr>
      <w:r>
        <w:rPr>
          <w:rFonts w:hint="eastAsia" w:ascii="宋体" w:hAnsi="宋体"/>
          <w:sz w:val="28"/>
          <w:szCs w:val="28"/>
          <w:highlight w:val="none"/>
        </w:rPr>
        <w:t>1.如响应供应商提交的响应文件与采购文件第三部分“项目需求”中的商务部分的要求有偏离的，应逐条填列在偏离表中。未填写的内容视为完全响应本采购文件要求。</w:t>
      </w:r>
    </w:p>
    <w:p w14:paraId="5ACB2C52">
      <w:pPr>
        <w:snapToGrid w:val="0"/>
        <w:spacing w:line="300" w:lineRule="auto"/>
        <w:ind w:firstLine="560" w:firstLineChars="200"/>
        <w:contextualSpacing/>
        <w:rPr>
          <w:rFonts w:ascii="宋体" w:hAnsi="宋体"/>
          <w:sz w:val="28"/>
          <w:szCs w:val="28"/>
          <w:highlight w:val="none"/>
        </w:rPr>
      </w:pPr>
      <w:r>
        <w:rPr>
          <w:rFonts w:hint="eastAsia" w:ascii="宋体" w:hAnsi="宋体"/>
          <w:sz w:val="28"/>
          <w:szCs w:val="28"/>
          <w:highlight w:val="none"/>
        </w:rPr>
        <w:t>2.“偏离说明”一栏选择“正偏离”、“负偏离”、“无偏离”进行填写。正偏离的确认和负偏离的是否响应采购文件，由询价小组认定。</w:t>
      </w:r>
    </w:p>
    <w:p w14:paraId="3F702134">
      <w:pPr>
        <w:snapToGrid w:val="0"/>
        <w:spacing w:line="300" w:lineRule="auto"/>
        <w:ind w:firstLine="560" w:firstLineChars="200"/>
        <w:contextualSpacing/>
        <w:rPr>
          <w:rFonts w:ascii="宋体" w:hAnsi="宋体"/>
          <w:bCs/>
          <w:sz w:val="28"/>
          <w:szCs w:val="28"/>
          <w:highlight w:val="none"/>
        </w:rPr>
      </w:pPr>
      <w:r>
        <w:rPr>
          <w:rFonts w:hint="eastAsia" w:ascii="宋体" w:hAnsi="宋体"/>
          <w:bCs/>
          <w:sz w:val="28"/>
          <w:szCs w:val="28"/>
          <w:highlight w:val="none"/>
        </w:rPr>
        <w:t>3.供应商若提供其他增值服务，可以在表中自行据实填写。</w:t>
      </w:r>
    </w:p>
    <w:p w14:paraId="4BB69272">
      <w:pPr>
        <w:snapToGrid w:val="0"/>
        <w:spacing w:line="400" w:lineRule="exact"/>
        <w:ind w:firstLine="537" w:firstLineChars="192"/>
        <w:contextualSpacing/>
        <w:rPr>
          <w:rFonts w:ascii="宋体" w:hAnsi="宋体" w:cs="宋体"/>
          <w:b/>
          <w:kern w:val="0"/>
          <w:sz w:val="28"/>
          <w:szCs w:val="28"/>
          <w:highlight w:val="none"/>
        </w:rPr>
      </w:pPr>
    </w:p>
    <w:p w14:paraId="361CEEFD">
      <w:pPr>
        <w:spacing w:line="312" w:lineRule="auto"/>
        <w:ind w:firstLine="803" w:firstLineChars="287"/>
        <w:rPr>
          <w:rFonts w:ascii="宋体" w:hAnsi="宋体" w:cs="宋体"/>
          <w:b/>
          <w:sz w:val="28"/>
          <w:szCs w:val="28"/>
          <w:highlight w:val="none"/>
        </w:rPr>
      </w:pPr>
    </w:p>
    <w:p w14:paraId="0F093602">
      <w:pPr>
        <w:spacing w:line="312" w:lineRule="auto"/>
        <w:ind w:firstLine="1960" w:firstLineChars="700"/>
        <w:rPr>
          <w:rFonts w:ascii="宋体" w:hAnsi="宋体" w:cs="宋体"/>
          <w:sz w:val="28"/>
          <w:szCs w:val="28"/>
          <w:highlight w:val="none"/>
          <w:u w:val="single"/>
        </w:rPr>
      </w:pPr>
      <w:r>
        <w:rPr>
          <w:rFonts w:hint="eastAsia" w:ascii="宋体" w:hAnsi="宋体" w:cs="宋体"/>
          <w:sz w:val="28"/>
          <w:szCs w:val="28"/>
          <w:highlight w:val="none"/>
        </w:rPr>
        <w:t>响应供应商全称（盖公章）：</w:t>
      </w:r>
    </w:p>
    <w:p w14:paraId="6F6992E3">
      <w:pPr>
        <w:spacing w:line="312" w:lineRule="auto"/>
        <w:ind w:firstLine="1960" w:firstLineChars="700"/>
        <w:rPr>
          <w:rFonts w:ascii="宋体" w:hAnsi="宋体" w:cs="宋体"/>
          <w:sz w:val="28"/>
          <w:szCs w:val="28"/>
          <w:highlight w:val="none"/>
        </w:rPr>
      </w:pPr>
      <w:r>
        <w:rPr>
          <w:rFonts w:hint="eastAsia" w:ascii="宋体" w:hAnsi="宋体" w:cs="宋体"/>
          <w:sz w:val="28"/>
          <w:szCs w:val="28"/>
          <w:highlight w:val="none"/>
        </w:rPr>
        <w:t>法定代表人（签字或盖章）：</w:t>
      </w:r>
    </w:p>
    <w:p w14:paraId="4034F617">
      <w:pPr>
        <w:spacing w:line="312" w:lineRule="auto"/>
        <w:ind w:firstLine="1960" w:firstLineChars="700"/>
        <w:rPr>
          <w:rFonts w:ascii="宋体" w:hAnsi="宋体" w:cs="宋体"/>
          <w:sz w:val="28"/>
          <w:szCs w:val="28"/>
          <w:highlight w:val="none"/>
        </w:rPr>
      </w:pPr>
      <w:r>
        <w:rPr>
          <w:rFonts w:hint="eastAsia" w:ascii="宋体" w:hAnsi="宋体" w:cs="宋体"/>
          <w:sz w:val="28"/>
          <w:szCs w:val="28"/>
          <w:highlight w:val="none"/>
        </w:rPr>
        <w:t>日期：年月日</w:t>
      </w:r>
    </w:p>
    <w:p w14:paraId="4AD1B249">
      <w:pPr>
        <w:widowControl/>
        <w:spacing w:line="312" w:lineRule="auto"/>
        <w:jc w:val="left"/>
        <w:rPr>
          <w:rFonts w:ascii="宋体" w:hAnsi="宋体" w:cs="宋体"/>
          <w:b/>
          <w:bCs/>
          <w:sz w:val="32"/>
          <w:szCs w:val="32"/>
          <w:highlight w:val="none"/>
        </w:rPr>
      </w:pPr>
      <w:r>
        <w:rPr>
          <w:rFonts w:hint="eastAsia" w:ascii="宋体" w:hAnsi="宋体" w:cs="宋体"/>
          <w:b/>
          <w:sz w:val="24"/>
          <w:highlight w:val="none"/>
        </w:rPr>
        <w:br w:type="page"/>
      </w:r>
    </w:p>
    <w:p w14:paraId="69B183DE">
      <w:pPr>
        <w:widowControl/>
        <w:spacing w:line="312" w:lineRule="auto"/>
        <w:jc w:val="left"/>
        <w:rPr>
          <w:rFonts w:ascii="Times New Roman" w:hAnsi="Times New Roman" w:eastAsia="方正黑体_GBK"/>
          <w:sz w:val="24"/>
          <w:highlight w:val="none"/>
        </w:rPr>
      </w:pPr>
      <w:r>
        <w:rPr>
          <w:rFonts w:ascii="Times New Roman" w:hAnsi="Times New Roman" w:eastAsia="方正黑体_GBK"/>
          <w:sz w:val="32"/>
          <w:szCs w:val="32"/>
          <w:highlight w:val="none"/>
        </w:rPr>
        <w:t>附件7</w:t>
      </w:r>
    </w:p>
    <w:p w14:paraId="5A1CC452">
      <w:pPr>
        <w:snapToGrid w:val="0"/>
        <w:spacing w:line="300" w:lineRule="auto"/>
        <w:contextualSpacing/>
        <w:jc w:val="center"/>
        <w:rPr>
          <w:rFonts w:ascii="宋体" w:hAnsi="宋体"/>
          <w:b/>
          <w:sz w:val="32"/>
          <w:szCs w:val="32"/>
          <w:highlight w:val="none"/>
        </w:rPr>
      </w:pPr>
      <w:r>
        <w:rPr>
          <w:rFonts w:hint="eastAsia" w:ascii="宋体" w:hAnsi="宋体"/>
          <w:b/>
          <w:sz w:val="32"/>
          <w:szCs w:val="32"/>
          <w:highlight w:val="none"/>
        </w:rPr>
        <w:t>技术部分正负偏离表</w:t>
      </w:r>
    </w:p>
    <w:p w14:paraId="1CA4747A">
      <w:pPr>
        <w:ind w:firstLine="560" w:firstLineChars="200"/>
        <w:jc w:val="center"/>
        <w:rPr>
          <w:rFonts w:ascii="宋体" w:hAnsi="宋体"/>
          <w:sz w:val="28"/>
          <w:szCs w:val="28"/>
          <w:highlight w:val="none"/>
        </w:rPr>
      </w:pPr>
      <w:r>
        <w:rPr>
          <w:rFonts w:hint="eastAsia" w:ascii="宋体" w:hAnsi="宋体"/>
          <w:sz w:val="28"/>
          <w:szCs w:val="28"/>
          <w:highlight w:val="none"/>
        </w:rPr>
        <w:t>（由响应供应商据实填写，表格不够自行添加）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65"/>
        <w:gridCol w:w="2137"/>
        <w:gridCol w:w="3235"/>
        <w:gridCol w:w="2412"/>
        <w:gridCol w:w="1314"/>
      </w:tblGrid>
      <w:tr w14:paraId="73CDA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6C153B5E">
            <w:pPr>
              <w:spacing w:line="340" w:lineRule="exact"/>
              <w:jc w:val="center"/>
              <w:rPr>
                <w:rFonts w:ascii="宋体" w:hAnsi="宋体"/>
                <w:sz w:val="28"/>
                <w:szCs w:val="28"/>
                <w:highlight w:val="none"/>
              </w:rPr>
            </w:pPr>
            <w:r>
              <w:rPr>
                <w:rFonts w:hint="eastAsia" w:ascii="宋体" w:hAnsi="宋体"/>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05937731">
            <w:pPr>
              <w:spacing w:line="340" w:lineRule="exact"/>
              <w:jc w:val="center"/>
              <w:rPr>
                <w:rFonts w:ascii="宋体" w:hAnsi="宋体"/>
                <w:sz w:val="28"/>
                <w:szCs w:val="28"/>
                <w:highlight w:val="none"/>
              </w:rPr>
            </w:pPr>
            <w:r>
              <w:rPr>
                <w:rFonts w:hint="eastAsia" w:ascii="宋体" w:hAnsi="宋体"/>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055057F7">
            <w:pPr>
              <w:spacing w:line="340" w:lineRule="exact"/>
              <w:jc w:val="center"/>
              <w:rPr>
                <w:rFonts w:ascii="宋体" w:hAnsi="宋体"/>
                <w:sz w:val="28"/>
                <w:szCs w:val="28"/>
                <w:highlight w:val="none"/>
              </w:rPr>
            </w:pPr>
            <w:r>
              <w:rPr>
                <w:rFonts w:hint="eastAsia" w:ascii="宋体" w:hAnsi="宋体"/>
                <w:sz w:val="28"/>
                <w:szCs w:val="28"/>
                <w:highlight w:val="none"/>
              </w:rPr>
              <w:t>采购文件要求的技术要求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764B44F1">
            <w:pPr>
              <w:spacing w:line="340" w:lineRule="exact"/>
              <w:jc w:val="center"/>
              <w:rPr>
                <w:rFonts w:ascii="宋体" w:hAnsi="宋体"/>
                <w:sz w:val="28"/>
                <w:szCs w:val="28"/>
                <w:highlight w:val="none"/>
              </w:rPr>
            </w:pPr>
            <w:r>
              <w:rPr>
                <w:rFonts w:hint="eastAsia" w:ascii="宋体" w:hAnsi="宋体"/>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40A0C3D1">
            <w:pPr>
              <w:spacing w:line="340" w:lineRule="exact"/>
              <w:jc w:val="center"/>
              <w:rPr>
                <w:rFonts w:ascii="宋体" w:hAnsi="宋体"/>
                <w:sz w:val="28"/>
                <w:szCs w:val="28"/>
                <w:highlight w:val="none"/>
              </w:rPr>
            </w:pPr>
          </w:p>
          <w:p w14:paraId="728502E9">
            <w:pPr>
              <w:spacing w:line="340" w:lineRule="exact"/>
              <w:jc w:val="center"/>
              <w:rPr>
                <w:rFonts w:ascii="宋体" w:hAnsi="宋体"/>
                <w:sz w:val="28"/>
                <w:szCs w:val="28"/>
                <w:highlight w:val="none"/>
              </w:rPr>
            </w:pPr>
            <w:r>
              <w:rPr>
                <w:rFonts w:hint="eastAsia" w:ascii="宋体" w:hAnsi="宋体"/>
                <w:sz w:val="28"/>
                <w:szCs w:val="28"/>
                <w:highlight w:val="none"/>
              </w:rPr>
              <w:t>偏离说明</w:t>
            </w:r>
          </w:p>
        </w:tc>
      </w:tr>
      <w:tr w14:paraId="0A00E8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3417408C">
            <w:pPr>
              <w:spacing w:line="340" w:lineRule="exact"/>
              <w:jc w:val="center"/>
              <w:rPr>
                <w:rFonts w:ascii="宋体" w:hAnsi="宋体"/>
                <w:sz w:val="28"/>
                <w:szCs w:val="28"/>
                <w:highlight w:val="none"/>
              </w:rPr>
            </w:pPr>
            <w:r>
              <w:rPr>
                <w:rFonts w:hint="eastAsia" w:ascii="宋体" w:hAnsi="宋体"/>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7B1409E8">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ACCFB52">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4D26450">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065F1DA5">
            <w:pPr>
              <w:spacing w:line="340" w:lineRule="exact"/>
              <w:jc w:val="left"/>
              <w:rPr>
                <w:sz w:val="28"/>
                <w:szCs w:val="28"/>
                <w:highlight w:val="none"/>
              </w:rPr>
            </w:pPr>
          </w:p>
        </w:tc>
      </w:tr>
      <w:tr w14:paraId="4AA57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5FE39099">
            <w:pPr>
              <w:spacing w:line="340" w:lineRule="exact"/>
              <w:jc w:val="center"/>
              <w:rPr>
                <w:rFonts w:ascii="宋体" w:hAnsi="宋体"/>
                <w:sz w:val="28"/>
                <w:szCs w:val="28"/>
                <w:highlight w:val="none"/>
              </w:rPr>
            </w:pPr>
            <w:r>
              <w:rPr>
                <w:rFonts w:hint="eastAsia" w:ascii="宋体" w:hAnsi="宋体"/>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382F1639">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1745DFB">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8460E6B">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62A40D77">
            <w:pPr>
              <w:spacing w:line="340" w:lineRule="exact"/>
              <w:jc w:val="left"/>
              <w:rPr>
                <w:sz w:val="28"/>
                <w:szCs w:val="28"/>
                <w:highlight w:val="none"/>
              </w:rPr>
            </w:pPr>
          </w:p>
        </w:tc>
      </w:tr>
      <w:tr w14:paraId="5380B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8E391B3">
            <w:pPr>
              <w:spacing w:line="340" w:lineRule="exact"/>
              <w:jc w:val="center"/>
              <w:rPr>
                <w:rFonts w:ascii="宋体" w:hAnsi="宋体"/>
                <w:sz w:val="28"/>
                <w:szCs w:val="28"/>
                <w:highlight w:val="none"/>
              </w:rPr>
            </w:pPr>
            <w:r>
              <w:rPr>
                <w:rFonts w:hint="eastAsia" w:ascii="宋体" w:hAnsi="宋体"/>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D595897">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7A88D85">
            <w:pPr>
              <w:spacing w:line="340" w:lineRule="exact"/>
              <w:jc w:val="left"/>
              <w:rPr>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849FA0A">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390A197D">
            <w:pPr>
              <w:spacing w:line="340" w:lineRule="exact"/>
              <w:jc w:val="left"/>
              <w:rPr>
                <w:sz w:val="28"/>
                <w:szCs w:val="28"/>
                <w:highlight w:val="none"/>
              </w:rPr>
            </w:pPr>
          </w:p>
        </w:tc>
      </w:tr>
      <w:tr w14:paraId="69FDF7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0B2CBE1F">
            <w:pPr>
              <w:spacing w:line="340" w:lineRule="exact"/>
              <w:jc w:val="center"/>
              <w:rPr>
                <w:rFonts w:ascii="宋体" w:hAnsi="宋体"/>
                <w:sz w:val="28"/>
                <w:szCs w:val="28"/>
                <w:highlight w:val="none"/>
              </w:rPr>
            </w:pPr>
            <w:r>
              <w:rPr>
                <w:rFonts w:hint="eastAsia" w:ascii="宋体" w:hAnsi="宋体"/>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4E866C4D">
            <w:pPr>
              <w:spacing w:line="340" w:lineRule="exact"/>
              <w:jc w:val="left"/>
              <w:rPr>
                <w:rFonts w:ascii="宋体" w:hAnsi="宋体"/>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5F592ED">
            <w:pPr>
              <w:spacing w:line="340" w:lineRule="exact"/>
              <w:jc w:val="left"/>
              <w:rPr>
                <w:rFonts w:ascii="宋体" w:hAnsi="宋体"/>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912567B">
            <w:pPr>
              <w:spacing w:line="340" w:lineRule="exact"/>
              <w:jc w:val="left"/>
              <w:rPr>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tcPr>
          <w:p w14:paraId="1F8C71FF">
            <w:pPr>
              <w:spacing w:line="340" w:lineRule="exact"/>
              <w:jc w:val="left"/>
              <w:rPr>
                <w:sz w:val="28"/>
                <w:szCs w:val="28"/>
                <w:highlight w:val="none"/>
              </w:rPr>
            </w:pPr>
          </w:p>
        </w:tc>
      </w:tr>
    </w:tbl>
    <w:p w14:paraId="4F17C40B">
      <w:pPr>
        <w:snapToGrid w:val="0"/>
        <w:spacing w:line="300" w:lineRule="auto"/>
        <w:contextualSpacing/>
        <w:rPr>
          <w:rFonts w:ascii="宋体" w:hAnsi="宋体"/>
          <w:b/>
          <w:sz w:val="28"/>
          <w:szCs w:val="28"/>
          <w:highlight w:val="none"/>
        </w:rPr>
      </w:pPr>
      <w:r>
        <w:rPr>
          <w:rFonts w:hint="eastAsia" w:ascii="宋体" w:hAnsi="宋体"/>
          <w:b/>
          <w:sz w:val="28"/>
          <w:szCs w:val="28"/>
          <w:highlight w:val="none"/>
        </w:rPr>
        <w:t>注：</w:t>
      </w:r>
    </w:p>
    <w:p w14:paraId="5DC8B4A8">
      <w:pPr>
        <w:snapToGrid w:val="0"/>
        <w:spacing w:line="300" w:lineRule="auto"/>
        <w:ind w:firstLine="560" w:firstLineChars="200"/>
        <w:contextualSpacing/>
        <w:rPr>
          <w:rFonts w:ascii="宋体" w:hAnsi="宋体"/>
          <w:sz w:val="28"/>
          <w:szCs w:val="28"/>
          <w:highlight w:val="none"/>
        </w:rPr>
      </w:pPr>
      <w:r>
        <w:rPr>
          <w:rFonts w:hint="eastAsia" w:ascii="宋体" w:hAnsi="宋体"/>
          <w:sz w:val="28"/>
          <w:szCs w:val="28"/>
          <w:highlight w:val="none"/>
        </w:rPr>
        <w:t>1.如响应供应商提交的响应文件与采购文件第三部分“项目需求”中的技术部分的要求有偏离的，应逐条填列在偏离表中。未填写的内容视为完全响应本采购文件要求。</w:t>
      </w:r>
    </w:p>
    <w:p w14:paraId="77C788FD">
      <w:pPr>
        <w:snapToGrid w:val="0"/>
        <w:spacing w:line="300" w:lineRule="auto"/>
        <w:ind w:firstLine="560" w:firstLineChars="200"/>
        <w:contextualSpacing/>
        <w:rPr>
          <w:rFonts w:ascii="宋体" w:hAnsi="宋体"/>
          <w:sz w:val="28"/>
          <w:szCs w:val="28"/>
          <w:highlight w:val="none"/>
        </w:rPr>
      </w:pPr>
      <w:r>
        <w:rPr>
          <w:rFonts w:hint="eastAsia" w:ascii="宋体" w:hAnsi="宋体"/>
          <w:sz w:val="28"/>
          <w:szCs w:val="28"/>
          <w:highlight w:val="none"/>
        </w:rPr>
        <w:t>2.“偏离说明”一栏选择“正偏离”、“负偏离”、“无偏离”进行填写。正偏离的确认和负偏离的是否响应采购文件，由询价小组认定。</w:t>
      </w:r>
    </w:p>
    <w:p w14:paraId="3CDF4AB2">
      <w:pPr>
        <w:snapToGrid w:val="0"/>
        <w:spacing w:line="300" w:lineRule="auto"/>
        <w:ind w:firstLine="560" w:firstLineChars="200"/>
        <w:contextualSpacing/>
        <w:rPr>
          <w:rFonts w:ascii="宋体" w:hAnsi="宋体"/>
          <w:bCs/>
          <w:sz w:val="28"/>
          <w:szCs w:val="28"/>
          <w:highlight w:val="none"/>
        </w:rPr>
      </w:pPr>
      <w:r>
        <w:rPr>
          <w:rFonts w:hint="eastAsia" w:ascii="宋体" w:hAnsi="宋体"/>
          <w:bCs/>
          <w:sz w:val="28"/>
          <w:szCs w:val="28"/>
          <w:highlight w:val="none"/>
        </w:rPr>
        <w:t>3.供应商若提供其他增值服务，可以在表中自行据实填写。</w:t>
      </w:r>
    </w:p>
    <w:p w14:paraId="5D416102">
      <w:pPr>
        <w:spacing w:line="312" w:lineRule="auto"/>
        <w:ind w:firstLine="2520" w:firstLineChars="900"/>
        <w:rPr>
          <w:rFonts w:ascii="宋体" w:hAnsi="宋体" w:cs="宋体"/>
          <w:sz w:val="28"/>
          <w:szCs w:val="28"/>
          <w:highlight w:val="none"/>
          <w:u w:val="single"/>
        </w:rPr>
      </w:pPr>
      <w:r>
        <w:rPr>
          <w:rFonts w:hint="eastAsia" w:ascii="宋体" w:hAnsi="宋体" w:cs="宋体"/>
          <w:sz w:val="28"/>
          <w:szCs w:val="28"/>
          <w:highlight w:val="none"/>
        </w:rPr>
        <w:t>响应供应商全称（盖公章）：</w:t>
      </w:r>
    </w:p>
    <w:p w14:paraId="30337B78">
      <w:pPr>
        <w:spacing w:line="312" w:lineRule="auto"/>
        <w:ind w:left="480" w:firstLine="1960" w:firstLineChars="700"/>
        <w:rPr>
          <w:rFonts w:ascii="宋体" w:hAnsi="宋体" w:cs="宋体"/>
          <w:sz w:val="28"/>
          <w:szCs w:val="28"/>
          <w:highlight w:val="none"/>
          <w:u w:val="single"/>
        </w:rPr>
      </w:pPr>
      <w:r>
        <w:rPr>
          <w:rFonts w:hint="eastAsia" w:ascii="宋体" w:hAnsi="宋体" w:cs="宋体"/>
          <w:sz w:val="28"/>
          <w:szCs w:val="28"/>
          <w:highlight w:val="none"/>
        </w:rPr>
        <w:t>法定代表人（签字或盖章）：</w:t>
      </w:r>
    </w:p>
    <w:p w14:paraId="42147A18">
      <w:pPr>
        <w:spacing w:line="312" w:lineRule="auto"/>
        <w:ind w:firstLine="2520" w:firstLineChars="900"/>
        <w:rPr>
          <w:rFonts w:ascii="宋体" w:hAnsi="宋体" w:cs="宋体"/>
          <w:sz w:val="28"/>
          <w:szCs w:val="28"/>
          <w:highlight w:val="none"/>
        </w:rPr>
      </w:pPr>
      <w:bookmarkStart w:id="54" w:name="_Toc71282465"/>
      <w:bookmarkStart w:id="55" w:name="_Toc71282449"/>
      <w:bookmarkStart w:id="56" w:name="_Toc71282604"/>
      <w:r>
        <w:rPr>
          <w:rFonts w:hint="eastAsia" w:ascii="宋体" w:hAnsi="宋体" w:cs="宋体"/>
          <w:sz w:val="28"/>
          <w:szCs w:val="28"/>
          <w:highlight w:val="none"/>
        </w:rPr>
        <w:t>日期：年月日</w:t>
      </w:r>
      <w:bookmarkEnd w:id="54"/>
      <w:bookmarkEnd w:id="55"/>
      <w:bookmarkEnd w:id="56"/>
    </w:p>
    <w:p w14:paraId="30697955">
      <w:pPr>
        <w:rPr>
          <w:rFonts w:ascii="Times New Roman" w:hAnsi="Times New Roman" w:eastAsia="方正黑体_GBK"/>
          <w:sz w:val="32"/>
          <w:szCs w:val="32"/>
          <w:highlight w:val="none"/>
        </w:rPr>
      </w:pPr>
    </w:p>
    <w:p w14:paraId="024D8129">
      <w:pPr>
        <w:rPr>
          <w:rFonts w:ascii="Times New Roman" w:hAnsi="Times New Roman" w:eastAsia="方正黑体_GBK"/>
          <w:sz w:val="32"/>
          <w:szCs w:val="32"/>
          <w:highlight w:val="none"/>
        </w:rPr>
      </w:pPr>
    </w:p>
    <w:p w14:paraId="0317F3E9">
      <w:pPr>
        <w:rPr>
          <w:rFonts w:ascii="Times New Roman" w:hAnsi="Times New Roman" w:eastAsia="方正黑体_GBK"/>
          <w:sz w:val="32"/>
          <w:szCs w:val="32"/>
          <w:highlight w:val="none"/>
        </w:rPr>
      </w:pPr>
    </w:p>
    <w:p w14:paraId="05DA0BA0">
      <w:pPr>
        <w:rPr>
          <w:rFonts w:ascii="Times New Roman" w:hAnsi="Times New Roman" w:eastAsia="方正黑体_GBK"/>
          <w:sz w:val="32"/>
          <w:szCs w:val="32"/>
          <w:highlight w:val="none"/>
        </w:rPr>
      </w:pPr>
    </w:p>
    <w:p w14:paraId="4880D8FD">
      <w:pPr>
        <w:pStyle w:val="7"/>
        <w:rPr>
          <w:rFonts w:ascii="Times New Roman" w:hAnsi="Times New Roman" w:eastAsia="方正黑体_GBK"/>
          <w:sz w:val="32"/>
          <w:szCs w:val="32"/>
          <w:highlight w:val="none"/>
        </w:rPr>
      </w:pPr>
    </w:p>
    <w:p w14:paraId="3A090211">
      <w:pPr>
        <w:spacing w:line="312" w:lineRule="auto"/>
        <w:rPr>
          <w:rFonts w:ascii="Times New Roman" w:hAnsi="Times New Roman" w:eastAsia="方正黑体_GBK"/>
          <w:sz w:val="32"/>
          <w:szCs w:val="32"/>
          <w:highlight w:val="none"/>
        </w:rPr>
      </w:pPr>
    </w:p>
    <w:p w14:paraId="5CF75E08">
      <w:pPr>
        <w:spacing w:line="312" w:lineRule="auto"/>
        <w:rPr>
          <w:rFonts w:ascii="Times New Roman" w:hAnsi="Times New Roman" w:eastAsia="方正黑体_GBK"/>
          <w:sz w:val="32"/>
          <w:szCs w:val="32"/>
          <w:highlight w:val="none"/>
        </w:rPr>
      </w:pPr>
    </w:p>
    <w:p w14:paraId="03E9E3A2">
      <w:pPr>
        <w:spacing w:line="312" w:lineRule="auto"/>
        <w:rPr>
          <w:b/>
          <w:bCs/>
          <w:sz w:val="32"/>
          <w:szCs w:val="40"/>
          <w:highlight w:val="none"/>
        </w:rPr>
      </w:pPr>
      <w:r>
        <w:rPr>
          <w:rFonts w:ascii="Times New Roman" w:hAnsi="Times New Roman" w:eastAsia="方正黑体_GBK"/>
          <w:sz w:val="32"/>
          <w:szCs w:val="32"/>
          <w:highlight w:val="none"/>
        </w:rPr>
        <w:t>附件</w:t>
      </w:r>
      <w:r>
        <w:rPr>
          <w:rFonts w:hint="eastAsia" w:ascii="Times New Roman" w:hAnsi="Times New Roman" w:eastAsia="方正黑体_GBK"/>
          <w:sz w:val="32"/>
          <w:szCs w:val="32"/>
          <w:highlight w:val="none"/>
          <w:lang w:val="en-US" w:eastAsia="zh-CN"/>
        </w:rPr>
        <w:t xml:space="preserve">8               </w:t>
      </w:r>
      <w:r>
        <w:rPr>
          <w:rFonts w:hint="eastAsia"/>
          <w:b/>
          <w:bCs/>
          <w:sz w:val="32"/>
          <w:szCs w:val="40"/>
          <w:highlight w:val="none"/>
        </w:rPr>
        <w:t>分项报价明细表（货物类）</w:t>
      </w:r>
    </w:p>
    <w:p w14:paraId="30434D78">
      <w:pPr>
        <w:snapToGrid w:val="0"/>
        <w:spacing w:line="360" w:lineRule="auto"/>
        <w:rPr>
          <w:rFonts w:cs="宋体" w:asciiTheme="minorEastAsia" w:hAnsiTheme="minorEastAsia" w:eastAsiaTheme="minorEastAsia"/>
          <w:sz w:val="24"/>
          <w:highlight w:val="none"/>
        </w:rPr>
      </w:pPr>
      <w:r>
        <w:rPr>
          <w:rFonts w:hint="eastAsia" w:cs="仿宋_GB2312" w:asciiTheme="minorEastAsia" w:hAnsiTheme="minorEastAsia" w:eastAsiaTheme="minorEastAsia"/>
          <w:b/>
          <w:bCs/>
          <w:color w:val="auto"/>
          <w:sz w:val="24"/>
          <w:highlight w:val="none"/>
        </w:rPr>
        <w:t>（</w:t>
      </w:r>
      <w:r>
        <w:rPr>
          <w:rFonts w:hint="eastAsia" w:cs="仿宋_GB2312" w:asciiTheme="minorEastAsia" w:hAnsiTheme="minorEastAsia" w:eastAsiaTheme="minorEastAsia"/>
          <w:b/>
          <w:bCs/>
          <w:color w:val="auto"/>
          <w:sz w:val="24"/>
          <w:highlight w:val="none"/>
          <w:lang w:val="zh-CN"/>
        </w:rPr>
        <w:t>苏采云系统内电子投标(响应)文件中表式</w:t>
      </w:r>
      <w:r>
        <w:rPr>
          <w:rFonts w:hint="eastAsia" w:cs="仿宋_GB2312" w:asciiTheme="minorEastAsia" w:hAnsiTheme="minorEastAsia" w:eastAsiaTheme="minorEastAsia"/>
          <w:b/>
          <w:bCs/>
          <w:color w:val="auto"/>
          <w:sz w:val="24"/>
          <w:highlight w:val="none"/>
        </w:rPr>
        <w:t>不作为评审依据，以此报价表为准)</w:t>
      </w:r>
    </w:p>
    <w:p w14:paraId="4C1F6199">
      <w:pPr>
        <w:jc w:val="center"/>
        <w:rPr>
          <w:rFonts w:hint="eastAsia" w:eastAsia="宋体" w:cs="Times New Roman"/>
          <w:b/>
          <w:bCs/>
          <w:sz w:val="32"/>
          <w:szCs w:val="40"/>
          <w:highlight w:val="none"/>
        </w:rPr>
      </w:pPr>
      <w:r>
        <w:rPr>
          <w:rFonts w:hint="eastAsia" w:eastAsia="宋体" w:cs="Times New Roman"/>
          <w:b/>
          <w:bCs/>
          <w:sz w:val="32"/>
          <w:szCs w:val="40"/>
          <w:highlight w:val="none"/>
        </w:rPr>
        <w:t>报价明细表（一标包）</w:t>
      </w:r>
    </w:p>
    <w:tbl>
      <w:tblPr>
        <w:tblStyle w:val="14"/>
        <w:tblW w:w="10158" w:type="dxa"/>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1"/>
        <w:gridCol w:w="1843"/>
        <w:gridCol w:w="2524"/>
        <w:gridCol w:w="1268"/>
        <w:gridCol w:w="1083"/>
        <w:gridCol w:w="1384"/>
        <w:gridCol w:w="1425"/>
      </w:tblGrid>
      <w:tr w14:paraId="51F3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atLeast"/>
        </w:trPr>
        <w:tc>
          <w:tcPr>
            <w:tcW w:w="631" w:type="dxa"/>
            <w:tcBorders>
              <w:top w:val="single" w:color="auto" w:sz="4" w:space="0"/>
              <w:left w:val="single" w:color="auto" w:sz="4" w:space="0"/>
              <w:bottom w:val="single" w:color="auto" w:sz="4" w:space="0"/>
              <w:right w:val="single" w:color="auto" w:sz="4" w:space="0"/>
            </w:tcBorders>
            <w:vAlign w:val="center"/>
          </w:tcPr>
          <w:p w14:paraId="7C9A5EEA">
            <w:pPr>
              <w:snapToGrid w:val="0"/>
              <w:spacing w:line="440" w:lineRule="exact"/>
              <w:jc w:val="center"/>
              <w:rPr>
                <w:rFonts w:ascii="宋体" w:hAnsi="宋体"/>
                <w:bCs/>
                <w:sz w:val="24"/>
                <w:highlight w:val="none"/>
              </w:rPr>
            </w:pPr>
            <w:r>
              <w:rPr>
                <w:rFonts w:hint="eastAsia" w:ascii="宋体" w:hAnsi="宋体"/>
                <w:bCs/>
                <w:sz w:val="24"/>
                <w:highlight w:val="none"/>
              </w:rPr>
              <w:t>标包</w:t>
            </w:r>
          </w:p>
        </w:tc>
        <w:tc>
          <w:tcPr>
            <w:tcW w:w="1843" w:type="dxa"/>
            <w:tcBorders>
              <w:top w:val="single" w:color="auto" w:sz="4" w:space="0"/>
              <w:left w:val="single" w:color="auto" w:sz="4" w:space="0"/>
              <w:bottom w:val="single" w:color="auto" w:sz="4" w:space="0"/>
              <w:right w:val="single" w:color="auto" w:sz="4" w:space="0"/>
            </w:tcBorders>
            <w:vAlign w:val="center"/>
          </w:tcPr>
          <w:p w14:paraId="2941438B">
            <w:pPr>
              <w:snapToGrid w:val="0"/>
              <w:spacing w:line="440" w:lineRule="exact"/>
              <w:jc w:val="center"/>
              <w:rPr>
                <w:rFonts w:ascii="宋体" w:hAnsi="宋体"/>
                <w:bCs/>
                <w:sz w:val="24"/>
                <w:highlight w:val="none"/>
              </w:rPr>
            </w:pPr>
            <w:r>
              <w:rPr>
                <w:rFonts w:hint="eastAsia" w:ascii="宋体" w:hAnsi="宋体"/>
                <w:bCs/>
                <w:sz w:val="24"/>
                <w:highlight w:val="none"/>
              </w:rPr>
              <w:t>采购货物</w:t>
            </w:r>
          </w:p>
        </w:tc>
        <w:tc>
          <w:tcPr>
            <w:tcW w:w="2524" w:type="dxa"/>
            <w:tcBorders>
              <w:top w:val="single" w:color="auto" w:sz="4" w:space="0"/>
              <w:left w:val="single" w:color="auto" w:sz="4" w:space="0"/>
              <w:bottom w:val="single" w:color="auto" w:sz="4" w:space="0"/>
              <w:right w:val="single" w:color="auto" w:sz="4" w:space="0"/>
            </w:tcBorders>
            <w:vAlign w:val="center"/>
          </w:tcPr>
          <w:p w14:paraId="72402131">
            <w:pPr>
              <w:pStyle w:val="13"/>
              <w:spacing w:after="0" w:line="360" w:lineRule="exact"/>
              <w:ind w:left="0" w:leftChars="0" w:firstLine="0" w:firstLineChars="0"/>
              <w:jc w:val="center"/>
              <w:rPr>
                <w:rFonts w:ascii="宋体" w:hAnsi="宋体"/>
                <w:bCs/>
                <w:sz w:val="24"/>
                <w:szCs w:val="24"/>
                <w:highlight w:val="none"/>
              </w:rPr>
            </w:pPr>
            <w:r>
              <w:rPr>
                <w:rFonts w:hint="eastAsia" w:ascii="宋体" w:hAnsi="宋体"/>
                <w:bCs/>
                <w:sz w:val="24"/>
                <w:szCs w:val="24"/>
                <w:highlight w:val="none"/>
              </w:rPr>
              <w:t>规格参数</w:t>
            </w:r>
          </w:p>
        </w:tc>
        <w:tc>
          <w:tcPr>
            <w:tcW w:w="1268" w:type="dxa"/>
            <w:tcBorders>
              <w:top w:val="single" w:color="auto" w:sz="4" w:space="0"/>
              <w:left w:val="single" w:color="auto" w:sz="4" w:space="0"/>
              <w:bottom w:val="single" w:color="auto" w:sz="4" w:space="0"/>
              <w:right w:val="single" w:color="auto" w:sz="4" w:space="0"/>
            </w:tcBorders>
            <w:vAlign w:val="center"/>
          </w:tcPr>
          <w:p w14:paraId="1E28176C">
            <w:pPr>
              <w:widowControl/>
              <w:jc w:val="center"/>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采购总额</w:t>
            </w:r>
          </w:p>
          <w:p w14:paraId="2F3B618E">
            <w:pPr>
              <w:widowControl/>
              <w:jc w:val="center"/>
              <w:textAlignment w:val="center"/>
              <w:rPr>
                <w:rFonts w:ascii="宋体" w:hAnsi="宋体"/>
                <w:bCs/>
                <w:sz w:val="24"/>
                <w:highlight w:val="none"/>
              </w:rPr>
            </w:pPr>
            <w:r>
              <w:rPr>
                <w:rFonts w:hint="eastAsia" w:ascii="宋体" w:hAnsi="宋体" w:cs="宋体"/>
                <w:color w:val="000000"/>
                <w:kern w:val="0"/>
                <w:sz w:val="24"/>
                <w:highlight w:val="none"/>
              </w:rPr>
              <w:t>（万元）</w:t>
            </w:r>
          </w:p>
        </w:tc>
        <w:tc>
          <w:tcPr>
            <w:tcW w:w="1083" w:type="dxa"/>
            <w:tcBorders>
              <w:top w:val="single" w:color="auto" w:sz="4" w:space="0"/>
              <w:left w:val="single" w:color="auto" w:sz="4" w:space="0"/>
              <w:bottom w:val="single" w:color="auto" w:sz="4" w:space="0"/>
              <w:right w:val="single" w:color="auto" w:sz="4" w:space="0"/>
            </w:tcBorders>
            <w:vAlign w:val="center"/>
          </w:tcPr>
          <w:p w14:paraId="3C9482F7">
            <w:pPr>
              <w:widowControl/>
              <w:jc w:val="center"/>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权重系数</w:t>
            </w:r>
          </w:p>
        </w:tc>
        <w:tc>
          <w:tcPr>
            <w:tcW w:w="1384" w:type="dxa"/>
            <w:tcBorders>
              <w:top w:val="single" w:color="auto" w:sz="4" w:space="0"/>
              <w:left w:val="single" w:color="auto" w:sz="4" w:space="0"/>
              <w:bottom w:val="single" w:color="auto" w:sz="4" w:space="0"/>
              <w:right w:val="single" w:color="auto" w:sz="4" w:space="0"/>
            </w:tcBorders>
            <w:vAlign w:val="center"/>
          </w:tcPr>
          <w:p w14:paraId="4EE6E2AC">
            <w:pPr>
              <w:pStyle w:val="13"/>
              <w:spacing w:after="0" w:line="360" w:lineRule="exact"/>
              <w:ind w:left="0" w:leftChars="0" w:firstLine="0" w:firstLineChars="0"/>
              <w:jc w:val="center"/>
              <w:rPr>
                <w:rFonts w:ascii="宋体" w:hAnsi="宋体"/>
                <w:bCs/>
                <w:sz w:val="24"/>
                <w:szCs w:val="24"/>
                <w:highlight w:val="none"/>
              </w:rPr>
            </w:pPr>
            <w:r>
              <w:rPr>
                <w:rFonts w:hint="eastAsia" w:ascii="宋体" w:hAnsi="宋体" w:cs="宋体"/>
                <w:color w:val="000000"/>
                <w:kern w:val="0"/>
                <w:sz w:val="24"/>
                <w:szCs w:val="24"/>
                <w:highlight w:val="none"/>
              </w:rPr>
              <w:t>生产厂家</w:t>
            </w:r>
          </w:p>
        </w:tc>
        <w:tc>
          <w:tcPr>
            <w:tcW w:w="1425" w:type="dxa"/>
            <w:tcBorders>
              <w:top w:val="single" w:color="auto" w:sz="4" w:space="0"/>
              <w:left w:val="single" w:color="auto" w:sz="4" w:space="0"/>
              <w:bottom w:val="single" w:color="auto" w:sz="4" w:space="0"/>
              <w:right w:val="single" w:color="auto" w:sz="4" w:space="0"/>
            </w:tcBorders>
            <w:vAlign w:val="center"/>
          </w:tcPr>
          <w:p w14:paraId="64A06909">
            <w:pPr>
              <w:pStyle w:val="13"/>
              <w:spacing w:after="0" w:line="360" w:lineRule="exact"/>
              <w:ind w:left="0" w:leftChars="0" w:firstLine="0" w:firstLineChars="0"/>
              <w:jc w:val="center"/>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单价报价</w:t>
            </w:r>
          </w:p>
        </w:tc>
      </w:tr>
      <w:tr w14:paraId="4013F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2" w:hRule="atLeast"/>
        </w:trPr>
        <w:tc>
          <w:tcPr>
            <w:tcW w:w="631" w:type="dxa"/>
            <w:vMerge w:val="restart"/>
            <w:tcBorders>
              <w:top w:val="nil"/>
              <w:left w:val="single" w:color="auto" w:sz="4" w:space="0"/>
              <w:right w:val="single" w:color="auto" w:sz="4" w:space="0"/>
            </w:tcBorders>
            <w:vAlign w:val="center"/>
          </w:tcPr>
          <w:p w14:paraId="3DB57760">
            <w:pPr>
              <w:snapToGrid w:val="0"/>
              <w:spacing w:line="240" w:lineRule="atLeast"/>
              <w:jc w:val="center"/>
              <w:rPr>
                <w:rFonts w:ascii="宋体" w:hAnsi="宋体"/>
                <w:bCs/>
                <w:sz w:val="24"/>
                <w:highlight w:val="none"/>
              </w:rPr>
            </w:pPr>
            <w:r>
              <w:rPr>
                <w:rFonts w:hint="eastAsia" w:ascii="宋体" w:hAnsi="宋体"/>
                <w:bCs/>
                <w:sz w:val="24"/>
                <w:highlight w:val="none"/>
              </w:rPr>
              <w:t>一标包</w:t>
            </w: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5B759587">
            <w:pPr>
              <w:spacing w:line="400" w:lineRule="exact"/>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rPr>
              <w:t>三十烷醇</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61627693">
            <w:pPr>
              <w:spacing w:line="400" w:lineRule="exac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200毫升/瓶；0.1%，微乳剂、可溶液剂</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9DFBE2D">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2.5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11A6DCD7">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0.0230</w:t>
            </w:r>
          </w:p>
        </w:tc>
        <w:tc>
          <w:tcPr>
            <w:tcW w:w="1384" w:type="dxa"/>
            <w:tcBorders>
              <w:top w:val="single" w:color="auto" w:sz="4" w:space="0"/>
              <w:left w:val="single" w:color="auto" w:sz="4" w:space="0"/>
              <w:bottom w:val="single" w:color="auto" w:sz="4" w:space="0"/>
              <w:right w:val="single" w:color="auto" w:sz="4" w:space="0"/>
            </w:tcBorders>
            <w:vAlign w:val="center"/>
          </w:tcPr>
          <w:p w14:paraId="214876FE">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41B207B8">
            <w:pPr>
              <w:widowControl/>
              <w:spacing w:line="400" w:lineRule="exact"/>
              <w:ind w:firstLine="482"/>
              <w:jc w:val="center"/>
              <w:textAlignment w:val="baseline"/>
              <w:rPr>
                <w:rFonts w:ascii="宋体" w:hAnsi="宋体"/>
                <w:bCs/>
                <w:sz w:val="24"/>
                <w:highlight w:val="none"/>
              </w:rPr>
            </w:pPr>
          </w:p>
        </w:tc>
      </w:tr>
      <w:tr w14:paraId="7AAB8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6" w:hRule="atLeast"/>
        </w:trPr>
        <w:tc>
          <w:tcPr>
            <w:tcW w:w="631" w:type="dxa"/>
            <w:vMerge w:val="continue"/>
            <w:tcBorders>
              <w:left w:val="single" w:color="auto" w:sz="4" w:space="0"/>
              <w:right w:val="single" w:color="auto" w:sz="4" w:space="0"/>
            </w:tcBorders>
            <w:vAlign w:val="center"/>
          </w:tcPr>
          <w:p w14:paraId="2EE30468">
            <w:pPr>
              <w:snapToGrid w:val="0"/>
              <w:spacing w:line="240" w:lineRule="atLeast"/>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6A096D00">
            <w:pPr>
              <w:spacing w:line="400" w:lineRule="exact"/>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rPr>
              <w:t>芸苔素内酯</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675C5D02">
            <w:pPr>
              <w:spacing w:line="400" w:lineRule="exac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100毫升/瓶；0.01%，可溶液剂</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169654FF">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2.5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64FF0750">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0.0230</w:t>
            </w:r>
          </w:p>
        </w:tc>
        <w:tc>
          <w:tcPr>
            <w:tcW w:w="1384" w:type="dxa"/>
            <w:tcBorders>
              <w:top w:val="single" w:color="auto" w:sz="4" w:space="0"/>
              <w:left w:val="single" w:color="auto" w:sz="4" w:space="0"/>
              <w:bottom w:val="single" w:color="auto" w:sz="4" w:space="0"/>
              <w:right w:val="single" w:color="auto" w:sz="4" w:space="0"/>
            </w:tcBorders>
            <w:vAlign w:val="center"/>
          </w:tcPr>
          <w:p w14:paraId="16412BF8">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0AC7EBBF">
            <w:pPr>
              <w:widowControl/>
              <w:spacing w:line="400" w:lineRule="exact"/>
              <w:ind w:firstLine="482"/>
              <w:jc w:val="center"/>
              <w:textAlignment w:val="baseline"/>
              <w:rPr>
                <w:rFonts w:ascii="宋体" w:hAnsi="宋体"/>
                <w:bCs/>
                <w:sz w:val="24"/>
                <w:highlight w:val="none"/>
              </w:rPr>
            </w:pPr>
          </w:p>
        </w:tc>
      </w:tr>
      <w:tr w14:paraId="0AE17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6" w:hRule="atLeast"/>
        </w:trPr>
        <w:tc>
          <w:tcPr>
            <w:tcW w:w="631" w:type="dxa"/>
            <w:vMerge w:val="continue"/>
            <w:tcBorders>
              <w:left w:val="single" w:color="auto" w:sz="4" w:space="0"/>
              <w:right w:val="single" w:color="auto" w:sz="4" w:space="0"/>
            </w:tcBorders>
            <w:vAlign w:val="center"/>
          </w:tcPr>
          <w:p w14:paraId="26F9747C">
            <w:pPr>
              <w:snapToGrid w:val="0"/>
              <w:spacing w:line="240" w:lineRule="atLeast"/>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1602C706">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大</w:t>
            </w:r>
            <w:r>
              <w:rPr>
                <w:rFonts w:hint="eastAsia" w:asciiTheme="minorEastAsia" w:hAnsiTheme="minorEastAsia" w:eastAsiaTheme="minorEastAsia" w:cstheme="minorEastAsia"/>
                <w:sz w:val="24"/>
                <w:szCs w:val="24"/>
                <w:highlight w:val="none"/>
              </w:rPr>
              <w:t>量元素水溶肥料</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045EB3F7">
            <w:pPr>
              <w:spacing w:line="400" w:lineRule="exact"/>
              <w:jc w:val="lef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1000克/瓶；</w:t>
            </w:r>
            <w:r>
              <w:rPr>
                <w:rFonts w:hint="eastAsia" w:asciiTheme="minorEastAsia" w:hAnsiTheme="minorEastAsia" w:eastAsiaTheme="minorEastAsia" w:cstheme="minorEastAsia"/>
                <w:sz w:val="18"/>
                <w:szCs w:val="18"/>
                <w:highlight w:val="none"/>
                <w:lang w:eastAsia="zh-CN"/>
              </w:rPr>
              <w:t>均衡型，</w:t>
            </w:r>
            <w:r>
              <w:rPr>
                <w:rFonts w:hint="eastAsia" w:asciiTheme="minorEastAsia" w:hAnsiTheme="minorEastAsia" w:eastAsiaTheme="minorEastAsia" w:cstheme="minorEastAsia"/>
                <w:sz w:val="18"/>
                <w:szCs w:val="18"/>
                <w:highlight w:val="none"/>
              </w:rPr>
              <w:t>N+P</w:t>
            </w:r>
            <w:r>
              <w:rPr>
                <w:rFonts w:hint="eastAsia" w:asciiTheme="minorEastAsia" w:hAnsiTheme="minorEastAsia" w:eastAsiaTheme="minorEastAsia" w:cstheme="minorEastAsia"/>
                <w:sz w:val="18"/>
                <w:szCs w:val="18"/>
                <w:highlight w:val="none"/>
                <w:vertAlign w:val="subscript"/>
              </w:rPr>
              <w:t>2</w:t>
            </w:r>
            <w:r>
              <w:rPr>
                <w:rFonts w:hint="eastAsia" w:asciiTheme="minorEastAsia" w:hAnsiTheme="minorEastAsia" w:eastAsiaTheme="minorEastAsia" w:cstheme="minorEastAsia"/>
                <w:sz w:val="18"/>
                <w:szCs w:val="18"/>
                <w:highlight w:val="none"/>
              </w:rPr>
              <w:t>O</w:t>
            </w:r>
            <w:r>
              <w:rPr>
                <w:rFonts w:hint="eastAsia" w:asciiTheme="minorEastAsia" w:hAnsiTheme="minorEastAsia" w:eastAsiaTheme="minorEastAsia" w:cstheme="minorEastAsia"/>
                <w:sz w:val="18"/>
                <w:szCs w:val="18"/>
                <w:highlight w:val="none"/>
                <w:vertAlign w:val="subscript"/>
              </w:rPr>
              <w:t>5</w:t>
            </w:r>
            <w:r>
              <w:rPr>
                <w:rFonts w:hint="eastAsia" w:asciiTheme="minorEastAsia" w:hAnsiTheme="minorEastAsia" w:eastAsiaTheme="minorEastAsia" w:cstheme="minorEastAsia"/>
                <w:sz w:val="18"/>
                <w:szCs w:val="18"/>
                <w:highlight w:val="none"/>
              </w:rPr>
              <w:t>+K</w:t>
            </w:r>
            <w:r>
              <w:rPr>
                <w:rFonts w:hint="eastAsia" w:asciiTheme="minorEastAsia" w:hAnsiTheme="minorEastAsia" w:eastAsiaTheme="minorEastAsia" w:cstheme="minorEastAsia"/>
                <w:sz w:val="18"/>
                <w:szCs w:val="18"/>
                <w:highlight w:val="none"/>
                <w:vertAlign w:val="subscript"/>
              </w:rPr>
              <w:t>2</w:t>
            </w:r>
            <w:r>
              <w:rPr>
                <w:rFonts w:hint="eastAsia" w:asciiTheme="minorEastAsia" w:hAnsiTheme="minorEastAsia" w:eastAsiaTheme="minorEastAsia" w:cstheme="minorEastAsia"/>
                <w:sz w:val="18"/>
                <w:szCs w:val="18"/>
                <w:highlight w:val="none"/>
              </w:rPr>
              <w:t xml:space="preserve">O≥400g/ L </w:t>
            </w:r>
            <w:r>
              <w:rPr>
                <w:rFonts w:hint="eastAsia" w:asciiTheme="minorEastAsia" w:hAnsiTheme="minorEastAsia" w:eastAsiaTheme="minorEastAsia" w:cstheme="minorEastAsia"/>
                <w:sz w:val="18"/>
                <w:szCs w:val="18"/>
                <w:highlight w:val="none"/>
                <w:lang w:val="en-US" w:eastAsia="zh-CN"/>
              </w:rPr>
              <w:t>170</w:t>
            </w:r>
            <w:r>
              <w:rPr>
                <w:rFonts w:hint="eastAsia" w:asciiTheme="minorEastAsia" w:hAnsiTheme="minorEastAsia" w:eastAsiaTheme="minorEastAsia" w:cstheme="minorEastAsia"/>
                <w:sz w:val="18"/>
                <w:szCs w:val="18"/>
                <w:highlight w:val="none"/>
              </w:rPr>
              <w:t>-</w:t>
            </w:r>
            <w:r>
              <w:rPr>
                <w:rFonts w:hint="eastAsia" w:asciiTheme="minorEastAsia" w:hAnsiTheme="minorEastAsia" w:eastAsiaTheme="minorEastAsia" w:cstheme="minorEastAsia"/>
                <w:sz w:val="18"/>
                <w:szCs w:val="18"/>
                <w:highlight w:val="none"/>
                <w:lang w:val="en-US" w:eastAsia="zh-CN"/>
              </w:rPr>
              <w:t>170</w:t>
            </w:r>
            <w:r>
              <w:rPr>
                <w:rFonts w:hint="eastAsia" w:asciiTheme="minorEastAsia" w:hAnsiTheme="minorEastAsia" w:eastAsiaTheme="minorEastAsia" w:cstheme="minorEastAsia"/>
                <w:sz w:val="18"/>
                <w:szCs w:val="18"/>
                <w:highlight w:val="none"/>
              </w:rPr>
              <w:t>-</w:t>
            </w:r>
            <w:r>
              <w:rPr>
                <w:rFonts w:hint="eastAsia" w:asciiTheme="minorEastAsia" w:hAnsiTheme="minorEastAsia" w:eastAsiaTheme="minorEastAsia" w:cstheme="minorEastAsia"/>
                <w:sz w:val="18"/>
                <w:szCs w:val="18"/>
                <w:highlight w:val="none"/>
                <w:lang w:val="en-US" w:eastAsia="zh-CN"/>
              </w:rPr>
              <w:t>170</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CC6957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168C8CE5">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0.1376</w:t>
            </w:r>
          </w:p>
        </w:tc>
        <w:tc>
          <w:tcPr>
            <w:tcW w:w="1384" w:type="dxa"/>
            <w:tcBorders>
              <w:top w:val="single" w:color="auto" w:sz="4" w:space="0"/>
              <w:left w:val="single" w:color="auto" w:sz="4" w:space="0"/>
              <w:bottom w:val="single" w:color="auto" w:sz="4" w:space="0"/>
              <w:right w:val="single" w:color="auto" w:sz="4" w:space="0"/>
            </w:tcBorders>
            <w:vAlign w:val="center"/>
          </w:tcPr>
          <w:p w14:paraId="5B39E6B7">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262B0F94">
            <w:pPr>
              <w:widowControl/>
              <w:spacing w:line="400" w:lineRule="exact"/>
              <w:ind w:firstLine="482"/>
              <w:jc w:val="center"/>
              <w:textAlignment w:val="baseline"/>
              <w:rPr>
                <w:rFonts w:ascii="宋体" w:hAnsi="宋体"/>
                <w:bCs/>
                <w:sz w:val="24"/>
                <w:highlight w:val="none"/>
              </w:rPr>
            </w:pPr>
          </w:p>
        </w:tc>
      </w:tr>
      <w:tr w14:paraId="0EF57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6" w:hRule="atLeast"/>
        </w:trPr>
        <w:tc>
          <w:tcPr>
            <w:tcW w:w="631" w:type="dxa"/>
            <w:vMerge w:val="continue"/>
            <w:tcBorders>
              <w:left w:val="single" w:color="auto" w:sz="4" w:space="0"/>
              <w:right w:val="single" w:color="auto" w:sz="4" w:space="0"/>
            </w:tcBorders>
            <w:vAlign w:val="center"/>
          </w:tcPr>
          <w:p w14:paraId="537100A2">
            <w:pPr>
              <w:snapToGrid w:val="0"/>
              <w:spacing w:line="240" w:lineRule="atLeast"/>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06AF2EDA">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大</w:t>
            </w:r>
            <w:r>
              <w:rPr>
                <w:rFonts w:hint="eastAsia" w:asciiTheme="minorEastAsia" w:hAnsiTheme="minorEastAsia" w:eastAsiaTheme="minorEastAsia" w:cstheme="minorEastAsia"/>
                <w:sz w:val="24"/>
                <w:szCs w:val="24"/>
                <w:highlight w:val="none"/>
              </w:rPr>
              <w:t>量元素水溶肥料</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40B6BA7A">
            <w:pPr>
              <w:spacing w:line="400" w:lineRule="exact"/>
              <w:jc w:val="lef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1000克/瓶；侧重型，P</w:t>
            </w:r>
            <w:r>
              <w:rPr>
                <w:rFonts w:hint="eastAsia" w:asciiTheme="minorEastAsia" w:hAnsiTheme="minorEastAsia" w:eastAsiaTheme="minorEastAsia" w:cstheme="minorEastAsia"/>
                <w:sz w:val="18"/>
                <w:szCs w:val="18"/>
                <w:highlight w:val="none"/>
                <w:vertAlign w:val="subscript"/>
                <w:lang w:val="en-US" w:eastAsia="zh-CN"/>
              </w:rPr>
              <w:t>2</w:t>
            </w:r>
            <w:r>
              <w:rPr>
                <w:rFonts w:hint="eastAsia" w:asciiTheme="minorEastAsia" w:hAnsiTheme="minorEastAsia" w:eastAsiaTheme="minorEastAsia" w:cstheme="minorEastAsia"/>
                <w:sz w:val="18"/>
                <w:szCs w:val="18"/>
                <w:highlight w:val="none"/>
                <w:lang w:val="en-US" w:eastAsia="zh-CN"/>
              </w:rPr>
              <w:t>O</w:t>
            </w:r>
            <w:r>
              <w:rPr>
                <w:rFonts w:hint="eastAsia" w:asciiTheme="minorEastAsia" w:hAnsiTheme="minorEastAsia" w:eastAsiaTheme="minorEastAsia" w:cstheme="minorEastAsia"/>
                <w:sz w:val="18"/>
                <w:szCs w:val="18"/>
                <w:highlight w:val="none"/>
                <w:vertAlign w:val="subscript"/>
                <w:lang w:val="en-US" w:eastAsia="zh-CN"/>
              </w:rPr>
              <w:t>5</w:t>
            </w:r>
            <w:r>
              <w:rPr>
                <w:rFonts w:hint="eastAsia" w:asciiTheme="minorEastAsia" w:hAnsiTheme="minorEastAsia" w:eastAsiaTheme="minorEastAsia" w:cstheme="minorEastAsia"/>
                <w:sz w:val="18"/>
                <w:szCs w:val="18"/>
                <w:highlight w:val="none"/>
                <w:lang w:val="en-US" w:eastAsia="zh-CN"/>
              </w:rPr>
              <w:t>≥450g/l、K</w:t>
            </w:r>
            <w:r>
              <w:rPr>
                <w:rFonts w:hint="eastAsia" w:asciiTheme="minorEastAsia" w:hAnsiTheme="minorEastAsia" w:eastAsiaTheme="minorEastAsia" w:cstheme="minorEastAsia"/>
                <w:sz w:val="18"/>
                <w:szCs w:val="18"/>
                <w:highlight w:val="none"/>
                <w:vertAlign w:val="subscript"/>
                <w:lang w:val="en-US" w:eastAsia="zh-CN"/>
              </w:rPr>
              <w:t>2</w:t>
            </w:r>
            <w:r>
              <w:rPr>
                <w:rFonts w:hint="eastAsia" w:asciiTheme="minorEastAsia" w:hAnsiTheme="minorEastAsia" w:eastAsiaTheme="minorEastAsia" w:cstheme="minorEastAsia"/>
                <w:sz w:val="18"/>
                <w:szCs w:val="18"/>
                <w:highlight w:val="none"/>
                <w:lang w:val="en-US" w:eastAsia="zh-CN"/>
              </w:rPr>
              <w:t>O≥560g/l、B≥0.5g/L、Zn≥5g/L</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FAE02A5">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7A90CCD">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0.1376</w:t>
            </w:r>
          </w:p>
        </w:tc>
        <w:tc>
          <w:tcPr>
            <w:tcW w:w="1384" w:type="dxa"/>
            <w:tcBorders>
              <w:top w:val="single" w:color="auto" w:sz="4" w:space="0"/>
              <w:left w:val="single" w:color="auto" w:sz="4" w:space="0"/>
              <w:bottom w:val="single" w:color="auto" w:sz="4" w:space="0"/>
              <w:right w:val="single" w:color="auto" w:sz="4" w:space="0"/>
            </w:tcBorders>
            <w:vAlign w:val="center"/>
          </w:tcPr>
          <w:p w14:paraId="443F2377">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27638D40">
            <w:pPr>
              <w:widowControl/>
              <w:spacing w:line="400" w:lineRule="exact"/>
              <w:ind w:firstLine="482"/>
              <w:jc w:val="center"/>
              <w:textAlignment w:val="baseline"/>
              <w:rPr>
                <w:rFonts w:ascii="宋体" w:hAnsi="宋体"/>
                <w:bCs/>
                <w:sz w:val="24"/>
                <w:highlight w:val="none"/>
              </w:rPr>
            </w:pPr>
          </w:p>
        </w:tc>
      </w:tr>
      <w:tr w14:paraId="1F385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3" w:hRule="atLeast"/>
        </w:trPr>
        <w:tc>
          <w:tcPr>
            <w:tcW w:w="631" w:type="dxa"/>
            <w:vMerge w:val="continue"/>
            <w:tcBorders>
              <w:left w:val="single" w:color="auto" w:sz="4" w:space="0"/>
              <w:right w:val="single" w:color="auto" w:sz="4" w:space="0"/>
            </w:tcBorders>
            <w:vAlign w:val="center"/>
          </w:tcPr>
          <w:p w14:paraId="50BCE059">
            <w:pPr>
              <w:snapToGrid w:val="0"/>
              <w:spacing w:line="240" w:lineRule="atLeast"/>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01BB67C4">
            <w:pPr>
              <w:spacing w:line="400" w:lineRule="exact"/>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highlight w:val="none"/>
              </w:rPr>
              <w:t>精甲·咯菌腈</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35563D3D">
            <w:pPr>
              <w:spacing w:line="400" w:lineRule="exac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500毫升/瓶；62.5克/升，悬浮种衣剂</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1B014CB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2</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0E354F0D">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0.0183</w:t>
            </w:r>
          </w:p>
        </w:tc>
        <w:tc>
          <w:tcPr>
            <w:tcW w:w="1384" w:type="dxa"/>
            <w:tcBorders>
              <w:top w:val="single" w:color="auto" w:sz="4" w:space="0"/>
              <w:left w:val="single" w:color="auto" w:sz="4" w:space="0"/>
              <w:bottom w:val="single" w:color="auto" w:sz="4" w:space="0"/>
              <w:right w:val="single" w:color="auto" w:sz="4" w:space="0"/>
            </w:tcBorders>
            <w:vAlign w:val="center"/>
          </w:tcPr>
          <w:p w14:paraId="30E7D079">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05AF8CCF">
            <w:pPr>
              <w:widowControl/>
              <w:spacing w:line="400" w:lineRule="exact"/>
              <w:ind w:firstLine="482"/>
              <w:jc w:val="center"/>
              <w:textAlignment w:val="baseline"/>
              <w:rPr>
                <w:rFonts w:ascii="宋体" w:hAnsi="宋体"/>
                <w:bCs/>
                <w:sz w:val="24"/>
                <w:highlight w:val="none"/>
              </w:rPr>
            </w:pPr>
          </w:p>
        </w:tc>
      </w:tr>
      <w:tr w14:paraId="1870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trPr>
        <w:tc>
          <w:tcPr>
            <w:tcW w:w="631" w:type="dxa"/>
            <w:vMerge w:val="continue"/>
            <w:tcBorders>
              <w:left w:val="single" w:color="auto" w:sz="4" w:space="0"/>
              <w:right w:val="single" w:color="auto" w:sz="4" w:space="0"/>
            </w:tcBorders>
            <w:vAlign w:val="center"/>
          </w:tcPr>
          <w:p w14:paraId="7C7D6971">
            <w:pPr>
              <w:widowControl/>
              <w:ind w:firstLine="482"/>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599C0624">
            <w:pPr>
              <w:spacing w:line="400" w:lineRule="exact"/>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rPr>
              <w:t>吡唑醚菌酯</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0184B603">
            <w:pPr>
              <w:spacing w:line="400" w:lineRule="exac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1000毫升/瓶；250克/升，乳油</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34BAA55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34</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35CA28C">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0.3119</w:t>
            </w:r>
          </w:p>
        </w:tc>
        <w:tc>
          <w:tcPr>
            <w:tcW w:w="1384" w:type="dxa"/>
            <w:tcBorders>
              <w:top w:val="single" w:color="auto" w:sz="4" w:space="0"/>
              <w:left w:val="single" w:color="auto" w:sz="4" w:space="0"/>
              <w:bottom w:val="single" w:color="auto" w:sz="4" w:space="0"/>
              <w:right w:val="single" w:color="auto" w:sz="4" w:space="0"/>
            </w:tcBorders>
            <w:vAlign w:val="center"/>
          </w:tcPr>
          <w:p w14:paraId="1C6E3D15">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037A0AF1">
            <w:pPr>
              <w:widowControl/>
              <w:spacing w:line="400" w:lineRule="exact"/>
              <w:ind w:firstLine="482"/>
              <w:jc w:val="center"/>
              <w:textAlignment w:val="baseline"/>
              <w:rPr>
                <w:rFonts w:ascii="宋体" w:hAnsi="宋体"/>
                <w:bCs/>
                <w:sz w:val="24"/>
                <w:highlight w:val="none"/>
              </w:rPr>
            </w:pPr>
          </w:p>
        </w:tc>
      </w:tr>
      <w:tr w14:paraId="0958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631" w:type="dxa"/>
            <w:vMerge w:val="continue"/>
            <w:tcBorders>
              <w:left w:val="single" w:color="auto" w:sz="4" w:space="0"/>
              <w:right w:val="single" w:color="auto" w:sz="4" w:space="0"/>
            </w:tcBorders>
            <w:vAlign w:val="center"/>
          </w:tcPr>
          <w:p w14:paraId="7553AEDE">
            <w:pPr>
              <w:widowControl/>
              <w:ind w:firstLine="482"/>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3AF5DC05">
            <w:pPr>
              <w:spacing w:line="400" w:lineRule="exact"/>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高氯·</w:t>
            </w:r>
            <w:r>
              <w:rPr>
                <w:rFonts w:hint="eastAsia" w:asciiTheme="minorEastAsia" w:hAnsiTheme="minorEastAsia" w:eastAsiaTheme="minorEastAsia" w:cstheme="minorEastAsia"/>
                <w:sz w:val="24"/>
                <w:szCs w:val="24"/>
                <w:highlight w:val="none"/>
                <w:lang w:val="en-US" w:eastAsia="zh-CN"/>
              </w:rPr>
              <w:t>辛硫磷</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5F2428A9">
            <w:pPr>
              <w:spacing w:line="400" w:lineRule="exac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500毫升/瓶；20%，乳油</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296034C6">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8</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25DC47B4">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0.0734</w:t>
            </w:r>
          </w:p>
        </w:tc>
        <w:tc>
          <w:tcPr>
            <w:tcW w:w="1384" w:type="dxa"/>
            <w:tcBorders>
              <w:top w:val="single" w:color="auto" w:sz="4" w:space="0"/>
              <w:left w:val="single" w:color="auto" w:sz="4" w:space="0"/>
              <w:bottom w:val="single" w:color="auto" w:sz="4" w:space="0"/>
              <w:right w:val="single" w:color="auto" w:sz="4" w:space="0"/>
            </w:tcBorders>
            <w:vAlign w:val="center"/>
          </w:tcPr>
          <w:p w14:paraId="12CAFE5C">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6A196FCE">
            <w:pPr>
              <w:widowControl/>
              <w:spacing w:line="400" w:lineRule="exact"/>
              <w:ind w:firstLine="482"/>
              <w:jc w:val="center"/>
              <w:textAlignment w:val="baseline"/>
              <w:rPr>
                <w:rFonts w:ascii="宋体" w:hAnsi="宋体"/>
                <w:bCs/>
                <w:sz w:val="24"/>
                <w:highlight w:val="none"/>
              </w:rPr>
            </w:pPr>
          </w:p>
        </w:tc>
      </w:tr>
      <w:tr w14:paraId="05182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4" w:hRule="atLeast"/>
        </w:trPr>
        <w:tc>
          <w:tcPr>
            <w:tcW w:w="631" w:type="dxa"/>
            <w:vMerge w:val="continue"/>
            <w:tcBorders>
              <w:left w:val="single" w:color="auto" w:sz="4" w:space="0"/>
              <w:right w:val="single" w:color="auto" w:sz="4" w:space="0"/>
            </w:tcBorders>
            <w:vAlign w:val="center"/>
          </w:tcPr>
          <w:p w14:paraId="1E216A88">
            <w:pPr>
              <w:widowControl/>
              <w:ind w:firstLine="482"/>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45E303C2">
            <w:pPr>
              <w:spacing w:line="400" w:lineRule="exact"/>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rPr>
              <w:t>氯虫苯甲酰胺</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0E9732D7">
            <w:pPr>
              <w:spacing w:line="400" w:lineRule="exac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pacing w:val="-20"/>
                <w:sz w:val="18"/>
                <w:szCs w:val="18"/>
                <w:highlight w:val="none"/>
                <w:lang w:val="en-US" w:eastAsia="zh-CN"/>
              </w:rPr>
              <w:t>100毫升/瓶；200克/升，悬浮剂</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F23AD32">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10</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9E5D26E">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0.0917</w:t>
            </w:r>
          </w:p>
        </w:tc>
        <w:tc>
          <w:tcPr>
            <w:tcW w:w="1384" w:type="dxa"/>
            <w:tcBorders>
              <w:top w:val="single" w:color="auto" w:sz="4" w:space="0"/>
              <w:left w:val="single" w:color="auto" w:sz="4" w:space="0"/>
              <w:bottom w:val="single" w:color="auto" w:sz="4" w:space="0"/>
              <w:right w:val="single" w:color="auto" w:sz="4" w:space="0"/>
            </w:tcBorders>
            <w:vAlign w:val="center"/>
          </w:tcPr>
          <w:p w14:paraId="34AD094C">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3FE04B81">
            <w:pPr>
              <w:widowControl/>
              <w:spacing w:line="400" w:lineRule="exact"/>
              <w:ind w:firstLine="482"/>
              <w:jc w:val="center"/>
              <w:textAlignment w:val="baseline"/>
              <w:rPr>
                <w:rFonts w:ascii="宋体" w:hAnsi="宋体"/>
                <w:bCs/>
                <w:sz w:val="24"/>
                <w:highlight w:val="none"/>
              </w:rPr>
            </w:pPr>
          </w:p>
        </w:tc>
      </w:tr>
      <w:tr w14:paraId="5E925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4" w:hRule="atLeast"/>
        </w:trPr>
        <w:tc>
          <w:tcPr>
            <w:tcW w:w="631" w:type="dxa"/>
            <w:vMerge w:val="continue"/>
            <w:tcBorders>
              <w:left w:val="single" w:color="auto" w:sz="4" w:space="0"/>
              <w:right w:val="single" w:color="auto" w:sz="4" w:space="0"/>
            </w:tcBorders>
            <w:vAlign w:val="center"/>
          </w:tcPr>
          <w:p w14:paraId="733CAF9B">
            <w:pPr>
              <w:widowControl/>
              <w:ind w:firstLine="482"/>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48C28BDE">
            <w:pPr>
              <w:spacing w:line="400" w:lineRule="exact"/>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rPr>
              <w:t>高效氯氟氰菊酯</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39C7B5FF">
            <w:pPr>
              <w:spacing w:line="400" w:lineRule="exac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500毫升/瓶；25克/升，乳油</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7939B1BE">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8</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2E46126F">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0.0734</w:t>
            </w:r>
          </w:p>
        </w:tc>
        <w:tc>
          <w:tcPr>
            <w:tcW w:w="1384" w:type="dxa"/>
            <w:tcBorders>
              <w:top w:val="single" w:color="auto" w:sz="4" w:space="0"/>
              <w:left w:val="single" w:color="auto" w:sz="4" w:space="0"/>
              <w:bottom w:val="single" w:color="auto" w:sz="4" w:space="0"/>
              <w:right w:val="single" w:color="auto" w:sz="4" w:space="0"/>
            </w:tcBorders>
            <w:vAlign w:val="center"/>
          </w:tcPr>
          <w:p w14:paraId="6DDAEBF0">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78B474DF">
            <w:pPr>
              <w:widowControl/>
              <w:spacing w:line="400" w:lineRule="exact"/>
              <w:ind w:firstLine="482"/>
              <w:jc w:val="center"/>
              <w:textAlignment w:val="baseline"/>
              <w:rPr>
                <w:rFonts w:ascii="宋体" w:hAnsi="宋体"/>
                <w:bCs/>
                <w:sz w:val="24"/>
                <w:highlight w:val="none"/>
              </w:rPr>
            </w:pPr>
          </w:p>
        </w:tc>
      </w:tr>
      <w:tr w14:paraId="09BD4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trPr>
        <w:tc>
          <w:tcPr>
            <w:tcW w:w="631" w:type="dxa"/>
            <w:vMerge w:val="continue"/>
            <w:tcBorders>
              <w:left w:val="single" w:color="auto" w:sz="4" w:space="0"/>
              <w:right w:val="single" w:color="auto" w:sz="4" w:space="0"/>
            </w:tcBorders>
            <w:vAlign w:val="center"/>
          </w:tcPr>
          <w:p w14:paraId="514B7686">
            <w:pPr>
              <w:widowControl/>
              <w:ind w:firstLine="482"/>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1BD6515D">
            <w:pPr>
              <w:spacing w:line="400" w:lineRule="exact"/>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highlight w:val="none"/>
              </w:rPr>
              <w:t>农伴侣•溶</w:t>
            </w:r>
          </w:p>
        </w:tc>
        <w:tc>
          <w:tcPr>
            <w:tcW w:w="2524" w:type="dxa"/>
            <w:tcBorders>
              <w:top w:val="single" w:color="auto" w:sz="4" w:space="0"/>
              <w:left w:val="single" w:color="auto" w:sz="4" w:space="0"/>
              <w:bottom w:val="single" w:color="auto" w:sz="4" w:space="0"/>
              <w:right w:val="single" w:color="auto" w:sz="4" w:space="0"/>
            </w:tcBorders>
            <w:shd w:val="clear" w:color="auto" w:fill="auto"/>
            <w:vAlign w:val="center"/>
          </w:tcPr>
          <w:p w14:paraId="3478DE8F">
            <w:pPr>
              <w:spacing w:line="400" w:lineRule="exact"/>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18"/>
                <w:szCs w:val="18"/>
                <w:highlight w:val="none"/>
                <w:lang w:val="en-US" w:eastAsia="zh-CN"/>
              </w:rPr>
              <w:t>100毫升/瓶</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2C3314B">
            <w:pPr>
              <w:autoSpaceDE w:val="0"/>
              <w:autoSpaceDN w:val="0"/>
              <w:adjustRightInd w:val="0"/>
              <w:spacing w:line="400" w:lineRule="exact"/>
              <w:jc w:val="center"/>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sz w:val="24"/>
                <w:highlight w:val="none"/>
              </w:rPr>
              <w:t>4</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4AA28C4E">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0.0367</w:t>
            </w:r>
          </w:p>
        </w:tc>
        <w:tc>
          <w:tcPr>
            <w:tcW w:w="1384" w:type="dxa"/>
            <w:tcBorders>
              <w:top w:val="single" w:color="auto" w:sz="4" w:space="0"/>
              <w:left w:val="single" w:color="auto" w:sz="4" w:space="0"/>
              <w:bottom w:val="single" w:color="auto" w:sz="4" w:space="0"/>
              <w:right w:val="single" w:color="auto" w:sz="4" w:space="0"/>
            </w:tcBorders>
            <w:vAlign w:val="center"/>
          </w:tcPr>
          <w:p w14:paraId="38C38F98">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3D26C69B">
            <w:pPr>
              <w:widowControl/>
              <w:spacing w:line="400" w:lineRule="exact"/>
              <w:ind w:firstLine="482"/>
              <w:jc w:val="center"/>
              <w:textAlignment w:val="baseline"/>
              <w:rPr>
                <w:rFonts w:ascii="宋体" w:hAnsi="宋体"/>
                <w:bCs/>
                <w:sz w:val="24"/>
                <w:highlight w:val="none"/>
              </w:rPr>
            </w:pPr>
          </w:p>
        </w:tc>
      </w:tr>
      <w:tr w14:paraId="5A7B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7" w:hRule="atLeast"/>
        </w:trPr>
        <w:tc>
          <w:tcPr>
            <w:tcW w:w="631" w:type="dxa"/>
            <w:vMerge w:val="continue"/>
            <w:tcBorders>
              <w:left w:val="single" w:color="auto" w:sz="4" w:space="0"/>
              <w:right w:val="single" w:color="auto" w:sz="4" w:space="0"/>
            </w:tcBorders>
            <w:vAlign w:val="center"/>
          </w:tcPr>
          <w:p w14:paraId="22F0D66B">
            <w:pPr>
              <w:widowControl/>
              <w:ind w:firstLine="482"/>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7D61FA04">
            <w:pPr>
              <w:spacing w:line="400" w:lineRule="exact"/>
              <w:jc w:val="center"/>
              <w:rPr>
                <w:rFonts w:ascii="宋体" w:hAnsi="宋体" w:cs="宋体"/>
                <w:sz w:val="24"/>
                <w:highlight w:val="none"/>
              </w:rPr>
            </w:pPr>
            <w:r>
              <w:rPr>
                <w:rFonts w:hint="eastAsia" w:ascii="宋体" w:hAnsi="宋体" w:cs="宋体"/>
                <w:sz w:val="24"/>
                <w:highlight w:val="none"/>
              </w:rPr>
              <w:t>斜纹夜蛾诱捕器</w:t>
            </w:r>
          </w:p>
        </w:tc>
        <w:tc>
          <w:tcPr>
            <w:tcW w:w="2524" w:type="dxa"/>
            <w:tcBorders>
              <w:top w:val="single" w:color="auto" w:sz="4" w:space="0"/>
              <w:left w:val="single" w:color="auto" w:sz="4" w:space="0"/>
              <w:bottom w:val="single" w:color="auto" w:sz="4" w:space="0"/>
              <w:right w:val="single" w:color="auto" w:sz="4" w:space="0"/>
            </w:tcBorders>
            <w:vAlign w:val="center"/>
          </w:tcPr>
          <w:p w14:paraId="406EACAF">
            <w:pPr>
              <w:spacing w:line="280" w:lineRule="exact"/>
              <w:jc w:val="left"/>
              <w:rPr>
                <w:rFonts w:ascii="宋体" w:hAnsi="宋体" w:cs="宋体"/>
                <w:sz w:val="18"/>
                <w:szCs w:val="18"/>
                <w:highlight w:val="none"/>
              </w:rPr>
            </w:pPr>
            <w:r>
              <w:rPr>
                <w:rFonts w:hint="eastAsia" w:ascii="宋体" w:hAnsi="宋体" w:cs="宋体"/>
                <w:sz w:val="18"/>
                <w:szCs w:val="18"/>
                <w:highlight w:val="none"/>
              </w:rPr>
              <w:t>一套含1个诱捕器（含支架）+2个诱芯；立杆高度≥1.5米，直径≥10毫米，诱芯持效期≥30天。</w:t>
            </w:r>
          </w:p>
        </w:tc>
        <w:tc>
          <w:tcPr>
            <w:tcW w:w="1268" w:type="dxa"/>
            <w:tcBorders>
              <w:top w:val="single" w:color="auto" w:sz="4" w:space="0"/>
              <w:left w:val="single" w:color="auto" w:sz="4" w:space="0"/>
              <w:bottom w:val="single" w:color="auto" w:sz="4" w:space="0"/>
              <w:right w:val="single" w:color="auto" w:sz="4" w:space="0"/>
            </w:tcBorders>
            <w:vAlign w:val="center"/>
          </w:tcPr>
          <w:p w14:paraId="2749257D">
            <w:pPr>
              <w:autoSpaceDE w:val="0"/>
              <w:autoSpaceDN w:val="0"/>
              <w:adjustRightInd w:val="0"/>
              <w:spacing w:line="400" w:lineRule="exact"/>
              <w:jc w:val="center"/>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4</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0B6C036B">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0.0367</w:t>
            </w:r>
          </w:p>
        </w:tc>
        <w:tc>
          <w:tcPr>
            <w:tcW w:w="1384" w:type="dxa"/>
            <w:tcBorders>
              <w:top w:val="single" w:color="auto" w:sz="4" w:space="0"/>
              <w:left w:val="single" w:color="auto" w:sz="4" w:space="0"/>
              <w:bottom w:val="single" w:color="auto" w:sz="4" w:space="0"/>
              <w:right w:val="single" w:color="auto" w:sz="4" w:space="0"/>
            </w:tcBorders>
            <w:vAlign w:val="center"/>
          </w:tcPr>
          <w:p w14:paraId="7A237D62">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57EA8F5D">
            <w:pPr>
              <w:widowControl/>
              <w:spacing w:line="400" w:lineRule="exact"/>
              <w:ind w:firstLine="482"/>
              <w:jc w:val="center"/>
              <w:textAlignment w:val="baseline"/>
              <w:rPr>
                <w:rFonts w:ascii="宋体" w:hAnsi="宋体"/>
                <w:bCs/>
                <w:sz w:val="24"/>
                <w:highlight w:val="none"/>
              </w:rPr>
            </w:pPr>
          </w:p>
        </w:tc>
      </w:tr>
      <w:tr w14:paraId="365F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8" w:hRule="atLeast"/>
        </w:trPr>
        <w:tc>
          <w:tcPr>
            <w:tcW w:w="631" w:type="dxa"/>
            <w:vMerge w:val="continue"/>
            <w:tcBorders>
              <w:left w:val="single" w:color="auto" w:sz="4" w:space="0"/>
              <w:right w:val="single" w:color="auto" w:sz="4" w:space="0"/>
            </w:tcBorders>
            <w:vAlign w:val="center"/>
          </w:tcPr>
          <w:p w14:paraId="3BF6FF99">
            <w:pPr>
              <w:widowControl/>
              <w:ind w:firstLine="482"/>
              <w:jc w:val="center"/>
              <w:rPr>
                <w:rFonts w:ascii="宋体" w:hAnsi="宋体"/>
                <w:bCs/>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0463855">
            <w:pPr>
              <w:spacing w:line="400" w:lineRule="exact"/>
              <w:jc w:val="center"/>
              <w:rPr>
                <w:rFonts w:ascii="宋体" w:hAnsi="宋体" w:cs="宋体"/>
                <w:sz w:val="24"/>
                <w:highlight w:val="none"/>
              </w:rPr>
            </w:pPr>
            <w:r>
              <w:rPr>
                <w:rFonts w:hint="eastAsia" w:ascii="宋体" w:hAnsi="宋体" w:cs="宋体"/>
                <w:sz w:val="24"/>
                <w:highlight w:val="none"/>
              </w:rPr>
              <w:t>甜菜夜蛾诱捕器</w:t>
            </w:r>
          </w:p>
        </w:tc>
        <w:tc>
          <w:tcPr>
            <w:tcW w:w="2524" w:type="dxa"/>
            <w:tcBorders>
              <w:top w:val="single" w:color="auto" w:sz="4" w:space="0"/>
              <w:left w:val="single" w:color="auto" w:sz="4" w:space="0"/>
              <w:bottom w:val="single" w:color="auto" w:sz="4" w:space="0"/>
              <w:right w:val="single" w:color="auto" w:sz="4" w:space="0"/>
            </w:tcBorders>
            <w:vAlign w:val="center"/>
          </w:tcPr>
          <w:p w14:paraId="128541D7">
            <w:pPr>
              <w:spacing w:line="280" w:lineRule="exact"/>
              <w:jc w:val="left"/>
              <w:rPr>
                <w:rFonts w:ascii="宋体" w:hAnsi="宋体" w:cs="宋体"/>
                <w:sz w:val="18"/>
                <w:szCs w:val="18"/>
                <w:highlight w:val="none"/>
              </w:rPr>
            </w:pPr>
            <w:r>
              <w:rPr>
                <w:rFonts w:hint="eastAsia" w:ascii="宋体" w:hAnsi="宋体" w:cs="宋体"/>
                <w:sz w:val="18"/>
                <w:szCs w:val="18"/>
                <w:highlight w:val="none"/>
              </w:rPr>
              <w:t>一套含1个诱捕器（含支架）+2个诱芯；立杆高度≥1.5米，直径≥10毫米，诱芯持效期≥30天。</w:t>
            </w:r>
          </w:p>
        </w:tc>
        <w:tc>
          <w:tcPr>
            <w:tcW w:w="1268" w:type="dxa"/>
            <w:tcBorders>
              <w:top w:val="single" w:color="auto" w:sz="4" w:space="0"/>
              <w:left w:val="single" w:color="auto" w:sz="4" w:space="0"/>
              <w:bottom w:val="single" w:color="auto" w:sz="4" w:space="0"/>
              <w:right w:val="single" w:color="auto" w:sz="4" w:space="0"/>
            </w:tcBorders>
            <w:vAlign w:val="center"/>
          </w:tcPr>
          <w:p w14:paraId="6BE192CA">
            <w:pPr>
              <w:autoSpaceDE w:val="0"/>
              <w:autoSpaceDN w:val="0"/>
              <w:adjustRightInd w:val="0"/>
              <w:spacing w:line="400" w:lineRule="exact"/>
              <w:jc w:val="center"/>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4</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1E5F400C">
            <w:pPr>
              <w:keepNext w:val="0"/>
              <w:keepLines w:val="0"/>
              <w:widowControl/>
              <w:suppressLineNumbers w:val="0"/>
              <w:jc w:val="center"/>
              <w:textAlignment w:val="center"/>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0.0367</w:t>
            </w:r>
          </w:p>
        </w:tc>
        <w:tc>
          <w:tcPr>
            <w:tcW w:w="1384" w:type="dxa"/>
            <w:tcBorders>
              <w:top w:val="single" w:color="auto" w:sz="4" w:space="0"/>
              <w:left w:val="single" w:color="auto" w:sz="4" w:space="0"/>
              <w:bottom w:val="single" w:color="auto" w:sz="4" w:space="0"/>
              <w:right w:val="single" w:color="auto" w:sz="4" w:space="0"/>
            </w:tcBorders>
            <w:vAlign w:val="center"/>
          </w:tcPr>
          <w:p w14:paraId="105CD26A">
            <w:pPr>
              <w:widowControl/>
              <w:spacing w:line="400" w:lineRule="exact"/>
              <w:ind w:firstLine="482"/>
              <w:jc w:val="center"/>
              <w:textAlignment w:val="baseline"/>
              <w:rPr>
                <w:rFonts w:ascii="宋体" w:hAnsi="宋体"/>
                <w:bCs/>
                <w:sz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52C6B25D">
            <w:pPr>
              <w:widowControl/>
              <w:spacing w:line="400" w:lineRule="exact"/>
              <w:ind w:firstLine="482"/>
              <w:jc w:val="center"/>
              <w:textAlignment w:val="baseline"/>
              <w:rPr>
                <w:rFonts w:ascii="宋体" w:hAnsi="宋体"/>
                <w:bCs/>
                <w:sz w:val="24"/>
                <w:highlight w:val="none"/>
              </w:rPr>
            </w:pPr>
          </w:p>
        </w:tc>
      </w:tr>
      <w:tr w14:paraId="680B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8" w:hRule="atLeast"/>
        </w:trPr>
        <w:tc>
          <w:tcPr>
            <w:tcW w:w="10158" w:type="dxa"/>
            <w:gridSpan w:val="7"/>
            <w:tcBorders>
              <w:left w:val="single" w:color="auto" w:sz="4" w:space="0"/>
              <w:bottom w:val="single" w:color="auto" w:sz="4" w:space="0"/>
              <w:right w:val="single" w:color="auto" w:sz="4" w:space="0"/>
            </w:tcBorders>
            <w:vAlign w:val="center"/>
          </w:tcPr>
          <w:p w14:paraId="7B1C9C44">
            <w:pPr>
              <w:autoSpaceDE w:val="0"/>
              <w:autoSpaceDN w:val="0"/>
              <w:adjustRightInd w:val="0"/>
              <w:spacing w:line="400" w:lineRule="exact"/>
              <w:jc w:val="left"/>
              <w:rPr>
                <w:rFonts w:ascii="宋体" w:hAnsi="宋体"/>
                <w:bCs/>
                <w:sz w:val="24"/>
                <w:highlight w:val="none"/>
              </w:rPr>
            </w:pPr>
            <w:r>
              <w:rPr>
                <w:rFonts w:hint="eastAsia" w:ascii="Times New Roman" w:hAnsi="Times New Roman" w:eastAsia="宋体" w:cs="Times New Roman"/>
                <w:b w:val="0"/>
                <w:bCs w:val="0"/>
                <w:sz w:val="24"/>
                <w:szCs w:val="24"/>
                <w:highlight w:val="none"/>
              </w:rPr>
              <w:t>本采购包中提供的符合本国产品标准的产品成本之和占该采购包提供的全部产品成本之和的比例为</w:t>
            </w:r>
            <w:r>
              <w:rPr>
                <w:rFonts w:hint="eastAsia" w:ascii="Times New Roman" w:hAnsi="Times New Roman" w:eastAsia="宋体" w:cs="Times New Roman"/>
                <w:b w:val="0"/>
                <w:bCs w:val="0"/>
                <w:sz w:val="24"/>
                <w:szCs w:val="24"/>
                <w:highlight w:val="none"/>
                <w:lang w:val="en-US" w:eastAsia="zh-CN"/>
              </w:rPr>
              <w:t xml:space="preserve"> </w:t>
            </w:r>
            <w:r>
              <w:rPr>
                <w:rFonts w:hint="eastAsia" w:ascii="Times New Roman" w:hAnsi="Times New Roman" w:eastAsia="宋体" w:cs="Times New Roman"/>
                <w:b w:val="0"/>
                <w:bCs w:val="0"/>
                <w:sz w:val="24"/>
                <w:szCs w:val="24"/>
                <w:highlight w:val="none"/>
                <w:u w:val="single"/>
                <w:lang w:val="en-US" w:eastAsia="zh-CN"/>
              </w:rPr>
              <w:t xml:space="preserve">      </w:t>
            </w:r>
            <w:r>
              <w:rPr>
                <w:rFonts w:hint="default" w:ascii="Times New Roman" w:hAnsi="Times New Roman" w:eastAsia="宋体" w:cs="Times New Roman"/>
                <w:b w:val="0"/>
                <w:bCs w:val="0"/>
                <w:sz w:val="24"/>
                <w:szCs w:val="24"/>
                <w:highlight w:val="none"/>
              </w:rPr>
              <w:t>%</w:t>
            </w:r>
            <w:r>
              <w:rPr>
                <w:rFonts w:hint="eastAsia" w:ascii="Times New Roman" w:hAnsi="Times New Roman" w:eastAsia="宋体" w:cs="Times New Roman"/>
                <w:b w:val="0"/>
                <w:bCs w:val="0"/>
                <w:sz w:val="24"/>
                <w:szCs w:val="24"/>
                <w:highlight w:val="none"/>
              </w:rPr>
              <w:t>。</w:t>
            </w:r>
          </w:p>
        </w:tc>
      </w:tr>
    </w:tbl>
    <w:p w14:paraId="278BC993">
      <w:pPr>
        <w:adjustRightInd w:val="0"/>
        <w:snapToGrid w:val="0"/>
        <w:spacing w:line="312" w:lineRule="auto"/>
        <w:ind w:firstLine="3360" w:firstLineChars="1400"/>
        <w:jc w:val="left"/>
        <w:rPr>
          <w:rFonts w:ascii="宋体" w:hAnsi="宋体" w:cs="宋体"/>
          <w:b/>
          <w:bCs/>
          <w:sz w:val="24"/>
          <w:highlight w:val="none"/>
          <w:u w:val="single"/>
        </w:rPr>
      </w:pPr>
      <w:r>
        <w:rPr>
          <w:rFonts w:hint="eastAsia" w:ascii="宋体" w:hAnsi="宋体" w:cs="宋体"/>
          <w:sz w:val="24"/>
          <w:highlight w:val="none"/>
        </w:rPr>
        <w:t>响应供应商全称（盖公章）：</w:t>
      </w:r>
    </w:p>
    <w:p w14:paraId="3DA58C16">
      <w:pPr>
        <w:adjustRightInd w:val="0"/>
        <w:snapToGrid w:val="0"/>
        <w:spacing w:line="312" w:lineRule="auto"/>
        <w:ind w:firstLine="3360" w:firstLineChars="1400"/>
        <w:jc w:val="left"/>
        <w:rPr>
          <w:rFonts w:ascii="宋体" w:hAnsi="宋体" w:cs="宋体"/>
          <w:sz w:val="24"/>
          <w:highlight w:val="none"/>
        </w:rPr>
      </w:pPr>
      <w:r>
        <w:rPr>
          <w:rFonts w:hint="eastAsia" w:ascii="宋体" w:hAnsi="宋体" w:cs="宋体"/>
          <w:sz w:val="24"/>
          <w:highlight w:val="none"/>
        </w:rPr>
        <w:t xml:space="preserve">法定代表人（签字或盖章）： </w:t>
      </w:r>
    </w:p>
    <w:p w14:paraId="45E80766">
      <w:pPr>
        <w:adjustRightInd w:val="0"/>
        <w:snapToGrid w:val="0"/>
        <w:spacing w:line="312" w:lineRule="auto"/>
        <w:ind w:firstLine="3360" w:firstLineChars="1400"/>
        <w:jc w:val="left"/>
        <w:rPr>
          <w:rFonts w:ascii="宋体" w:hAnsi="宋体" w:cs="宋体"/>
          <w:sz w:val="24"/>
          <w:highlight w:val="none"/>
        </w:rPr>
      </w:pPr>
      <w:r>
        <w:rPr>
          <w:rFonts w:hint="eastAsia" w:ascii="宋体" w:hAnsi="宋体" w:cs="宋体"/>
          <w:sz w:val="24"/>
          <w:highlight w:val="none"/>
        </w:rPr>
        <w:t>日期：年月日</w:t>
      </w:r>
    </w:p>
    <w:p w14:paraId="64CC2C73">
      <w:pPr>
        <w:snapToGrid w:val="0"/>
        <w:spacing w:line="300" w:lineRule="auto"/>
        <w:outlineLvl w:val="0"/>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附件9</w:t>
      </w:r>
    </w:p>
    <w:p w14:paraId="05E5C68E">
      <w:pPr>
        <w:spacing w:line="400" w:lineRule="exact"/>
        <w:jc w:val="center"/>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中小微企业声明函（货物类项目）（采购包号：**）</w:t>
      </w:r>
    </w:p>
    <w:p w14:paraId="5AFEEE3B">
      <w:pPr>
        <w:ind w:firstLine="240"/>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 </w:t>
      </w:r>
    </w:p>
    <w:p w14:paraId="01063391">
      <w:pPr>
        <w:spacing w:line="380" w:lineRule="exact"/>
        <w:ind w:firstLine="36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本公司（联合体）郑重声明，根据《政府采购促进中小企业发展管理办法》（财库〔2020〕46号）的规定，本公司（联合体）参加</w:t>
      </w:r>
      <w:r>
        <w:rPr>
          <w:rFonts w:hint="eastAsia" w:ascii="宋体" w:hAnsi="宋体" w:eastAsia="宋体" w:cs="宋体"/>
          <w:color w:val="000000"/>
          <w:kern w:val="0"/>
          <w:sz w:val="24"/>
          <w:highlight w:val="none"/>
          <w:u w:val="single"/>
        </w:rPr>
        <w:t>（单位名称）</w:t>
      </w:r>
      <w:r>
        <w:rPr>
          <w:rFonts w:hint="eastAsia" w:ascii="宋体" w:hAnsi="宋体" w:eastAsia="宋体" w:cs="宋体"/>
          <w:color w:val="000000"/>
          <w:kern w:val="0"/>
          <w:sz w:val="24"/>
          <w:highlight w:val="none"/>
        </w:rPr>
        <w:t>采购编号为</w:t>
      </w:r>
      <w:r>
        <w:rPr>
          <w:rFonts w:hint="eastAsia" w:ascii="宋体" w:hAnsi="宋体" w:eastAsia="宋体" w:cs="宋体"/>
          <w:color w:val="000000"/>
          <w:kern w:val="0"/>
          <w:sz w:val="24"/>
          <w:highlight w:val="none"/>
          <w:u w:val="single"/>
        </w:rPr>
        <w:t>（采购编号）</w:t>
      </w:r>
      <w:r>
        <w:rPr>
          <w:rFonts w:hint="eastAsia" w:ascii="宋体" w:hAnsi="宋体" w:eastAsia="宋体" w:cs="宋体"/>
          <w:color w:val="000000"/>
          <w:kern w:val="0"/>
          <w:sz w:val="24"/>
          <w:highlight w:val="none"/>
        </w:rPr>
        <w:t>，</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项目（项目名称）（采购包号：**）的采购活动，提供的货物全部由符合政策要求的中小微企业制造。相关企业（含联合体中的中小微企业、签订采购包意向协议的中小微企业）的具体情况如下：</w:t>
      </w:r>
    </w:p>
    <w:p w14:paraId="65F4E4E4">
      <w:pPr>
        <w:spacing w:line="380" w:lineRule="exact"/>
        <w:ind w:firstLine="36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u w:val="single"/>
        </w:rPr>
        <w:t>（标的名称）</w:t>
      </w:r>
      <w:r>
        <w:rPr>
          <w:rFonts w:hint="eastAsia" w:ascii="宋体" w:hAnsi="宋体" w:eastAsia="宋体" w:cs="宋体"/>
          <w:i/>
          <w:iCs/>
          <w:color w:val="000000"/>
          <w:kern w:val="0"/>
          <w:sz w:val="24"/>
          <w:highlight w:val="none"/>
        </w:rPr>
        <w:t>，</w:t>
      </w:r>
      <w:r>
        <w:rPr>
          <w:rFonts w:hint="eastAsia" w:ascii="宋体" w:hAnsi="宋体" w:eastAsia="宋体" w:cs="宋体"/>
          <w:color w:val="000000"/>
          <w:kern w:val="0"/>
          <w:sz w:val="24"/>
          <w:highlight w:val="none"/>
        </w:rPr>
        <w:t>属于</w:t>
      </w:r>
      <w:r>
        <w:rPr>
          <w:rFonts w:hint="eastAsia" w:ascii="宋体" w:hAnsi="宋体" w:eastAsia="宋体" w:cs="宋体"/>
          <w:color w:val="000000"/>
          <w:kern w:val="0"/>
          <w:sz w:val="24"/>
          <w:highlight w:val="none"/>
          <w:u w:val="single"/>
        </w:rPr>
        <w:t>（供应商填写询价文件中明确的所属行业）</w:t>
      </w:r>
      <w:r>
        <w:rPr>
          <w:rFonts w:hint="eastAsia" w:ascii="宋体" w:hAnsi="宋体" w:eastAsia="宋体" w:cs="宋体"/>
          <w:color w:val="000000"/>
          <w:kern w:val="0"/>
          <w:sz w:val="24"/>
          <w:highlight w:val="none"/>
        </w:rPr>
        <w:t>行业；响应产品制造商为</w:t>
      </w:r>
      <w:r>
        <w:rPr>
          <w:rFonts w:hint="eastAsia" w:ascii="宋体" w:hAnsi="宋体" w:eastAsia="宋体" w:cs="宋体"/>
          <w:color w:val="000000"/>
          <w:kern w:val="0"/>
          <w:sz w:val="24"/>
          <w:highlight w:val="none"/>
          <w:u w:val="single"/>
        </w:rPr>
        <w:t>（企业名称）</w:t>
      </w:r>
      <w:r>
        <w:rPr>
          <w:rFonts w:hint="eastAsia" w:ascii="宋体" w:hAnsi="宋体" w:eastAsia="宋体" w:cs="宋体"/>
          <w:color w:val="000000"/>
          <w:kern w:val="0"/>
          <w:sz w:val="24"/>
          <w:highlight w:val="none"/>
        </w:rPr>
        <w:t>，从业人员</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人，营业收入为</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万元，资产总额为</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万元，属于</w:t>
      </w:r>
      <w:r>
        <w:rPr>
          <w:rFonts w:hint="eastAsia" w:ascii="宋体" w:hAnsi="宋体" w:eastAsia="宋体" w:cs="宋体"/>
          <w:color w:val="000000"/>
          <w:kern w:val="0"/>
          <w:sz w:val="24"/>
          <w:highlight w:val="none"/>
          <w:u w:val="single"/>
        </w:rPr>
        <w:t>（□中型企业 □小型企业 □微型企业）；</w:t>
      </w:r>
    </w:p>
    <w:p w14:paraId="7EFDE6E7">
      <w:pPr>
        <w:spacing w:line="380" w:lineRule="exact"/>
        <w:ind w:firstLine="36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u w:val="single"/>
        </w:rPr>
        <w:t>（标的名称）</w:t>
      </w:r>
      <w:r>
        <w:rPr>
          <w:rFonts w:hint="eastAsia" w:ascii="宋体" w:hAnsi="宋体" w:eastAsia="宋体" w:cs="宋体"/>
          <w:i/>
          <w:iCs/>
          <w:color w:val="000000"/>
          <w:kern w:val="0"/>
          <w:sz w:val="24"/>
          <w:highlight w:val="none"/>
        </w:rPr>
        <w:t>，</w:t>
      </w:r>
      <w:r>
        <w:rPr>
          <w:rFonts w:hint="eastAsia" w:ascii="宋体" w:hAnsi="宋体" w:eastAsia="宋体" w:cs="宋体"/>
          <w:color w:val="000000"/>
          <w:kern w:val="0"/>
          <w:sz w:val="24"/>
          <w:highlight w:val="none"/>
        </w:rPr>
        <w:t>属于</w:t>
      </w:r>
      <w:r>
        <w:rPr>
          <w:rFonts w:hint="eastAsia" w:ascii="宋体" w:hAnsi="宋体" w:eastAsia="宋体" w:cs="宋体"/>
          <w:color w:val="000000"/>
          <w:kern w:val="0"/>
          <w:sz w:val="24"/>
          <w:highlight w:val="none"/>
          <w:u w:val="single"/>
        </w:rPr>
        <w:t>（供应商填写询价文件中明确的所属行业）</w:t>
      </w:r>
      <w:r>
        <w:rPr>
          <w:rFonts w:hint="eastAsia" w:ascii="宋体" w:hAnsi="宋体" w:eastAsia="宋体" w:cs="宋体"/>
          <w:color w:val="000000"/>
          <w:kern w:val="0"/>
          <w:sz w:val="24"/>
          <w:highlight w:val="none"/>
        </w:rPr>
        <w:t>行业；响应产品制造商为</w:t>
      </w:r>
      <w:r>
        <w:rPr>
          <w:rFonts w:hint="eastAsia" w:ascii="宋体" w:hAnsi="宋体" w:eastAsia="宋体" w:cs="宋体"/>
          <w:color w:val="000000"/>
          <w:kern w:val="0"/>
          <w:sz w:val="24"/>
          <w:highlight w:val="none"/>
          <w:u w:val="single"/>
        </w:rPr>
        <w:t>（企业名称）</w:t>
      </w:r>
      <w:r>
        <w:rPr>
          <w:rFonts w:hint="eastAsia" w:ascii="宋体" w:hAnsi="宋体" w:eastAsia="宋体" w:cs="宋体"/>
          <w:color w:val="000000"/>
          <w:kern w:val="0"/>
          <w:sz w:val="24"/>
          <w:highlight w:val="none"/>
        </w:rPr>
        <w:t>，从业人员</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人，营业收入为</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万元，资产总额为</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万元，属于</w:t>
      </w:r>
      <w:r>
        <w:rPr>
          <w:rFonts w:hint="eastAsia" w:ascii="宋体" w:hAnsi="宋体" w:eastAsia="宋体" w:cs="宋体"/>
          <w:color w:val="000000"/>
          <w:kern w:val="0"/>
          <w:sz w:val="24"/>
          <w:highlight w:val="none"/>
          <w:u w:val="single"/>
        </w:rPr>
        <w:t>（□中型企业 □小型企业 □微型企业）；</w:t>
      </w:r>
    </w:p>
    <w:p w14:paraId="6D901CAF">
      <w:pPr>
        <w:spacing w:line="380" w:lineRule="exact"/>
        <w:ind w:firstLine="36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w:t>
      </w:r>
    </w:p>
    <w:p w14:paraId="4CA94DA6">
      <w:pPr>
        <w:spacing w:line="380" w:lineRule="exact"/>
        <w:ind w:firstLine="36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以上企业，不属于大企业的分支机构，不存在控股股东为大企业的情形，也不存在与大企业的负责人为同一人的情形。</w:t>
      </w:r>
    </w:p>
    <w:p w14:paraId="1614BEB0">
      <w:pPr>
        <w:spacing w:line="380" w:lineRule="exact"/>
        <w:ind w:firstLine="36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本企业对上述声明内容的真实性负责。如有虚假，将依法承担相应责任</w:t>
      </w:r>
    </w:p>
    <w:p w14:paraId="34E41033">
      <w:pPr>
        <w:spacing w:line="380" w:lineRule="exact"/>
        <w:ind w:right="720"/>
        <w:rPr>
          <w:rFonts w:hint="eastAsia" w:ascii="宋体" w:hAnsi="宋体" w:eastAsia="宋体" w:cs="宋体"/>
          <w:kern w:val="0"/>
          <w:sz w:val="24"/>
          <w:highlight w:val="none"/>
        </w:rPr>
      </w:pPr>
      <w:r>
        <w:rPr>
          <w:rFonts w:hint="eastAsia" w:ascii="宋体" w:hAnsi="宋体" w:eastAsia="宋体" w:cs="宋体"/>
          <w:kern w:val="0"/>
          <w:sz w:val="24"/>
          <w:highlight w:val="none"/>
        </w:rPr>
        <w:t> </w:t>
      </w:r>
    </w:p>
    <w:p w14:paraId="2C4E3917">
      <w:pPr>
        <w:spacing w:line="380" w:lineRule="exact"/>
        <w:ind w:right="180" w:firstLine="2570" w:firstLineChars="1071"/>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企业名称（加盖CA电子公章）：</w:t>
      </w:r>
    </w:p>
    <w:p w14:paraId="4FF0E28C">
      <w:pPr>
        <w:snapToGrid w:val="0"/>
        <w:spacing w:line="300" w:lineRule="auto"/>
        <w:ind w:firstLine="2640" w:firstLineChars="1100"/>
        <w:contextualSpacing/>
        <w:rPr>
          <w:rFonts w:hint="eastAsia" w:ascii="宋体" w:hAnsi="宋体" w:eastAsia="宋体" w:cs="宋体"/>
          <w:kern w:val="0"/>
          <w:sz w:val="24"/>
          <w:highlight w:val="none"/>
        </w:rPr>
      </w:pPr>
      <w:r>
        <w:rPr>
          <w:rFonts w:hint="eastAsia" w:ascii="宋体" w:hAnsi="宋体" w:eastAsia="宋体" w:cs="宋体"/>
          <w:sz w:val="24"/>
          <w:highlight w:val="none"/>
        </w:rPr>
        <w:t>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673001BA">
      <w:pPr>
        <w:spacing w:line="38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 </w:t>
      </w:r>
    </w:p>
    <w:p w14:paraId="37BF39DA">
      <w:pPr>
        <w:spacing w:line="380" w:lineRule="exact"/>
        <w:ind w:firstLine="48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备注：</w:t>
      </w:r>
    </w:p>
    <w:p w14:paraId="3E1B2EA5">
      <w:pPr>
        <w:spacing w:line="380" w:lineRule="exact"/>
        <w:ind w:firstLine="48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1.从业人员、营业收入、资产总额填报上一年度数据，无上一年度数据的新成立企业可不填报。</w:t>
      </w:r>
    </w:p>
    <w:p w14:paraId="33D9509A">
      <w:pPr>
        <w:spacing w:line="380" w:lineRule="exact"/>
        <w:ind w:firstLine="48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2.专门面向中小微型企业采购的项目，供应商如不提供此声明函，则不能通过资格审查；非专门面向中小微型企业采购的项目，供应商如不提供此声明函，价格将不做相应扣除。</w:t>
      </w:r>
    </w:p>
    <w:p w14:paraId="32F5E390">
      <w:pPr>
        <w:spacing w:line="380" w:lineRule="exact"/>
        <w:ind w:left="540" w:hanging="120"/>
        <w:rPr>
          <w:rFonts w:hint="eastAsia" w:ascii="宋体" w:hAnsi="宋体" w:eastAsia="宋体" w:cs="宋体"/>
          <w:kern w:val="0"/>
          <w:sz w:val="24"/>
          <w:highlight w:val="none"/>
        </w:rPr>
      </w:pPr>
      <w:r>
        <w:rPr>
          <w:rFonts w:hint="eastAsia" w:ascii="宋体" w:hAnsi="宋体" w:eastAsia="宋体" w:cs="宋体"/>
          <w:color w:val="000000"/>
          <w:kern w:val="0"/>
          <w:sz w:val="24"/>
          <w:highlight w:val="none"/>
        </w:rPr>
        <w:t>3.供应商应对照《工业和信息化部、国家统计局、国家发展和改革委员会、</w:t>
      </w:r>
    </w:p>
    <w:p w14:paraId="1E27C6F5">
      <w:pPr>
        <w:snapToGrid w:val="0"/>
        <w:spacing w:line="300" w:lineRule="auto"/>
        <w:outlineLvl w:val="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财政部关于印发中小企业划型标准规定的通知》（工信部联企业〔2011〕300号）《国家统计局关于印发〈统计上大中小微型企业划分办法（2017）〉的通知》（国统字〔2017〕213号）的规定，自行勾选制造商的企业规模类型。</w:t>
      </w:r>
    </w:p>
    <w:p w14:paraId="55BA8877">
      <w:pPr>
        <w:spacing w:line="460" w:lineRule="exact"/>
        <w:jc w:val="center"/>
        <w:rPr>
          <w:rFonts w:hint="eastAsia" w:ascii="宋体" w:hAnsi="宋体"/>
          <w:b/>
          <w:sz w:val="32"/>
          <w:szCs w:val="32"/>
          <w:highlight w:val="none"/>
        </w:rPr>
      </w:pPr>
    </w:p>
    <w:p w14:paraId="33F3E8FC">
      <w:pPr>
        <w:spacing w:line="460" w:lineRule="exact"/>
        <w:jc w:val="center"/>
        <w:rPr>
          <w:rFonts w:hint="eastAsia" w:ascii="宋体" w:hAnsi="宋体"/>
          <w:b/>
          <w:sz w:val="32"/>
          <w:szCs w:val="32"/>
          <w:highlight w:val="none"/>
        </w:rPr>
      </w:pPr>
    </w:p>
    <w:p w14:paraId="1E82871C">
      <w:pPr>
        <w:spacing w:line="460" w:lineRule="exact"/>
        <w:jc w:val="center"/>
        <w:rPr>
          <w:rFonts w:hint="eastAsia" w:ascii="宋体" w:hAnsi="宋体"/>
          <w:b/>
          <w:sz w:val="32"/>
          <w:szCs w:val="32"/>
          <w:highlight w:val="none"/>
        </w:rPr>
      </w:pPr>
    </w:p>
    <w:p w14:paraId="292FC910">
      <w:pPr>
        <w:spacing w:line="460" w:lineRule="exact"/>
        <w:jc w:val="center"/>
        <w:rPr>
          <w:rFonts w:hint="eastAsia" w:ascii="宋体" w:hAnsi="宋体"/>
          <w:b/>
          <w:sz w:val="32"/>
          <w:szCs w:val="32"/>
          <w:highlight w:val="none"/>
        </w:rPr>
      </w:pPr>
    </w:p>
    <w:p w14:paraId="32422899">
      <w:pPr>
        <w:spacing w:line="460" w:lineRule="exact"/>
        <w:jc w:val="both"/>
        <w:rPr>
          <w:rFonts w:hint="default" w:ascii="宋体" w:hAnsi="宋体" w:eastAsia="宋体"/>
          <w:b/>
          <w:sz w:val="32"/>
          <w:szCs w:val="32"/>
          <w:highlight w:val="none"/>
          <w:lang w:val="en-US" w:eastAsia="zh-CN"/>
        </w:rPr>
      </w:pPr>
      <w:r>
        <w:rPr>
          <w:rFonts w:hint="eastAsia" w:ascii="宋体" w:hAnsi="宋体"/>
          <w:b/>
          <w:sz w:val="32"/>
          <w:szCs w:val="32"/>
          <w:highlight w:val="none"/>
          <w:lang w:val="en-US" w:eastAsia="zh-CN"/>
        </w:rPr>
        <w:t>附件10</w:t>
      </w:r>
    </w:p>
    <w:p w14:paraId="1995918F">
      <w:pPr>
        <w:spacing w:line="400" w:lineRule="exact"/>
        <w:jc w:val="center"/>
        <w:rPr>
          <w:rFonts w:hint="eastAsia" w:ascii="宋体" w:hAnsi="宋体" w:eastAsia="宋体" w:cs="宋体"/>
          <w:b/>
          <w:bCs w:val="0"/>
          <w:highlight w:val="none"/>
        </w:rPr>
      </w:pPr>
      <w:r>
        <w:rPr>
          <w:rFonts w:hint="eastAsia" w:ascii="宋体" w:hAnsi="宋体" w:eastAsia="宋体" w:cs="宋体"/>
          <w:b/>
          <w:bCs w:val="0"/>
          <w:color w:val="000000"/>
          <w:sz w:val="30"/>
          <w:szCs w:val="30"/>
          <w:highlight w:val="none"/>
        </w:rPr>
        <w:t>残疾人福利性单位声明函（采购包号：**）</w:t>
      </w:r>
      <w:r>
        <w:rPr>
          <w:rFonts w:hint="eastAsia" w:ascii="宋体" w:hAnsi="宋体" w:eastAsia="宋体" w:cs="宋体"/>
          <w:b/>
          <w:bCs w:val="0"/>
          <w:highlight w:val="none"/>
        </w:rPr>
        <w:t> </w:t>
      </w:r>
    </w:p>
    <w:p w14:paraId="19FDEBCD">
      <w:pPr>
        <w:pStyle w:val="12"/>
        <w:spacing w:before="0" w:beforeAutospacing="0" w:after="0" w:afterAutospacing="0" w:line="400" w:lineRule="exact"/>
        <w:ind w:firstLine="482"/>
        <w:jc w:val="both"/>
        <w:rPr>
          <w:rFonts w:hint="eastAsia" w:ascii="宋体" w:hAnsi="宋体" w:eastAsia="宋体" w:cs="宋体"/>
          <w:sz w:val="28"/>
          <w:szCs w:val="28"/>
          <w:highlight w:val="none"/>
        </w:rPr>
      </w:pPr>
    </w:p>
    <w:p w14:paraId="3D4BCA93">
      <w:pPr>
        <w:pStyle w:val="12"/>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highlight w:val="none"/>
          <w:u w:val="single"/>
        </w:rPr>
        <w:t>（单位名称）</w:t>
      </w:r>
      <w:r>
        <w:rPr>
          <w:rFonts w:hint="eastAsia" w:ascii="宋体" w:hAnsi="宋体" w:eastAsia="宋体" w:cs="宋体"/>
          <w:sz w:val="28"/>
          <w:szCs w:val="28"/>
          <w:highlight w:val="none"/>
        </w:rPr>
        <w:t>采购编号为</w:t>
      </w:r>
      <w:r>
        <w:rPr>
          <w:rFonts w:hint="eastAsia" w:ascii="宋体" w:hAnsi="宋体" w:eastAsia="宋体" w:cs="宋体"/>
          <w:sz w:val="28"/>
          <w:szCs w:val="28"/>
          <w:highlight w:val="none"/>
          <w:u w:val="single"/>
        </w:rPr>
        <w:t>（采购编号）</w:t>
      </w:r>
      <w:r>
        <w:rPr>
          <w:rFonts w:hint="eastAsia" w:ascii="宋体" w:hAnsi="宋体" w:eastAsia="宋体" w:cs="宋体"/>
          <w:sz w:val="28"/>
          <w:szCs w:val="28"/>
          <w:highlight w:val="none"/>
        </w:rPr>
        <w:t>， </w:t>
      </w:r>
      <w:r>
        <w:rPr>
          <w:rFonts w:hint="eastAsia" w:ascii="宋体" w:hAnsi="宋体" w:eastAsia="宋体" w:cs="宋体"/>
          <w:szCs w:val="24"/>
          <w:highlight w:val="none"/>
          <w:u w:val="single"/>
        </w:rPr>
        <w:t xml:space="preserve">            </w:t>
      </w:r>
      <w:r>
        <w:rPr>
          <w:rFonts w:hint="eastAsia" w:ascii="宋体" w:hAnsi="宋体" w:eastAsia="宋体" w:cs="宋体"/>
          <w:sz w:val="28"/>
          <w:szCs w:val="28"/>
          <w:highlight w:val="none"/>
        </w:rPr>
        <w:t>项目（项目名称）（采购包号：**）采购活动由本单位提供服务。</w:t>
      </w:r>
    </w:p>
    <w:p w14:paraId="1FA73E99">
      <w:pPr>
        <w:pStyle w:val="12"/>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本单位对上述声明的真实性负责。如有虚假，将依法承担相应责任。</w:t>
      </w:r>
    </w:p>
    <w:p w14:paraId="6E193B36">
      <w:pPr>
        <w:pStyle w:val="12"/>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备注：</w:t>
      </w:r>
    </w:p>
    <w:p w14:paraId="59017955">
      <w:pPr>
        <w:pStyle w:val="12"/>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1.专门面向中小微型企业采购的项目，供应商为残疾人福利性单位并提供服务的必须提供此声明函，否则将不能通过资格审查。</w:t>
      </w:r>
    </w:p>
    <w:p w14:paraId="28988F51">
      <w:pPr>
        <w:pStyle w:val="12"/>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2.非专门面向中小微型企业采购的项目，供应商如不提供此声明函，价格将不做相应扣除。</w:t>
      </w:r>
    </w:p>
    <w:p w14:paraId="7FBEDD4E">
      <w:pPr>
        <w:pStyle w:val="12"/>
        <w:spacing w:beforeAutospacing="0" w:afterAutospacing="0" w:line="360" w:lineRule="auto"/>
        <w:ind w:firstLine="48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3.中标/成交供应商为残疾人福利性单位的，此声明函将随中标/成交结果同时公告，接受社会监督。</w:t>
      </w:r>
    </w:p>
    <w:p w14:paraId="583CF318">
      <w:pPr>
        <w:pStyle w:val="12"/>
        <w:spacing w:beforeAutospacing="0" w:afterAutospacing="0" w:line="360" w:lineRule="auto"/>
        <w:ind w:firstLine="624"/>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 </w:t>
      </w:r>
    </w:p>
    <w:p w14:paraId="3546C001">
      <w:pPr>
        <w:pStyle w:val="12"/>
        <w:tabs>
          <w:tab w:val="left" w:pos="4864"/>
        </w:tabs>
        <w:spacing w:beforeAutospacing="0" w:afterAutospacing="0" w:line="360" w:lineRule="auto"/>
        <w:ind w:right="1559" w:firstLine="6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供应商全称（加盖CA电子公章）：</w:t>
      </w:r>
    </w:p>
    <w:p w14:paraId="7640A97F">
      <w:pPr>
        <w:snapToGrid w:val="0"/>
        <w:spacing w:line="300" w:lineRule="auto"/>
        <w:ind w:firstLine="2240" w:firstLineChars="800"/>
        <w:contextualSpacing/>
        <w:rPr>
          <w:rFonts w:hint="eastAsia" w:ascii="宋体" w:hAnsi="宋体" w:eastAsia="宋体" w:cs="宋体"/>
          <w:kern w:val="0"/>
          <w:sz w:val="32"/>
          <w:szCs w:val="32"/>
          <w:highlight w:val="none"/>
        </w:rPr>
      </w:pPr>
      <w:r>
        <w:rPr>
          <w:rFonts w:hint="eastAsia" w:ascii="宋体" w:hAnsi="宋体" w:eastAsia="宋体" w:cs="宋体"/>
          <w:sz w:val="28"/>
          <w:szCs w:val="28"/>
          <w:highlight w:val="none"/>
        </w:rPr>
        <w:t>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6F22C275">
      <w:pPr>
        <w:snapToGrid w:val="0"/>
        <w:spacing w:line="300" w:lineRule="auto"/>
        <w:outlineLvl w:val="0"/>
        <w:rPr>
          <w:rFonts w:ascii="Times New Roman" w:hAnsi="Times New Roman" w:eastAsia="方正黑体_GBK"/>
          <w:sz w:val="32"/>
          <w:szCs w:val="32"/>
          <w:highlight w:val="none"/>
        </w:rPr>
      </w:pPr>
    </w:p>
    <w:p w14:paraId="6B686317">
      <w:pPr>
        <w:snapToGrid w:val="0"/>
        <w:spacing w:line="300" w:lineRule="auto"/>
        <w:outlineLvl w:val="0"/>
        <w:rPr>
          <w:rFonts w:ascii="Times New Roman" w:hAnsi="Times New Roman" w:eastAsia="方正黑体_GBK"/>
          <w:sz w:val="32"/>
          <w:szCs w:val="32"/>
          <w:highlight w:val="none"/>
        </w:rPr>
      </w:pPr>
    </w:p>
    <w:p w14:paraId="1EAE521C">
      <w:pPr>
        <w:snapToGrid w:val="0"/>
        <w:spacing w:line="300" w:lineRule="auto"/>
        <w:outlineLvl w:val="0"/>
        <w:rPr>
          <w:rFonts w:ascii="Times New Roman" w:hAnsi="Times New Roman" w:eastAsia="方正黑体_GBK"/>
          <w:sz w:val="32"/>
          <w:szCs w:val="32"/>
          <w:highlight w:val="none"/>
        </w:rPr>
      </w:pPr>
    </w:p>
    <w:p w14:paraId="1532B797">
      <w:pPr>
        <w:snapToGrid w:val="0"/>
        <w:spacing w:line="300" w:lineRule="auto"/>
        <w:outlineLvl w:val="0"/>
        <w:rPr>
          <w:rFonts w:ascii="Times New Roman" w:hAnsi="Times New Roman" w:eastAsia="方正黑体_GBK"/>
          <w:sz w:val="32"/>
          <w:szCs w:val="32"/>
          <w:highlight w:val="none"/>
        </w:rPr>
      </w:pPr>
    </w:p>
    <w:p w14:paraId="55BEBBDD">
      <w:pPr>
        <w:snapToGrid w:val="0"/>
        <w:spacing w:line="300" w:lineRule="auto"/>
        <w:outlineLvl w:val="0"/>
        <w:rPr>
          <w:rFonts w:ascii="Times New Roman" w:hAnsi="Times New Roman" w:eastAsia="方正黑体_GBK"/>
          <w:sz w:val="32"/>
          <w:szCs w:val="32"/>
          <w:highlight w:val="none"/>
        </w:rPr>
      </w:pPr>
    </w:p>
    <w:p w14:paraId="2090AD41">
      <w:pPr>
        <w:snapToGrid w:val="0"/>
        <w:spacing w:line="300" w:lineRule="auto"/>
        <w:outlineLvl w:val="0"/>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附件11</w:t>
      </w:r>
    </w:p>
    <w:p w14:paraId="2F258F0D">
      <w:pPr>
        <w:spacing w:line="400" w:lineRule="exact"/>
        <w:jc w:val="center"/>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监狱和戒毒企业证明材料</w:t>
      </w:r>
    </w:p>
    <w:p w14:paraId="4EEDA63C">
      <w:pPr>
        <w:snapToGrid w:val="0"/>
        <w:spacing w:line="420" w:lineRule="exact"/>
        <w:ind w:firstLine="495" w:firstLineChars="177"/>
        <w:rPr>
          <w:rFonts w:hint="eastAsia" w:ascii="宋体" w:hAnsi="宋体" w:eastAsia="宋体" w:cs="宋体"/>
          <w:sz w:val="28"/>
          <w:szCs w:val="28"/>
          <w:highlight w:val="none"/>
        </w:rPr>
      </w:pPr>
    </w:p>
    <w:p w14:paraId="0E0F34B3">
      <w:pPr>
        <w:snapToGrid w:val="0"/>
        <w:spacing w:line="420" w:lineRule="exact"/>
        <w:ind w:firstLine="495" w:firstLineChars="177"/>
        <w:rPr>
          <w:rFonts w:hint="eastAsia" w:ascii="宋体" w:hAnsi="宋体" w:eastAsia="宋体" w:cs="宋体"/>
          <w:b/>
          <w:sz w:val="28"/>
          <w:szCs w:val="28"/>
          <w:highlight w:val="none"/>
        </w:rPr>
      </w:pPr>
      <w:r>
        <w:rPr>
          <w:rFonts w:hint="eastAsia" w:ascii="宋体" w:hAnsi="宋体" w:eastAsia="宋体" w:cs="宋体"/>
          <w:b/>
          <w:sz w:val="28"/>
          <w:szCs w:val="28"/>
          <w:highlight w:val="none"/>
        </w:rPr>
        <w:t>（格式自拟）</w:t>
      </w:r>
    </w:p>
    <w:p w14:paraId="786575E4">
      <w:pPr>
        <w:snapToGrid w:val="0"/>
        <w:spacing w:line="420" w:lineRule="exact"/>
        <w:ind w:firstLine="495" w:firstLineChars="177"/>
        <w:rPr>
          <w:rFonts w:hint="eastAsia" w:ascii="宋体" w:hAnsi="宋体" w:eastAsia="宋体" w:cs="宋体"/>
          <w:sz w:val="28"/>
          <w:szCs w:val="28"/>
          <w:highlight w:val="none"/>
        </w:rPr>
      </w:pPr>
    </w:p>
    <w:p w14:paraId="676894E0">
      <w:pPr>
        <w:snapToGrid w:val="0"/>
        <w:spacing w:line="420" w:lineRule="exact"/>
        <w:ind w:firstLine="660" w:firstLineChars="236"/>
        <w:rPr>
          <w:rFonts w:hint="eastAsia" w:ascii="宋体" w:hAnsi="宋体" w:eastAsia="宋体" w:cs="宋体"/>
          <w:sz w:val="28"/>
          <w:szCs w:val="28"/>
          <w:highlight w:val="none"/>
        </w:rPr>
      </w:pPr>
      <w:r>
        <w:rPr>
          <w:rFonts w:hint="eastAsia" w:ascii="宋体" w:hAnsi="宋体" w:eastAsia="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22448B1">
      <w:pPr>
        <w:snapToGrid w:val="0"/>
        <w:spacing w:line="300" w:lineRule="auto"/>
        <w:outlineLvl w:val="0"/>
        <w:rPr>
          <w:rFonts w:hint="eastAsia" w:ascii="宋体" w:hAnsi="宋体" w:eastAsia="宋体" w:cs="宋体"/>
          <w:sz w:val="28"/>
          <w:szCs w:val="28"/>
          <w:highlight w:val="none"/>
        </w:rPr>
      </w:pPr>
    </w:p>
    <w:p w14:paraId="350576AF">
      <w:pPr>
        <w:snapToGrid w:val="0"/>
        <w:spacing w:line="300" w:lineRule="auto"/>
        <w:outlineLvl w:val="0"/>
        <w:rPr>
          <w:rFonts w:hint="eastAsia" w:ascii="宋体" w:hAnsi="宋体" w:eastAsia="宋体" w:cs="宋体"/>
          <w:sz w:val="28"/>
          <w:szCs w:val="28"/>
          <w:highlight w:val="none"/>
        </w:rPr>
      </w:pPr>
    </w:p>
    <w:p w14:paraId="2DA6DCE2">
      <w:pPr>
        <w:snapToGrid w:val="0"/>
        <w:spacing w:line="300" w:lineRule="auto"/>
        <w:outlineLvl w:val="0"/>
        <w:rPr>
          <w:rFonts w:hint="eastAsia" w:ascii="宋体" w:hAnsi="宋体" w:eastAsia="宋体" w:cs="宋体"/>
          <w:sz w:val="28"/>
          <w:szCs w:val="28"/>
          <w:highlight w:val="none"/>
        </w:rPr>
      </w:pPr>
    </w:p>
    <w:p w14:paraId="7574A49D">
      <w:pPr>
        <w:snapToGrid w:val="0"/>
        <w:spacing w:line="300" w:lineRule="auto"/>
        <w:outlineLvl w:val="0"/>
        <w:rPr>
          <w:rFonts w:hint="eastAsia" w:ascii="宋体" w:hAnsi="宋体" w:eastAsia="宋体" w:cs="宋体"/>
          <w:sz w:val="28"/>
          <w:szCs w:val="28"/>
          <w:highlight w:val="none"/>
        </w:rPr>
      </w:pPr>
    </w:p>
    <w:p w14:paraId="16DC0510">
      <w:pPr>
        <w:snapToGrid w:val="0"/>
        <w:spacing w:line="300" w:lineRule="auto"/>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注：1.供应商如不提供此声明函，价格将不做相应扣除。</w:t>
      </w:r>
    </w:p>
    <w:p w14:paraId="11BAEB31">
      <w:pPr>
        <w:snapToGrid w:val="0"/>
        <w:spacing w:line="300" w:lineRule="auto"/>
        <w:ind w:firstLine="560" w:firstLineChars="200"/>
        <w:outlineLvl w:val="0"/>
        <w:rPr>
          <w:rFonts w:hint="eastAsia" w:ascii="宋体" w:hAnsi="宋体" w:eastAsia="宋体" w:cs="宋体"/>
          <w:sz w:val="28"/>
          <w:szCs w:val="28"/>
          <w:highlight w:val="none"/>
        </w:rPr>
      </w:pPr>
      <w:r>
        <w:rPr>
          <w:rFonts w:hint="eastAsia" w:ascii="宋体" w:hAnsi="宋体" w:eastAsia="宋体" w:cs="宋体"/>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4ADD6901">
      <w:pPr>
        <w:snapToGrid w:val="0"/>
        <w:spacing w:line="300" w:lineRule="auto"/>
        <w:outlineLvl w:val="0"/>
        <w:rPr>
          <w:rFonts w:ascii="Times New Roman" w:hAnsi="Times New Roman"/>
          <w:sz w:val="28"/>
          <w:szCs w:val="28"/>
          <w:highlight w:val="none"/>
        </w:rPr>
      </w:pPr>
    </w:p>
    <w:p w14:paraId="635ADEAF">
      <w:pPr>
        <w:snapToGrid w:val="0"/>
        <w:spacing w:line="300" w:lineRule="auto"/>
        <w:outlineLvl w:val="0"/>
        <w:rPr>
          <w:rFonts w:ascii="Times New Roman" w:hAnsi="Times New Roman"/>
          <w:sz w:val="28"/>
          <w:szCs w:val="28"/>
          <w:highlight w:val="none"/>
        </w:rPr>
      </w:pPr>
    </w:p>
    <w:p w14:paraId="63E606DC">
      <w:pPr>
        <w:snapToGrid w:val="0"/>
        <w:spacing w:line="300" w:lineRule="auto"/>
        <w:outlineLvl w:val="0"/>
        <w:rPr>
          <w:rFonts w:ascii="Times New Roman" w:hAnsi="Times New Roman"/>
          <w:sz w:val="28"/>
          <w:szCs w:val="28"/>
          <w:highlight w:val="none"/>
        </w:rPr>
      </w:pPr>
    </w:p>
    <w:p w14:paraId="0AA213D8">
      <w:pPr>
        <w:snapToGrid w:val="0"/>
        <w:spacing w:line="300" w:lineRule="auto"/>
        <w:outlineLvl w:val="0"/>
        <w:rPr>
          <w:rFonts w:ascii="Times New Roman" w:hAnsi="Times New Roman"/>
          <w:sz w:val="28"/>
          <w:szCs w:val="28"/>
          <w:highlight w:val="none"/>
        </w:rPr>
      </w:pPr>
    </w:p>
    <w:p w14:paraId="06E00ADB">
      <w:pPr>
        <w:snapToGrid w:val="0"/>
        <w:spacing w:line="300" w:lineRule="auto"/>
        <w:outlineLvl w:val="0"/>
        <w:rPr>
          <w:rFonts w:ascii="Times New Roman" w:hAnsi="Times New Roman"/>
          <w:sz w:val="28"/>
          <w:szCs w:val="28"/>
          <w:highlight w:val="none"/>
        </w:rPr>
      </w:pPr>
    </w:p>
    <w:p w14:paraId="5C0D2EAD">
      <w:pPr>
        <w:snapToGrid w:val="0"/>
        <w:spacing w:line="300" w:lineRule="auto"/>
        <w:outlineLvl w:val="0"/>
        <w:rPr>
          <w:rFonts w:ascii="Times New Roman" w:hAnsi="Times New Roman"/>
          <w:sz w:val="28"/>
          <w:szCs w:val="28"/>
          <w:highlight w:val="none"/>
        </w:rPr>
      </w:pPr>
    </w:p>
    <w:p w14:paraId="00C488C1">
      <w:pPr>
        <w:snapToGrid w:val="0"/>
        <w:spacing w:line="300" w:lineRule="auto"/>
        <w:outlineLvl w:val="0"/>
        <w:rPr>
          <w:rFonts w:ascii="Times New Roman" w:hAnsi="Times New Roman"/>
          <w:sz w:val="28"/>
          <w:szCs w:val="28"/>
          <w:highlight w:val="none"/>
        </w:rPr>
      </w:pPr>
    </w:p>
    <w:p w14:paraId="0EBF08CB">
      <w:pPr>
        <w:snapToGrid w:val="0"/>
        <w:spacing w:line="300" w:lineRule="auto"/>
        <w:outlineLvl w:val="0"/>
        <w:rPr>
          <w:rFonts w:ascii="Times New Roman" w:hAnsi="Times New Roman"/>
          <w:sz w:val="28"/>
          <w:szCs w:val="28"/>
          <w:highlight w:val="none"/>
        </w:rPr>
      </w:pPr>
    </w:p>
    <w:p w14:paraId="51C0FB75">
      <w:pPr>
        <w:snapToGrid w:val="0"/>
        <w:spacing w:line="300" w:lineRule="auto"/>
        <w:outlineLvl w:val="0"/>
        <w:rPr>
          <w:rFonts w:ascii="Times New Roman" w:hAnsi="Times New Roman"/>
          <w:sz w:val="28"/>
          <w:szCs w:val="28"/>
          <w:highlight w:val="none"/>
        </w:rPr>
      </w:pPr>
    </w:p>
    <w:p w14:paraId="737BA72F">
      <w:pPr>
        <w:snapToGrid w:val="0"/>
        <w:spacing w:line="300" w:lineRule="auto"/>
        <w:outlineLvl w:val="0"/>
        <w:rPr>
          <w:rFonts w:ascii="Times New Roman" w:hAnsi="Times New Roman"/>
          <w:sz w:val="28"/>
          <w:szCs w:val="28"/>
          <w:highlight w:val="none"/>
        </w:rPr>
      </w:pPr>
    </w:p>
    <w:p w14:paraId="69C998FA">
      <w:pPr>
        <w:snapToGrid w:val="0"/>
        <w:spacing w:line="300" w:lineRule="auto"/>
        <w:outlineLvl w:val="0"/>
        <w:rPr>
          <w:rFonts w:ascii="Times New Roman" w:hAnsi="Times New Roman"/>
          <w:sz w:val="28"/>
          <w:szCs w:val="28"/>
          <w:highlight w:val="none"/>
        </w:rPr>
      </w:pPr>
    </w:p>
    <w:p w14:paraId="75FEA607">
      <w:pPr>
        <w:snapToGrid w:val="0"/>
        <w:spacing w:line="300" w:lineRule="auto"/>
        <w:outlineLvl w:val="0"/>
        <w:rPr>
          <w:rFonts w:ascii="Times New Roman" w:hAnsi="Times New Roman"/>
          <w:sz w:val="28"/>
          <w:szCs w:val="28"/>
          <w:highlight w:val="none"/>
        </w:rPr>
      </w:pPr>
    </w:p>
    <w:p w14:paraId="45345A5F">
      <w:pPr>
        <w:snapToGrid w:val="0"/>
        <w:spacing w:line="300" w:lineRule="auto"/>
        <w:outlineLvl w:val="0"/>
        <w:rPr>
          <w:rFonts w:ascii="Times New Roman" w:hAnsi="Times New Roman"/>
          <w:sz w:val="28"/>
          <w:szCs w:val="28"/>
          <w:highlight w:val="none"/>
        </w:rPr>
      </w:pPr>
    </w:p>
    <w:p w14:paraId="5643855E">
      <w:pPr>
        <w:rPr>
          <w:rFonts w:ascii="Times New Roman" w:hAnsi="Times New Roman" w:eastAsia="方正黑体_GBK"/>
          <w:bCs/>
          <w:sz w:val="32"/>
          <w:szCs w:val="32"/>
          <w:highlight w:val="none"/>
          <w:lang w:bidi="ar"/>
        </w:rPr>
      </w:pPr>
    </w:p>
    <w:p w14:paraId="44CF53E8">
      <w:pPr>
        <w:rPr>
          <w:rFonts w:ascii="Times New Roman" w:hAnsi="Times New Roman" w:eastAsia="方正黑体_GBK"/>
          <w:bCs/>
          <w:sz w:val="32"/>
          <w:szCs w:val="32"/>
          <w:highlight w:val="none"/>
          <w:lang w:bidi="ar"/>
        </w:rPr>
      </w:pPr>
    </w:p>
    <w:p w14:paraId="047BC3DC">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t>附件12</w:t>
      </w:r>
    </w:p>
    <w:p w14:paraId="600CB455">
      <w:pPr>
        <w:spacing w:line="400" w:lineRule="exact"/>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关于符合本国产品标准的声明函</w:t>
      </w:r>
    </w:p>
    <w:p w14:paraId="626F0129">
      <w:pPr>
        <w:widowControl/>
        <w:shd w:val="clear" w:color="auto" w:fill="FFFFFF"/>
        <w:spacing w:before="15" w:after="15"/>
        <w:ind w:firstLine="420"/>
        <w:jc w:val="left"/>
        <w:rPr>
          <w:rFonts w:hint="eastAsia" w:ascii="宋体" w:hAnsi="宋体" w:eastAsia="宋体" w:cs="宋体"/>
          <w:kern w:val="0"/>
          <w:sz w:val="24"/>
          <w:highlight w:val="none"/>
        </w:rPr>
      </w:pPr>
      <w:r>
        <w:rPr>
          <w:rFonts w:hint="eastAsia" w:ascii="宋体" w:hAnsi="宋体" w:eastAsia="宋体" w:cs="宋体"/>
          <w:kern w:val="0"/>
          <w:sz w:val="24"/>
          <w:highlight w:val="none"/>
        </w:rPr>
        <w:t> </w:t>
      </w:r>
    </w:p>
    <w:p w14:paraId="578C6B64">
      <w:pPr>
        <w:widowControl/>
        <w:spacing w:line="440" w:lineRule="exact"/>
        <w:ind w:firstLine="420"/>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4100D1F1">
      <w:pPr>
        <w:widowControl/>
        <w:shd w:val="clear" w:color="auto" w:fill="FFFFFF"/>
        <w:spacing w:line="440" w:lineRule="exact"/>
        <w:ind w:firstLine="420"/>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1.</w:t>
      </w:r>
      <w:r>
        <w:rPr>
          <w:rFonts w:hint="eastAsia" w:ascii="宋体" w:hAnsi="宋体" w:eastAsia="宋体" w:cs="宋体"/>
          <w:kern w:val="0"/>
          <w:sz w:val="28"/>
          <w:szCs w:val="28"/>
          <w:highlight w:val="none"/>
          <w:u w:val="single"/>
          <w:shd w:val="clear" w:color="auto" w:fill="FFFFFF"/>
        </w:rPr>
        <w:t>（产品名称1）</w:t>
      </w:r>
      <w:r>
        <w:rPr>
          <w:rFonts w:hint="eastAsia" w:ascii="宋体" w:hAnsi="宋体" w:eastAsia="宋体" w:cs="宋体"/>
          <w:kern w:val="0"/>
          <w:sz w:val="28"/>
          <w:szCs w:val="28"/>
          <w:highlight w:val="none"/>
          <w:shd w:val="clear" w:color="auto" w:fill="FFFFFF"/>
          <w:vertAlign w:val="superscript"/>
        </w:rPr>
        <w:t>1</w:t>
      </w:r>
      <w:r>
        <w:rPr>
          <w:rFonts w:hint="eastAsia" w:ascii="宋体" w:hAnsi="宋体" w:eastAsia="宋体" w:cs="宋体"/>
          <w:kern w:val="0"/>
          <w:sz w:val="28"/>
          <w:szCs w:val="28"/>
          <w:highlight w:val="none"/>
          <w:shd w:val="clear" w:color="auto" w:fill="FFFFFF"/>
        </w:rPr>
        <w:t>，生产厂为</w:t>
      </w:r>
      <w:r>
        <w:rPr>
          <w:rFonts w:hint="eastAsia" w:ascii="宋体" w:hAnsi="宋体" w:eastAsia="宋体" w:cs="宋体"/>
          <w:kern w:val="0"/>
          <w:sz w:val="28"/>
          <w:szCs w:val="28"/>
          <w:highlight w:val="none"/>
          <w:u w:val="single"/>
          <w:shd w:val="clear" w:color="auto" w:fill="FFFFFF"/>
        </w:rPr>
        <w:t>（厂名）</w:t>
      </w:r>
      <w:r>
        <w:rPr>
          <w:rFonts w:hint="eastAsia" w:ascii="宋体" w:hAnsi="宋体" w:eastAsia="宋体" w:cs="宋体"/>
          <w:kern w:val="0"/>
          <w:sz w:val="28"/>
          <w:szCs w:val="28"/>
          <w:highlight w:val="none"/>
          <w:shd w:val="clear" w:color="auto" w:fill="FFFFFF"/>
          <w:vertAlign w:val="superscript"/>
        </w:rPr>
        <w:t>2</w:t>
      </w:r>
      <w:r>
        <w:rPr>
          <w:rFonts w:hint="eastAsia" w:ascii="宋体" w:hAnsi="宋体" w:eastAsia="宋体" w:cs="宋体"/>
          <w:kern w:val="0"/>
          <w:sz w:val="28"/>
          <w:szCs w:val="28"/>
          <w:highlight w:val="none"/>
          <w:shd w:val="clear" w:color="auto" w:fill="FFFFFF"/>
        </w:rPr>
        <w:t>，厂址为</w:t>
      </w:r>
      <w:r>
        <w:rPr>
          <w:rFonts w:hint="eastAsia" w:ascii="宋体" w:hAnsi="宋体" w:eastAsia="宋体" w:cs="宋体"/>
          <w:kern w:val="0"/>
          <w:sz w:val="28"/>
          <w:szCs w:val="28"/>
          <w:highlight w:val="none"/>
          <w:u w:val="single"/>
          <w:shd w:val="clear" w:color="auto" w:fill="FFFFFF"/>
        </w:rPr>
        <w:t>（生产厂址）</w:t>
      </w:r>
      <w:r>
        <w:rPr>
          <w:rFonts w:hint="eastAsia" w:ascii="宋体" w:hAnsi="宋体" w:eastAsia="宋体" w:cs="宋体"/>
          <w:kern w:val="0"/>
          <w:sz w:val="28"/>
          <w:szCs w:val="28"/>
          <w:highlight w:val="none"/>
          <w:shd w:val="clear" w:color="auto" w:fill="FFFFFF"/>
        </w:rPr>
        <w:t>。</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的中国境内生产的组件成本占比≥</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vertAlign w:val="superscript"/>
        </w:rPr>
        <w:t>3</w:t>
      </w:r>
      <w:r>
        <w:rPr>
          <w:rFonts w:hint="eastAsia" w:ascii="宋体" w:hAnsi="宋体" w:eastAsia="宋体" w:cs="宋体"/>
          <w:kern w:val="0"/>
          <w:sz w:val="28"/>
          <w:szCs w:val="28"/>
          <w:highlight w:val="none"/>
          <w:shd w:val="clear" w:color="auto" w:fill="FFFFFF"/>
        </w:rPr>
        <w:t>。</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的</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vertAlign w:val="superscript"/>
        </w:rPr>
        <w:t>4</w:t>
      </w:r>
      <w:r>
        <w:rPr>
          <w:rFonts w:hint="eastAsia" w:ascii="宋体" w:hAnsi="宋体" w:eastAsia="宋体" w:cs="宋体"/>
          <w:kern w:val="0"/>
          <w:sz w:val="28"/>
          <w:szCs w:val="28"/>
          <w:highlight w:val="none"/>
          <w:shd w:val="clear" w:color="auto" w:fill="FFFFFF"/>
        </w:rPr>
        <w:t>在中国境内生产。</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的</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vertAlign w:val="superscript"/>
        </w:rPr>
        <w:t>5</w:t>
      </w:r>
      <w:r>
        <w:rPr>
          <w:rFonts w:hint="eastAsia" w:ascii="宋体" w:hAnsi="宋体" w:eastAsia="宋体" w:cs="宋体"/>
          <w:kern w:val="0"/>
          <w:sz w:val="28"/>
          <w:szCs w:val="28"/>
          <w:highlight w:val="none"/>
          <w:shd w:val="clear" w:color="auto" w:fill="FFFFFF"/>
        </w:rPr>
        <w:t>在中国境内完成。</w:t>
      </w:r>
    </w:p>
    <w:p w14:paraId="5782D2A1">
      <w:pPr>
        <w:widowControl/>
        <w:shd w:val="clear" w:color="auto" w:fill="FFFFFF"/>
        <w:spacing w:line="440" w:lineRule="exact"/>
        <w:ind w:firstLine="420"/>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2.</w:t>
      </w:r>
      <w:r>
        <w:rPr>
          <w:rFonts w:hint="eastAsia" w:ascii="宋体" w:hAnsi="宋体" w:eastAsia="宋体" w:cs="宋体"/>
          <w:kern w:val="0"/>
          <w:sz w:val="28"/>
          <w:szCs w:val="28"/>
          <w:highlight w:val="none"/>
          <w:u w:val="single"/>
          <w:shd w:val="clear" w:color="auto" w:fill="FFFFFF"/>
        </w:rPr>
        <w:t>（产品名称2）</w:t>
      </w:r>
      <w:r>
        <w:rPr>
          <w:rFonts w:hint="eastAsia" w:ascii="宋体" w:hAnsi="宋体" w:eastAsia="宋体" w:cs="宋体"/>
          <w:kern w:val="0"/>
          <w:sz w:val="28"/>
          <w:szCs w:val="28"/>
          <w:highlight w:val="none"/>
          <w:shd w:val="clear" w:color="auto" w:fill="FFFFFF"/>
        </w:rPr>
        <w:t>，生产厂为</w:t>
      </w:r>
      <w:r>
        <w:rPr>
          <w:rFonts w:hint="eastAsia" w:ascii="宋体" w:hAnsi="宋体" w:eastAsia="宋体" w:cs="宋体"/>
          <w:kern w:val="0"/>
          <w:sz w:val="28"/>
          <w:szCs w:val="28"/>
          <w:highlight w:val="none"/>
          <w:u w:val="single"/>
          <w:shd w:val="clear" w:color="auto" w:fill="FFFFFF"/>
        </w:rPr>
        <w:t>（厂名）</w:t>
      </w:r>
      <w:r>
        <w:rPr>
          <w:rFonts w:hint="eastAsia" w:ascii="宋体" w:hAnsi="宋体" w:eastAsia="宋体" w:cs="宋体"/>
          <w:kern w:val="0"/>
          <w:sz w:val="28"/>
          <w:szCs w:val="28"/>
          <w:highlight w:val="none"/>
          <w:shd w:val="clear" w:color="auto" w:fill="FFFFFF"/>
        </w:rPr>
        <w:t>，厂址为</w:t>
      </w:r>
      <w:r>
        <w:rPr>
          <w:rFonts w:hint="eastAsia" w:ascii="宋体" w:hAnsi="宋体" w:eastAsia="宋体" w:cs="宋体"/>
          <w:kern w:val="0"/>
          <w:sz w:val="28"/>
          <w:szCs w:val="28"/>
          <w:highlight w:val="none"/>
          <w:u w:val="single"/>
          <w:shd w:val="clear" w:color="auto" w:fill="FFFFFF"/>
        </w:rPr>
        <w:t>（生产厂址）</w:t>
      </w:r>
      <w:r>
        <w:rPr>
          <w:rFonts w:hint="eastAsia" w:ascii="宋体" w:hAnsi="宋体" w:eastAsia="宋体" w:cs="宋体"/>
          <w:kern w:val="0"/>
          <w:sz w:val="28"/>
          <w:szCs w:val="28"/>
          <w:highlight w:val="none"/>
          <w:shd w:val="clear" w:color="auto" w:fill="FFFFFF"/>
        </w:rPr>
        <w:t>。</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的中国境内生产的组件成本占比≥</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的</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在中国境内生产。</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的</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在中国境内完成。</w:t>
      </w:r>
    </w:p>
    <w:p w14:paraId="50D760A6">
      <w:pPr>
        <w:widowControl/>
        <w:shd w:val="clear" w:color="auto" w:fill="FFFFFF"/>
        <w:spacing w:line="440" w:lineRule="exact"/>
        <w:ind w:firstLine="420"/>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w:t>
      </w:r>
    </w:p>
    <w:p w14:paraId="71A3AB4D">
      <w:pPr>
        <w:widowControl/>
        <w:shd w:val="clear" w:color="auto" w:fill="FFFFFF"/>
        <w:spacing w:line="440" w:lineRule="exact"/>
        <w:ind w:firstLine="420"/>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本公司（单位）对上述声明内容的真实性负责。如有虚假，愿承担相应法律责任。</w:t>
      </w:r>
    </w:p>
    <w:p w14:paraId="2EEF9180">
      <w:pPr>
        <w:widowControl/>
        <w:shd w:val="clear" w:color="auto" w:fill="FFFFFF"/>
        <w:spacing w:line="440" w:lineRule="exact"/>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 </w:t>
      </w:r>
    </w:p>
    <w:p w14:paraId="37AD9DF6">
      <w:pPr>
        <w:widowControl/>
        <w:shd w:val="clear" w:color="auto" w:fill="FFFFFF"/>
        <w:spacing w:line="440" w:lineRule="exact"/>
        <w:ind w:firstLine="560"/>
        <w:jc w:val="center"/>
        <w:rPr>
          <w:rFonts w:hint="eastAsia" w:ascii="宋体" w:hAnsi="宋体" w:eastAsia="宋体" w:cs="宋体"/>
          <w:kern w:val="0"/>
          <w:sz w:val="28"/>
          <w:szCs w:val="28"/>
          <w:highlight w:val="none"/>
          <w:shd w:val="clear" w:color="auto" w:fill="FFFFFF"/>
        </w:rPr>
      </w:pPr>
      <w:r>
        <w:rPr>
          <w:rFonts w:hint="eastAsia" w:ascii="宋体" w:hAnsi="宋体" w:eastAsia="宋体" w:cs="宋体"/>
          <w:kern w:val="0"/>
          <w:sz w:val="28"/>
          <w:szCs w:val="28"/>
          <w:highlight w:val="none"/>
          <w:shd w:val="clear" w:color="auto" w:fill="FFFFFF"/>
        </w:rPr>
        <w:t xml:space="preserve">公司（单位）名称（加盖CA电子公章）：         </w:t>
      </w:r>
    </w:p>
    <w:p w14:paraId="1A91C4A1">
      <w:pPr>
        <w:widowControl/>
        <w:shd w:val="clear" w:color="auto" w:fill="FFFFFF"/>
        <w:spacing w:line="440" w:lineRule="exact"/>
        <w:ind w:firstLine="1862" w:firstLineChars="665"/>
        <w:rPr>
          <w:rFonts w:hint="eastAsia" w:ascii="宋体" w:hAnsi="宋体" w:eastAsia="宋体" w:cs="宋体"/>
          <w:kern w:val="0"/>
          <w:sz w:val="32"/>
          <w:szCs w:val="32"/>
          <w:highlight w:val="none"/>
        </w:rPr>
      </w:pPr>
      <w:r>
        <w:rPr>
          <w:rFonts w:hint="eastAsia" w:ascii="宋体" w:hAnsi="宋体" w:eastAsia="宋体" w:cs="宋体"/>
          <w:sz w:val="28"/>
          <w:szCs w:val="28"/>
          <w:highlight w:val="none"/>
        </w:rPr>
        <w:t>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65311B4B">
      <w:pPr>
        <w:widowControl/>
        <w:shd w:val="clear" w:color="auto" w:fill="FFFFFF"/>
        <w:spacing w:line="440" w:lineRule="exact"/>
        <w:jc w:val="center"/>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 xml:space="preserve">         </w:t>
      </w:r>
    </w:p>
    <w:p w14:paraId="27F0FF0A">
      <w:pPr>
        <w:widowControl/>
        <w:shd w:val="clear" w:color="auto" w:fill="FFFFFF"/>
        <w:spacing w:line="440" w:lineRule="exact"/>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 </w:t>
      </w:r>
    </w:p>
    <w:p w14:paraId="6374E099">
      <w:pPr>
        <w:widowControl/>
        <w:shd w:val="clear" w:color="auto" w:fill="FFFFFF"/>
        <w:spacing w:line="440" w:lineRule="exact"/>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_________________</w:t>
      </w:r>
    </w:p>
    <w:p w14:paraId="15D92FBE">
      <w:pPr>
        <w:widowControl/>
        <w:shd w:val="clear" w:color="auto" w:fill="FFFFFF"/>
        <w:spacing w:line="440" w:lineRule="exact"/>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1.产品如有型号，请在“产品名称”栏一并填写。</w:t>
      </w:r>
    </w:p>
    <w:p w14:paraId="48093D8D">
      <w:pPr>
        <w:widowControl/>
        <w:shd w:val="clear" w:color="auto" w:fill="FFFFFF"/>
        <w:spacing w:line="440" w:lineRule="exact"/>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2.生产厂名与厂址应与生产厂营业执照载明的相关信息保持一致。</w:t>
      </w:r>
    </w:p>
    <w:p w14:paraId="258B2689">
      <w:pPr>
        <w:widowControl/>
        <w:shd w:val="clear" w:color="auto" w:fill="FFFFFF"/>
        <w:spacing w:line="440" w:lineRule="exact"/>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3.该产品的中国境内生产的组件成本占比相关要求实施前，“规定比例”栏可不填，下同。</w:t>
      </w:r>
    </w:p>
    <w:p w14:paraId="66522737">
      <w:pPr>
        <w:widowControl/>
        <w:shd w:val="clear" w:color="auto" w:fill="FFFFFF"/>
        <w:spacing w:line="440" w:lineRule="exact"/>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4.该产品的关键组件要求实施前，“关键组件”栏可不填，下同。</w:t>
      </w:r>
    </w:p>
    <w:p w14:paraId="78B753D3">
      <w:pPr>
        <w:widowControl/>
        <w:shd w:val="clear" w:color="auto" w:fill="FFFFFF"/>
        <w:spacing w:line="440" w:lineRule="exact"/>
        <w:jc w:val="left"/>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shd w:val="clear" w:color="auto" w:fill="FFFFFF"/>
        </w:rPr>
        <w:t>5.该产品的关键工序要求实施前，“关键工序”栏可不填，下同。</w:t>
      </w:r>
    </w:p>
    <w:p w14:paraId="2C17C69B">
      <w:pPr>
        <w:snapToGrid w:val="0"/>
        <w:spacing w:line="300" w:lineRule="auto"/>
        <w:outlineLvl w:val="0"/>
        <w:rPr>
          <w:rFonts w:hint="eastAsia" w:ascii="宋体" w:hAnsi="宋体" w:eastAsia="宋体" w:cs="宋体"/>
          <w:sz w:val="28"/>
          <w:szCs w:val="28"/>
          <w:highlight w:val="none"/>
        </w:rPr>
      </w:pPr>
      <w:r>
        <w:rPr>
          <w:rFonts w:hint="eastAsia" w:ascii="宋体" w:hAnsi="宋体" w:eastAsia="宋体" w:cs="宋体"/>
          <w:kern w:val="0"/>
          <w:sz w:val="28"/>
          <w:szCs w:val="28"/>
          <w:highlight w:val="none"/>
          <w:shd w:val="clear" w:color="auto" w:fill="FFFFFF"/>
        </w:rPr>
        <w:t>6.《声明函》中标注“</w:t>
      </w:r>
      <w:r>
        <w:rPr>
          <w:rFonts w:hint="eastAsia" w:ascii="宋体" w:hAnsi="宋体" w:eastAsia="宋体" w:cs="宋体"/>
          <w:kern w:val="0"/>
          <w:sz w:val="28"/>
          <w:szCs w:val="28"/>
          <w:highlight w:val="none"/>
          <w:u w:val="single"/>
          <w:shd w:val="clear" w:color="auto" w:fill="FFFFFF"/>
        </w:rPr>
        <w:t xml:space="preserve">  /  </w:t>
      </w:r>
      <w:r>
        <w:rPr>
          <w:rFonts w:hint="eastAsia" w:ascii="宋体" w:hAnsi="宋体" w:eastAsia="宋体" w:cs="宋体"/>
          <w:kern w:val="0"/>
          <w:sz w:val="28"/>
          <w:szCs w:val="28"/>
          <w:highlight w:val="none"/>
          <w:shd w:val="clear" w:color="auto" w:fill="FFFFFF"/>
        </w:rPr>
        <w:t>”的地方无需填写。</w:t>
      </w:r>
    </w:p>
    <w:p w14:paraId="67BB2284">
      <w:pPr>
        <w:jc w:val="center"/>
        <w:rPr>
          <w:rFonts w:hint="eastAsia" w:ascii="宋体" w:hAnsi="宋体" w:eastAsia="宋体" w:cs="宋体"/>
          <w:bCs/>
          <w:sz w:val="36"/>
          <w:szCs w:val="36"/>
          <w:highlight w:val="none"/>
        </w:rPr>
      </w:pPr>
    </w:p>
    <w:p w14:paraId="382656C0">
      <w:pPr>
        <w:jc w:val="center"/>
        <w:rPr>
          <w:rFonts w:hint="eastAsia" w:ascii="宋体" w:hAnsi="宋体" w:cs="宋体"/>
          <w:bCs/>
          <w:sz w:val="36"/>
          <w:szCs w:val="36"/>
          <w:highlight w:val="none"/>
        </w:rPr>
      </w:pPr>
    </w:p>
    <w:p w14:paraId="68B7C6A4">
      <w:pPr>
        <w:jc w:val="center"/>
        <w:rPr>
          <w:rFonts w:hint="eastAsia" w:ascii="宋体" w:hAnsi="宋体" w:cs="宋体"/>
          <w:bCs/>
          <w:sz w:val="36"/>
          <w:szCs w:val="36"/>
          <w:highlight w:val="none"/>
        </w:rPr>
      </w:pPr>
    </w:p>
    <w:p w14:paraId="641B1CDB">
      <w:pPr>
        <w:jc w:val="both"/>
        <w:rPr>
          <w:rFonts w:hint="default" w:ascii="宋体" w:hAnsi="宋体" w:eastAsia="宋体" w:cs="宋体"/>
          <w:bCs/>
          <w:sz w:val="36"/>
          <w:szCs w:val="36"/>
          <w:highlight w:val="none"/>
          <w:lang w:val="en-US" w:eastAsia="zh-CN"/>
        </w:rPr>
      </w:pPr>
      <w:r>
        <w:rPr>
          <w:rFonts w:hint="eastAsia" w:ascii="宋体" w:hAnsi="宋体" w:cs="宋体"/>
          <w:bCs/>
          <w:sz w:val="36"/>
          <w:szCs w:val="36"/>
          <w:highlight w:val="none"/>
          <w:lang w:val="en-US" w:eastAsia="zh-CN"/>
        </w:rPr>
        <w:t>附件13</w:t>
      </w:r>
    </w:p>
    <w:p w14:paraId="1B157E21">
      <w:pPr>
        <w:jc w:val="center"/>
        <w:rPr>
          <w:rFonts w:ascii="宋体" w:hAnsi="宋体" w:cs="宋体"/>
          <w:bCs/>
          <w:sz w:val="36"/>
          <w:szCs w:val="36"/>
          <w:highlight w:val="none"/>
        </w:rPr>
      </w:pPr>
      <w:r>
        <w:rPr>
          <w:rFonts w:hint="eastAsia" w:ascii="宋体" w:hAnsi="宋体" w:cs="宋体"/>
          <w:bCs/>
          <w:sz w:val="36"/>
          <w:szCs w:val="36"/>
          <w:highlight w:val="none"/>
        </w:rPr>
        <w:t>质疑函范本</w:t>
      </w:r>
    </w:p>
    <w:p w14:paraId="22947C1A">
      <w:pPr>
        <w:adjustRightInd w:val="0"/>
        <w:snapToGrid w:val="0"/>
        <w:spacing w:before="312" w:beforeLines="100" w:line="312" w:lineRule="auto"/>
        <w:rPr>
          <w:rFonts w:ascii="宋体" w:hAnsi="宋体" w:cs="宋体"/>
          <w:bCs/>
          <w:sz w:val="28"/>
          <w:szCs w:val="28"/>
          <w:highlight w:val="none"/>
        </w:rPr>
      </w:pPr>
      <w:r>
        <w:rPr>
          <w:rFonts w:hint="eastAsia" w:ascii="宋体" w:hAnsi="宋体" w:cs="宋体"/>
          <w:bCs/>
          <w:sz w:val="28"/>
          <w:szCs w:val="28"/>
          <w:highlight w:val="none"/>
        </w:rPr>
        <w:t>一、质疑供应商基本信息</w:t>
      </w:r>
    </w:p>
    <w:p w14:paraId="3569A93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质疑供应商：</w:t>
      </w:r>
    </w:p>
    <w:p w14:paraId="318C9C09">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p>
    <w:p w14:paraId="7A4AD9EF">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联系人：联系电话：</w:t>
      </w:r>
    </w:p>
    <w:p w14:paraId="2497AFC5">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授权代表：</w:t>
      </w:r>
    </w:p>
    <w:p w14:paraId="6A3EDB7A">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联系电话：</w:t>
      </w:r>
    </w:p>
    <w:p w14:paraId="0876B9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p>
    <w:p w14:paraId="4DA515FD">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二、质疑项目基本情况</w:t>
      </w:r>
    </w:p>
    <w:p w14:paraId="51495996">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质疑项目的名称：</w:t>
      </w:r>
    </w:p>
    <w:p w14:paraId="05FE9EB2">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质疑项目的编号：包号：</w:t>
      </w:r>
    </w:p>
    <w:p w14:paraId="141AC5E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采购人名称：</w:t>
      </w:r>
    </w:p>
    <w:p w14:paraId="62278523">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采购文件获取日期：</w:t>
      </w:r>
    </w:p>
    <w:p w14:paraId="212B7578">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三、质疑事项具体内容</w:t>
      </w:r>
    </w:p>
    <w:p w14:paraId="1B4649B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质疑事项1：</w:t>
      </w:r>
    </w:p>
    <w:p w14:paraId="728607F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事实依据：</w:t>
      </w:r>
    </w:p>
    <w:p w14:paraId="1AED0B9E">
      <w:pPr>
        <w:adjustRightInd w:val="0"/>
        <w:snapToGrid w:val="0"/>
        <w:spacing w:line="312" w:lineRule="auto"/>
        <w:rPr>
          <w:rFonts w:ascii="宋体" w:hAnsi="宋体" w:cs="宋体"/>
          <w:sz w:val="28"/>
          <w:szCs w:val="28"/>
          <w:highlight w:val="none"/>
        </w:rPr>
      </w:pPr>
    </w:p>
    <w:p w14:paraId="12E36160">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法律依据：</w:t>
      </w:r>
    </w:p>
    <w:p w14:paraId="381B6376">
      <w:pPr>
        <w:adjustRightInd w:val="0"/>
        <w:snapToGrid w:val="0"/>
        <w:spacing w:line="312" w:lineRule="auto"/>
        <w:rPr>
          <w:rFonts w:ascii="宋体" w:hAnsi="宋体" w:cs="宋体"/>
          <w:sz w:val="28"/>
          <w:szCs w:val="28"/>
          <w:highlight w:val="none"/>
          <w:u w:val="dotted"/>
        </w:rPr>
      </w:pPr>
    </w:p>
    <w:p w14:paraId="0DC3799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质疑事项2</w:t>
      </w:r>
    </w:p>
    <w:p w14:paraId="1F1B5F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w:t>
      </w:r>
    </w:p>
    <w:p w14:paraId="781987F3">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四、与质疑事项相关的质疑请求</w:t>
      </w:r>
    </w:p>
    <w:p w14:paraId="0681718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请求：</w:t>
      </w:r>
    </w:p>
    <w:p w14:paraId="2EEC685C">
      <w:pPr>
        <w:spacing w:line="312" w:lineRule="auto"/>
        <w:rPr>
          <w:rFonts w:ascii="宋体" w:hAnsi="宋体" w:cs="宋体"/>
          <w:sz w:val="28"/>
          <w:szCs w:val="28"/>
          <w:highlight w:val="none"/>
        </w:rPr>
      </w:pPr>
      <w:r>
        <w:rPr>
          <w:rFonts w:hint="eastAsia" w:ascii="宋体" w:hAnsi="宋体" w:cs="宋体"/>
          <w:sz w:val="28"/>
          <w:szCs w:val="28"/>
          <w:highlight w:val="none"/>
        </w:rPr>
        <w:t xml:space="preserve">签字(签章)：                   公章：                      </w:t>
      </w:r>
    </w:p>
    <w:p w14:paraId="3E6C6CFC">
      <w:pPr>
        <w:spacing w:line="312" w:lineRule="auto"/>
        <w:rPr>
          <w:rFonts w:ascii="宋体" w:hAnsi="宋体" w:cs="宋体"/>
          <w:sz w:val="28"/>
          <w:szCs w:val="28"/>
          <w:highlight w:val="none"/>
        </w:rPr>
      </w:pPr>
      <w:r>
        <w:rPr>
          <w:rFonts w:hint="eastAsia" w:ascii="宋体" w:hAnsi="宋体" w:cs="宋体"/>
          <w:sz w:val="28"/>
          <w:szCs w:val="28"/>
          <w:highlight w:val="none"/>
        </w:rPr>
        <w:t>日期：</w:t>
      </w:r>
    </w:p>
    <w:p w14:paraId="609DD809">
      <w:pPr>
        <w:adjustRightInd w:val="0"/>
        <w:snapToGrid w:val="0"/>
        <w:spacing w:line="288" w:lineRule="auto"/>
        <w:rPr>
          <w:rFonts w:ascii="宋体" w:hAnsi="宋体" w:cs="宋体"/>
          <w:sz w:val="28"/>
          <w:szCs w:val="28"/>
          <w:highlight w:val="none"/>
        </w:rPr>
      </w:pPr>
    </w:p>
    <w:p w14:paraId="2275BEF7">
      <w:pPr>
        <w:rPr>
          <w:rFonts w:ascii="宋体" w:hAnsi="宋体" w:cs="宋体"/>
          <w:b/>
          <w:sz w:val="28"/>
          <w:szCs w:val="28"/>
          <w:highlight w:val="none"/>
        </w:rPr>
      </w:pPr>
      <w:r>
        <w:rPr>
          <w:rFonts w:hint="eastAsia" w:ascii="宋体" w:hAnsi="宋体" w:cs="宋体"/>
          <w:b/>
          <w:sz w:val="28"/>
          <w:szCs w:val="28"/>
          <w:highlight w:val="none"/>
        </w:rPr>
        <w:t>质疑函制作说明：</w:t>
      </w:r>
    </w:p>
    <w:p w14:paraId="1A2BE09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1.供应商提出质疑时，应提交质疑函和必要的证明材料。</w:t>
      </w:r>
    </w:p>
    <w:p w14:paraId="20532EE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2.质疑供应商若委托代理人进行质疑的，质疑函应按要求列明“授权代表”的有关内容，并在附件中提交由质疑</w:t>
      </w:r>
      <w:r>
        <w:rPr>
          <w:rFonts w:hint="eastAsia" w:ascii="宋体" w:hAnsi="宋体" w:cs="宋体"/>
          <w:kern w:val="0"/>
          <w:sz w:val="28"/>
          <w:szCs w:val="28"/>
          <w:highlight w:val="none"/>
        </w:rPr>
        <w:t>供应商签署的授权委托书。授权委托书应载明代理人的姓名或者名称、代理事项、具体权限、期限和相关事项。</w:t>
      </w:r>
    </w:p>
    <w:p w14:paraId="323A78E2">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3.质疑供应商若对项目的某一分包进行质疑，质疑函中应列明具体分包号。</w:t>
      </w:r>
    </w:p>
    <w:p w14:paraId="083C3558">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4.质疑函的质疑事项应具体、明确，并有必要的事实依据和法律依据。</w:t>
      </w:r>
    </w:p>
    <w:p w14:paraId="08D7302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5.质疑函的质疑请求应与质疑事项相关。</w:t>
      </w:r>
    </w:p>
    <w:p w14:paraId="425E66E9">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6.质疑供应商为自然人的，质疑函应由本人签字；质疑供应商为法人或者其他组织的，质疑函应由法定代表人、主要负责人，或者其授权代表签字或者盖章，并加盖公章。</w:t>
      </w:r>
    </w:p>
    <w:p w14:paraId="3684F4E2">
      <w:pPr>
        <w:spacing w:line="312" w:lineRule="auto"/>
        <w:rPr>
          <w:rFonts w:ascii="宋体" w:hAnsi="宋体" w:cs="宋体"/>
          <w:sz w:val="28"/>
          <w:szCs w:val="28"/>
          <w:highlight w:val="none"/>
        </w:rPr>
      </w:pPr>
    </w:p>
    <w:sectPr>
      <w:footerReference r:id="rId3" w:type="default"/>
      <w:pgSz w:w="11915" w:h="16840"/>
      <w:pgMar w:top="1134" w:right="1134" w:bottom="1134" w:left="1134" w:header="851" w:footer="850" w:gutter="0"/>
      <w:pgNumType w:start="133"/>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Microsoft YaHei UI">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monospace">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KSOFEC83043A">
    <w:panose1 w:val="020B0503020204020204"/>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5C3F0">
    <w:pPr>
      <w:pStyle w:val="10"/>
      <w:rPr>
        <w:rFonts w:ascii="Times New Roman" w:hAnsi="Times New Roman"/>
        <w:sz w:val="28"/>
        <w:szCs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51E686"/>
    <w:multiLevelType w:val="singleLevel"/>
    <w:tmpl w:val="C051E686"/>
    <w:lvl w:ilvl="0" w:tentative="0">
      <w:start w:val="3"/>
      <w:numFmt w:val="decimal"/>
      <w:lvlText w:val="%1."/>
      <w:lvlJc w:val="left"/>
      <w:pPr>
        <w:tabs>
          <w:tab w:val="left" w:pos="312"/>
        </w:tabs>
      </w:pPr>
    </w:lvl>
  </w:abstractNum>
  <w:abstractNum w:abstractNumId="1">
    <w:nsid w:val="1E4B1674"/>
    <w:multiLevelType w:val="singleLevel"/>
    <w:tmpl w:val="1E4B1674"/>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0MjRlY2Y3YTA0OTkxMWE5OTIwZjJkZmIzY2Y2YTQifQ=="/>
  </w:docVars>
  <w:rsids>
    <w:rsidRoot w:val="72DA44FF"/>
    <w:rsid w:val="000031BB"/>
    <w:rsid w:val="000120F6"/>
    <w:rsid w:val="00013AEC"/>
    <w:rsid w:val="00023F33"/>
    <w:rsid w:val="00030D94"/>
    <w:rsid w:val="00053DF5"/>
    <w:rsid w:val="0005603F"/>
    <w:rsid w:val="00093FAB"/>
    <w:rsid w:val="000971F5"/>
    <w:rsid w:val="000A7995"/>
    <w:rsid w:val="000B0D5B"/>
    <w:rsid w:val="000B37FA"/>
    <w:rsid w:val="000C1502"/>
    <w:rsid w:val="000C59DE"/>
    <w:rsid w:val="000D23CC"/>
    <w:rsid w:val="000E39D2"/>
    <w:rsid w:val="000F24EA"/>
    <w:rsid w:val="000F5F73"/>
    <w:rsid w:val="00102AD3"/>
    <w:rsid w:val="00103299"/>
    <w:rsid w:val="00104A30"/>
    <w:rsid w:val="00104F7B"/>
    <w:rsid w:val="00106C4E"/>
    <w:rsid w:val="001125F2"/>
    <w:rsid w:val="00116193"/>
    <w:rsid w:val="00123BCF"/>
    <w:rsid w:val="0014136A"/>
    <w:rsid w:val="00151A61"/>
    <w:rsid w:val="00177C0D"/>
    <w:rsid w:val="001A44DD"/>
    <w:rsid w:val="001D04C8"/>
    <w:rsid w:val="001D4F48"/>
    <w:rsid w:val="001E0D3F"/>
    <w:rsid w:val="001F141B"/>
    <w:rsid w:val="001F3BB0"/>
    <w:rsid w:val="001F68BD"/>
    <w:rsid w:val="00203E2B"/>
    <w:rsid w:val="00205D51"/>
    <w:rsid w:val="00207D4F"/>
    <w:rsid w:val="00210BA2"/>
    <w:rsid w:val="00217FBF"/>
    <w:rsid w:val="00236474"/>
    <w:rsid w:val="002378FE"/>
    <w:rsid w:val="00241ACF"/>
    <w:rsid w:val="00244DEB"/>
    <w:rsid w:val="002500D3"/>
    <w:rsid w:val="0025265F"/>
    <w:rsid w:val="00257691"/>
    <w:rsid w:val="00286C87"/>
    <w:rsid w:val="002B613D"/>
    <w:rsid w:val="002C0F03"/>
    <w:rsid w:val="002D5236"/>
    <w:rsid w:val="003037A3"/>
    <w:rsid w:val="00310D5F"/>
    <w:rsid w:val="003121C2"/>
    <w:rsid w:val="00315121"/>
    <w:rsid w:val="00322348"/>
    <w:rsid w:val="00323215"/>
    <w:rsid w:val="003364F4"/>
    <w:rsid w:val="00342187"/>
    <w:rsid w:val="00380875"/>
    <w:rsid w:val="003820DA"/>
    <w:rsid w:val="003953D6"/>
    <w:rsid w:val="003A4DF6"/>
    <w:rsid w:val="003B0EC9"/>
    <w:rsid w:val="003B0F20"/>
    <w:rsid w:val="003C03B5"/>
    <w:rsid w:val="003C130D"/>
    <w:rsid w:val="003C21FD"/>
    <w:rsid w:val="003C50A5"/>
    <w:rsid w:val="003C693E"/>
    <w:rsid w:val="003C76E6"/>
    <w:rsid w:val="003F4FD8"/>
    <w:rsid w:val="004004D4"/>
    <w:rsid w:val="00421872"/>
    <w:rsid w:val="004259F1"/>
    <w:rsid w:val="00433C8F"/>
    <w:rsid w:val="004366FE"/>
    <w:rsid w:val="004378CD"/>
    <w:rsid w:val="004444FD"/>
    <w:rsid w:val="0044663C"/>
    <w:rsid w:val="004541EF"/>
    <w:rsid w:val="004570AF"/>
    <w:rsid w:val="00460E4A"/>
    <w:rsid w:val="0046257E"/>
    <w:rsid w:val="0047403B"/>
    <w:rsid w:val="00487902"/>
    <w:rsid w:val="00491D67"/>
    <w:rsid w:val="00497694"/>
    <w:rsid w:val="004A0780"/>
    <w:rsid w:val="004A7ADC"/>
    <w:rsid w:val="004C4933"/>
    <w:rsid w:val="004E5643"/>
    <w:rsid w:val="004F6F7F"/>
    <w:rsid w:val="0050377F"/>
    <w:rsid w:val="00511D62"/>
    <w:rsid w:val="0052647E"/>
    <w:rsid w:val="00535E2F"/>
    <w:rsid w:val="00543DB1"/>
    <w:rsid w:val="00544FA2"/>
    <w:rsid w:val="0056132A"/>
    <w:rsid w:val="0056629C"/>
    <w:rsid w:val="00570FAB"/>
    <w:rsid w:val="00580847"/>
    <w:rsid w:val="005827AC"/>
    <w:rsid w:val="00585220"/>
    <w:rsid w:val="00590012"/>
    <w:rsid w:val="005962CC"/>
    <w:rsid w:val="005C5DCC"/>
    <w:rsid w:val="005D23AE"/>
    <w:rsid w:val="005D378A"/>
    <w:rsid w:val="005E605F"/>
    <w:rsid w:val="005F05EF"/>
    <w:rsid w:val="00602CBB"/>
    <w:rsid w:val="006050D1"/>
    <w:rsid w:val="006166DC"/>
    <w:rsid w:val="00624A21"/>
    <w:rsid w:val="00635D3A"/>
    <w:rsid w:val="0067318C"/>
    <w:rsid w:val="00683185"/>
    <w:rsid w:val="006910F6"/>
    <w:rsid w:val="0069144B"/>
    <w:rsid w:val="006937C8"/>
    <w:rsid w:val="006A3707"/>
    <w:rsid w:val="006A76F6"/>
    <w:rsid w:val="006B111D"/>
    <w:rsid w:val="006B386F"/>
    <w:rsid w:val="006B5AD4"/>
    <w:rsid w:val="006B7CD3"/>
    <w:rsid w:val="006C05FC"/>
    <w:rsid w:val="006C226D"/>
    <w:rsid w:val="006C7881"/>
    <w:rsid w:val="006F435E"/>
    <w:rsid w:val="006F61CB"/>
    <w:rsid w:val="006F72CE"/>
    <w:rsid w:val="0071021D"/>
    <w:rsid w:val="00711944"/>
    <w:rsid w:val="00715C56"/>
    <w:rsid w:val="00734BD1"/>
    <w:rsid w:val="007412AA"/>
    <w:rsid w:val="00747FCA"/>
    <w:rsid w:val="00750D27"/>
    <w:rsid w:val="00751867"/>
    <w:rsid w:val="007535C0"/>
    <w:rsid w:val="0076663F"/>
    <w:rsid w:val="00781367"/>
    <w:rsid w:val="00793C13"/>
    <w:rsid w:val="007C4F8B"/>
    <w:rsid w:val="007D2FB6"/>
    <w:rsid w:val="007E1FC8"/>
    <w:rsid w:val="007E4447"/>
    <w:rsid w:val="00803D68"/>
    <w:rsid w:val="008076E2"/>
    <w:rsid w:val="00810BD0"/>
    <w:rsid w:val="00814356"/>
    <w:rsid w:val="00835E9C"/>
    <w:rsid w:val="00852DE3"/>
    <w:rsid w:val="008802F0"/>
    <w:rsid w:val="00893CDE"/>
    <w:rsid w:val="008B5DEC"/>
    <w:rsid w:val="008D4AE6"/>
    <w:rsid w:val="008D5924"/>
    <w:rsid w:val="008D7681"/>
    <w:rsid w:val="008F4E65"/>
    <w:rsid w:val="0091137A"/>
    <w:rsid w:val="00923838"/>
    <w:rsid w:val="009312BD"/>
    <w:rsid w:val="009469C4"/>
    <w:rsid w:val="00975836"/>
    <w:rsid w:val="009860DC"/>
    <w:rsid w:val="009937E8"/>
    <w:rsid w:val="009A58D1"/>
    <w:rsid w:val="009B4457"/>
    <w:rsid w:val="009B79B1"/>
    <w:rsid w:val="009C0E7F"/>
    <w:rsid w:val="009C3F85"/>
    <w:rsid w:val="009C6F42"/>
    <w:rsid w:val="009D047A"/>
    <w:rsid w:val="009E04A4"/>
    <w:rsid w:val="009F049D"/>
    <w:rsid w:val="009F5E2A"/>
    <w:rsid w:val="00A0044C"/>
    <w:rsid w:val="00A01372"/>
    <w:rsid w:val="00A019A2"/>
    <w:rsid w:val="00A02BBB"/>
    <w:rsid w:val="00A23CEC"/>
    <w:rsid w:val="00A23D2F"/>
    <w:rsid w:val="00A273B3"/>
    <w:rsid w:val="00A27C99"/>
    <w:rsid w:val="00A409EF"/>
    <w:rsid w:val="00A4744A"/>
    <w:rsid w:val="00A6197F"/>
    <w:rsid w:val="00A66D3B"/>
    <w:rsid w:val="00A737C2"/>
    <w:rsid w:val="00A751DC"/>
    <w:rsid w:val="00A77BDF"/>
    <w:rsid w:val="00A818AF"/>
    <w:rsid w:val="00A82364"/>
    <w:rsid w:val="00AC0497"/>
    <w:rsid w:val="00AD3E11"/>
    <w:rsid w:val="00B01D53"/>
    <w:rsid w:val="00B16617"/>
    <w:rsid w:val="00B61542"/>
    <w:rsid w:val="00B654EA"/>
    <w:rsid w:val="00B82506"/>
    <w:rsid w:val="00B9181B"/>
    <w:rsid w:val="00B94CE5"/>
    <w:rsid w:val="00BA2423"/>
    <w:rsid w:val="00BA611D"/>
    <w:rsid w:val="00BD6400"/>
    <w:rsid w:val="00BE5D54"/>
    <w:rsid w:val="00BE6F5B"/>
    <w:rsid w:val="00C00A45"/>
    <w:rsid w:val="00C01D06"/>
    <w:rsid w:val="00C01E89"/>
    <w:rsid w:val="00C135B4"/>
    <w:rsid w:val="00C212F4"/>
    <w:rsid w:val="00C23DFA"/>
    <w:rsid w:val="00C26813"/>
    <w:rsid w:val="00C44F7E"/>
    <w:rsid w:val="00C46100"/>
    <w:rsid w:val="00C57D84"/>
    <w:rsid w:val="00C6607D"/>
    <w:rsid w:val="00C85DF0"/>
    <w:rsid w:val="00CB17F4"/>
    <w:rsid w:val="00CB3C17"/>
    <w:rsid w:val="00CE346F"/>
    <w:rsid w:val="00D07D82"/>
    <w:rsid w:val="00D112D6"/>
    <w:rsid w:val="00D114FD"/>
    <w:rsid w:val="00D24CF9"/>
    <w:rsid w:val="00D30BC0"/>
    <w:rsid w:val="00D35140"/>
    <w:rsid w:val="00D3580A"/>
    <w:rsid w:val="00D372DA"/>
    <w:rsid w:val="00D40E78"/>
    <w:rsid w:val="00D42457"/>
    <w:rsid w:val="00D817F3"/>
    <w:rsid w:val="00D8449B"/>
    <w:rsid w:val="00D94BE9"/>
    <w:rsid w:val="00D97CD4"/>
    <w:rsid w:val="00DA5BD9"/>
    <w:rsid w:val="00DA7FDD"/>
    <w:rsid w:val="00DB0445"/>
    <w:rsid w:val="00DB4CE7"/>
    <w:rsid w:val="00DD0017"/>
    <w:rsid w:val="00DD0B98"/>
    <w:rsid w:val="00DD3CB2"/>
    <w:rsid w:val="00DD6AE4"/>
    <w:rsid w:val="00DE7AB0"/>
    <w:rsid w:val="00DF7C9E"/>
    <w:rsid w:val="00E0598E"/>
    <w:rsid w:val="00E12985"/>
    <w:rsid w:val="00E26D0F"/>
    <w:rsid w:val="00E27C07"/>
    <w:rsid w:val="00E56192"/>
    <w:rsid w:val="00E57C52"/>
    <w:rsid w:val="00E612F6"/>
    <w:rsid w:val="00E66E9B"/>
    <w:rsid w:val="00E67873"/>
    <w:rsid w:val="00E90ABE"/>
    <w:rsid w:val="00EA05C0"/>
    <w:rsid w:val="00EA3731"/>
    <w:rsid w:val="00EA4BC5"/>
    <w:rsid w:val="00EA5A08"/>
    <w:rsid w:val="00EB4B03"/>
    <w:rsid w:val="00EC4009"/>
    <w:rsid w:val="00ED0FA8"/>
    <w:rsid w:val="00EF5DB7"/>
    <w:rsid w:val="00F21BDD"/>
    <w:rsid w:val="00F2291F"/>
    <w:rsid w:val="00F34615"/>
    <w:rsid w:val="00F459CA"/>
    <w:rsid w:val="00F54BE6"/>
    <w:rsid w:val="00F7090D"/>
    <w:rsid w:val="00FA0D33"/>
    <w:rsid w:val="00FA62B9"/>
    <w:rsid w:val="00FC35B2"/>
    <w:rsid w:val="00FF2CF6"/>
    <w:rsid w:val="00FF4D3F"/>
    <w:rsid w:val="00FF6AE3"/>
    <w:rsid w:val="011B466A"/>
    <w:rsid w:val="01DF2B34"/>
    <w:rsid w:val="01F17356"/>
    <w:rsid w:val="0221497E"/>
    <w:rsid w:val="02411B93"/>
    <w:rsid w:val="03A3046B"/>
    <w:rsid w:val="04231D23"/>
    <w:rsid w:val="04A52D2E"/>
    <w:rsid w:val="04A8035C"/>
    <w:rsid w:val="057B186A"/>
    <w:rsid w:val="06F207A1"/>
    <w:rsid w:val="075020E6"/>
    <w:rsid w:val="076E6040"/>
    <w:rsid w:val="085A3487"/>
    <w:rsid w:val="08D133FB"/>
    <w:rsid w:val="0A821835"/>
    <w:rsid w:val="0A862501"/>
    <w:rsid w:val="0B56577A"/>
    <w:rsid w:val="0B685928"/>
    <w:rsid w:val="0B700E0C"/>
    <w:rsid w:val="0CC32F3E"/>
    <w:rsid w:val="0D933D59"/>
    <w:rsid w:val="0E3B3D37"/>
    <w:rsid w:val="0E867A2B"/>
    <w:rsid w:val="0F150BDE"/>
    <w:rsid w:val="0FFC0273"/>
    <w:rsid w:val="100F6863"/>
    <w:rsid w:val="101F6CD7"/>
    <w:rsid w:val="107C30FC"/>
    <w:rsid w:val="10DE1449"/>
    <w:rsid w:val="127C39BF"/>
    <w:rsid w:val="12AC0D0A"/>
    <w:rsid w:val="130C59AE"/>
    <w:rsid w:val="13255FEB"/>
    <w:rsid w:val="139F6FB4"/>
    <w:rsid w:val="14593E59"/>
    <w:rsid w:val="15A8272D"/>
    <w:rsid w:val="16276709"/>
    <w:rsid w:val="164825DB"/>
    <w:rsid w:val="17B500E2"/>
    <w:rsid w:val="19113420"/>
    <w:rsid w:val="1A3B49D3"/>
    <w:rsid w:val="1B525A3A"/>
    <w:rsid w:val="1BD15BBA"/>
    <w:rsid w:val="1BF60EA2"/>
    <w:rsid w:val="1CF1012A"/>
    <w:rsid w:val="1D6512B9"/>
    <w:rsid w:val="1DFE3E65"/>
    <w:rsid w:val="1EA82360"/>
    <w:rsid w:val="1F2C7BA1"/>
    <w:rsid w:val="2004056C"/>
    <w:rsid w:val="20581A70"/>
    <w:rsid w:val="20694DE8"/>
    <w:rsid w:val="210D5718"/>
    <w:rsid w:val="21411C9A"/>
    <w:rsid w:val="22A81D4C"/>
    <w:rsid w:val="23A97579"/>
    <w:rsid w:val="256F266F"/>
    <w:rsid w:val="25A247EC"/>
    <w:rsid w:val="26061132"/>
    <w:rsid w:val="286001FB"/>
    <w:rsid w:val="28FD7399"/>
    <w:rsid w:val="29950680"/>
    <w:rsid w:val="2AE92B8B"/>
    <w:rsid w:val="2B185933"/>
    <w:rsid w:val="2C311191"/>
    <w:rsid w:val="2C416D72"/>
    <w:rsid w:val="2D494239"/>
    <w:rsid w:val="2D6501FC"/>
    <w:rsid w:val="2E6C46A3"/>
    <w:rsid w:val="2EA72180"/>
    <w:rsid w:val="2F5C288F"/>
    <w:rsid w:val="2F6A001E"/>
    <w:rsid w:val="3182062E"/>
    <w:rsid w:val="32145A07"/>
    <w:rsid w:val="32245170"/>
    <w:rsid w:val="32456E89"/>
    <w:rsid w:val="348451A1"/>
    <w:rsid w:val="349C3C37"/>
    <w:rsid w:val="356203CC"/>
    <w:rsid w:val="35C52022"/>
    <w:rsid w:val="35EF72F8"/>
    <w:rsid w:val="361E2B75"/>
    <w:rsid w:val="36DB6A6E"/>
    <w:rsid w:val="37896C52"/>
    <w:rsid w:val="38072EB2"/>
    <w:rsid w:val="3AA23689"/>
    <w:rsid w:val="3AAC27E9"/>
    <w:rsid w:val="3C0B4511"/>
    <w:rsid w:val="3C477110"/>
    <w:rsid w:val="3C7945AF"/>
    <w:rsid w:val="3CD3774B"/>
    <w:rsid w:val="3DB41ED8"/>
    <w:rsid w:val="3DBB5DC7"/>
    <w:rsid w:val="3E611D45"/>
    <w:rsid w:val="3FAB3A69"/>
    <w:rsid w:val="40A40D4F"/>
    <w:rsid w:val="40F36293"/>
    <w:rsid w:val="41232723"/>
    <w:rsid w:val="419B2E13"/>
    <w:rsid w:val="42201879"/>
    <w:rsid w:val="440B0B14"/>
    <w:rsid w:val="45284A5E"/>
    <w:rsid w:val="455709FC"/>
    <w:rsid w:val="456B6431"/>
    <w:rsid w:val="46350163"/>
    <w:rsid w:val="47874EA9"/>
    <w:rsid w:val="47B44676"/>
    <w:rsid w:val="47CA56A6"/>
    <w:rsid w:val="4803701A"/>
    <w:rsid w:val="49530312"/>
    <w:rsid w:val="49ED64C9"/>
    <w:rsid w:val="4A574104"/>
    <w:rsid w:val="4AF36E2F"/>
    <w:rsid w:val="4B48499E"/>
    <w:rsid w:val="4B876D4C"/>
    <w:rsid w:val="4BDB5372"/>
    <w:rsid w:val="4C7A32E7"/>
    <w:rsid w:val="4E023E15"/>
    <w:rsid w:val="4E3E2139"/>
    <w:rsid w:val="4ECA68D4"/>
    <w:rsid w:val="4F100820"/>
    <w:rsid w:val="507A635B"/>
    <w:rsid w:val="514207FD"/>
    <w:rsid w:val="51A73905"/>
    <w:rsid w:val="52C74869"/>
    <w:rsid w:val="53BC7CB1"/>
    <w:rsid w:val="53DB2795"/>
    <w:rsid w:val="54896BD1"/>
    <w:rsid w:val="54DB230D"/>
    <w:rsid w:val="55944C0E"/>
    <w:rsid w:val="56A82422"/>
    <w:rsid w:val="576D3087"/>
    <w:rsid w:val="593A06B5"/>
    <w:rsid w:val="5A762450"/>
    <w:rsid w:val="5AC35A6B"/>
    <w:rsid w:val="5BD111F4"/>
    <w:rsid w:val="5BE81388"/>
    <w:rsid w:val="5CC86EA4"/>
    <w:rsid w:val="5CE5193F"/>
    <w:rsid w:val="5E345BCE"/>
    <w:rsid w:val="5E3D507A"/>
    <w:rsid w:val="5E7E2C9B"/>
    <w:rsid w:val="5F243677"/>
    <w:rsid w:val="5F4A16A1"/>
    <w:rsid w:val="5F9C69B7"/>
    <w:rsid w:val="5FF5C80D"/>
    <w:rsid w:val="60681ADD"/>
    <w:rsid w:val="6130766C"/>
    <w:rsid w:val="61DC7186"/>
    <w:rsid w:val="621F0086"/>
    <w:rsid w:val="623844F4"/>
    <w:rsid w:val="62766E03"/>
    <w:rsid w:val="63531F8D"/>
    <w:rsid w:val="638C227F"/>
    <w:rsid w:val="639B7CD8"/>
    <w:rsid w:val="63F01943"/>
    <w:rsid w:val="64256973"/>
    <w:rsid w:val="647E0EAE"/>
    <w:rsid w:val="64901CDF"/>
    <w:rsid w:val="64E102CB"/>
    <w:rsid w:val="64E12312"/>
    <w:rsid w:val="65DB74FA"/>
    <w:rsid w:val="67E57E78"/>
    <w:rsid w:val="685655A6"/>
    <w:rsid w:val="69B35505"/>
    <w:rsid w:val="69B705EC"/>
    <w:rsid w:val="6AF059AE"/>
    <w:rsid w:val="6B442F1F"/>
    <w:rsid w:val="6B5A7319"/>
    <w:rsid w:val="6BB17085"/>
    <w:rsid w:val="6E39717B"/>
    <w:rsid w:val="6FCA2ACC"/>
    <w:rsid w:val="700F08C0"/>
    <w:rsid w:val="704F0ED7"/>
    <w:rsid w:val="705B714E"/>
    <w:rsid w:val="706F2E94"/>
    <w:rsid w:val="713E0F09"/>
    <w:rsid w:val="71933005"/>
    <w:rsid w:val="71D34078"/>
    <w:rsid w:val="72426F1E"/>
    <w:rsid w:val="72DA44FF"/>
    <w:rsid w:val="72EB15F3"/>
    <w:rsid w:val="73E01848"/>
    <w:rsid w:val="742762A4"/>
    <w:rsid w:val="74E22F5B"/>
    <w:rsid w:val="74E60521"/>
    <w:rsid w:val="75821800"/>
    <w:rsid w:val="767F77C2"/>
    <w:rsid w:val="77037899"/>
    <w:rsid w:val="77AB445A"/>
    <w:rsid w:val="7901354B"/>
    <w:rsid w:val="7A2F16EC"/>
    <w:rsid w:val="7BB52A0C"/>
    <w:rsid w:val="7CB5329E"/>
    <w:rsid w:val="7EE97F06"/>
    <w:rsid w:val="7FC41FE6"/>
    <w:rsid w:val="DFBA37E5"/>
    <w:rsid w:val="E1FFFB48"/>
    <w:rsid w:val="FE8FCD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7"/>
    <w:qFormat/>
    <w:uiPriority w:val="0"/>
    <w:pPr>
      <w:keepNext/>
      <w:keepLines/>
      <w:spacing w:before="340" w:after="330" w:line="576" w:lineRule="auto"/>
      <w:outlineLvl w:val="0"/>
    </w:pPr>
    <w:rPr>
      <w:rFonts w:ascii="Times New Roman" w:hAnsi="Times New Roman"/>
      <w:b/>
      <w:kern w:val="44"/>
      <w:sz w:val="44"/>
      <w:szCs w:val="20"/>
    </w:rPr>
  </w:style>
  <w:style w:type="paragraph" w:styleId="4">
    <w:name w:val="heading 3"/>
    <w:basedOn w:val="1"/>
    <w:next w:val="1"/>
    <w:qFormat/>
    <w:uiPriority w:val="0"/>
    <w:pPr>
      <w:keepNext/>
      <w:keepLines/>
      <w:autoSpaceDE w:val="0"/>
      <w:autoSpaceDN w:val="0"/>
      <w:adjustRightInd w:val="0"/>
      <w:spacing w:before="260" w:after="260" w:line="416" w:lineRule="atLeast"/>
      <w:jc w:val="left"/>
      <w:outlineLvl w:val="2"/>
    </w:pPr>
    <w:rPr>
      <w:rFonts w:hint="eastAsia" w:ascii="宋体" w:hAnsi="宋体"/>
      <w:b/>
      <w:sz w:val="32"/>
      <w:szCs w:val="20"/>
    </w:rPr>
  </w:style>
  <w:style w:type="paragraph" w:styleId="5">
    <w:name w:val="heading 4"/>
    <w:basedOn w:val="1"/>
    <w:next w:val="1"/>
    <w:qFormat/>
    <w:uiPriority w:val="0"/>
    <w:pPr>
      <w:keepNext/>
      <w:jc w:val="center"/>
      <w:outlineLvl w:val="3"/>
    </w:pPr>
    <w:rPr>
      <w:rFonts w:eastAsia="新宋体"/>
      <w:kern w:val="0"/>
      <w:sz w:val="30"/>
      <w:szCs w:val="21"/>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next w:val="1"/>
    <w:qFormat/>
    <w:uiPriority w:val="0"/>
    <w:pPr>
      <w:spacing w:after="120"/>
    </w:pPr>
    <w:rPr>
      <w:rFonts w:ascii="Times New Roman" w:hAnsi="Times New Roman"/>
      <w:szCs w:val="20"/>
    </w:rPr>
  </w:style>
  <w:style w:type="paragraph" w:styleId="6">
    <w:name w:val="Document Map"/>
    <w:basedOn w:val="1"/>
    <w:link w:val="38"/>
    <w:semiHidden/>
    <w:unhideWhenUsed/>
    <w:qFormat/>
    <w:uiPriority w:val="0"/>
    <w:rPr>
      <w:rFonts w:ascii="Microsoft YaHei UI" w:eastAsia="Microsoft YaHei UI"/>
      <w:sz w:val="18"/>
      <w:szCs w:val="18"/>
    </w:rPr>
  </w:style>
  <w:style w:type="paragraph" w:styleId="7">
    <w:name w:val="Body Text"/>
    <w:basedOn w:val="1"/>
    <w:next w:val="1"/>
    <w:qFormat/>
    <w:uiPriority w:val="0"/>
    <w:pPr>
      <w:spacing w:after="120"/>
    </w:pPr>
    <w:rPr>
      <w:rFonts w:ascii="Times New Roman" w:hAnsi="Times New Roman"/>
      <w:szCs w:val="20"/>
    </w:rPr>
  </w:style>
  <w:style w:type="paragraph" w:styleId="8">
    <w:name w:val="Body Text Indent"/>
    <w:basedOn w:val="1"/>
    <w:qFormat/>
    <w:uiPriority w:val="0"/>
    <w:pPr>
      <w:ind w:left="420" w:leftChars="200"/>
    </w:pPr>
  </w:style>
  <w:style w:type="paragraph" w:styleId="9">
    <w:name w:val="Plain Text"/>
    <w:basedOn w:val="1"/>
    <w:next w:val="1"/>
    <w:qFormat/>
    <w:uiPriority w:val="0"/>
    <w:rPr>
      <w:rFonts w:hint="eastAsia" w:ascii="宋体" w:hAnsi="Courier New"/>
      <w:szCs w:val="20"/>
    </w:rPr>
  </w:style>
  <w:style w:type="paragraph" w:styleId="10">
    <w:name w:val="footer"/>
    <w:basedOn w:val="1"/>
    <w:link w:val="35"/>
    <w:qFormat/>
    <w:uiPriority w:val="99"/>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Normal (Web)"/>
    <w:basedOn w:val="1"/>
    <w:qFormat/>
    <w:uiPriority w:val="0"/>
    <w:pPr>
      <w:widowControl/>
      <w:spacing w:before="100" w:beforeAutospacing="1" w:after="100" w:afterAutospacing="1"/>
      <w:jc w:val="left"/>
    </w:pPr>
    <w:rPr>
      <w:rFonts w:hint="eastAsia" w:ascii="Arial Unicode MS" w:hAnsi="Arial Unicode MS"/>
      <w:kern w:val="0"/>
      <w:sz w:val="24"/>
      <w:szCs w:val="20"/>
    </w:rPr>
  </w:style>
  <w:style w:type="paragraph" w:styleId="13">
    <w:name w:val="Body Text First Indent 2"/>
    <w:basedOn w:val="8"/>
    <w:qFormat/>
    <w:uiPriority w:val="0"/>
    <w:pPr>
      <w:spacing w:after="120"/>
      <w:ind w:firstLine="420" w:firstLineChars="200"/>
    </w:pPr>
    <w:rPr>
      <w:rFonts w:ascii="Times New Roman" w:hAnsi="Times New Roman"/>
      <w:szCs w:val="20"/>
    </w:rPr>
  </w:style>
  <w:style w:type="table" w:styleId="15">
    <w:name w:val="Table Grid"/>
    <w:basedOn w:val="1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7">
    <w:name w:val="FollowedHyperlink"/>
    <w:qFormat/>
    <w:uiPriority w:val="0"/>
    <w:rPr>
      <w:color w:val="800080"/>
      <w:u w:val="none"/>
    </w:rPr>
  </w:style>
  <w:style w:type="character" w:styleId="18">
    <w:name w:val="HTML Definition"/>
    <w:basedOn w:val="16"/>
    <w:qFormat/>
    <w:uiPriority w:val="0"/>
  </w:style>
  <w:style w:type="character" w:styleId="19">
    <w:name w:val="HTML Typewriter"/>
    <w:basedOn w:val="16"/>
    <w:qFormat/>
    <w:uiPriority w:val="0"/>
    <w:rPr>
      <w:rFonts w:hint="default" w:ascii="monospace" w:hAnsi="monospace" w:eastAsia="monospace" w:cs="monospace"/>
      <w:sz w:val="20"/>
    </w:rPr>
  </w:style>
  <w:style w:type="character" w:styleId="20">
    <w:name w:val="HTML Acronym"/>
    <w:basedOn w:val="16"/>
    <w:qFormat/>
    <w:uiPriority w:val="0"/>
  </w:style>
  <w:style w:type="character" w:styleId="21">
    <w:name w:val="HTML Variable"/>
    <w:basedOn w:val="16"/>
    <w:qFormat/>
    <w:uiPriority w:val="0"/>
  </w:style>
  <w:style w:type="character" w:styleId="22">
    <w:name w:val="Hyperlink"/>
    <w:basedOn w:val="16"/>
    <w:qFormat/>
    <w:uiPriority w:val="0"/>
    <w:rPr>
      <w:color w:val="0000FF"/>
      <w:u w:val="none"/>
    </w:rPr>
  </w:style>
  <w:style w:type="character" w:styleId="23">
    <w:name w:val="HTML Code"/>
    <w:basedOn w:val="16"/>
    <w:qFormat/>
    <w:uiPriority w:val="0"/>
    <w:rPr>
      <w:rFonts w:ascii="monospace" w:hAnsi="monospace" w:eastAsia="monospace" w:cs="monospace"/>
      <w:sz w:val="20"/>
    </w:rPr>
  </w:style>
  <w:style w:type="character" w:styleId="24">
    <w:name w:val="HTML Cite"/>
    <w:basedOn w:val="16"/>
    <w:qFormat/>
    <w:uiPriority w:val="0"/>
  </w:style>
  <w:style w:type="character" w:styleId="25">
    <w:name w:val="HTML Keyboard"/>
    <w:basedOn w:val="16"/>
    <w:qFormat/>
    <w:uiPriority w:val="0"/>
    <w:rPr>
      <w:rFonts w:hint="default" w:ascii="monospace" w:hAnsi="monospace" w:eastAsia="monospace" w:cs="monospace"/>
      <w:sz w:val="20"/>
    </w:rPr>
  </w:style>
  <w:style w:type="character" w:styleId="26">
    <w:name w:val="HTML Sample"/>
    <w:basedOn w:val="16"/>
    <w:qFormat/>
    <w:uiPriority w:val="0"/>
    <w:rPr>
      <w:rFonts w:hint="default" w:ascii="monospace" w:hAnsi="monospace" w:eastAsia="monospace" w:cs="monospace"/>
    </w:rPr>
  </w:style>
  <w:style w:type="paragraph" w:customStyle="1" w:styleId="27">
    <w:name w:val="二级目录"/>
    <w:basedOn w:val="1"/>
    <w:next w:val="1"/>
    <w:qFormat/>
    <w:uiPriority w:val="0"/>
    <w:pPr>
      <w:widowControl/>
      <w:tabs>
        <w:tab w:val="left" w:pos="720"/>
      </w:tabs>
      <w:ind w:left="720" w:hanging="720"/>
      <w:jc w:val="left"/>
      <w:outlineLvl w:val="1"/>
    </w:pPr>
    <w:rPr>
      <w:rFonts w:ascii="Times New Roman" w:hAnsi="Times New Roman"/>
      <w:b/>
      <w:sz w:val="30"/>
      <w:szCs w:val="28"/>
    </w:rPr>
  </w:style>
  <w:style w:type="paragraph" w:customStyle="1" w:styleId="28">
    <w:name w:val="首行缩进"/>
    <w:basedOn w:val="1"/>
    <w:qFormat/>
    <w:uiPriority w:val="0"/>
    <w:pPr>
      <w:spacing w:line="360" w:lineRule="auto"/>
      <w:ind w:firstLine="480" w:firstLineChars="200"/>
    </w:pPr>
    <w:rPr>
      <w:rFonts w:ascii="Times New Roman" w:hAnsi="Times New Roman"/>
      <w:szCs w:val="20"/>
    </w:rPr>
  </w:style>
  <w:style w:type="character" w:customStyle="1" w:styleId="29">
    <w:name w:val="first-child"/>
    <w:basedOn w:val="16"/>
    <w:qFormat/>
    <w:uiPriority w:val="0"/>
  </w:style>
  <w:style w:type="character" w:customStyle="1" w:styleId="30">
    <w:name w:val="hover2"/>
    <w:basedOn w:val="16"/>
    <w:qFormat/>
    <w:uiPriority w:val="0"/>
    <w:rPr>
      <w:color w:val="5FB878"/>
    </w:rPr>
  </w:style>
  <w:style w:type="character" w:customStyle="1" w:styleId="31">
    <w:name w:val="hover3"/>
    <w:basedOn w:val="16"/>
    <w:qFormat/>
    <w:uiPriority w:val="0"/>
    <w:rPr>
      <w:color w:val="5FB878"/>
    </w:rPr>
  </w:style>
  <w:style w:type="character" w:customStyle="1" w:styleId="32">
    <w:name w:val="hover4"/>
    <w:basedOn w:val="16"/>
    <w:qFormat/>
    <w:uiPriority w:val="0"/>
    <w:rPr>
      <w:color w:val="FFFFFF"/>
    </w:rPr>
  </w:style>
  <w:style w:type="character" w:customStyle="1" w:styleId="33">
    <w:name w:val="layui-this"/>
    <w:basedOn w:val="16"/>
    <w:qFormat/>
    <w:uiPriority w:val="0"/>
    <w:rPr>
      <w:bdr w:val="single" w:color="EEEEEE" w:sz="6" w:space="0"/>
      <w:shd w:val="clear" w:color="auto" w:fill="FFFFFF"/>
    </w:rPr>
  </w:style>
  <w:style w:type="paragraph" w:customStyle="1" w:styleId="34">
    <w:name w:val="正文缩进2格"/>
    <w:basedOn w:val="1"/>
    <w:qFormat/>
    <w:uiPriority w:val="0"/>
    <w:pPr>
      <w:spacing w:line="600" w:lineRule="exact"/>
      <w:ind w:firstLine="639" w:firstLineChars="206"/>
    </w:pPr>
    <w:rPr>
      <w:rFonts w:ascii="仿宋_GB2312" w:hAnsi="宋体" w:eastAsia="仿宋_GB2312"/>
      <w:sz w:val="31"/>
      <w:szCs w:val="28"/>
    </w:rPr>
  </w:style>
  <w:style w:type="character" w:customStyle="1" w:styleId="35">
    <w:name w:val="页脚 Char"/>
    <w:basedOn w:val="16"/>
    <w:link w:val="10"/>
    <w:qFormat/>
    <w:uiPriority w:val="99"/>
    <w:rPr>
      <w:rFonts w:ascii="Calibri" w:hAnsi="Calibri"/>
      <w:kern w:val="2"/>
      <w:sz w:val="18"/>
      <w:szCs w:val="24"/>
    </w:rPr>
  </w:style>
  <w:style w:type="paragraph" w:styleId="36">
    <w:name w:val="List Paragraph"/>
    <w:basedOn w:val="1"/>
    <w:qFormat/>
    <w:uiPriority w:val="99"/>
    <w:pPr>
      <w:ind w:firstLine="420" w:firstLineChars="200"/>
    </w:pPr>
  </w:style>
  <w:style w:type="character" w:customStyle="1" w:styleId="37">
    <w:name w:val="标题 1 Char"/>
    <w:link w:val="3"/>
    <w:qFormat/>
    <w:uiPriority w:val="0"/>
    <w:rPr>
      <w:b/>
      <w:kern w:val="44"/>
      <w:sz w:val="44"/>
    </w:rPr>
  </w:style>
  <w:style w:type="character" w:customStyle="1" w:styleId="38">
    <w:name w:val="文档结构图 Char"/>
    <w:basedOn w:val="16"/>
    <w:link w:val="6"/>
    <w:semiHidden/>
    <w:qFormat/>
    <w:uiPriority w:val="0"/>
    <w:rPr>
      <w:rFonts w:ascii="Microsoft YaHei UI" w:hAnsi="Calibri" w:eastAsia="Microsoft YaHei U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40</Pages>
  <Words>13450</Words>
  <Characters>14262</Characters>
  <Lines>141</Lines>
  <Paragraphs>39</Paragraphs>
  <TotalTime>222</TotalTime>
  <ScaleCrop>false</ScaleCrop>
  <LinksUpToDate>false</LinksUpToDate>
  <CharactersWithSpaces>14423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2024-06-22T03:41:00Z</dcterms:created>
  <dc:creator>Administrator</dc:creator>
  <cp:lastModifiedBy>玫瑰</cp:lastModifiedBy>
  <cp:lastPrinted>2021-11-20T02:14:00Z</cp:lastPrinted>
  <dcterms:modified xsi:type="dcterms:W3CDTF">2026-08-11T07:42:16Z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91B193ACD8C3457F5FE6556A54778618_43</vt:lpwstr>
  </property>
  <property fmtid="{D5CDD505-2E9C-101B-9397-08002B2CF9AE}" pid="4" name="KSOTemplateDocerSaveRecord">
    <vt:lpwstr>eyJoZGlkIjoiMDU1OGY3ODY5ZDhiMDkzZTI4ZWJmNzk2N2M0M2RmYWEiLCJ1c2VySWQiOiI1MDQwMDk3NjUifQ==</vt:lpwstr>
  </property>
</Properties>
</file>