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6E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保洁人员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物业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服务工作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考核表</w:t>
      </w:r>
    </w:p>
    <w:p w14:paraId="475CB403">
      <w:pPr>
        <w:spacing w:line="480" w:lineRule="exact"/>
        <w:rPr>
          <w:rFonts w:hint="eastAsia"/>
          <w:sz w:val="24"/>
          <w:szCs w:val="24"/>
          <w:lang w:val="en-US" w:eastAsia="zh-CN"/>
        </w:rPr>
      </w:pPr>
      <w:bookmarkStart w:id="0" w:name="_Toc25545938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考核月份：</w:t>
      </w:r>
    </w:p>
    <w:bookmarkEnd w:id="0"/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59"/>
        <w:gridCol w:w="8970"/>
        <w:gridCol w:w="1016"/>
        <w:gridCol w:w="2483"/>
      </w:tblGrid>
      <w:tr w14:paraId="46CBB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tblHeader/>
          <w:jc w:val="center"/>
        </w:trPr>
        <w:tc>
          <w:tcPr>
            <w:tcW w:w="1159" w:type="dxa"/>
            <w:noWrap/>
            <w:vAlign w:val="center"/>
          </w:tcPr>
          <w:p w14:paraId="7EBCFC3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考核区域</w:t>
            </w:r>
          </w:p>
        </w:tc>
        <w:tc>
          <w:tcPr>
            <w:tcW w:w="8970" w:type="dxa"/>
            <w:noWrap/>
            <w:vAlign w:val="center"/>
          </w:tcPr>
          <w:p w14:paraId="4EAE68A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考核内容</w:t>
            </w:r>
          </w:p>
        </w:tc>
        <w:tc>
          <w:tcPr>
            <w:tcW w:w="1016" w:type="dxa"/>
            <w:noWrap/>
            <w:vAlign w:val="center"/>
          </w:tcPr>
          <w:p w14:paraId="50F728E7">
            <w:pPr>
              <w:snapToGrid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得分</w:t>
            </w:r>
          </w:p>
        </w:tc>
        <w:tc>
          <w:tcPr>
            <w:tcW w:w="2483" w:type="dxa"/>
            <w:noWrap/>
            <w:vAlign w:val="center"/>
          </w:tcPr>
          <w:p w14:paraId="50764D01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扣分说明（发现一个不合格项扣1分）</w:t>
            </w:r>
          </w:p>
        </w:tc>
      </w:tr>
      <w:tr w14:paraId="05E7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tblHeader/>
          <w:jc w:val="center"/>
        </w:trPr>
        <w:tc>
          <w:tcPr>
            <w:tcW w:w="1159" w:type="dxa"/>
            <w:vMerge w:val="restart"/>
            <w:shd w:val="clear" w:color="auto" w:fill="auto"/>
            <w:noWrap/>
            <w:vAlign w:val="center"/>
          </w:tcPr>
          <w:p w14:paraId="3B0159C1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基础服务</w:t>
            </w:r>
          </w:p>
        </w:tc>
        <w:tc>
          <w:tcPr>
            <w:tcW w:w="8970" w:type="dxa"/>
            <w:shd w:val="clear" w:color="auto" w:fill="auto"/>
            <w:noWrap/>
            <w:vAlign w:val="center"/>
          </w:tcPr>
          <w:p w14:paraId="1D921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设立服务中心并配备办公设备；</w:t>
            </w:r>
          </w:p>
        </w:tc>
        <w:tc>
          <w:tcPr>
            <w:tcW w:w="1016" w:type="dxa"/>
            <w:noWrap/>
            <w:vAlign w:val="center"/>
          </w:tcPr>
          <w:p w14:paraId="1BA8E89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2483" w:type="dxa"/>
            <w:noWrap/>
            <w:vAlign w:val="center"/>
          </w:tcPr>
          <w:p w14:paraId="7FAAFEE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 w14:paraId="4DF5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tblHeader/>
          <w:jc w:val="center"/>
        </w:trPr>
        <w:tc>
          <w:tcPr>
            <w:tcW w:w="1159" w:type="dxa"/>
            <w:vMerge w:val="continue"/>
            <w:shd w:val="clear" w:color="auto" w:fill="auto"/>
            <w:noWrap/>
            <w:vAlign w:val="center"/>
          </w:tcPr>
          <w:p w14:paraId="111CA8F2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8970" w:type="dxa"/>
            <w:shd w:val="clear" w:color="auto" w:fill="auto"/>
            <w:noWrap/>
            <w:vAlign w:val="center"/>
          </w:tcPr>
          <w:p w14:paraId="67FB2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建立基本档案资料；</w:t>
            </w:r>
          </w:p>
        </w:tc>
        <w:tc>
          <w:tcPr>
            <w:tcW w:w="1016" w:type="dxa"/>
            <w:noWrap/>
            <w:vAlign w:val="center"/>
          </w:tcPr>
          <w:p w14:paraId="7043F275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1"/>
                <w:sz w:val="26"/>
                <w:szCs w:val="26"/>
                <w:highlight w:val="none"/>
              </w:rPr>
            </w:pPr>
          </w:p>
        </w:tc>
        <w:tc>
          <w:tcPr>
            <w:tcW w:w="2483" w:type="dxa"/>
            <w:noWrap/>
            <w:vAlign w:val="center"/>
          </w:tcPr>
          <w:p w14:paraId="52AF26FA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1"/>
                <w:sz w:val="26"/>
                <w:szCs w:val="26"/>
                <w:highlight w:val="none"/>
              </w:rPr>
            </w:pPr>
          </w:p>
        </w:tc>
      </w:tr>
      <w:tr w14:paraId="52672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tblHeader/>
          <w:jc w:val="center"/>
        </w:trPr>
        <w:tc>
          <w:tcPr>
            <w:tcW w:w="1159" w:type="dxa"/>
            <w:vMerge w:val="continue"/>
            <w:shd w:val="clear" w:color="auto" w:fill="auto"/>
            <w:noWrap/>
            <w:vAlign w:val="center"/>
          </w:tcPr>
          <w:p w14:paraId="1208CF0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8970" w:type="dxa"/>
            <w:shd w:val="clear" w:color="auto" w:fill="auto"/>
            <w:noWrap/>
            <w:vAlign w:val="center"/>
          </w:tcPr>
          <w:p w14:paraId="4B035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制定应急预案并配合处置突发事件，每年组织1次应急预案演练；</w:t>
            </w:r>
          </w:p>
        </w:tc>
        <w:tc>
          <w:tcPr>
            <w:tcW w:w="1016" w:type="dxa"/>
            <w:noWrap/>
            <w:vAlign w:val="center"/>
          </w:tcPr>
          <w:p w14:paraId="25E9A574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1"/>
                <w:sz w:val="26"/>
                <w:szCs w:val="26"/>
                <w:highlight w:val="none"/>
              </w:rPr>
            </w:pPr>
          </w:p>
        </w:tc>
        <w:tc>
          <w:tcPr>
            <w:tcW w:w="2483" w:type="dxa"/>
            <w:noWrap/>
            <w:vAlign w:val="center"/>
          </w:tcPr>
          <w:p w14:paraId="40A51026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1"/>
                <w:sz w:val="26"/>
                <w:szCs w:val="26"/>
                <w:highlight w:val="none"/>
              </w:rPr>
            </w:pPr>
          </w:p>
        </w:tc>
      </w:tr>
      <w:tr w14:paraId="08D1D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tblHeader/>
          <w:jc w:val="center"/>
        </w:trPr>
        <w:tc>
          <w:tcPr>
            <w:tcW w:w="1159" w:type="dxa"/>
            <w:vMerge w:val="restart"/>
            <w:noWrap/>
            <w:vAlign w:val="center"/>
          </w:tcPr>
          <w:p w14:paraId="2251114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礼仪礼节</w:t>
            </w:r>
          </w:p>
        </w:tc>
        <w:tc>
          <w:tcPr>
            <w:tcW w:w="8970" w:type="dxa"/>
            <w:noWrap/>
            <w:vAlign w:val="center"/>
          </w:tcPr>
          <w:p w14:paraId="296E5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穿着工作服、佩戴好工作牌、工作牌统一佩戴在外衣左上衣袋上方</w:t>
            </w:r>
          </w:p>
        </w:tc>
        <w:tc>
          <w:tcPr>
            <w:tcW w:w="1016" w:type="dxa"/>
            <w:noWrap/>
            <w:vAlign w:val="center"/>
          </w:tcPr>
          <w:p w14:paraId="58F2379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2483" w:type="dxa"/>
            <w:noWrap/>
            <w:vAlign w:val="center"/>
          </w:tcPr>
          <w:p w14:paraId="4491D70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 w14:paraId="06127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tblHeader/>
          <w:jc w:val="center"/>
        </w:trPr>
        <w:tc>
          <w:tcPr>
            <w:tcW w:w="1159" w:type="dxa"/>
            <w:vMerge w:val="continue"/>
            <w:noWrap/>
            <w:vAlign w:val="center"/>
          </w:tcPr>
          <w:p w14:paraId="58EEC3F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8970" w:type="dxa"/>
            <w:noWrap/>
            <w:vAlign w:val="center"/>
          </w:tcPr>
          <w:p w14:paraId="4F7EB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上岗时举止应文明、大方，精神振作，姿态良好，使用礼貌用语。</w:t>
            </w:r>
          </w:p>
        </w:tc>
        <w:tc>
          <w:tcPr>
            <w:tcW w:w="1016" w:type="dxa"/>
            <w:noWrap/>
            <w:vAlign w:val="center"/>
          </w:tcPr>
          <w:p w14:paraId="4138CFF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2483" w:type="dxa"/>
            <w:noWrap/>
            <w:vAlign w:val="center"/>
          </w:tcPr>
          <w:p w14:paraId="4A83D8B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 w14:paraId="2B093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9" w:type="dxa"/>
            <w:vMerge w:val="restart"/>
            <w:noWrap/>
            <w:textDirection w:val="tbRlV"/>
            <w:vAlign w:val="center"/>
          </w:tcPr>
          <w:p w14:paraId="488424F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公共厕所</w:t>
            </w:r>
          </w:p>
        </w:tc>
        <w:tc>
          <w:tcPr>
            <w:tcW w:w="8970" w:type="dxa"/>
            <w:noWrap/>
            <w:vAlign w:val="center"/>
          </w:tcPr>
          <w:p w14:paraId="437E4F9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天花板和固定设施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空调风口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墙面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标志牌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隔板、合页等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无污点、没有积聚灰尘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无水印</w:t>
            </w:r>
          </w:p>
        </w:tc>
        <w:tc>
          <w:tcPr>
            <w:tcW w:w="1016" w:type="dxa"/>
            <w:noWrap/>
            <w:vAlign w:val="center"/>
          </w:tcPr>
          <w:p w14:paraId="0EB1585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83" w:type="dxa"/>
            <w:noWrap/>
            <w:vAlign w:val="center"/>
          </w:tcPr>
          <w:p w14:paraId="650F234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DCA1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9" w:type="dxa"/>
            <w:vMerge w:val="continue"/>
            <w:noWrap/>
            <w:textDirection w:val="tbRlV"/>
            <w:vAlign w:val="center"/>
          </w:tcPr>
          <w:p w14:paraId="4662AE8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8970" w:type="dxa"/>
            <w:noWrap/>
            <w:vAlign w:val="center"/>
          </w:tcPr>
          <w:p w14:paraId="7D70F76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马桶、小便池无污点、无气味、无水印、表面光亮</w:t>
            </w:r>
          </w:p>
        </w:tc>
        <w:tc>
          <w:tcPr>
            <w:tcW w:w="1016" w:type="dxa"/>
            <w:noWrap/>
            <w:vAlign w:val="center"/>
          </w:tcPr>
          <w:p w14:paraId="6B065D41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83" w:type="dxa"/>
            <w:noWrap/>
            <w:vAlign w:val="center"/>
          </w:tcPr>
          <w:p w14:paraId="0B454F8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6AE1A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9" w:type="dxa"/>
            <w:vMerge w:val="continue"/>
            <w:noWrap/>
            <w:textDirection w:val="tbRlV"/>
            <w:vAlign w:val="center"/>
          </w:tcPr>
          <w:p w14:paraId="3B4A460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8970" w:type="dxa"/>
            <w:noWrap/>
            <w:vAlign w:val="center"/>
          </w:tcPr>
          <w:p w14:paraId="5737295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洗手盆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镜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的无污点、无水印、表面光亮</w:t>
            </w:r>
          </w:p>
        </w:tc>
        <w:tc>
          <w:tcPr>
            <w:tcW w:w="1016" w:type="dxa"/>
            <w:noWrap/>
            <w:vAlign w:val="center"/>
          </w:tcPr>
          <w:p w14:paraId="0B8CC7E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83" w:type="dxa"/>
            <w:noWrap/>
            <w:vAlign w:val="center"/>
          </w:tcPr>
          <w:p w14:paraId="55226CA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20F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9" w:type="dxa"/>
            <w:vMerge w:val="continue"/>
            <w:noWrap/>
            <w:textDirection w:val="tbRlV"/>
            <w:vAlign w:val="center"/>
          </w:tcPr>
          <w:p w14:paraId="4C7AF5B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8970" w:type="dxa"/>
            <w:noWrap/>
            <w:vAlign w:val="center"/>
          </w:tcPr>
          <w:p w14:paraId="4DC6A8D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垃圾桶内垃圾不超过容量三分之二，垃圾桶表面及内部无污渍</w:t>
            </w:r>
          </w:p>
        </w:tc>
        <w:tc>
          <w:tcPr>
            <w:tcW w:w="1016" w:type="dxa"/>
            <w:noWrap/>
            <w:vAlign w:val="center"/>
          </w:tcPr>
          <w:p w14:paraId="08748F4C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83" w:type="dxa"/>
            <w:noWrap/>
            <w:vAlign w:val="center"/>
          </w:tcPr>
          <w:p w14:paraId="08D34841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3C308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9" w:type="dxa"/>
            <w:vMerge w:val="restart"/>
            <w:noWrap/>
            <w:vAlign w:val="center"/>
          </w:tcPr>
          <w:p w14:paraId="0EE780AF">
            <w:pPr>
              <w:snapToGrid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室外公共区域</w:t>
            </w:r>
          </w:p>
        </w:tc>
        <w:tc>
          <w:tcPr>
            <w:tcW w:w="8970" w:type="dxa"/>
            <w:noWrap/>
            <w:vAlign w:val="center"/>
          </w:tcPr>
          <w:p w14:paraId="54BF88D1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周围地面无垃圾、无污点</w:t>
            </w:r>
          </w:p>
        </w:tc>
        <w:tc>
          <w:tcPr>
            <w:tcW w:w="1016" w:type="dxa"/>
            <w:noWrap/>
            <w:vAlign w:val="center"/>
          </w:tcPr>
          <w:p w14:paraId="33339AD5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83" w:type="dxa"/>
            <w:noWrap/>
            <w:vAlign w:val="center"/>
          </w:tcPr>
          <w:p w14:paraId="1EFE73D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DF30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9" w:type="dxa"/>
            <w:vMerge w:val="continue"/>
            <w:noWrap/>
            <w:textDirection w:val="tbRlV"/>
            <w:vAlign w:val="center"/>
          </w:tcPr>
          <w:p w14:paraId="1B59653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8970" w:type="dxa"/>
            <w:noWrap/>
            <w:vAlign w:val="center"/>
          </w:tcPr>
          <w:p w14:paraId="1D8206A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垃圾桶内垃圾不满溢，垃圾桶表面及内部无污渍，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无明显的臭味</w:t>
            </w:r>
          </w:p>
        </w:tc>
        <w:tc>
          <w:tcPr>
            <w:tcW w:w="1016" w:type="dxa"/>
            <w:noWrap/>
            <w:vAlign w:val="center"/>
          </w:tcPr>
          <w:p w14:paraId="4298F38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83" w:type="dxa"/>
            <w:noWrap/>
            <w:vAlign w:val="center"/>
          </w:tcPr>
          <w:p w14:paraId="3C45489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3CE8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9" w:type="dxa"/>
            <w:vMerge w:val="continue"/>
            <w:noWrap/>
            <w:textDirection w:val="tbRlV"/>
            <w:vAlign w:val="center"/>
          </w:tcPr>
          <w:p w14:paraId="182A59D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8970" w:type="dxa"/>
            <w:noWrap/>
            <w:vAlign w:val="center"/>
          </w:tcPr>
          <w:p w14:paraId="5A95966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6"/>
                <w:szCs w:val="26"/>
                <w:highlight w:val="none"/>
              </w:rPr>
              <w:t>垃圾箱（桶）、果皮箱周围地面每日清扫1次</w:t>
            </w:r>
          </w:p>
        </w:tc>
        <w:tc>
          <w:tcPr>
            <w:tcW w:w="1016" w:type="dxa"/>
            <w:noWrap/>
            <w:vAlign w:val="center"/>
          </w:tcPr>
          <w:p w14:paraId="6014A61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83" w:type="dxa"/>
            <w:noWrap/>
            <w:vAlign w:val="center"/>
          </w:tcPr>
          <w:p w14:paraId="079B97C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1FE6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9" w:type="dxa"/>
            <w:vMerge w:val="continue"/>
            <w:noWrap/>
            <w:textDirection w:val="tbRlV"/>
            <w:vAlign w:val="center"/>
          </w:tcPr>
          <w:p w14:paraId="12E3538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bookmarkStart w:id="1" w:name="_Toc255459384"/>
          </w:p>
        </w:tc>
        <w:tc>
          <w:tcPr>
            <w:tcW w:w="8970" w:type="dxa"/>
            <w:noWrap/>
            <w:vAlign w:val="center"/>
          </w:tcPr>
          <w:p w14:paraId="5FC3BDA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6"/>
                <w:szCs w:val="26"/>
                <w:highlight w:val="none"/>
              </w:rPr>
              <w:t>每周1次擦抹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6"/>
                <w:szCs w:val="26"/>
                <w:highlight w:val="none"/>
                <w:lang w:val="en-US" w:eastAsia="zh-CN"/>
              </w:rPr>
              <w:t>户外桌椅等（如有）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6"/>
                <w:szCs w:val="26"/>
                <w:highlight w:val="none"/>
              </w:rPr>
              <w:t>公共设施</w:t>
            </w:r>
          </w:p>
        </w:tc>
        <w:tc>
          <w:tcPr>
            <w:tcW w:w="1016" w:type="dxa"/>
            <w:noWrap/>
            <w:vAlign w:val="center"/>
          </w:tcPr>
          <w:p w14:paraId="4B2D0E0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83" w:type="dxa"/>
            <w:noWrap/>
            <w:vAlign w:val="center"/>
          </w:tcPr>
          <w:p w14:paraId="36C2306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897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9" w:type="dxa"/>
            <w:vMerge w:val="continue"/>
            <w:noWrap/>
            <w:textDirection w:val="tbRlV"/>
            <w:vAlign w:val="center"/>
          </w:tcPr>
          <w:p w14:paraId="68F6EDB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8970" w:type="dxa"/>
            <w:noWrap/>
            <w:vAlign w:val="center"/>
          </w:tcPr>
          <w:p w14:paraId="0B972176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1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6"/>
                <w:szCs w:val="26"/>
                <w:highlight w:val="none"/>
              </w:rPr>
              <w:t>每日1次清扫公共道路、绿地、停车场、文体活动区域，道路无杂物</w:t>
            </w:r>
          </w:p>
        </w:tc>
        <w:tc>
          <w:tcPr>
            <w:tcW w:w="1016" w:type="dxa"/>
            <w:noWrap/>
            <w:vAlign w:val="center"/>
          </w:tcPr>
          <w:p w14:paraId="145A97D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83" w:type="dxa"/>
            <w:noWrap/>
            <w:vAlign w:val="center"/>
          </w:tcPr>
          <w:p w14:paraId="241DDA9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 w14:paraId="52E13ACE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page"/>
      </w:r>
    </w:p>
    <w:bookmarkEnd w:id="1"/>
    <w:p w14:paraId="04D7289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、分数占比一览表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5113"/>
        <w:gridCol w:w="1705"/>
      </w:tblGrid>
      <w:tr w14:paraId="60ED0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58AB54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5113" w:type="dxa"/>
            <w:noWrap w:val="0"/>
            <w:vAlign w:val="top"/>
          </w:tcPr>
          <w:p w14:paraId="6C7F99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季度考核</w:t>
            </w:r>
            <w:r>
              <w:rPr>
                <w:rFonts w:hint="eastAsia"/>
                <w:sz w:val="28"/>
                <w:szCs w:val="28"/>
              </w:rPr>
              <w:t>分数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分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  <w:bookmarkStart w:id="2" w:name="_GoBack"/>
            <w:bookmarkEnd w:id="2"/>
          </w:p>
        </w:tc>
        <w:tc>
          <w:tcPr>
            <w:tcW w:w="1705" w:type="dxa"/>
            <w:noWrap w:val="0"/>
            <w:vAlign w:val="top"/>
          </w:tcPr>
          <w:p w14:paraId="43C54128">
            <w:pPr>
              <w:spacing w:line="30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季度付款</w:t>
            </w:r>
          </w:p>
          <w:p w14:paraId="4AB68827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支付</w:t>
            </w:r>
            <w:r>
              <w:rPr>
                <w:rFonts w:hint="eastAsia"/>
                <w:sz w:val="28"/>
                <w:szCs w:val="28"/>
              </w:rPr>
              <w:t>比例</w:t>
            </w:r>
          </w:p>
        </w:tc>
      </w:tr>
      <w:tr w14:paraId="7A0E6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6CD6F87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113" w:type="dxa"/>
            <w:noWrap w:val="0"/>
            <w:vAlign w:val="top"/>
          </w:tcPr>
          <w:p w14:paraId="76C37CA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270</w:t>
            </w:r>
            <w:r>
              <w:rPr>
                <w:rFonts w:hint="eastAsia"/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1705" w:type="dxa"/>
            <w:noWrap w:val="0"/>
            <w:vAlign w:val="top"/>
          </w:tcPr>
          <w:p w14:paraId="0A854A4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100%</w:t>
            </w:r>
          </w:p>
        </w:tc>
      </w:tr>
      <w:tr w14:paraId="42245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0341A2D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113" w:type="dxa"/>
            <w:noWrap w:val="0"/>
            <w:vAlign w:val="top"/>
          </w:tcPr>
          <w:p w14:paraId="60F8DD0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210</w:t>
            </w:r>
            <w:r>
              <w:rPr>
                <w:rFonts w:hint="eastAsia"/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269</w:t>
            </w:r>
          </w:p>
        </w:tc>
        <w:tc>
          <w:tcPr>
            <w:tcW w:w="1705" w:type="dxa"/>
            <w:noWrap w:val="0"/>
            <w:vAlign w:val="top"/>
          </w:tcPr>
          <w:p w14:paraId="1B2930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90%</w:t>
            </w:r>
          </w:p>
        </w:tc>
      </w:tr>
      <w:tr w14:paraId="4DF1A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1699449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5113" w:type="dxa"/>
            <w:noWrap w:val="0"/>
            <w:vAlign w:val="top"/>
          </w:tcPr>
          <w:p w14:paraId="495990BE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180</w:t>
            </w:r>
            <w:r>
              <w:rPr>
                <w:rFonts w:hint="eastAsia"/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209</w:t>
            </w:r>
          </w:p>
        </w:tc>
        <w:tc>
          <w:tcPr>
            <w:tcW w:w="1705" w:type="dxa"/>
            <w:noWrap w:val="0"/>
            <w:vAlign w:val="top"/>
          </w:tcPr>
          <w:p w14:paraId="1A6C1A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70%</w:t>
            </w:r>
          </w:p>
        </w:tc>
      </w:tr>
      <w:tr w14:paraId="2C1B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1ED9D4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5113" w:type="dxa"/>
            <w:noWrap w:val="0"/>
            <w:vAlign w:val="top"/>
          </w:tcPr>
          <w:p w14:paraId="148748E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150</w:t>
            </w:r>
            <w:r>
              <w:rPr>
                <w:rFonts w:hint="eastAsia"/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179</w:t>
            </w:r>
          </w:p>
        </w:tc>
        <w:tc>
          <w:tcPr>
            <w:tcW w:w="1705" w:type="dxa"/>
            <w:noWrap w:val="0"/>
            <w:vAlign w:val="top"/>
          </w:tcPr>
          <w:p w14:paraId="6253B3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60%</w:t>
            </w:r>
          </w:p>
        </w:tc>
      </w:tr>
      <w:tr w14:paraId="21BA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616D0CFD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113" w:type="dxa"/>
            <w:noWrap w:val="0"/>
            <w:vAlign w:val="top"/>
          </w:tcPr>
          <w:p w14:paraId="47A80F19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0-149</w:t>
            </w:r>
          </w:p>
        </w:tc>
        <w:tc>
          <w:tcPr>
            <w:tcW w:w="1705" w:type="dxa"/>
            <w:noWrap w:val="0"/>
            <w:vAlign w:val="top"/>
          </w:tcPr>
          <w:p w14:paraId="0F9CAE9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50%</w:t>
            </w:r>
          </w:p>
        </w:tc>
      </w:tr>
    </w:tbl>
    <w:p w14:paraId="09C89B2C">
      <w:pPr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br w:type="page"/>
      </w:r>
    </w:p>
    <w:p w14:paraId="5E8E2660">
      <w:pPr>
        <w:numPr>
          <w:ilvl w:val="0"/>
          <w:numId w:val="1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考核方法</w:t>
      </w:r>
    </w:p>
    <w:p w14:paraId="6D40A748">
      <w:pPr>
        <w:numPr>
          <w:ilvl w:val="0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物业费用每月结算以考核分数为依据；</w:t>
      </w:r>
    </w:p>
    <w:p w14:paraId="521D0ECB">
      <w:pPr>
        <w:numPr>
          <w:ilvl w:val="0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双方可采取日、周、月考核相结合的方法，每次考核按照此考核方法分项进行评分，满分为100分，每月底按照当月考核综合各考核项目平均分作为本月最终考核分数；</w:t>
      </w:r>
    </w:p>
    <w:p w14:paraId="64490B13">
      <w:pPr>
        <w:numPr>
          <w:ilvl w:val="0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巡视检查由双方共同进行，结束后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出具《考核结果通知书》，说明事由、区域、时间和考核结果。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在核查保洁工作中除经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确认结果外，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可根据事实依据（如相片）单独进行考核，但需经过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签字确认。</w:t>
      </w:r>
    </w:p>
    <w:p w14:paraId="5D488ABA">
      <w:pPr>
        <w:numPr>
          <w:ilvl w:val="0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考核分数与费用结算</w:t>
      </w:r>
    </w:p>
    <w:p w14:paraId="45AC9728">
      <w:pPr>
        <w:numPr>
          <w:ilvl w:val="1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考核分数在89-80分扣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00元，若遇单独扣钱项另算</w:t>
      </w:r>
    </w:p>
    <w:p w14:paraId="42491EC7">
      <w:pPr>
        <w:numPr>
          <w:ilvl w:val="1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考核分数在70-79分扣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00元，若遇单独扣钱项另算</w:t>
      </w:r>
    </w:p>
    <w:p w14:paraId="0FF94B88">
      <w:pPr>
        <w:numPr>
          <w:ilvl w:val="1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考核分数在60-69分扣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000元，若遇单独扣钱项另算</w:t>
      </w:r>
    </w:p>
    <w:p w14:paraId="33C65C8D">
      <w:pPr>
        <w:numPr>
          <w:ilvl w:val="1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考核分数在60分以下扣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000元，若遇单独扣钱项另算，一年中2次考核分数在此档，本合同视为终止。</w:t>
      </w:r>
    </w:p>
    <w:p w14:paraId="7FA2AD49">
      <w:pPr>
        <w:numPr>
          <w:ilvl w:val="0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考核表月底需物业方代表签字确认做为支付凭据,双方各执一份。</w:t>
      </w:r>
    </w:p>
    <w:p w14:paraId="69B57131">
      <w:pPr>
        <w:numPr>
          <w:ilvl w:val="0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出现以下情况不计入考核范围：</w:t>
      </w:r>
    </w:p>
    <w:p w14:paraId="06B60DB2">
      <w:pPr>
        <w:numPr>
          <w:ilvl w:val="1"/>
          <w:numId w:val="2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处理甲方交办的紧急事务需要抽调大量人手，导致部分区域工作质量下降；</w:t>
      </w:r>
    </w:p>
    <w:p w14:paraId="74032265">
      <w:pPr>
        <w:numPr>
          <w:ilvl w:val="1"/>
          <w:numId w:val="2"/>
        </w:num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因某些不可抗力（如停电、设备故障）。</w:t>
      </w:r>
    </w:p>
    <w:sectPr>
      <w:pgSz w:w="15840" w:h="12240" w:orient="landscape"/>
      <w:pgMar w:top="1134" w:right="1134" w:bottom="1134" w:left="1134" w:header="708" w:footer="709" w:gutter="0"/>
      <w:cols w:space="0" w:num="1"/>
      <w:rtlGutter w:val="0"/>
      <w:docGrid w:type="lines" w:linePitch="4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4F4794"/>
    <w:multiLevelType w:val="multilevel"/>
    <w:tmpl w:val="4F4F4794"/>
    <w:lvl w:ilvl="0" w:tentative="0">
      <w:start w:val="1"/>
      <w:numFmt w:val="decimal"/>
      <w:lvlText w:val="%1)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72921A6E"/>
    <w:multiLevelType w:val="multilevel"/>
    <w:tmpl w:val="72921A6E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xMThiZGE1OTE5NmRhZDQzNGUxZjNiOWI4M2QzMTkifQ=="/>
  </w:docVars>
  <w:rsids>
    <w:rsidRoot w:val="70C81D91"/>
    <w:rsid w:val="0E012FC5"/>
    <w:rsid w:val="14B264C5"/>
    <w:rsid w:val="15843AF4"/>
    <w:rsid w:val="2BEF326D"/>
    <w:rsid w:val="2C610C44"/>
    <w:rsid w:val="3128110E"/>
    <w:rsid w:val="4435642D"/>
    <w:rsid w:val="464D358B"/>
    <w:rsid w:val="59F20770"/>
    <w:rsid w:val="70C81D91"/>
    <w:rsid w:val="72F3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autoRedefine/>
    <w:qFormat/>
    <w:uiPriority w:val="0"/>
    <w:rPr>
      <w:sz w:val="24"/>
    </w:rPr>
  </w:style>
  <w:style w:type="paragraph" w:styleId="4">
    <w:name w:val="index 4"/>
    <w:basedOn w:val="1"/>
    <w:next w:val="1"/>
    <w:autoRedefine/>
    <w:qFormat/>
    <w:uiPriority w:val="0"/>
    <w:pPr>
      <w:ind w:left="600" w:leftChars="600"/>
    </w:p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9">
    <w:name w:val="列出段落1"/>
    <w:basedOn w:val="1"/>
    <w:autoRedefine/>
    <w:qFormat/>
    <w:uiPriority w:val="34"/>
    <w:pPr>
      <w:ind w:firstLine="420" w:firstLineChars="200"/>
    </w:p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832</Words>
  <Characters>896</Characters>
  <Lines>0</Lines>
  <Paragraphs>0</Paragraphs>
  <TotalTime>0</TotalTime>
  <ScaleCrop>false</ScaleCrop>
  <LinksUpToDate>false</LinksUpToDate>
  <CharactersWithSpaces>896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2021-04-19T08:35:00Z</dcterms:created>
  <dc:creator>siemens_2128</dc:creator>
  <cp:lastModifiedBy>政府集中采购业务号</cp:lastModifiedBy>
  <dcterms:modified xsi:type="dcterms:W3CDTF">2026-08-13T00:56:17Z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14427871_cloud</vt:lpwstr>
  </property>
  <property fmtid="{D5CDD505-2E9C-101B-9397-08002B2CF9AE}" pid="4" name="KSOTemplateDocerSaveRecord">
    <vt:lpwstr>eyJoZGlkIjoiNDY3YmY5ZmZiYzBlMGMzNzQwODc3ZjNmMmY2OGVmNGEiLCJ1c2VySWQiOiIxNTA5MDYzNTA4In0=</vt:lpwstr>
  </property>
  <property fmtid="{D5CDD505-2E9C-101B-9397-08002B2CF9AE}" pid="5" name="ICV">
    <vt:lpwstr>3403BF824A6D4C27A5507C128A77F2B4_13</vt:lpwstr>
  </property>
</Properties>
</file>