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5BE9790">
      <w:pPr>
        <w:jc w:val="center"/>
        <w:rPr>
          <w:rFonts w:hint="eastAsia"/>
          <w:b/>
          <w:bCs/>
          <w:color w:val="000000"/>
          <w:sz w:val="60"/>
          <w:szCs w:val="60"/>
          <w:highlight w:val="none"/>
        </w:rPr>
      </w:pPr>
      <w:r>
        <w:rPr>
          <w:rFonts w:hint="eastAsia"/>
          <w:b/>
          <w:bCs/>
          <w:color w:val="000000"/>
          <w:sz w:val="60"/>
          <w:szCs w:val="60"/>
          <w:highlight w:val="none"/>
          <w:lang w:eastAsia="zh-CN"/>
        </w:rPr>
        <w:t>礼嘉镇农村公路绿化养护服务</w:t>
      </w:r>
      <w:r>
        <w:rPr>
          <w:rFonts w:hint="eastAsia"/>
          <w:b/>
          <w:bCs/>
          <w:color w:val="000000"/>
          <w:sz w:val="60"/>
          <w:szCs w:val="60"/>
          <w:highlight w:val="none"/>
        </w:rPr>
        <w:tab/>
      </w:r>
    </w:p>
    <w:p w14:paraId="2A839370">
      <w:pPr>
        <w:jc w:val="center"/>
        <w:rPr>
          <w:rFonts w:hint="eastAsia"/>
          <w:b/>
          <w:bCs/>
          <w:color w:val="000000"/>
          <w:sz w:val="60"/>
          <w:szCs w:val="60"/>
          <w:highlight w:val="none"/>
        </w:rPr>
      </w:pPr>
    </w:p>
    <w:p w14:paraId="7323C39A">
      <w:pPr>
        <w:jc w:val="center"/>
        <w:rPr>
          <w:rFonts w:hint="eastAsia"/>
          <w:b/>
          <w:bCs/>
          <w:color w:val="000000"/>
          <w:sz w:val="44"/>
          <w:szCs w:val="44"/>
          <w:highlight w:val="none"/>
        </w:rPr>
      </w:pPr>
      <w:r>
        <w:rPr>
          <w:b/>
          <w:bCs/>
          <w:color w:val="000000"/>
          <w:sz w:val="44"/>
          <w:szCs w:val="44"/>
          <w:highlight w:val="none"/>
        </w:rPr>
        <w:t>采</w:t>
      </w:r>
      <w:r>
        <w:rPr>
          <w:rFonts w:hint="eastAsia"/>
          <w:b/>
          <w:bCs/>
          <w:color w:val="000000"/>
          <w:sz w:val="44"/>
          <w:szCs w:val="44"/>
          <w:highlight w:val="none"/>
        </w:rPr>
        <w:t xml:space="preserve"> </w:t>
      </w:r>
    </w:p>
    <w:p w14:paraId="4B4966A8">
      <w:pPr>
        <w:jc w:val="center"/>
        <w:rPr>
          <w:b/>
          <w:bCs/>
          <w:color w:val="000000"/>
          <w:sz w:val="44"/>
          <w:szCs w:val="44"/>
          <w:highlight w:val="none"/>
        </w:rPr>
      </w:pPr>
    </w:p>
    <w:p w14:paraId="6DC437BB">
      <w:pPr>
        <w:jc w:val="center"/>
        <w:rPr>
          <w:rFonts w:hint="eastAsia"/>
          <w:b/>
          <w:bCs/>
          <w:color w:val="000000"/>
          <w:sz w:val="44"/>
          <w:szCs w:val="44"/>
          <w:highlight w:val="none"/>
        </w:rPr>
      </w:pPr>
      <w:r>
        <w:rPr>
          <w:b/>
          <w:bCs/>
          <w:color w:val="000000"/>
          <w:sz w:val="44"/>
          <w:szCs w:val="44"/>
          <w:highlight w:val="none"/>
        </w:rPr>
        <w:t>购</w:t>
      </w:r>
      <w:r>
        <w:rPr>
          <w:rFonts w:hint="eastAsia"/>
          <w:b/>
          <w:bCs/>
          <w:color w:val="000000"/>
          <w:sz w:val="44"/>
          <w:szCs w:val="44"/>
          <w:highlight w:val="none"/>
        </w:rPr>
        <w:t xml:space="preserve"> </w:t>
      </w:r>
    </w:p>
    <w:p w14:paraId="0F1311CC">
      <w:pPr>
        <w:jc w:val="center"/>
        <w:rPr>
          <w:rFonts w:hint="eastAsia"/>
          <w:b/>
          <w:bCs/>
          <w:color w:val="000000"/>
          <w:sz w:val="44"/>
          <w:szCs w:val="44"/>
          <w:highlight w:val="none"/>
          <w:lang w:eastAsia="zh-CN"/>
        </w:rPr>
      </w:pPr>
    </w:p>
    <w:p w14:paraId="5B240250">
      <w:pPr>
        <w:jc w:val="center"/>
        <w:rPr>
          <w:rFonts w:hint="eastAsia"/>
          <w:b/>
          <w:bCs/>
          <w:color w:val="000000"/>
          <w:sz w:val="44"/>
          <w:szCs w:val="44"/>
          <w:highlight w:val="none"/>
          <w:lang w:val="en-US" w:eastAsia="zh-CN"/>
        </w:rPr>
      </w:pPr>
      <w:r>
        <w:rPr>
          <w:rFonts w:hint="eastAsia"/>
          <w:b/>
          <w:bCs/>
          <w:color w:val="000000"/>
          <w:sz w:val="44"/>
          <w:szCs w:val="44"/>
          <w:highlight w:val="none"/>
          <w:lang w:eastAsia="zh-CN"/>
        </w:rPr>
        <w:t>合</w:t>
      </w:r>
      <w:r>
        <w:rPr>
          <w:rFonts w:hint="eastAsia"/>
          <w:b/>
          <w:bCs/>
          <w:color w:val="000000"/>
          <w:sz w:val="44"/>
          <w:szCs w:val="44"/>
          <w:highlight w:val="none"/>
          <w:lang w:val="en-US" w:eastAsia="zh-CN"/>
        </w:rPr>
        <w:t xml:space="preserve"> </w:t>
      </w:r>
    </w:p>
    <w:p w14:paraId="2844C996">
      <w:pPr>
        <w:jc w:val="center"/>
        <w:rPr>
          <w:rFonts w:hint="eastAsia"/>
          <w:b/>
          <w:bCs/>
          <w:color w:val="000000"/>
          <w:sz w:val="44"/>
          <w:szCs w:val="44"/>
          <w:highlight w:val="none"/>
          <w:lang w:eastAsia="zh-CN"/>
        </w:rPr>
      </w:pPr>
    </w:p>
    <w:p w14:paraId="338355CE">
      <w:pPr>
        <w:jc w:val="center"/>
        <w:rPr>
          <w:rFonts w:hint="eastAsia" w:eastAsia="宋体"/>
          <w:b/>
          <w:bCs/>
          <w:color w:val="000000"/>
          <w:sz w:val="60"/>
          <w:szCs w:val="60"/>
          <w:highlight w:val="none"/>
          <w:lang w:eastAsia="zh-CN"/>
        </w:rPr>
      </w:pPr>
      <w:r>
        <w:rPr>
          <w:rFonts w:hint="eastAsia"/>
          <w:b/>
          <w:bCs/>
          <w:color w:val="000000"/>
          <w:sz w:val="44"/>
          <w:szCs w:val="44"/>
          <w:highlight w:val="none"/>
          <w:lang w:eastAsia="zh-CN"/>
        </w:rPr>
        <w:t>同</w:t>
      </w:r>
    </w:p>
    <w:p w14:paraId="348C89D4">
      <w:pPr>
        <w:jc w:val="center"/>
        <w:rPr>
          <w:b/>
          <w:bCs/>
          <w:color w:val="000000"/>
          <w:sz w:val="60"/>
          <w:szCs w:val="60"/>
          <w:highlight w:val="none"/>
        </w:rPr>
      </w:pPr>
    </w:p>
    <w:p w14:paraId="5052C9AE">
      <w:pPr>
        <w:spacing w:line="360" w:lineRule="auto"/>
        <w:jc w:val="center"/>
        <w:rPr>
          <w:rFonts w:ascii="宋体" w:hAnsi="宋体"/>
          <w:b/>
          <w:bCs/>
          <w:color w:val="000000"/>
          <w:sz w:val="60"/>
          <w:szCs w:val="60"/>
          <w:highlight w:val="none"/>
        </w:rPr>
      </w:pPr>
    </w:p>
    <w:p w14:paraId="0B604313">
      <w:pPr>
        <w:spacing w:line="360" w:lineRule="auto"/>
        <w:jc w:val="both"/>
        <w:rPr>
          <w:rFonts w:ascii="宋体" w:hAnsi="宋体"/>
          <w:b/>
          <w:bCs/>
          <w:color w:val="000000"/>
          <w:sz w:val="60"/>
          <w:szCs w:val="60"/>
          <w:highlight w:val="none"/>
        </w:rPr>
      </w:pPr>
    </w:p>
    <w:p w14:paraId="229B7DB0">
      <w:pPr>
        <w:tabs>
          <w:tab w:val="left" w:pos="5696"/>
        </w:tabs>
        <w:spacing w:line="360" w:lineRule="auto"/>
        <w:jc w:val="left"/>
        <w:rPr>
          <w:rFonts w:hint="eastAsia" w:ascii="宋体" w:hAnsi="宋体" w:eastAsia="宋体"/>
          <w:b/>
          <w:bCs/>
          <w:color w:val="000000"/>
          <w:sz w:val="60"/>
          <w:szCs w:val="60"/>
          <w:highlight w:val="none"/>
          <w:lang w:eastAsia="zh-CN"/>
        </w:rPr>
      </w:pPr>
      <w:r>
        <w:rPr>
          <w:rFonts w:hint="eastAsia" w:ascii="宋体" w:hAnsi="宋体"/>
          <w:b/>
          <w:bCs/>
          <w:color w:val="000000"/>
          <w:sz w:val="60"/>
          <w:szCs w:val="60"/>
          <w:highlight w:val="none"/>
          <w:lang w:eastAsia="zh-CN"/>
        </w:rPr>
        <w:tab/>
      </w:r>
    </w:p>
    <w:p w14:paraId="3F1CABF5">
      <w:pPr>
        <w:tabs>
          <w:tab w:val="left" w:pos="5609"/>
        </w:tabs>
        <w:spacing w:line="360" w:lineRule="auto"/>
        <w:ind w:left="2832" w:hanging="1900"/>
        <w:jc w:val="left"/>
        <w:rPr>
          <w:bCs/>
          <w:color w:val="000000"/>
          <w:sz w:val="36"/>
          <w:szCs w:val="36"/>
          <w:highlight w:val="none"/>
        </w:rPr>
      </w:pPr>
      <w:r>
        <w:rPr>
          <w:bCs/>
          <w:color w:val="000000"/>
          <w:sz w:val="36"/>
          <w:szCs w:val="36"/>
          <w:highlight w:val="none"/>
        </w:rPr>
        <w:tab/>
      </w:r>
    </w:p>
    <w:p w14:paraId="2A807050">
      <w:pPr>
        <w:tabs>
          <w:tab w:val="left" w:pos="3240"/>
          <w:tab w:val="left" w:pos="3420"/>
        </w:tabs>
        <w:spacing w:line="360" w:lineRule="auto"/>
        <w:ind w:left="2832" w:hanging="1900"/>
        <w:jc w:val="left"/>
        <w:rPr>
          <w:rFonts w:hint="eastAsia" w:eastAsia="宋体"/>
          <w:bCs/>
          <w:color w:val="000000"/>
          <w:sz w:val="36"/>
          <w:szCs w:val="36"/>
          <w:highlight w:val="none"/>
          <w:lang w:val="en-US" w:eastAsia="zh-CN"/>
        </w:rPr>
      </w:pPr>
      <w:r>
        <w:rPr>
          <w:bCs/>
          <w:color w:val="000000"/>
          <w:sz w:val="36"/>
          <w:szCs w:val="36"/>
          <w:highlight w:val="none"/>
        </w:rPr>
        <w:t>项目编号：</w:t>
      </w:r>
      <w:r>
        <w:rPr>
          <w:rFonts w:hint="eastAsia"/>
          <w:bCs/>
          <w:color w:val="000000"/>
          <w:sz w:val="36"/>
          <w:szCs w:val="36"/>
          <w:highlight w:val="none"/>
          <w:lang w:eastAsia="zh-CN"/>
        </w:rPr>
        <w:t>JSZC-320412-CZYK-C2026-0003</w:t>
      </w:r>
      <w:r>
        <w:rPr>
          <w:rFonts w:hint="eastAsia"/>
          <w:bCs/>
          <w:color w:val="000000"/>
          <w:sz w:val="36"/>
          <w:szCs w:val="36"/>
          <w:highlight w:val="none"/>
          <w:lang w:val="en-US" w:eastAsia="zh-CN"/>
        </w:rPr>
        <w:t xml:space="preserve"> </w:t>
      </w:r>
    </w:p>
    <w:p w14:paraId="115618B3">
      <w:pPr>
        <w:tabs>
          <w:tab w:val="left" w:pos="3240"/>
          <w:tab w:val="left" w:pos="3420"/>
        </w:tabs>
        <w:spacing w:line="360" w:lineRule="auto"/>
        <w:ind w:left="2832" w:hanging="1900"/>
        <w:jc w:val="left"/>
        <w:rPr>
          <w:rFonts w:hint="eastAsia"/>
          <w:bCs/>
          <w:color w:val="000000"/>
          <w:sz w:val="36"/>
          <w:szCs w:val="36"/>
          <w:highlight w:val="none"/>
          <w:lang w:eastAsia="zh-CN"/>
        </w:rPr>
      </w:pPr>
      <w:r>
        <w:rPr>
          <w:bCs/>
          <w:color w:val="000000"/>
          <w:sz w:val="36"/>
          <w:szCs w:val="36"/>
          <w:highlight w:val="none"/>
        </w:rPr>
        <w:t>采 购 人：</w:t>
      </w:r>
      <w:r>
        <w:rPr>
          <w:rFonts w:hint="eastAsia"/>
          <w:bCs/>
          <w:color w:val="000000"/>
          <w:sz w:val="36"/>
          <w:szCs w:val="36"/>
          <w:highlight w:val="none"/>
          <w:lang w:eastAsia="zh-CN"/>
        </w:rPr>
        <w:t>常州市武进区礼嘉镇人民政府</w:t>
      </w:r>
    </w:p>
    <w:p w14:paraId="5F642C7E">
      <w:pPr>
        <w:tabs>
          <w:tab w:val="left" w:pos="3240"/>
          <w:tab w:val="left" w:pos="3420"/>
        </w:tabs>
        <w:spacing w:line="360" w:lineRule="auto"/>
        <w:ind w:left="2832" w:hanging="1900"/>
        <w:jc w:val="left"/>
        <w:rPr>
          <w:rFonts w:hint="eastAsia"/>
          <w:bCs/>
          <w:color w:val="000000"/>
          <w:sz w:val="36"/>
          <w:szCs w:val="36"/>
          <w:highlight w:val="none"/>
          <w:lang w:eastAsia="zh-CN"/>
        </w:rPr>
      </w:pPr>
      <w:r>
        <w:rPr>
          <w:rFonts w:hint="eastAsia"/>
          <w:bCs/>
          <w:color w:val="000000"/>
          <w:sz w:val="36"/>
          <w:szCs w:val="36"/>
          <w:highlight w:val="none"/>
          <w:lang w:eastAsia="zh-CN"/>
        </w:rPr>
        <w:t>供</w:t>
      </w:r>
      <w:r>
        <w:rPr>
          <w:rFonts w:hint="eastAsia"/>
          <w:bCs/>
          <w:color w:val="000000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eastAsia"/>
          <w:bCs/>
          <w:color w:val="000000"/>
          <w:sz w:val="36"/>
          <w:szCs w:val="36"/>
          <w:highlight w:val="none"/>
          <w:lang w:eastAsia="zh-CN"/>
        </w:rPr>
        <w:t>应</w:t>
      </w:r>
      <w:r>
        <w:rPr>
          <w:rFonts w:hint="eastAsia"/>
          <w:bCs/>
          <w:color w:val="000000"/>
          <w:sz w:val="36"/>
          <w:szCs w:val="36"/>
          <w:highlight w:val="none"/>
          <w:lang w:val="en-US" w:eastAsia="zh-CN"/>
        </w:rPr>
        <w:t xml:space="preserve"> </w:t>
      </w:r>
      <w:r>
        <w:rPr>
          <w:rFonts w:hint="eastAsia"/>
          <w:bCs/>
          <w:color w:val="000000"/>
          <w:sz w:val="36"/>
          <w:szCs w:val="36"/>
          <w:highlight w:val="none"/>
          <w:lang w:eastAsia="zh-CN"/>
        </w:rPr>
        <w:t>商：江苏恒诺农业科技发展有限公司</w:t>
      </w:r>
    </w:p>
    <w:p w14:paraId="3C3C7C51">
      <w:pPr>
        <w:pStyle w:val="4"/>
        <w:keepNext w:val="0"/>
        <w:keepLines w:val="0"/>
        <w:pageBreakBefore w:val="0"/>
        <w:widowControl w:val="0"/>
        <w:spacing w:line="440" w:lineRule="exact"/>
        <w:ind w:firstLine="422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29B77B7">
      <w:pPr>
        <w:pStyle w:val="4"/>
        <w:keepNext w:val="0"/>
        <w:keepLines w:val="0"/>
        <w:pageBreakBefore w:val="0"/>
        <w:widowControl w:val="0"/>
        <w:spacing w:line="440" w:lineRule="exact"/>
        <w:ind w:firstLine="422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t>采购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  <w:t>人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t>（以下称甲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 xml:space="preserve">方）: 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常州市武进区礼嘉镇人民政府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 xml:space="preserve">  </w:t>
      </w:r>
      <w:r>
        <w:rPr>
          <w:rFonts w:hint="eastAsia" w:hAnsi="宋体" w:cs="宋体"/>
          <w:b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合同编号：</w:t>
      </w:r>
    </w:p>
    <w:p w14:paraId="143B3226">
      <w:pPr>
        <w:pStyle w:val="4"/>
        <w:keepNext w:val="0"/>
        <w:keepLines w:val="0"/>
        <w:pageBreakBefore w:val="0"/>
        <w:widowControl w:val="0"/>
        <w:spacing w:line="440" w:lineRule="exact"/>
        <w:ind w:firstLine="422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供应商（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t>以下称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 xml:space="preserve">乙方）: </w:t>
      </w:r>
      <w:r>
        <w:rPr>
          <w:rFonts w:hint="eastAsia" w:hAnsi="宋体" w:cs="宋体"/>
          <w:b/>
          <w:color w:val="000000"/>
          <w:sz w:val="24"/>
          <w:szCs w:val="24"/>
          <w:highlight w:val="none"/>
          <w:lang w:eastAsia="zh-CN"/>
        </w:rPr>
        <w:t>江苏恒诺农业科技发展有限公司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签订地点：</w:t>
      </w:r>
    </w:p>
    <w:p w14:paraId="2E66E8D6">
      <w:pPr>
        <w:pStyle w:val="5"/>
        <w:keepNext w:val="0"/>
        <w:keepLines w:val="0"/>
        <w:pageBreakBefore w:val="0"/>
        <w:widowControl w:val="0"/>
        <w:spacing w:line="440" w:lineRule="exact"/>
        <w:ind w:firstLine="4800" w:firstLineChars="2000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合同时间: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 xml:space="preserve"> </w:t>
      </w:r>
      <w:r>
        <w:rPr>
          <w:rFonts w:hint="eastAsia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>2026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 xml:space="preserve"> 年</w:t>
      </w:r>
      <w:r>
        <w:rPr>
          <w:rFonts w:hint="eastAsia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月</w:t>
      </w:r>
      <w:r>
        <w:rPr>
          <w:rFonts w:hint="eastAsia" w:hAnsi="宋体" w:cs="宋体"/>
          <w:color w:val="000000"/>
          <w:sz w:val="24"/>
          <w:szCs w:val="24"/>
          <w:highlight w:val="none"/>
          <w:u w:val="single"/>
          <w:lang w:val="en-US" w:eastAsia="zh-CN"/>
        </w:rPr>
        <w:t>20</w:t>
      </w:r>
      <w:bookmarkStart w:id="0" w:name="_GoBack"/>
      <w:bookmarkEnd w:id="0"/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  <w:t>日</w:t>
      </w:r>
    </w:p>
    <w:p w14:paraId="2BFD7A3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甲乙双方依据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《中华人民共和国政府采购法》、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《中华人民共和国民法典》以及有关法律、法规的规定，经协商一致，订立本合同，以便共同遵守。</w:t>
      </w:r>
    </w:p>
    <w:p w14:paraId="3E730101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第一条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/>
        </w:rPr>
        <w:t xml:space="preserve"> 合同标的</w:t>
      </w:r>
    </w:p>
    <w:p w14:paraId="5052B535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1、甲方确定乙方为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礼嘉镇农村公路绿化养护服务的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实施人。</w:t>
      </w:r>
    </w:p>
    <w:p w14:paraId="2E06D895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服务期限:三年，合同一年一签，考核合格后续签下一年合同。</w:t>
      </w:r>
    </w:p>
    <w:p w14:paraId="59E18E08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本项目服务时间为3年，自2026年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日起至2029年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日止。</w:t>
      </w:r>
    </w:p>
    <w:p w14:paraId="224AF4B1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4</w:t>
      </w:r>
      <w:r>
        <w:rPr>
          <w:rFonts w:hint="eastAsia" w:hAnsi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本合同为第1年合同，自2026年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21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日起至2027年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月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日止。</w:t>
      </w:r>
    </w:p>
    <w:p w14:paraId="16096B4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</w:pP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、下列文件为本合同不可分割部分：</w:t>
      </w:r>
    </w:p>
    <w:p w14:paraId="28EA4BC0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①中标通知书；</w:t>
      </w:r>
    </w:p>
    <w:p w14:paraId="2CDF380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②乙方的投标文件；</w:t>
      </w:r>
    </w:p>
    <w:p w14:paraId="398871CF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③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招标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文件（含作业服务量清单及说明、作业服务要求、考评细则等）；</w:t>
      </w:r>
    </w:p>
    <w:p w14:paraId="4AB33379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④乙方在投标过程中所作的其它承诺、声明、书面澄清等。</w:t>
      </w:r>
    </w:p>
    <w:p w14:paraId="30E4DBBD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第二条 合同价格</w:t>
      </w:r>
    </w:p>
    <w:p w14:paraId="4BDF6B55">
      <w:pPr>
        <w:keepNext w:val="0"/>
        <w:keepLines w:val="0"/>
        <w:pageBreakBefore w:val="0"/>
        <w:widowControl/>
        <w:spacing w:line="440" w:lineRule="exact"/>
        <w:ind w:firstLine="480"/>
        <w:jc w:val="left"/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本项目三年合同总价款为人民币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1194000</w:t>
      </w:r>
      <w:r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（小写），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　壹佰壹拾玖万肆仟圆整　</w:t>
      </w:r>
      <w:r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（大写）。即年度合同总价款为人民币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　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en-US" w:eastAsia="zh-CN"/>
          <w14:textFill>
            <w14:solidFill>
              <w14:schemeClr w14:val="tx1"/>
            </w14:solidFill>
          </w14:textFill>
        </w:rPr>
        <w:t>398000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　　</w:t>
      </w:r>
      <w:r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（小写），</w:t>
      </w:r>
      <w:r>
        <w:rPr>
          <w:rFonts w:hint="eastAsia" w:ascii="宋体" w:hAnsi="宋体"/>
          <w:color w:val="000000" w:themeColor="text1"/>
          <w:sz w:val="24"/>
          <w:highlight w:val="none"/>
          <w:u w:val="single"/>
          <w:lang w:val="zh-CN"/>
          <w14:textFill>
            <w14:solidFill>
              <w14:schemeClr w14:val="tx1"/>
            </w14:solidFill>
          </w14:textFill>
        </w:rPr>
        <w:t>　叁拾玖万捌仟圆整</w:t>
      </w:r>
      <w:r>
        <w:rPr>
          <w:rFonts w:hint="eastAsia" w:ascii="宋体" w:hAnsi="宋体"/>
          <w:color w:val="000000" w:themeColor="text1"/>
          <w:sz w:val="24"/>
          <w:highlight w:val="none"/>
          <w:lang w:val="zh-CN"/>
          <w14:textFill>
            <w14:solidFill>
              <w14:schemeClr w14:val="tx1"/>
            </w14:solidFill>
          </w14:textFill>
        </w:rPr>
        <w:t>（大写）。</w:t>
      </w:r>
    </w:p>
    <w:p w14:paraId="76028C7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合同总价包括竞争性磋商文件所确定的采购范围相应服务的提供、人员（包括工资和补贴）、社会保险费、高温费、办公场所及设施、水电费、肥料、农药、保险、劳保、管理、各种税费、利润、税金、政策性文件规定及合同包含的所有风险、责任等各项应有费用，以及为完成该项服务项目所涉及到的一切相关费用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甲方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不再支付其他任何费用。如国家出台最低基本工资和最低社会保险缴纳基数标准等规定，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乙方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应保障服务人员的基本法定待遇，但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甲方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并不为此支付增加的有关费用。</w:t>
      </w:r>
    </w:p>
    <w:p w14:paraId="145FA7F8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三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条 合同款结算及支付</w:t>
      </w:r>
    </w:p>
    <w:p w14:paraId="285BD4D7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本合同项下所有款项均以人民币支付。</w:t>
      </w:r>
    </w:p>
    <w:p w14:paraId="4BEDB69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本合同项下的采购资金由甲方自行支付，乙方向甲方开具发票。</w:t>
      </w:r>
    </w:p>
    <w:p w14:paraId="6CE54A0C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付款方式：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服务期满后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，甲方根据考核结果向乙方支付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年度</w:t>
      </w:r>
      <w:r>
        <w:rPr>
          <w:rFonts w:hint="eastAsia" w:hAnsi="宋体" w:cs="宋体"/>
          <w:color w:val="000000"/>
          <w:sz w:val="24"/>
          <w:szCs w:val="24"/>
          <w:highlight w:val="none"/>
          <w:lang w:eastAsia="zh-CN"/>
        </w:rPr>
        <w:t>养护服务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费用。</w:t>
      </w:r>
    </w:p>
    <w:p w14:paraId="3204547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  <w:lang w:val="zh-CN"/>
        </w:rPr>
        <w:t>第四条　考核方式</w:t>
      </w:r>
    </w:p>
    <w:p w14:paraId="3BCE1B4B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考核周期为每季度考核。</w:t>
      </w:r>
    </w:p>
    <w:p w14:paraId="226EF87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A、考核得分90分（含）以上的，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不扣除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季度养护费用；</w:t>
      </w:r>
    </w:p>
    <w:p w14:paraId="54E7C6D1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B、考核得分8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分（含）--89分（含）的，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扣除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季度养护费用的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% ；</w:t>
      </w:r>
    </w:p>
    <w:p w14:paraId="73B248E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C、考核得分 71分（含）--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80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分（含）的，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扣除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季度养护费用的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%； </w:t>
      </w:r>
    </w:p>
    <w:p w14:paraId="022E5B2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D、考核得分70分及以下的为不合格，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扣除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季度养护费用的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%；</w:t>
      </w:r>
    </w:p>
    <w:p w14:paraId="0AC50DFC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</w:pP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E、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一年内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累计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2个季度考核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不合格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的，采购人有权直接终止合同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，并不承担违约金和赔偿受托方的任何损失。</w:t>
      </w:r>
    </w:p>
    <w:p w14:paraId="5CBEC8A0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t>第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val="zh-CN"/>
        </w:rPr>
        <w:t>五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zh-CN"/>
        </w:rPr>
        <w:t>条　履约验收</w:t>
      </w:r>
    </w:p>
    <w:p w14:paraId="4ACBB5C9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验收主体：采购人</w:t>
      </w:r>
    </w:p>
    <w:p w14:paraId="7C21005B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验收时间：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履约验收条件达到时，采购人应当在5个工作日内启动履约验收工作，并向供应商发出《政府采购履约验收通知单》。</w:t>
      </w:r>
    </w:p>
    <w:p w14:paraId="6E24CB67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验收方式：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采购人应当成立验收小组，负责采购项目履约验收具体工作。</w:t>
      </w:r>
    </w:p>
    <w:p w14:paraId="66B23A41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验收内容：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验收小组应当制定验收工作实施方案，按照方案开展验收，出具验收意见。</w:t>
      </w:r>
    </w:p>
    <w:p w14:paraId="661583D0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验收标准：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应当符合政府采购合同约定、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乙方投标文件的承诺、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法律法规以及国家强制性标准等，对服务类采购项目，可以参照行业标准、专业标准等。</w:t>
      </w:r>
    </w:p>
    <w:p w14:paraId="2FDFB009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eastAsia="zh-CN"/>
        </w:rPr>
        <w:t>六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条 甲方权利和义务</w:t>
      </w:r>
    </w:p>
    <w:p w14:paraId="7D8166E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1.甲方根据绿化养护要求及乙方投标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响应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文件中的承诺，对乙方提供的服务及履行本合同情况实行监督考核。</w:t>
      </w:r>
    </w:p>
    <w:p w14:paraId="5B58A77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2.甲方有权制定、调整绿化养护相关考核办法、奖惩细则等，对乙方养护工作及现场效果根据相关考核文件进行考核，并根据考核结果支付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养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护费用。</w:t>
      </w:r>
    </w:p>
    <w:p w14:paraId="5DDDA6CF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3.若乙方在承包养护期间，因将绿化养护管理转包他人或发生其他严重侵害甲方利益的行为，甲方有权终止合同。</w:t>
      </w:r>
    </w:p>
    <w:p w14:paraId="71331688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4.听取乙方提出的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合理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建议并给予答复。</w:t>
      </w:r>
    </w:p>
    <w:p w14:paraId="7CF0F492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eastAsia="zh-CN"/>
        </w:rPr>
        <w:t>七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条 乙方权利和义务</w:t>
      </w:r>
    </w:p>
    <w:p w14:paraId="1832B42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.乙方承担独立绿化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养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作业中的安全责任和经济赔偿。</w:t>
      </w:r>
    </w:p>
    <w:p w14:paraId="2FC81CB9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.乙方有义务按照绿化养护技术规范、质量标准、考核办法等，主动做好绿化养护工作。</w:t>
      </w:r>
    </w:p>
    <w:p w14:paraId="6DC4941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3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.乙方有义务接受并配合甲方及行业管理部门的考核及其结果。</w:t>
      </w:r>
    </w:p>
    <w:p w14:paraId="52B8693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4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.乙方有义务做好甲方合理布置的养护范围之外的突击性、突发性工作，不得无故拖延。</w:t>
      </w:r>
    </w:p>
    <w:p w14:paraId="4F256568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5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养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不当造成植物死亡、设施损坏的，应及时补植和修复或照价赔偿。</w:t>
      </w:r>
    </w:p>
    <w:p w14:paraId="6647C5D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6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.准时参加甲方召开的会议。</w:t>
      </w:r>
    </w:p>
    <w:p w14:paraId="2B454306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第</w:t>
      </w:r>
      <w:r>
        <w:rPr>
          <w:rFonts w:hint="eastAsia" w:hAnsi="宋体" w:cs="宋体"/>
          <w:b/>
          <w:color w:val="000000"/>
          <w:sz w:val="24"/>
          <w:szCs w:val="24"/>
          <w:highlight w:val="none"/>
          <w:lang w:val="en-US" w:eastAsia="zh-CN" w:bidi="ar-SA"/>
        </w:rPr>
        <w:t>八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条 违约责任</w:t>
      </w:r>
    </w:p>
    <w:p w14:paraId="21765C38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1、合同一方不履行合同义务或违反履行合同义务约定的，应当承担继续履行、采取补救措施或者赔偿损失等违约责任。</w:t>
      </w:r>
    </w:p>
    <w:p w14:paraId="29DF55A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第</w:t>
      </w:r>
      <w:r>
        <w:rPr>
          <w:rFonts w:hint="eastAsia" w:hAnsi="宋体" w:cs="宋体"/>
          <w:b/>
          <w:color w:val="000000"/>
          <w:sz w:val="24"/>
          <w:szCs w:val="24"/>
          <w:highlight w:val="none"/>
          <w:lang w:val="en-US" w:eastAsia="zh-CN" w:bidi="ar-SA"/>
        </w:rPr>
        <w:t>九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条 不可抗力</w:t>
      </w:r>
    </w:p>
    <w:p w14:paraId="7EC73841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1、因不可抗力（或甲、乙双方不能控制的原因）不能履行合同的，根据不可抗力的影响，部分或者全部免除责任，但合同一方迟延履行后发生不可抗力的，不能免除其责任。</w:t>
      </w:r>
    </w:p>
    <w:p w14:paraId="2EE92580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2、合同一方因不可抗力不能履行合同的，应当及时通知对方，以减轻可能给对方造成的损失，并应当在合理期限内提供证明。</w:t>
      </w:r>
    </w:p>
    <w:p w14:paraId="5E8BA3A3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第</w:t>
      </w:r>
      <w:r>
        <w:rPr>
          <w:rFonts w:hint="eastAsia" w:hAnsi="宋体" w:cs="宋体"/>
          <w:b/>
          <w:color w:val="000000"/>
          <w:sz w:val="24"/>
          <w:szCs w:val="24"/>
          <w:highlight w:val="none"/>
          <w:lang w:val="en-US" w:eastAsia="zh-CN" w:bidi="ar-SA"/>
        </w:rPr>
        <w:t>十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val="en-US" w:eastAsia="zh-CN" w:bidi="ar-SA"/>
        </w:rPr>
        <w:t>条 合同的解除和转让</w:t>
      </w:r>
    </w:p>
    <w:p w14:paraId="24CC216A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、甲方和乙方协商一致，可以解除合同。</w:t>
      </w:r>
    </w:p>
    <w:p w14:paraId="3AC9FFEE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2、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有下列情况之一，合同方可以解除合同；</w:t>
      </w:r>
    </w:p>
    <w:p w14:paraId="57C48ECF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（1）因不可抗力致使不能实现合同目的，未受不可抗力影响的一方有权解除合同；</w:t>
      </w:r>
    </w:p>
    <w:p w14:paraId="7E9A7A1D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（2）因合同一方违约导致合同不能履行，另一方有权解除合同。</w:t>
      </w:r>
    </w:p>
    <w:p w14:paraId="0ED1DCE0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3、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有权解除合同的一方，应当在违约事实或不可抗力发生之后30天内书面通知对方提出解除合同，合同在书面通知到达对方时解除。</w:t>
      </w:r>
    </w:p>
    <w:p w14:paraId="485C4076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4、合同的部分或全部都不准转包或分包。</w:t>
      </w:r>
    </w:p>
    <w:p w14:paraId="5D52B9D4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5、若发生以下情形之一的，甲方将单方面解除承包合同。</w:t>
      </w:r>
    </w:p>
    <w:p w14:paraId="6439181D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（1）实际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养护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方案与约定的方案不一致、五日之内未实行约定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养护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方案的；</w:t>
      </w:r>
    </w:p>
    <w:p w14:paraId="29D46435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（2）一年内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累计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2个季度考核</w:t>
      </w:r>
      <w:r>
        <w:rPr>
          <w:rFonts w:hint="eastAsia" w:hAnsi="宋体" w:cs="宋体"/>
          <w:color w:val="000000"/>
          <w:sz w:val="24"/>
          <w:szCs w:val="24"/>
          <w:highlight w:val="none"/>
          <w:lang w:val="en-US" w:eastAsia="zh-CN"/>
        </w:rPr>
        <w:t>不合格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>的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；</w:t>
      </w:r>
    </w:p>
    <w:p w14:paraId="36619DA9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（3）媒体曝光、市民纸质投诉反映强烈、上级部门暗访发现问题且整改不力的；</w:t>
      </w:r>
    </w:p>
    <w:p w14:paraId="768BAD10">
      <w:pPr>
        <w:pStyle w:val="6"/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（4）发现合同转包或分包的。</w:t>
      </w:r>
    </w:p>
    <w:p w14:paraId="3412BC47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十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eastAsia="zh-CN"/>
        </w:rPr>
        <w:t>一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条 争议的解决</w:t>
      </w:r>
    </w:p>
    <w:p w14:paraId="5B94D58B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1.因履行本合同引起的或与本合同有关的争议，甲、乙双方应首先通过友好协商解决，如果协商不能解决争议，则采取以下第（1）种方式解决争议：</w:t>
      </w:r>
    </w:p>
    <w:p w14:paraId="6595FD57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（1）向甲方所在地人民法院提起诉讼；</w:t>
      </w:r>
    </w:p>
    <w:p w14:paraId="079154D7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（2）向甲方所在地仲裁委员会按其仲裁规则申请仲裁。</w:t>
      </w:r>
    </w:p>
    <w:p w14:paraId="329D6D32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如没有约定，默认采取第2种方式解决争议。</w:t>
      </w:r>
    </w:p>
    <w:p w14:paraId="0CB47317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2.在法院审理和仲裁期间，除有争议部分外，本合同其他部分应继续履行。</w:t>
      </w:r>
    </w:p>
    <w:p w14:paraId="3F652336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第十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eastAsia="zh-CN"/>
        </w:rPr>
        <w:t>二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 xml:space="preserve">条 诚实信用 </w:t>
      </w:r>
    </w:p>
    <w:p w14:paraId="5FCC5C60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乙方应诚实信用，严格按照竞争性磋商文件要求和磋商承诺履行合同，不向甲方进行商业贿赂或者提供不正当利益。</w:t>
      </w:r>
    </w:p>
    <w:p w14:paraId="34BC1B97">
      <w:pPr>
        <w:keepNext w:val="0"/>
        <w:keepLines w:val="0"/>
        <w:pageBreakBefore w:val="0"/>
        <w:spacing w:line="440" w:lineRule="exact"/>
        <w:ind w:firstLine="487"/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</w:pP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第十</w:t>
      </w:r>
      <w:r>
        <w:rPr>
          <w:rFonts w:hint="eastAsia" w:ascii="宋体" w:hAnsi="宋体" w:cs="宋体"/>
          <w:b/>
          <w:color w:val="000000"/>
          <w:sz w:val="24"/>
          <w:szCs w:val="24"/>
          <w:highlight w:val="none"/>
          <w:lang w:eastAsia="zh-CN"/>
        </w:rPr>
        <w:t>三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</w:rPr>
        <w:t>条 合同生效及其</w:t>
      </w:r>
      <w:r>
        <w:rPr>
          <w:rFonts w:hint="eastAsia" w:ascii="宋体" w:hAnsi="宋体" w:eastAsia="宋体" w:cs="宋体"/>
          <w:b/>
          <w:color w:val="000000"/>
          <w:sz w:val="24"/>
          <w:szCs w:val="24"/>
          <w:highlight w:val="none"/>
          <w:lang w:eastAsia="zh-CN"/>
        </w:rPr>
        <w:t>它</w:t>
      </w:r>
    </w:p>
    <w:p w14:paraId="3B674F78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1、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本合同由甲乙双方签字、盖章后生效。</w:t>
      </w:r>
    </w:p>
    <w:p w14:paraId="2615D379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2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、本合同一式陆份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，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甲、乙方各持叁份。</w:t>
      </w:r>
    </w:p>
    <w:p w14:paraId="17DCB680">
      <w:pPr>
        <w:keepNext w:val="0"/>
        <w:keepLines w:val="0"/>
        <w:pageBreakBefore w:val="0"/>
        <w:spacing w:line="440" w:lineRule="exact"/>
        <w:ind w:firstLine="484"/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zh-CN"/>
        </w:rPr>
        <w:t>3、本合同应按照中华人民共和国的现行法律进行解释。</w:t>
      </w:r>
    </w:p>
    <w:p w14:paraId="4FC9082F">
      <w:pPr>
        <w:keepNext w:val="0"/>
        <w:keepLines w:val="0"/>
        <w:pageBreakBefore w:val="0"/>
        <w:spacing w:line="440" w:lineRule="exact"/>
        <w:ind w:firstLine="426"/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</w:pPr>
    </w:p>
    <w:p w14:paraId="0F94A98F">
      <w:pPr>
        <w:keepNext w:val="0"/>
        <w:keepLines w:val="0"/>
        <w:pageBreakBefore w:val="0"/>
        <w:spacing w:line="440" w:lineRule="exact"/>
        <w:ind w:firstLine="632"/>
        <w:jc w:val="left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甲    方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：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b/>
          <w:bCs/>
          <w:color w:val="000000"/>
          <w:sz w:val="24"/>
          <w:szCs w:val="24"/>
          <w:highlight w:val="none"/>
        </w:rPr>
        <w:t>乙    方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：</w:t>
      </w:r>
    </w:p>
    <w:p w14:paraId="603600D4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单位名称（章）：                          单位名称（章）：</w:t>
      </w:r>
    </w:p>
    <w:p w14:paraId="1AC5FD1E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  <w:u w:val="singl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单位地址：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 单位地址：</w:t>
      </w:r>
    </w:p>
    <w:p w14:paraId="370A09CC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（授权）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代表人：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法定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eastAsia="zh-CN"/>
        </w:rPr>
        <w:t>（授权）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代表人：                              </w:t>
      </w:r>
    </w:p>
    <w:p w14:paraId="121B58FE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电话：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电话：            传真：</w:t>
      </w:r>
    </w:p>
    <w:p w14:paraId="76E41198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 xml:space="preserve">传真：                                  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  <w:lang w:val="en-US" w:eastAsia="zh-CN"/>
        </w:rPr>
        <w:t xml:space="preserve"> </w:t>
      </w:r>
      <w:r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  <w:t>开户银行：        帐号</w:t>
      </w:r>
    </w:p>
    <w:p w14:paraId="5BF39ED8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37FD277C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6063BC42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2BE4290D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322771E5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5800F915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5950319F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17368BD5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34D11A9F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185BD48E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091F2D04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37ECB566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3DCF8936">
      <w:pPr>
        <w:keepNext w:val="0"/>
        <w:keepLines w:val="0"/>
        <w:pageBreakBefore w:val="0"/>
        <w:spacing w:line="440" w:lineRule="exact"/>
        <w:ind w:firstLine="630"/>
        <w:rPr>
          <w:rFonts w:hint="eastAsia" w:ascii="宋体" w:hAnsi="宋体" w:eastAsia="宋体" w:cs="宋体"/>
          <w:color w:val="000000"/>
          <w:sz w:val="24"/>
          <w:szCs w:val="24"/>
          <w:highlight w:val="none"/>
        </w:rPr>
      </w:pPr>
    </w:p>
    <w:p w14:paraId="505910D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6482CFE"/>
    <w:rsid w:val="209A6308"/>
    <w:rsid w:val="46482CFE"/>
    <w:rsid w:val="53997BC8"/>
    <w:rsid w:val="53B556BD"/>
    <w:rsid w:val="6379579E"/>
    <w:rsid w:val="75DF4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纯文本1"/>
    <w:basedOn w:val="1"/>
    <w:next w:val="5"/>
    <w:qFormat/>
    <w:uiPriority w:val="0"/>
    <w:rPr>
      <w:rFonts w:hint="eastAsia" w:ascii="宋体" w:hAnsi="Courier New"/>
      <w:szCs w:val="20"/>
    </w:rPr>
  </w:style>
  <w:style w:type="paragraph" w:customStyle="1" w:styleId="5">
    <w:name w:val="正文缩进1111"/>
    <w:basedOn w:val="1"/>
    <w:next w:val="1"/>
    <w:qFormat/>
    <w:uiPriority w:val="0"/>
    <w:pPr>
      <w:ind w:firstLine="420"/>
      <w:jc w:val="left"/>
    </w:pPr>
    <w:rPr>
      <w:rFonts w:ascii="宋体"/>
      <w:sz w:val="24"/>
    </w:rPr>
  </w:style>
  <w:style w:type="paragraph" w:customStyle="1" w:styleId="6">
    <w:name w:val="纯文本11"/>
    <w:basedOn w:val="1"/>
    <w:next w:val="7"/>
    <w:qFormat/>
    <w:uiPriority w:val="0"/>
    <w:rPr>
      <w:rFonts w:hint="eastAsia" w:ascii="宋体" w:hAnsi="Courier New"/>
      <w:szCs w:val="20"/>
    </w:rPr>
  </w:style>
  <w:style w:type="paragraph" w:customStyle="1" w:styleId="7">
    <w:name w:val="正文缩进111"/>
    <w:basedOn w:val="1"/>
    <w:next w:val="1"/>
    <w:qFormat/>
    <w:uiPriority w:val="0"/>
    <w:pPr>
      <w:ind w:firstLine="420"/>
      <w:jc w:val="left"/>
    </w:pPr>
    <w:rPr>
      <w:rFonts w:ascii="宋体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2453</Words>
  <Characters>2536</Characters>
  <Lines>0</Lines>
  <Paragraphs>0</Paragraphs>
  <TotalTime>17</TotalTime>
  <ScaleCrop>false</ScaleCrop>
  <LinksUpToDate>false</LinksUpToDate>
  <CharactersWithSpaces>2825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2026-05-18T02:10:00Z</dcterms:created>
  <dc:creator>嘿嘿嘿</dc:creator>
  <cp:lastModifiedBy>良哥</cp:lastModifiedBy>
  <dcterms:modified xsi:type="dcterms:W3CDTF">2026-08-11T06:53:10Z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68F81438D1C14D84BC079EF0B1EB7814_11</vt:lpwstr>
  </property>
  <property fmtid="{D5CDD505-2E9C-101B-9397-08002B2CF9AE}" pid="4" name="KSOTemplateDocerSaveRecord">
    <vt:lpwstr>eyJoZGlkIjoiNzc3ZTQwYWIzZWY5M2IyNzQ5MWI1NWNiMTU2MDE2ODgiLCJ1c2VySWQiOiI3OTI2NTY4NDgifQ==</vt:lpwstr>
  </property>
</Properties>
</file>