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ind w:firstLine="0"/>
        <w:jc w:val="center"/>
        <w:spacing w:line="56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1026"/>
        <w:ind w:firstLine="0"/>
        <w:jc w:val="center"/>
        <w:rPr>
          <w:rFonts w:hint="eastAsia" w:eastAsia="黑体"/>
          <w:sz w:val="72"/>
          <w:szCs w:val="72"/>
          <w:highlight w:val="none"/>
        </w:rPr>
      </w:pPr>
      <w:r>
        <w:rPr>
          <w:rFonts w:hint="eastAsia" w:eastAsia="黑体"/>
          <w:b/>
          <w:bCs/>
          <w:sz w:val="72"/>
          <w:szCs w:val="72"/>
          <w:highlight w:val="none"/>
        </w:rPr>
        <w:t xml:space="preserve">招　标　文　件</w:t>
      </w:r>
      <w:r/>
    </w:p>
    <w:p>
      <w:pPr>
        <w:pStyle w:val="1026"/>
        <w:ind w:firstLine="0"/>
        <w:jc w:val="center"/>
        <w:spacing w:line="560" w:lineRule="exact"/>
        <w:rPr>
          <w:rFonts w:hint="eastAsia" w:eastAsia="黑体"/>
          <w:b/>
          <w:bCs/>
          <w:highlight w:val="none"/>
        </w:rPr>
      </w:pPr>
      <w:r>
        <w:rPr>
          <w:rFonts w:hint="eastAsia" w:eastAsia="黑体"/>
          <w:b/>
          <w:bCs/>
          <w:highlight w:val="none"/>
        </w:rPr>
      </w:r>
      <w:r/>
    </w:p>
    <w:p>
      <w:pPr>
        <w:jc w:val="center"/>
        <w:keepLines w:val="0"/>
        <w:keepNext w:val="0"/>
        <w:pageBreakBefore w:val="0"/>
        <w:spacing w:before="270" w:line="360" w:lineRule="auto"/>
        <w:widowControl/>
        <w:rPr>
          <w:rFonts w:hint="eastAsia" w:ascii="黑体" w:hAnsi="黑体" w:eastAsia="黑体" w:cs="黑体"/>
          <w:b w:val="0"/>
          <w:bCs w:val="0"/>
          <w:sz w:val="32"/>
          <w:szCs w:val="32"/>
          <w:highlight w:val="none"/>
          <w:lang w:val="en-US" w:eastAsia="zh-CN" w:bidi="ar-SA"/>
        </w:rPr>
        <w:outlineLvl w:val="9"/>
      </w:pPr>
      <w:r>
        <w:rPr>
          <w:rFonts w:hint="eastAsia" w:ascii="黑体" w:hAnsi="黑体" w:eastAsia="黑体" w:cs="黑体"/>
          <w:b w:val="0"/>
          <w:bCs w:val="0"/>
          <w:sz w:val="32"/>
          <w:szCs w:val="32"/>
          <w:highlight w:val="none"/>
          <w:lang w:val="en-US" w:eastAsia="zh-CN" w:bidi="ar-SA"/>
        </w:rPr>
        <w:t xml:space="preserve">（全流程电子化不见面开标）</w:t>
      </w:r>
      <w:r/>
    </w:p>
    <w:p>
      <w:pPr>
        <w:pStyle w:val="1026"/>
        <w:ind w:firstLine="0"/>
        <w:jc w:val="center"/>
        <w:spacing w:line="560" w:lineRule="exact"/>
        <w:rPr>
          <w:rFonts w:hint="eastAsia" w:eastAsia="黑体"/>
          <w:b/>
          <w:bCs/>
          <w:highlight w:val="none"/>
        </w:rPr>
      </w:pPr>
      <w:r>
        <w:rPr>
          <w:rFonts w:hint="eastAsia" w:eastAsia="黑体"/>
          <w:b/>
          <w:bCs/>
          <w:highlight w:val="none"/>
        </w:rPr>
      </w:r>
      <w:r/>
    </w:p>
    <w:p>
      <w:pPr>
        <w:pStyle w:val="1026"/>
        <w:ind w:left="0" w:firstLine="0"/>
        <w:jc w:val="center"/>
        <w:spacing w:line="560" w:lineRule="exact"/>
        <w:rPr>
          <w:rFonts w:hint="default"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rPr>
        <w:t xml:space="preserve">项目名称：</w:t>
      </w:r>
      <w:r>
        <w:rPr>
          <w:rFonts w:hint="eastAsia" w:ascii="黑体" w:hAnsi="黑体" w:eastAsia="黑体" w:cs="黑体"/>
          <w:b w:val="0"/>
          <w:bCs w:val="0"/>
          <w:sz w:val="32"/>
          <w:szCs w:val="32"/>
          <w:highlight w:val="none"/>
          <w:lang w:eastAsia="zh-CN"/>
        </w:rPr>
        <w:t xml:space="preserve">泰兴市医疗机构医疗责任保险业务承办项目</w:t>
      </w:r>
      <w:r/>
    </w:p>
    <w:p>
      <w:pPr>
        <w:pStyle w:val="1026"/>
        <w:ind w:firstLine="0"/>
        <w:spacing w:line="560" w:lineRule="exact"/>
        <w:rPr>
          <w:rFonts w:hint="eastAsia" w:ascii="Calibri" w:hAnsi="Calibri" w:eastAsia="华文新魏"/>
          <w:sz w:val="32"/>
          <w:szCs w:val="32"/>
          <w:highlight w:val="none"/>
        </w:rPr>
      </w:pPr>
      <w:r>
        <w:rPr>
          <w:rFonts w:hint="eastAsia" w:ascii="Calibri" w:hAnsi="Calibri" w:eastAsia="华文新魏"/>
          <w:sz w:val="32"/>
          <w:szCs w:val="32"/>
          <w:highlight w:val="none"/>
        </w:rPr>
      </w:r>
      <w:r/>
    </w:p>
    <w:p>
      <w:pPr>
        <w:jc w:val="center"/>
        <w:spacing w:line="560" w:lineRule="exact"/>
        <w:rPr>
          <w:rFonts w:hint="default" w:ascii="黑体" w:hAnsi="黑体" w:eastAsia="黑体" w:cs="黑体"/>
          <w:b w:val="0"/>
          <w:bCs w:val="0"/>
          <w:color w:val="auto"/>
          <w:sz w:val="32"/>
          <w:szCs w:val="32"/>
          <w:highlight w:val="none"/>
          <w:lang w:val="en-US" w:eastAsia="zh-CN" w:bidi="ar-SA"/>
        </w:rPr>
      </w:pPr>
      <w:r>
        <w:rPr>
          <w:rFonts w:hint="eastAsia" w:ascii="黑体" w:hAnsi="黑体" w:eastAsia="黑体" w:cs="黑体"/>
          <w:b w:val="0"/>
          <w:bCs w:val="0"/>
          <w:color w:val="auto"/>
          <w:sz w:val="32"/>
          <w:szCs w:val="32"/>
          <w:highlight w:val="none"/>
          <w:lang w:val="en-US" w:eastAsia="zh-CN" w:bidi="ar-SA"/>
        </w:rPr>
        <w:t xml:space="preserve">项目编号：JSZC-321283-HTBX-G2026-0007</w:t>
      </w:r>
      <w:r/>
    </w:p>
    <w:p>
      <w:pPr>
        <w:jc w:val="center"/>
        <w:rPr>
          <w:rFonts w:ascii="Calibri" w:hAnsi="Calibri" w:eastAsia="华文新魏"/>
          <w:sz w:val="32"/>
          <w:szCs w:val="32"/>
          <w:highlight w:val="none"/>
        </w:rPr>
      </w:pPr>
      <w:r>
        <w:rPr>
          <w:rFonts w:ascii="Calibri" w:hAnsi="Calibri" w:eastAsia="华文新魏"/>
          <w:sz w:val="32"/>
          <w:szCs w:val="32"/>
          <w:highlight w:val="none"/>
        </w:rPr>
      </w:r>
      <w:r/>
    </w:p>
    <w:p>
      <w:pPr>
        <w:pStyle w:val="1026"/>
        <w:ind w:firstLine="0"/>
        <w:jc w:val="center"/>
        <w:spacing w:before="0" w:after="0" w:line="560" w:lineRule="exact"/>
        <w:rPr>
          <w:rFonts w:hint="eastAsia" w:ascii="宋体" w:hAnsi="宋体"/>
          <w:highlight w:val="none"/>
        </w:rPr>
      </w:pPr>
      <w:r>
        <w:rPr>
          <w:rFonts w:hint="eastAsia" w:ascii="宋体" w:hAnsi="宋体"/>
          <w:highlight w:val="none"/>
        </w:rPr>
      </w:r>
      <w:r/>
    </w:p>
    <w:p>
      <w:pPr>
        <w:pStyle w:val="1026"/>
        <w:ind w:firstLine="0"/>
        <w:jc w:val="center"/>
        <w:spacing w:before="0" w:after="0" w:line="560" w:lineRule="exact"/>
        <w:rPr>
          <w:rFonts w:hint="eastAsia" w:ascii="宋体" w:hAnsi="宋体"/>
          <w:highlight w:val="none"/>
        </w:rPr>
      </w:pPr>
      <w:r>
        <w:rPr>
          <w:rFonts w:hint="eastAsia" w:ascii="宋体" w:hAnsi="宋体"/>
          <w:highlight w:val="none"/>
        </w:rPr>
      </w:r>
      <w:r/>
    </w:p>
    <w:p>
      <w:pPr>
        <w:pStyle w:val="1026"/>
        <w:ind w:firstLine="0"/>
        <w:jc w:val="center"/>
        <w:spacing w:before="0" w:after="0" w:line="560" w:lineRule="exact"/>
        <w:rPr>
          <w:rFonts w:hint="eastAsia" w:ascii="宋体" w:hAnsi="宋体"/>
          <w:highlight w:val="none"/>
        </w:rPr>
      </w:pPr>
      <w:r>
        <w:rPr>
          <w:rFonts w:hint="eastAsia" w:ascii="宋体" w:hAnsi="宋体"/>
          <w:highlight w:val="none"/>
        </w:rPr>
      </w:r>
      <w:r/>
    </w:p>
    <w:p>
      <w:pPr>
        <w:pStyle w:val="1026"/>
        <w:ind w:firstLine="0"/>
        <w:jc w:val="both"/>
        <w:spacing w:before="0" w:after="0" w:line="560" w:lineRule="exact"/>
        <w:rPr>
          <w:rFonts w:hint="eastAsia" w:ascii="宋体" w:hAnsi="宋体"/>
          <w:highlight w:val="none"/>
        </w:rPr>
      </w:pPr>
      <w:r>
        <w:rPr>
          <w:rFonts w:hint="eastAsia" w:ascii="宋体" w:hAnsi="宋体"/>
          <w:highlight w:val="none"/>
        </w:rPr>
      </w:r>
      <w:r/>
    </w:p>
    <w:p>
      <w:pPr>
        <w:pStyle w:val="1026"/>
        <w:ind w:firstLine="0"/>
        <w:jc w:val="center"/>
        <w:spacing w:line="560" w:lineRule="exact"/>
        <w:rPr>
          <w:rFonts w:hint="eastAsia"/>
          <w:b/>
          <w:bCs/>
          <w:highlight w:val="none"/>
        </w:rPr>
      </w:pPr>
      <w:r>
        <w:rPr>
          <w:rFonts w:hint="eastAsia"/>
          <w:b/>
          <w:bCs/>
          <w:highlight w:val="none"/>
        </w:rPr>
      </w:r>
      <w:r/>
    </w:p>
    <w:p>
      <w:pPr>
        <w:pStyle w:val="1026"/>
        <w:ind w:left="0" w:firstLine="0"/>
        <w:jc w:val="center"/>
        <w:spacing w:line="560" w:lineRule="exact"/>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rPr>
        <w:t xml:space="preserve">采   购   人：</w:t>
      </w:r>
      <w:r>
        <w:rPr>
          <w:rFonts w:hint="eastAsia" w:ascii="黑体" w:hAnsi="黑体" w:eastAsia="黑体" w:cs="黑体"/>
          <w:b w:val="0"/>
          <w:bCs w:val="0"/>
          <w:sz w:val="32"/>
          <w:szCs w:val="32"/>
          <w:highlight w:val="none"/>
          <w:lang w:val="en-US" w:eastAsia="zh-CN"/>
        </w:rPr>
        <w:t xml:space="preserve">泰兴市卫生健康委员会</w:t>
      </w:r>
      <w:r/>
    </w:p>
    <w:p>
      <w:pPr>
        <w:pStyle w:val="1026"/>
        <w:ind w:left="0" w:firstLine="0"/>
        <w:jc w:val="center"/>
        <w:spacing w:line="560" w:lineRule="exact"/>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rPr>
        <w:t xml:space="preserve">采购代理机构：恒泰保险经纪有限公司</w:t>
      </w:r>
      <w:r/>
    </w:p>
    <w:p>
      <w:pPr>
        <w:pStyle w:val="1026"/>
        <w:ind w:firstLine="964"/>
        <w:jc w:val="center"/>
        <w:spacing w:line="560" w:lineRule="exact"/>
        <w:rPr>
          <w:rFonts w:hint="eastAsia"/>
          <w:b/>
          <w:bCs/>
          <w:sz w:val="32"/>
          <w:szCs w:val="32"/>
          <w:highlight w:val="none"/>
        </w:rPr>
      </w:pPr>
      <w:r>
        <w:rPr>
          <w:rFonts w:hint="eastAsia"/>
          <w:b/>
          <w:bCs/>
          <w:sz w:val="32"/>
          <w:szCs w:val="32"/>
          <w:highlight w:val="none"/>
        </w:rPr>
      </w:r>
      <w:r/>
    </w:p>
    <w:p>
      <w:pPr>
        <w:pStyle w:val="1026"/>
        <w:ind w:firstLine="0"/>
        <w:jc w:val="both"/>
        <w:spacing w:line="560" w:lineRule="exact"/>
        <w:rPr>
          <w:rFonts w:hint="eastAsia"/>
          <w:b/>
          <w:bCs/>
          <w:sz w:val="32"/>
          <w:szCs w:val="32"/>
          <w:highlight w:val="none"/>
        </w:rPr>
      </w:pPr>
      <w:r>
        <w:rPr>
          <w:rFonts w:hint="eastAsia"/>
          <w:b/>
          <w:bCs/>
          <w:sz w:val="32"/>
          <w:szCs w:val="32"/>
          <w:highlight w:val="none"/>
        </w:rPr>
      </w:r>
      <w:r/>
    </w:p>
    <w:p>
      <w:pPr>
        <w:pStyle w:val="1026"/>
        <w:ind w:left="0" w:firstLine="0"/>
        <w:jc w:val="center"/>
        <w:spacing w:line="560" w:lineRule="exact"/>
        <w:rPr>
          <w:rFonts w:hint="eastAsia" w:eastAsia="宋体"/>
          <w:b/>
          <w:bCs/>
          <w:sz w:val="32"/>
          <w:szCs w:val="32"/>
          <w:highlight w:val="none"/>
          <w:lang w:val="en-US" w:eastAsia="zh-CN"/>
        </w:rPr>
      </w:pPr>
      <w:r>
        <w:rPr>
          <w:rFonts w:hint="eastAsia"/>
          <w:b/>
          <w:bCs/>
          <w:sz w:val="32"/>
          <w:szCs w:val="32"/>
          <w:highlight w:val="none"/>
          <w:lang w:eastAsia="zh-CN"/>
        </w:rPr>
        <w:t xml:space="preserve">二〇二</w:t>
      </w:r>
      <w:r>
        <w:rPr>
          <w:rFonts w:hint="eastAsia"/>
          <w:b/>
          <w:bCs/>
          <w:sz w:val="32"/>
          <w:szCs w:val="32"/>
          <w:highlight w:val="none"/>
          <w:lang w:val="en-US" w:eastAsia="zh-CN"/>
        </w:rPr>
        <w:t xml:space="preserve">六</w:t>
      </w:r>
      <w:r>
        <w:rPr>
          <w:rFonts w:hint="eastAsia"/>
          <w:b/>
          <w:bCs/>
          <w:sz w:val="32"/>
          <w:szCs w:val="32"/>
          <w:highlight w:val="none"/>
        </w:rPr>
        <w:t xml:space="preserve">年</w:t>
      </w:r>
      <w:r>
        <w:rPr>
          <w:rFonts w:hint="eastAsia"/>
          <w:b/>
          <w:bCs/>
          <w:sz w:val="32"/>
          <w:szCs w:val="32"/>
          <w:highlight w:val="none"/>
          <w:lang w:val="en-US" w:eastAsia="zh-CN"/>
        </w:rPr>
        <w:t xml:space="preserve">八月</w:t>
      </w:r>
      <w:r/>
    </w:p>
    <w:p>
      <w:pPr>
        <w:pStyle w:val="1026"/>
        <w:ind w:left="0" w:firstLine="0"/>
        <w:jc w:val="center"/>
        <w:spacing w:line="560" w:lineRule="exact"/>
        <w:rPr>
          <w:rFonts w:hint="eastAsia"/>
          <w:b/>
          <w:bCs/>
          <w:sz w:val="32"/>
          <w:szCs w:val="32"/>
          <w:highlight w:val="none"/>
        </w:rPr>
      </w:pPr>
      <w:r>
        <w:rPr>
          <w:rFonts w:hint="eastAsia"/>
          <w:b/>
          <w:bCs/>
          <w:sz w:val="32"/>
          <w:szCs w:val="32"/>
          <w:highlight w:val="none"/>
        </w:rPr>
      </w:r>
      <w:r/>
    </w:p>
    <w:p>
      <w:pPr>
        <w:jc w:val="center"/>
        <w:spacing w:line="560" w:lineRule="exact"/>
        <w:rPr>
          <w:rFonts w:hint="eastAsia" w:ascii="黑体" w:hAnsi="黑体" w:eastAsia="黑体" w:cs="黑体"/>
          <w:b w:val="0"/>
          <w:bCs w:val="0"/>
          <w:sz w:val="32"/>
          <w:szCs w:val="32"/>
          <w:highlight w:val="none"/>
          <w:lang w:val="en-US" w:eastAsia="zh-CN" w:bidi="ar-SA"/>
        </w:rPr>
      </w:pPr>
      <w:r/>
      <w:bookmarkStart w:id="0" w:name="_Toc430870050"/>
      <w:r/>
      <w:bookmarkStart w:id="1" w:name="_Toc451754925"/>
      <w:r/>
      <w:bookmarkStart w:id="2" w:name="_Toc15002"/>
      <w:r/>
      <w:bookmarkStart w:id="3" w:name="_Toc422900119"/>
      <w:r/>
      <w:bookmarkStart w:id="4" w:name="_Toc22049"/>
      <w:r/>
      <w:bookmarkStart w:id="5" w:name="_Toc120614210"/>
      <w:r/>
      <w:bookmarkStart w:id="6" w:name="_Toc20267"/>
      <w:r/>
      <w:bookmarkStart w:id="7" w:name="_Toc32627"/>
      <w:r/>
      <w:bookmarkStart w:id="8" w:name="_Toc697"/>
      <w:r/>
      <w:bookmarkStart w:id="9" w:name="_Toc26127"/>
      <w:r/>
      <w:bookmarkStart w:id="10" w:name="_Toc18761"/>
      <w:r/>
      <w:bookmarkStart w:id="11" w:name="_Toc16258"/>
      <w:r/>
      <w:bookmarkStart w:id="12" w:name="_Toc21704"/>
      <w:r/>
      <w:bookmarkStart w:id="13" w:name="_Toc15481"/>
      <w:r/>
      <w:bookmarkStart w:id="14" w:name="_Toc23873"/>
      <w:r/>
      <w:bookmarkStart w:id="15" w:name="_Toc205"/>
      <w:r/>
      <w:bookmarkStart w:id="16" w:name="_Toc14644"/>
      <w:r/>
      <w:bookmarkStart w:id="17" w:name="_Toc5401"/>
      <w:r/>
      <w:bookmarkStart w:id="18" w:name="_Toc18920"/>
      <w:r/>
      <w:bookmarkStart w:id="19" w:name="_Toc6912"/>
      <w:r/>
      <w:bookmarkStart w:id="20" w:name="_Toc14103"/>
      <w:r/>
      <w:bookmarkStart w:id="21" w:name="_Toc32203"/>
      <w:r/>
      <w:bookmarkStart w:id="22" w:name="_Toc17200"/>
      <w:r>
        <w:rPr>
          <w:rFonts w:hint="eastAsia" w:ascii="黑体" w:hAnsi="黑体" w:eastAsia="黑体" w:cs="黑体"/>
          <w:b w:val="0"/>
          <w:bCs w:val="0"/>
          <w:sz w:val="32"/>
          <w:szCs w:val="32"/>
          <w:highlight w:val="none"/>
          <w:lang w:val="en-US" w:eastAsia="zh-CN" w:bidi="ar-SA"/>
        </w:rPr>
        <w:t xml:space="preserve">关于政府采购线上合同信用融资功能告知提醒</w:t>
      </w:r>
      <w:r/>
    </w:p>
    <w:p>
      <w:pPr>
        <w:spacing w:line="5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各政府采购供应商：</w:t>
      </w:r>
      <w:r/>
    </w:p>
    <w:p>
      <w:pPr>
        <w:ind w:firstLine="522"/>
        <w:spacing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今年我市已正式启用“苏采云”系统，目前已全面开通政府采购线上合同信用融资（以下简称“政采贷”）功能。成交供应商可凭政府采购合同在中征平台发起贷款申请贷款。</w:t>
      </w:r>
      <w:r/>
    </w:p>
    <w:p>
      <w:pPr>
        <w:pStyle w:val="1072"/>
        <w:ind w:left="640"/>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“政采贷”业务流程</w:t>
      </w:r>
      <w:r/>
    </w:p>
    <w:p>
      <w:pPr>
        <w:pStyle w:val="1072"/>
        <w:jc w:val="center"/>
        <w:spacing w:beforeAutospacing="0" w:afterAutospacing="0"/>
        <w:rPr>
          <w:rFonts w:hint="eastAsia" w:ascii="宋体" w:hAnsi="宋体" w:eastAsia="宋体" w:cs="仿宋"/>
          <w:highlight w:val="none"/>
        </w:rPr>
      </w:pPr>
      <w:r>
        <w:rPr>
          <w:rFonts w:ascii="宋体" w:hAnsi="宋体" w:eastAsia="宋体" w:cs="仿宋"/>
          <w:highlight w:val="none"/>
        </w:rPr>
        <mc:AlternateContent>
          <mc:Choice Requires="wpg">
            <w:drawing>
              <wp:inline xmlns:wp="http://schemas.openxmlformats.org/drawingml/2006/wordprocessingDrawing" distT="0" distB="0" distL="0" distR="0">
                <wp:extent cx="5095875" cy="1352550"/>
                <wp:effectExtent l="0" t="0" r="9525" b="0"/>
                <wp:docPr id="2"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3"/>
                        <a:stretch/>
                      </pic:blipFill>
                      <pic:spPr bwMode="auto">
                        <a:xfrm>
                          <a:off x="0" y="0"/>
                          <a:ext cx="5095875" cy="1352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1.2pt;height:106.5pt;mso-wrap-distance-left:0.0pt;mso-wrap-distance-top:0.0pt;mso-wrap-distance-right:0.0pt;mso-wrap-distance-bottom:0.0pt;" stroked="f">
                <v:path textboxrect="0,0,0,0"/>
                <v:imagedata r:id="rId13" o:title=""/>
              </v:shape>
            </w:pict>
          </mc:Fallback>
        </mc:AlternateContent>
      </w:r>
      <w:r/>
    </w:p>
    <w:p>
      <w:pPr>
        <w:pStyle w:val="107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常见问题</w:t>
      </w:r>
      <w:r/>
    </w:p>
    <w:p>
      <w:pPr>
        <w:pStyle w:val="107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Q1：哪些企业能申请“政采贷”？</w:t>
      </w:r>
      <w:r/>
    </w:p>
    <w:p>
      <w:pPr>
        <w:pStyle w:val="107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答：江苏省内采用国库集中支付的政府采购项目的中标供应商，可凭政府采购合同申请政采贷。</w:t>
      </w:r>
      <w:r/>
    </w:p>
    <w:p>
      <w:pPr>
        <w:pStyle w:val="107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Q2：供应商在哪里申请“政采贷”？</w:t>
      </w:r>
      <w:r/>
    </w:p>
    <w:p>
      <w:pPr>
        <w:pStyle w:val="107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答：中标供应商在“中征应收账款融资服务平台”（简称“中征平台”）上向意向银行发起融资申请</w:t>
      </w:r>
      <w:r/>
    </w:p>
    <w:p>
      <w:pPr>
        <w:pStyle w:val="107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Q3：中标供应商要注意什么？</w:t>
      </w:r>
      <w:r/>
    </w:p>
    <w:p>
      <w:pPr>
        <w:pStyle w:val="107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答：中标供应商要加强和采购单位的沟通协调，尽早确定融资需求。需要“政采贷”融资的，政府采购合同付款账号应当空置。</w:t>
      </w:r>
      <w:r/>
    </w:p>
    <w:p>
      <w:pPr>
        <w:pStyle w:val="107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Q4：采购单位要做什么？</w:t>
      </w:r>
      <w:r/>
    </w:p>
    <w:p>
      <w:pPr>
        <w:pStyle w:val="107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答：采购单位在“苏采云”系统中公示政府采购合同时，要勾选融资标识，为中标供应商融资提供便利。如后续融资失败，采购单位要及时维护中标供应商相关账号信息，按时支付款项。</w:t>
      </w:r>
      <w:r/>
    </w:p>
    <w:p>
      <w:pPr>
        <w:pStyle w:val="107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Q5：“政采贷”融资失败怎么办？</w:t>
      </w:r>
      <w:r/>
    </w:p>
    <w:p>
      <w:pPr>
        <w:pStyle w:val="107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答：经合作银行审核后不予放款，或者贷款审核时间超过10个工作日的，视为融资失败，该项目回到财政预算管理一体化系统中支付资金。融资失败的企业，无法重新线上申请“政采贷”。</w:t>
      </w:r>
      <w:r/>
    </w:p>
    <w:p>
      <w:pPr>
        <w:spacing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政采贷：</w:t>
      </w:r>
      <w:r>
        <w:rPr>
          <w:rFonts w:hint="eastAsia" w:ascii="仿宋" w:hAnsi="仿宋" w:eastAsia="仿宋" w:cs="仿宋"/>
          <w:sz w:val="24"/>
          <w:szCs w:val="24"/>
          <w:highlight w:val="none"/>
          <w:lang w:val="en-US" w:eastAsia="zh-CN" w:bidi="ar-SA"/>
        </w:rPr>
        <w:fldChar w:fldCharType="begin"/>
      </w:r>
      <w:r>
        <w:rPr>
          <w:rFonts w:hint="eastAsia" w:ascii="仿宋" w:hAnsi="仿宋" w:eastAsia="仿宋" w:cs="仿宋"/>
          <w:sz w:val="24"/>
          <w:szCs w:val="24"/>
          <w:highlight w:val="none"/>
          <w:lang w:val="en-US" w:eastAsia="zh-CN" w:bidi="ar-SA"/>
        </w:rPr>
        <w:instrText xml:space="preserve"> HYPERLINK "http://www.ccgp-jiangsu.gov.cn/jiangsu/paying.html" \o "http://www.ccgp-jiangsu.gov.cn/jiangsu/paying.html" </w:instrText>
      </w:r>
      <w:r>
        <w:rPr>
          <w:rFonts w:hint="eastAsia" w:ascii="仿宋" w:hAnsi="仿宋" w:eastAsia="仿宋" w:cs="仿宋"/>
          <w:sz w:val="24"/>
          <w:szCs w:val="24"/>
          <w:highlight w:val="none"/>
          <w:lang w:val="en-US" w:eastAsia="zh-CN" w:bidi="ar-SA"/>
        </w:rPr>
        <w:fldChar w:fldCharType="separate"/>
      </w:r>
      <w:r>
        <w:rPr>
          <w:rFonts w:hint="eastAsia" w:ascii="仿宋" w:hAnsi="仿宋" w:eastAsia="仿宋" w:cs="仿宋"/>
          <w:sz w:val="24"/>
          <w:szCs w:val="24"/>
          <w:highlight w:val="none"/>
          <w:lang w:val="en-US" w:eastAsia="zh-CN" w:bidi="ar-SA"/>
        </w:rPr>
        <w:t xml:space="preserve">http://www.ccgp-jiangsu.gov.cn/jiangsu/paying.html</w:t>
      </w:r>
      <w:r>
        <w:rPr>
          <w:rFonts w:hint="eastAsia" w:ascii="仿宋" w:hAnsi="仿宋" w:eastAsia="仿宋" w:cs="仿宋"/>
          <w:sz w:val="24"/>
          <w:szCs w:val="24"/>
          <w:highlight w:val="none"/>
          <w:lang w:val="en-US" w:eastAsia="zh-CN" w:bidi="ar-SA"/>
        </w:rPr>
        <w:fldChar w:fldCharType="end"/>
      </w:r>
      <w:r/>
    </w:p>
    <w:p>
      <w:pPr>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中征平台：</w:t>
      </w:r>
      <w:r>
        <w:rPr>
          <w:rFonts w:hint="eastAsia" w:ascii="仿宋" w:hAnsi="仿宋" w:eastAsia="仿宋" w:cs="仿宋"/>
          <w:sz w:val="24"/>
          <w:szCs w:val="24"/>
          <w:highlight w:val="none"/>
          <w:lang w:val="en-US" w:eastAsia="zh-CN" w:bidi="ar-SA"/>
        </w:rPr>
        <w:fldChar w:fldCharType="begin"/>
      </w:r>
      <w:r>
        <w:rPr>
          <w:rFonts w:hint="eastAsia" w:ascii="仿宋" w:hAnsi="仿宋" w:eastAsia="仿宋" w:cs="仿宋"/>
          <w:sz w:val="24"/>
          <w:szCs w:val="24"/>
          <w:highlight w:val="none"/>
          <w:lang w:val="en-US" w:eastAsia="zh-CN" w:bidi="ar-SA"/>
        </w:rPr>
        <w:instrText xml:space="preserve"> HYPERLINK "https://www.crcrfsp.com/" \o "https://www.crcrfsp.com/" </w:instrText>
      </w:r>
      <w:r>
        <w:rPr>
          <w:rFonts w:hint="eastAsia" w:ascii="仿宋" w:hAnsi="仿宋" w:eastAsia="仿宋" w:cs="仿宋"/>
          <w:sz w:val="24"/>
          <w:szCs w:val="24"/>
          <w:highlight w:val="none"/>
          <w:lang w:val="en-US" w:eastAsia="zh-CN" w:bidi="ar-SA"/>
        </w:rPr>
        <w:fldChar w:fldCharType="separate"/>
      </w:r>
      <w:r>
        <w:rPr>
          <w:rFonts w:hint="eastAsia" w:ascii="仿宋" w:hAnsi="仿宋" w:eastAsia="仿宋" w:cs="仿宋"/>
          <w:sz w:val="24"/>
          <w:szCs w:val="24"/>
          <w:highlight w:val="none"/>
          <w:lang w:val="en-US" w:eastAsia="zh-CN" w:bidi="ar-SA"/>
        </w:rPr>
        <w:t xml:space="preserve">https://www.crcrfsp.com/</w:t>
      </w:r>
      <w:r>
        <w:rPr>
          <w:rFonts w:hint="eastAsia" w:ascii="仿宋" w:hAnsi="仿宋" w:eastAsia="仿宋" w:cs="仿宋"/>
          <w:sz w:val="24"/>
          <w:szCs w:val="24"/>
          <w:highlight w:val="none"/>
          <w:lang w:val="en-US" w:eastAsia="zh-CN" w:bidi="ar-SA"/>
        </w:rPr>
        <w:fldChar w:fldCharType="end"/>
      </w:r>
      <w:r/>
    </w:p>
    <w:p>
      <w:pPr>
        <w:pStyle w:val="1084"/>
        <w:jc w:val="both"/>
        <w:spacing w:beforeAutospacing="0" w:afterAutospacing="0" w:line="360" w:lineRule="auto"/>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联系电话：0523-82020605</w:t>
      </w:r>
      <w:r/>
    </w:p>
    <w:p>
      <w:pPr>
        <w:ind w:left="0" w:right="0" w:firstLine="0"/>
        <w:jc w:val="center"/>
        <w:spacing w:before="0" w:after="0" w:line="240" w:lineRule="auto"/>
        <w:rPr>
          <w:rFonts w:hint="eastAsia" w:ascii="黑体" w:hAnsi="黑体" w:eastAsia="黑体" w:cs="黑体"/>
          <w:b w:val="0"/>
          <w:bCs w:val="0"/>
          <w:sz w:val="32"/>
          <w:szCs w:val="32"/>
          <w:highlight w:val="none"/>
          <w:lang w:val="en-US" w:eastAsia="zh-CN" w:bidi="ar-SA"/>
        </w:rPr>
      </w:pPr>
      <w:r>
        <w:rPr>
          <w:rFonts w:hint="eastAsia" w:ascii="黑体" w:hAnsi="黑体" w:eastAsia="黑体" w:cs="黑体"/>
          <w:b w:val="0"/>
          <w:bCs w:val="0"/>
          <w:sz w:val="32"/>
          <w:szCs w:val="32"/>
          <w:highlight w:val="none"/>
          <w:lang w:val="en-US" w:eastAsia="zh-CN" w:bidi="ar-SA"/>
        </w:rPr>
        <w:t xml:space="preserve">目  录</w:t>
      </w:r>
      <w:r/>
    </w:p>
    <w:p>
      <w:pPr>
        <w:rPr>
          <w:sz w:val="28"/>
          <w:szCs w:val="28"/>
          <w:highlight w:val="none"/>
        </w:rPr>
      </w:pPr>
      <w:r>
        <w:rPr>
          <w:sz w:val="28"/>
          <w:szCs w:val="28"/>
          <w:highlight w:val="none"/>
        </w:rPr>
      </w:r>
      <w:r/>
    </w:p>
    <w:p>
      <w:pPr>
        <w:pStyle w:val="900"/>
        <w:tabs>
          <w:tab w:val="right" w:pos="8300" w:leader="dot"/>
        </w:tabs>
        <w:rPr>
          <w:sz w:val="28"/>
          <w:szCs w:val="28"/>
        </w:rPr>
      </w:pPr>
      <w:r>
        <w:rPr>
          <w:rFonts w:hint="eastAsia" w:ascii="仿宋" w:hAnsi="仿宋" w:eastAsia="仿宋" w:cs="仿宋"/>
          <w:b/>
          <w:bCs/>
          <w:sz w:val="30"/>
          <w:szCs w:val="30"/>
          <w:highlight w:val="none"/>
        </w:rPr>
        <w:fldChar w:fldCharType="begin"/>
      </w:r>
      <w:r>
        <w:rPr>
          <w:rFonts w:hint="eastAsia" w:ascii="仿宋" w:hAnsi="仿宋" w:eastAsia="仿宋" w:cs="仿宋"/>
          <w:b/>
          <w:bCs/>
          <w:sz w:val="30"/>
          <w:szCs w:val="30"/>
          <w:highlight w:val="none"/>
        </w:rPr>
        <w:instrText xml:space="preserve">TOC \o "1-3" \h \u </w:instrText>
      </w:r>
      <w:r>
        <w:rPr>
          <w:rFonts w:hint="eastAsia" w:ascii="仿宋" w:hAnsi="仿宋" w:eastAsia="仿宋" w:cs="仿宋"/>
          <w:b/>
          <w:bCs/>
          <w:sz w:val="30"/>
          <w:szCs w:val="30"/>
          <w:highlight w:val="none"/>
        </w:rPr>
        <w:fldChar w:fldCharType="separate"/>
      </w:r>
      <w:r>
        <w:rPr>
          <w:rFonts w:hint="eastAsia" w:ascii="仿宋" w:hAnsi="仿宋" w:eastAsia="仿宋" w:cs="仿宋"/>
          <w:bCs/>
          <w:sz w:val="28"/>
          <w:szCs w:val="40"/>
          <w:highlight w:val="none"/>
        </w:rPr>
        <w:fldChar w:fldCharType="begin"/>
      </w:r>
      <w:r>
        <w:rPr>
          <w:rFonts w:hint="eastAsia" w:ascii="仿宋" w:hAnsi="仿宋" w:eastAsia="仿宋" w:cs="仿宋"/>
          <w:bCs/>
          <w:sz w:val="28"/>
          <w:szCs w:val="40"/>
          <w:highlight w:val="none"/>
        </w:rPr>
        <w:instrText xml:space="preserve"> HYPERLINK \l _Toc4925 </w:instrText>
      </w:r>
      <w:r>
        <w:rPr>
          <w:rFonts w:hint="eastAsia" w:ascii="仿宋" w:hAnsi="仿宋" w:eastAsia="仿宋" w:cs="仿宋"/>
          <w:bCs/>
          <w:sz w:val="28"/>
          <w:szCs w:val="40"/>
          <w:highlight w:val="none"/>
        </w:rPr>
        <w:fldChar w:fldCharType="separate"/>
      </w:r>
      <w:r>
        <w:rPr>
          <w:rFonts w:hint="eastAsia" w:ascii="黑体" w:hAnsi="黑体" w:eastAsia="黑体" w:cs="黑体"/>
          <w:bCs/>
          <w:sz w:val="28"/>
          <w:szCs w:val="28"/>
          <w:highlight w:val="none"/>
        </w:rPr>
        <w:t xml:space="preserve">第一章  招标公告</w:t>
      </w:r>
      <w:r>
        <w:rPr>
          <w:sz w:val="28"/>
          <w:szCs w:val="28"/>
        </w:rPr>
        <w:tab/>
      </w:r>
      <w:r>
        <w:rPr>
          <w:sz w:val="28"/>
          <w:szCs w:val="28"/>
        </w:rPr>
        <w:fldChar w:fldCharType="begin"/>
      </w:r>
      <w:r>
        <w:rPr>
          <w:sz w:val="28"/>
          <w:szCs w:val="28"/>
        </w:rPr>
        <w:instrText xml:space="preserve"> PAGEREF _Toc4925 \h </w:instrText>
      </w:r>
      <w:r>
        <w:rPr>
          <w:sz w:val="28"/>
          <w:szCs w:val="28"/>
        </w:rPr>
        <w:fldChar w:fldCharType="separate"/>
      </w:r>
      <w:r>
        <w:rPr>
          <w:sz w:val="28"/>
          <w:szCs w:val="28"/>
        </w:rPr>
        <w:t xml:space="preserve">4</w:t>
      </w:r>
      <w:r>
        <w:rPr>
          <w:sz w:val="28"/>
          <w:szCs w:val="28"/>
        </w:rPr>
        <w:fldChar w:fldCharType="end"/>
      </w:r>
      <w:r>
        <w:rPr>
          <w:rFonts w:hint="eastAsia" w:ascii="仿宋" w:hAnsi="仿宋" w:eastAsia="仿宋" w:cs="仿宋"/>
          <w:bCs/>
          <w:sz w:val="28"/>
          <w:szCs w:val="40"/>
          <w:highlight w:val="none"/>
        </w:rPr>
        <w:fldChar w:fldCharType="end"/>
      </w:r>
      <w:r/>
    </w:p>
    <w:p>
      <w:pPr>
        <w:pStyle w:val="900"/>
        <w:tabs>
          <w:tab w:val="right" w:pos="8300" w:leader="dot"/>
        </w:tabs>
        <w:rPr>
          <w:sz w:val="28"/>
          <w:szCs w:val="28"/>
        </w:rPr>
      </w:pPr>
      <w:r>
        <w:rPr>
          <w:rFonts w:hint="eastAsia" w:ascii="仿宋" w:hAnsi="仿宋" w:eastAsia="仿宋" w:cs="仿宋"/>
          <w:bCs/>
          <w:sz w:val="28"/>
          <w:szCs w:val="40"/>
          <w:highlight w:val="none"/>
        </w:rPr>
        <w:fldChar w:fldCharType="begin"/>
      </w:r>
      <w:r>
        <w:rPr>
          <w:rFonts w:hint="eastAsia" w:ascii="仿宋" w:hAnsi="仿宋" w:eastAsia="仿宋" w:cs="仿宋"/>
          <w:bCs/>
          <w:sz w:val="28"/>
          <w:szCs w:val="40"/>
          <w:highlight w:val="none"/>
        </w:rPr>
        <w:instrText xml:space="preserve"> HYPERLINK \l _Toc15497 </w:instrText>
      </w:r>
      <w:r>
        <w:rPr>
          <w:rFonts w:hint="eastAsia" w:ascii="仿宋" w:hAnsi="仿宋" w:eastAsia="仿宋" w:cs="仿宋"/>
          <w:bCs/>
          <w:sz w:val="28"/>
          <w:szCs w:val="40"/>
          <w:highlight w:val="none"/>
        </w:rPr>
        <w:fldChar w:fldCharType="separate"/>
      </w:r>
      <w:r>
        <w:rPr>
          <w:rFonts w:hint="eastAsia" w:ascii="黑体" w:hAnsi="黑体" w:eastAsia="黑体" w:cs="黑体"/>
          <w:bCs/>
          <w:sz w:val="28"/>
          <w:szCs w:val="28"/>
          <w:highlight w:val="none"/>
        </w:rPr>
        <w:t xml:space="preserve">第二章  投标人须知</w:t>
      </w:r>
      <w:r>
        <w:rPr>
          <w:sz w:val="28"/>
          <w:szCs w:val="28"/>
        </w:rPr>
        <w:tab/>
      </w:r>
      <w:r>
        <w:rPr>
          <w:sz w:val="28"/>
          <w:szCs w:val="28"/>
        </w:rPr>
        <w:fldChar w:fldCharType="begin"/>
      </w:r>
      <w:r>
        <w:rPr>
          <w:sz w:val="28"/>
          <w:szCs w:val="28"/>
        </w:rPr>
        <w:instrText xml:space="preserve"> PAGEREF _Toc15497 \h </w:instrText>
      </w:r>
      <w:r>
        <w:rPr>
          <w:sz w:val="28"/>
          <w:szCs w:val="28"/>
        </w:rPr>
        <w:fldChar w:fldCharType="separate"/>
      </w:r>
      <w:r>
        <w:rPr>
          <w:sz w:val="28"/>
          <w:szCs w:val="28"/>
        </w:rPr>
        <w:t xml:space="preserve">7</w:t>
      </w:r>
      <w:r>
        <w:rPr>
          <w:sz w:val="28"/>
          <w:szCs w:val="28"/>
        </w:rPr>
        <w:fldChar w:fldCharType="end"/>
      </w:r>
      <w:r>
        <w:rPr>
          <w:rFonts w:hint="eastAsia" w:ascii="仿宋" w:hAnsi="仿宋" w:eastAsia="仿宋" w:cs="仿宋"/>
          <w:bCs/>
          <w:sz w:val="28"/>
          <w:szCs w:val="40"/>
          <w:highlight w:val="none"/>
        </w:rPr>
        <w:fldChar w:fldCharType="end"/>
      </w:r>
      <w:r/>
    </w:p>
    <w:p>
      <w:pPr>
        <w:pStyle w:val="900"/>
        <w:tabs>
          <w:tab w:val="right" w:pos="8300" w:leader="dot"/>
        </w:tabs>
        <w:rPr>
          <w:sz w:val="28"/>
          <w:szCs w:val="28"/>
        </w:rPr>
      </w:pPr>
      <w:r>
        <w:rPr>
          <w:rFonts w:hint="eastAsia" w:ascii="仿宋" w:hAnsi="仿宋" w:eastAsia="仿宋" w:cs="仿宋"/>
          <w:bCs/>
          <w:sz w:val="28"/>
          <w:szCs w:val="40"/>
          <w:highlight w:val="none"/>
        </w:rPr>
        <w:fldChar w:fldCharType="begin"/>
      </w:r>
      <w:r>
        <w:rPr>
          <w:rFonts w:hint="eastAsia" w:ascii="仿宋" w:hAnsi="仿宋" w:eastAsia="仿宋" w:cs="仿宋"/>
          <w:bCs/>
          <w:sz w:val="28"/>
          <w:szCs w:val="40"/>
          <w:highlight w:val="none"/>
        </w:rPr>
        <w:instrText xml:space="preserve"> HYPERLINK \l _Toc13673 </w:instrText>
      </w:r>
      <w:r>
        <w:rPr>
          <w:rFonts w:hint="eastAsia" w:ascii="仿宋" w:hAnsi="仿宋" w:eastAsia="仿宋" w:cs="仿宋"/>
          <w:bCs/>
          <w:sz w:val="28"/>
          <w:szCs w:val="40"/>
          <w:highlight w:val="none"/>
        </w:rPr>
        <w:fldChar w:fldCharType="separate"/>
      </w:r>
      <w:r>
        <w:rPr>
          <w:rFonts w:hint="eastAsia" w:ascii="黑体" w:hAnsi="黑体" w:eastAsia="黑体" w:cs="黑体"/>
          <w:bCs/>
          <w:sz w:val="28"/>
          <w:szCs w:val="28"/>
        </w:rPr>
        <w:t xml:space="preserve">第三章 </w:t>
      </w:r>
      <w:r>
        <w:rPr>
          <w:rFonts w:hint="eastAsia" w:ascii="黑体" w:hAnsi="黑体" w:eastAsia="黑体" w:cs="黑体"/>
          <w:bCs/>
          <w:sz w:val="28"/>
          <w:szCs w:val="28"/>
          <w:lang w:val="en-US" w:eastAsia="zh-CN"/>
        </w:rPr>
        <w:t xml:space="preserve"> </w:t>
      </w:r>
      <w:r>
        <w:rPr>
          <w:rFonts w:hint="eastAsia" w:ascii="黑体" w:hAnsi="黑体" w:eastAsia="黑体" w:cs="黑体"/>
          <w:bCs/>
          <w:sz w:val="28"/>
          <w:szCs w:val="28"/>
          <w:highlight w:val="none"/>
        </w:rPr>
        <w:t xml:space="preserve">投标资料表</w:t>
      </w:r>
      <w:r>
        <w:rPr>
          <w:sz w:val="28"/>
          <w:szCs w:val="28"/>
        </w:rPr>
        <w:tab/>
      </w:r>
      <w:r>
        <w:rPr>
          <w:sz w:val="28"/>
          <w:szCs w:val="28"/>
        </w:rPr>
        <w:fldChar w:fldCharType="begin"/>
      </w:r>
      <w:r>
        <w:rPr>
          <w:sz w:val="28"/>
          <w:szCs w:val="28"/>
        </w:rPr>
        <w:instrText xml:space="preserve"> PAGEREF _Toc13673 \h </w:instrText>
      </w:r>
      <w:r>
        <w:rPr>
          <w:sz w:val="28"/>
          <w:szCs w:val="28"/>
        </w:rPr>
        <w:fldChar w:fldCharType="separate"/>
      </w:r>
      <w:r>
        <w:rPr>
          <w:sz w:val="28"/>
          <w:szCs w:val="28"/>
        </w:rPr>
        <w:t xml:space="preserve">16</w:t>
      </w:r>
      <w:r>
        <w:rPr>
          <w:sz w:val="28"/>
          <w:szCs w:val="28"/>
        </w:rPr>
        <w:fldChar w:fldCharType="end"/>
      </w:r>
      <w:r>
        <w:rPr>
          <w:rFonts w:hint="eastAsia" w:ascii="仿宋" w:hAnsi="仿宋" w:eastAsia="仿宋" w:cs="仿宋"/>
          <w:bCs/>
          <w:sz w:val="28"/>
          <w:szCs w:val="40"/>
          <w:highlight w:val="none"/>
        </w:rPr>
        <w:fldChar w:fldCharType="end"/>
      </w:r>
      <w:r/>
    </w:p>
    <w:p>
      <w:pPr>
        <w:pStyle w:val="900"/>
        <w:tabs>
          <w:tab w:val="right" w:pos="8300" w:leader="dot"/>
        </w:tabs>
        <w:rPr>
          <w:sz w:val="28"/>
          <w:szCs w:val="28"/>
        </w:rPr>
      </w:pPr>
      <w:r>
        <w:rPr>
          <w:rFonts w:hint="eastAsia" w:ascii="仿宋" w:hAnsi="仿宋" w:eastAsia="仿宋" w:cs="仿宋"/>
          <w:bCs/>
          <w:sz w:val="28"/>
          <w:szCs w:val="40"/>
          <w:highlight w:val="none"/>
        </w:rPr>
        <w:fldChar w:fldCharType="begin"/>
      </w:r>
      <w:r>
        <w:rPr>
          <w:rFonts w:hint="eastAsia" w:ascii="仿宋" w:hAnsi="仿宋" w:eastAsia="仿宋" w:cs="仿宋"/>
          <w:bCs/>
          <w:sz w:val="28"/>
          <w:szCs w:val="40"/>
          <w:highlight w:val="none"/>
        </w:rPr>
        <w:instrText xml:space="preserve"> HYPERLINK \l _Toc10376 </w:instrText>
      </w:r>
      <w:r>
        <w:rPr>
          <w:rFonts w:hint="eastAsia" w:ascii="仿宋" w:hAnsi="仿宋" w:eastAsia="仿宋" w:cs="仿宋"/>
          <w:bCs/>
          <w:sz w:val="28"/>
          <w:szCs w:val="40"/>
          <w:highlight w:val="none"/>
        </w:rPr>
        <w:fldChar w:fldCharType="separate"/>
      </w:r>
      <w:r>
        <w:rPr>
          <w:rFonts w:hint="eastAsia" w:ascii="黑体" w:hAnsi="黑体" w:eastAsia="黑体" w:cs="黑体"/>
          <w:bCs/>
          <w:sz w:val="28"/>
          <w:szCs w:val="28"/>
          <w:highlight w:val="none"/>
          <w:lang w:eastAsia="zh-CN"/>
        </w:rPr>
        <w:t xml:space="preserve">第四章</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评标标准</w:t>
      </w:r>
      <w:r>
        <w:rPr>
          <w:sz w:val="28"/>
          <w:szCs w:val="28"/>
        </w:rPr>
        <w:tab/>
      </w:r>
      <w:r>
        <w:rPr>
          <w:sz w:val="28"/>
          <w:szCs w:val="28"/>
        </w:rPr>
        <w:fldChar w:fldCharType="begin"/>
      </w:r>
      <w:r>
        <w:rPr>
          <w:sz w:val="28"/>
          <w:szCs w:val="28"/>
        </w:rPr>
        <w:instrText xml:space="preserve"> PAGEREF _Toc10376 \h </w:instrText>
      </w:r>
      <w:r>
        <w:rPr>
          <w:sz w:val="28"/>
          <w:szCs w:val="28"/>
        </w:rPr>
        <w:fldChar w:fldCharType="separate"/>
      </w:r>
      <w:r>
        <w:rPr>
          <w:sz w:val="28"/>
          <w:szCs w:val="28"/>
        </w:rPr>
        <w:t xml:space="preserve">25</w:t>
      </w:r>
      <w:r>
        <w:rPr>
          <w:sz w:val="28"/>
          <w:szCs w:val="28"/>
        </w:rPr>
        <w:fldChar w:fldCharType="end"/>
      </w:r>
      <w:r>
        <w:rPr>
          <w:rFonts w:hint="eastAsia" w:ascii="仿宋" w:hAnsi="仿宋" w:eastAsia="仿宋" w:cs="仿宋"/>
          <w:bCs/>
          <w:sz w:val="28"/>
          <w:szCs w:val="40"/>
          <w:highlight w:val="none"/>
        </w:rPr>
        <w:fldChar w:fldCharType="end"/>
      </w:r>
      <w:r/>
    </w:p>
    <w:p>
      <w:pPr>
        <w:pStyle w:val="900"/>
        <w:tabs>
          <w:tab w:val="right" w:pos="8300" w:leader="dot"/>
        </w:tabs>
        <w:rPr>
          <w:sz w:val="28"/>
          <w:szCs w:val="28"/>
        </w:rPr>
      </w:pPr>
      <w:r>
        <w:rPr>
          <w:rFonts w:hint="eastAsia" w:ascii="仿宋" w:hAnsi="仿宋" w:eastAsia="仿宋" w:cs="仿宋"/>
          <w:bCs/>
          <w:sz w:val="28"/>
          <w:szCs w:val="40"/>
          <w:highlight w:val="none"/>
        </w:rPr>
        <w:fldChar w:fldCharType="begin"/>
      </w:r>
      <w:r>
        <w:rPr>
          <w:rFonts w:hint="eastAsia" w:ascii="仿宋" w:hAnsi="仿宋" w:eastAsia="仿宋" w:cs="仿宋"/>
          <w:bCs/>
          <w:sz w:val="28"/>
          <w:szCs w:val="40"/>
          <w:highlight w:val="none"/>
        </w:rPr>
        <w:instrText xml:space="preserve"> HYPERLINK \l _Toc27552 </w:instrText>
      </w:r>
      <w:r>
        <w:rPr>
          <w:rFonts w:hint="eastAsia" w:ascii="仿宋" w:hAnsi="仿宋" w:eastAsia="仿宋" w:cs="仿宋"/>
          <w:bCs/>
          <w:sz w:val="28"/>
          <w:szCs w:val="40"/>
          <w:highlight w:val="none"/>
        </w:rPr>
        <w:fldChar w:fldCharType="separate"/>
      </w:r>
      <w:r>
        <w:rPr>
          <w:rFonts w:hint="eastAsia" w:ascii="黑体" w:hAnsi="黑体" w:eastAsia="黑体" w:cs="黑体"/>
          <w:bCs/>
          <w:sz w:val="28"/>
          <w:szCs w:val="28"/>
          <w:highlight w:val="none"/>
          <w:lang w:eastAsia="zh-CN"/>
        </w:rPr>
        <w:t xml:space="preserve">第五章  拟签订的合同文本（仅供参考）</w:t>
      </w:r>
      <w:r>
        <w:rPr>
          <w:sz w:val="28"/>
          <w:szCs w:val="28"/>
        </w:rPr>
        <w:tab/>
      </w:r>
      <w:r>
        <w:rPr>
          <w:sz w:val="28"/>
          <w:szCs w:val="28"/>
        </w:rPr>
        <w:fldChar w:fldCharType="begin"/>
      </w:r>
      <w:r>
        <w:rPr>
          <w:sz w:val="28"/>
          <w:szCs w:val="28"/>
        </w:rPr>
        <w:instrText xml:space="preserve"> PAGEREF _Toc27552 \h </w:instrText>
      </w:r>
      <w:r>
        <w:rPr>
          <w:sz w:val="28"/>
          <w:szCs w:val="28"/>
        </w:rPr>
        <w:fldChar w:fldCharType="separate"/>
      </w:r>
      <w:r>
        <w:rPr>
          <w:sz w:val="28"/>
          <w:szCs w:val="28"/>
        </w:rPr>
        <w:t xml:space="preserve">30</w:t>
      </w:r>
      <w:r>
        <w:rPr>
          <w:sz w:val="28"/>
          <w:szCs w:val="28"/>
        </w:rPr>
        <w:fldChar w:fldCharType="end"/>
      </w:r>
      <w:r>
        <w:rPr>
          <w:rFonts w:hint="eastAsia" w:ascii="仿宋" w:hAnsi="仿宋" w:eastAsia="仿宋" w:cs="仿宋"/>
          <w:bCs/>
          <w:sz w:val="28"/>
          <w:szCs w:val="40"/>
          <w:highlight w:val="none"/>
        </w:rPr>
        <w:fldChar w:fldCharType="end"/>
      </w:r>
      <w:r/>
    </w:p>
    <w:p>
      <w:pPr>
        <w:pStyle w:val="900"/>
        <w:tabs>
          <w:tab w:val="right" w:pos="8300" w:leader="dot"/>
        </w:tabs>
        <w:rPr>
          <w:sz w:val="28"/>
          <w:szCs w:val="28"/>
        </w:rPr>
      </w:pPr>
      <w:r>
        <w:rPr>
          <w:rFonts w:hint="eastAsia" w:ascii="仿宋" w:hAnsi="仿宋" w:eastAsia="仿宋" w:cs="仿宋"/>
          <w:bCs/>
          <w:sz w:val="28"/>
          <w:szCs w:val="40"/>
          <w:highlight w:val="none"/>
        </w:rPr>
        <w:fldChar w:fldCharType="begin"/>
      </w:r>
      <w:r>
        <w:rPr>
          <w:rFonts w:hint="eastAsia" w:ascii="仿宋" w:hAnsi="仿宋" w:eastAsia="仿宋" w:cs="仿宋"/>
          <w:bCs/>
          <w:sz w:val="28"/>
          <w:szCs w:val="40"/>
          <w:highlight w:val="none"/>
        </w:rPr>
        <w:instrText xml:space="preserve"> HYPERLINK \l _Toc11135 </w:instrText>
      </w:r>
      <w:r>
        <w:rPr>
          <w:rFonts w:hint="eastAsia" w:ascii="仿宋" w:hAnsi="仿宋" w:eastAsia="仿宋" w:cs="仿宋"/>
          <w:bCs/>
          <w:sz w:val="28"/>
          <w:szCs w:val="40"/>
          <w:highlight w:val="none"/>
        </w:rPr>
        <w:fldChar w:fldCharType="separate"/>
      </w:r>
      <w:r>
        <w:rPr>
          <w:rFonts w:hint="eastAsia" w:ascii="黑体" w:hAnsi="黑体" w:eastAsia="黑体" w:cs="黑体"/>
          <w:bCs/>
          <w:sz w:val="28"/>
          <w:szCs w:val="28"/>
          <w:highlight w:val="none"/>
          <w:lang w:eastAsia="zh-CN"/>
        </w:rPr>
        <w:t xml:space="preserve">第</w:t>
      </w:r>
      <w:r>
        <w:rPr>
          <w:rFonts w:hint="eastAsia" w:ascii="黑体" w:hAnsi="黑体" w:eastAsia="黑体" w:cs="黑体"/>
          <w:bCs/>
          <w:sz w:val="28"/>
          <w:szCs w:val="28"/>
          <w:highlight w:val="none"/>
          <w:lang w:val="en-US" w:eastAsia="zh-CN"/>
        </w:rPr>
        <w:t xml:space="preserve">六</w:t>
      </w:r>
      <w:r>
        <w:rPr>
          <w:rFonts w:hint="eastAsia" w:ascii="黑体" w:hAnsi="黑体" w:eastAsia="黑体" w:cs="黑体"/>
          <w:bCs/>
          <w:sz w:val="28"/>
          <w:szCs w:val="28"/>
          <w:highlight w:val="none"/>
          <w:lang w:eastAsia="zh-CN"/>
        </w:rPr>
        <w:t xml:space="preserve">章  </w:t>
      </w:r>
      <w:r>
        <w:rPr>
          <w:rFonts w:hint="eastAsia" w:ascii="黑体" w:hAnsi="黑体" w:eastAsia="黑体" w:cs="黑体"/>
          <w:bCs/>
          <w:sz w:val="28"/>
          <w:szCs w:val="28"/>
          <w:highlight w:val="none"/>
          <w:lang w:val="en-US" w:eastAsia="zh-CN"/>
        </w:rPr>
        <w:t xml:space="preserve">采购需求</w:t>
      </w:r>
      <w:r>
        <w:rPr>
          <w:sz w:val="28"/>
          <w:szCs w:val="28"/>
        </w:rPr>
        <w:tab/>
      </w:r>
      <w:r>
        <w:rPr>
          <w:sz w:val="28"/>
          <w:szCs w:val="28"/>
        </w:rPr>
        <w:fldChar w:fldCharType="begin"/>
      </w:r>
      <w:r>
        <w:rPr>
          <w:sz w:val="28"/>
          <w:szCs w:val="28"/>
        </w:rPr>
        <w:instrText xml:space="preserve"> PAGEREF _Toc11135 \h </w:instrText>
      </w:r>
      <w:r>
        <w:rPr>
          <w:sz w:val="28"/>
          <w:szCs w:val="28"/>
        </w:rPr>
        <w:fldChar w:fldCharType="separate"/>
      </w:r>
      <w:r>
        <w:rPr>
          <w:sz w:val="28"/>
          <w:szCs w:val="28"/>
        </w:rPr>
        <w:t xml:space="preserve">35</w:t>
      </w:r>
      <w:r>
        <w:rPr>
          <w:sz w:val="28"/>
          <w:szCs w:val="28"/>
        </w:rPr>
        <w:fldChar w:fldCharType="end"/>
      </w:r>
      <w:r>
        <w:rPr>
          <w:rFonts w:hint="eastAsia" w:ascii="仿宋" w:hAnsi="仿宋" w:eastAsia="仿宋" w:cs="仿宋"/>
          <w:bCs/>
          <w:sz w:val="28"/>
          <w:szCs w:val="40"/>
          <w:highlight w:val="none"/>
        </w:rPr>
        <w:fldChar w:fldCharType="end"/>
      </w:r>
      <w:r/>
    </w:p>
    <w:p>
      <w:pPr>
        <w:pStyle w:val="900"/>
        <w:tabs>
          <w:tab w:val="right" w:pos="8300" w:leader="dot"/>
        </w:tabs>
      </w:pPr>
      <w:r>
        <w:rPr>
          <w:rFonts w:hint="eastAsia" w:ascii="仿宋" w:hAnsi="仿宋" w:eastAsia="仿宋" w:cs="仿宋"/>
          <w:bCs/>
          <w:sz w:val="28"/>
          <w:szCs w:val="40"/>
          <w:highlight w:val="none"/>
        </w:rPr>
        <w:fldChar w:fldCharType="begin"/>
      </w:r>
      <w:r>
        <w:rPr>
          <w:rFonts w:hint="eastAsia" w:ascii="仿宋" w:hAnsi="仿宋" w:eastAsia="仿宋" w:cs="仿宋"/>
          <w:bCs/>
          <w:sz w:val="28"/>
          <w:szCs w:val="40"/>
          <w:highlight w:val="none"/>
        </w:rPr>
        <w:instrText xml:space="preserve"> HYPERLINK \l _Toc16032 </w:instrText>
      </w:r>
      <w:r>
        <w:rPr>
          <w:rFonts w:hint="eastAsia" w:ascii="仿宋" w:hAnsi="仿宋" w:eastAsia="仿宋" w:cs="仿宋"/>
          <w:bCs/>
          <w:sz w:val="28"/>
          <w:szCs w:val="40"/>
          <w:highlight w:val="none"/>
        </w:rPr>
        <w:fldChar w:fldCharType="separate"/>
      </w:r>
      <w:r>
        <w:rPr>
          <w:rFonts w:hint="eastAsia" w:ascii="黑体" w:hAnsi="黑体" w:eastAsia="黑体" w:cs="黑体"/>
          <w:bCs/>
          <w:sz w:val="28"/>
          <w:szCs w:val="28"/>
          <w:highlight w:val="none"/>
          <w:lang w:eastAsia="zh-CN"/>
        </w:rPr>
        <w:t xml:space="preserve">第</w:t>
      </w:r>
      <w:r>
        <w:rPr>
          <w:rFonts w:hint="eastAsia" w:ascii="黑体" w:hAnsi="黑体" w:eastAsia="黑体" w:cs="黑体"/>
          <w:bCs/>
          <w:sz w:val="28"/>
          <w:szCs w:val="28"/>
          <w:highlight w:val="none"/>
          <w:lang w:val="en-US" w:eastAsia="zh-CN"/>
        </w:rPr>
        <w:t xml:space="preserve">七</w:t>
      </w:r>
      <w:r>
        <w:rPr>
          <w:rFonts w:hint="eastAsia" w:ascii="黑体" w:hAnsi="黑体" w:eastAsia="黑体" w:cs="黑体"/>
          <w:bCs/>
          <w:sz w:val="28"/>
          <w:szCs w:val="28"/>
          <w:highlight w:val="none"/>
          <w:lang w:eastAsia="zh-CN"/>
        </w:rPr>
        <w:t xml:space="preserve">章  投标文件格式</w:t>
      </w:r>
      <w:r>
        <w:rPr>
          <w:sz w:val="28"/>
          <w:szCs w:val="28"/>
        </w:rPr>
        <w:tab/>
      </w:r>
      <w:r>
        <w:rPr>
          <w:sz w:val="28"/>
          <w:szCs w:val="28"/>
        </w:rPr>
        <w:fldChar w:fldCharType="begin"/>
      </w:r>
      <w:r>
        <w:rPr>
          <w:sz w:val="28"/>
          <w:szCs w:val="28"/>
        </w:rPr>
        <w:instrText xml:space="preserve"> PAGEREF _Toc16032 \h </w:instrText>
      </w:r>
      <w:r>
        <w:rPr>
          <w:sz w:val="28"/>
          <w:szCs w:val="28"/>
        </w:rPr>
        <w:fldChar w:fldCharType="separate"/>
      </w:r>
      <w:r>
        <w:rPr>
          <w:sz w:val="28"/>
          <w:szCs w:val="28"/>
        </w:rPr>
        <w:t xml:space="preserve">47</w:t>
      </w:r>
      <w:r>
        <w:rPr>
          <w:sz w:val="28"/>
          <w:szCs w:val="28"/>
        </w:rPr>
        <w:fldChar w:fldCharType="end"/>
      </w:r>
      <w:r>
        <w:rPr>
          <w:rFonts w:hint="eastAsia" w:ascii="仿宋" w:hAnsi="仿宋" w:eastAsia="仿宋" w:cs="仿宋"/>
          <w:bCs/>
          <w:sz w:val="28"/>
          <w:szCs w:val="40"/>
          <w:highlight w:val="none"/>
        </w:rPr>
        <w:fldChar w:fldCharType="end"/>
      </w:r>
      <w:r/>
    </w:p>
    <w:p>
      <w:pPr>
        <w:rPr>
          <w:rFonts w:hint="eastAsia" w:ascii="仿宋" w:hAnsi="仿宋" w:eastAsia="仿宋" w:cs="仿宋"/>
          <w:b/>
          <w:bCs/>
          <w:highlight w:val="none"/>
        </w:rPr>
      </w:pPr>
      <w:r>
        <w:rPr>
          <w:rFonts w:hint="eastAsia" w:ascii="仿宋" w:hAnsi="仿宋" w:eastAsia="仿宋" w:cs="仿宋"/>
          <w:bCs/>
          <w:szCs w:val="30"/>
          <w:highlight w:val="none"/>
        </w:rPr>
        <w:fldChar w:fldCharType="end"/>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r>
      <w:r/>
    </w:p>
    <w:p>
      <w:pPr>
        <w:pStyle w:val="868"/>
        <w:pageBreakBefore w:val="0"/>
        <w:spacing w:line="360" w:lineRule="auto"/>
        <w:rPr>
          <w:rFonts w:hint="eastAsia" w:ascii="黑体" w:hAnsi="黑体" w:eastAsia="黑体" w:cs="黑体"/>
          <w:b w:val="0"/>
          <w:bCs/>
          <w:highlight w:val="none"/>
        </w:rPr>
      </w:pPr>
      <w:r/>
      <w:bookmarkStart w:id="28" w:name="_Toc24159"/>
      <w:r/>
      <w:bookmarkStart w:id="29" w:name="_Toc15055"/>
      <w:r/>
      <w:bookmarkStart w:id="30" w:name="_Toc5486"/>
      <w:r/>
      <w:bookmarkStart w:id="31" w:name="_Toc4925"/>
      <w:r>
        <w:rPr>
          <w:rFonts w:hint="eastAsia" w:ascii="黑体" w:hAnsi="黑体" w:eastAsia="黑体" w:cs="黑体"/>
          <w:b w:val="0"/>
          <w:bCs/>
          <w:highlight w:val="none"/>
        </w:rPr>
        <w:t xml:space="preserve">第一章  </w:t>
      </w:r>
      <w:bookmarkEnd w:id="0"/>
      <w:r/>
      <w:bookmarkEnd w:id="1"/>
      <w:r/>
      <w:bookmarkEnd w:id="2"/>
      <w:r/>
      <w:bookmarkEnd w:id="3"/>
      <w:r/>
      <w:bookmarkEnd w:id="4"/>
      <w:r/>
      <w:bookmarkEnd w:id="5"/>
      <w:r>
        <w:rPr>
          <w:rFonts w:hint="eastAsia" w:ascii="黑体" w:hAnsi="黑体" w:eastAsia="黑体" w:cs="黑体"/>
          <w:b w:val="0"/>
          <w:bCs/>
          <w:highlight w:val="none"/>
        </w:rPr>
        <w:t xml:space="preserve">招标公告</w:t>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8"/>
      <w:r/>
      <w:bookmarkEnd w:id="29"/>
      <w:r/>
      <w:bookmarkEnd w:id="30"/>
      <w:r/>
      <w:bookmarkEnd w:id="31"/>
      <w:r/>
      <w:r/>
    </w:p>
    <w:tbl>
      <w:tblPr>
        <w:tblStyle w:val="9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17"/>
      </w:tblGrid>
      <w:tr>
        <w:trPr>
          <w:jc w:val="center"/>
        </w:trPr>
        <w:tc>
          <w:tcPr>
            <w:tcW w:w="831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黑体" w:hAnsi="黑体" w:eastAsia="黑体" w:cs="黑体"/>
                <w:sz w:val="24"/>
                <w:szCs w:val="24"/>
                <w:highlight w:val="none"/>
              </w:rPr>
              <w:suppressLineNumbers w:val="0"/>
            </w:pPr>
            <w:r/>
            <w:bookmarkStart w:id="32" w:name="_Toc11936"/>
            <w:r/>
            <w:bookmarkStart w:id="33" w:name="_Toc5816"/>
            <w:r/>
            <w:bookmarkStart w:id="34" w:name="_Toc25812"/>
            <w:r/>
            <w:bookmarkStart w:id="35" w:name="_Toc7489"/>
            <w:r/>
            <w:bookmarkStart w:id="36" w:name="_Toc28923"/>
            <w:r/>
            <w:bookmarkStart w:id="37" w:name="_Toc29642"/>
            <w:r/>
            <w:bookmarkStart w:id="38" w:name="_Toc5324"/>
            <w:r/>
            <w:bookmarkStart w:id="39" w:name="_Toc23693"/>
            <w:r/>
            <w:bookmarkStart w:id="40" w:name="_Toc3931"/>
            <w:r/>
            <w:bookmarkStart w:id="41" w:name="_Toc14602"/>
            <w:r/>
            <w:bookmarkStart w:id="42" w:name="_Toc1403"/>
            <w:r/>
            <w:bookmarkStart w:id="43" w:name="_Toc27159"/>
            <w:r/>
            <w:bookmarkStart w:id="44" w:name="_Toc30824"/>
            <w:r/>
            <w:bookmarkStart w:id="45" w:name="_Toc27060"/>
            <w:r/>
            <w:bookmarkStart w:id="46" w:name="_Toc29806"/>
            <w:r/>
            <w:bookmarkStart w:id="47" w:name="_Toc27436"/>
            <w:r/>
            <w:bookmarkStart w:id="48" w:name="_Toc26550"/>
            <w:r>
              <w:rPr>
                <w:rFonts w:hint="eastAsia" w:ascii="黑体" w:hAnsi="黑体" w:eastAsia="黑体" w:cs="黑体"/>
                <w:sz w:val="24"/>
                <w:szCs w:val="24"/>
                <w:highlight w:val="none"/>
              </w:rPr>
              <w:t xml:space="preserve">项目概况</w:t>
            </w:r>
            <w:r/>
          </w:p>
          <w:p>
            <w:pPr>
              <w:ind w:left="0" w:right="0" w:firstLine="48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u w:val="single"/>
                <w:lang w:val="en-US" w:eastAsia="zh-CN"/>
              </w:rPr>
              <w:t xml:space="preserve">泰兴市医疗机构医疗责任保险业务承办项目</w:t>
            </w:r>
            <w:r>
              <w:rPr>
                <w:rFonts w:hint="eastAsia" w:ascii="仿宋" w:hAnsi="仿宋" w:eastAsia="仿宋" w:cs="仿宋"/>
                <w:sz w:val="24"/>
                <w:szCs w:val="24"/>
                <w:highlight w:val="none"/>
              </w:rPr>
              <w:t xml:space="preserve">的潜在投标人</w:t>
            </w:r>
            <w:r>
              <w:rPr>
                <w:rFonts w:hint="eastAsia" w:ascii="仿宋" w:hAnsi="仿宋" w:eastAsia="仿宋" w:cs="仿宋"/>
                <w:sz w:val="24"/>
                <w:szCs w:val="24"/>
                <w:highlight w:val="none"/>
                <w:lang w:val="en-US" w:eastAsia="zh-CN"/>
              </w:rPr>
              <w:t xml:space="preserve">可</w:t>
            </w:r>
            <w:r>
              <w:rPr>
                <w:rFonts w:hint="eastAsia" w:ascii="仿宋" w:hAnsi="仿宋" w:eastAsia="仿宋" w:cs="仿宋"/>
                <w:sz w:val="24"/>
                <w:szCs w:val="24"/>
                <w:highlight w:val="none"/>
              </w:rPr>
              <w:t xml:space="preserve">在</w:t>
            </w:r>
            <w:r>
              <w:rPr>
                <w:rFonts w:hint="eastAsia" w:ascii="仿宋" w:hAnsi="仿宋" w:eastAsia="仿宋" w:cs="仿宋"/>
                <w:sz w:val="24"/>
                <w:szCs w:val="24"/>
                <w:highlight w:val="none"/>
                <w:lang w:val="en-US" w:eastAsia="zh-CN"/>
              </w:rPr>
              <w:t xml:space="preserve">“江苏省政府采购网”自行免费下载采购</w:t>
            </w:r>
            <w:r>
              <w:rPr>
                <w:rFonts w:hint="eastAsia" w:ascii="仿宋" w:hAnsi="仿宋" w:eastAsia="仿宋" w:cs="仿宋"/>
                <w:sz w:val="24"/>
                <w:szCs w:val="24"/>
                <w:highlight w:val="none"/>
              </w:rPr>
              <w:t xml:space="preserve">文件，并于202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14:30</w:t>
            </w:r>
            <w:r>
              <w:rPr>
                <w:rFonts w:hint="eastAsia" w:ascii="仿宋" w:hAnsi="仿宋" w:eastAsia="仿宋" w:cs="仿宋"/>
                <w:sz w:val="24"/>
                <w:szCs w:val="24"/>
                <w:highlight w:val="none"/>
              </w:rPr>
              <w:t xml:space="preserve">（北京时间）前递交投标文件。</w:t>
            </w:r>
            <w:r/>
          </w:p>
        </w:tc>
      </w:tr>
    </w:tbl>
    <w:p>
      <w:pPr>
        <w:jc w:val="both"/>
        <w:keepLines w:val="0"/>
        <w:keepNext w:val="0"/>
        <w:pageBreakBefore w:val="0"/>
        <w:spacing w:line="36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一、项目基本情况</w:t>
      </w:r>
      <w:r/>
    </w:p>
    <w:p>
      <w:pPr>
        <w:ind w:firstLine="480"/>
        <w:keepLines w:val="0"/>
        <w:keepNext w:val="0"/>
        <w:pageBreakBefore w:val="0"/>
        <w:spacing w:line="360" w:lineRule="auto"/>
        <w:widowControl w:val="off"/>
        <w:rPr>
          <w:rFonts w:hint="eastAsia" w:ascii="Segoe UI" w:hAnsi="Segoe UI" w:eastAsia="Segoe UI" w:cs="Segoe UI"/>
          <w:i w:val="0"/>
          <w:iCs w:val="0"/>
          <w:caps w:val="0"/>
          <w:spacing w:val="0"/>
          <w:sz w:val="21"/>
          <w:szCs w:val="21"/>
          <w:shd w:val="clear" w:color="auto" w:fill="ffffff"/>
        </w:rPr>
      </w:pPr>
      <w:r>
        <w:rPr>
          <w:rFonts w:hint="eastAsia" w:ascii="仿宋" w:hAnsi="仿宋" w:eastAsia="仿宋" w:cs="仿宋"/>
          <w:sz w:val="24"/>
          <w:szCs w:val="24"/>
          <w:highlight w:val="none"/>
          <w:lang w:val="en-US" w:eastAsia="zh-CN"/>
        </w:rPr>
        <w:t xml:space="preserve">1.项目编号：</w:t>
      </w:r>
      <w:r>
        <w:rPr>
          <w:rFonts w:hint="eastAsia" w:ascii="Segoe UI" w:hAnsi="Segoe UI" w:eastAsia="Segoe UI" w:cs="Segoe UI"/>
          <w:i w:val="0"/>
          <w:iCs w:val="0"/>
          <w:caps w:val="0"/>
          <w:spacing w:val="0"/>
          <w:sz w:val="21"/>
          <w:szCs w:val="21"/>
          <w:shd w:val="clear" w:color="auto" w:fill="ffffff"/>
        </w:rPr>
        <w:t xml:space="preserve">JSZC-321283-HTBX-G2026-0007</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2.项目名称：泰兴市医疗机构医疗责任保险业务承办项目</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3.采购方式：公开招标</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4.预算金额：630万元（三年）</w:t>
      </w:r>
      <w:r/>
    </w:p>
    <w:p>
      <w:pPr>
        <w:pStyle w:val="912"/>
        <w:rPr>
          <w:rFonts w:hint="default"/>
          <w:highlight w:val="none"/>
          <w:lang w:val="en-US" w:eastAsia="zh-CN"/>
        </w:rPr>
      </w:pPr>
      <w:r>
        <w:rPr>
          <w:rFonts w:hint="eastAsia" w:ascii="仿宋" w:hAnsi="仿宋" w:eastAsia="仿宋" w:cs="仿宋"/>
          <w:sz w:val="24"/>
          <w:szCs w:val="24"/>
          <w:highlight w:val="none"/>
          <w:lang w:val="en-US" w:eastAsia="zh-CN"/>
        </w:rPr>
        <w:t xml:space="preserve">5.最高限价：630万元</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6.采购需求：保</w:t>
      </w:r>
      <w:r>
        <w:rPr>
          <w:rFonts w:hint="eastAsia" w:ascii="仿宋" w:hAnsi="仿宋" w:eastAsia="仿宋" w:cs="仿宋"/>
          <w:sz w:val="24"/>
          <w:szCs w:val="24"/>
          <w:highlight w:val="none"/>
          <w:lang w:val="en-US" w:eastAsia="zh-CN"/>
        </w:rPr>
        <w:t xml:space="preserve">险服务。依据原国家卫生计生委会同司法部、财政部、中国保监会、国家中医药管理局等部门印发的《关于加强医疗责任保险工作的意见》（国卫医发〔2014〕42号，以下简称《意见》）、原江苏省卫生计生委与江苏省保监局联合下发的《关于进一步加强医疗责任保险工作的通知》（苏卫医政发〔2014〕3号，以下简称《通知》）精神，进行本次泰兴市医疗机构医疗责任保险业务承办项目的公开招标，旨在进一步强化我市医院质量和医疗安全管理，化解医疗风险，构建和谐平安的社会环境，在我市医疗卫生机构全面推行医疗责任保险工作，建立医疗风险分担机制。</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7.合同履行期限：三年（</w:t>
      </w:r>
      <w:r>
        <w:rPr>
          <w:rFonts w:hint="eastAsia" w:ascii="仿宋" w:hAnsi="仿宋" w:eastAsia="仿宋" w:cs="仿宋"/>
          <w:sz w:val="24"/>
          <w:szCs w:val="24"/>
          <w:highlight w:val="none"/>
          <w:shd w:val="clear" w:color="auto"/>
          <w:lang w:val="en-US" w:eastAsia="zh-CN"/>
        </w:rPr>
        <w:t xml:space="preserve">2026年6月30日至2029年6月29日</w:t>
      </w:r>
      <w:r>
        <w:rPr>
          <w:rFonts w:hint="eastAsia" w:ascii="仿宋" w:hAnsi="仿宋" w:eastAsia="仿宋" w:cs="仿宋"/>
          <w:sz w:val="24"/>
          <w:szCs w:val="24"/>
          <w:highlight w:val="none"/>
          <w:lang w:val="en-US" w:eastAsia="zh-CN"/>
        </w:rPr>
        <w:t xml:space="preserve">）。</w:t>
      </w:r>
      <w:r/>
    </w:p>
    <w:p>
      <w:pPr>
        <w:pStyle w:val="1087"/>
        <w:ind w:left="0" w:firstLine="480"/>
        <w:pageBreakBefore w:val="0"/>
        <w:spacing w:line="38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8.本项目（是/否）接受联合体投标</w:t>
      </w:r>
      <w:r>
        <w:rPr>
          <w:rFonts w:hint="eastAsia" w:ascii="仿宋" w:hAnsi="仿宋" w:eastAsia="仿宋" w:cs="仿宋"/>
          <w:sz w:val="24"/>
          <w:szCs w:val="24"/>
          <w:highlight w:val="none"/>
          <w:lang w:val="en-US" w:eastAsia="zh-CN" w:bidi="ar-SA"/>
        </w:rPr>
        <w:t xml:space="preserve">：否。</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 xml:space="preserve">二、投标人的</w:t>
      </w:r>
      <w:r>
        <w:rPr>
          <w:rFonts w:hint="eastAsia" w:ascii="仿宋" w:hAnsi="仿宋" w:eastAsia="仿宋" w:cs="仿宋"/>
          <w:b/>
          <w:bCs/>
          <w:color w:val="auto"/>
          <w:sz w:val="28"/>
          <w:szCs w:val="28"/>
          <w:highlight w:val="none"/>
        </w:rPr>
        <w:t xml:space="preserve">资格要求</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w:t>
      </w:r>
      <w:r>
        <w:rPr>
          <w:rFonts w:hint="eastAsia" w:ascii="仿宋" w:hAnsi="仿宋" w:eastAsia="仿宋" w:cs="仿宋"/>
          <w:sz w:val="24"/>
          <w:szCs w:val="24"/>
          <w:highlight w:val="none"/>
          <w:lang w:val="en-US" w:eastAsia="zh-CN"/>
        </w:rPr>
        <w:t xml:space="preserve">满足《中华人民共和国政府采购法》第二十二条规定：</w:t>
      </w:r>
      <w:r/>
    </w:p>
    <w:p>
      <w:pPr>
        <w:ind w:firstLine="480"/>
        <w:keepLines w:val="0"/>
        <w:pageBreakBefore w:val="0"/>
        <w:spacing w:line="400" w:lineRule="exact"/>
        <w:rPr>
          <w:rFonts w:hint="eastAsia" w:ascii="仿宋" w:hAnsi="仿宋" w:eastAsia="仿宋" w:cs="仿宋"/>
          <w:sz w:val="24"/>
          <w:szCs w:val="24"/>
          <w:lang w:val="zh-CN" w:eastAsia="zh-CN"/>
        </w:rPr>
      </w:pPr>
      <w:r>
        <w:rPr>
          <w:rFonts w:hint="eastAsia" w:ascii="仿宋" w:hAnsi="仿宋" w:eastAsia="仿宋" w:cs="仿宋"/>
          <w:sz w:val="24"/>
          <w:szCs w:val="24"/>
          <w:highlight w:val="none"/>
          <w:lang w:val="zh-CN"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eastAsia="zh-CN"/>
        </w:rPr>
        <w:t xml:space="preserve">）</w:t>
      </w:r>
      <w:r>
        <w:rPr>
          <w:rFonts w:hint="eastAsia" w:ascii="仿宋" w:hAnsi="仿宋" w:eastAsia="仿宋" w:cs="仿宋"/>
          <w:sz w:val="24"/>
          <w:szCs w:val="24"/>
          <w:lang w:val="en-US" w:eastAsia="zh-CN"/>
        </w:rPr>
        <w:t xml:space="preserve">具有独立承担民事责任的能力</w:t>
      </w:r>
      <w:r>
        <w:rPr>
          <w:rFonts w:hint="eastAsia" w:ascii="仿宋" w:hAnsi="仿宋" w:eastAsia="仿宋" w:cs="仿宋"/>
          <w:sz w:val="24"/>
          <w:szCs w:val="24"/>
          <w:lang w:val="zh-CN" w:eastAsia="zh-CN"/>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（2）具有良好的商业信誉和健全的财务会计制度；</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（3）具有履行合同所必需的设备和专业技术能力；</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（4）有依法缴纳税收和社会保障资金的良好记录；</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（5）在参加政府采购活动</w:t>
      </w:r>
      <w:r>
        <w:rPr>
          <w:rFonts w:hint="eastAsia" w:ascii="仿宋" w:hAnsi="仿宋" w:eastAsia="仿宋" w:cs="仿宋"/>
          <w:sz w:val="24"/>
          <w:szCs w:val="24"/>
          <w:highlight w:val="none"/>
          <w:lang w:val="zh-CN" w:eastAsia="zh-CN"/>
        </w:rPr>
        <w:t xml:space="preserve">前三年内，在经营活动中没有重大违法记录；</w:t>
      </w:r>
      <w:r/>
    </w:p>
    <w:p>
      <w:pPr>
        <w:pStyle w:val="912"/>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（6）法律、行政法规规定的其他条件。</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highlight w:val="none"/>
          <w:lang w:val="en-US" w:eastAsia="zh-CN"/>
        </w:rPr>
        <w:t xml:space="preserve">落实政府采购政策需满足的资格要求：本项目无落实政府采购政策需满足的资格要求。</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（三）</w:t>
      </w:r>
      <w:r>
        <w:rPr>
          <w:rFonts w:hint="eastAsia" w:ascii="仿宋" w:hAnsi="仿宋" w:eastAsia="仿宋" w:cs="仿宋"/>
          <w:sz w:val="24"/>
          <w:szCs w:val="24"/>
          <w:highlight w:val="none"/>
          <w:lang w:val="en-US" w:eastAsia="zh-CN"/>
        </w:rPr>
        <w:t xml:space="preserve">本项目的特定资格要求：</w:t>
      </w:r>
      <w:r/>
    </w:p>
    <w:p>
      <w:pPr>
        <w:pStyle w:val="912"/>
        <w:tabs>
          <w:tab w:val="left" w:pos="651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有有效的保险许可证或经营保险业务许可证或金融许可证。本项目接受地市级及县级市分支机构参与投标，但同一总公司下的不同分支机构不得同时参与投标；根据《中华人民共和国政府采购法实施条例》释义，银行、保险、石油石化、电力、电信等有行业特殊情况的，取得营业执照的分支机构可以分公司名义参与投标，采购文件中涉及的“法定代表人/单位负责人”在前述特殊行业中即对应为“分支机构（单位）负责人”；</w:t>
      </w:r>
      <w:r/>
    </w:p>
    <w:p>
      <w:pPr>
        <w:pStyle w:val="912"/>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2.未被“信用中国”网站（www.creditchina.gov.cn）列入失信被执行人、重大税收违法案件当事人名单、政府采购严重失信行为记录名单。</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三、获取招标文件</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sz w:val="24"/>
          <w:szCs w:val="24"/>
          <w:highlight w:val="none"/>
          <w:lang w:val="zh-CN" w:eastAsia="zh-CN"/>
        </w:rPr>
        <w:t xml:space="preserve">1.时间：</w:t>
      </w:r>
      <w:r>
        <w:rPr>
          <w:rFonts w:hint="eastAsia" w:ascii="仿宋" w:hAnsi="仿宋" w:eastAsia="仿宋" w:cs="仿宋"/>
          <w:bCs/>
          <w:color w:val="auto"/>
          <w:sz w:val="24"/>
          <w:szCs w:val="24"/>
          <w:highlight w:val="none"/>
          <w:lang w:eastAsia="zh-CN"/>
        </w:rPr>
        <w:t xml:space="preserve">自招标文件公告发布之日起5个工作日；</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2.地点：</w:t>
      </w:r>
      <w:r>
        <w:rPr>
          <w:rFonts w:hint="eastAsia" w:ascii="仿宋" w:hAnsi="仿宋" w:eastAsia="仿宋" w:cs="仿宋"/>
          <w:sz w:val="24"/>
          <w:szCs w:val="24"/>
          <w:highlight w:val="none"/>
          <w:lang w:eastAsia="zh-CN"/>
        </w:rPr>
        <w:t xml:space="preserve">网上注册登记成功后系统内免费下载</w:t>
      </w:r>
      <w:r>
        <w:rPr>
          <w:rFonts w:hint="eastAsia" w:ascii="仿宋" w:hAnsi="仿宋" w:eastAsia="仿宋" w:cs="仿宋"/>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3.方式：</w:t>
      </w:r>
      <w:r>
        <w:rPr>
          <w:rFonts w:hint="eastAsia" w:ascii="仿宋" w:hAnsi="仿宋" w:eastAsia="仿宋" w:cs="仿宋"/>
          <w:bCs/>
          <w:color w:val="000000"/>
          <w:sz w:val="24"/>
          <w:szCs w:val="24"/>
          <w:highlight w:val="none"/>
          <w:lang w:val="zh-CN" w:eastAsia="zh-CN"/>
        </w:rPr>
        <w:t xml:space="preserve">在“江苏政府采购网”自行免费下载招标文件</w:t>
      </w:r>
      <w:r>
        <w:rPr>
          <w:rFonts w:hint="eastAsia" w:ascii="仿宋" w:hAnsi="仿宋" w:eastAsia="仿宋" w:cs="仿宋"/>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4.售价：免费</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四、提交投标文件截止时间、开标时间和地点</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提交投标文件截止时间、开标时间：202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zh-CN" w:eastAsia="zh-CN"/>
        </w:rPr>
        <w:t xml:space="preserve">年</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lang w:val="zh-CN" w:eastAsia="zh-CN"/>
        </w:rPr>
        <w:t xml:space="preserve">月</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lang w:val="zh-CN" w:eastAsia="zh-CN"/>
        </w:rPr>
        <w:t xml:space="preserve">日</w:t>
      </w:r>
      <w:r>
        <w:rPr>
          <w:rFonts w:hint="eastAsia" w:ascii="仿宋" w:hAnsi="仿宋" w:eastAsia="仿宋" w:cs="仿宋"/>
          <w:sz w:val="24"/>
          <w:szCs w:val="24"/>
          <w:highlight w:val="none"/>
          <w:lang w:val="en-US" w:eastAsia="zh-CN"/>
        </w:rPr>
        <w:t xml:space="preserve">14:30</w:t>
      </w:r>
      <w:r>
        <w:rPr>
          <w:rFonts w:hint="eastAsia" w:ascii="仿宋" w:hAnsi="仿宋" w:eastAsia="仿宋" w:cs="仿宋"/>
          <w:sz w:val="24"/>
          <w:szCs w:val="24"/>
          <w:highlight w:val="none"/>
          <w:lang w:val="zh-CN" w:eastAsia="zh-CN"/>
        </w:rPr>
        <w:t xml:space="preserve">（北京时间）</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eastAsia="zh-CN"/>
        </w:rPr>
        <w:t xml:space="preserve">地点：</w:t>
      </w:r>
      <w:r>
        <w:rPr>
          <w:rFonts w:hint="eastAsia" w:ascii="仿宋" w:hAnsi="仿宋" w:eastAsia="仿宋" w:cs="仿宋"/>
          <w:sz w:val="24"/>
          <w:szCs w:val="24"/>
          <w:highlight w:val="none"/>
          <w:lang w:eastAsia="zh-CN"/>
        </w:rPr>
        <w:t xml:space="preserve">“苏采云”系统</w:t>
      </w:r>
      <w:r>
        <w:rPr>
          <w:rFonts w:hint="eastAsia" w:ascii="仿宋" w:hAnsi="仿宋" w:eastAsia="仿宋" w:cs="仿宋"/>
          <w:sz w:val="24"/>
          <w:szCs w:val="24"/>
          <w:highlight w:val="none"/>
          <w:lang w:eastAsia="zh-CN"/>
        </w:rPr>
        <w:fldChar w:fldCharType="begin"/>
      </w:r>
      <w:r>
        <w:rPr>
          <w:rFonts w:hint="eastAsia" w:ascii="仿宋" w:hAnsi="仿宋" w:eastAsia="仿宋" w:cs="仿宋"/>
          <w:sz w:val="24"/>
          <w:szCs w:val="24"/>
          <w:highlight w:val="none"/>
          <w:lang w:eastAsia="zh-CN"/>
        </w:rPr>
        <w:instrText xml:space="preserve"> HYPERLINK "http://jszfcg.jsczt.cn/）\“开标大厅\”" </w:instrText>
      </w:r>
      <w:r>
        <w:rPr>
          <w:rFonts w:hint="eastAsia" w:ascii="仿宋" w:hAnsi="仿宋" w:eastAsia="仿宋" w:cs="仿宋"/>
          <w:sz w:val="24"/>
          <w:szCs w:val="24"/>
          <w:highlight w:val="none"/>
          <w:lang w:eastAsia="zh-CN"/>
        </w:rPr>
        <w:fldChar w:fldCharType="separate"/>
      </w:r>
      <w:r>
        <w:rPr>
          <w:rFonts w:hint="eastAsia" w:ascii="仿宋" w:hAnsi="仿宋" w:eastAsia="仿宋" w:cs="仿宋"/>
          <w:sz w:val="24"/>
          <w:szCs w:val="24"/>
          <w:highlight w:val="none"/>
          <w:lang w:eastAsia="zh-CN"/>
        </w:rPr>
        <w:t xml:space="preserve">“开标大厅”</w:t>
      </w:r>
      <w:r>
        <w:rPr>
          <w:rFonts w:hint="eastAsia" w:ascii="仿宋" w:hAnsi="仿宋" w:eastAsia="仿宋" w:cs="仿宋"/>
          <w:sz w:val="24"/>
          <w:szCs w:val="24"/>
          <w:highlight w:val="none"/>
          <w:lang w:eastAsia="zh-CN"/>
        </w:rPr>
        <w:fldChar w:fldCharType="end"/>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五、公告期限</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自本公告发布之日起5个工作日。</w:t>
      </w:r>
      <w:r/>
    </w:p>
    <w:p>
      <w:pPr>
        <w:numPr>
          <w:ilvl w:val="0"/>
          <w:numId w:val="7"/>
        </w:num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其他补充事宜</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eastAsia="zh-CN"/>
        </w:rPr>
        <w:t xml:space="preserve">.</w:t>
      </w:r>
      <w:r>
        <w:rPr>
          <w:rFonts w:hint="eastAsia" w:ascii="仿宋" w:hAnsi="仿宋" w:eastAsia="仿宋" w:cs="仿宋"/>
          <w:sz w:val="24"/>
          <w:szCs w:val="24"/>
          <w:highlight w:val="none"/>
          <w:lang w:val="en-US" w:eastAsia="zh-CN"/>
        </w:rPr>
        <w:t xml:space="preserve">潜在投标人访问电子招标投标交易平台的网络地址和方法：</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（1）潜在投标人登录</w:t>
      </w:r>
      <w:r>
        <w:rPr>
          <w:rFonts w:hint="eastAsia" w:ascii="仿宋" w:hAnsi="仿宋" w:eastAsia="仿宋" w:cs="仿宋"/>
          <w:bCs/>
          <w:color w:val="000000"/>
          <w:sz w:val="24"/>
          <w:szCs w:val="24"/>
          <w:highlight w:val="none"/>
          <w:lang w:eastAsia="zh-CN"/>
        </w:rPr>
        <w:t xml:space="preserve">http://jszfcg.jsczt.cn/点击“苏采云”进入系统</w:t>
      </w:r>
      <w:r>
        <w:rPr>
          <w:rFonts w:hint="eastAsia" w:ascii="仿宋" w:hAnsi="仿宋" w:eastAsia="仿宋" w:cs="仿宋"/>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（2）本项目采用电子化投标，投标人需办理CA锁，“苏采云”系统目前仅支持“苏采云”系统下的政务CA，省内各地区办理的CA锁全省通用，办理方式详情可在“苏采云”登录界面中的“CA办理指南”进行查询。   </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七、对本次招标提出询问，请按以下方式联系</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1.采购人信息</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采购人：泰兴市卫生健康委员会</w:t>
      </w:r>
      <w:r/>
    </w:p>
    <w:p>
      <w:pPr>
        <w:ind w:firstLine="480"/>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地  址：泰兴市文昌路9号</w:t>
      </w:r>
      <w:r/>
    </w:p>
    <w:p>
      <w:pPr>
        <w:ind w:firstLine="480"/>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联系方式：</w:t>
      </w:r>
      <w:r>
        <w:rPr>
          <w:rFonts w:hint="eastAsia" w:ascii="仿宋" w:hAnsi="仿宋" w:eastAsia="仿宋" w:cs="仿宋"/>
          <w:color w:val="auto"/>
          <w:sz w:val="24"/>
          <w:szCs w:val="24"/>
          <w:highlight w:val="none"/>
          <w:lang w:val="en-US" w:eastAsia="zh-CN"/>
        </w:rPr>
        <w:t xml:space="preserve">李女士  </w:t>
      </w:r>
      <w:r>
        <w:rPr>
          <w:rFonts w:hint="eastAsia" w:ascii="仿宋" w:hAnsi="仿宋" w:eastAsia="仿宋" w:cs="仿宋"/>
          <w:color w:val="auto"/>
          <w:sz w:val="24"/>
          <w:szCs w:val="24"/>
          <w:highlight w:val="none"/>
          <w:lang w:val="zh-CN"/>
        </w:rPr>
        <w:t xml:space="preserve">0523-80962209 </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2.采购代理机构信息</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采购代理机构：恒泰保险经纪有限公司</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地　址：南京市鼓楼区中山北路30号益来国际广场12楼</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泰州分公司地址：泰州市海陵区鼓楼南路398号C楼408室</w:t>
      </w:r>
      <w:r>
        <w:rPr>
          <w:rFonts w:hint="eastAsia" w:ascii="仿宋" w:hAnsi="仿宋" w:eastAsia="仿宋" w:cs="仿宋"/>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联系人：陈女士</w:t>
      </w:r>
      <w:r/>
    </w:p>
    <w:p>
      <w:pPr>
        <w:ind w:firstLine="480"/>
        <w:keepLines w:val="0"/>
        <w:keepNext w:val="0"/>
        <w:pageBreakBefore w:val="0"/>
        <w:spacing w:line="360" w:lineRule="auto"/>
        <w:widowControl w:val="off"/>
        <w:rPr>
          <w:rFonts w:hint="eastAsia" w:ascii="宋体" w:hAnsi="宋体" w:eastAsia="宋体" w:cs="宋体"/>
          <w:color w:val="000000"/>
          <w:szCs w:val="24"/>
          <w:highlight w:val="none"/>
          <w:lang w:val="en-US" w:eastAsia="zh-CN"/>
        </w:rPr>
      </w:pPr>
      <w:r>
        <w:rPr>
          <w:rFonts w:hint="eastAsia" w:ascii="仿宋" w:hAnsi="仿宋" w:eastAsia="仿宋" w:cs="仿宋"/>
          <w:sz w:val="24"/>
          <w:szCs w:val="24"/>
          <w:highlight w:val="none"/>
          <w:lang w:val="en-US" w:eastAsia="zh-CN"/>
        </w:rPr>
        <w:t xml:space="preserve">联系方式：0523-86893678、15105263875</w:t>
      </w:r>
      <w:r>
        <w:rPr>
          <w:rFonts w:hint="eastAsia" w:ascii="仿宋" w:hAnsi="仿宋" w:eastAsia="仿宋" w:cs="仿宋"/>
          <w:sz w:val="24"/>
          <w:szCs w:val="24"/>
          <w:highlight w:val="none"/>
        </w:rPr>
        <w:t xml:space="preserve"> </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hint="eastAsia" w:ascii="宋体" w:hAnsi="宋体" w:eastAsia="宋体" w:cs="宋体"/>
          <w:color w:val="000000"/>
          <w:szCs w:val="24"/>
          <w:highlight w:val="none"/>
          <w:lang w:val="en-US" w:eastAsia="zh-CN"/>
        </w:rPr>
      </w:r>
      <w:r/>
    </w:p>
    <w:p>
      <w:pPr>
        <w:pStyle w:val="868"/>
        <w:pageBreakBefore w:val="0"/>
        <w:spacing w:line="360" w:lineRule="auto"/>
        <w:rPr>
          <w:rFonts w:hint="eastAsia" w:ascii="黑体" w:hAnsi="黑体" w:eastAsia="黑体" w:cs="黑体"/>
          <w:b w:val="0"/>
          <w:bCs/>
          <w:highlight w:val="none"/>
        </w:rPr>
      </w:pPr>
      <w:r/>
      <w:bookmarkStart w:id="80" w:name="_Toc15497"/>
      <w:r/>
      <w:bookmarkStart w:id="81" w:name="_Toc4221"/>
      <w:r/>
      <w:bookmarkStart w:id="82" w:name="_Toc3499"/>
      <w:r/>
      <w:bookmarkStart w:id="83" w:name="_Toc13004"/>
      <w:r/>
      <w:bookmarkStart w:id="84" w:name="_Toc30044"/>
      <w:r/>
      <w:bookmarkStart w:id="85" w:name="_Toc15348"/>
      <w:r/>
      <w:bookmarkStart w:id="86" w:name="_Toc7636"/>
      <w:r/>
      <w:bookmarkStart w:id="87" w:name="_Toc1919"/>
      <w:r/>
      <w:bookmarkStart w:id="88" w:name="_Toc31653"/>
      <w:r/>
      <w:bookmarkStart w:id="89" w:name="_Toc3110"/>
      <w:r/>
      <w:bookmarkStart w:id="90" w:name="_Toc4980"/>
      <w:r/>
      <w:bookmarkStart w:id="91" w:name="_Toc31738"/>
      <w:r/>
      <w:bookmarkStart w:id="92" w:name="_Toc3270"/>
      <w:r/>
      <w:bookmarkStart w:id="93" w:name="_Toc28703"/>
      <w:r/>
      <w:bookmarkStart w:id="94" w:name="_Toc1723"/>
      <w:r/>
      <w:bookmarkStart w:id="95" w:name="_Toc1421"/>
      <w:r/>
      <w:bookmarkStart w:id="96" w:name="_Toc6234"/>
      <w:r/>
      <w:bookmarkStart w:id="97" w:name="_Toc13476"/>
      <w:r/>
      <w:bookmarkStart w:id="98" w:name="_Toc31716"/>
      <w:r/>
      <w:bookmarkStart w:id="99" w:name="_Toc2467"/>
      <w:r/>
      <w:bookmarkStart w:id="100" w:name="_Toc31113"/>
      <w:r/>
      <w:bookmarkStart w:id="101" w:name="_Toc430870061"/>
      <w:r/>
      <w:bookmarkStart w:id="102" w:name="_Toc513029242"/>
      <w:r/>
      <w:bookmarkStart w:id="103" w:name="_Toc9527"/>
      <w:r/>
      <w:bookmarkStart w:id="104" w:name="_Toc120614221"/>
      <w:r/>
      <w:bookmarkStart w:id="105" w:name="_Toc16938558"/>
      <w:r/>
      <w:bookmarkStart w:id="106" w:name="_Toc422900123"/>
      <w:r/>
      <w:bookmarkStart w:id="107" w:name="_Toc451754929"/>
      <w:r/>
      <w:bookmarkStart w:id="108" w:name="_Toc20823314"/>
      <w:r/>
      <w:bookmarkStart w:id="109" w:name="_Toc15206"/>
      <w:r/>
      <w:bookmarkStart w:id="110" w:name="_Toc479757207"/>
      <w:r>
        <w:rPr>
          <w:rFonts w:hint="eastAsia" w:ascii="黑体" w:hAnsi="黑体" w:eastAsia="黑体" w:cs="黑体"/>
          <w:b w:val="0"/>
          <w:bCs/>
          <w:highlight w:val="none"/>
        </w:rPr>
        <w:t xml:space="preserve">第二章  投标人须知</w:t>
      </w:r>
      <w:bookmarkEnd w:id="80"/>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一、总则</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政府采购方式</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auto"/>
          <w:sz w:val="24"/>
          <w:szCs w:val="24"/>
          <w:highlight w:val="none"/>
        </w:rPr>
        <w:t xml:space="preserve">公开招标。</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二</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采购人</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采购人是指依法进行政府采购的国家机关、事业单位、团体组织。</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三</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采购代理机构：</w:t>
      </w:r>
      <w:r>
        <w:rPr>
          <w:rFonts w:hint="eastAsia" w:ascii="仿宋" w:hAnsi="仿宋" w:eastAsia="仿宋" w:cs="仿宋"/>
          <w:color w:val="000000"/>
          <w:sz w:val="24"/>
          <w:szCs w:val="24"/>
          <w:highlight w:val="none"/>
        </w:rPr>
        <w:t xml:space="preserve">采购人委托采购代理机构代理招标的，采购代理机构应当在采购人委托的范围内依法开展采购活动</w:t>
      </w:r>
      <w:r>
        <w:rPr>
          <w:rFonts w:hint="eastAsia" w:ascii="仿宋" w:hAnsi="仿宋" w:eastAsia="仿宋" w:cs="仿宋"/>
          <w:color w:val="000000"/>
          <w:sz w:val="24"/>
          <w:szCs w:val="24"/>
          <w:highlight w:val="none"/>
          <w:lang w:eastAsia="zh-CN"/>
        </w:rPr>
        <w:t xml:space="preserve">。</w:t>
      </w:r>
      <w:r/>
    </w:p>
    <w:p>
      <w:pPr>
        <w:ind w:firstLine="480"/>
        <w:jc w:val="left"/>
        <w:keepLines w:val="0"/>
        <w:keepNext w:val="0"/>
        <w:pageBreakBefore w:val="0"/>
        <w:spacing w:line="36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四</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合格的投标人：</w:t>
      </w:r>
      <w:r>
        <w:rPr>
          <w:rFonts w:hint="eastAsia" w:ascii="仿宋" w:hAnsi="仿宋" w:eastAsia="仿宋" w:cs="仿宋"/>
          <w:color w:val="000000"/>
          <w:sz w:val="24"/>
          <w:szCs w:val="24"/>
          <w:highlight w:val="none"/>
          <w:lang w:val="en-US" w:eastAsia="zh-CN"/>
        </w:rPr>
        <w:t xml:space="preserve">满足招标公告中供应商的资格要求的规定以及本文件实质性要求的规定。</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 xml:space="preserve">（五）</w:t>
      </w:r>
      <w:r>
        <w:rPr>
          <w:rFonts w:hint="eastAsia" w:ascii="仿宋" w:hAnsi="仿宋" w:eastAsia="仿宋" w:cs="仿宋"/>
          <w:b/>
          <w:bCs/>
          <w:color w:val="000000"/>
          <w:sz w:val="24"/>
          <w:szCs w:val="24"/>
          <w:highlight w:val="none"/>
        </w:rPr>
        <w:t xml:space="preserve">投标费用</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投标人应承担所有与准备和参加投标有关的费用，无论投标的结果如何，采购人和采购代理机构对上述费用不承担任何责任和义务。</w:t>
      </w:r>
      <w:r>
        <w:rPr>
          <w:rFonts w:hint="eastAsia" w:ascii="仿宋" w:hAnsi="仿宋" w:eastAsia="仿宋" w:cs="仿宋"/>
          <w:color w:val="000000"/>
          <w:sz w:val="24"/>
          <w:szCs w:val="24"/>
          <w:highlight w:val="none"/>
          <w:lang w:val="en-US" w:eastAsia="zh-CN"/>
        </w:rPr>
      </w:r>
      <w:r>
        <w:rPr>
          <w:rFonts w:ascii="SimSun" w:hAnsi="SimSun" w:eastAsia="SimSun" w:cs="SimSun"/>
          <w:b/>
          <w:color w:val="000000"/>
          <w:sz w:val="26"/>
        </w:rPr>
      </w:r>
      <w:r>
        <w:rPr>
          <w:rFonts w:hint="eastAsia" w:ascii="仿宋" w:hAnsi="仿宋" w:eastAsia="仿宋" w:cs="仿宋"/>
          <w:color w:val="000000"/>
          <w:sz w:val="24"/>
          <w:szCs w:val="24"/>
          <w:highlight w:val="none"/>
          <w:lang w:val="en-US" w:eastAsia="zh-CN"/>
        </w:rPr>
      </w:r>
      <w:r>
        <w:rPr>
          <w:rFonts w:ascii="FangSong" w:hAnsi="FangSong" w:eastAsia="FangSong" w:cs="FangSong"/>
          <w:color w:val="000000"/>
          <w:sz w:val="24"/>
        </w:rPr>
        <w:t xml:space="preserve">本项目采购人为泰兴市卫生健康委员会，鉴于本项目采购预算资金来源各参保单位自筹，且预算中已包含代理服务费，根据采购人要求，本项目代理服务费由中标供应商承担。投标供应商在编制投标文件时，应将代理服务费计入投标报价总价中。</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rPr>
        <w:t xml:space="preserve">代理机构代理费用的收取标准</w:t>
      </w:r>
      <w:r>
        <w:rPr>
          <w:rFonts w:hint="eastAsia" w:ascii="仿宋" w:hAnsi="仿宋" w:eastAsia="仿宋" w:cs="仿宋"/>
          <w:sz w:val="24"/>
          <w:szCs w:val="24"/>
          <w:highlight w:val="none"/>
          <w:lang w:val="zh-CN"/>
        </w:rPr>
        <w:t xml:space="preserve">按《</w:t>
      </w:r>
      <w:r>
        <w:rPr>
          <w:rFonts w:hint="eastAsia" w:ascii="仿宋" w:hAnsi="仿宋" w:eastAsia="仿宋" w:cs="仿宋"/>
          <w:color w:val="000000"/>
          <w:sz w:val="24"/>
          <w:szCs w:val="24"/>
          <w:highlight w:val="none"/>
          <w:lang w:val="en-US" w:eastAsia="zh-CN"/>
        </w:rPr>
        <w:t xml:space="preserve">江苏省政府采购代理服务收费指导意见</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的通知</w:t>
      </w:r>
      <w:r>
        <w:rPr>
          <w:rFonts w:hint="eastAsia" w:ascii="仿宋" w:hAnsi="仿宋" w:eastAsia="仿宋" w:cs="仿宋"/>
          <w:sz w:val="24"/>
          <w:szCs w:val="24"/>
          <w:highlight w:val="none"/>
          <w:lang w:val="zh-CN"/>
        </w:rPr>
        <w:t xml:space="preserve">（苏政采协〔2024〕20号）（</w:t>
      </w:r>
      <w:r>
        <w:rPr>
          <w:rFonts w:hint="eastAsia" w:ascii="仿宋" w:hAnsi="仿宋" w:eastAsia="仿宋" w:cs="仿宋"/>
          <w:sz w:val="24"/>
          <w:szCs w:val="24"/>
          <w:highlight w:val="none"/>
          <w:lang w:val="en-US" w:eastAsia="zh-CN"/>
        </w:rPr>
        <w:t xml:space="preserve">差额定率分档累进费率</w:t>
      </w:r>
      <w:r>
        <w:rPr>
          <w:rFonts w:hint="eastAsia" w:ascii="仿宋" w:hAnsi="仿宋" w:eastAsia="仿宋" w:cs="仿宋"/>
          <w:sz w:val="24"/>
          <w:szCs w:val="24"/>
          <w:highlight w:val="none"/>
          <w:lang w:val="zh-CN"/>
        </w:rPr>
        <w:t xml:space="preserve">）执行，</w:t>
      </w:r>
      <w:r>
        <w:rPr>
          <w:rFonts w:hint="eastAsia" w:ascii="仿宋" w:hAnsi="仿宋" w:eastAsia="仿宋" w:cs="仿宋"/>
          <w:color w:val="000000"/>
          <w:sz w:val="24"/>
          <w:szCs w:val="24"/>
          <w:highlight w:val="none"/>
          <w:lang w:val="zh-CN"/>
        </w:rPr>
        <w:t xml:space="preserve">由项目</w:t>
      </w:r>
      <w:r>
        <w:rPr>
          <w:rFonts w:hint="eastAsia" w:ascii="仿宋" w:hAnsi="仿宋" w:eastAsia="仿宋" w:cs="仿宋"/>
          <w:color w:val="000000"/>
          <w:sz w:val="24"/>
          <w:szCs w:val="24"/>
          <w:highlight w:val="none"/>
          <w:lang w:val="en-US" w:eastAsia="zh-CN"/>
        </w:rPr>
        <w:t xml:space="preserve">中标</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val="zh-CN"/>
        </w:rPr>
        <w:t xml:space="preserve">在领取</w:t>
      </w:r>
      <w:r>
        <w:rPr>
          <w:rFonts w:hint="eastAsia" w:ascii="仿宋" w:hAnsi="仿宋" w:eastAsia="仿宋" w:cs="仿宋"/>
          <w:color w:val="000000"/>
          <w:sz w:val="24"/>
          <w:szCs w:val="24"/>
          <w:highlight w:val="none"/>
          <w:lang w:val="en-US" w:eastAsia="zh-CN"/>
        </w:rPr>
        <w:t xml:space="preserve">中标</w:t>
      </w:r>
      <w:r>
        <w:rPr>
          <w:rFonts w:hint="eastAsia" w:ascii="仿宋" w:hAnsi="仿宋" w:eastAsia="仿宋" w:cs="仿宋"/>
          <w:color w:val="000000"/>
          <w:sz w:val="24"/>
          <w:szCs w:val="24"/>
          <w:highlight w:val="none"/>
          <w:lang w:val="zh-CN"/>
        </w:rPr>
        <w:t xml:space="preserve">通知书时，向</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zh-CN"/>
        </w:rPr>
        <w:t xml:space="preserve">代理机构支付。</w:t>
      </w:r>
      <w:r>
        <w:rPr>
          <w:rFonts w:hint="eastAsia" w:ascii="仿宋" w:hAnsi="仿宋" w:eastAsia="仿宋" w:cs="仿宋"/>
          <w:color w:val="000000"/>
          <w:sz w:val="24"/>
          <w:szCs w:val="24"/>
          <w:highlight w:val="none"/>
          <w:lang w:val="zh-CN" w:eastAsia="zh-CN"/>
        </w:rPr>
        <w:t xml:space="preserve">收款单位：恒泰保险经纪有限公司，账号：4301010919100529942，开户行：中国工商银行南京城北支行。</w:t>
      </w:r>
      <w:r/>
    </w:p>
    <w:p>
      <w:pPr>
        <w:ind w:firstLine="480"/>
        <w:jc w:val="left"/>
        <w:keepLines w:val="0"/>
        <w:keepNext w:val="0"/>
        <w:pageBreakBefore w:val="0"/>
        <w:spacing w:line="36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六</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招标文件的约束力：</w:t>
      </w:r>
      <w:r>
        <w:rPr>
          <w:rFonts w:hint="eastAsia" w:ascii="仿宋" w:hAnsi="仿宋" w:eastAsia="仿宋" w:cs="仿宋"/>
          <w:color w:val="000000"/>
          <w:sz w:val="24"/>
          <w:szCs w:val="24"/>
          <w:highlight w:val="none"/>
          <w:lang w:val="en-US" w:eastAsia="zh-CN"/>
        </w:rPr>
        <w:t xml:space="preserve">投标人一旦参加本项目采购活动，即被认为接受了本招标文件的规定和约束。</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rPr>
        <w:t xml:space="preserve">二、招标</w:t>
      </w:r>
      <w:r/>
    </w:p>
    <w:p>
      <w:pPr>
        <w:ind w:firstLine="480"/>
        <w:keepLines w:val="0"/>
        <w:keepNext w:val="0"/>
        <w:pageBreakBefore w:val="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七</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招标文件包括以下内容：</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第一章 </w:t>
      </w:r>
      <w:r>
        <w:rPr>
          <w:rFonts w:hint="eastAsia" w:ascii="仿宋" w:hAnsi="仿宋" w:eastAsia="仿宋" w:cs="仿宋"/>
          <w:color w:val="000000"/>
          <w:sz w:val="24"/>
          <w:szCs w:val="24"/>
          <w:highlight w:val="none"/>
          <w:lang w:val="en-US" w:eastAsia="zh-CN"/>
        </w:rPr>
        <w:t xml:space="preserve">招标公告</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第二章 投标人须知</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第三章 投标资料表</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第四章 评标标准</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第五章 拟签订的合同文本</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第六章 采购需求</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第七章 </w:t>
      </w:r>
      <w:r>
        <w:rPr>
          <w:rFonts w:hint="eastAsia" w:ascii="仿宋" w:hAnsi="仿宋" w:eastAsia="仿宋" w:cs="仿宋"/>
          <w:color w:val="000000"/>
          <w:sz w:val="24"/>
          <w:szCs w:val="24"/>
          <w:highlight w:val="none"/>
          <w:lang w:eastAsia="zh-CN"/>
        </w:rPr>
        <w:t xml:space="preserve">投标文件格式</w:t>
      </w:r>
      <w:r/>
    </w:p>
    <w:p>
      <w:pPr>
        <w:ind w:firstLine="480"/>
        <w:keepLines w:val="0"/>
        <w:keepNext w:val="0"/>
        <w:pageBreakBefore w:val="0"/>
        <w:spacing w:line="36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投标人应仔细检查招标文件是否齐全，并认真阅读招标文件中所有的事项、格式、条款和规范等要求，否则其风险由投标人自行承担。</w:t>
      </w:r>
      <w:r/>
    </w:p>
    <w:p>
      <w:pPr>
        <w:ind w:firstLine="480"/>
        <w:keepLines w:val="0"/>
        <w:keepNext w:val="0"/>
        <w:pageBreakBefore w:val="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八</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招标文件的澄清或者修改</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采购代理机构</w:t>
      </w:r>
      <w:r>
        <w:rPr>
          <w:rFonts w:hint="eastAsia" w:ascii="仿宋" w:hAnsi="仿宋" w:eastAsia="仿宋" w:cs="仿宋"/>
          <w:color w:val="000000"/>
          <w:sz w:val="24"/>
          <w:szCs w:val="24"/>
          <w:highlight w:val="none"/>
          <w:lang w:val="en-US" w:eastAsia="zh-CN"/>
        </w:rPr>
        <w:t xml:space="preserve">有权在投标截止前</w:t>
      </w:r>
      <w:r>
        <w:rPr>
          <w:rFonts w:hint="eastAsia" w:ascii="仿宋" w:hAnsi="仿宋" w:eastAsia="仿宋" w:cs="仿宋"/>
          <w:color w:val="000000"/>
          <w:sz w:val="24"/>
          <w:szCs w:val="24"/>
          <w:highlight w:val="none"/>
        </w:rPr>
        <w:t xml:space="preserve">对已发出的招标文件进行必要的澄清或者修改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有权按照法定的要求推迟投标截止时间和开标日期</w:t>
      </w:r>
      <w:r>
        <w:rPr>
          <w:rFonts w:hint="eastAsia" w:ascii="仿宋" w:hAnsi="仿宋" w:eastAsia="仿宋" w:cs="仿宋"/>
          <w:color w:val="000000"/>
          <w:sz w:val="24"/>
          <w:szCs w:val="24"/>
          <w:highlight w:val="none"/>
        </w:rPr>
        <w:t xml:space="preserve">。澄清或者修改</w:t>
      </w:r>
      <w:r>
        <w:rPr>
          <w:rFonts w:hint="eastAsia" w:ascii="仿宋" w:hAnsi="仿宋" w:eastAsia="仿宋" w:cs="仿宋"/>
          <w:color w:val="000000"/>
          <w:sz w:val="24"/>
          <w:szCs w:val="24"/>
          <w:highlight w:val="none"/>
          <w:lang w:val="en-US" w:eastAsia="zh-CN"/>
        </w:rPr>
        <w:t xml:space="preserve">将在“江苏省政府采购网”公布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澄清或者修改的内容为招标文件的组成部分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并对投标人具有约束力</w:t>
      </w:r>
      <w:r>
        <w:rPr>
          <w:rFonts w:hint="eastAsia" w:ascii="仿宋" w:hAnsi="仿宋" w:eastAsia="仿宋" w:cs="仿宋"/>
          <w:color w:val="000000"/>
          <w:sz w:val="24"/>
          <w:szCs w:val="24"/>
          <w:highlight w:val="none"/>
        </w:rPr>
        <w:t xml:space="preserve">。</w:t>
      </w:r>
      <w:r/>
    </w:p>
    <w:p>
      <w:pPr>
        <w:jc w:val="both"/>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8"/>
          <w:szCs w:val="28"/>
          <w:highlight w:val="none"/>
        </w:rPr>
        <w:t xml:space="preserve">三、投标</w:t>
      </w:r>
      <w:r/>
    </w:p>
    <w:p>
      <w:pPr>
        <w:ind w:firstLine="480"/>
        <w:jc w:val="left"/>
        <w:keepLines w:val="0"/>
        <w:keepNext w:val="0"/>
        <w:pageBreakBefore w:val="0"/>
        <w:spacing w:line="360" w:lineRule="auto"/>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九</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投标文件</w:t>
      </w:r>
      <w:r>
        <w:rPr>
          <w:rFonts w:hint="eastAsia" w:ascii="仿宋" w:hAnsi="仿宋" w:eastAsia="仿宋" w:cs="仿宋"/>
          <w:b/>
          <w:bCs/>
          <w:color w:val="000000"/>
          <w:sz w:val="24"/>
          <w:szCs w:val="24"/>
          <w:highlight w:val="none"/>
          <w:lang w:val="en-US" w:eastAsia="zh-CN"/>
        </w:rPr>
        <w:t xml:space="preserve">的编制</w:t>
      </w:r>
      <w:r/>
    </w:p>
    <w:p>
      <w:pPr>
        <w:ind w:firstLine="480"/>
        <w:jc w:val="left"/>
        <w:keepLines w:val="0"/>
        <w:keepNext w:val="0"/>
        <w:pageBreakBefore w:val="0"/>
        <w:spacing w:line="36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1.投标文件的语言及度量衡单位</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000000"/>
          <w:sz w:val="24"/>
          <w:szCs w:val="24"/>
          <w:highlight w:val="none"/>
        </w:rPr>
        <w:t xml:space="preserve">投标人提交的投标文件以及投标人与</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就有关投标的所有来往通知、函件和文件均应使用</w:t>
      </w:r>
      <w:r>
        <w:rPr>
          <w:rFonts w:hint="eastAsia" w:ascii="仿宋" w:hAnsi="仿宋" w:eastAsia="仿宋" w:cs="仿宋"/>
          <w:b/>
          <w:bCs/>
          <w:color w:val="000000"/>
          <w:sz w:val="24"/>
          <w:szCs w:val="24"/>
          <w:highlight w:val="none"/>
        </w:rPr>
        <w:t xml:space="preserve">简体中文</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000000"/>
          <w:sz w:val="24"/>
          <w:szCs w:val="24"/>
          <w:highlight w:val="none"/>
        </w:rPr>
        <w:t xml:space="preserve">除技术性能另有规定外，投标文件所使用的度量衡单位，均须采用国家法定计量单位</w:t>
      </w:r>
      <w:r>
        <w:rPr>
          <w:rFonts w:hint="eastAsia" w:ascii="仿宋" w:hAnsi="仿宋" w:eastAsia="仿宋" w:cs="仿宋"/>
          <w:color w:val="auto"/>
          <w:sz w:val="24"/>
          <w:szCs w:val="24"/>
          <w:highlight w:val="none"/>
        </w:rPr>
        <w:t xml:space="preserve">。</w:t>
      </w:r>
      <w:r/>
    </w:p>
    <w:p>
      <w:pPr>
        <w:pStyle w:val="890"/>
        <w:ind w:left="0" w:firstLine="482"/>
        <w:keepLines w:val="0"/>
        <w:keepNext w:val="0"/>
        <w:pageBreakBefore w:val="0"/>
        <w:spacing w:line="360" w:lineRule="auto"/>
        <w:widowControl/>
        <w:rPr>
          <w:rFonts w:hint="eastAsia" w:ascii="仿宋" w:hAnsi="仿宋" w:eastAsia="仿宋" w:cs="仿宋"/>
          <w:b w:val="0"/>
          <w:bCs w:val="0"/>
          <w:color w:val="000000"/>
          <w:sz w:val="24"/>
          <w:szCs w:val="24"/>
          <w:highlight w:val="none"/>
        </w:rPr>
      </w:pPr>
      <w:r>
        <w:rPr>
          <w:rFonts w:hint="eastAsia" w:ascii="仿宋" w:hAnsi="仿宋" w:cs="仿宋"/>
          <w:b w:val="0"/>
          <w:bCs w:val="0"/>
          <w:color w:val="auto"/>
          <w:sz w:val="24"/>
          <w:szCs w:val="24"/>
          <w:highlight w:val="none"/>
          <w:lang w:val="en-US" w:eastAsia="zh-CN"/>
        </w:rPr>
        <w:t xml:space="preserve">2.</w:t>
      </w:r>
      <w:r>
        <w:rPr>
          <w:rFonts w:hint="eastAsia" w:ascii="仿宋" w:hAnsi="仿宋" w:eastAsia="仿宋" w:cs="仿宋"/>
          <w:b w:val="0"/>
          <w:bCs w:val="0"/>
          <w:color w:val="000000"/>
          <w:sz w:val="24"/>
          <w:szCs w:val="24"/>
          <w:highlight w:val="none"/>
        </w:rPr>
        <w:t xml:space="preserve">投标文件构成</w:t>
      </w:r>
      <w:r/>
    </w:p>
    <w:p>
      <w:pPr>
        <w:pStyle w:val="890"/>
        <w:ind w:left="0" w:firstLine="482"/>
        <w:keepLines w:val="0"/>
        <w:keepNext w:val="0"/>
        <w:pageBreakBefore w:val="0"/>
        <w:spacing w:line="360" w:lineRule="auto"/>
        <w:widowControl/>
        <w:rPr>
          <w:rFonts w:hint="eastAsia" w:ascii="仿宋" w:hAnsi="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（1）投</w:t>
      </w:r>
      <w:r>
        <w:rPr>
          <w:rFonts w:hint="eastAsia" w:ascii="仿宋" w:hAnsi="仿宋" w:eastAsia="仿宋" w:cs="仿宋"/>
          <w:color w:val="000000"/>
          <w:sz w:val="24"/>
          <w:szCs w:val="24"/>
          <w:highlight w:val="none"/>
        </w:rPr>
        <w:t xml:space="preserve">标人编写的投标文件应包括</w:t>
      </w:r>
      <w:r>
        <w:rPr>
          <w:rFonts w:hint="eastAsia" w:ascii="仿宋" w:hAnsi="仿宋" w:cs="仿宋"/>
          <w:color w:val="000000"/>
          <w:sz w:val="24"/>
          <w:szCs w:val="24"/>
          <w:highlight w:val="none"/>
          <w:lang w:val="en-US" w:eastAsia="zh-CN"/>
        </w:rPr>
        <w:t xml:space="preserve">基本目录、</w:t>
      </w:r>
      <w:r>
        <w:rPr>
          <w:rFonts w:hint="eastAsia" w:ascii="仿宋" w:hAnsi="仿宋" w:eastAsia="仿宋" w:cs="仿宋"/>
          <w:color w:val="000000"/>
          <w:sz w:val="24"/>
          <w:szCs w:val="24"/>
          <w:highlight w:val="none"/>
        </w:rPr>
        <w:t xml:space="preserve">资格</w:t>
      </w:r>
      <w:r>
        <w:rPr>
          <w:rFonts w:hint="eastAsia" w:ascii="仿宋" w:hAnsi="仿宋" w:cs="仿宋"/>
          <w:color w:val="000000"/>
          <w:sz w:val="24"/>
          <w:szCs w:val="24"/>
          <w:highlight w:val="none"/>
          <w:lang w:val="en-US" w:eastAsia="zh-CN"/>
        </w:rPr>
        <w:t xml:space="preserve">条件</w:t>
      </w:r>
      <w:r>
        <w:rPr>
          <w:rFonts w:hint="eastAsia" w:ascii="仿宋" w:hAnsi="仿宋" w:eastAsia="仿宋" w:cs="仿宋"/>
          <w:color w:val="000000"/>
          <w:sz w:val="24"/>
          <w:szCs w:val="24"/>
          <w:highlight w:val="none"/>
        </w:rPr>
        <w:t xml:space="preserve">证明文件、</w:t>
      </w:r>
      <w:r>
        <w:rPr>
          <w:rFonts w:hint="eastAsia" w:ascii="仿宋" w:hAnsi="仿宋" w:cs="仿宋"/>
          <w:color w:val="000000"/>
          <w:sz w:val="24"/>
          <w:szCs w:val="24"/>
          <w:highlight w:val="none"/>
          <w:lang w:val="en-US" w:eastAsia="zh-CN"/>
        </w:rPr>
        <w:t xml:space="preserve">符合性条件证明文件</w:t>
      </w:r>
      <w:r>
        <w:rPr>
          <w:rFonts w:hint="eastAsia" w:ascii="仿宋" w:hAnsi="仿宋" w:eastAsia="仿宋" w:cs="仿宋"/>
          <w:color w:val="000000"/>
          <w:sz w:val="24"/>
          <w:szCs w:val="24"/>
          <w:highlight w:val="none"/>
        </w:rPr>
        <w:t xml:space="preserve">、</w:t>
      </w:r>
      <w:r>
        <w:rPr>
          <w:rFonts w:hint="eastAsia" w:ascii="仿宋" w:hAnsi="仿宋" w:cs="仿宋"/>
          <w:color w:val="000000"/>
          <w:sz w:val="24"/>
          <w:szCs w:val="24"/>
          <w:highlight w:val="none"/>
          <w:lang w:val="en-US" w:eastAsia="zh-CN"/>
        </w:rPr>
        <w:t xml:space="preserve">综合评审评分项有关证明资料</w:t>
      </w:r>
      <w:r>
        <w:rPr>
          <w:rFonts w:hint="eastAsia" w:ascii="仿宋" w:hAnsi="仿宋" w:eastAsia="仿宋" w:cs="仿宋"/>
          <w:color w:val="000000"/>
          <w:sz w:val="24"/>
          <w:szCs w:val="24"/>
          <w:highlight w:val="none"/>
        </w:rPr>
        <w:t xml:space="preserve">等部分</w:t>
      </w:r>
      <w:r>
        <w:rPr>
          <w:rFonts w:hint="eastAsia" w:ascii="仿宋" w:hAnsi="仿宋" w:cs="仿宋"/>
          <w:color w:val="000000"/>
          <w:sz w:val="24"/>
          <w:szCs w:val="24"/>
          <w:highlight w:val="none"/>
          <w:lang w:eastAsia="zh-CN"/>
        </w:rPr>
        <w:t xml:space="preserve">。</w:t>
      </w:r>
      <w:r/>
    </w:p>
    <w:p>
      <w:pPr>
        <w:pStyle w:val="890"/>
        <w:ind w:left="0" w:firstLine="482"/>
        <w:keepLines w:val="0"/>
        <w:keepNext w:val="0"/>
        <w:pageBreakBefore w:val="0"/>
        <w:spacing w:line="360" w:lineRule="auto"/>
        <w:widowControl/>
        <w:rPr>
          <w:rFonts w:hint="eastAsia" w:ascii="仿宋" w:hAnsi="仿宋" w:cs="仿宋"/>
          <w:color w:val="000000"/>
          <w:sz w:val="24"/>
          <w:szCs w:val="24"/>
          <w:highlight w:val="none"/>
          <w:lang w:val="en-US" w:eastAsia="zh-CN"/>
        </w:rPr>
      </w:pPr>
      <w:r>
        <w:rPr>
          <w:rFonts w:hint="eastAsia" w:ascii="仿宋" w:hAnsi="仿宋" w:cs="仿宋"/>
          <w:color w:val="000000"/>
          <w:sz w:val="24"/>
          <w:szCs w:val="24"/>
          <w:highlight w:val="none"/>
          <w:lang w:eastAsia="zh-CN"/>
        </w:rPr>
        <w:t xml:space="preserve">（</w:t>
      </w:r>
      <w:r>
        <w:rPr>
          <w:rFonts w:hint="eastAsia" w:ascii="仿宋" w:hAnsi="仿宋" w:cs="仿宋"/>
          <w:color w:val="000000"/>
          <w:sz w:val="24"/>
          <w:szCs w:val="24"/>
          <w:highlight w:val="none"/>
          <w:lang w:val="en-US" w:eastAsia="zh-CN"/>
        </w:rPr>
        <w:t xml:space="preserve">2</w:t>
      </w:r>
      <w:r>
        <w:rPr>
          <w:rFonts w:hint="eastAsia" w:ascii="仿宋" w:hAnsi="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如标书制作工具中格式和内容与“江苏政府采购网”发布的招标文件不一致，请以“江苏政府采购网”发布的招标文件为准。</w:t>
      </w:r>
      <w:r/>
    </w:p>
    <w:p>
      <w:pPr>
        <w:pStyle w:val="890"/>
        <w:ind w:left="0" w:firstLine="482"/>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eastAsia="zh-CN"/>
        </w:rPr>
        <w:t xml:space="preserve">电子投标文件其他要求</w:t>
      </w:r>
      <w:r/>
    </w:p>
    <w:p>
      <w:pPr>
        <w:pStyle w:val="1085"/>
        <w:ind w:left="0" w:firstLine="482"/>
        <w:keepLines w:val="0"/>
        <w:keepNext w:val="0"/>
        <w:pageBreakBefore w:val="0"/>
        <w:spacing w:line="36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cs="仿宋"/>
          <w:b w:val="0"/>
          <w:bCs w:val="0"/>
          <w:color w:val="000000"/>
          <w:sz w:val="24"/>
          <w:szCs w:val="24"/>
          <w:highlight w:val="none"/>
          <w:lang w:val="en-US" w:eastAsia="zh-CN"/>
        </w:rPr>
        <w:t xml:space="preserve">（1）投标人</w:t>
      </w:r>
      <w:r>
        <w:rPr>
          <w:rFonts w:hint="eastAsia" w:ascii="仿宋" w:hAnsi="仿宋" w:eastAsia="仿宋" w:cs="仿宋"/>
          <w:b w:val="0"/>
          <w:bCs w:val="0"/>
          <w:color w:val="000000"/>
          <w:sz w:val="24"/>
          <w:szCs w:val="24"/>
          <w:highlight w:val="none"/>
          <w:lang w:val="en-US" w:eastAsia="zh-CN"/>
        </w:rPr>
        <w:t xml:space="preserve">应对CA证书妥善保管，如被他人盗用</w:t>
      </w:r>
      <w:r>
        <w:rPr>
          <w:rFonts w:hint="eastAsia" w:ascii="仿宋" w:hAnsi="仿宋" w:cs="仿宋"/>
          <w:b w:val="0"/>
          <w:bCs w:val="0"/>
          <w:color w:val="000000"/>
          <w:sz w:val="24"/>
          <w:szCs w:val="24"/>
          <w:highlight w:val="none"/>
          <w:lang w:val="en-US" w:eastAsia="zh-CN"/>
        </w:rPr>
        <w:t xml:space="preserve">导致</w:t>
      </w:r>
      <w:r>
        <w:rPr>
          <w:rFonts w:hint="eastAsia" w:ascii="仿宋" w:hAnsi="仿宋" w:eastAsia="仿宋" w:cs="仿宋"/>
          <w:b w:val="0"/>
          <w:bCs w:val="0"/>
          <w:color w:val="000000"/>
          <w:sz w:val="24"/>
          <w:szCs w:val="24"/>
          <w:highlight w:val="none"/>
          <w:lang w:val="en-US" w:eastAsia="zh-CN"/>
        </w:rPr>
        <w:t xml:space="preserve">的结果均由</w:t>
      </w:r>
      <w:r>
        <w:rPr>
          <w:rFonts w:hint="eastAsia" w:ascii="仿宋" w:hAnsi="仿宋" w:cs="仿宋"/>
          <w:b w:val="0"/>
          <w:bCs w:val="0"/>
          <w:color w:val="000000"/>
          <w:sz w:val="24"/>
          <w:szCs w:val="24"/>
          <w:highlight w:val="none"/>
          <w:lang w:val="en-US" w:eastAsia="zh-CN"/>
        </w:rPr>
        <w:t xml:space="preserve">投标人</w:t>
      </w:r>
      <w:r>
        <w:rPr>
          <w:rFonts w:hint="eastAsia" w:ascii="仿宋" w:hAnsi="仿宋" w:eastAsia="仿宋" w:cs="仿宋"/>
          <w:b w:val="0"/>
          <w:bCs w:val="0"/>
          <w:color w:val="000000"/>
          <w:sz w:val="24"/>
          <w:szCs w:val="24"/>
          <w:highlight w:val="none"/>
          <w:lang w:val="en-US" w:eastAsia="zh-CN"/>
        </w:rPr>
        <w:t xml:space="preserve">自行承担。</w:t>
      </w:r>
      <w:r/>
    </w:p>
    <w:p>
      <w:pPr>
        <w:pStyle w:val="1085"/>
        <w:ind w:left="0" w:firstLine="482"/>
        <w:keepLines w:val="0"/>
        <w:keepNext w:val="0"/>
        <w:pageBreakBefore w:val="0"/>
        <w:spacing w:line="36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cs="仿宋"/>
          <w:b w:val="0"/>
          <w:bCs w:val="0"/>
          <w:color w:val="000000"/>
          <w:sz w:val="24"/>
          <w:szCs w:val="24"/>
          <w:highlight w:val="none"/>
          <w:lang w:val="en-US" w:eastAsia="zh-CN"/>
        </w:rPr>
        <w:t xml:space="preserve">（2）投标人</w:t>
      </w:r>
      <w:r>
        <w:rPr>
          <w:rFonts w:hint="eastAsia" w:ascii="仿宋" w:hAnsi="仿宋" w:eastAsia="仿宋" w:cs="仿宋"/>
          <w:b w:val="0"/>
          <w:bCs w:val="0"/>
          <w:color w:val="000000"/>
          <w:sz w:val="24"/>
          <w:szCs w:val="24"/>
          <w:highlight w:val="none"/>
          <w:lang w:val="en-US" w:eastAsia="zh-CN"/>
        </w:rPr>
        <w:t xml:space="preserve">应当对</w:t>
      </w:r>
      <w:r>
        <w:rPr>
          <w:rFonts w:hint="eastAsia" w:ascii="仿宋" w:hAnsi="仿宋" w:cs="仿宋"/>
          <w:b w:val="0"/>
          <w:bCs w:val="0"/>
          <w:color w:val="000000"/>
          <w:sz w:val="24"/>
          <w:szCs w:val="24"/>
          <w:highlight w:val="none"/>
          <w:lang w:val="en-US" w:eastAsia="zh-CN"/>
        </w:rPr>
        <w:t xml:space="preserve">招标</w:t>
      </w:r>
      <w:r>
        <w:rPr>
          <w:rFonts w:hint="eastAsia" w:ascii="仿宋" w:hAnsi="仿宋" w:eastAsia="仿宋" w:cs="仿宋"/>
          <w:b w:val="0"/>
          <w:bCs w:val="0"/>
          <w:color w:val="000000"/>
          <w:sz w:val="24"/>
          <w:szCs w:val="24"/>
          <w:highlight w:val="none"/>
          <w:lang w:val="en-US" w:eastAsia="zh-CN"/>
        </w:rPr>
        <w:t xml:space="preserve">文件提出的实质性要求和条件作出实质性响应，并在电子</w:t>
      </w:r>
      <w:r>
        <w:rPr>
          <w:rFonts w:hint="eastAsia" w:ascii="仿宋" w:hAnsi="仿宋" w:cs="仿宋"/>
          <w:b w:val="0"/>
          <w:bCs w:val="0"/>
          <w:color w:val="000000"/>
          <w:sz w:val="24"/>
          <w:szCs w:val="24"/>
          <w:highlight w:val="none"/>
          <w:lang w:val="en-US" w:eastAsia="zh-CN"/>
        </w:rPr>
        <w:t xml:space="preserve">化</w:t>
      </w:r>
      <w:r>
        <w:rPr>
          <w:rFonts w:hint="eastAsia" w:ascii="仿宋" w:hAnsi="仿宋" w:eastAsia="仿宋" w:cs="仿宋"/>
          <w:b w:val="0"/>
          <w:bCs w:val="0"/>
          <w:color w:val="000000"/>
          <w:sz w:val="24"/>
          <w:szCs w:val="24"/>
          <w:highlight w:val="none"/>
          <w:lang w:val="en-US" w:eastAsia="zh-CN"/>
        </w:rPr>
        <w:t xml:space="preserve">系统逐条应答。</w:t>
      </w:r>
      <w:r/>
    </w:p>
    <w:p>
      <w:pPr>
        <w:pStyle w:val="1085"/>
        <w:ind w:left="0" w:firstLine="482"/>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cs="仿宋"/>
          <w:b w:val="0"/>
          <w:bCs w:val="0"/>
          <w:color w:val="000000"/>
          <w:sz w:val="24"/>
          <w:szCs w:val="24"/>
          <w:highlight w:val="none"/>
          <w:lang w:val="en-US" w:eastAsia="zh-CN"/>
        </w:rPr>
        <w:t xml:space="preserve">（3）投标人</w:t>
      </w:r>
      <w:r>
        <w:rPr>
          <w:rFonts w:hint="eastAsia" w:ascii="仿宋" w:hAnsi="仿宋" w:eastAsia="仿宋" w:cs="仿宋"/>
          <w:b w:val="0"/>
          <w:bCs w:val="0"/>
          <w:color w:val="000000"/>
          <w:sz w:val="24"/>
          <w:szCs w:val="24"/>
          <w:highlight w:val="none"/>
          <w:lang w:val="en-US" w:eastAsia="zh-CN"/>
        </w:rPr>
        <w:t xml:space="preserve">应对要求提供的资格证明文件（如资质证书、资格证书）、技术资料（如白皮书、彩页、手册、检测报告等）扫描上传至系统。</w:t>
      </w:r>
      <w:r/>
    </w:p>
    <w:p>
      <w:pPr>
        <w:ind w:firstLine="480"/>
        <w:keepLines w:val="0"/>
        <w:keepNext w:val="0"/>
        <w:pageBreakBefore w:val="0"/>
        <w:spacing w:line="360" w:lineRule="auto"/>
        <w:widowControl/>
        <w:rPr>
          <w:rFonts w:hint="eastAsia"/>
          <w:highlight w:val="none"/>
        </w:rPr>
      </w:pPr>
      <w:r>
        <w:rPr>
          <w:rFonts w:hint="eastAsia" w:ascii="仿宋" w:hAnsi="仿宋" w:eastAsia="仿宋" w:cs="仿宋"/>
          <w:color w:val="000000"/>
          <w:sz w:val="24"/>
          <w:szCs w:val="24"/>
          <w:highlight w:val="none"/>
          <w:lang w:val="en-US" w:eastAsia="zh-CN"/>
        </w:rPr>
        <w:t xml:space="preserve">（4）投标</w:t>
      </w:r>
      <w:r>
        <w:rPr>
          <w:rFonts w:hint="eastAsia" w:ascii="仿宋" w:hAnsi="仿宋" w:eastAsia="仿宋" w:cs="仿宋"/>
          <w:color w:val="000000"/>
          <w:sz w:val="24"/>
          <w:szCs w:val="24"/>
          <w:highlight w:val="none"/>
        </w:rPr>
        <w:t xml:space="preserve">文件中承诺的有效期应当不少于</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文件中载明的有效期。</w:t>
      </w:r>
      <w:r/>
    </w:p>
    <w:p>
      <w:pPr>
        <w:ind w:firstLine="482"/>
        <w:keepLines w:val="0"/>
        <w:keepNext w:val="0"/>
        <w:pageBreakBefore w:val="0"/>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rPr>
        <w:t xml:space="preserve">文件的密封</w:t>
      </w:r>
      <w:r>
        <w:rPr>
          <w:rFonts w:hint="eastAsia" w:ascii="仿宋" w:hAnsi="仿宋" w:eastAsia="仿宋" w:cs="仿宋"/>
          <w:sz w:val="24"/>
          <w:szCs w:val="24"/>
          <w:highlight w:val="none"/>
          <w:lang w:eastAsia="zh-CN"/>
        </w:rPr>
        <w:t xml:space="preserve">（加密）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lang w:eastAsia="zh-CN"/>
        </w:rPr>
        <w:t xml:space="preserve">人</w:t>
      </w:r>
      <w:r>
        <w:rPr>
          <w:rFonts w:hint="eastAsia" w:ascii="仿宋" w:hAnsi="仿宋" w:eastAsia="仿宋" w:cs="仿宋"/>
          <w:sz w:val="24"/>
          <w:szCs w:val="24"/>
          <w:highlight w:val="none"/>
        </w:rPr>
        <w:t xml:space="preserve">应当按照</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rPr>
        <w:t xml:space="preserve">文件和“苏采云”系统的要求编制并加密</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rPr>
        <w:t xml:space="preserve">文件。本项目</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lang w:eastAsia="zh-CN"/>
        </w:rPr>
        <w:t xml:space="preserve">人</w:t>
      </w:r>
      <w:r>
        <w:rPr>
          <w:rFonts w:hint="eastAsia" w:ascii="仿宋" w:hAnsi="仿宋" w:eastAsia="仿宋" w:cs="仿宋"/>
          <w:sz w:val="24"/>
          <w:szCs w:val="24"/>
          <w:highlight w:val="none"/>
        </w:rPr>
        <w:t xml:space="preserve">须通过“苏采云”系统提供的政府</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客户端工具（使用“CA数字证书”）对其数据电文形式的</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rPr>
        <w:t xml:space="preserve">文件加密。</w:t>
      </w:r>
      <w:r/>
    </w:p>
    <w:p>
      <w:pPr>
        <w:ind w:firstLine="482"/>
        <w:keepLines w:val="0"/>
        <w:keepNext w:val="0"/>
        <w:pageBreakBefore w:val="0"/>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（6）投标</w:t>
      </w:r>
      <w:r>
        <w:rPr>
          <w:rFonts w:hint="eastAsia" w:ascii="仿宋" w:hAnsi="仿宋" w:eastAsia="仿宋" w:cs="仿宋"/>
          <w:b w:val="0"/>
          <w:bCs w:val="0"/>
          <w:sz w:val="24"/>
          <w:szCs w:val="24"/>
          <w:highlight w:val="none"/>
        </w:rPr>
        <w:t xml:space="preserve">文件的盖</w:t>
      </w:r>
      <w:r>
        <w:rPr>
          <w:rFonts w:hint="eastAsia" w:ascii="仿宋" w:hAnsi="仿宋" w:eastAsia="仿宋" w:cs="仿宋"/>
          <w:sz w:val="24"/>
          <w:szCs w:val="24"/>
          <w:highlight w:val="none"/>
        </w:rPr>
        <w:t xml:space="preserve">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lang w:eastAsia="zh-CN"/>
        </w:rPr>
        <w:t xml:space="preserve">人</w:t>
      </w:r>
      <w:r>
        <w:rPr>
          <w:rFonts w:hint="eastAsia" w:ascii="仿宋" w:hAnsi="仿宋" w:eastAsia="仿宋" w:cs="仿宋"/>
          <w:sz w:val="24"/>
          <w:szCs w:val="24"/>
          <w:highlight w:val="none"/>
        </w:rPr>
        <w:t xml:space="preserve">须通过“苏采云”系统提供的政府</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客户端工具（使用“CA数字证书”）</w:t>
      </w:r>
      <w:r>
        <w:rPr>
          <w:rFonts w:hint="eastAsia" w:ascii="仿宋" w:hAnsi="仿宋" w:eastAsia="仿宋" w:cs="仿宋"/>
          <w:sz w:val="24"/>
          <w:szCs w:val="24"/>
          <w:highlight w:val="none"/>
          <w:lang w:eastAsia="zh-CN"/>
        </w:rPr>
        <w:t xml:space="preserve">加盖</w:t>
      </w:r>
      <w:r>
        <w:rPr>
          <w:rFonts w:hint="eastAsia" w:ascii="仿宋" w:hAnsi="仿宋" w:eastAsia="仿宋" w:cs="仿宋"/>
          <w:sz w:val="24"/>
          <w:szCs w:val="24"/>
          <w:highlight w:val="none"/>
          <w:lang w:val="en-US" w:eastAsia="zh-CN"/>
        </w:rPr>
        <w:t xml:space="preserve">电子签章</w:t>
      </w:r>
      <w:r>
        <w:rPr>
          <w:rFonts w:hint="eastAsia" w:ascii="仿宋" w:hAnsi="仿宋" w:eastAsia="仿宋" w:cs="仿宋"/>
          <w:sz w:val="24"/>
          <w:szCs w:val="24"/>
          <w:highlight w:val="none"/>
        </w:rPr>
        <w:t xml:space="preserve">。</w:t>
      </w:r>
      <w:r/>
    </w:p>
    <w:p>
      <w:pPr>
        <w:ind w:firstLine="482"/>
        <w:keepLines w:val="0"/>
        <w:keepNext w:val="0"/>
        <w:pageBreakBefore w:val="0"/>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（7）投标</w:t>
      </w:r>
      <w:r>
        <w:rPr>
          <w:rFonts w:hint="eastAsia" w:ascii="仿宋" w:hAnsi="仿宋" w:eastAsia="仿宋" w:cs="仿宋"/>
          <w:b/>
          <w:bCs/>
          <w:color w:val="000000"/>
          <w:sz w:val="24"/>
          <w:szCs w:val="24"/>
          <w:highlight w:val="none"/>
          <w:lang w:eastAsia="zh-CN"/>
        </w:rPr>
        <w:t xml:space="preserve">人</w:t>
      </w:r>
      <w:r>
        <w:rPr>
          <w:rFonts w:hint="eastAsia" w:ascii="仿宋" w:hAnsi="仿宋" w:eastAsia="仿宋" w:cs="仿宋"/>
          <w:b/>
          <w:bCs/>
          <w:color w:val="000000"/>
          <w:sz w:val="24"/>
          <w:szCs w:val="24"/>
          <w:highlight w:val="none"/>
        </w:rPr>
        <w:t xml:space="preserve">应当在提交</w:t>
      </w:r>
      <w:r>
        <w:rPr>
          <w:rFonts w:hint="eastAsia" w:ascii="仿宋" w:hAnsi="仿宋" w:eastAsia="仿宋" w:cs="仿宋"/>
          <w:b/>
          <w:bCs/>
          <w:color w:val="000000"/>
          <w:sz w:val="24"/>
          <w:szCs w:val="24"/>
          <w:highlight w:val="none"/>
          <w:lang w:val="en-US" w:eastAsia="zh-CN"/>
        </w:rPr>
        <w:t xml:space="preserve">响应</w:t>
      </w:r>
      <w:r>
        <w:rPr>
          <w:rFonts w:hint="eastAsia" w:ascii="仿宋" w:hAnsi="仿宋" w:eastAsia="仿宋" w:cs="仿宋"/>
          <w:b/>
          <w:bCs/>
          <w:color w:val="000000"/>
          <w:sz w:val="24"/>
          <w:szCs w:val="24"/>
          <w:highlight w:val="none"/>
        </w:rPr>
        <w:t xml:space="preserve">文件的截止时间前，将</w:t>
      </w:r>
      <w:r>
        <w:rPr>
          <w:rFonts w:hint="eastAsia" w:ascii="仿宋" w:hAnsi="仿宋" w:eastAsia="仿宋" w:cs="仿宋"/>
          <w:b/>
          <w:bCs/>
          <w:color w:val="000000"/>
          <w:sz w:val="24"/>
          <w:szCs w:val="24"/>
          <w:highlight w:val="none"/>
          <w:lang w:val="en-US" w:eastAsia="zh-CN"/>
        </w:rPr>
        <w:t xml:space="preserve">响应文件提交至“苏采云”系统，</w:t>
      </w:r>
      <w:r>
        <w:rPr>
          <w:rFonts w:hint="eastAsia" w:ascii="仿宋" w:hAnsi="仿宋" w:eastAsia="仿宋" w:cs="仿宋"/>
          <w:b/>
          <w:bCs/>
          <w:color w:val="000000"/>
          <w:sz w:val="24"/>
          <w:szCs w:val="24"/>
          <w:highlight w:val="none"/>
        </w:rPr>
        <w:t xml:space="preserve">逾期</w:t>
      </w:r>
      <w:r>
        <w:rPr>
          <w:rFonts w:hint="eastAsia" w:ascii="仿宋" w:hAnsi="仿宋" w:eastAsia="仿宋" w:cs="仿宋"/>
          <w:b/>
          <w:bCs/>
          <w:color w:val="000000"/>
          <w:sz w:val="24"/>
          <w:szCs w:val="24"/>
          <w:highlight w:val="none"/>
          <w:lang w:val="en-US" w:eastAsia="zh-CN"/>
        </w:rPr>
        <w:t xml:space="preserve">提交</w:t>
      </w:r>
      <w:r>
        <w:rPr>
          <w:rFonts w:hint="eastAsia" w:ascii="仿宋" w:hAnsi="仿宋" w:eastAsia="仿宋" w:cs="仿宋"/>
          <w:b/>
          <w:bCs/>
          <w:color w:val="000000"/>
          <w:sz w:val="24"/>
          <w:szCs w:val="24"/>
          <w:highlight w:val="none"/>
        </w:rPr>
        <w:t xml:space="preserve">的</w:t>
      </w:r>
      <w:r>
        <w:rPr>
          <w:rFonts w:hint="eastAsia" w:ascii="仿宋" w:hAnsi="仿宋" w:eastAsia="仿宋" w:cs="仿宋"/>
          <w:b/>
          <w:bCs/>
          <w:color w:val="000000"/>
          <w:sz w:val="24"/>
          <w:szCs w:val="24"/>
          <w:highlight w:val="none"/>
          <w:lang w:val="en-US" w:eastAsia="zh-CN"/>
        </w:rPr>
        <w:t xml:space="preserve">投标</w:t>
      </w:r>
      <w:r>
        <w:rPr>
          <w:rFonts w:hint="eastAsia" w:ascii="仿宋" w:hAnsi="仿宋" w:eastAsia="仿宋" w:cs="仿宋"/>
          <w:b/>
          <w:bCs/>
          <w:color w:val="000000"/>
          <w:sz w:val="24"/>
          <w:szCs w:val="24"/>
          <w:highlight w:val="none"/>
        </w:rPr>
        <w:t xml:space="preserve">文件，</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苏采云</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系统将自动拒收</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开启时，</w:t>
      </w:r>
      <w:r>
        <w:rPr>
          <w:rFonts w:hint="eastAsia" w:ascii="仿宋" w:hAnsi="仿宋" w:eastAsia="仿宋" w:cs="仿宋"/>
          <w:b/>
          <w:bCs/>
          <w:color w:val="000000"/>
          <w:sz w:val="24"/>
          <w:szCs w:val="24"/>
          <w:highlight w:val="none"/>
          <w:lang w:eastAsia="zh-CN"/>
        </w:rPr>
        <w:t xml:space="preserve">各</w:t>
      </w:r>
      <w:r>
        <w:rPr>
          <w:rFonts w:hint="eastAsia" w:ascii="仿宋" w:hAnsi="仿宋" w:eastAsia="仿宋" w:cs="仿宋"/>
          <w:b/>
          <w:bCs/>
          <w:color w:val="000000"/>
          <w:sz w:val="24"/>
          <w:szCs w:val="24"/>
          <w:highlight w:val="none"/>
          <w:lang w:val="en-US" w:eastAsia="zh-CN"/>
        </w:rPr>
        <w:t xml:space="preserve">投标</w:t>
      </w:r>
      <w:r>
        <w:rPr>
          <w:rFonts w:hint="eastAsia" w:ascii="仿宋" w:hAnsi="仿宋" w:eastAsia="仿宋" w:cs="仿宋"/>
          <w:b/>
          <w:bCs/>
          <w:color w:val="000000"/>
          <w:sz w:val="24"/>
          <w:szCs w:val="24"/>
          <w:highlight w:val="none"/>
          <w:lang w:eastAsia="zh-CN"/>
        </w:rPr>
        <w:t xml:space="preserve">人</w:t>
      </w:r>
      <w:r>
        <w:rPr>
          <w:rFonts w:hint="eastAsia" w:ascii="仿宋" w:hAnsi="仿宋" w:eastAsia="仿宋" w:cs="仿宋"/>
          <w:b/>
          <w:bCs/>
          <w:color w:val="000000"/>
          <w:sz w:val="24"/>
          <w:szCs w:val="24"/>
          <w:highlight w:val="none"/>
          <w:lang w:val="en-US" w:eastAsia="zh-CN"/>
        </w:rPr>
        <w:t xml:space="preserve">应</w:t>
      </w:r>
      <w:r>
        <w:rPr>
          <w:rFonts w:hint="eastAsia" w:ascii="仿宋" w:hAnsi="仿宋" w:eastAsia="仿宋" w:cs="仿宋"/>
          <w:b/>
          <w:bCs/>
          <w:color w:val="000000"/>
          <w:sz w:val="24"/>
          <w:szCs w:val="24"/>
          <w:highlight w:val="none"/>
          <w:lang w:eastAsia="zh-CN"/>
        </w:rPr>
        <w:t xml:space="preserve">在规定时间内</w:t>
      </w:r>
      <w:r>
        <w:rPr>
          <w:rFonts w:hint="eastAsia" w:ascii="仿宋" w:hAnsi="仿宋" w:eastAsia="仿宋" w:cs="仿宋"/>
          <w:b/>
          <w:bCs/>
          <w:color w:val="000000"/>
          <w:sz w:val="24"/>
          <w:szCs w:val="24"/>
          <w:highlight w:val="none"/>
          <w:lang w:val="en-US" w:eastAsia="zh-CN"/>
        </w:rPr>
        <w:t xml:space="preserve">凭CA证书进行网上解密。</w:t>
      </w:r>
      <w:r/>
    </w:p>
    <w:p>
      <w:pPr>
        <w:pStyle w:val="890"/>
        <w:ind w:left="0" w:firstLine="482"/>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lang w:eastAsia="zh-CN"/>
        </w:rPr>
        <w:t xml:space="preserve">人</w:t>
      </w:r>
      <w:r>
        <w:rPr>
          <w:rFonts w:hint="eastAsia" w:ascii="仿宋" w:hAnsi="仿宋" w:eastAsia="仿宋" w:cs="仿宋"/>
          <w:color w:val="000000"/>
          <w:sz w:val="24"/>
          <w:szCs w:val="24"/>
          <w:highlight w:val="none"/>
        </w:rPr>
        <w:t xml:space="preserve">在</w:t>
      </w:r>
      <w:r>
        <w:rPr>
          <w:rFonts w:hint="eastAsia" w:ascii="仿宋" w:hAnsi="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rPr>
        <w:t xml:space="preserve">截止时</w:t>
      </w:r>
      <w:r>
        <w:rPr>
          <w:rFonts w:hint="eastAsia" w:ascii="仿宋" w:hAnsi="仿宋" w:cs="仿宋"/>
          <w:color w:val="000000"/>
          <w:sz w:val="24"/>
          <w:szCs w:val="24"/>
          <w:highlight w:val="none"/>
          <w:lang w:eastAsia="zh-CN"/>
        </w:rPr>
        <w:t xml:space="preserve">间之</w:t>
      </w:r>
      <w:r>
        <w:rPr>
          <w:rFonts w:hint="eastAsia" w:ascii="仿宋" w:hAnsi="仿宋" w:eastAsia="仿宋" w:cs="仿宋"/>
          <w:color w:val="000000"/>
          <w:sz w:val="24"/>
          <w:szCs w:val="24"/>
          <w:highlight w:val="none"/>
        </w:rPr>
        <w:t xml:space="preserve">前，可以对所</w:t>
      </w:r>
      <w:r>
        <w:rPr>
          <w:rFonts w:hint="eastAsia" w:ascii="仿宋" w:hAnsi="仿宋" w:eastAsia="仿宋" w:cs="仿宋"/>
          <w:color w:val="000000"/>
          <w:sz w:val="24"/>
          <w:szCs w:val="24"/>
          <w:highlight w:val="none"/>
          <w:lang w:val="en-US" w:eastAsia="zh-CN"/>
        </w:rPr>
        <w:t xml:space="preserve">提交</w:t>
      </w:r>
      <w:r>
        <w:rPr>
          <w:rFonts w:hint="eastAsia" w:ascii="仿宋" w:hAnsi="仿宋" w:eastAsia="仿宋" w:cs="仿宋"/>
          <w:color w:val="000000"/>
          <w:sz w:val="24"/>
          <w:szCs w:val="24"/>
          <w:highlight w:val="none"/>
        </w:rPr>
        <w:t xml:space="preserve">的</w:t>
      </w:r>
      <w:r>
        <w:rPr>
          <w:rFonts w:hint="eastAsia" w:ascii="仿宋" w:hAnsi="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rPr>
        <w:t xml:space="preserve">文件进行补充、修改或者撤回</w:t>
      </w:r>
      <w:r>
        <w:rPr>
          <w:rFonts w:hint="eastAsia" w:ascii="仿宋" w:hAnsi="仿宋" w:eastAsia="仿宋" w:cs="仿宋"/>
          <w:color w:val="000000"/>
          <w:sz w:val="24"/>
          <w:szCs w:val="24"/>
          <w:highlight w:val="none"/>
          <w:lang w:eastAsia="zh-CN"/>
        </w:rPr>
        <w:t xml:space="preserve">。</w:t>
      </w:r>
      <w:r/>
    </w:p>
    <w:p>
      <w:pPr>
        <w:ind w:firstLine="360"/>
        <w:jc w:val="left"/>
        <w:keepLines w:val="0"/>
        <w:keepNext w:val="0"/>
        <w:pageBreakBefore w:val="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十</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投标报价要求</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投标人应按照招标文件的要求</w:t>
      </w:r>
      <w:r>
        <w:rPr>
          <w:rFonts w:hint="eastAsia" w:ascii="仿宋" w:hAnsi="仿宋" w:eastAsia="仿宋" w:cs="仿宋"/>
          <w:color w:val="000000"/>
          <w:sz w:val="24"/>
          <w:szCs w:val="24"/>
          <w:highlight w:val="none"/>
          <w:lang w:val="en-US" w:eastAsia="zh-CN"/>
        </w:rPr>
        <w:t xml:space="preserve">报价，</w:t>
      </w:r>
      <w:r>
        <w:rPr>
          <w:rFonts w:hint="eastAsia" w:ascii="仿宋" w:hAnsi="仿宋" w:eastAsia="仿宋" w:cs="仿宋"/>
          <w:color w:val="000000"/>
          <w:sz w:val="24"/>
          <w:szCs w:val="24"/>
          <w:highlight w:val="none"/>
        </w:rPr>
        <w:t xml:space="preserve">如有偏离，应在《偏离表》中列出。</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投标人只能提交一个投标报价，提交</w:t>
      </w:r>
      <w:r>
        <w:rPr>
          <w:rFonts w:hint="eastAsia" w:ascii="仿宋" w:hAnsi="仿宋" w:eastAsia="仿宋" w:cs="仿宋"/>
          <w:color w:val="000000"/>
          <w:sz w:val="24"/>
          <w:szCs w:val="24"/>
          <w:highlight w:val="none"/>
          <w:lang w:val="en-US" w:eastAsia="zh-CN"/>
        </w:rPr>
        <w:t xml:space="preserve">两</w:t>
      </w:r>
      <w:r>
        <w:rPr>
          <w:rFonts w:hint="eastAsia" w:ascii="仿宋" w:hAnsi="仿宋" w:eastAsia="仿宋" w:cs="仿宋"/>
          <w:color w:val="000000"/>
          <w:sz w:val="24"/>
          <w:szCs w:val="24"/>
          <w:highlight w:val="none"/>
        </w:rPr>
        <w:t xml:space="preserve">个以上投标报价的投标文件在符合性审查时按照投标无效处理。</w:t>
      </w:r>
      <w:r/>
    </w:p>
    <w:p>
      <w:pPr>
        <w:ind w:firstLine="480"/>
        <w:keepLines w:val="0"/>
        <w:keepNext w:val="0"/>
        <w:pageBreakBefore w:val="0"/>
        <w:spacing w:line="360" w:lineRule="auto"/>
        <w:widowControl/>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eastAsia="zh-CN"/>
        </w:rPr>
        <w:t xml:space="preserve">（</w:t>
      </w:r>
      <w:r>
        <w:rPr>
          <w:rFonts w:hint="eastAsia" w:ascii="仿宋" w:hAnsi="仿宋" w:eastAsia="仿宋" w:cs="仿宋"/>
          <w:b/>
          <w:bCs w:val="0"/>
          <w:color w:val="000000"/>
          <w:sz w:val="24"/>
          <w:szCs w:val="24"/>
          <w:highlight w:val="none"/>
          <w:lang w:val="en-US" w:eastAsia="zh-CN"/>
        </w:rPr>
        <w:t xml:space="preserve">十一</w:t>
      </w:r>
      <w:r>
        <w:rPr>
          <w:rFonts w:hint="eastAsia" w:ascii="仿宋" w:hAnsi="仿宋" w:eastAsia="仿宋" w:cs="仿宋"/>
          <w:b/>
          <w:bCs w:val="0"/>
          <w:color w:val="000000"/>
          <w:sz w:val="24"/>
          <w:szCs w:val="24"/>
          <w:highlight w:val="none"/>
          <w:lang w:eastAsia="zh-CN"/>
        </w:rPr>
        <w:t xml:space="preserve">）</w:t>
      </w:r>
      <w:r>
        <w:rPr>
          <w:rFonts w:hint="eastAsia" w:ascii="仿宋" w:hAnsi="仿宋" w:eastAsia="仿宋" w:cs="仿宋"/>
          <w:b/>
          <w:bCs w:val="0"/>
          <w:color w:val="000000"/>
          <w:sz w:val="24"/>
          <w:szCs w:val="24"/>
          <w:highlight w:val="none"/>
        </w:rPr>
        <w:t xml:space="preserve">有下列情形之一的，其投标无效：</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1.不同投标人的投标文件，由同一单位或者个人编制；</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2.不同投标人委托同一单位或者个人办理投标事宜；</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3.不同投标人的投标文件中，所载明的项目管理成员或联系人为同一人；</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4.不同投标人的投标文件，异常一致或者投标报价呈规律性差异；</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6.电子投标文件未按规定期限投标的；</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7.投标人未在规定时间内解密电子投标文件的；</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8.投标文件未按招标文件规定的内容和要求填写的；</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9.不具备招标文件中规定的资格要求的；</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10.报价超过招标文件中规定的预算金额或者最高限价的；</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四、开标、评标</w:t>
      </w:r>
      <w:r/>
    </w:p>
    <w:p>
      <w:pPr>
        <w:ind w:firstLine="480"/>
        <w:keepLines w:val="0"/>
        <w:keepNext w:val="0"/>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（十二）开标</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2.由电子招标投标交易平台主持，邀请投标人参加。</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3.所有投标单位使用 CA证书在开标时间时，解密各自投标文件。</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keepLines w:val="0"/>
        <w:keepNext w:val="0"/>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（十三）评标</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1.公开招标采购项目开标结束后，采购人依法对投标人的资格进行审查。合格投标人不足3家的，不得评标。</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2.评标工作由采购代理机构负责组织，并履行下列职责：</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（2）宣布评标纪律；</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（3）公布投标人名单，告知评审专家应当回避的情形；</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（4）组织评标委员会推选评标组长，采购人代表不得担任组长；</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（5）在评标期间采取必要的通讯管理措施，保证评标活动不受外界干扰；</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（6）根据评标委员会的要求介绍政府采购相关政策法规、招标文件；</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3.评标委员会负责具体评标事务，并独立履行下列职责：</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（1）审查、评价投标文件是否符合招标文件的商务、技术等实质性要求；</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（2）要求投标人对投标文件有关事项作出澄清或者说明；</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（3）对投标文件进行比较和评价；</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（4）确定中标候选人名单，以及根据采购人委托直接确定中标人；</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（5）向采购人、采购代理机构或者有关部门报告评标中发现的违法行为。</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（6）评标委员会应当对符合资格的投标人的投标文件进行符合性审查，以确定其是否满足招标文件的实质性要求。</w:t>
      </w:r>
      <w:r/>
    </w:p>
    <w:p>
      <w:pPr>
        <w:ind w:firstLine="480"/>
        <w:keepLines w:val="0"/>
        <w:keepNext w:val="0"/>
        <w:pageBreakBefore w:val="0"/>
        <w:spacing w:line="360" w:lineRule="auto"/>
        <w:widowControl/>
        <w:rPr>
          <w:rFonts w:hint="default"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（十四）投标文件的澄清</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eastAsia="zh-CN"/>
        </w:rPr>
        <w:t xml:space="preserve">评标期间，评委会对投标文件中含义不明确、同类问题表述不一致或者有明显文字和计算错误的内容 ，有权要求投标人作出必要的澄清、说明或者补正。</w:t>
      </w:r>
      <w:r/>
    </w:p>
    <w:p>
      <w:pPr>
        <w:numPr>
          <w:ilvl w:val="0"/>
          <w:numId w:val="0"/>
        </w:numPr>
        <w:ind w:right="0" w:firstLine="480"/>
        <w:jc w:val="left"/>
        <w:keepLines w:val="0"/>
        <w:keepNext w:val="0"/>
        <w:pageBreakBefore w:val="0"/>
        <w:spacing w:after="0" w:line="360" w:lineRule="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eastAsia="zh-CN"/>
        </w:rPr>
        <w:t xml:space="preserve">投标人的澄清、说明或者补正不得超出投标文件的范围或者改变投标文件的实质性内容。评标委员会并非对每个投标人都做澄清要求。</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eastAsia="zh-CN"/>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line="36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eastAsia="zh-CN"/>
        </w:rPr>
        <w:t xml:space="preserve">接到评委会澄清、说明和补正要求的投标人如未按规定作出澄清、说明和补正，其风险由投标人自行承担。</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5.评标委员会应当按照招标文件中规定的评标方法和标准，对符合性审查合格的投标文件进行商务和技术评估，综合比较与评价。</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（十五）投标文件初审。</w:t>
      </w:r>
      <w:r>
        <w:rPr>
          <w:rFonts w:hint="eastAsia" w:ascii="仿宋" w:hAnsi="仿宋" w:eastAsia="仿宋" w:cs="仿宋"/>
          <w:bCs/>
          <w:color w:val="000000"/>
          <w:sz w:val="24"/>
          <w:szCs w:val="24"/>
          <w:highlight w:val="none"/>
          <w:lang w:val="en-US" w:eastAsia="zh-CN"/>
        </w:rPr>
        <w:t xml:space="preserve"> </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1.资格性审查。</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eastAsia="zh-CN"/>
        </w:rPr>
        <w:t xml:space="preserve">）依据法律法规和招标文件的规定，由采购人对投标文件中的资格证明文件进行审查。资格审查的结论，采购人以书面形式向评委会进行反馈。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eastAsia="zh-CN"/>
        </w:rPr>
        <w:t xml:space="preserve">）采购人在进行资格性审查的同时，将在“信用中国”网站（</w:t>
      </w:r>
      <w:r>
        <w:rPr>
          <w:rFonts w:hint="eastAsia" w:ascii="仿宋" w:hAnsi="仿宋" w:eastAsia="仿宋" w:cs="仿宋"/>
          <w:color w:val="000000"/>
          <w:sz w:val="24"/>
          <w:szCs w:val="24"/>
          <w:highlight w:val="none"/>
          <w:lang w:val="zh-CN" w:eastAsia="zh-CN"/>
        </w:rPr>
        <w:fldChar w:fldCharType="begin"/>
      </w:r>
      <w:r>
        <w:rPr>
          <w:rFonts w:hint="eastAsia" w:ascii="仿宋" w:hAnsi="仿宋" w:eastAsia="仿宋" w:cs="仿宋"/>
          <w:color w:val="000000"/>
          <w:sz w:val="24"/>
          <w:szCs w:val="24"/>
          <w:highlight w:val="none"/>
          <w:lang w:val="zh-CN" w:eastAsia="zh-CN"/>
        </w:rPr>
        <w:instrText xml:space="preserve">HYPERLINK "../../../微信下载的文件/WeChat Files/wxid_f41n0vp20vpw22/FileStorage/File/2025-01/www.creditchina.gov.cn"</w:instrText>
      </w:r>
      <w:r>
        <w:rPr>
          <w:rFonts w:hint="eastAsia" w:ascii="仿宋" w:hAnsi="仿宋" w:eastAsia="仿宋" w:cs="仿宋"/>
          <w:color w:val="000000"/>
          <w:sz w:val="24"/>
          <w:szCs w:val="24"/>
          <w:highlight w:val="none"/>
          <w:lang w:val="zh-CN" w:eastAsia="zh-CN"/>
        </w:rPr>
        <w:fldChar w:fldCharType="separate"/>
      </w:r>
      <w:r>
        <w:rPr>
          <w:rFonts w:hint="eastAsia" w:ascii="仿宋" w:hAnsi="仿宋" w:eastAsia="仿宋" w:cs="仿宋"/>
          <w:color w:val="000000"/>
          <w:sz w:val="24"/>
          <w:szCs w:val="24"/>
          <w:highlight w:val="none"/>
          <w:lang w:val="zh-CN" w:eastAsia="zh-CN"/>
        </w:rPr>
        <w:t xml:space="preserve">www.creditchina.gov.cn</w:t>
      </w:r>
      <w:r>
        <w:rPr>
          <w:rFonts w:hint="eastAsia" w:ascii="仿宋" w:hAnsi="仿宋" w:eastAsia="仿宋" w:cs="仿宋"/>
          <w:color w:val="000000"/>
          <w:sz w:val="24"/>
          <w:szCs w:val="24"/>
          <w:highlight w:val="none"/>
          <w:lang w:val="zh-CN" w:eastAsia="zh-CN"/>
        </w:rPr>
        <w:fldChar w:fldCharType="end"/>
      </w:r>
      <w:r>
        <w:rPr>
          <w:rFonts w:hint="eastAsia" w:ascii="仿宋" w:hAnsi="仿宋" w:eastAsia="仿宋" w:cs="仿宋"/>
          <w:color w:val="000000"/>
          <w:sz w:val="24"/>
          <w:szCs w:val="24"/>
          <w:highlight w:val="none"/>
          <w:lang w:val="zh-CN" w:eastAsia="zh-CN"/>
        </w:rPr>
        <w:t xml:space="preserve">）查询投标人的信用记录，以确定投标人是否具备投标资格，查询结果留存并归档。</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2.符合性审查。</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依据招标文件的规定，由评委会从投标文件的有效性、完整性和对招标文件的响应程度进行审查，以确定是否对招标文件的实质性要求作出响应。</w:t>
      </w:r>
      <w:r/>
    </w:p>
    <w:p>
      <w:pPr>
        <w:numPr>
          <w:ilvl w:val="0"/>
          <w:numId w:val="0"/>
        </w:num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bidi="ar-SA"/>
        </w:rPr>
        <w:t xml:space="preserve">3.</w:t>
      </w:r>
      <w:r>
        <w:rPr>
          <w:rFonts w:hint="eastAsia" w:ascii="仿宋" w:hAnsi="仿宋" w:eastAsia="仿宋" w:cs="仿宋"/>
          <w:color w:val="000000"/>
          <w:sz w:val="24"/>
          <w:szCs w:val="24"/>
          <w:highlight w:val="none"/>
          <w:lang w:val="zh-CN" w:eastAsia="zh-CN"/>
        </w:rPr>
        <w:t xml:space="preserve">未通过资格审查或符合性审查的投标人，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lang w:val="zh-CN" w:eastAsia="zh-CN"/>
        </w:rPr>
        <w:t xml:space="preserve">将在苏采云系统中告知未通过资格审查或符合性审查的原因，评审结束后，</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lang w:val="zh-CN" w:eastAsia="zh-CN"/>
        </w:rPr>
        <w:t xml:space="preserve">将不再告知未通过资格审查或符合性审查的原因。</w:t>
      </w:r>
      <w:r/>
    </w:p>
    <w:p>
      <w:pPr>
        <w:numPr>
          <w:ilvl w:val="0"/>
          <w:numId w:val="0"/>
        </w:num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default"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val="zh-CN" w:eastAsia="zh-C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zh-CN" w:eastAsia="zh-CN"/>
        </w:rPr>
        <w:t xml:space="preserve">重大偏离的认定需经过评委会以少数服从多数的原则作出结论。评委决定投标文件的响应性只根据投标文件本身的内容，而不寻求外部的证据。</w:t>
      </w:r>
      <w:r/>
    </w:p>
    <w:p>
      <w:pPr>
        <w:numPr>
          <w:ilvl w:val="0"/>
          <w:numId w:val="0"/>
        </w:numPr>
        <w:ind w:firstLine="480"/>
        <w:keepLines w:val="0"/>
        <w:keepNext w:val="0"/>
        <w:pageBreakBefore w:val="0"/>
        <w:spacing w:line="36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zh-CN" w:eastAsia="zh-CN"/>
        </w:rPr>
        <w:t xml:space="preserve">如果投标文件实质上没有响应招标文件的要求，评委会将予以拒绝，投标人不得通过修改或撤销不符合要求的偏离而使其投标成为实质性响应的投标。</w:t>
      </w:r>
      <w:r/>
    </w:p>
    <w:p>
      <w:pPr>
        <w:ind w:firstLine="480"/>
        <w:keepLines w:val="0"/>
        <w:keepNext w:val="0"/>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（十六）投标文件报价出现前后不一致的，除招标文件另有规定外，按照下列规定修正：</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1.投标文件中开标一览表内容与投标文件中响应内容不一致的，以开标一览表为准；</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2.大写金额和小写金额不一致的，以大写金额为准；</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3.单价金额小数点或者百分比有明显错位的，以开标一览表的总价为准，并修改单价；</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4.总价金额与按单价汇总金额不一致的，以单价金额计算结果为准。</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5.同时出现两种以上不一致的，按照前款规定的顺序修正。修正后的报价，将通过“苏采云”系统告知投标人，经投标人确认后产生约束力。投标人未确认或不接受修正后的价格的，其投标将被拒绝。</w:t>
      </w:r>
      <w:r/>
    </w:p>
    <w:p>
      <w:pPr>
        <w:ind w:firstLine="480"/>
        <w:keepLines w:val="0"/>
        <w:keepNext w:val="0"/>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在评标期间，请投标人保持在线，如因未及时回复而造成的结果由投标人自行承担。</w:t>
      </w:r>
      <w:r/>
    </w:p>
    <w:p>
      <w:pPr>
        <w:ind w:firstLine="480"/>
        <w:keepLines w:val="0"/>
        <w:keepNext w:val="0"/>
        <w:pageBreakBefore w:val="0"/>
        <w:spacing w:line="360" w:lineRule="auto"/>
        <w:widowControl/>
        <w:rPr>
          <w:rFonts w:hint="default"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（十七）异常低价审查</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1.评审过程中出现下列情形之一的，评审委员会应当启动异常低价投标（响应）审查程序：</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w:t>
      </w:r>
      <w:r>
        <w:rPr>
          <w:rFonts w:hint="default" w:ascii="仿宋" w:hAnsi="仿宋" w:eastAsia="仿宋" w:cs="仿宋"/>
          <w:bCs/>
          <w:color w:val="000000"/>
          <w:sz w:val="24"/>
          <w:szCs w:val="24"/>
          <w:highlight w:val="none"/>
          <w:lang w:val="en-US" w:eastAsia="zh-CN"/>
        </w:rPr>
        <w:t xml:space="preserve">投标（响应）报价低于</w:t>
      </w:r>
      <w:r>
        <w:rPr>
          <w:rFonts w:hint="eastAsia" w:ascii="仿宋" w:hAnsi="仿宋" w:eastAsia="仿宋" w:cs="仿宋"/>
          <w:bCs/>
          <w:color w:val="000000"/>
          <w:sz w:val="24"/>
          <w:szCs w:val="24"/>
          <w:highlight w:val="none"/>
          <w:lang w:val="en-US" w:eastAsia="zh-CN"/>
        </w:rPr>
        <w:t xml:space="preserve">全部通过符合性审查供应商投标（响应）报价平均值的</w:t>
      </w:r>
      <w:r>
        <w:rPr>
          <w:rFonts w:hint="default" w:ascii="仿宋" w:hAnsi="仿宋" w:eastAsia="仿宋" w:cs="仿宋"/>
          <w:bCs/>
          <w:color w:val="000000"/>
          <w:sz w:val="24"/>
          <w:szCs w:val="24"/>
          <w:highlight w:val="none"/>
          <w:lang w:val="en-US" w:eastAsia="zh-CN"/>
        </w:rPr>
        <w:t xml:space="preserve">50% 的，即投标（响应）报价</w:t>
      </w:r>
      <w:r>
        <w:rPr>
          <w:rFonts w:hint="eastAsia" w:ascii="仿宋" w:hAnsi="仿宋" w:eastAsia="仿宋" w:cs="仿宋"/>
          <w:bCs/>
          <w:color w:val="000000"/>
          <w:sz w:val="24"/>
          <w:szCs w:val="24"/>
          <w:highlight w:val="none"/>
          <w:lang w:val="en-US" w:eastAsia="zh-CN"/>
        </w:rPr>
        <w:t xml:space="preserve">＜全部通过符合性审查供应商投标（响应）报价平均值</w:t>
      </w:r>
      <w:r>
        <w:rPr>
          <w:rFonts w:hint="default" w:ascii="仿宋" w:hAnsi="仿宋" w:eastAsia="仿宋" w:cs="仿宋"/>
          <w:bCs/>
          <w:color w:val="000000"/>
          <w:sz w:val="24"/>
          <w:szCs w:val="24"/>
          <w:highlight w:val="none"/>
          <w:lang w:val="en-US" w:eastAsia="zh-CN"/>
        </w:rPr>
        <w:t xml:space="preserve">×50%</w:t>
      </w:r>
      <w:r>
        <w:rPr>
          <w:rFonts w:hint="eastAsia" w:ascii="仿宋" w:hAnsi="仿宋" w:eastAsia="仿宋" w:cs="仿宋"/>
          <w:bCs/>
          <w:color w:val="000000"/>
          <w:sz w:val="24"/>
          <w:szCs w:val="24"/>
          <w:highlight w:val="none"/>
          <w:lang w:val="en-US" w:eastAsia="zh-CN"/>
        </w:rPr>
        <w:t xml:space="preserve">；</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w:t>
      </w:r>
      <w:r>
        <w:rPr>
          <w:rFonts w:hint="default" w:ascii="仿宋" w:hAnsi="仿宋" w:eastAsia="仿宋" w:cs="仿宋"/>
          <w:bCs/>
          <w:color w:val="000000"/>
          <w:sz w:val="24"/>
          <w:szCs w:val="24"/>
          <w:highlight w:val="none"/>
          <w:lang w:val="en-US" w:eastAsia="zh-CN"/>
        </w:rPr>
        <w:t xml:space="preserve">投标</w:t>
      </w:r>
      <w:r>
        <w:rPr>
          <w:rFonts w:hint="eastAsia" w:ascii="仿宋" w:hAnsi="仿宋" w:eastAsia="仿宋" w:cs="仿宋"/>
          <w:bCs/>
          <w:color w:val="000000"/>
          <w:sz w:val="24"/>
          <w:szCs w:val="24"/>
          <w:highlight w:val="none"/>
          <w:lang w:val="en-US" w:eastAsia="zh-CN"/>
        </w:rPr>
        <w:t xml:space="preserve">（</w:t>
      </w:r>
      <w:r>
        <w:rPr>
          <w:rFonts w:hint="default" w:ascii="仿宋" w:hAnsi="仿宋" w:eastAsia="仿宋" w:cs="仿宋"/>
          <w:bCs/>
          <w:color w:val="000000"/>
          <w:sz w:val="24"/>
          <w:szCs w:val="24"/>
          <w:highlight w:val="none"/>
          <w:lang w:val="en-US" w:eastAsia="zh-CN"/>
        </w:rPr>
        <w:t xml:space="preserve">响应)报价低于通过符合性审查的次低报价供应商投标(响应)报价50%的，即投标(响应)报价&lt;通过符合性审查的次低报价供应商投标(响应)报价×50%</w:t>
      </w:r>
      <w:r>
        <w:rPr>
          <w:rFonts w:hint="eastAsia" w:ascii="仿宋" w:hAnsi="仿宋" w:eastAsia="仿宋" w:cs="仿宋"/>
          <w:bCs/>
          <w:color w:val="000000"/>
          <w:sz w:val="24"/>
          <w:szCs w:val="24"/>
          <w:highlight w:val="none"/>
          <w:lang w:val="en-US" w:eastAsia="zh-CN"/>
        </w:rPr>
        <w:t xml:space="preserve">；</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启动异常低价投标审查后，评标委员会将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（十八）废标条款</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1.符合专业条件的投标人或者对招标文件作实质响应的投标人不足三家的。</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2.出现影响采购公正的违法、违规行为的。</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3.因重大变故，采购任务取消的。</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val="zh-CN" w:eastAsia="zh-CN"/>
        </w:rPr>
        <w:t xml:space="preserve">评标委员会认定招标文件存在歧义、重大缺陷导致评审工作无法进行。</w:t>
      </w:r>
      <w:r/>
    </w:p>
    <w:p>
      <w:pPr>
        <w:ind w:firstLine="480"/>
        <w:keepLines w:val="0"/>
        <w:keepNext w:val="0"/>
        <w:pageBreakBefore w:val="0"/>
        <w:spacing w:line="360" w:lineRule="auto"/>
        <w:widowControl/>
        <w:rPr>
          <w:rFonts w:hint="default"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5.因苏采云系统故障原因造成开标不成功的。</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rPr>
        <w:t xml:space="preserve">五、</w:t>
      </w:r>
      <w:r>
        <w:rPr>
          <w:rFonts w:hint="eastAsia" w:ascii="仿宋" w:hAnsi="仿宋" w:eastAsia="仿宋" w:cs="仿宋"/>
          <w:b/>
          <w:bCs/>
          <w:color w:val="000000"/>
          <w:sz w:val="28"/>
          <w:szCs w:val="28"/>
          <w:highlight w:val="none"/>
          <w:lang w:val="en-US" w:eastAsia="zh-CN"/>
        </w:rPr>
        <w:t xml:space="preserve">定标</w:t>
      </w:r>
      <w:r/>
    </w:p>
    <w:p>
      <w:pPr>
        <w:ind w:firstLine="480"/>
        <w:keepLines w:val="0"/>
        <w:keepNext w:val="0"/>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（十九）确定中标人</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1.采购代理机构将在评标结束后2个工作日内将评标报告报送采购人。</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采购人将在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eastAsia="zh-CN"/>
        </w:rPr>
        <w:t xml:space="preserve">中标结果确定后，</w:t>
      </w:r>
      <w:r>
        <w:rPr>
          <w:rFonts w:hint="eastAsia" w:ascii="仿宋" w:hAnsi="仿宋" w:eastAsia="仿宋" w:cs="仿宋"/>
          <w:color w:val="000000"/>
          <w:sz w:val="24"/>
          <w:szCs w:val="24"/>
          <w:highlight w:val="none"/>
          <w:lang w:val="en-US" w:eastAsia="zh-CN"/>
        </w:rPr>
        <w:t xml:space="preserve">由采购代理机构</w:t>
      </w:r>
      <w:r>
        <w:rPr>
          <w:rFonts w:hint="eastAsia" w:ascii="仿宋" w:hAnsi="仿宋" w:eastAsia="仿宋" w:cs="仿宋"/>
          <w:color w:val="000000"/>
          <w:sz w:val="24"/>
          <w:szCs w:val="24"/>
          <w:highlight w:val="none"/>
          <w:lang w:val="zh-CN" w:eastAsia="zh-CN"/>
        </w:rPr>
        <w:t xml:space="preserve">向中标供应商发出中标通知书。请中标供应商在中标结果公告届满之日起</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zh-CN" w:eastAsia="zh-CN"/>
        </w:rPr>
        <w:t xml:space="preserve">日内，</w:t>
      </w:r>
      <w:r>
        <w:rPr>
          <w:rFonts w:hint="eastAsia" w:ascii="仿宋" w:hAnsi="仿宋" w:eastAsia="仿宋" w:cs="仿宋"/>
          <w:color w:val="000000"/>
          <w:sz w:val="24"/>
          <w:szCs w:val="24"/>
          <w:highlight w:val="none"/>
          <w:lang w:val="en-US" w:eastAsia="zh-CN"/>
        </w:rPr>
        <w:t xml:space="preserve">至采购代理机构工作处领取并缴纳中标服务费</w:t>
      </w:r>
      <w:r>
        <w:rPr>
          <w:rFonts w:hint="eastAsia" w:ascii="仿宋" w:hAnsi="仿宋" w:eastAsia="仿宋" w:cs="仿宋"/>
          <w:color w:val="000000"/>
          <w:sz w:val="24"/>
          <w:szCs w:val="24"/>
          <w:highlight w:val="none"/>
          <w:lang w:val="zh-CN" w:eastAsia="zh-CN"/>
        </w:rPr>
        <w:t xml:space="preserve">。</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5.中标通知书发出后，采购人不得违法改变中标结果，中标人无正当理由不得放弃中标，否则将依法承担法律责任。</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六、政府采购合同</w:t>
      </w:r>
      <w:r/>
    </w:p>
    <w:p>
      <w:pPr>
        <w:ind w:firstLine="480"/>
        <w:keepLines w:val="0"/>
        <w:keepNext w:val="0"/>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（二十）签订政府采购合同</w:t>
      </w:r>
      <w:r/>
    </w:p>
    <w:p>
      <w:pPr>
        <w:numPr>
          <w:ilvl w:val="0"/>
          <w:numId w:val="8"/>
        </w:num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0"/>
          <w:numId w:val="8"/>
        </w:numPr>
        <w:ind w:left="0" w:firstLine="480"/>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sz w:val="24"/>
          <w:szCs w:val="24"/>
          <w:highlight w:val="none"/>
          <w:lang w:val="en-US" w:eastAsia="zh-CN"/>
        </w:rPr>
        <w:t xml:space="preserve">合同履行期限：该项目服务期限为3年，2026年6月30日至2029年6月29日</w:t>
      </w:r>
      <w:r>
        <w:rPr>
          <w:rFonts w:hint="eastAsia" w:ascii="仿宋" w:hAnsi="仿宋" w:eastAsia="仿宋" w:cs="仿宋"/>
          <w:bCs/>
          <w:color w:val="000000"/>
          <w:sz w:val="24"/>
          <w:szCs w:val="24"/>
          <w:highlight w:val="none"/>
          <w:lang w:val="en-US" w:eastAsia="zh-CN"/>
        </w:rPr>
        <w:t xml:space="preserve">，保单一年一签，中标供应商需承诺承担和履行所签订项目保险期间的保险责任。中标供应商需向恒泰保险经纪有限公司公司泰州分公司支付成交保费（含税）不低于1.5%的费用用于疑难案件纠纷处理及相关防灾防损服务。</w:t>
      </w:r>
      <w:r/>
    </w:p>
    <w:p>
      <w:pPr>
        <w:numPr>
          <w:ilvl w:val="0"/>
          <w:numId w:val="0"/>
        </w:num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3.中标投标人拒绝与采购人签订合同的，采购人可以按照评审报告推荐的中标或者成交候选人名单排序，确定下一候选人为中标或者成交投标人，也可以重新开展政府采购活动。</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5.采购人与中标人应当根据合同的约定依法履行合同义务。政府采购合同的履行、违约责任和解决争议的方法等适用《中华人民共和国民法典》。</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七、询问和质疑</w:t>
      </w:r>
      <w:r/>
    </w:p>
    <w:p>
      <w:pPr>
        <w:ind w:firstLine="480"/>
        <w:keepLines w:val="0"/>
        <w:keepNext w:val="0"/>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（二十一）询问和质疑</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eastAsia="zh-CN"/>
        </w:rPr>
        <w:t xml:space="preserve">提出质疑的供应商应当是参与所质疑项目采购活动的供应商。潜在供应商依法获取其可质疑的采购文件的，可以对采购文件提出质疑。</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2.供应商认为采购文件、采购过程和中标结果使自己的权益受到损害的，可以在知道或者应知其权益受到损害之日起七个工作日内，以书面形式向采购代理机构质疑。询问和质疑由采购代理机构依法处理。</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eastAsia="zh-CN"/>
        </w:rPr>
        <w:t xml:space="preserve">对可以质疑的采购文件提出质疑的，为收到采购文件之日或者采购文件公告期限届满之日。</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eastAsia="zh-CN"/>
        </w:rPr>
        <w:t xml:space="preserve">对采购过程提出质疑的，为各采购程序环节结束之日。</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zh-CN" w:eastAsia="zh-CN"/>
        </w:rPr>
        <w:t xml:space="preserve">对中标或者成交结果提出质疑的，为中标或者成交结果公告期限届满之日。</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zh-CN" w:eastAsia="zh-CN"/>
        </w:rPr>
        <w:t xml:space="preserve">质疑函必须按照本招标文件中《质疑函范本》要求的格式和内容进行填写。</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7.供应商</w:t>
      </w:r>
      <w:r>
        <w:rPr>
          <w:rFonts w:hint="eastAsia" w:ascii="仿宋" w:hAnsi="仿宋" w:eastAsia="仿宋" w:cs="仿宋"/>
          <w:color w:val="000000"/>
          <w:sz w:val="24"/>
          <w:szCs w:val="24"/>
          <w:highlight w:val="none"/>
          <w:lang w:val="zh-CN" w:eastAsia="zh-CN"/>
        </w:rPr>
        <w:t xml:space="preserve">（含潜在供应商）</w:t>
      </w:r>
      <w:r>
        <w:rPr>
          <w:rFonts w:hint="eastAsia" w:ascii="仿宋" w:hAnsi="仿宋" w:eastAsia="仿宋" w:cs="仿宋"/>
          <w:color w:val="000000"/>
          <w:sz w:val="24"/>
          <w:szCs w:val="24"/>
          <w:highlight w:val="none"/>
          <w:lang w:val="en-US" w:eastAsia="zh-CN"/>
        </w:rPr>
        <w:t xml:space="preserve">的质疑由采购人委托代理机构进行答复。代理机构只接收以纸质原件形式送达的质疑，质疑函需按要求签字和盖章。</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8.以下情形的质疑不予受理：</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eastAsia="zh-CN"/>
        </w:rPr>
        <w:t xml:space="preserve">内容不符合《政府采购质疑和投诉办法》第十二条规定的质疑。</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eastAsia="zh-CN"/>
        </w:rPr>
        <w:t xml:space="preserve">）超出政府采购法定期限的质疑。</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eastAsia="zh-CN"/>
        </w:rPr>
        <w:t xml:space="preserve">）以传真、电子邮件等方式递交的非原件形式的质疑。</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eastAsia="zh-CN"/>
        </w:rPr>
        <w:t xml:space="preserve">）未参加投标活动的供应商或在投标活动中自身权益未受到损害的供应商所提出的质疑。</w:t>
      </w:r>
      <w:r/>
    </w:p>
    <w:p>
      <w:pPr>
        <w:ind w:firstLine="480"/>
        <w:keepLines w:val="0"/>
        <w:keepNext w:val="0"/>
        <w:pageBreakBefore w:val="0"/>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zh-CN" w:eastAsia="zh-CN"/>
        </w:rPr>
        <w:t xml:space="preserve">）未按要求签字、加盖公章的质疑。</w:t>
      </w:r>
      <w:r/>
    </w:p>
    <w:p>
      <w:pPr>
        <w:ind w:firstLine="480"/>
        <w:keepLines w:val="0"/>
        <w:keepNext w:val="0"/>
        <w:pageBreakBefore w:val="0"/>
        <w:spacing w:line="36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zh-CN" w:eastAsia="zh-CN"/>
        </w:rPr>
        <w:t xml:space="preserve">供应商提出书面质疑必须有理、有据，不得捏造事实、提供虚假材料进行恶意质疑。</w:t>
      </w:r>
      <w:r>
        <w:rPr>
          <w:rFonts w:hint="eastAsia" w:ascii="仿宋" w:hAnsi="仿宋" w:eastAsia="仿宋" w:cs="仿宋"/>
          <w:color w:val="000000"/>
          <w:sz w:val="24"/>
          <w:szCs w:val="24"/>
          <w:highlight w:val="none"/>
          <w:lang w:val="en-US" w:eastAsia="zh-CN"/>
        </w:rPr>
        <w:t xml:space="preserve">否则，代理机构有权依据政府采购的有关规定，</w:t>
      </w:r>
      <w:r>
        <w:rPr>
          <w:rFonts w:hint="eastAsia" w:ascii="仿宋" w:hAnsi="仿宋" w:eastAsia="仿宋" w:cs="仿宋"/>
          <w:color w:val="000000"/>
          <w:sz w:val="24"/>
          <w:szCs w:val="24"/>
          <w:highlight w:val="none"/>
          <w:lang w:val="zh-CN" w:eastAsia="zh-CN"/>
        </w:rPr>
        <w:t xml:space="preserve">报请政府采购监管部门对该供应商进行相应的行政处罚和记录该供应商的失信信息。</w:t>
      </w:r>
      <w:r/>
    </w:p>
    <w:p>
      <w:pPr>
        <w:pStyle w:val="911"/>
        <w:rPr>
          <w:rFonts w:hint="eastAsia"/>
          <w:highlight w:val="none"/>
        </w:rPr>
      </w:pPr>
      <w:r>
        <w:rPr>
          <w:rFonts w:hint="eastAsia"/>
          <w:highlight w:val="none"/>
        </w:rPr>
      </w:r>
      <w:r/>
    </w:p>
    <w:p>
      <w:pPr>
        <w:pStyle w:val="912"/>
        <w:rPr>
          <w:rFonts w:hint="eastAsia"/>
          <w:highlight w:val="none"/>
        </w:rPr>
      </w:pPr>
      <w:r>
        <w:rPr>
          <w:rFonts w:hint="eastAsia"/>
          <w:highlight w:val="none"/>
        </w:rPr>
      </w:r>
      <w:r/>
    </w:p>
    <w:p>
      <w:pPr>
        <w:pStyle w:val="912"/>
        <w:rPr>
          <w:rFonts w:hint="eastAsia"/>
          <w:highlight w:val="none"/>
        </w:rPr>
      </w:pPr>
      <w:r>
        <w:rPr>
          <w:rFonts w:hint="eastAsia"/>
          <w:highlight w:val="none"/>
        </w:rPr>
      </w:r>
      <w:r/>
    </w:p>
    <w:p>
      <w:pPr>
        <w:pStyle w:val="912"/>
        <w:rPr>
          <w:rFonts w:hint="eastAsia"/>
          <w:highlight w:val="none"/>
        </w:rPr>
      </w:pPr>
      <w:r>
        <w:rPr>
          <w:rFonts w:hint="eastAsia"/>
          <w:highlight w:val="none"/>
        </w:rPr>
      </w:r>
      <w:r/>
    </w:p>
    <w:p>
      <w:pPr>
        <w:pStyle w:val="912"/>
        <w:rPr>
          <w:rFonts w:hint="eastAsia"/>
          <w:highlight w:val="none"/>
        </w:rPr>
      </w:pPr>
      <w:r>
        <w:rPr>
          <w:rFonts w:hint="eastAsia"/>
          <w:highlight w:val="none"/>
        </w:rPr>
      </w:r>
      <w:r/>
    </w:p>
    <w:p>
      <w:pPr>
        <w:pStyle w:val="912"/>
        <w:rPr>
          <w:rFonts w:hint="eastAsia"/>
          <w:highlight w:val="none"/>
        </w:rPr>
      </w:pPr>
      <w:r>
        <w:rPr>
          <w:rFonts w:hint="eastAsia"/>
          <w:highlight w:val="none"/>
        </w:rPr>
      </w:r>
      <w:r/>
    </w:p>
    <w:p>
      <w:pPr>
        <w:pStyle w:val="912"/>
        <w:rPr>
          <w:rFonts w:hint="eastAsia"/>
          <w:highlight w:val="none"/>
        </w:rPr>
      </w:pPr>
      <w:r>
        <w:rPr>
          <w:rFonts w:hint="eastAsia"/>
          <w:highlight w:val="none"/>
        </w:rPr>
      </w:r>
      <w:r/>
    </w:p>
    <w:p>
      <w:pPr>
        <w:pStyle w:val="912"/>
        <w:rPr>
          <w:rFonts w:hint="eastAsia"/>
          <w:highlight w:val="none"/>
        </w:rPr>
      </w:pPr>
      <w:r>
        <w:rPr>
          <w:rFonts w:hint="eastAsia"/>
          <w:highlight w:val="none"/>
        </w:rPr>
      </w:r>
      <w:r/>
    </w:p>
    <w:p>
      <w:pPr>
        <w:pStyle w:val="912"/>
        <w:rPr>
          <w:rFonts w:hint="eastAsia"/>
          <w:highlight w:val="none"/>
        </w:rPr>
      </w:pPr>
      <w:r>
        <w:rPr>
          <w:rFonts w:hint="eastAsia"/>
          <w:highlight w:val="none"/>
        </w:rPr>
      </w:r>
      <w:r/>
    </w:p>
    <w:p>
      <w:pPr>
        <w:pStyle w:val="912"/>
        <w:rPr>
          <w:rFonts w:hint="eastAsia"/>
          <w:highlight w:val="none"/>
        </w:rPr>
      </w:pPr>
      <w:r>
        <w:rPr>
          <w:rFonts w:hint="eastAsia"/>
          <w:highlight w:val="none"/>
        </w:rPr>
      </w:r>
      <w:r/>
    </w:p>
    <w:p>
      <w:pPr>
        <w:pStyle w:val="912"/>
        <w:rPr>
          <w:rFonts w:hint="eastAsia"/>
          <w:highlight w:val="none"/>
        </w:rPr>
      </w:pPr>
      <w:r>
        <w:rPr>
          <w:rFonts w:hint="eastAsia"/>
          <w:highlight w:val="none"/>
        </w:rPr>
      </w:r>
      <w:r/>
    </w:p>
    <w:p>
      <w:pPr>
        <w:pStyle w:val="912"/>
        <w:rPr>
          <w:rFonts w:hint="eastAsia"/>
          <w:highlight w:val="none"/>
        </w:rPr>
      </w:pPr>
      <w:r>
        <w:rPr>
          <w:rFonts w:hint="eastAsia"/>
          <w:highlight w:val="none"/>
        </w:rPr>
      </w:r>
      <w:r/>
    </w:p>
    <w:p>
      <w:pPr>
        <w:pStyle w:val="868"/>
        <w:numPr>
          <w:ilvl w:val="0"/>
          <w:numId w:val="9"/>
        </w:numPr>
        <w:pageBreakBefore w:val="0"/>
        <w:spacing w:line="360" w:lineRule="auto"/>
        <w:rPr>
          <w:rFonts w:hint="eastAsia" w:ascii="黑体" w:hAnsi="黑体" w:eastAsia="黑体" w:cs="黑体"/>
          <w:b w:val="0"/>
          <w:bCs/>
          <w:highlight w:val="none"/>
        </w:rPr>
      </w:pPr>
      <w:r>
        <w:rPr>
          <w:rFonts w:hint="eastAsia" w:ascii="黑体" w:hAnsi="黑体" w:eastAsia="黑体" w:cs="黑体"/>
          <w:b w:val="0"/>
          <w:bCs/>
          <w:highlight w:val="none"/>
        </w:rPr>
        <w:t xml:space="preserve"> </w:t>
      </w:r>
      <w:bookmarkStart w:id="111" w:name="_Toc13673"/>
      <w:r>
        <w:rPr>
          <w:rFonts w:hint="eastAsia" w:ascii="黑体" w:hAnsi="黑体" w:eastAsia="黑体" w:cs="黑体"/>
          <w:b w:val="0"/>
          <w:bCs/>
          <w:highlight w:val="none"/>
        </w:rPr>
        <w:t xml:space="preserve">投标资料表</w:t>
      </w:r>
      <w:bookmarkEnd w:id="111"/>
      <w:r/>
      <w:r/>
    </w:p>
    <w:p>
      <w:pPr>
        <w:ind w:firstLine="480"/>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该资料表是对《投标人须知》的补充、修改和完善，如果有矛盾的话，应以本资料表为准。</w:t>
      </w:r>
      <w:r/>
    </w:p>
    <w:tbl>
      <w:tblPr>
        <w:tblStyle w:val="875"/>
        <w:tblpPr w:horzAnchor="page" w:tblpXSpec="center" w:vertAnchor="text" w:tblpY="292" w:leftFromText="180" w:topFromText="0" w:rightFromText="180" w:bottomFromText="0"/>
        <w:tblW w:w="900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34"/>
        <w:gridCol w:w="7774"/>
      </w:tblGrid>
      <w:tr>
        <w:trPr>
          <w:jc w:val="center"/>
          <w:trHeight w:val="322"/>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b/>
                <w:bCs/>
                <w:sz w:val="24"/>
                <w:szCs w:val="24"/>
                <w:highlight w:val="none"/>
              </w:rPr>
              <w:t xml:space="preserve">一、总则</w:t>
            </w:r>
            <w:r/>
          </w:p>
        </w:tc>
      </w:tr>
      <w:tr>
        <w:trPr>
          <w:jc w:val="center"/>
          <w:trHeight w:val="328"/>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rPr>
              <w:suppressLineNumbers w:val="0"/>
            </w:pPr>
            <w:r>
              <w:rPr>
                <w:rFonts w:hint="eastAsia" w:ascii="仿宋" w:hAnsi="仿宋" w:eastAsia="仿宋" w:cs="仿宋"/>
                <w:sz w:val="24"/>
                <w:szCs w:val="24"/>
                <w:highlight w:val="none"/>
              </w:rPr>
              <w:t xml:space="preserve">本项目采购人：</w:t>
            </w:r>
            <w:r>
              <w:rPr>
                <w:rFonts w:hint="eastAsia" w:ascii="仿宋" w:hAnsi="仿宋" w:eastAsia="仿宋" w:cs="仿宋"/>
                <w:sz w:val="24"/>
                <w:szCs w:val="24"/>
                <w:highlight w:val="none"/>
                <w:lang w:val="en-US" w:eastAsia="zh-CN"/>
              </w:rPr>
              <w:t xml:space="preserve">泰兴市卫生健康委员会。</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rPr>
              <w:t xml:space="preserve">采购人确定的采购项目属性：</w:t>
            </w:r>
            <w:r>
              <w:rPr>
                <w:rFonts w:hint="eastAsia" w:ascii="仿宋" w:hAnsi="仿宋" w:eastAsia="仿宋" w:cs="仿宋"/>
                <w:sz w:val="24"/>
                <w:szCs w:val="24"/>
                <w:highlight w:val="none"/>
                <w:lang w:val="en-US" w:eastAsia="zh-CN"/>
              </w:rPr>
              <w:t xml:space="preserve">服务</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本项目是否为专门面向中小微企业采购的项目：否</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rPr>
              <w:suppressLineNumbers w:val="0"/>
            </w:pPr>
            <w:r>
              <w:rPr>
                <w:rFonts w:hint="eastAsia" w:ascii="仿宋" w:hAnsi="仿宋" w:eastAsia="仿宋" w:cs="仿宋"/>
                <w:sz w:val="24"/>
                <w:szCs w:val="24"/>
                <w:highlight w:val="none"/>
              </w:rPr>
              <w:t xml:space="preserve">本项目采购代理机构：</w:t>
            </w:r>
            <w:r>
              <w:rPr>
                <w:rFonts w:hint="eastAsia" w:ascii="仿宋" w:hAnsi="仿宋" w:eastAsia="仿宋" w:cs="仿宋"/>
                <w:sz w:val="24"/>
                <w:szCs w:val="24"/>
                <w:highlight w:val="none"/>
                <w:lang w:val="en-US" w:eastAsia="zh-CN"/>
              </w:rPr>
              <w:t xml:space="preserve">恒泰保险经纪有限公司</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本项目为政府采购电子招标投标。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b/>
                <w:bCs/>
                <w:sz w:val="24"/>
                <w:szCs w:val="24"/>
                <w:highlight w:val="none"/>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预算金额：630万元（三年）。</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投标有效期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90天。</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招标文件售价：免费。</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采购代理机构代理费用的收取标准和方式：</w:t>
            </w:r>
            <w:r>
              <w:rPr>
                <w:rFonts w:hint="eastAsia" w:ascii="仿宋" w:hAnsi="仿宋" w:eastAsia="仿宋" w:cs="仿宋"/>
                <w:sz w:val="24"/>
                <w:szCs w:val="24"/>
                <w:highlight w:val="none"/>
                <w:lang w:val="zh-CN"/>
              </w:rPr>
              <w:t xml:space="preserve">服务费用按《关于印发〈江苏省政府</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lang w:val="zh-CN"/>
              </w:rPr>
              <w:t xml:space="preserve">代理服务收费指导意见〉的通知》（苏政采协〔2024〕20号）（</w:t>
            </w:r>
            <w:r>
              <w:rPr>
                <w:rFonts w:hint="eastAsia" w:ascii="仿宋" w:hAnsi="仿宋" w:eastAsia="仿宋" w:cs="仿宋"/>
                <w:sz w:val="24"/>
                <w:szCs w:val="24"/>
                <w:highlight w:val="none"/>
                <w:lang w:val="en-US" w:eastAsia="zh-CN"/>
              </w:rPr>
              <w:t xml:space="preserve">差额定率分档累进费率</w:t>
            </w:r>
            <w:r>
              <w:rPr>
                <w:rFonts w:hint="eastAsia" w:ascii="仿宋" w:hAnsi="仿宋" w:eastAsia="仿宋" w:cs="仿宋"/>
                <w:sz w:val="24"/>
                <w:szCs w:val="24"/>
                <w:highlight w:val="none"/>
                <w:lang w:val="zh-CN"/>
              </w:rPr>
              <w:t xml:space="preserve">）执行，</w:t>
            </w:r>
            <w:r>
              <w:rPr>
                <w:rFonts w:hint="eastAsia" w:ascii="仿宋" w:hAnsi="仿宋" w:eastAsia="仿宋" w:cs="仿宋"/>
                <w:color w:val="000000"/>
                <w:sz w:val="24"/>
                <w:szCs w:val="24"/>
                <w:highlight w:val="none"/>
                <w:lang w:val="zh-CN"/>
              </w:rPr>
              <w:t xml:space="preserve">由项目</w:t>
            </w:r>
            <w:r>
              <w:rPr>
                <w:rFonts w:hint="eastAsia" w:ascii="仿宋" w:hAnsi="仿宋" w:eastAsia="仿宋" w:cs="仿宋"/>
                <w:color w:val="000000"/>
                <w:sz w:val="24"/>
                <w:szCs w:val="24"/>
                <w:highlight w:val="none"/>
                <w:lang w:val="en-US" w:eastAsia="zh-CN"/>
              </w:rPr>
              <w:t xml:space="preserve">中标</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val="zh-CN"/>
              </w:rPr>
              <w:t xml:space="preserve">在领取</w:t>
            </w:r>
            <w:r>
              <w:rPr>
                <w:rFonts w:hint="eastAsia" w:ascii="仿宋" w:hAnsi="仿宋" w:eastAsia="仿宋" w:cs="仿宋"/>
                <w:color w:val="000000"/>
                <w:sz w:val="24"/>
                <w:szCs w:val="24"/>
                <w:highlight w:val="none"/>
                <w:lang w:val="en-US" w:eastAsia="zh-CN"/>
              </w:rPr>
              <w:t xml:space="preserve">中标</w:t>
            </w:r>
            <w:r>
              <w:rPr>
                <w:rFonts w:hint="eastAsia" w:ascii="仿宋" w:hAnsi="仿宋" w:eastAsia="仿宋" w:cs="仿宋"/>
                <w:color w:val="000000"/>
                <w:sz w:val="24"/>
                <w:szCs w:val="24"/>
                <w:highlight w:val="none"/>
                <w:lang w:val="zh-CN"/>
              </w:rPr>
              <w:t xml:space="preserve">通知书时，向采购代理机构支付。</w:t>
            </w:r>
            <w:r>
              <w:rPr>
                <w:rFonts w:hint="eastAsia" w:ascii="仿宋" w:hAnsi="仿宋" w:eastAsia="仿宋" w:cs="仿宋"/>
                <w:color w:val="000000"/>
                <w:sz w:val="24"/>
                <w:szCs w:val="24"/>
                <w:highlight w:val="none"/>
                <w:lang w:val="zh-CN" w:eastAsia="zh-CN"/>
              </w:rPr>
              <w:t xml:space="preserve">收款单位：恒泰保险经纪有限公司，账号：4301010919100529942，开户行：中国工商银行南京城北支行</w:t>
            </w:r>
            <w:r>
              <w:rPr>
                <w:rFonts w:hint="eastAsia" w:ascii="仿宋" w:hAnsi="仿宋" w:eastAsia="仿宋" w:cs="仿宋"/>
                <w:color w:val="auto"/>
                <w:sz w:val="24"/>
                <w:szCs w:val="24"/>
                <w:highlight w:val="none"/>
                <w:lang w:val="zh-CN" w:eastAsia="zh-CN"/>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不组织现场考察</w:t>
            </w:r>
            <w:r>
              <w:rPr>
                <w:rFonts w:hint="eastAsia" w:ascii="仿宋" w:hAnsi="仿宋" w:eastAsia="仿宋" w:cs="仿宋"/>
                <w:sz w:val="24"/>
                <w:szCs w:val="24"/>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采购代理机构可以对已发出的招标文件进行必要的澄清或者修改。对招标文件进行澄清或者修改的，通过“苏采云”系统及</w:t>
            </w:r>
            <w:r>
              <w:rPr>
                <w:rFonts w:hint="eastAsia" w:ascii="仿宋" w:hAnsi="仿宋" w:eastAsia="仿宋" w:cs="仿宋"/>
                <w:sz w:val="24"/>
                <w:szCs w:val="24"/>
                <w:highlight w:val="none"/>
                <w:lang w:val="en-US" w:eastAsia="zh-CN"/>
              </w:rPr>
              <w:t xml:space="preserve">江苏</w:t>
            </w:r>
            <w:r>
              <w:rPr>
                <w:rFonts w:hint="eastAsia" w:ascii="仿宋" w:hAnsi="仿宋" w:eastAsia="仿宋" w:cs="仿宋"/>
                <w:sz w:val="24"/>
                <w:szCs w:val="24"/>
                <w:highlight w:val="none"/>
              </w:rPr>
              <w:t xml:space="preserve">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kedt”），离线编制投标文件，否则，将自行承担相应的风险</w:t>
            </w:r>
            <w:r>
              <w:rPr>
                <w:rFonts w:hint="eastAsia" w:ascii="仿宋" w:hAnsi="仿宋" w:eastAsia="仿宋" w:cs="仿宋"/>
                <w:sz w:val="24"/>
                <w:szCs w:val="24"/>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rPr>
              <w:t xml:space="preserve">终止招标的，采购代理机构</w:t>
            </w:r>
            <w:r>
              <w:rPr>
                <w:rFonts w:hint="eastAsia" w:ascii="仿宋" w:hAnsi="仿宋" w:eastAsia="仿宋" w:cs="仿宋"/>
                <w:sz w:val="24"/>
                <w:szCs w:val="24"/>
                <w:highlight w:val="none"/>
                <w:lang w:val="en-US" w:eastAsia="zh-CN"/>
              </w:rPr>
              <w:t xml:space="preserve">将</w:t>
            </w:r>
            <w:r>
              <w:rPr>
                <w:rFonts w:hint="eastAsia" w:ascii="仿宋" w:hAnsi="仿宋" w:eastAsia="仿宋" w:cs="仿宋"/>
                <w:sz w:val="24"/>
                <w:szCs w:val="24"/>
                <w:highlight w:val="none"/>
              </w:rPr>
              <w:t xml:space="preserve">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投标人信用信息查询渠道及截止时点、信用信息查询记录和证据留存的具体方式、信用信息的使用规则等：</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一、由采购人查询信用信息。</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二、查询渠道包括：“信用中国”网（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"http://www.creditchina.gov.cn/"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www.creditchina.gov.cn</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t xml:space="preserve">）；</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三、截止时点（查询环节）：评标结束前。</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四、信用信息查询记录和证据留存的具体方式：</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网页截屏</w:t>
            </w:r>
            <w:r>
              <w:rPr>
                <w:rFonts w:hint="eastAsia" w:ascii="仿宋" w:hAnsi="仿宋" w:eastAsia="仿宋" w:cs="仿宋"/>
                <w:sz w:val="24"/>
                <w:szCs w:val="24"/>
                <w:highlight w:val="none"/>
                <w:lang w:val="en-US" w:eastAsia="zh-CN"/>
              </w:rPr>
              <w:t xml:space="preserve">或下载</w:t>
            </w:r>
            <w:r>
              <w:rPr>
                <w:rFonts w:hint="eastAsia" w:ascii="仿宋" w:hAnsi="仿宋" w:eastAsia="仿宋" w:cs="仿宋"/>
                <w:sz w:val="24"/>
                <w:szCs w:val="24"/>
                <w:highlight w:val="none"/>
              </w:rPr>
              <w:t xml:space="preserve">打印，与其他采购文件一并保存。</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信用信息的使用规则：</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Height w:val="90"/>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b/>
                <w:bCs/>
                <w:sz w:val="24"/>
                <w:szCs w:val="24"/>
                <w:highlight w:val="none"/>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投标文件的语言为中文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投标文件编制要求：</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请按照以下要求（包括但不限于以下要求）制作：</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一、基本目录</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1.《开标一览表》（加盖电子签章，政府采购客户端工具输入报价自动生成）；</w:t>
            </w:r>
            <w:r/>
          </w:p>
          <w:p>
            <w:pPr>
              <w:pStyle w:val="876"/>
              <w:ind w:left="0" w:firstLine="0"/>
              <w:rPr>
                <w:rFonts w:hint="default"/>
                <w:lang w:val="en-US" w:eastAsia="zh-CN"/>
              </w:rPr>
            </w:pPr>
            <w:r>
              <w:rPr>
                <w:rFonts w:hint="eastAsia" w:ascii="仿宋" w:hAnsi="仿宋" w:eastAsia="仿宋" w:cs="仿宋"/>
                <w:sz w:val="24"/>
                <w:szCs w:val="24"/>
                <w:highlight w:val="none"/>
                <w:lang w:val="en-US" w:eastAsia="zh-CN"/>
              </w:rPr>
              <w:t xml:space="preserve">2.分项报价表（加盖电子签章，格式见招标文件第七章《投标文件格式》）</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3.《法定代表人或负责人授权书》或《法定代表人或负责人身份证明书》</w:t>
            </w:r>
            <w:r>
              <w:rPr>
                <w:rFonts w:hint="eastAsia" w:ascii="仿宋" w:hAnsi="仿宋" w:eastAsia="仿宋" w:cs="仿宋"/>
                <w:b/>
                <w:bCs/>
                <w:sz w:val="24"/>
                <w:szCs w:val="24"/>
                <w:highlight w:val="none"/>
                <w:lang w:val="en-US" w:eastAsia="zh-CN"/>
              </w:rPr>
              <w:t xml:space="preserve">（《法定代表人或负责人身份证明书》法定代表人或负责人参加投标时填报该表），</w:t>
            </w:r>
            <w:r>
              <w:rPr>
                <w:rFonts w:hint="eastAsia" w:ascii="仿宋" w:hAnsi="仿宋" w:eastAsia="仿宋" w:cs="仿宋"/>
                <w:sz w:val="24"/>
                <w:szCs w:val="24"/>
                <w:highlight w:val="none"/>
                <w:lang w:val="en-US" w:eastAsia="zh-CN"/>
              </w:rPr>
              <w:t xml:space="preserve">提供原件扫描件，格式见招标文件第七章《投标文件格式》。注：采购文件中涉及的“法定代表人/单位负责人”在第一章前述特殊行业中即对应为“分支机构（单位）负责人”。</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二、资格条件（1-6必须提供，否则投标无效）</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1.投标人合法有效的营业执照等证明文件，法人或负责人的身份证正反面，以上证明文件提供原件的扫描件；</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2.财务状况报告【即提供投标人的本项目开标时间前6个月内（开标当月除外）任意一个月份的资产负债表、利润表，</w:t>
            </w:r>
            <w:r>
              <w:rPr>
                <w:rFonts w:hint="eastAsia" w:ascii="仿宋" w:hAnsi="仿宋" w:eastAsia="仿宋" w:cs="仿宋"/>
                <w:b w:val="0"/>
                <w:bCs w:val="0"/>
                <w:sz w:val="24"/>
                <w:szCs w:val="24"/>
                <w:highlight w:val="none"/>
                <w:lang w:val="en-US" w:eastAsia="zh-CN"/>
              </w:rPr>
              <w:t xml:space="preserve">或</w:t>
            </w:r>
            <w:r>
              <w:rPr>
                <w:rFonts w:hint="eastAsia" w:ascii="仿宋" w:hAnsi="仿宋" w:eastAsia="仿宋" w:cs="仿宋"/>
                <w:sz w:val="24"/>
                <w:szCs w:val="24"/>
                <w:highlight w:val="none"/>
                <w:lang w:val="en-US" w:eastAsia="zh-CN"/>
              </w:rPr>
              <w:t xml:space="preserve">提供上年度财务报告，或提供开标前6个月内由银行出具的资信证明】；</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3.具备履行合同所必需的设备和专业技术能力的声明（加盖电子签章，格式见招标文件第七章《投标文件格式》）；</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4.投标人的本项目开标时间前6个月内（开标当月除外）任何1个月的依法缴纳税收和社会保障资金的相关材料扫描件（依法免税或不需要缴纳社会保障资金的供应商，提供相应文件证明其依法免税或不需要缴纳社会保障资金）；</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5.投标人参加政府采购活动前3年内在经营活动中没有重大违法记录的书面声明（加盖电子签章，格式见招标文件第七章《投标文件格式》）；</w:t>
            </w:r>
            <w:r>
              <w:rPr>
                <w:rFonts w:hint="eastAsia" w:ascii="仿宋" w:hAnsi="仿宋" w:eastAsia="仿宋" w:cs="仿宋"/>
                <w:sz w:val="24"/>
                <w:szCs w:val="24"/>
                <w:highlight w:val="none"/>
                <w:lang w:val="en-US" w:eastAsia="zh-CN"/>
              </w:rPr>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r>
            <w:r>
              <w:rPr>
                <w:rFonts w:hint="eastAsia" w:ascii="仿宋" w:hAnsi="仿宋" w:eastAsia="仿宋" w:cs="仿宋"/>
                <w:sz w:val="24"/>
                <w:szCs w:val="24"/>
                <w:highlight w:val="none"/>
                <w:lang w:val="en-US" w:eastAsia="zh-CN"/>
              </w:rPr>
              <w:t xml:space="preserve">6.</w:t>
            </w:r>
            <w:r>
              <w:rPr>
                <w:rFonts w:ascii="FangSong" w:hAnsi="FangSong" w:eastAsia="FangSong" w:cs="FangSong"/>
                <w:color w:val="000000"/>
                <w:sz w:val="24"/>
              </w:rPr>
              <w:t xml:space="preserve">法律、行政法规规定的其他条件。</w:t>
            </w:r>
            <w:r>
              <w:rPr>
                <w:rFonts w:hint="eastAsia" w:ascii="仿宋" w:hAnsi="仿宋" w:eastAsia="仿宋" w:cs="仿宋"/>
                <w:sz w:val="24"/>
                <w:szCs w:val="24"/>
                <w:highlight w:val="none"/>
                <w:lang w:val="en-US" w:eastAsia="zh-CN"/>
              </w:rPr>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特定资格条件</w:t>
            </w:r>
            <w:r/>
          </w:p>
          <w:p>
            <w:pPr>
              <w:numPr>
                <w:ilvl w:val="0"/>
                <w:numId w:val="15"/>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有有效的保险许可证或经营保险业务许可证或金融许可证。</w:t>
            </w:r>
            <w:r/>
          </w:p>
          <w:p>
            <w:pPr>
              <w:numPr>
                <w:ilvl w:val="0"/>
                <w:numId w:val="15"/>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投标人信用信息：未被“信用中国”网站列入失信被执行人、重大税收违法案件当事人名单、政府采购严重失信行为记录名单的截图或其他证明材料。</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三、符合条件（必须提供，否则投标无效）</w:t>
            </w:r>
            <w:r/>
          </w:p>
          <w:p>
            <w:pPr>
              <w:ind w:left="0" w:right="0"/>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（一）报价符合性审查</w:t>
            </w:r>
            <w:r/>
          </w:p>
          <w:p>
            <w:pPr>
              <w:ind w:left="0" w:right="0"/>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《开标一览表》（系统内固定格式，加盖电子签章）。</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（二）商务资信</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《投标函》（加盖电子签章，格式见招标文件第七章《投标文件相关格式》）；</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（三）技术响应</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《偏离表》（加盖电子签章，格式见招标文件第七章《投标文件相关格式》）。</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四、综合评审评分项</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（一）报价</w:t>
            </w:r>
            <w:r/>
          </w:p>
          <w:p>
            <w:pPr>
              <w:ind w:left="0" w:right="0"/>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《开标一览表》（系统内固定格式，加盖电子签章）。</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（二）技术部分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详见本项目评分标准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（三）商务部分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详见本项目评分标准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五、价格折扣文件格式</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投标供应商如果是中小企业，请提供《中小企业声明函》（填写完整，加盖电子签章，格式见招标文件第七章《投标文件格式》。如不填写完整或未按要求填写的，视为无效）。</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《中小企业声明函》查询渠道参考工业和信息化部发布的中小企业规模自测小程序。中小企业规模自测小程序详见《中小企业声明函》。</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注：具体以《政府采购促进中小企业发展管理办法》（财库〔2020〕46号）和《关于印发中小企业划型标准规定的通知》（工信部联企业〔2011〕300号）的规定为准。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注：监狱企业和残疾人福利性单位等同于小微企业。</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投标人为监狱企业的，提供省级以上监狱管理局、戒毒管理局（含新疆生产建设兵团）出具的属于监狱企业的证明文件原件的扫描件。</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具体以《财政部 司法部关于政府采购支持监狱企业发展有关问题的通知》（财库〔2014〕68号）的规定为准。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投标人为享受政府采购支持政策的残疾人福利性单位的，提供《残疾人福利性单位声明函》（加盖电子签章，格式见招标文件第七章《投标文件格式》）。</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享受政府采购支持政策的残疾人福利性单位应当同时满足以下条件：</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①安置的残疾人占本单位在职职工人数的比例不低于25%（含25%），并且安置的残疾人人数不少于10人（含10人）；</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②依法与安置的每位残疾人签订了一年以上（含一年）的劳动合同或服务协议；</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③为安置的每位残疾人按月足额缴纳了基本养老保险、基本医疗保险、失业保险、工伤保险和生育保险等社会保险费；</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④通过银行等金融机构向安置的每位残疾人，按月支付了不低于单位所在区县适用的经省级人民政府批准的月最低工资标准的工资；</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具体以《三部门联合发布关于促进残疾人就业政府采购政策的通知》（财库〔2017〕141号）规定为准。注：</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1.投标人应对以上文件的合法性、真实性负责。</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电子投标文件应由其法定代表人或法定代表人授权代表在规定的网上投标时间内，凭 CA 证书登录“苏采云”系统在线编制投标文件（电子数据），并在投标截止时间之前上传投标文件。</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投标人应在达到开标时间后，使用CA数字证书解密各自投标文件。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投标人应当通过“苏采云”系统提交数据电文形式的投标文件（即电子投标</w:t>
            </w:r>
            <w:r>
              <w:rPr>
                <w:rFonts w:hint="eastAsia" w:ascii="仿宋" w:hAnsi="仿宋" w:eastAsia="仿宋" w:cs="仿宋"/>
                <w:sz w:val="24"/>
                <w:szCs w:val="24"/>
                <w:highlight w:val="none"/>
                <w:lang w:eastAsia="zh-CN"/>
              </w:rPr>
              <w:t xml:space="preserve">文件</w:t>
            </w:r>
            <w:r>
              <w:rPr>
                <w:rFonts w:hint="eastAsia" w:ascii="仿宋" w:hAnsi="仿宋" w:eastAsia="仿宋" w:cs="仿宋"/>
                <w:sz w:val="24"/>
                <w:szCs w:val="24"/>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投标文件的密封、签署、盖章要求：</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投标文件的密封</w:t>
            </w:r>
            <w:r>
              <w:rPr>
                <w:rFonts w:hint="eastAsia" w:ascii="仿宋" w:hAnsi="仿宋" w:eastAsia="仿宋" w:cs="仿宋"/>
                <w:sz w:val="24"/>
                <w:szCs w:val="24"/>
                <w:highlight w:val="none"/>
                <w:lang w:eastAsia="zh-CN"/>
              </w:rPr>
              <w:t xml:space="preserve">（加密）</w:t>
            </w:r>
            <w:r>
              <w:rPr>
                <w:rFonts w:hint="eastAsia" w:ascii="仿宋" w:hAnsi="仿宋" w:eastAsia="仿宋" w:cs="仿宋"/>
                <w:sz w:val="24"/>
                <w:szCs w:val="24"/>
                <w:highlight w:val="none"/>
              </w:rPr>
              <w:t xml:space="preserve">要求：投标人应当按照招标文件和“苏采云”系统的要求编制并加密投标文件。本项目投标人须通过“苏采云”系统提供的政府采购客户端工具（使用“CA数字证书”）对其数据电文形式的投标文件加密。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投标文件的签署</w:t>
            </w:r>
            <w:r>
              <w:rPr>
                <w:rFonts w:hint="eastAsia" w:ascii="仿宋" w:hAnsi="仿宋" w:eastAsia="仿宋" w:cs="仿宋"/>
                <w:sz w:val="24"/>
                <w:szCs w:val="24"/>
                <w:highlight w:val="none"/>
                <w:lang w:val="en-US" w:eastAsia="zh-CN"/>
              </w:rPr>
              <w:t xml:space="preserve">与盖章</w:t>
            </w:r>
            <w:r>
              <w:rPr>
                <w:rFonts w:hint="eastAsia" w:ascii="仿宋" w:hAnsi="仿宋" w:eastAsia="仿宋" w:cs="仿宋"/>
                <w:sz w:val="24"/>
                <w:szCs w:val="24"/>
                <w:highlight w:val="none"/>
              </w:rPr>
              <w:t xml:space="preserve">须通过“苏采云”系统提供的政府采购客户端工具（使用“CA数字证书”）</w:t>
            </w:r>
            <w:r>
              <w:rPr>
                <w:rFonts w:hint="eastAsia" w:ascii="仿宋" w:hAnsi="仿宋" w:eastAsia="仿宋" w:cs="仿宋"/>
                <w:sz w:val="24"/>
                <w:szCs w:val="24"/>
                <w:highlight w:val="none"/>
                <w:lang w:eastAsia="zh-CN"/>
              </w:rPr>
              <w:t xml:space="preserve">加盖</w:t>
            </w:r>
            <w:r>
              <w:rPr>
                <w:rFonts w:hint="eastAsia" w:ascii="仿宋" w:hAnsi="仿宋" w:eastAsia="仿宋" w:cs="仿宋"/>
                <w:sz w:val="24"/>
                <w:szCs w:val="24"/>
                <w:highlight w:val="none"/>
                <w:lang w:val="en-US" w:eastAsia="zh-CN"/>
              </w:rPr>
              <w:t xml:space="preserve">电子签章</w:t>
            </w:r>
            <w:r>
              <w:rPr>
                <w:rFonts w:hint="eastAsia" w:ascii="仿宋" w:hAnsi="仿宋" w:eastAsia="仿宋" w:cs="仿宋"/>
                <w:sz w:val="24"/>
                <w:szCs w:val="24"/>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投标人未按规定加密的投标文件，“苏采云”系统</w:t>
            </w:r>
            <w:r>
              <w:rPr>
                <w:rFonts w:hint="eastAsia" w:ascii="仿宋" w:hAnsi="仿宋" w:eastAsia="仿宋" w:cs="仿宋"/>
                <w:sz w:val="24"/>
                <w:szCs w:val="24"/>
                <w:highlight w:val="none"/>
                <w:lang w:val="en-US" w:eastAsia="zh-CN"/>
              </w:rPr>
              <w:t xml:space="preserve">将</w:t>
            </w:r>
            <w:r>
              <w:rPr>
                <w:rFonts w:hint="eastAsia" w:ascii="仿宋" w:hAnsi="仿宋" w:eastAsia="仿宋" w:cs="仿宋"/>
                <w:sz w:val="24"/>
                <w:szCs w:val="24"/>
                <w:highlight w:val="none"/>
              </w:rPr>
              <w:t xml:space="preserve">拒收。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1.投标人应当在投标截止时间前完成投标文件的传输提交，并可以补充、修改或者撤回投标文件。</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2.补充、修改投标文件的，须先撤回投标文件，重新编制（即补充、修改）投标文件，在投标截止时间前完成投标文件的传输提交。</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3.投标截止时间前未完成投标文件传输的，视为撤回投标文件。投标截止时间后提交的投标文件，“苏采云”系统将拒收。</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4.在投标截止时间前，除投标人补充、修改或者撤回投标文件外，任何单位和个人不得解密、提取投标文件。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rPr>
              <w:suppressLineNumbers w:val="0"/>
            </w:pPr>
            <w:r>
              <w:rPr>
                <w:rFonts w:hint="eastAsia" w:ascii="仿宋" w:hAnsi="仿宋" w:eastAsia="仿宋" w:cs="仿宋"/>
                <w:sz w:val="24"/>
                <w:szCs w:val="24"/>
                <w:highlight w:val="none"/>
              </w:rPr>
              <w:t xml:space="preserve">投标</w:t>
            </w:r>
            <w:r>
              <w:rPr>
                <w:rFonts w:hint="eastAsia" w:ascii="仿宋" w:hAnsi="仿宋" w:eastAsia="仿宋" w:cs="仿宋"/>
                <w:sz w:val="24"/>
                <w:szCs w:val="24"/>
                <w:highlight w:val="none"/>
                <w:lang w:val="en-US" w:eastAsia="zh-CN"/>
              </w:rPr>
              <w:t xml:space="preserve">文件</w:t>
            </w:r>
            <w:r>
              <w:rPr>
                <w:rFonts w:hint="eastAsia" w:ascii="仿宋" w:hAnsi="仿宋" w:eastAsia="仿宋" w:cs="仿宋"/>
                <w:sz w:val="24"/>
                <w:szCs w:val="24"/>
                <w:highlight w:val="none"/>
              </w:rPr>
              <w:t xml:space="preserve">提交截止时间：北京时间</w:t>
            </w:r>
            <w:r>
              <w:rPr>
                <w:rFonts w:hint="eastAsia" w:ascii="仿宋" w:hAnsi="仿宋" w:eastAsia="仿宋" w:cs="仿宋"/>
                <w:sz w:val="24"/>
                <w:szCs w:val="24"/>
                <w:highlight w:val="none"/>
                <w:lang w:val="en-US" w:eastAsia="zh-CN"/>
              </w:rPr>
              <w:t xml:space="preserve">2026年9月9日14:30</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rPr>
              <w:t xml:space="preserve">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b/>
                <w:bCs/>
                <w:sz w:val="24"/>
                <w:szCs w:val="24"/>
                <w:highlight w:val="none"/>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开标时间及地点：</w:t>
            </w:r>
            <w:r/>
          </w:p>
          <w:p>
            <w:pPr>
              <w:ind w:left="0" w:right="0"/>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yellow"/>
                <w:lang w:val="en-US" w:eastAsia="zh-CN"/>
              </w:rPr>
              <w:suppressLineNumbers w:val="0"/>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开标时间：北京时间</w:t>
            </w:r>
            <w:r>
              <w:rPr>
                <w:rFonts w:hint="eastAsia" w:ascii="仿宋" w:hAnsi="仿宋" w:eastAsia="仿宋" w:cs="仿宋"/>
                <w:sz w:val="24"/>
                <w:szCs w:val="24"/>
                <w:highlight w:val="none"/>
                <w:lang w:val="en-US" w:eastAsia="zh-CN"/>
              </w:rPr>
              <w:t xml:space="preserve">2026年9月9日14:30</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b/>
                <w:bCs/>
                <w:sz w:val="24"/>
                <w:szCs w:val="24"/>
                <w:highlight w:val="none"/>
              </w:rPr>
              <w:suppressLineNumbers w:val="0"/>
            </w:pPr>
            <w:r>
              <w:rPr>
                <w:rFonts w:hint="eastAsia" w:ascii="仿宋" w:hAnsi="仿宋" w:eastAsia="仿宋" w:cs="仿宋"/>
                <w:sz w:val="24"/>
                <w:szCs w:val="24"/>
                <w:highlight w:val="none"/>
              </w:rPr>
              <w:t xml:space="preserve">线上开标时，“苏采云”系统自动提取所有投标文件，投标人按招标文件规定方式按时在线解密。本项目招标文件规定的投标人按时在线解密方式：</w:t>
            </w:r>
            <w:r>
              <w:rPr>
                <w:rFonts w:hint="eastAsia" w:ascii="仿宋" w:hAnsi="仿宋" w:eastAsia="仿宋" w:cs="仿宋"/>
                <w:b/>
                <w:bCs/>
                <w:sz w:val="24"/>
                <w:szCs w:val="24"/>
                <w:highlight w:val="none"/>
              </w:rPr>
              <w:t xml:space="preserve">开标时间后30分钟内，通过“苏采云”系统（使用“CA数字证书”）解密。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开标结束后，</w:t>
            </w:r>
            <w:r>
              <w:rPr>
                <w:rFonts w:hint="eastAsia" w:ascii="仿宋" w:hAnsi="仿宋" w:eastAsia="仿宋" w:cs="仿宋"/>
                <w:sz w:val="24"/>
                <w:szCs w:val="24"/>
                <w:highlight w:val="none"/>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因投标人原因造成投标文件未解密的，视为撤销其投标文件；因投标人之外的原因造成投标文件未解密的，视为撤回其投标文件。部分投标文件未解密的，其他投标文件的开标可以继续进行。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1.评标中需要投标人对投标文件</w:t>
            </w:r>
            <w:r>
              <w:rPr>
                <w:rFonts w:hint="eastAsia" w:ascii="仿宋" w:hAnsi="仿宋" w:eastAsia="仿宋" w:cs="仿宋"/>
                <w:sz w:val="24"/>
                <w:szCs w:val="24"/>
                <w:highlight w:val="none"/>
                <w:lang w:val="en-US" w:eastAsia="zh-CN"/>
              </w:rPr>
              <w:t xml:space="preserve">作</w:t>
            </w:r>
            <w:r>
              <w:rPr>
                <w:rFonts w:hint="eastAsia" w:ascii="仿宋" w:hAnsi="仿宋" w:eastAsia="仿宋" w:cs="仿宋"/>
                <w:sz w:val="24"/>
                <w:szCs w:val="24"/>
                <w:highlight w:val="none"/>
              </w:rPr>
              <w:t xml:space="preserve">澄清或者说明的，应当通过“苏采云”系统交换数据电文。在评标期间，请投标人保持在线。</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3.投标人的澄清、说明或者补正应当采用通过“苏采云”系统（使用“CA数字证书”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rPr>
              <w:t xml:space="preserve">五、</w:t>
            </w:r>
            <w:r>
              <w:rPr>
                <w:rFonts w:hint="eastAsia" w:ascii="仿宋" w:hAnsi="仿宋" w:eastAsia="仿宋" w:cs="仿宋"/>
                <w:b/>
                <w:bCs/>
                <w:sz w:val="24"/>
                <w:szCs w:val="24"/>
                <w:highlight w:val="none"/>
                <w:lang w:val="en-US" w:eastAsia="zh-CN"/>
              </w:rPr>
              <w:t xml:space="preserve">定标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推荐中标候选供应商名单。中标候选供应商数量应当根据采购需要确定，但必须按顺序排列中标候选</w:t>
            </w:r>
            <w:r>
              <w:rPr>
                <w:rFonts w:hint="eastAsia" w:ascii="仿宋" w:hAnsi="仿宋" w:eastAsia="仿宋" w:cs="仿宋"/>
                <w:sz w:val="24"/>
                <w:szCs w:val="24"/>
                <w:highlight w:val="none"/>
                <w:lang w:val="en-US" w:eastAsia="zh-CN"/>
              </w:rPr>
              <w:t xml:space="preserve">人</w:t>
            </w:r>
            <w:r>
              <w:rPr>
                <w:rFonts w:hint="eastAsia" w:ascii="仿宋" w:hAnsi="仿宋" w:eastAsia="仿宋" w:cs="仿宋"/>
                <w:sz w:val="24"/>
                <w:szCs w:val="24"/>
                <w:highlight w:val="none"/>
              </w:rPr>
              <w:t xml:space="preserve">。</w:t>
            </w:r>
            <w:r/>
          </w:p>
          <w:p>
            <w:pPr>
              <w:ind w:left="0" w:right="0"/>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采用综合评分法，</w:t>
            </w:r>
            <w:r>
              <w:rPr>
                <w:rFonts w:hint="eastAsia" w:ascii="仿宋" w:hAnsi="仿宋" w:eastAsia="仿宋" w:cs="仿宋"/>
                <w:sz w:val="24"/>
                <w:szCs w:val="24"/>
                <w:highlight w:val="none"/>
                <w:lang w:val="en-US" w:eastAsia="zh-CN"/>
              </w:rPr>
              <w:t xml:space="preserve">评标结果</w:t>
            </w:r>
            <w:r>
              <w:rPr>
                <w:rFonts w:hint="eastAsia" w:ascii="仿宋" w:hAnsi="仿宋" w:eastAsia="仿宋" w:cs="仿宋"/>
                <w:sz w:val="24"/>
                <w:szCs w:val="24"/>
                <w:highlight w:val="none"/>
              </w:rPr>
              <w:t xml:space="preserve">按评审后得分由高到低顺序排列。得分相同的，按投标报价由低到高顺序排列。</w:t>
            </w:r>
            <w:r>
              <w:rPr>
                <w:rFonts w:hint="eastAsia" w:ascii="仿宋" w:hAnsi="仿宋" w:eastAsia="仿宋" w:cs="仿宋"/>
                <w:sz w:val="24"/>
                <w:szCs w:val="24"/>
                <w:highlight w:val="none"/>
                <w:lang w:val="en-US" w:eastAsia="zh-CN"/>
              </w:rPr>
              <w:t xml:space="preserve">得分且投标报价相同的并列。投标文件满足招标文件全部实质性要求，且按照评审因素的量化指标评审得分最高的投标人为排名第一的中标候选人。</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rPr>
              <w:t xml:space="preserve">中标结果在“</w:t>
            </w:r>
            <w:r>
              <w:rPr>
                <w:rFonts w:hint="eastAsia" w:ascii="仿宋" w:hAnsi="仿宋" w:eastAsia="仿宋" w:cs="仿宋"/>
                <w:sz w:val="24"/>
                <w:szCs w:val="24"/>
                <w:highlight w:val="none"/>
                <w:lang w:val="en-US" w:eastAsia="zh-CN"/>
              </w:rPr>
              <w:t xml:space="preserve">江苏省政府采购网</w:t>
            </w:r>
            <w:r>
              <w:rPr>
                <w:rFonts w:hint="eastAsia" w:ascii="仿宋" w:hAnsi="仿宋" w:eastAsia="仿宋" w:cs="仿宋"/>
                <w:sz w:val="24"/>
                <w:szCs w:val="24"/>
                <w:highlight w:val="none"/>
              </w:rPr>
              <w:t xml:space="preserve">”进行公示和公布。</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lang w:val="en-US" w:eastAsia="zh-CN"/>
              </w:rPr>
              <w:t xml:space="preserve">六、</w:t>
            </w:r>
            <w:r>
              <w:rPr>
                <w:rFonts w:hint="eastAsia" w:ascii="仿宋" w:hAnsi="仿宋" w:eastAsia="仿宋" w:cs="仿宋"/>
                <w:b/>
                <w:bCs/>
                <w:sz w:val="24"/>
                <w:szCs w:val="24"/>
                <w:highlight w:val="none"/>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32</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rPr>
              <w:t xml:space="preserve">采购人与中标供应商应当在中标通知书发出之日起30日内，按照采购文件确定的事项签订政府采购合同。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33</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特别说明：</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rPr>
              <w:t xml:space="preserve">按照《</w:t>
            </w:r>
            <w:r>
              <w:rPr>
                <w:rFonts w:hint="eastAsia" w:ascii="仿宋" w:hAnsi="仿宋" w:eastAsia="仿宋" w:cs="仿宋"/>
                <w:sz w:val="24"/>
                <w:szCs w:val="24"/>
                <w:highlight w:val="none"/>
                <w:lang w:eastAsia="zh-CN"/>
              </w:rPr>
              <w:t xml:space="preserve">中华人民共和国政府采购法</w:t>
            </w:r>
            <w:r>
              <w:rPr>
                <w:rFonts w:hint="eastAsia" w:ascii="仿宋" w:hAnsi="仿宋" w:eastAsia="仿宋" w:cs="仿宋"/>
                <w:sz w:val="24"/>
                <w:szCs w:val="24"/>
                <w:highlight w:val="none"/>
              </w:rPr>
              <w:t xml:space="preserve">》及其实施条例以及相关规定，中标或者成交后无正当理由拒不与采购人签订政府采购合同的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lang w:val="en-US" w:eastAsia="zh-CN"/>
              </w:rPr>
              <w:t xml:space="preserve">七</w:t>
            </w:r>
            <w:r>
              <w:rPr>
                <w:rFonts w:hint="eastAsia" w:ascii="仿宋" w:hAnsi="仿宋" w:eastAsia="仿宋" w:cs="仿宋"/>
                <w:b/>
                <w:bCs/>
                <w:sz w:val="24"/>
                <w:szCs w:val="24"/>
                <w:highlight w:val="none"/>
              </w:rPr>
              <w:t xml:space="preserve">、询问和质疑</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rPr>
              <w:suppressLineNumbers w:val="0"/>
            </w:pPr>
            <w:r>
              <w:rPr>
                <w:rFonts w:hint="eastAsia" w:ascii="仿宋" w:hAnsi="仿宋" w:eastAsia="仿宋" w:cs="仿宋"/>
                <w:sz w:val="24"/>
                <w:szCs w:val="24"/>
                <w:highlight w:val="none"/>
                <w:lang w:val="en-US" w:eastAsia="zh-CN"/>
              </w:rPr>
              <w:t xml:space="preserve">34</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供应商认为</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rPr>
              <w:t xml:space="preserve">文件、</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rPr>
              <w:t xml:space="preserve">过程和中标、成交结果使自己的权益受到损害的，可以在知道或者应知其权益受到损害之日起七个工作日内，以书面形式向采购代理机构质疑。询问和质疑由采购代理机构依法处理。</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供应商在法定质疑期内一次性提出针对同一采购程序环节的质疑。</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质疑接收人：陈女士；联系电话：15105263875；</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zh-CN" w:eastAsia="zh-CN"/>
              </w:rPr>
              <w:t xml:space="preserve">泰州分公司地址：泰州市海陵区鼓楼南路398号 C楼408室</w:t>
            </w:r>
            <w:r>
              <w:rPr>
                <w:rFonts w:hint="eastAsia" w:ascii="仿宋" w:hAnsi="仿宋" w:eastAsia="仿宋" w:cs="仿宋"/>
                <w:sz w:val="24"/>
                <w:szCs w:val="24"/>
                <w:highlight w:val="none"/>
                <w:lang w:val="en-US" w:eastAsia="zh-CN"/>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中标人在领取中标通知书时，须向采购代理机构提交《报价一览表》和投标文件（纸质投标文件，黑白打印</w:t>
            </w:r>
            <w:r>
              <w:rPr>
                <w:rFonts w:hint="eastAsia" w:ascii="仿宋" w:hAnsi="仿宋" w:eastAsia="仿宋" w:cs="仿宋"/>
                <w:b/>
                <w:bCs/>
                <w:sz w:val="24"/>
                <w:szCs w:val="24"/>
                <w:highlight w:val="none"/>
                <w:lang w:val="en-US" w:eastAsia="zh-CN"/>
              </w:rPr>
              <w:t xml:space="preserve">各两份</w:t>
            </w:r>
            <w:r>
              <w:rPr>
                <w:rFonts w:hint="eastAsia" w:ascii="仿宋" w:hAnsi="仿宋" w:eastAsia="仿宋" w:cs="仿宋"/>
                <w:b w:val="0"/>
                <w:bCs w:val="0"/>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lang w:val="en-US" w:eastAsia="zh-CN"/>
              </w:rPr>
              <w:t xml:space="preserve">八、供应商相关法律责任提醒</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36</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风清气正的政府采购环境。</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37</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《中华人民共和国政府采购法》第七十七条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（一）提供虚假材料谋取中标、成交的；</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（二）采取不正当手段诋毁、排挤其他供应商的；</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（三）与采购人、其他供应商或者采购代理机构恶意串通的；</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（四）向采购人、采购代理机构行贿或者提供其他不正当利益的；</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（五）在招标采购过程中与采购人进行协商谈判的；</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（六）拒绝有关部门监督检查或者提供虚假情况的。</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供应商有前款第（一）至（五）项情形之一的，中标、成交无效。</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《中华人民共和国政府采购法实施条例》第七十二条　供应商有下列情形之一的，依照政府采购法第七十七条第一款的规定追究法律责任：</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（一）向评标委员会、竞争性谈判小组或者询价小组成员行贿或者提供其他不正当利益；</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（二）中标或者成交后无正当理由拒不与采购人签订政府采购合同；</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（三）未按照采购文件确定的事项签订政府采购合同；</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（四）将政府采购合同转包；</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（五）提供假冒伪劣产品；</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（六）擅自变更、中止或者终止政府采购合同。</w:t>
            </w:r>
            <w:r/>
          </w:p>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tc>
      </w:tr>
    </w:tbl>
    <w:p>
      <w:pPr>
        <w:pStyle w:val="868"/>
        <w:jc w:val="both"/>
        <w:pageBreakBefore w:val="0"/>
        <w:spacing w:line="360" w:lineRule="auto"/>
        <w:rPr>
          <w:rFonts w:hint="eastAsia"/>
          <w:highlight w:val="none"/>
        </w:rPr>
      </w:pPr>
      <w:r>
        <w:rPr>
          <w:rFonts w:hint="eastAsia"/>
          <w:highlight w:val="none"/>
        </w:rPr>
      </w:r>
      <w:r/>
    </w:p>
    <w:p>
      <w:pPr>
        <w:pStyle w:val="868"/>
        <w:pageBreakBefore w:val="0"/>
        <w:spacing w:line="360" w:lineRule="auto"/>
        <w:rPr>
          <w:rFonts w:hint="eastAsia"/>
          <w:highlight w:val="none"/>
        </w:rPr>
      </w:pPr>
      <w:r>
        <w:rPr>
          <w:rFonts w:hint="eastAsia"/>
          <w:highlight w:val="none"/>
        </w:rPr>
      </w:r>
      <w:r/>
    </w:p>
    <w:p>
      <w:pPr>
        <w:pStyle w:val="868"/>
        <w:pageBreakBefore w:val="0"/>
        <w:spacing w:line="360" w:lineRule="auto"/>
        <w:rPr>
          <w:rFonts w:hint="eastAsia"/>
          <w:highlight w:val="none"/>
        </w:rPr>
      </w:pPr>
      <w:r>
        <w:rPr>
          <w:rFonts w:hint="eastAsia"/>
          <w:highlight w:val="none"/>
        </w:rPr>
      </w:r>
      <w:r/>
    </w:p>
    <w:p>
      <w:pPr>
        <w:rPr>
          <w:rFonts w:hint="eastAsia"/>
          <w:highlight w:val="none"/>
        </w:rPr>
      </w:pPr>
      <w:r>
        <w:rPr>
          <w:rFonts w:hint="eastAsia"/>
          <w:highlight w:val="none"/>
        </w:rPr>
      </w:r>
      <w:r/>
    </w:p>
    <w:p>
      <w:pPr>
        <w:pStyle w:val="880"/>
        <w:rPr>
          <w:rFonts w:hint="eastAsia"/>
          <w:highlight w:val="none"/>
        </w:rPr>
      </w:pPr>
      <w:r>
        <w:rPr>
          <w:rFonts w:hint="eastAsia"/>
          <w:highlight w:val="none"/>
        </w:rPr>
      </w:r>
      <w:r/>
    </w:p>
    <w:p>
      <w:pPr>
        <w:pStyle w:val="880"/>
        <w:rPr>
          <w:rFonts w:hint="eastAsia"/>
          <w:highlight w:val="none"/>
        </w:rPr>
      </w:pPr>
      <w:r>
        <w:rPr>
          <w:rFonts w:hint="eastAsia"/>
          <w:highlight w:val="none"/>
        </w:rPr>
      </w:r>
      <w:r/>
    </w:p>
    <w:p>
      <w:pPr>
        <w:pStyle w:val="880"/>
        <w:rPr>
          <w:rFonts w:hint="eastAsia"/>
          <w:highlight w:val="none"/>
        </w:rPr>
      </w:pPr>
      <w:r>
        <w:rPr>
          <w:rFonts w:hint="eastAsia"/>
          <w:highlight w:val="none"/>
        </w:rPr>
      </w:r>
      <w:r/>
    </w:p>
    <w:p>
      <w:pPr>
        <w:pStyle w:val="880"/>
        <w:rPr>
          <w:rFonts w:hint="eastAsia"/>
          <w:highlight w:val="none"/>
        </w:rPr>
      </w:pPr>
      <w:r>
        <w:rPr>
          <w:rFonts w:hint="eastAsia"/>
          <w:highlight w:val="none"/>
        </w:rPr>
      </w:r>
      <w:r/>
    </w:p>
    <w:p>
      <w:pPr>
        <w:pStyle w:val="880"/>
        <w:rPr>
          <w:rFonts w:hint="eastAsia"/>
          <w:highlight w:val="none"/>
        </w:rPr>
      </w:pPr>
      <w:r>
        <w:rPr>
          <w:rFonts w:hint="eastAsia"/>
          <w:highlight w:val="none"/>
        </w:rPr>
      </w:r>
      <w:r/>
    </w:p>
    <w:p>
      <w:pPr>
        <w:pStyle w:val="880"/>
        <w:rPr>
          <w:rFonts w:hint="eastAsia"/>
          <w:highlight w:val="none"/>
        </w:rPr>
      </w:pPr>
      <w:r>
        <w:rPr>
          <w:rFonts w:hint="eastAsia"/>
          <w:highlight w:val="none"/>
        </w:rPr>
      </w:r>
      <w:r/>
    </w:p>
    <w:p>
      <w:pPr>
        <w:pStyle w:val="881"/>
        <w:numPr>
          <w:ilvl w:val="3"/>
          <w:numId w:val="0"/>
        </w:numPr>
        <w:ind w:left="315"/>
        <w:rPr>
          <w:rFonts w:hint="eastAsia"/>
        </w:rPr>
      </w:pPr>
      <w:r>
        <w:rPr>
          <w:rFonts w:hint="eastAsia"/>
        </w:rPr>
      </w:r>
      <w:r/>
    </w:p>
    <w:p>
      <w:pPr>
        <w:pStyle w:val="880"/>
        <w:rPr>
          <w:rFonts w:hint="eastAsia"/>
          <w:highlight w:val="none"/>
        </w:rPr>
      </w:pPr>
      <w:r>
        <w:rPr>
          <w:rFonts w:hint="eastAsia"/>
          <w:highlight w:val="none"/>
        </w:rPr>
      </w:r>
      <w:r/>
    </w:p>
    <w:p>
      <w:pPr>
        <w:pStyle w:val="880"/>
        <w:rPr>
          <w:rFonts w:hint="eastAsia"/>
          <w:highlight w:val="none"/>
        </w:rPr>
      </w:pPr>
      <w:r>
        <w:rPr>
          <w:rFonts w:hint="eastAsia"/>
          <w:highlight w:val="none"/>
        </w:rPr>
      </w:r>
      <w:r/>
    </w:p>
    <w:p>
      <w:pPr>
        <w:pStyle w:val="880"/>
        <w:rPr>
          <w:rFonts w:hint="eastAsia"/>
          <w:highlight w:val="none"/>
        </w:rPr>
      </w:pPr>
      <w:r>
        <w:rPr>
          <w:rFonts w:hint="eastAsia"/>
          <w:highlight w:val="none"/>
        </w:rPr>
      </w:r>
      <w:r/>
    </w:p>
    <w:p>
      <w:pPr>
        <w:pStyle w:val="880"/>
        <w:rPr>
          <w:rFonts w:hint="eastAsia"/>
          <w:highlight w:val="none"/>
        </w:rPr>
      </w:pPr>
      <w:r>
        <w:rPr>
          <w:rFonts w:hint="eastAsia"/>
          <w:highlight w:val="none"/>
        </w:rPr>
      </w:r>
      <w:r/>
    </w:p>
    <w:p>
      <w:pPr>
        <w:pStyle w:val="868"/>
        <w:pageBreakBefore w:val="0"/>
        <w:spacing w:line="360" w:lineRule="auto"/>
        <w:rPr>
          <w:rFonts w:hint="eastAsia" w:ascii="黑体" w:hAnsi="黑体" w:eastAsia="黑体" w:cs="黑体"/>
          <w:b w:val="0"/>
          <w:bCs/>
          <w:highlight w:val="none"/>
        </w:rPr>
      </w:pPr>
      <w:r/>
      <w:bookmarkStart w:id="112" w:name="_Toc10376"/>
      <w:r>
        <w:rPr>
          <w:rFonts w:hint="eastAsia" w:ascii="黑体" w:hAnsi="黑体" w:eastAsia="黑体" w:cs="黑体"/>
          <w:b w:val="0"/>
          <w:bCs/>
          <w:highlight w:val="none"/>
          <w:lang w:eastAsia="zh-CN"/>
        </w:rPr>
        <w:t xml:space="preserve">第四章</w:t>
      </w:r>
      <w:r>
        <w:rPr>
          <w:rFonts w:hint="eastAsia" w:ascii="黑体" w:hAnsi="黑体" w:eastAsia="黑体" w:cs="黑体"/>
          <w:b w:val="0"/>
          <w:bCs/>
          <w:highlight w:val="none"/>
          <w:lang w:val="en-US" w:eastAsia="zh-CN"/>
        </w:rPr>
        <w:t xml:space="preserve">  </w:t>
      </w:r>
      <w:r>
        <w:rPr>
          <w:rFonts w:hint="eastAsia" w:ascii="黑体" w:hAnsi="黑体" w:eastAsia="黑体" w:cs="黑体"/>
          <w:b w:val="0"/>
          <w:bCs/>
          <w:highlight w:val="none"/>
        </w:rPr>
        <w:t xml:space="preserve">评标标准</w:t>
      </w:r>
      <w:bookmarkEnd w:id="112"/>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一、评标方法</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采用综合评分法，评标结果按评审后得分由高到低顺序排列。得分相同的，按投标报价由低到高顺序排列。得分且投标报价相同的并列，按技术指标优劣顺序排列。投标文件满足招标文件全部实质性要求，且按照评审因素的量化指标评审得分最高的投标人为排名第一的中标候选人。</w:t>
      </w:r>
      <w:r/>
    </w:p>
    <w:p>
      <w:p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二、政府采购政策功能落实</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1.小微型企业价格扣除</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（1）本项目对小型和微型企业产品给予10%的扣除价格，用扣除后的价格参与评审。</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（2）投标人需按照采购文件的要求提供相应的《企业声明函》（见附件）。</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（3）企业标准请参照《关于印发中小企业划型标准规定的通知》（工信部联企业〔2011〕300号）文件规定自行填写。</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2.残疾人福利单位价格扣除</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（1）本项目对残疾人福利性单位视同小型、微型企业，给予10%的价格扣除，用扣除后的价格参与评审。</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（2）残疾人福利单位需按照采购文件的要求提供《残疾人福利性单位声明函》。</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（3）残疾人福利单位标准请参照《关于促进残疾人就业政府采购政策的通知》（财库〔2017〕141号）。</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3.监狱和戒毒企业价格扣除</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（1）本项目对监狱和戒毒企业（简称监狱企业）视同小型、微型企业，给予10%的价格扣除，用扣除后的价格参与评审。</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（3）监狱企业标准请参照《关于政府采购支持监狱企业发展有关问题的通知》（财库〔2014〕68号）。</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（4）残疾人福利单位、监狱企业属于小型、微型企业的，不重复享受政策。</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4.节能环保</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本项目中如有涉及节能环保产品要求的，应当按《财政部、发展改革委、生态环境部、市场监管总局关于调整优化节能产品、环境标志产品政府采购执行机制的通知》（财库〔2019〕9号）文件执行。</w:t>
      </w:r>
      <w:r/>
    </w:p>
    <w:p>
      <w:pPr>
        <w:numPr>
          <w:ilvl w:val="0"/>
          <w:numId w:val="0"/>
        </w:num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5.残疾人福利单位、监狱企业属于小型、微型企业的，不重复享受政策。</w:t>
      </w:r>
      <w:r/>
    </w:p>
    <w:p>
      <w:pPr>
        <w:numPr>
          <w:ilvl w:val="0"/>
          <w:numId w:val="0"/>
        </w:numPr>
        <w:ind w:firstLine="480"/>
        <w:keepLines w:val="0"/>
        <w:keepNext w:val="0"/>
        <w:pageBreakBefore w:val="0"/>
        <w:spacing w:line="36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bidi="ar-SA"/>
        </w:rPr>
        <w:t xml:space="preserve">6.</w:t>
      </w:r>
      <w:r>
        <w:rPr>
          <w:rFonts w:hint="eastAsia" w:ascii="仿宋" w:hAnsi="仿宋" w:eastAsia="仿宋" w:cs="仿宋"/>
          <w:b w:val="0"/>
          <w:bCs w:val="0"/>
          <w:sz w:val="24"/>
          <w:szCs w:val="24"/>
          <w:highlight w:val="none"/>
          <w:lang w:val="en-US" w:eastAsia="zh-CN"/>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numPr>
          <w:ilvl w:val="0"/>
          <w:numId w:val="0"/>
        </w:num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bidi="ar-SA"/>
        </w:rPr>
        <w:t xml:space="preserve">7.</w:t>
      </w:r>
      <w:r>
        <w:rPr>
          <w:rFonts w:hint="eastAsia" w:ascii="仿宋" w:hAnsi="仿宋" w:eastAsia="仿宋" w:cs="仿宋"/>
          <w:b w:val="0"/>
          <w:bCs w:val="0"/>
          <w:sz w:val="24"/>
          <w:szCs w:val="24"/>
          <w:highlight w:val="none"/>
          <w:lang w:val="en-US" w:eastAsia="zh-CN"/>
        </w:rPr>
        <w:t xml:space="preserve">联合体各方均为小型、微型企业（残疾人福利单位、监狱企业）的，联合体享受10%价格扣除，用扣除后的价格参与评审。</w:t>
      </w:r>
      <w:r/>
    </w:p>
    <w:p>
      <w:pPr>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val="0"/>
          <w:bCs w:val="0"/>
          <w:sz w:val="24"/>
          <w:szCs w:val="24"/>
          <w:highlight w:val="none"/>
          <w:lang w:val="en-US" w:eastAsia="zh-CN" w:bidi="ar-SA"/>
        </w:rPr>
        <w:t xml:space="preserve">8.</w:t>
      </w:r>
      <w:r>
        <w:rPr>
          <w:rFonts w:hint="default" w:ascii="仿宋" w:hAnsi="仿宋" w:eastAsia="仿宋" w:cs="仿宋"/>
          <w:b w:val="0"/>
          <w:bCs w:val="0"/>
          <w:sz w:val="24"/>
          <w:szCs w:val="24"/>
          <w:highlight w:val="none"/>
          <w:lang w:val="en-US" w:eastAsia="zh-CN" w:bidi="ar-SA"/>
        </w:rPr>
        <w:t xml:space="preserve">中标</w:t>
      </w:r>
      <w:r>
        <w:rPr>
          <w:rFonts w:hint="default" w:ascii="仿宋" w:hAnsi="仿宋" w:eastAsia="仿宋" w:cs="仿宋"/>
          <w:b w:val="0"/>
          <w:bCs w:val="0"/>
          <w:sz w:val="24"/>
          <w:szCs w:val="24"/>
          <w:highlight w:val="none"/>
          <w:lang w:val="en-US" w:eastAsia="zh-CN"/>
        </w:rPr>
        <w:t xml:space="preserve">、成交供应商可以采用电子履约保函形式</w:t>
      </w:r>
      <w:r>
        <w:rPr>
          <w:rFonts w:hint="eastAsia" w:ascii="仿宋" w:hAnsi="仿宋" w:eastAsia="仿宋" w:cs="仿宋"/>
          <w:b w:val="0"/>
          <w:bCs w:val="0"/>
          <w:sz w:val="24"/>
          <w:szCs w:val="24"/>
          <w:highlight w:val="none"/>
          <w:lang w:val="en-US" w:eastAsia="zh-CN"/>
        </w:rPr>
        <w:t xml:space="preserve">代替缴纳履约保证金</w:t>
      </w:r>
      <w:r>
        <w:rPr>
          <w:rFonts w:hint="default" w:ascii="仿宋" w:hAnsi="仿宋" w:eastAsia="仿宋" w:cs="仿宋"/>
          <w:b w:val="0"/>
          <w:bCs w:val="0"/>
          <w:sz w:val="24"/>
          <w:szCs w:val="24"/>
          <w:highlight w:val="none"/>
          <w:lang w:val="en-US" w:eastAsia="zh-CN"/>
        </w:rPr>
        <w:t xml:space="preserve">，具体可登录江苏政府采购网的保险保函模块进行办理。</w:t>
      </w:r>
      <w:r/>
    </w:p>
    <w:p>
      <w:pPr>
        <w:jc w:val="both"/>
        <w:keepLines w:val="0"/>
        <w:keepNext w:val="0"/>
        <w:pageBreakBefore w:val="0"/>
        <w:spacing w:line="360" w:lineRule="auto"/>
        <w:widowControl/>
        <w:rPr>
          <w:rFonts w:hint="default"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三、评分标准</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评标委员会将按下列评分标准进行评分，总分值为100分。</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注：如有政府采购政策功能价格扣除分，在评分时进行落实。</w:t>
      </w:r>
      <w:r/>
    </w:p>
    <w:tbl>
      <w:tblPr>
        <w:tblStyle w:val="875"/>
        <w:tblW w:w="8820" w:type="dxa"/>
        <w:tblInd w:w="0" w:type="dxa"/>
        <w:tblLayout w:type="fixed"/>
        <w:tblCellMar>
          <w:left w:w="108" w:type="dxa"/>
          <w:top w:w="0" w:type="dxa"/>
          <w:right w:w="108" w:type="dxa"/>
          <w:bottom w:w="0" w:type="dxa"/>
        </w:tblCellMar>
        <w:tblLook w:val="04A0" w:firstRow="1" w:lastRow="0" w:firstColumn="1" w:lastColumn="0" w:noHBand="0" w:noVBand="1"/>
      </w:tblPr>
      <w:tblGrid>
        <w:gridCol w:w="1095"/>
        <w:gridCol w:w="1014"/>
        <w:gridCol w:w="606"/>
        <w:gridCol w:w="6105"/>
      </w:tblGrid>
      <w:tr>
        <w:trPr>
          <w:trHeight w:val="494"/>
        </w:trPr>
        <w:tc>
          <w:tcPr>
            <w:gridSpan w:val="2"/>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评分项目</w:t>
            </w:r>
            <w:r/>
          </w:p>
        </w:tc>
        <w:tc>
          <w:tcPr>
            <w:tcBorders>
              <w:top w:val="single" w:color="auto" w:sz="4" w:space="0"/>
              <w:left w:val="none" w:color="000000"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分值</w:t>
            </w:r>
            <w:r/>
          </w:p>
        </w:tc>
        <w:tc>
          <w:tcPr>
            <w:tcBorders>
              <w:top w:val="single" w:color="auto" w:sz="4" w:space="0"/>
              <w:left w:val="none" w:color="000000" w:sz="4" w:space="0"/>
              <w:bottom w:val="single" w:color="auto" w:sz="4" w:space="0"/>
              <w:right w:val="single" w:color="auto" w:sz="4" w:space="0"/>
            </w:tcBorders>
            <w:tcW w:w="6105"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评分说明</w:t>
            </w:r>
            <w:r/>
          </w:p>
        </w:tc>
      </w:tr>
      <w:tr>
        <w:trPr>
          <w:trHeight w:val="937"/>
        </w:trPr>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价格</w:t>
            </w:r>
            <w:r/>
          </w:p>
          <w:p>
            <w:pPr>
              <w:ind w:left="0" w:right="0" w:firstLine="0"/>
              <w:jc w:val="center"/>
              <w:keepLines/>
              <w:keepNext/>
              <w:pageBreakBefore w:val="0"/>
              <w:spacing w:before="0" w:beforeAutospacing="0" w:after="0" w:afterAutospacing="0" w:line="240" w:lineRule="auto"/>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sz w:val="24"/>
                <w:szCs w:val="24"/>
                <w:highlight w:val="none"/>
                <w:lang w:val="en-US" w:eastAsia="zh-CN"/>
              </w:rPr>
              <w:t xml:space="preserve">报价</w:t>
            </w:r>
            <w:r/>
          </w:p>
        </w:tc>
        <w:tc>
          <w:tcPr>
            <w:tcBorders>
              <w:top w:val="single" w:color="auto" w:sz="4" w:space="0"/>
              <w:left w:val="none" w:color="000000"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6105" w:type="dxa"/>
            <w:vAlign w:val="center"/>
            <w:textDirection w:val="lrTb"/>
            <w:noWrap w:val="false"/>
          </w:tcPr>
          <w:p>
            <w:pPr>
              <w:ind w:left="0" w:right="0" w:firstLine="0"/>
              <w:jc w:val="both"/>
              <w:keepLines/>
              <w:keepNext/>
              <w:pageBreakBefore w:val="0"/>
              <w:spacing w:before="0" w:beforeAutospacing="0" w:after="0" w:afterAutospacing="0" w:line="240" w:lineRule="auto"/>
              <w:rPr>
                <w:rFonts w:hint="eastAsia" w:ascii="仿宋" w:hAnsi="仿宋" w:eastAsia="仿宋" w:cs="仿宋"/>
                <w:b w:val="0"/>
                <w:bCs w:val="0"/>
                <w:color w:val="000000"/>
                <w:sz w:val="24"/>
                <w:szCs w:val="24"/>
                <w:lang w:val="en-US" w:eastAsia="zh-CN" w:bidi="ar"/>
              </w:rPr>
              <w:suppressLineNumbers w:val="0"/>
            </w:pPr>
            <w:r>
              <w:rPr>
                <w:rFonts w:hint="eastAsia" w:ascii="仿宋" w:hAnsi="仿宋" w:eastAsia="仿宋" w:cs="仿宋"/>
                <w:b w:val="0"/>
                <w:bCs w:val="0"/>
                <w:color w:val="000000"/>
                <w:sz w:val="24"/>
                <w:szCs w:val="24"/>
                <w:lang w:val="en-US" w:eastAsia="zh-CN" w:bidi="ar"/>
              </w:rPr>
              <w:t xml:space="preserve">投标报价得分=（评标基准价/投标报价）×10，小数点后保留2位。</w:t>
            </w:r>
            <w:r/>
          </w:p>
          <w:p>
            <w:pPr>
              <w:ind w:left="0" w:right="0" w:firstLine="0"/>
              <w:jc w:val="both"/>
              <w:keepLines/>
              <w:keepNext/>
              <w:pageBreakBefore w:val="0"/>
              <w:spacing w:before="0" w:beforeAutospacing="0" w:after="0" w:afterAutospacing="0" w:line="240" w:lineRule="auto"/>
              <w:rPr>
                <w:rFonts w:hint="default" w:ascii="仿宋" w:hAnsi="仿宋" w:eastAsia="仿宋" w:cs="仿宋"/>
                <w:sz w:val="24"/>
                <w:szCs w:val="24"/>
                <w:highlight w:val="none"/>
                <w:u w:val="none"/>
                <w:lang w:val="en-US" w:eastAsia="zh-CN"/>
              </w:rPr>
              <w:suppressLineNumbers w:val="0"/>
            </w:pPr>
            <w:r>
              <w:rPr>
                <w:rFonts w:hint="eastAsia" w:ascii="仿宋" w:hAnsi="仿宋" w:eastAsia="仿宋" w:cs="仿宋"/>
                <w:b/>
                <w:bCs/>
                <w:color w:val="000000"/>
                <w:sz w:val="24"/>
                <w:szCs w:val="24"/>
                <w:lang w:val="en-US" w:eastAsia="zh-CN" w:bidi="ar"/>
              </w:rPr>
              <w:t xml:space="preserve">采用低价优先法计算，即满足招标文件实质性要求且投标价格最低的投标报价为评标基准价，其价格分为满分10分。</w:t>
            </w:r>
            <w:r/>
          </w:p>
        </w:tc>
      </w:tr>
      <w:tr>
        <w:trPr>
          <w:trHeight w:val="90"/>
        </w:trPr>
        <w:tc>
          <w:tcPr>
            <w:tcBorders>
              <w:top w:val="single" w:color="auto" w:sz="4" w:space="0"/>
              <w:left w:val="single" w:color="auto" w:sz="4" w:space="0"/>
              <w:right w:val="single" w:color="auto" w:sz="4" w:space="0"/>
            </w:tcBorders>
            <w:tcW w:w="1095" w:type="dxa"/>
            <w:vAlign w:val="center"/>
            <w:vMerge w:val="restart"/>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b/>
                <w:bCs/>
                <w:sz w:val="24"/>
                <w:szCs w:val="24"/>
                <w:highlight w:val="none"/>
                <w:lang w:eastAsia="zh-CN"/>
              </w:rPr>
              <w:suppressLineNumbers w:val="0"/>
            </w:pPr>
            <w:r>
              <w:rPr>
                <w:rFonts w:hint="eastAsia" w:ascii="仿宋" w:hAnsi="仿宋" w:eastAsia="仿宋" w:cs="仿宋"/>
                <w:b/>
                <w:bCs/>
                <w:sz w:val="24"/>
                <w:szCs w:val="24"/>
                <w:highlight w:val="none"/>
                <w:lang w:eastAsia="zh-CN"/>
              </w:rPr>
              <w:t xml:space="preserve">综合服务能力</w:t>
            </w:r>
            <w:r/>
          </w:p>
          <w:p>
            <w:pPr>
              <w:ind w:left="0" w:right="0" w:firstLine="0"/>
              <w:jc w:val="left"/>
              <w:keepLines/>
              <w:keepNext/>
              <w:pageBreakBefore w:val="0"/>
              <w:spacing w:before="0" w:beforeAutospacing="0" w:after="0" w:afterAutospacing="0" w:line="240" w:lineRule="auto"/>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48分</w:t>
            </w:r>
            <w:r/>
          </w:p>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rPr>
              <w:t xml:space="preserve">综合偿付能力</w:t>
            </w:r>
            <w:r>
              <w:rPr>
                <w:rFonts w:hint="eastAsia" w:ascii="仿宋" w:hAnsi="仿宋" w:eastAsia="仿宋" w:cs="仿宋"/>
                <w:sz w:val="24"/>
                <w:szCs w:val="24"/>
                <w:highlight w:val="none"/>
                <w:lang w:eastAsia="zh-CN"/>
              </w:rPr>
              <w:t xml:space="preserve">充足率</w:t>
            </w: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6105" w:type="dxa"/>
            <w:vAlign w:val="center"/>
            <w:textDirection w:val="lrTb"/>
            <w:noWrap w:val="false"/>
          </w:tcPr>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投标人总公司2025年第4季度综合偿付能力充足率≥230%的得10分；</w:t>
            </w:r>
            <w:r/>
          </w:p>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230%＞综合偿付能力充足率≥210%的得7分；</w:t>
            </w:r>
            <w:r/>
          </w:p>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210%＞综合偿付能力充足率≥190%的得4分；</w:t>
            </w:r>
            <w:r/>
          </w:p>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190%＞综合偿付能力充足率≥170%的得1分；</w:t>
            </w:r>
            <w:r/>
          </w:p>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低于170%不得分；</w:t>
            </w:r>
            <w:r/>
          </w:p>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未提供或者未披露都不得分。</w:t>
            </w:r>
            <w:r/>
          </w:p>
          <w:p>
            <w:pPr>
              <w:ind w:left="0" w:right="0" w:firstLine="0"/>
              <w:jc w:val="left"/>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lang w:val="en-US" w:eastAsia="zh-CN" w:bidi="ar-SA"/>
              </w:rPr>
              <w:t xml:space="preserve">要求：提供投标人总公司公开披露的2025年第4季度综合偿付能力充足率报告截图或查询页面，加盖投标人公章。</w:t>
            </w:r>
            <w:r/>
          </w:p>
        </w:tc>
      </w:tr>
      <w:tr>
        <w:trPr>
          <w:trHeight w:val="1748"/>
        </w:trPr>
        <w:tc>
          <w:tcPr>
            <w:shd w:val="clear" w:color="auto" w:fill="auto"/>
            <w:tcBorders>
              <w:left w:val="single" w:color="auto" w:sz="4" w:space="0"/>
              <w:right w:val="single" w:color="auto" w:sz="4" w:space="0"/>
            </w:tcBorders>
            <w:tcW w:w="1095" w:type="dxa"/>
            <w:vAlign w:val="center"/>
            <w:vMerge w:val="continue"/>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eastAsia="zh-CN"/>
              </w:rPr>
              <w:suppressLineNumbers w:val="0"/>
            </w:pPr>
            <w:r>
              <w:rPr>
                <w:rFonts w:hint="eastAsia" w:ascii="仿宋" w:hAnsi="仿宋" w:eastAsia="仿宋" w:cs="仿宋"/>
                <w:b w:val="0"/>
                <w:bCs w:val="0"/>
                <w:sz w:val="24"/>
                <w:szCs w:val="24"/>
                <w:highlight w:val="none"/>
                <w:lang w:val="en-US" w:eastAsia="zh-CN"/>
              </w:rPr>
              <w:t xml:space="preserve">风险综合评级</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105" w:type="dxa"/>
            <w:vAlign w:val="center"/>
            <w:textDirection w:val="lrTb"/>
            <w:noWrap w:val="false"/>
          </w:tcPr>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eastAsia="zh-CN"/>
              </w:rPr>
              <w:t xml:space="preserve">投标人总公司202</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第4</w:t>
            </w:r>
            <w:r>
              <w:rPr>
                <w:rFonts w:hint="eastAsia" w:ascii="仿宋" w:hAnsi="仿宋" w:eastAsia="仿宋" w:cs="仿宋"/>
                <w:sz w:val="24"/>
                <w:szCs w:val="24"/>
                <w:highlight w:val="none"/>
                <w:lang w:eastAsia="zh-CN"/>
              </w:rPr>
              <w:t xml:space="preserve">季度风险综合评级</w:t>
            </w:r>
            <w:r>
              <w:rPr>
                <w:rFonts w:hint="eastAsia" w:ascii="仿宋" w:hAnsi="仿宋" w:eastAsia="仿宋" w:cs="仿宋"/>
                <w:i w:val="0"/>
                <w:iCs w:val="0"/>
                <w:color w:val="000000"/>
                <w:sz w:val="24"/>
                <w:szCs w:val="24"/>
                <w:u w:val="none"/>
                <w:lang w:val="en-US" w:eastAsia="zh-CN" w:bidi="ar-SA"/>
              </w:rPr>
              <w:t xml:space="preserve">A类得10分、B类得7分，B类以下得4分</w:t>
            </w:r>
            <w:r>
              <w:rPr>
                <w:rFonts w:hint="eastAsia" w:ascii="仿宋" w:hAnsi="仿宋" w:eastAsia="仿宋" w:cs="仿宋"/>
                <w:sz w:val="24"/>
                <w:szCs w:val="24"/>
              </w:rPr>
              <w:t xml:space="preserve">，</w:t>
            </w:r>
            <w:r>
              <w:rPr>
                <w:rFonts w:hint="eastAsia" w:ascii="仿宋" w:hAnsi="仿宋" w:eastAsia="仿宋" w:cs="仿宋"/>
                <w:sz w:val="24"/>
                <w:szCs w:val="24"/>
                <w:highlight w:val="none"/>
                <w:lang w:val="en-US" w:eastAsia="zh-CN" w:bidi="ar-SA"/>
              </w:rPr>
              <w:t xml:space="preserve">未提供或者未披露都不得分。</w:t>
            </w:r>
            <w:r/>
          </w:p>
          <w:p>
            <w:pPr>
              <w:ind w:left="0" w:right="0" w:firstLine="0"/>
              <w:jc w:val="left"/>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lang w:val="en-US" w:eastAsia="zh-CN" w:bidi="ar-SA"/>
              </w:rPr>
              <w:t xml:space="preserve">要求：</w:t>
            </w:r>
            <w:r>
              <w:rPr>
                <w:rFonts w:hint="eastAsia" w:ascii="仿宋" w:hAnsi="仿宋" w:eastAsia="仿宋" w:cs="仿宋"/>
                <w:b/>
                <w:bCs/>
                <w:i w:val="0"/>
                <w:iCs w:val="0"/>
                <w:color w:val="000000"/>
                <w:sz w:val="24"/>
                <w:szCs w:val="24"/>
                <w:highlight w:val="none"/>
                <w:u w:val="none"/>
                <w:lang w:val="en-US" w:eastAsia="zh-CN" w:bidi="ar"/>
              </w:rPr>
              <w:t xml:space="preserve">提供投标人总公司在中国保险行业协会网站上公开披露的2025年第4季度的风险综合评级截图或者C-ROSS国家金融监督管理总局监管信息系统截图，并加盖</w:t>
            </w:r>
            <w:r>
              <w:rPr>
                <w:rFonts w:hint="eastAsia" w:ascii="仿宋" w:hAnsi="仿宋" w:eastAsia="仿宋" w:cs="仿宋"/>
                <w:b/>
                <w:bCs/>
                <w:color w:val="auto"/>
                <w:sz w:val="24"/>
                <w:szCs w:val="24"/>
                <w:highlight w:val="none"/>
                <w:lang w:eastAsia="zh-CN"/>
              </w:rPr>
              <w:t xml:space="preserve">投标人</w:t>
            </w:r>
            <w:r>
              <w:rPr>
                <w:rFonts w:hint="eastAsia" w:ascii="仿宋" w:hAnsi="仿宋" w:eastAsia="仿宋" w:cs="仿宋"/>
                <w:b/>
                <w:bCs/>
                <w:i w:val="0"/>
                <w:iCs w:val="0"/>
                <w:color w:val="000000"/>
                <w:sz w:val="24"/>
                <w:szCs w:val="24"/>
                <w:highlight w:val="none"/>
                <w:u w:val="none"/>
                <w:lang w:val="en-US" w:eastAsia="zh-CN" w:bidi="ar"/>
              </w:rPr>
              <w:t xml:space="preserve">公章。</w:t>
            </w:r>
            <w:r/>
          </w:p>
        </w:tc>
      </w:tr>
      <w:tr>
        <w:trPr>
          <w:trHeight w:val="1129"/>
        </w:trPr>
        <w:tc>
          <w:tcPr>
            <w:shd w:val="clear" w:color="auto" w:fill="auto"/>
            <w:tcBorders>
              <w:left w:val="single" w:color="auto" w:sz="4" w:space="0"/>
              <w:right w:val="single" w:color="auto" w:sz="4" w:space="0"/>
            </w:tcBorders>
            <w:tcW w:w="1095" w:type="dxa"/>
            <w:vAlign w:val="center"/>
            <w:vMerge w:val="continue"/>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rPr>
              <w:t xml:space="preserve">便捷服务能力</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105" w:type="dxa"/>
            <w:vAlign w:val="center"/>
            <w:textDirection w:val="lrTb"/>
            <w:noWrap w:val="false"/>
          </w:tcPr>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eastAsia="zh-CN"/>
              </w:rPr>
              <w:suppressLineNumbers w:val="0"/>
            </w:pPr>
            <w:r>
              <w:rPr>
                <w:rFonts w:hint="eastAsia" w:ascii="仿宋" w:hAnsi="仿宋" w:eastAsia="仿宋" w:cs="仿宋"/>
                <w:color w:val="auto"/>
                <w:sz w:val="24"/>
                <w:szCs w:val="24"/>
                <w:highlight w:val="none"/>
                <w:lang w:val="en-US" w:eastAsia="zh-CN" w:bidi="ar-SA"/>
              </w:rPr>
              <w:t xml:space="preserve">为</w:t>
            </w:r>
            <w:r>
              <w:rPr>
                <w:rFonts w:hint="eastAsia" w:ascii="仿宋" w:hAnsi="仿宋" w:eastAsia="仿宋" w:cs="仿宋"/>
                <w:color w:val="auto"/>
                <w:sz w:val="24"/>
                <w:szCs w:val="24"/>
                <w:highlight w:val="none"/>
                <w:lang w:val="zh-CN" w:eastAsia="zh-CN" w:bidi="ar-SA"/>
              </w:rPr>
              <w:t xml:space="preserve">便于项目的落地组织实施和便民服务，</w:t>
            </w:r>
            <w:r>
              <w:rPr>
                <w:rFonts w:hint="eastAsia" w:ascii="仿宋" w:hAnsi="仿宋" w:eastAsia="仿宋" w:cs="仿宋"/>
                <w:color w:val="auto"/>
                <w:sz w:val="24"/>
                <w:szCs w:val="24"/>
                <w:highlight w:val="none"/>
                <w:lang w:val="en-US" w:eastAsia="zh-CN" w:bidi="ar-SA"/>
              </w:rPr>
              <w:t xml:space="preserve">投标人</w:t>
            </w:r>
            <w:r>
              <w:rPr>
                <w:rFonts w:hint="eastAsia" w:ascii="仿宋" w:hAnsi="仿宋" w:eastAsia="仿宋" w:cs="仿宋"/>
                <w:sz w:val="24"/>
                <w:szCs w:val="24"/>
                <w:highlight w:val="none"/>
                <w:lang w:val="en-US" w:eastAsia="zh-CN"/>
              </w:rPr>
              <w:t xml:space="preserve">具备快速</w:t>
            </w:r>
            <w:r>
              <w:rPr>
                <w:rFonts w:hint="eastAsia" w:ascii="仿宋" w:hAnsi="仿宋" w:eastAsia="仿宋" w:cs="仿宋"/>
                <w:color w:val="auto"/>
                <w:sz w:val="24"/>
                <w:szCs w:val="24"/>
                <w:highlight w:val="none"/>
                <w:lang w:val="zh-CN" w:eastAsia="zh-CN" w:bidi="ar-SA"/>
              </w:rPr>
              <w:t xml:space="preserve">响应</w:t>
            </w:r>
            <w:r>
              <w:rPr>
                <w:rFonts w:hint="eastAsia" w:ascii="仿宋" w:hAnsi="仿宋" w:eastAsia="仿宋" w:cs="仿宋"/>
                <w:color w:val="auto"/>
                <w:sz w:val="24"/>
                <w:szCs w:val="24"/>
                <w:highlight w:val="none"/>
                <w:lang w:val="en-US" w:eastAsia="zh-CN" w:bidi="ar-SA"/>
              </w:rPr>
              <w:t xml:space="preserve">的能力</w:t>
            </w:r>
            <w:r>
              <w:rPr>
                <w:rFonts w:hint="eastAsia" w:ascii="仿宋" w:hAnsi="仿宋" w:eastAsia="仿宋" w:cs="仿宋"/>
                <w:sz w:val="24"/>
                <w:szCs w:val="24"/>
                <w:highlight w:val="none"/>
                <w:lang w:eastAsia="zh-CN"/>
              </w:rPr>
              <w:t xml:space="preserve">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分；承诺派驻专职人员得2分；有24小时服务热线得1分。</w:t>
            </w:r>
            <w:r/>
          </w:p>
          <w:p>
            <w:pPr>
              <w:ind w:left="0" w:right="0" w:firstLine="0"/>
              <w:jc w:val="left"/>
              <w:keepLines/>
              <w:keepNext/>
              <w:pageBreakBefore w:val="0"/>
              <w:spacing w:before="0" w:beforeAutospacing="0" w:after="0" w:afterAutospacing="0" w:line="240" w:lineRule="auto"/>
              <w:widowControl/>
              <w:rPr>
                <w:rFonts w:hint="default"/>
                <w:lang w:val="en-US" w:eastAsia="zh-CN"/>
              </w:rPr>
              <w:suppressLineNumbers w:val="0"/>
            </w:pPr>
            <w:r>
              <w:rPr>
                <w:rFonts w:hint="eastAsia" w:ascii="仿宋" w:hAnsi="仿宋" w:eastAsia="仿宋" w:cs="仿宋"/>
                <w:b/>
                <w:bCs/>
                <w:sz w:val="24"/>
                <w:szCs w:val="24"/>
                <w:highlight w:val="none"/>
                <w:lang w:val="en-US" w:eastAsia="zh-CN" w:bidi="ar-SA"/>
              </w:rPr>
              <w:t xml:space="preserve">要求：提供相关证明材料，并加盖投标人公章。</w:t>
            </w:r>
            <w:r/>
          </w:p>
        </w:tc>
      </w:tr>
      <w:tr>
        <w:trPr>
          <w:trHeight w:val="1104"/>
        </w:trPr>
        <w:tc>
          <w:tcPr>
            <w:shd w:val="clear" w:color="auto" w:fill="auto"/>
            <w:tcBorders>
              <w:left w:val="single" w:color="auto" w:sz="4" w:space="0"/>
              <w:right w:val="single" w:color="auto" w:sz="4" w:space="0"/>
            </w:tcBorders>
            <w:tcW w:w="1095" w:type="dxa"/>
            <w:vAlign w:val="center"/>
            <w:vMerge w:val="continue"/>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类似医疗机构医疗责任保险业务承办项目服务经验</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105"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b w:val="0"/>
                <w:bCs w:val="0"/>
                <w:color w:val="000000"/>
                <w:sz w:val="24"/>
                <w:szCs w:val="24"/>
                <w:highlight w:val="none"/>
                <w:lang w:val="en-US" w:eastAsia="zh-CN"/>
              </w:rPr>
              <w:suppressLineNumbers w:val="0"/>
            </w:pPr>
            <w:r>
              <w:rPr>
                <w:rFonts w:hint="eastAsia" w:ascii="仿宋" w:hAnsi="仿宋" w:eastAsia="仿宋" w:cs="仿宋"/>
                <w:b w:val="0"/>
                <w:bCs w:val="0"/>
                <w:color w:val="000000"/>
                <w:sz w:val="24"/>
                <w:szCs w:val="24"/>
                <w:highlight w:val="none"/>
                <w:lang w:val="en-US" w:eastAsia="zh-CN"/>
              </w:rPr>
              <w:t xml:space="preserve">投标人或其分支机构独立承办过类似政府采购医疗机构责任保险项目，有服务经验得4分，没有不得分，</w:t>
            </w:r>
            <w:r/>
          </w:p>
          <w:p>
            <w:pPr>
              <w:ind w:left="0" w:right="0" w:firstLine="0"/>
              <w:jc w:val="left"/>
              <w:keepLines/>
              <w:keepNext/>
              <w:pageBreakBefore w:val="0"/>
              <w:spacing w:before="0" w:beforeAutospacing="0" w:after="0" w:afterAutospacing="0" w:line="240" w:lineRule="auto"/>
              <w:widowControl/>
              <w:rPr>
                <w:rFonts w:hint="eastAsia"/>
                <w:highlight w:val="none"/>
                <w:lang w:val="en-US" w:eastAsia="zh-CN"/>
              </w:rPr>
              <w:suppressLineNumbers w:val="0"/>
            </w:pPr>
            <w:r>
              <w:rPr>
                <w:rFonts w:hint="eastAsia" w:ascii="仿宋" w:hAnsi="仿宋" w:eastAsia="仿宋" w:cs="仿宋"/>
                <w:b/>
                <w:bCs/>
                <w:sz w:val="24"/>
                <w:szCs w:val="24"/>
                <w:highlight w:val="none"/>
                <w:lang w:val="en-US" w:eastAsia="zh-CN" w:bidi="ar-SA"/>
              </w:rPr>
              <w:t xml:space="preserve">要求：提供政府采购合同，并加盖投标人公章。</w:t>
            </w:r>
            <w:r/>
          </w:p>
        </w:tc>
      </w:tr>
      <w:tr>
        <w:trPr>
          <w:trHeight w:val="929"/>
        </w:trPr>
        <w:tc>
          <w:tcPr>
            <w:shd w:val="clear" w:color="auto" w:fill="auto"/>
            <w:tcBorders>
              <w:left w:val="single" w:color="auto" w:sz="4" w:space="0"/>
              <w:right w:val="single" w:color="auto" w:sz="4" w:space="0"/>
            </w:tcBorders>
            <w:tcW w:w="1095" w:type="dxa"/>
            <w:vAlign w:val="center"/>
            <w:vMerge w:val="continue"/>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政府采购项目服务经验</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105" w:type="dxa"/>
            <w:vAlign w:val="center"/>
            <w:textDirection w:val="lrTb"/>
            <w:noWrap w:val="false"/>
          </w:tcPr>
          <w:p>
            <w:pPr>
              <w:numPr>
                <w:ilvl w:val="0"/>
                <w:numId w:val="0"/>
              </w:numPr>
              <w:ind w:left="0" w:right="0" w:firstLine="0"/>
              <w:jc w:val="left"/>
              <w:keepLines/>
              <w:keepNext/>
              <w:pageBreakBefore w:val="0"/>
              <w:spacing w:before="0" w:beforeAutospacing="0" w:after="0" w:afterAutospacing="0" w:line="240" w:lineRule="auto"/>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sz w:val="24"/>
                <w:szCs w:val="24"/>
                <w:highlight w:val="none"/>
                <w:shd w:val="clear" w:color="auto"/>
                <w:lang w:val="en-US" w:eastAsia="zh-CN" w:bidi="ar-SA"/>
              </w:rPr>
              <w:t xml:space="preserve">2025年1月1日后以</w:t>
            </w:r>
            <w:r>
              <w:rPr>
                <w:rFonts w:hint="eastAsia" w:ascii="仿宋" w:hAnsi="仿宋" w:eastAsia="仿宋" w:cs="仿宋"/>
                <w:color w:val="auto"/>
                <w:sz w:val="24"/>
                <w:szCs w:val="24"/>
                <w:highlight w:val="none"/>
                <w:lang w:val="en-US" w:eastAsia="zh-CN"/>
              </w:rPr>
              <w:t xml:space="preserve">政府采购方式和程序中标的</w:t>
            </w:r>
            <w:r>
              <w:rPr>
                <w:rFonts w:hint="eastAsia" w:ascii="仿宋" w:hAnsi="仿宋" w:eastAsia="仿宋" w:cs="仿宋"/>
                <w:color w:val="auto"/>
                <w:sz w:val="24"/>
                <w:szCs w:val="24"/>
                <w:highlight w:val="none"/>
                <w:lang w:eastAsia="zh-CN"/>
              </w:rPr>
              <w:t xml:space="preserve">政府</w:t>
            </w:r>
            <w:r>
              <w:rPr>
                <w:rFonts w:hint="eastAsia" w:ascii="仿宋" w:hAnsi="仿宋" w:eastAsia="仿宋" w:cs="仿宋"/>
                <w:color w:val="auto"/>
                <w:sz w:val="24"/>
                <w:szCs w:val="24"/>
                <w:highlight w:val="none"/>
              </w:rPr>
              <w:t xml:space="preserve">项目服务经验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highlight w:val="none"/>
                <w:shd w:val="clear" w:color="auto"/>
                <w:lang w:val="en-US" w:eastAsia="zh-CN" w:bidi="ar-SA"/>
              </w:rPr>
              <w:t xml:space="preserve">采购公告发布时间在2025年1月1日或之后，</w:t>
            </w:r>
            <w:r>
              <w:rPr>
                <w:rFonts w:hint="eastAsia" w:ascii="仿宋" w:hAnsi="仿宋" w:eastAsia="仿宋" w:cs="仿宋"/>
                <w:color w:val="auto"/>
                <w:sz w:val="24"/>
                <w:szCs w:val="24"/>
                <w:highlight w:val="none"/>
                <w:lang w:val="en-US" w:eastAsia="zh-CN"/>
              </w:rPr>
              <w:t xml:space="preserve">不含车险、农险和医疗责任险</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000000"/>
                <w:sz w:val="24"/>
                <w:szCs w:val="24"/>
                <w:highlight w:val="none"/>
              </w:rPr>
              <w:t xml:space="preserve">独家或者</w:t>
            </w:r>
            <w:r>
              <w:rPr>
                <w:rFonts w:hint="eastAsia" w:ascii="仿宋" w:hAnsi="仿宋" w:eastAsia="仿宋" w:cs="仿宋"/>
                <w:color w:val="000000"/>
                <w:sz w:val="24"/>
                <w:szCs w:val="24"/>
                <w:highlight w:val="none"/>
                <w:lang w:val="en-US" w:eastAsia="zh-CN"/>
              </w:rPr>
              <w:t xml:space="preserve">主</w:t>
            </w:r>
            <w:r>
              <w:rPr>
                <w:rFonts w:hint="eastAsia" w:ascii="仿宋" w:hAnsi="仿宋" w:eastAsia="仿宋" w:cs="仿宋"/>
                <w:color w:val="000000"/>
                <w:sz w:val="24"/>
                <w:szCs w:val="24"/>
                <w:highlight w:val="none"/>
              </w:rPr>
              <w:t xml:space="preserve">承保</w:t>
            </w:r>
            <w:r>
              <w:rPr>
                <w:rFonts w:hint="eastAsia" w:ascii="仿宋" w:hAnsi="仿宋" w:eastAsia="仿宋" w:cs="仿宋"/>
                <w:color w:val="000000"/>
                <w:sz w:val="24"/>
                <w:szCs w:val="24"/>
                <w:highlight w:val="none"/>
                <w:lang w:val="en-US" w:eastAsia="zh-CN"/>
              </w:rPr>
              <w:t xml:space="preserve">（份额最高）有</w:t>
            </w:r>
            <w:r>
              <w:rPr>
                <w:rFonts w:hint="eastAsia" w:ascii="仿宋" w:hAnsi="仿宋" w:eastAsia="仿宋" w:cs="仿宋"/>
                <w:color w:val="auto"/>
                <w:sz w:val="24"/>
                <w:szCs w:val="24"/>
                <w:highlight w:val="none"/>
                <w:lang w:val="en-US" w:eastAsia="zh-CN"/>
              </w:rPr>
              <w:t xml:space="preserve">一个得2分，次承保（份额非最高）一个得0.5分。此项最高得10分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未提供</w:t>
            </w:r>
            <w:r>
              <w:rPr>
                <w:rFonts w:hint="eastAsia" w:ascii="仿宋" w:hAnsi="仿宋" w:eastAsia="仿宋" w:cs="仿宋"/>
                <w:color w:val="000000"/>
                <w:sz w:val="24"/>
                <w:szCs w:val="24"/>
                <w:highlight w:val="none"/>
              </w:rPr>
              <w:t xml:space="preserve">不得分。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同一投保人的同一项目不同年度服务经验只计一次，不重复得分。）</w:t>
            </w:r>
            <w:r/>
          </w:p>
          <w:p>
            <w:pPr>
              <w:ind w:left="0" w:right="0" w:firstLine="0"/>
              <w:jc w:val="left"/>
              <w:keepLines/>
              <w:keepNext/>
              <w:pageBreakBefore w:val="0"/>
              <w:spacing w:before="0" w:beforeAutospacing="0" w:after="0" w:afterAutospacing="0" w:line="240" w:lineRule="auto"/>
              <w:rPr>
                <w:rFonts w:hint="default" w:ascii="仿宋" w:hAnsi="仿宋" w:eastAsia="仿宋" w:cs="仿宋"/>
                <w:color w:val="000000"/>
                <w:sz w:val="24"/>
                <w:szCs w:val="24"/>
                <w:highlight w:val="none"/>
                <w:lang w:val="en-US" w:eastAsia="zh-CN"/>
              </w:rPr>
              <w:suppressLineNumbers w:val="0"/>
            </w:pPr>
            <w:r>
              <w:rPr>
                <w:rFonts w:hint="eastAsia" w:ascii="仿宋" w:hAnsi="仿宋" w:eastAsia="仿宋" w:cs="仿宋"/>
                <w:b/>
                <w:bCs/>
                <w:color w:val="000000"/>
                <w:sz w:val="24"/>
                <w:szCs w:val="24"/>
                <w:highlight w:val="none"/>
                <w:lang w:val="en-US" w:eastAsia="zh-CN"/>
              </w:rPr>
              <w:t xml:space="preserve">要求：</w:t>
            </w:r>
            <w:r>
              <w:rPr>
                <w:rFonts w:hint="eastAsia" w:ascii="仿宋" w:hAnsi="仿宋" w:eastAsia="仿宋" w:cs="仿宋"/>
                <w:b/>
                <w:bCs/>
                <w:color w:val="auto"/>
                <w:sz w:val="24"/>
                <w:szCs w:val="24"/>
                <w:highlight w:val="none"/>
              </w:rPr>
              <w:t xml:space="preserve">提供</w:t>
            </w:r>
            <w:r>
              <w:rPr>
                <w:rFonts w:hint="eastAsia" w:ascii="仿宋" w:hAnsi="仿宋" w:eastAsia="仿宋" w:cs="仿宋"/>
                <w:b/>
                <w:bCs/>
                <w:color w:val="auto"/>
                <w:sz w:val="24"/>
                <w:szCs w:val="24"/>
                <w:highlight w:val="none"/>
                <w:lang w:val="en-US" w:eastAsia="zh-CN"/>
              </w:rPr>
              <w:t xml:space="preserve">政府采购网采购公告截图</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中标公告或政府采购合同，中标人信息需与投标人身份一致，并</w:t>
            </w:r>
            <w:r>
              <w:rPr>
                <w:rFonts w:hint="eastAsia" w:ascii="仿宋" w:hAnsi="仿宋" w:eastAsia="仿宋" w:cs="仿宋"/>
                <w:b/>
                <w:bCs/>
                <w:color w:val="auto"/>
                <w:sz w:val="24"/>
                <w:szCs w:val="24"/>
                <w:highlight w:val="none"/>
              </w:rPr>
              <w:t xml:space="preserve">加盖</w:t>
            </w:r>
            <w:r>
              <w:rPr>
                <w:rFonts w:hint="eastAsia" w:ascii="仿宋" w:hAnsi="仿宋" w:eastAsia="仿宋" w:cs="仿宋"/>
                <w:b/>
                <w:bCs/>
                <w:color w:val="auto"/>
                <w:sz w:val="24"/>
                <w:szCs w:val="24"/>
                <w:highlight w:val="none"/>
                <w:lang w:eastAsia="zh-CN"/>
              </w:rPr>
              <w:t xml:space="preserve">投标人</w:t>
            </w:r>
            <w:r>
              <w:rPr>
                <w:rFonts w:hint="eastAsia" w:ascii="仿宋" w:hAnsi="仿宋" w:eastAsia="仿宋" w:cs="仿宋"/>
                <w:b/>
                <w:bCs/>
                <w:color w:val="auto"/>
                <w:sz w:val="24"/>
                <w:szCs w:val="24"/>
                <w:highlight w:val="none"/>
              </w:rPr>
              <w:t xml:space="preserve">公章，</w:t>
            </w:r>
            <w:r>
              <w:rPr>
                <w:rFonts w:hint="eastAsia" w:ascii="仿宋" w:hAnsi="仿宋" w:eastAsia="仿宋" w:cs="仿宋"/>
                <w:b/>
                <w:bCs/>
                <w:color w:val="auto"/>
                <w:sz w:val="24"/>
                <w:szCs w:val="24"/>
                <w:highlight w:val="none"/>
                <w:lang w:val="en-US" w:eastAsia="zh-CN"/>
              </w:rPr>
              <w:t xml:space="preserve">未按上述要求提供的</w:t>
            </w:r>
            <w:r>
              <w:rPr>
                <w:rFonts w:hint="eastAsia" w:ascii="仿宋" w:hAnsi="仿宋" w:eastAsia="仿宋" w:cs="仿宋"/>
                <w:b/>
                <w:bCs/>
                <w:color w:val="auto"/>
                <w:sz w:val="24"/>
                <w:szCs w:val="24"/>
                <w:highlight w:val="none"/>
              </w:rPr>
              <w:t xml:space="preserve">不得分。</w:t>
            </w:r>
            <w:r/>
          </w:p>
        </w:tc>
      </w:tr>
      <w:tr>
        <w:trPr>
          <w:trHeight w:val="2405"/>
        </w:trPr>
        <w:tc>
          <w:tcPr>
            <w:tcBorders>
              <w:left w:val="single" w:color="auto" w:sz="4" w:space="0"/>
              <w:bottom w:val="single" w:color="auto" w:sz="4" w:space="0"/>
              <w:right w:val="single" w:color="auto" w:sz="4" w:space="0"/>
            </w:tcBorders>
            <w:tcW w:w="1095" w:type="dxa"/>
            <w:vAlign w:val="center"/>
            <w:vMerge w:val="continue"/>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服务团队配备</w:t>
            </w: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6105"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宋体"/>
                <w:sz w:val="24"/>
              </w:rPr>
              <w:suppressLineNumbers w:val="0"/>
            </w:pPr>
            <w:r>
              <w:rPr>
                <w:rFonts w:hint="eastAsia" w:ascii="仿宋" w:hAnsi="仿宋" w:eastAsia="仿宋" w:cs="宋体"/>
                <w:sz w:val="24"/>
                <w:lang w:val="en-US" w:eastAsia="zh-CN"/>
              </w:rPr>
              <w:t xml:space="preserve">根据投标人</w:t>
            </w:r>
            <w:r>
              <w:rPr>
                <w:rFonts w:hint="eastAsia" w:ascii="仿宋" w:hAnsi="仿宋" w:eastAsia="仿宋" w:cs="宋体"/>
                <w:sz w:val="24"/>
              </w:rPr>
              <w:t xml:space="preserve">针对本项目提供的团队人员配备情况进行评分。人员配备数量充足、岗位职责明确、岗位设置有针对性的得</w:t>
            </w:r>
            <w:r>
              <w:rPr>
                <w:rFonts w:hint="eastAsia" w:ascii="仿宋" w:hAnsi="仿宋" w:eastAsia="仿宋" w:cs="宋体"/>
                <w:sz w:val="24"/>
                <w:lang w:val="en-US" w:eastAsia="zh-CN"/>
              </w:rPr>
              <w:t xml:space="preserve">9</w:t>
            </w:r>
            <w:r>
              <w:rPr>
                <w:rFonts w:hint="eastAsia" w:ascii="仿宋" w:hAnsi="仿宋" w:eastAsia="仿宋" w:cs="宋体"/>
                <w:sz w:val="24"/>
              </w:rPr>
              <w:t xml:space="preserve">分；</w:t>
            </w:r>
            <w:r/>
          </w:p>
          <w:p>
            <w:pPr>
              <w:ind w:left="0" w:right="0" w:firstLine="0"/>
              <w:jc w:val="left"/>
              <w:keepLines/>
              <w:keepNext/>
              <w:pageBreakBefore w:val="0"/>
              <w:spacing w:before="0" w:beforeAutospacing="0" w:after="0" w:afterAutospacing="0" w:line="240" w:lineRule="auto"/>
              <w:rPr>
                <w:rFonts w:hint="eastAsia" w:ascii="仿宋" w:hAnsi="仿宋" w:eastAsia="仿宋" w:cs="宋体"/>
                <w:sz w:val="24"/>
              </w:rPr>
              <w:suppressLineNumbers w:val="0"/>
            </w:pPr>
            <w:r>
              <w:rPr>
                <w:rFonts w:hint="eastAsia" w:ascii="仿宋" w:hAnsi="仿宋" w:eastAsia="仿宋" w:cs="宋体"/>
                <w:sz w:val="24"/>
              </w:rPr>
              <w:t xml:space="preserve">人员配备数量基本满足项目需求、岗位分配没有针对性的得</w:t>
            </w:r>
            <w:r>
              <w:rPr>
                <w:rFonts w:hint="eastAsia" w:ascii="仿宋" w:hAnsi="仿宋" w:eastAsia="仿宋" w:cs="宋体"/>
                <w:sz w:val="24"/>
                <w:lang w:val="en-US" w:eastAsia="zh-CN"/>
              </w:rPr>
              <w:t xml:space="preserve">6</w:t>
            </w:r>
            <w:r>
              <w:rPr>
                <w:rFonts w:hint="eastAsia" w:ascii="仿宋" w:hAnsi="仿宋" w:eastAsia="仿宋" w:cs="宋体"/>
                <w:sz w:val="24"/>
              </w:rPr>
              <w:t xml:space="preserve">分；</w:t>
            </w:r>
            <w:r/>
          </w:p>
          <w:p>
            <w:pPr>
              <w:ind w:left="0" w:right="0" w:firstLine="0"/>
              <w:jc w:val="left"/>
              <w:keepLines/>
              <w:keepNext/>
              <w:pageBreakBefore w:val="0"/>
              <w:spacing w:before="0" w:beforeAutospacing="0" w:after="0" w:afterAutospacing="0" w:line="240" w:lineRule="auto"/>
              <w:rPr>
                <w:rFonts w:hint="eastAsia" w:ascii="仿宋" w:hAnsi="仿宋" w:eastAsia="仿宋" w:cs="宋体"/>
                <w:color w:val="000000"/>
                <w:sz w:val="24"/>
              </w:rPr>
              <w:suppressLineNumbers w:val="0"/>
            </w:pPr>
            <w:r>
              <w:rPr>
                <w:rFonts w:hint="eastAsia" w:ascii="仿宋" w:hAnsi="仿宋" w:eastAsia="仿宋" w:cs="宋体"/>
                <w:sz w:val="24"/>
              </w:rPr>
              <w:t xml:space="preserve">人员配备不足、岗位</w:t>
            </w:r>
            <w:r>
              <w:rPr>
                <w:rFonts w:hint="eastAsia" w:ascii="仿宋" w:hAnsi="仿宋" w:eastAsia="仿宋" w:cs="宋体"/>
                <w:sz w:val="24"/>
                <w:lang w:val="en-US" w:eastAsia="zh-CN"/>
              </w:rPr>
              <w:t xml:space="preserve">责任不清晰</w:t>
            </w:r>
            <w:r>
              <w:rPr>
                <w:rFonts w:hint="eastAsia" w:ascii="仿宋" w:hAnsi="仿宋" w:eastAsia="仿宋" w:cs="宋体"/>
                <w:sz w:val="24"/>
              </w:rPr>
              <w:t xml:space="preserve">，</w:t>
            </w:r>
            <w:r>
              <w:rPr>
                <w:rFonts w:hint="eastAsia" w:ascii="仿宋" w:hAnsi="仿宋" w:eastAsia="仿宋" w:cs="宋体"/>
                <w:sz w:val="24"/>
                <w:lang w:val="en-US" w:eastAsia="zh-CN"/>
              </w:rPr>
              <w:t xml:space="preserve">难以</w:t>
            </w:r>
            <w:r>
              <w:rPr>
                <w:rFonts w:hint="eastAsia" w:ascii="仿宋" w:hAnsi="仿宋" w:eastAsia="仿宋" w:cs="宋体"/>
                <w:sz w:val="24"/>
              </w:rPr>
              <w:t xml:space="preserve">满足项目需求的得</w:t>
            </w:r>
            <w:r>
              <w:rPr>
                <w:rFonts w:hint="eastAsia" w:ascii="仿宋" w:hAnsi="仿宋" w:eastAsia="仿宋" w:cs="宋体"/>
                <w:sz w:val="24"/>
                <w:lang w:val="en-US" w:eastAsia="zh-CN"/>
              </w:rPr>
              <w:t xml:space="preserve">3</w:t>
            </w:r>
            <w:r>
              <w:rPr>
                <w:rFonts w:hint="eastAsia" w:ascii="仿宋" w:hAnsi="仿宋" w:eastAsia="仿宋" w:cs="宋体"/>
                <w:sz w:val="24"/>
              </w:rPr>
              <w:t xml:space="preserve">分；</w:t>
            </w:r>
            <w:r>
              <w:rPr>
                <w:rFonts w:hint="eastAsia" w:ascii="仿宋" w:hAnsi="仿宋" w:eastAsia="仿宋" w:cs="宋体"/>
                <w:color w:val="000000"/>
                <w:sz w:val="24"/>
              </w:rPr>
              <w:t xml:space="preserve">未提供不得分。</w:t>
            </w:r>
            <w:r/>
          </w:p>
          <w:p>
            <w:pPr>
              <w:ind w:left="0" w:right="0" w:firstLine="0"/>
              <w:jc w:val="left"/>
              <w:keepLines/>
              <w:keepNext/>
              <w:pageBreakBefore w:val="0"/>
              <w:spacing w:before="0" w:beforeAutospacing="0" w:after="0" w:afterAutospacing="0" w:line="240" w:lineRule="auto"/>
              <w:rPr>
                <w:rFonts w:hint="eastAsia" w:ascii="仿宋" w:hAnsi="仿宋" w:eastAsia="仿宋" w:cs="仿宋"/>
                <w:b/>
                <w:bCs/>
                <w:sz w:val="24"/>
                <w:szCs w:val="24"/>
                <w:highlight w:val="none"/>
                <w:lang w:val="en-US" w:eastAsia="zh-CN" w:bidi="ar-SA"/>
              </w:rPr>
              <w:suppressLineNumbers w:val="0"/>
            </w:pPr>
            <w:r>
              <w:rPr>
                <w:rFonts w:hint="eastAsia" w:ascii="仿宋" w:hAnsi="仿宋" w:eastAsia="仿宋" w:cs="宋体"/>
                <w:b/>
                <w:bCs/>
                <w:color w:val="000000"/>
                <w:sz w:val="24"/>
                <w:highlight w:val="none"/>
                <w:lang w:val="en-US" w:eastAsia="zh-CN"/>
              </w:rPr>
              <w:t xml:space="preserve">要求：</w:t>
            </w:r>
            <w:r>
              <w:rPr>
                <w:rFonts w:hint="eastAsia" w:ascii="仿宋" w:hAnsi="仿宋" w:eastAsia="仿宋" w:cs="仿宋"/>
                <w:b/>
                <w:bCs/>
                <w:sz w:val="24"/>
                <w:szCs w:val="24"/>
                <w:highlight w:val="none"/>
                <w:lang w:val="en-US" w:eastAsia="zh-CN" w:bidi="ar-SA"/>
              </w:rPr>
              <w:t xml:space="preserve">提供人员信息清单及岗位信息等证明材料，并加盖投标人公章。</w:t>
            </w:r>
            <w:r/>
          </w:p>
        </w:tc>
      </w:tr>
      <w:tr>
        <w:trPr>
          <w:trHeight w:val="833"/>
        </w:trPr>
        <w:tc>
          <w:tcPr>
            <w:tcBorders>
              <w:top w:val="single" w:color="auto" w:sz="4" w:space="0"/>
              <w:left w:val="single" w:color="auto" w:sz="4" w:space="0"/>
              <w:right w:val="single" w:color="auto" w:sz="4" w:space="0"/>
            </w:tcBorders>
            <w:tcW w:w="1095" w:type="dxa"/>
            <w:vAlign w:val="center"/>
            <w:vMerge w:val="restart"/>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服务方案42分</w:t>
            </w:r>
            <w:r/>
          </w:p>
        </w:tc>
        <w:tc>
          <w:tcPr>
            <w:tcBorders>
              <w:top w:val="single" w:color="auto" w:sz="4" w:space="0"/>
              <w:left w:val="none" w:color="000000" w:sz="4" w:space="0"/>
              <w:bottom w:val="single" w:color="auto" w:sz="4" w:space="0"/>
              <w:right w:val="single" w:color="auto" w:sz="4" w:space="0"/>
            </w:tcBorders>
            <w:tcW w:w="1014"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rPr>
              <w:suppressLineNumbers w:val="0"/>
            </w:pPr>
            <w:r>
              <w:rPr>
                <w:rFonts w:hint="eastAsia" w:ascii="仿宋" w:hAnsi="仿宋" w:eastAsia="仿宋" w:cs="仿宋"/>
                <w:color w:val="auto"/>
                <w:sz w:val="24"/>
                <w:szCs w:val="24"/>
                <w:highlight w:val="none"/>
                <w:lang w:val="zh-CN" w:eastAsia="zh-CN" w:bidi="ar-SA"/>
              </w:rPr>
              <w:t xml:space="preserve">承保服务方案</w:t>
            </w:r>
            <w:r/>
          </w:p>
        </w:tc>
        <w:tc>
          <w:tcPr>
            <w:tcBorders>
              <w:top w:val="single" w:color="auto" w:sz="4" w:space="0"/>
              <w:left w:val="none" w:color="000000"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6105" w:type="dxa"/>
            <w:vAlign w:val="center"/>
            <w:textDirection w:val="lrTb"/>
            <w:noWrap w:val="false"/>
          </w:tcPr>
          <w:p>
            <w:pPr>
              <w:numPr>
                <w:ilvl w:val="0"/>
                <w:numId w:val="0"/>
              </w:num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zh-CN" w:eastAsia="zh-CN"/>
              </w:rPr>
              <w:suppressLineNumbers w:val="0"/>
            </w:pPr>
            <w:r>
              <w:rPr>
                <w:rFonts w:hint="eastAsia" w:ascii="仿宋" w:hAnsi="仿宋" w:eastAsia="仿宋" w:cs="仿宋"/>
                <w:sz w:val="24"/>
                <w:szCs w:val="24"/>
                <w:highlight w:val="none"/>
                <w:lang w:val="zh-CN" w:eastAsia="zh-CN"/>
              </w:rPr>
              <w:t xml:space="preserve">方案中有明确承诺健全承保制度、组织架构、误差考核、客服受理、出单审验、承保时限的得6分，缺1项扣1分。</w:t>
            </w:r>
            <w:r/>
          </w:p>
          <w:p>
            <w:pPr>
              <w:ind w:left="0" w:right="0"/>
              <w:keepLines w:val="0"/>
              <w:keepNext w:val="0"/>
              <w:spacing w:before="0" w:beforeAutospacing="0" w:after="0" w:afterAutospacing="0" w:line="240" w:lineRule="auto"/>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要求：</w:t>
            </w:r>
            <w:r>
              <w:rPr>
                <w:rFonts w:hint="eastAsia" w:ascii="仿宋" w:hAnsi="仿宋" w:eastAsia="仿宋" w:cs="仿宋"/>
                <w:b/>
                <w:bCs w:val="0"/>
                <w:sz w:val="24"/>
                <w:szCs w:val="24"/>
                <w:highlight w:val="none"/>
                <w:lang w:val="en-US" w:eastAsia="zh-CN" w:bidi="ar-SA"/>
              </w:rPr>
              <w:t xml:space="preserve">需提供承诺函，</w:t>
            </w:r>
            <w:r>
              <w:rPr>
                <w:rFonts w:hint="eastAsia" w:ascii="仿宋" w:hAnsi="仿宋" w:eastAsia="仿宋" w:cs="仿宋"/>
                <w:b/>
                <w:bCs w:val="0"/>
                <w:sz w:val="24"/>
                <w:szCs w:val="24"/>
                <w:highlight w:val="none"/>
                <w:lang w:val="en-US" w:eastAsia="zh-CN"/>
              </w:rPr>
              <w:t xml:space="preserve">格式自拟，</w:t>
            </w:r>
            <w:r>
              <w:rPr>
                <w:rFonts w:hint="eastAsia" w:ascii="仿宋" w:hAnsi="仿宋" w:eastAsia="仿宋" w:cs="仿宋"/>
                <w:b/>
                <w:bCs w:val="0"/>
                <w:sz w:val="24"/>
                <w:szCs w:val="24"/>
                <w:highlight w:val="none"/>
                <w:lang w:val="en-US" w:eastAsia="zh-CN" w:bidi="ar-SA"/>
              </w:rPr>
              <w:t xml:space="preserve">并</w:t>
            </w:r>
            <w:r>
              <w:rPr>
                <w:rFonts w:hint="eastAsia" w:ascii="仿宋" w:hAnsi="仿宋" w:eastAsia="仿宋" w:cs="仿宋"/>
                <w:b/>
                <w:bCs w:val="0"/>
                <w:sz w:val="24"/>
                <w:szCs w:val="24"/>
                <w:highlight w:val="none"/>
                <w:lang w:val="en-US" w:eastAsia="zh-CN"/>
              </w:rPr>
              <w:t xml:space="preserve">加盖投标人公章。</w:t>
            </w:r>
            <w:r/>
          </w:p>
        </w:tc>
      </w:tr>
      <w:tr>
        <w:trPr>
          <w:trHeight w:val="1221"/>
        </w:trPr>
        <w:tc>
          <w:tcPr>
            <w:shd w:val="clear" w:color="auto" w:fill="auto"/>
            <w:tcBorders>
              <w:left w:val="single" w:color="auto" w:sz="4" w:space="0"/>
              <w:right w:val="single" w:color="auto" w:sz="4" w:space="0"/>
            </w:tcBorders>
            <w:tcW w:w="1095" w:type="dxa"/>
            <w:vAlign w:val="center"/>
            <w:vMerge w:val="continue"/>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1014"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理赔服务方案</w:t>
            </w:r>
            <w:r/>
          </w:p>
        </w:tc>
        <w:tc>
          <w:tcPr>
            <w:shd w:val="clear" w:color="auto" w:fill="auto"/>
            <w:tcBorders>
              <w:top w:val="single" w:color="auto" w:sz="4" w:space="0"/>
              <w:left w:val="none" w:color="000000"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6105" w:type="dxa"/>
            <w:vAlign w:val="center"/>
            <w:textDirection w:val="lrTb"/>
            <w:noWrap w:val="false"/>
          </w:tcPr>
          <w:p>
            <w:pPr>
              <w:numPr>
                <w:ilvl w:val="0"/>
                <w:numId w:val="0"/>
              </w:num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投标人针对本项目提出理赔服务方案，方案中包含但不限于理赔完整流程、预赔付方案、绿色理赔通道、理赔质量保证保障措施、理赔管理制度，有1项得2分，满分10分，未提供不得分。</w:t>
            </w:r>
            <w:r/>
          </w:p>
          <w:p>
            <w:pPr>
              <w:numPr>
                <w:ilvl w:val="0"/>
                <w:numId w:val="0"/>
              </w:num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lang w:val="en-US" w:eastAsia="zh-CN"/>
              </w:rPr>
              <w:t xml:space="preserve">要求：需提供方案，格式自拟，</w:t>
            </w:r>
            <w:r>
              <w:rPr>
                <w:rFonts w:hint="eastAsia" w:ascii="仿宋" w:hAnsi="仿宋" w:eastAsia="仿宋" w:cs="仿宋"/>
                <w:b/>
                <w:bCs/>
                <w:sz w:val="24"/>
                <w:szCs w:val="24"/>
                <w:highlight w:val="none"/>
                <w:lang w:val="en-US" w:eastAsia="zh-CN" w:bidi="ar-SA"/>
              </w:rPr>
              <w:t xml:space="preserve">并</w:t>
            </w:r>
            <w:r>
              <w:rPr>
                <w:rFonts w:hint="eastAsia" w:ascii="仿宋" w:hAnsi="仿宋" w:eastAsia="仿宋" w:cs="仿宋"/>
                <w:b/>
                <w:bCs/>
                <w:sz w:val="24"/>
                <w:szCs w:val="24"/>
                <w:highlight w:val="none"/>
                <w:lang w:val="en-US" w:eastAsia="zh-CN"/>
              </w:rPr>
              <w:t xml:space="preserve">加盖投标人公章。</w:t>
            </w:r>
            <w:r/>
          </w:p>
        </w:tc>
      </w:tr>
      <w:tr>
        <w:trPr>
          <w:trHeight w:val="1221"/>
        </w:trPr>
        <w:tc>
          <w:tcPr>
            <w:shd w:val="clear" w:color="auto" w:fill="auto"/>
            <w:tcBorders>
              <w:left w:val="single" w:color="auto" w:sz="4" w:space="0"/>
              <w:right w:val="single" w:color="auto" w:sz="4" w:space="0"/>
            </w:tcBorders>
            <w:tcW w:w="1095" w:type="dxa"/>
            <w:vAlign w:val="center"/>
            <w:vMerge w:val="continue"/>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1014"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宋体"/>
                <w:color w:val="000000"/>
                <w:sz w:val="24"/>
                <w:szCs w:val="24"/>
                <w:lang w:val="en-US" w:eastAsia="zh-CN" w:bidi="ar-SA"/>
              </w:rPr>
              <w:suppressLineNumbers w:val="0"/>
            </w:pPr>
            <w:r>
              <w:rPr>
                <w:rFonts w:hint="eastAsia" w:ascii="仿宋" w:hAnsi="仿宋" w:eastAsia="仿宋" w:cs="宋体"/>
                <w:color w:val="000000"/>
                <w:sz w:val="24"/>
                <w:lang w:val="en-US" w:eastAsia="zh-CN"/>
              </w:rPr>
              <w:t xml:space="preserve">业务管理制度</w:t>
            </w:r>
            <w:r/>
          </w:p>
        </w:tc>
        <w:tc>
          <w:tcPr>
            <w:shd w:val="clear" w:color="auto" w:fill="auto"/>
            <w:tcBorders>
              <w:top w:val="single" w:color="auto" w:sz="4" w:space="0"/>
              <w:left w:val="none" w:color="000000"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610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lang w:val="en-US" w:eastAsia="zh-CN"/>
              </w:rPr>
              <w:t xml:space="preserve">投标人提供</w:t>
            </w:r>
            <w:r>
              <w:rPr>
                <w:rFonts w:hint="eastAsia" w:ascii="仿宋" w:hAnsi="仿宋" w:eastAsia="仿宋" w:cs="仿宋"/>
                <w:sz w:val="24"/>
                <w:szCs w:val="24"/>
                <w:highlight w:val="none"/>
                <w:lang w:eastAsia="zh-CN"/>
              </w:rPr>
              <w:t xml:space="preserve">健全的</w:t>
            </w:r>
            <w:r>
              <w:rPr>
                <w:rFonts w:hint="eastAsia" w:ascii="仿宋" w:hAnsi="仿宋" w:eastAsia="仿宋" w:cs="仿宋"/>
                <w:b w:val="0"/>
                <w:bCs w:val="0"/>
                <w:sz w:val="24"/>
                <w:szCs w:val="24"/>
                <w:highlight w:val="none"/>
              </w:rPr>
              <w:t xml:space="preserve">业务管理</w:t>
            </w:r>
            <w:r>
              <w:rPr>
                <w:rFonts w:hint="eastAsia" w:ascii="仿宋" w:hAnsi="仿宋" w:eastAsia="仿宋" w:cs="仿宋"/>
                <w:b w:val="0"/>
                <w:bCs w:val="0"/>
                <w:sz w:val="24"/>
                <w:szCs w:val="24"/>
                <w:highlight w:val="none"/>
                <w:lang w:val="en-US" w:eastAsia="zh-CN"/>
              </w:rPr>
              <w:t xml:space="preserve">制度</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报表管理</w:t>
            </w:r>
            <w:r>
              <w:rPr>
                <w:rFonts w:hint="eastAsia" w:ascii="仿宋" w:hAnsi="仿宋" w:eastAsia="仿宋" w:cs="仿宋"/>
                <w:b w:val="0"/>
                <w:bCs w:val="0"/>
                <w:sz w:val="24"/>
                <w:szCs w:val="24"/>
                <w:highlight w:val="none"/>
                <w:lang w:val="en-US" w:eastAsia="zh-CN"/>
              </w:rPr>
              <w:t xml:space="preserve">制度、</w:t>
            </w:r>
            <w:r>
              <w:rPr>
                <w:rFonts w:hint="eastAsia" w:ascii="仿宋" w:hAnsi="仿宋" w:eastAsia="仿宋" w:cs="仿宋"/>
                <w:b w:val="0"/>
                <w:bCs w:val="0"/>
                <w:sz w:val="24"/>
                <w:szCs w:val="24"/>
                <w:highlight w:val="none"/>
                <w:lang w:eastAsia="zh-CN"/>
              </w:rPr>
              <w:t xml:space="preserve">合规管理</w:t>
            </w:r>
            <w:r>
              <w:rPr>
                <w:rFonts w:hint="eastAsia" w:ascii="仿宋" w:hAnsi="仿宋" w:eastAsia="仿宋" w:cs="仿宋"/>
                <w:sz w:val="24"/>
                <w:szCs w:val="24"/>
                <w:highlight w:val="none"/>
                <w:lang w:eastAsia="zh-CN"/>
              </w:rPr>
              <w:t xml:space="preserve">制度。</w:t>
            </w:r>
            <w:r>
              <w:rPr>
                <w:rFonts w:hint="eastAsia" w:ascii="仿宋" w:hAnsi="仿宋" w:eastAsia="仿宋" w:cs="仿宋"/>
                <w:sz w:val="24"/>
                <w:szCs w:val="24"/>
                <w:highlight w:val="none"/>
                <w:lang w:val="en-US" w:eastAsia="zh-CN"/>
              </w:rPr>
              <w:t xml:space="preserve">有1项得3</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满分</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未提供不得分</w:t>
            </w:r>
            <w:r>
              <w:rPr>
                <w:rFonts w:hint="eastAsia" w:ascii="仿宋" w:hAnsi="仿宋" w:eastAsia="仿宋" w:cs="仿宋"/>
                <w:sz w:val="24"/>
                <w:szCs w:val="24"/>
                <w:highlight w:val="none"/>
                <w:lang w:eastAsia="zh-CN"/>
              </w:rPr>
              <w:t xml:space="preserve">。</w:t>
            </w:r>
            <w:r/>
          </w:p>
          <w:p>
            <w:pPr>
              <w:numPr>
                <w:ilvl w:val="0"/>
                <w:numId w:val="0"/>
              </w:numPr>
              <w:ind w:left="0" w:right="0" w:firstLine="0"/>
              <w:jc w:val="left"/>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b/>
                <w:bCs/>
                <w:color w:val="000000"/>
                <w:sz w:val="24"/>
                <w:szCs w:val="24"/>
                <w:highlight w:val="none"/>
                <w:lang w:val="en-US" w:eastAsia="zh-CN"/>
              </w:rPr>
              <w:t xml:space="preserve">要求：提供相关管理制度</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并</w:t>
            </w:r>
            <w:r>
              <w:rPr>
                <w:rFonts w:hint="eastAsia" w:ascii="仿宋" w:hAnsi="仿宋" w:eastAsia="仿宋" w:cs="仿宋"/>
                <w:b/>
                <w:bCs/>
                <w:color w:val="000000"/>
                <w:sz w:val="24"/>
                <w:szCs w:val="24"/>
                <w:highlight w:val="none"/>
                <w:lang w:val="en-US" w:eastAsia="zh-CN"/>
              </w:rPr>
              <w:t xml:space="preserve">加盖投标人公章</w:t>
            </w:r>
            <w:r>
              <w:rPr>
                <w:rFonts w:hint="eastAsia" w:ascii="仿宋" w:hAnsi="仿宋" w:eastAsia="仿宋" w:cs="仿宋"/>
                <w:b/>
                <w:bCs/>
                <w:sz w:val="24"/>
                <w:szCs w:val="24"/>
                <w:highlight w:val="none"/>
              </w:rPr>
              <w:t xml:space="preserve">。</w:t>
            </w:r>
            <w:r/>
          </w:p>
        </w:tc>
      </w:tr>
      <w:tr>
        <w:trPr>
          <w:trHeight w:val="1221"/>
        </w:trPr>
        <w:tc>
          <w:tcPr>
            <w:shd w:val="clear" w:color="auto" w:fill="auto"/>
            <w:tcBorders>
              <w:left w:val="single" w:color="auto" w:sz="4" w:space="0"/>
              <w:right w:val="single" w:color="auto" w:sz="4" w:space="0"/>
            </w:tcBorders>
            <w:tcW w:w="1095" w:type="dxa"/>
            <w:vAlign w:val="center"/>
            <w:vMerge w:val="continue"/>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1014"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t xml:space="preserve">培训及宣传方案</w:t>
            </w:r>
            <w:r/>
          </w:p>
        </w:tc>
        <w:tc>
          <w:tcPr>
            <w:shd w:val="clear" w:color="auto" w:fill="auto"/>
            <w:tcBorders>
              <w:top w:val="single" w:color="auto" w:sz="4" w:space="0"/>
              <w:left w:val="none" w:color="000000"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6105"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default"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t xml:space="preserve">投标人提供针对医疗机构、医务人员、患者的保险知识培训及社会宣传计划，协助医院做好有关宣传工作。上述内容完整、具体、可行的、形式多样得5分；有培训计划和宣传方案但频次或渠道不够具体（如仅写“定期培训”）的，得3分；无具体计划，仅简单承诺“做好培训宣传”的，得1分；未提供不得分。</w:t>
            </w:r>
            <w:r/>
          </w:p>
          <w:p>
            <w:pPr>
              <w:pStyle w:val="912"/>
              <w:ind w:left="0" w:right="0" w:firstLine="0"/>
              <w:keepLines w:val="0"/>
              <w:keepNext w:val="0"/>
              <w:spacing w:before="0" w:beforeAutospacing="0" w:afterAutospacing="0"/>
              <w:rPr>
                <w:rFonts w:hint="default"/>
                <w:lang w:val="en-US" w:eastAsia="zh-CN"/>
              </w:rPr>
              <w:suppressLineNumbers w:val="0"/>
            </w:pPr>
            <w:r>
              <w:rPr>
                <w:rFonts w:hint="eastAsia" w:ascii="仿宋" w:hAnsi="仿宋" w:eastAsia="仿宋" w:cs="仿宋"/>
                <w:b/>
                <w:bCs/>
                <w:sz w:val="24"/>
                <w:szCs w:val="24"/>
                <w:highlight w:val="none"/>
                <w:lang w:val="en-US" w:eastAsia="zh-CN"/>
              </w:rPr>
              <w:t xml:space="preserve">要求：需提供计划，格式自拟，</w:t>
            </w:r>
            <w:r>
              <w:rPr>
                <w:rFonts w:hint="eastAsia" w:ascii="仿宋" w:hAnsi="仿宋" w:eastAsia="仿宋" w:cs="仿宋"/>
                <w:b/>
                <w:bCs/>
                <w:sz w:val="24"/>
                <w:szCs w:val="24"/>
                <w:highlight w:val="none"/>
                <w:lang w:val="en-US" w:eastAsia="zh-CN" w:bidi="ar-SA"/>
              </w:rPr>
              <w:t xml:space="preserve">并</w:t>
            </w:r>
            <w:r>
              <w:rPr>
                <w:rFonts w:hint="eastAsia" w:ascii="仿宋" w:hAnsi="仿宋" w:eastAsia="仿宋" w:cs="仿宋"/>
                <w:b/>
                <w:bCs/>
                <w:sz w:val="24"/>
                <w:szCs w:val="24"/>
                <w:highlight w:val="none"/>
                <w:lang w:val="en-US" w:eastAsia="zh-CN"/>
              </w:rPr>
              <w:t xml:space="preserve">加盖投标人公章。</w:t>
            </w:r>
            <w:r/>
          </w:p>
        </w:tc>
      </w:tr>
      <w:tr>
        <w:trPr>
          <w:trHeight w:val="976"/>
        </w:trPr>
        <w:tc>
          <w:tcPr>
            <w:tcBorders>
              <w:left w:val="single" w:color="auto" w:sz="4" w:space="0"/>
              <w:bottom w:val="single" w:color="auto" w:sz="4" w:space="0"/>
              <w:right w:val="single" w:color="auto" w:sz="4" w:space="0"/>
            </w:tcBorders>
            <w:tcW w:w="1095" w:type="dxa"/>
            <w:vAlign w:val="center"/>
            <w:vMerge w:val="continue"/>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none" w:color="000000" w:sz="4" w:space="0"/>
              <w:bottom w:val="single" w:color="auto" w:sz="4" w:space="0"/>
              <w:right w:val="single" w:color="auto" w:sz="4" w:space="0"/>
            </w:tcBorders>
            <w:tcW w:w="1014"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理赔纠纷案件处理方案</w:t>
            </w:r>
            <w:r/>
          </w:p>
        </w:tc>
        <w:tc>
          <w:tcPr>
            <w:tcBorders>
              <w:top w:val="single" w:color="auto" w:sz="4" w:space="0"/>
              <w:left w:val="none" w:color="000000"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6105"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default"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t xml:space="preserve">投标人根据项目特点编制</w:t>
            </w:r>
            <w:r>
              <w:rPr>
                <w:rFonts w:hint="eastAsia" w:ascii="仿宋" w:hAnsi="仿宋" w:eastAsia="仿宋" w:cs="仿宋"/>
                <w:sz w:val="24"/>
                <w:szCs w:val="24"/>
                <w:highlight w:val="none"/>
                <w:lang w:val="en-US" w:eastAsia="zh-CN"/>
              </w:rPr>
              <w:t xml:space="preserve">理赔纠纷案件处理方案</w:t>
            </w:r>
            <w:r>
              <w:rPr>
                <w:rFonts w:hint="eastAsia" w:ascii="仿宋" w:hAnsi="仿宋" w:eastAsia="仿宋" w:cs="宋体"/>
                <w:color w:val="000000"/>
                <w:sz w:val="24"/>
                <w:lang w:val="en-US" w:eastAsia="zh-CN"/>
              </w:rPr>
              <w:t xml:space="preserve">。方案须包含组织保障机制、纠纷处置全流程管理、风险防控措施、应急处置机制，有1项得1.5分，满分6分。未提供方案或方案存在明显不合理项的本项不得分。</w:t>
            </w:r>
            <w:r/>
          </w:p>
          <w:p>
            <w:pPr>
              <w:pStyle w:val="912"/>
              <w:ind w:left="0" w:right="0" w:firstLine="0"/>
              <w:keepLines w:val="0"/>
              <w:keepNext w:val="0"/>
              <w:spacing w:before="0" w:beforeAutospacing="0" w:afterAutospacing="0"/>
              <w:rPr>
                <w:rFonts w:hint="eastAsia"/>
                <w:lang w:val="en-US" w:eastAsia="zh-CN"/>
              </w:rPr>
              <w:suppressLineNumbers w:val="0"/>
            </w:pPr>
            <w:r>
              <w:rPr>
                <w:rFonts w:hint="eastAsia" w:ascii="仿宋" w:hAnsi="仿宋" w:eastAsia="仿宋" w:cs="仿宋"/>
                <w:b/>
                <w:bCs/>
                <w:sz w:val="24"/>
                <w:szCs w:val="24"/>
                <w:highlight w:val="none"/>
                <w:lang w:val="en-US" w:eastAsia="zh-CN"/>
              </w:rPr>
              <w:t xml:space="preserve">要求：需提供方案，格式自拟，加盖投标人公章。</w:t>
            </w:r>
            <w:r/>
          </w:p>
        </w:tc>
      </w:tr>
      <w:tr>
        <w:trPr>
          <w:trHeight w:val="976"/>
        </w:trPr>
        <w:tc>
          <w:tcPr>
            <w:tcBorders>
              <w:left w:val="single" w:color="auto" w:sz="4" w:space="0"/>
              <w:bottom w:val="single" w:color="auto" w:sz="4" w:space="0"/>
              <w:right w:val="single" w:color="auto" w:sz="4" w:space="0"/>
            </w:tcBorders>
            <w:tcW w:w="1095" w:type="dxa"/>
            <w:vAlign w:val="center"/>
            <w:vMerge w:val="continue"/>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none" w:color="000000" w:sz="4" w:space="0"/>
              <w:bottom w:val="single" w:color="auto" w:sz="4" w:space="0"/>
              <w:right w:val="single" w:color="auto" w:sz="4" w:space="0"/>
            </w:tcBorders>
            <w:tcW w:w="1014"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增值服务</w:t>
            </w:r>
            <w:r/>
          </w:p>
        </w:tc>
        <w:tc>
          <w:tcPr>
            <w:tcBorders>
              <w:top w:val="single" w:color="auto" w:sz="4" w:space="0"/>
              <w:left w:val="none" w:color="000000"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6105"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rPr>
              <w:suppressLineNumbers w:val="0"/>
            </w:pPr>
            <w:r>
              <w:rPr>
                <w:rFonts w:hint="eastAsia" w:ascii="仿宋" w:hAnsi="仿宋" w:eastAsia="仿宋" w:cs="仿宋"/>
                <w:color w:val="000000"/>
                <w:sz w:val="24"/>
                <w:szCs w:val="24"/>
                <w:highlight w:val="none"/>
                <w:lang w:eastAsia="zh-CN"/>
              </w:rPr>
              <w:t xml:space="preserve">投标人提供与该项目相关的增值服务方案，每提供</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条增值服务方案得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val="en-US" w:eastAsia="zh-CN"/>
              </w:rPr>
              <w:t xml:space="preserve">满分6分，</w:t>
            </w:r>
            <w:r>
              <w:rPr>
                <w:rFonts w:hint="eastAsia" w:ascii="仿宋" w:hAnsi="仿宋" w:eastAsia="仿宋" w:cs="仿宋"/>
                <w:sz w:val="24"/>
                <w:szCs w:val="24"/>
                <w:highlight w:val="none"/>
              </w:rPr>
              <w:t xml:space="preserve">不提供不得分。</w:t>
            </w:r>
            <w:r/>
          </w:p>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要求：需提供方案，格式自拟，加盖投标人公章。</w:t>
            </w:r>
            <w:r/>
          </w:p>
        </w:tc>
      </w:tr>
    </w:tbl>
    <w:p>
      <w:pPr>
        <w:pStyle w:val="912"/>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pStyle w:val="868"/>
        <w:spacing w:line="360" w:lineRule="exact"/>
        <w:rPr>
          <w:rFonts w:hint="eastAsia" w:ascii="仿宋" w:hAnsi="仿宋" w:eastAsia="仿宋" w:cs="仿宋"/>
          <w:color w:val="auto"/>
          <w:sz w:val="21"/>
          <w:szCs w:val="21"/>
          <w:highlight w:val="none"/>
        </w:rPr>
      </w:pPr>
      <w:r/>
      <w:bookmarkStart w:id="113" w:name="_Toc27552"/>
      <w:r>
        <w:rPr>
          <w:rFonts w:hint="eastAsia" w:ascii="黑体" w:hAnsi="黑体" w:eastAsia="黑体" w:cs="黑体"/>
          <w:b w:val="0"/>
          <w:bCs/>
          <w:highlight w:val="none"/>
          <w:lang w:eastAsia="zh-CN"/>
        </w:rPr>
        <w:t xml:space="preserve">第五章  拟签订的合同文本（仅供参考）</w:t>
      </w:r>
      <w:bookmarkEnd w:id="113"/>
      <w:r/>
      <w:r/>
    </w:p>
    <w:p>
      <w:pPr>
        <w:ind w:firstLine="42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注：本合同仅为合同的参考文本，合同签订双方可根据项目的具体要求进行修订，但合同条款不得与采购文件和</w:t>
      </w:r>
      <w:r>
        <w:rPr>
          <w:rFonts w:hint="eastAsia" w:ascii="仿宋" w:hAnsi="仿宋" w:eastAsia="仿宋" w:cs="仿宋"/>
          <w:bCs/>
          <w:color w:val="auto"/>
          <w:szCs w:val="21"/>
          <w:highlight w:val="none"/>
        </w:rPr>
        <w:t xml:space="preserve">响应文件</w:t>
      </w:r>
      <w:r>
        <w:rPr>
          <w:rFonts w:hint="eastAsia" w:ascii="仿宋" w:hAnsi="仿宋" w:eastAsia="仿宋" w:cs="仿宋"/>
          <w:color w:val="auto"/>
          <w:szCs w:val="21"/>
          <w:highlight w:val="none"/>
        </w:rPr>
        <w:t xml:space="preserve">有实质性偏离。</w:t>
      </w:r>
      <w:r/>
    </w:p>
    <w:p>
      <w:pPr>
        <w:jc w:val="left"/>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rPr>
          <w:rFonts w:hint="eastAsia" w:ascii="方正小标宋_GBK" w:hAnsi="仿宋" w:eastAsia="方正小标宋_GBK" w:cs="仿宋"/>
          <w:color w:val="auto"/>
          <w:sz w:val="44"/>
          <w:szCs w:val="44"/>
          <w:highlight w:val="none"/>
          <w:lang w:val="zh-CN"/>
        </w:rPr>
      </w:pPr>
      <w:r>
        <w:rPr>
          <w:rFonts w:hint="eastAsia" w:ascii="方正小标宋_GBK" w:hAnsi="仿宋" w:eastAsia="方正小标宋_GBK" w:cs="仿宋"/>
          <w:color w:val="auto"/>
          <w:sz w:val="44"/>
          <w:szCs w:val="44"/>
          <w:highlight w:val="none"/>
          <w:lang w:val="zh-CN"/>
        </w:rPr>
        <w:t xml:space="preserve">政府采购合同（示范文本）</w:t>
      </w:r>
      <w:r/>
    </w:p>
    <w:p>
      <w:pPr>
        <w:jc w:val="center"/>
        <w:rPr>
          <w:rFonts w:hint="eastAsia" w:ascii="方正小标宋_GBK" w:hAnsi="仿宋" w:eastAsia="方正小标宋_GBK" w:cs="仿宋"/>
          <w:color w:val="auto"/>
          <w:sz w:val="44"/>
          <w:szCs w:val="44"/>
          <w:highlight w:val="none"/>
          <w:lang w:val="zh-CN"/>
        </w:rPr>
      </w:pPr>
      <w:r>
        <w:rPr>
          <w:rFonts w:hint="eastAsia" w:ascii="方正小标宋_GBK" w:hAnsi="仿宋" w:eastAsia="方正小标宋_GBK" w:cs="仿宋"/>
          <w:color w:val="auto"/>
          <w:sz w:val="44"/>
          <w:szCs w:val="44"/>
          <w:highlight w:val="none"/>
          <w:lang w:val="zh-CN"/>
        </w:rPr>
        <w:t xml:space="preserve">（服务类）</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合同编号：</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            </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甲方（采购人）：</w:t>
      </w:r>
      <w:r>
        <w:rPr>
          <w:rFonts w:hint="eastAsia" w:ascii="仿宋" w:hAnsi="仿宋" w:eastAsia="仿宋" w:cs="仿宋"/>
          <w:color w:val="auto"/>
          <w:sz w:val="24"/>
          <w:highlight w:val="none"/>
          <w:u w:val="single"/>
          <w:lang w:val="zh-CN"/>
        </w:rPr>
        <w:t xml:space="preserve">                    </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住所地：</w:t>
      </w:r>
      <w:r>
        <w:rPr>
          <w:rFonts w:hint="eastAsia" w:ascii="仿宋" w:hAnsi="仿宋" w:eastAsia="仿宋" w:cs="仿宋"/>
          <w:color w:val="auto"/>
          <w:sz w:val="24"/>
          <w:highlight w:val="none"/>
          <w:u w:val="single"/>
          <w:lang w:val="zh-CN"/>
        </w:rPr>
        <w:t xml:space="preserve">                           </w:t>
      </w:r>
      <w:r>
        <w:rPr>
          <w:rFonts w:ascii="仿宋" w:hAnsi="仿宋" w:eastAsia="仿宋" w:cs="仿宋"/>
          <w:color w:val="auto"/>
          <w:sz w:val="24"/>
          <w:highlight w:val="none"/>
          <w:lang w:val="zh-CN"/>
        </w:rPr>
        <w:t xml:space="preserve">                                  </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乙方（供应商）：</w:t>
      </w:r>
      <w:r>
        <w:rPr>
          <w:rFonts w:hint="eastAsia" w:ascii="仿宋" w:hAnsi="仿宋" w:eastAsia="仿宋" w:cs="仿宋"/>
          <w:color w:val="auto"/>
          <w:sz w:val="24"/>
          <w:highlight w:val="none"/>
          <w:u w:val="single"/>
          <w:lang w:val="zh-CN"/>
        </w:rPr>
        <w:t xml:space="preserve">                    </w:t>
      </w:r>
      <w:r/>
    </w:p>
    <w:p>
      <w:pPr>
        <w:ind w:firstLine="480"/>
        <w:jc w:val="left"/>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 xml:space="preserve">住所地：</w:t>
      </w:r>
      <w:r>
        <w:rPr>
          <w:rFonts w:hint="eastAsia" w:ascii="仿宋" w:hAnsi="仿宋" w:eastAsia="仿宋" w:cs="仿宋"/>
          <w:color w:val="auto"/>
          <w:sz w:val="24"/>
          <w:highlight w:val="none"/>
          <w:u w:val="single"/>
          <w:lang w:val="zh-CN"/>
        </w:rPr>
        <w:t xml:space="preserve">                          </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乙方于</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年</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月</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日参加了</w:t>
      </w:r>
      <w:r>
        <w:rPr>
          <w:rFonts w:hint="eastAsia" w:ascii="仿宋" w:hAnsi="仿宋" w:eastAsia="仿宋" w:cs="仿宋"/>
          <w:color w:val="auto"/>
          <w:sz w:val="24"/>
          <w:highlight w:val="none"/>
          <w:u w:val="single"/>
          <w:lang w:val="zh-CN"/>
        </w:rPr>
        <w:t xml:space="preserve"> （采购人或者代理机构） </w:t>
      </w:r>
      <w:r>
        <w:rPr>
          <w:rFonts w:hint="eastAsia" w:ascii="仿宋" w:hAnsi="仿宋" w:eastAsia="仿宋" w:cs="仿宋"/>
          <w:color w:val="auto"/>
          <w:sz w:val="24"/>
          <w:highlight w:val="none"/>
          <w:lang w:val="zh-CN"/>
        </w:rPr>
        <w:t xml:space="preserve">组织的“ </w:t>
      </w:r>
      <w:r>
        <w:rPr>
          <w:rFonts w:hint="eastAsia" w:ascii="仿宋" w:hAnsi="仿宋" w:eastAsia="仿宋" w:cs="仿宋"/>
          <w:color w:val="auto"/>
          <w:sz w:val="24"/>
          <w:highlight w:val="none"/>
          <w:u w:val="single"/>
          <w:lang w:val="zh-CN"/>
        </w:rPr>
        <w:t xml:space="preserve"> （项目名称及项目编号）  </w:t>
      </w:r>
      <w:r>
        <w:rPr>
          <w:rFonts w:hint="eastAsia" w:ascii="仿宋" w:hAnsi="仿宋" w:eastAsia="仿宋" w:cs="仿宋"/>
          <w:color w:val="auto"/>
          <w:sz w:val="24"/>
          <w:highlight w:val="none"/>
          <w:lang w:val="zh-CN"/>
        </w:rPr>
        <w:t xml:space="preserve">”政府采购活动，经评标评审，确定乙方为</w:t>
      </w:r>
      <w:r>
        <w:rPr>
          <w:rFonts w:hint="eastAsia" w:ascii="仿宋" w:hAnsi="仿宋" w:eastAsia="仿宋" w:cs="仿宋"/>
          <w:color w:val="auto"/>
          <w:sz w:val="24"/>
          <w:highlight w:val="none"/>
          <w:u w:val="single"/>
          <w:lang w:val="zh-CN"/>
        </w:rPr>
        <w:t xml:space="preserve"> （包及包名称） </w:t>
      </w:r>
      <w:r>
        <w:rPr>
          <w:rFonts w:hint="eastAsia" w:ascii="仿宋" w:hAnsi="仿宋" w:eastAsia="仿宋" w:cs="仿宋"/>
          <w:color w:val="auto"/>
          <w:sz w:val="24"/>
          <w:highlight w:val="none"/>
          <w:lang w:val="zh-CN"/>
        </w:rPr>
        <w:t xml:space="preserve">的供应商，按照《中华人民共和国民法典》《中华人民共和国政府采购法》和相关的法律法规规定，以及招标（采购）文件要求，经甲乙双方协商一致，签订本政府采购合同。</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第一条 合同标的</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服务名称：</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服务内容：</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技术标准：</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第二条  合同总金额</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合同总金额为人民币（大写）：</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该价款包括了服务价格及与之配套的设计、制造、正版软件、检验、包装、运输、保险、税费以及安装、组织验收、培训、技术服务（包括技术资料、图纸提供等）、质保期服务等全部价款，除此之外，甲方不再向乙方支付其他任何费用。</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第三条  服务交付</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1.交付日期： </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2.交付地点：</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第四条  交付验收</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甲方应当根据国家、行业验收标准，以及合同约定验收方案，明确验收时间、方式、程序和内容等事项，组成验收小组，在收到乙方项目验收建议之日起【】日内，对采购项目进行实质性验收（验收建议有明显不当的除外）。乙方应对提交的服务成果作出全面检查和整理，并列出清单，作为甲方验收和使用技术条件依据，清单应随提交的服务成果交给甲方。</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2.对大型或复杂的政府采购项目，甲方可以邀请国家认可的质量检测机构参与验收工作，并出具验收报告，相关费用负担由甲乙双方商定。</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3.乙方在指定地点提交服务成果后，甲乙双方应依据招标文件、投标文件等文件材料的要求共同验收，并出具书面验收报告。</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第五条  所有权归属</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乙方将服务成果交付甲方，并且经甲乙双方共同验收合格后所有权转移给甲方，在所有权转移之前，标的物损毁、灭失的风险归乙方，乙方保证所交付的服务成果的所有权完全属于乙方且无任何抵押、查封等产权瑕疵。</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如乙方交付的服务成果有产权瑕疵的，视为乙方违约，乙方须向甲方支付【】%的违约金；如果合同总金额价款已经支付完毕或者开始支付合同价款时才发现产权有瑕疵的，乙方仍须支付上述违约金并且赔偿甲方由此所遭受的一切损失。</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第六条  包装、装运及运输</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1.乙方负责包装、装运和运输，由于不适当的包装、装运和运输造成任何损坏均由乙方负责。</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2.包装费、运费及相关费用已包含在合同总金额内。</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第七条  款项支付</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1.服务成果交付甲方，经甲乙双方共同验收合格后由甲方负责办理支付手续。</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2.允许乙方提供电子发票，甲方自收到合格发票之日起【】日内支付资金，并不得附加未经约定的其他条件。</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3.付款方式 </w:t>
      </w:r>
      <w:r/>
    </w:p>
    <w:p>
      <w:pPr>
        <w:ind w:firstLine="480"/>
        <w:spacing w:line="440" w:lineRule="exact"/>
        <w:tabs>
          <w:tab w:val="left" w:pos="840" w:leader="none"/>
        </w:tabs>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3.1预付款比例：</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％，于政府采购合同签订生效并具备实施条件后【】日内支付。</w:t>
      </w:r>
      <w:r/>
    </w:p>
    <w:p>
      <w:pPr>
        <w:ind w:firstLine="480"/>
        <w:spacing w:line="44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第八条  履约保证金</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1.履约保证金用于补偿甲方因乙方不能履行或不能完全履行合同义务而蒙受的损失。</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2.乙方应当以支票、汇票、本票或者金融机构、担保机构出具的保函等非现金形式提交履约保证金，提交形式：</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，金额：人民币（大写）</w:t>
      </w:r>
      <w:r>
        <w:rPr>
          <w:rFonts w:eastAsia="仿宋" w:cs="Calibri"/>
          <w:color w:val="auto"/>
          <w:sz w:val="24"/>
          <w:highlight w:val="none"/>
          <w:u w:val="single"/>
          <w:lang w:val="zh-CN"/>
        </w:rPr>
        <w:t xml:space="preserve">           </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w:t>
      </w:r>
      <w:r>
        <w:rPr>
          <w:rFonts w:eastAsia="仿宋" w:cs="Calibri"/>
          <w:color w:val="auto"/>
          <w:sz w:val="24"/>
          <w:highlight w:val="none"/>
          <w:u w:val="single"/>
          <w:lang w:val="zh-CN"/>
        </w:rPr>
        <w:t xml:space="preserve">      </w:t>
      </w:r>
      <w:r>
        <w:rPr>
          <w:rFonts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 ）元（履约保证金不得超过政府采购合同金额的10%）。</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3.在采购标的交付验收合格无质量问题后，甲方在【】日内退还履约保证金。</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第九条  售后服务及承诺</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1.服务质量保证期限自提交服务验收合格之日起</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年，在质量保证期内，乙方应对服务出现的问题负责处理并承担一切费用，并赔偿甲方的损失。</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2.乙方有完善的服务体系，有能力提供持续的、本地化售后服务。</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3.乙方负责系统安装和调试以及操作人员培训，并制定详细的培训计划，使操作人员能独立进行管理、操作、维护和故障处理等工作，做好相关记录及技术文档收集整理，待验收后移交。</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4.服务范围：负责招标文件所涉及的所有服务。</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第十条  知识产权</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1.乙方保证，甲方在享受服务或者服务的任何一部分时，免受第三方提出的侵犯其专利权、商标权或其他知识产权的起诉。如发生此类纠纷，由乙方承担一切责任；如因此给甲方造成损失的，乙方负责全额赔偿。</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2.乙方为执行本合同而提供的技术资料或者其他相关资料、软件等由甲方永久免费使用。</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第十一条  甲方责任</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1.及时办理付款手续。</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2.负责提供工作场地，协助乙方办理有关事宜。</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3.对合同条款及所知悉的乙方商业秘密负有保密义务。</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第十二条  乙方责任</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1.保证所提供服务为投标文件承诺服务，符合相关法律法规规定并且满足甲方的需求，保证其配套项目部件为全新的未使用的且符合相关的质量要求。</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2.保证所提供服务的售后服务，严格依据投标文件及相关承诺，对服务以及与之配套的项目进行保修、维护等服务。</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3.保证其所提供服务不存在侵犯第三方知识产权的行为，否则由此产生的损失由乙方承担。</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第十三条  违约责任</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1.乙方所提供服务成果及与之配套项目等不符合合同约定标准，甲方有权拒收。同时，乙方向甲方支付合同总金额【】%的违约金。</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2.乙方不能交付服务成果时，乙方向甲方支付合同总金额【】%的违约金。</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乙方逾期交付服务成果时，每逾1日乙方向甲方支付合同总金额【】‰的滞纳金。逾期交付超过【】日，甲方有权决定是否继续履行合同，如甲方决定终止履行合同的，乙方向甲方支付合同总金额【】%的违约金，并且赔偿甲方因此所遭受的损失。</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甲方逾期退还履约保证金的违约责任：采购人延迟退还供应商缴纳的履约保证金的，应当支付逾期利息。双方对逾期利息的利率有约定的，约定利率不得低于合同订立时1年期贷款市场报价利率；未作约定的，按照每日利率万分之五支付逾期利息。</w:t>
      </w:r>
      <w:r/>
    </w:p>
    <w:p>
      <w:pPr>
        <w:ind w:firstLine="48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5.甲方逾期支付资金的违约责任：</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6.因甲方原因导致变更、中止或者终止政府采购合同的，甲方对供应商受到的损失予以赔偿或者补偿：</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7.因甲方过错而给乙方造成的损失，由甲方负担。</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第十四条  不可抗力</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甲乙双方的任何一方由于不可抗力不能履行合同时，应当及时通知对方不能履行或不能完全履行的情况和理由；在取得有关主管机关证明以后，允许延期履行、部分履行或者终止履行合同的，根据情况可以部分或全部免予承担违约责任。</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第十五条  保密</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乙方在合同履行期间知悉甲方的工作秘密（包括相关业务信息），不得透露或以其他方式提供给合同双方以外的其他方（包括乙方内部与本合同无关的任何人员），乙方的保密责任不因本合同的终止而终止。</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乙方违反本合同所规定的保密义务，应按照本合同总金额的【】%支付违约金。</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第十六条  争议解决</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甲乙双方在合同履行中发生争议，应通过协商解决。如协商不成，可以向合同签订地法院提起诉讼。</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第十七条  合同生效及其他</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1.除招标文件规定且甲方事先书面同意外，乙方不得部分或者全部转让、分包履行其应履行的合同项下的义务。</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2.合同由甲、乙双方法定代表人（或者被授权代表）签字并加盖单位公章。 </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3.本合同一式</w:t>
      </w:r>
      <w:r>
        <w:rPr>
          <w:rFonts w:hint="eastAsia" w:ascii="仿宋" w:hAnsi="仿宋" w:eastAsia="仿宋" w:cs="仿宋"/>
          <w:color w:val="auto"/>
          <w:sz w:val="24"/>
          <w:highlight w:val="none"/>
          <w:u w:val="single"/>
          <w:lang w:val="zh-CN"/>
        </w:rPr>
        <w:t xml:space="preserve"> </w:t>
      </w:r>
      <w:r>
        <w:rPr>
          <w:rFonts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份，甲方</w:t>
      </w:r>
      <w:r>
        <w:rPr>
          <w:rFonts w:hint="eastAsia" w:ascii="仿宋" w:hAnsi="仿宋" w:eastAsia="仿宋" w:cs="仿宋"/>
          <w:color w:val="auto"/>
          <w:sz w:val="24"/>
          <w:highlight w:val="none"/>
          <w:u w:val="single"/>
          <w:lang w:val="zh-CN"/>
        </w:rPr>
        <w:t xml:space="preserve"> </w:t>
      </w:r>
      <w:r>
        <w:rPr>
          <w:rFonts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份，乙方</w:t>
      </w:r>
      <w:r>
        <w:rPr>
          <w:rFonts w:hint="eastAsia" w:ascii="仿宋" w:hAnsi="仿宋" w:eastAsia="仿宋" w:cs="仿宋"/>
          <w:color w:val="auto"/>
          <w:sz w:val="24"/>
          <w:highlight w:val="none"/>
          <w:u w:val="single"/>
          <w:lang w:val="zh-CN"/>
        </w:rPr>
        <w:t xml:space="preserve"> </w:t>
      </w:r>
      <w:r>
        <w:rPr>
          <w:rFonts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份。</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第十八条   服务期限</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本合同服务期限为</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年；服务期限自 </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年</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月</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日起至</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年</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月</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日止。</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第十九条  下列文件为本合同不可分割部分</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1.政府采购招标（采购）文件（包括澄清、修改）；</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2.乙方投标（响应）文件；</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3.中标（成交）通知书；</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4.中标人在评标评审过程中做出的有关澄清、说明、承诺或者补正文件；</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5.政府采购委托协议书；</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甲    方：                             乙    方：</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单位名称（公章）：                       单位名称（公章）：</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法定代表人（被授权代表）签字：         法定代表人（被授权代表）签字：                </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    话：                             电    话：</w:t>
      </w:r>
      <w:r/>
    </w:p>
    <w:p>
      <w:pPr>
        <w:ind w:firstLine="482"/>
        <w:spacing w:line="400" w:lineRule="exact"/>
        <w:tabs>
          <w:tab w:val="left" w:pos="7820" w:leader="none"/>
        </w:tabs>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ind w:firstLine="482"/>
        <w:spacing w:line="400" w:lineRule="exact"/>
        <w:tabs>
          <w:tab w:val="left" w:pos="7820" w:leader="none"/>
        </w:tabs>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年   月   日                           年   月   日</w:t>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keepLines w:val="0"/>
        <w:keepNext w:val="0"/>
        <w:pageBreakBefore w:val="0"/>
        <w:spacing w:line="360" w:lineRule="auto"/>
        <w:widowControl w:val="off"/>
        <w:rPr>
          <w:rFonts w:hint="eastAsia" w:ascii="宋体" w:hAnsi="宋体" w:cs="宋体"/>
          <w:szCs w:val="24"/>
          <w:highlight w:val="none"/>
        </w:rPr>
      </w:pPr>
      <w:r>
        <w:rPr>
          <w:rFonts w:hint="eastAsia" w:ascii="宋体" w:hAnsi="宋体" w:cs="宋体"/>
          <w:szCs w:val="24"/>
          <w:highlight w:val="none"/>
        </w:rPr>
      </w:r>
      <w:r/>
    </w:p>
    <w:p>
      <w:pPr>
        <w:numPr>
          <w:ilvl w:val="0"/>
          <w:numId w:val="11"/>
        </w:numPr>
        <w:ind w:firstLine="560"/>
        <w:jc w:val="center"/>
        <w:keepLines w:val="0"/>
        <w:keepNext w:val="0"/>
        <w:pageBreakBefore w:val="0"/>
        <w:spacing w:line="360" w:lineRule="auto"/>
        <w:widowControl w:val="off"/>
        <w:rPr>
          <w:rFonts w:hint="eastAsia" w:ascii="黑体" w:hAnsi="黑体" w:eastAsia="黑体" w:cs="黑体"/>
          <w:b w:val="0"/>
          <w:bCs/>
          <w:sz w:val="28"/>
          <w:szCs w:val="28"/>
          <w:highlight w:val="none"/>
          <w:lang w:val="en-US" w:eastAsia="zh-CN"/>
        </w:rPr>
      </w:pPr>
      <w:r/>
      <w:bookmarkStart w:id="114" w:name="_Toc11135"/>
      <w:r>
        <w:rPr>
          <w:rFonts w:hint="eastAsia" w:ascii="黑体" w:hAnsi="黑体" w:eastAsia="黑体" w:cs="黑体"/>
          <w:b w:val="0"/>
          <w:bCs/>
          <w:sz w:val="28"/>
          <w:szCs w:val="28"/>
          <w:highlight w:val="none"/>
          <w:lang w:eastAsia="zh-CN"/>
        </w:rPr>
        <w:t xml:space="preserve"> </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Pr>
          <w:rFonts w:hint="eastAsia" w:ascii="黑体" w:hAnsi="黑体" w:eastAsia="黑体" w:cs="黑体"/>
          <w:b w:val="0"/>
          <w:bCs/>
          <w:sz w:val="28"/>
          <w:szCs w:val="28"/>
          <w:highlight w:val="none"/>
          <w:lang w:val="en-US" w:eastAsia="zh-CN"/>
        </w:rPr>
        <w:t xml:space="preserve">采购需求</w:t>
      </w:r>
      <w:bookmarkEnd w:id="114"/>
      <w:r/>
      <w:r/>
    </w:p>
    <w:p>
      <w:pPr>
        <w:pageBreakBefore w:val="0"/>
        <w:spacing w:line="440" w:lineRule="atLeast"/>
        <w:rPr>
          <w:rFonts w:hint="eastAsia" w:ascii="黑体" w:hAnsi="黑体" w:eastAsia="黑体" w:cs="黑体"/>
          <w:b w:val="0"/>
          <w:bCs w:val="0"/>
          <w:color w:val="auto"/>
          <w:sz w:val="24"/>
          <w:szCs w:val="24"/>
          <w:highlight w:val="none"/>
          <w:lang w:val="zh-CN" w:eastAsia="zh-CN"/>
        </w:rPr>
      </w:pPr>
      <w:r>
        <w:rPr>
          <w:rFonts w:hint="eastAsia" w:ascii="黑体" w:hAnsi="黑体" w:eastAsia="黑体" w:cs="黑体"/>
          <w:b w:val="0"/>
          <w:bCs w:val="0"/>
          <w:color w:val="auto"/>
          <w:sz w:val="24"/>
          <w:szCs w:val="24"/>
          <w:highlight w:val="none"/>
          <w:lang w:val="zh-CN" w:eastAsia="zh-CN"/>
        </w:rPr>
        <w:t xml:space="preserve">一、项目简介</w:t>
      </w:r>
      <w:r/>
    </w:p>
    <w:p>
      <w:pPr>
        <w:numPr>
          <w:ilvl w:val="0"/>
          <w:numId w:val="0"/>
        </w:numPr>
        <w:ind w:firstLine="480"/>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依据原国家卫生计生委会同司法部、财政部、中国保监会、国家中医药管理局等部门印发的《关于加强医疗责任保险工作的意见》（国卫医发〔2014〕42号，以下简称《意见》）、原江苏省卫生计生委与江苏省保监局联合下发的《关于进一步加强医疗责任保险工作的通知》（苏卫医政发〔2014〕3号，以下简称《通知》）精神，进行本次泰兴市医疗机构医疗责任保险业务承办项目的公开招标，旨在进一步强化我市医院质量和医疗安全管理，化解医疗风险，构建和谐平安的社会环境，在我市医疗卫生机构全面推行医疗责任保险工作，建立医疗风险分担机制。</w:t>
      </w:r>
      <w:r/>
    </w:p>
    <w:p>
      <w:pPr>
        <w:numPr>
          <w:ilvl w:val="0"/>
          <w:numId w:val="0"/>
        </w:numPr>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参加保险单位：泰兴市由政府举办的三级、二级和一级医疗机构以及参照二级和一级管理的医疗机构。此外，在泰兴市的其他各级各类医疗机构可以按属地化原则参照本招标方案自愿投保。（注：三级、二级和一级医疗机构分界由卫生健康主管部门界定，卫生院是一级医院，其他部分民营医院也是一级医院。）</w:t>
      </w:r>
      <w:r/>
    </w:p>
    <w:p>
      <w:pPr>
        <w:numPr>
          <w:ilvl w:val="0"/>
          <w:numId w:val="0"/>
        </w:numPr>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保险合同约定的其他保险对象，包括参加保险医疗机构正式聘用（含合同制员工）或临时聘请的具有法定执业资格的所有卫生技术人员。</w:t>
      </w:r>
      <w:r/>
    </w:p>
    <w:p>
      <w:pPr>
        <w:numPr>
          <w:ilvl w:val="0"/>
          <w:numId w:val="0"/>
        </w:numPr>
        <w:jc w:val="left"/>
        <w:pageBreakBefore w:val="0"/>
        <w:spacing w:line="440" w:lineRule="atLeast"/>
        <w:tabs>
          <w:tab w:val="left" w:pos="851" w:leader="none"/>
        </w:tabs>
        <w:rPr>
          <w:rFonts w:hint="default"/>
          <w:lang w:val="en-US" w:eastAsia="zh-CN"/>
        </w:rPr>
      </w:pPr>
      <w:r>
        <w:rPr>
          <w:rFonts w:hint="eastAsia" w:ascii="仿宋" w:hAnsi="仿宋" w:eastAsia="仿宋" w:cs="仿宋"/>
          <w:color w:val="auto"/>
          <w:sz w:val="24"/>
          <w:szCs w:val="24"/>
          <w:highlight w:val="none"/>
          <w:lang w:val="zh-CN" w:eastAsia="zh-CN" w:bidi="ar-SA"/>
        </w:rPr>
        <w:t xml:space="preserve"> 保险费：由承保人向本项目的保险对象收取全部保险费，并出具保险费发票，依法交纳税金。</w:t>
      </w:r>
      <w:r/>
    </w:p>
    <w:p>
      <w:pPr>
        <w:numPr>
          <w:ilvl w:val="0"/>
          <w:numId w:val="0"/>
        </w:numPr>
        <w:ind w:firstLine="480"/>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2.资金来源：参保单位自筹。</w:t>
      </w:r>
      <w:r/>
    </w:p>
    <w:p>
      <w:pPr>
        <w:numPr>
          <w:ilvl w:val="0"/>
          <w:numId w:val="0"/>
        </w:numPr>
        <w:ind w:firstLine="480"/>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3.采购人：</w:t>
      </w:r>
      <w:r>
        <w:rPr>
          <w:rFonts w:hint="eastAsia" w:ascii="仿宋" w:hAnsi="仿宋" w:eastAsia="仿宋" w:cs="仿宋"/>
          <w:color w:val="auto"/>
          <w:sz w:val="24"/>
          <w:szCs w:val="24"/>
          <w:highlight w:val="none"/>
          <w:lang w:val="zh-CN" w:eastAsia="zh-CN" w:bidi="ar-SA"/>
        </w:rPr>
        <w:fldChar w:fldCharType="begin"/>
      </w:r>
      <w:r>
        <w:rPr>
          <w:rFonts w:hint="eastAsia" w:ascii="仿宋" w:hAnsi="仿宋" w:eastAsia="仿宋" w:cs="仿宋"/>
          <w:color w:val="auto"/>
          <w:sz w:val="24"/>
          <w:szCs w:val="24"/>
          <w:highlight w:val="none"/>
          <w:lang w:val="zh-CN" w:eastAsia="zh-CN" w:bidi="ar-SA"/>
        </w:rPr>
        <w:instrText xml:space="preserve"> HYPERLINK "https://www.bidcenter.com.cn/news-104599645-1.html" \o "泰兴市卫生健康委员会关于肺功能仪采购项目的招标公告--采招网" \t "https://www.bidcenter.com.cn/_blank" </w:instrText>
      </w:r>
      <w:r>
        <w:rPr>
          <w:rFonts w:hint="eastAsia" w:ascii="仿宋" w:hAnsi="仿宋" w:eastAsia="仿宋" w:cs="仿宋"/>
          <w:color w:val="auto"/>
          <w:sz w:val="24"/>
          <w:szCs w:val="24"/>
          <w:highlight w:val="none"/>
          <w:lang w:val="zh-CN" w:eastAsia="zh-CN" w:bidi="ar-SA"/>
        </w:rPr>
        <w:fldChar w:fldCharType="separate"/>
      </w:r>
      <w:r>
        <w:rPr>
          <w:rFonts w:hint="eastAsia" w:ascii="仿宋" w:hAnsi="仿宋" w:eastAsia="仿宋" w:cs="仿宋"/>
          <w:color w:val="auto"/>
          <w:sz w:val="24"/>
          <w:szCs w:val="24"/>
          <w:highlight w:val="none"/>
          <w:lang w:val="zh-CN" w:eastAsia="zh-CN" w:bidi="ar-SA"/>
        </w:rPr>
        <w:t xml:space="preserve">泰兴市卫生健康委员会</w:t>
      </w:r>
      <w:r>
        <w:rPr>
          <w:rFonts w:hint="eastAsia" w:ascii="仿宋" w:hAnsi="仿宋" w:eastAsia="仿宋" w:cs="仿宋"/>
          <w:color w:val="auto"/>
          <w:sz w:val="24"/>
          <w:szCs w:val="24"/>
          <w:highlight w:val="none"/>
          <w:lang w:val="zh-CN" w:eastAsia="zh-CN" w:bidi="ar-SA"/>
        </w:rPr>
        <w:fldChar w:fldCharType="end"/>
      </w:r>
      <w:r>
        <w:rPr>
          <w:rFonts w:hint="eastAsia" w:ascii="仿宋" w:hAnsi="仿宋" w:eastAsia="仿宋" w:cs="仿宋"/>
          <w:color w:val="auto"/>
          <w:sz w:val="24"/>
          <w:szCs w:val="24"/>
          <w:highlight w:val="none"/>
          <w:lang w:val="zh-CN" w:eastAsia="zh-CN" w:bidi="ar-SA"/>
        </w:rPr>
        <w:t xml:space="preserve">。</w:t>
      </w:r>
      <w:r/>
    </w:p>
    <w:p>
      <w:pPr>
        <w:numPr>
          <w:ilvl w:val="0"/>
          <w:numId w:val="0"/>
        </w:numPr>
        <w:ind w:firstLine="480"/>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.保险期限：</w:t>
      </w:r>
      <w:r>
        <w:rPr>
          <w:rFonts w:hint="eastAsia" w:ascii="仿宋" w:hAnsi="仿宋" w:eastAsia="仿宋" w:cs="仿宋"/>
          <w:color w:val="auto"/>
          <w:sz w:val="24"/>
          <w:szCs w:val="24"/>
          <w:highlight w:val="none"/>
          <w:lang w:val="en-US" w:eastAsia="zh-CN" w:bidi="ar-SA"/>
        </w:rPr>
        <w:t xml:space="preserve">本项目合同总期限为三个保险年度</w:t>
      </w: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sz w:val="24"/>
          <w:szCs w:val="24"/>
          <w:highlight w:val="none"/>
          <w:lang w:val="en-US" w:eastAsia="zh-CN"/>
        </w:rPr>
        <w:t xml:space="preserve">2026年6月30日至2029年6月29日</w:t>
      </w: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保单一年一签</w:t>
      </w:r>
      <w:r>
        <w:rPr>
          <w:rFonts w:hint="eastAsia" w:ascii="仿宋" w:hAnsi="仿宋" w:eastAsia="仿宋" w:cs="仿宋"/>
          <w:color w:val="auto"/>
          <w:sz w:val="24"/>
          <w:szCs w:val="24"/>
          <w:highlight w:val="none"/>
          <w:lang w:val="zh-CN" w:eastAsia="zh-CN" w:bidi="ar-SA"/>
        </w:rPr>
        <w:t xml:space="preserve">，中标供应商需承诺承担和履行在此保险期间的保险责任。</w:t>
      </w:r>
      <w:r/>
    </w:p>
    <w:p>
      <w:pPr>
        <w:numPr>
          <w:ilvl w:val="0"/>
          <w:numId w:val="0"/>
        </w:numPr>
        <w:ind w:firstLine="480"/>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.年度保费预算：2</w:t>
      </w: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val="zh-CN" w:eastAsia="zh-CN" w:bidi="ar-SA"/>
        </w:rPr>
        <w:t xml:space="preserve">万元/年，以实际结算为准。</w:t>
      </w:r>
      <w:r/>
    </w:p>
    <w:p>
      <w:pPr>
        <w:pageBreakBefore w:val="0"/>
        <w:spacing w:line="440" w:lineRule="atLeast"/>
        <w:rPr>
          <w:rFonts w:hint="eastAsia" w:ascii="黑体" w:hAnsi="黑体" w:eastAsia="黑体" w:cs="黑体"/>
          <w:b w:val="0"/>
          <w:bCs w:val="0"/>
          <w:color w:val="auto"/>
          <w:sz w:val="24"/>
          <w:szCs w:val="24"/>
          <w:highlight w:val="none"/>
          <w:lang w:val="zh-CN" w:eastAsia="zh-CN"/>
        </w:rPr>
      </w:pPr>
      <w:r/>
      <w:bookmarkStart w:id="115" w:name="_Toc467082277"/>
      <w:r/>
      <w:bookmarkStart w:id="116" w:name="_Toc18154"/>
      <w:r/>
      <w:bookmarkStart w:id="117" w:name="_Toc11321_WPSOffice_Level2"/>
      <w:r/>
      <w:bookmarkStart w:id="118" w:name="_Toc16860"/>
      <w:r/>
      <w:bookmarkStart w:id="119" w:name="_Toc6474_WPSOffice_Level2"/>
      <w:r/>
      <w:bookmarkStart w:id="120" w:name="_Toc21568"/>
      <w:r/>
      <w:bookmarkStart w:id="121" w:name="_Toc466622978"/>
      <w:r/>
      <w:bookmarkStart w:id="122" w:name="_Toc464140916"/>
      <w:r/>
      <w:bookmarkStart w:id="123" w:name="_Toc22918"/>
      <w:r/>
      <w:bookmarkStart w:id="124" w:name="_Toc8477"/>
      <w:r/>
      <w:bookmarkStart w:id="125" w:name="_Toc21099"/>
      <w:r/>
      <w:bookmarkStart w:id="126" w:name="_Toc29380"/>
      <w:r/>
      <w:bookmarkStart w:id="127" w:name="_Toc463967136"/>
      <w:r/>
      <w:bookmarkStart w:id="128" w:name="_Toc24613"/>
      <w:r/>
      <w:bookmarkStart w:id="129" w:name="_Toc9738"/>
      <w:r/>
      <w:bookmarkStart w:id="130" w:name="_Toc27867_WPSOffice_Level2"/>
      <w:r/>
      <w:bookmarkStart w:id="131" w:name="_Toc464141067"/>
      <w:r/>
      <w:bookmarkStart w:id="132" w:name="_Toc464200309"/>
      <w:r/>
      <w:bookmarkStart w:id="133" w:name="_Toc16823"/>
      <w:r/>
      <w:bookmarkStart w:id="134" w:name="_Toc5653"/>
      <w:r/>
      <w:bookmarkStart w:id="135" w:name="_Toc3552"/>
      <w:r/>
      <w:bookmarkStart w:id="136" w:name="_Toc22229"/>
      <w:r/>
      <w:bookmarkStart w:id="137" w:name="_Toc13080"/>
      <w:r/>
      <w:bookmarkStart w:id="138" w:name="_Toc7960"/>
      <w:r/>
      <w:bookmarkStart w:id="139" w:name="_Toc29899_WPSOffice_Level2"/>
      <w:r/>
      <w:bookmarkStart w:id="140" w:name="_Toc26247"/>
      <w:r/>
      <w:bookmarkStart w:id="141" w:name="_Toc2008"/>
      <w:r>
        <w:rPr>
          <w:rFonts w:hint="eastAsia" w:ascii="黑体" w:hAnsi="黑体" w:eastAsia="黑体" w:cs="黑体"/>
          <w:b w:val="0"/>
          <w:bCs w:val="0"/>
          <w:color w:val="auto"/>
          <w:sz w:val="24"/>
          <w:szCs w:val="24"/>
          <w:highlight w:val="none"/>
          <w:lang w:val="en-US" w:eastAsia="zh-CN"/>
        </w:rPr>
        <w:t xml:space="preserve">二</w:t>
      </w:r>
      <w:r>
        <w:rPr>
          <w:rFonts w:hint="eastAsia" w:ascii="黑体" w:hAnsi="黑体" w:eastAsia="黑体" w:cs="黑体"/>
          <w:b w:val="0"/>
          <w:bCs w:val="0"/>
          <w:color w:val="auto"/>
          <w:sz w:val="24"/>
          <w:szCs w:val="24"/>
          <w:highlight w:val="none"/>
          <w:lang w:val="zh-CN" w:eastAsia="zh-CN"/>
        </w:rPr>
        <w:t xml:space="preserve">、项目方案要求</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
    </w:p>
    <w:p>
      <w:pPr>
        <w:numPr>
          <w:ilvl w:val="0"/>
          <w:numId w:val="0"/>
        </w:numPr>
        <w:ind w:firstLine="480"/>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本项目涉及保险险种：本项目保险条款名称以中标单位向</w:t>
      </w:r>
      <w:r>
        <w:rPr>
          <w:rFonts w:hint="eastAsia" w:ascii="仿宋" w:hAnsi="仿宋" w:eastAsia="仿宋" w:cs="仿宋"/>
          <w:color w:val="auto"/>
          <w:sz w:val="24"/>
          <w:szCs w:val="24"/>
          <w:highlight w:val="none"/>
          <w:lang w:val="en-US" w:eastAsia="zh-CN" w:bidi="ar-SA"/>
        </w:rPr>
        <w:t xml:space="preserve">国家金融监督管理总局</w:t>
      </w:r>
      <w:r>
        <w:rPr>
          <w:rFonts w:hint="eastAsia" w:ascii="仿宋" w:hAnsi="仿宋" w:eastAsia="仿宋" w:cs="仿宋"/>
          <w:color w:val="auto"/>
          <w:sz w:val="24"/>
          <w:szCs w:val="24"/>
          <w:highlight w:val="none"/>
          <w:lang w:val="zh-CN" w:eastAsia="zh-CN" w:bidi="ar-SA"/>
        </w:rPr>
        <w:t xml:space="preserve">报备的医疗责任保险条款、医疗责任保险附加医疗意外责任保险条款名称为准。投标文件中所用的条款（含所有特约条款及说明承诺）须充分响应本标书所涵盖的保险责任，若有差异，需要在差异表中体现，并在投标前自行履行条款报备手续，否则将严重影响标书的实质性响应程度。</w:t>
      </w:r>
      <w:r/>
    </w:p>
    <w:p>
      <w:pPr>
        <w:pageBreakBefore w:val="0"/>
        <w:spacing w:line="440" w:lineRule="atLeast"/>
        <w:rPr>
          <w:rFonts w:hint="eastAsia" w:ascii="黑体" w:hAnsi="黑体" w:eastAsia="黑体" w:cs="黑体"/>
          <w:b w:val="0"/>
          <w:bCs w:val="0"/>
          <w:color w:val="auto"/>
          <w:sz w:val="24"/>
          <w:szCs w:val="24"/>
          <w:highlight w:val="none"/>
          <w:lang w:val="zh-CN" w:eastAsia="zh-CN"/>
        </w:rPr>
      </w:pPr>
      <w:r/>
      <w:bookmarkStart w:id="142" w:name="_Toc17267"/>
      <w:r/>
      <w:bookmarkStart w:id="143" w:name="_Toc32542_WPSOffice_Level2"/>
      <w:r/>
      <w:bookmarkStart w:id="144" w:name="_Toc15788"/>
      <w:r/>
      <w:bookmarkStart w:id="145" w:name="_Toc21570"/>
      <w:r/>
      <w:bookmarkStart w:id="146" w:name="_Toc5917"/>
      <w:r/>
      <w:bookmarkStart w:id="147" w:name="_Toc23642"/>
      <w:r/>
      <w:bookmarkStart w:id="148" w:name="_Toc11097"/>
      <w:r/>
      <w:bookmarkStart w:id="149" w:name="_Toc12717"/>
      <w:r/>
      <w:bookmarkStart w:id="150" w:name="_Toc5779_WPSOffice_Level2"/>
      <w:r/>
      <w:bookmarkStart w:id="151" w:name="_Toc27054"/>
      <w:r/>
      <w:bookmarkStart w:id="152" w:name="_Toc6"/>
      <w:r/>
      <w:bookmarkStart w:id="153" w:name="_Toc26360_WPSOffice_Level2"/>
      <w:r/>
      <w:bookmarkStart w:id="154" w:name="_Toc17848"/>
      <w:r/>
      <w:bookmarkStart w:id="155" w:name="_Toc20387"/>
      <w:r/>
      <w:bookmarkStart w:id="156" w:name="_Toc27738"/>
      <w:r/>
      <w:bookmarkStart w:id="157" w:name="_Toc3819"/>
      <w:r/>
      <w:bookmarkStart w:id="158" w:name="_Toc20371"/>
      <w:r/>
      <w:bookmarkStart w:id="159" w:name="_Toc17845_WPSOffice_Level2"/>
      <w:r/>
      <w:bookmarkStart w:id="160" w:name="_Toc26292"/>
      <w:r/>
      <w:bookmarkStart w:id="161" w:name="_Toc7275"/>
      <w:r/>
      <w:bookmarkStart w:id="162" w:name="_Toc13998"/>
      <w:r>
        <w:rPr>
          <w:rFonts w:hint="eastAsia" w:ascii="黑体" w:hAnsi="黑体" w:eastAsia="黑体" w:cs="黑体"/>
          <w:b w:val="0"/>
          <w:bCs w:val="0"/>
          <w:color w:val="auto"/>
          <w:sz w:val="24"/>
          <w:szCs w:val="24"/>
          <w:highlight w:val="none"/>
          <w:lang w:val="en-US" w:eastAsia="zh-CN"/>
        </w:rPr>
        <w:t xml:space="preserve">三</w:t>
      </w:r>
      <w:r>
        <w:rPr>
          <w:rFonts w:hint="eastAsia" w:ascii="黑体" w:hAnsi="黑体" w:eastAsia="黑体" w:cs="黑体"/>
          <w:b w:val="0"/>
          <w:bCs w:val="0"/>
          <w:color w:val="auto"/>
          <w:sz w:val="24"/>
          <w:szCs w:val="24"/>
          <w:highlight w:val="none"/>
          <w:lang w:val="zh-CN" w:eastAsia="zh-CN"/>
        </w:rPr>
        <w:t xml:space="preserve">、保险方案</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tbl>
      <w:tblPr>
        <w:tblStyle w:val="875"/>
        <w:tblW w:w="86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2187"/>
        <w:gridCol w:w="5064"/>
      </w:tblGrid>
      <w:tr>
        <w:trPr>
          <w:trHeight w:val="473"/>
        </w:trPr>
        <w:tc>
          <w:tcPr>
            <w:tcW w:w="135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险种</w:t>
            </w:r>
            <w:r/>
          </w:p>
        </w:tc>
        <w:tc>
          <w:tcPr>
            <w:gridSpan w:val="2"/>
            <w:tcW w:w="7251"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医疗责任保险</w:t>
            </w:r>
            <w:r/>
          </w:p>
        </w:tc>
      </w:tr>
      <w:tr>
        <w:trPr>
          <w:trHeight w:val="460"/>
        </w:trPr>
        <w:tc>
          <w:tcPr>
            <w:tcW w:w="135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保险期间</w:t>
            </w:r>
            <w:r/>
          </w:p>
        </w:tc>
        <w:tc>
          <w:tcPr>
            <w:gridSpan w:val="2"/>
            <w:tcW w:w="7251"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三年</w:t>
            </w:r>
            <w:r/>
          </w:p>
        </w:tc>
      </w:tr>
      <w:tr>
        <w:trPr>
          <w:trHeight w:val="948"/>
        </w:trPr>
        <w:tc>
          <w:tcPr>
            <w:tcW w:w="135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保险对象</w:t>
            </w:r>
            <w:r/>
          </w:p>
        </w:tc>
        <w:tc>
          <w:tcPr>
            <w:tcW w:w="218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收费标准</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（供参考）</w:t>
            </w:r>
            <w:r/>
          </w:p>
        </w:tc>
        <w:tc>
          <w:tcPr>
            <w:tcW w:w="5064"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赔偿限额</w:t>
            </w:r>
            <w:r/>
          </w:p>
        </w:tc>
      </w:tr>
      <w:tr>
        <w:trPr>
          <w:trHeight w:val="1290"/>
        </w:trPr>
        <w:tc>
          <w:tcPr>
            <w:tcW w:w="135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卫生院</w:t>
            </w:r>
            <w:r/>
          </w:p>
        </w:tc>
        <w:tc>
          <w:tcPr>
            <w:tcW w:w="2187"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医护人员数*每人</w:t>
            </w:r>
            <w:r>
              <w:rPr>
                <w:rFonts w:hint="eastAsia" w:ascii="仿宋" w:hAnsi="仿宋" w:eastAsia="仿宋" w:cs="仿宋"/>
                <w:color w:val="auto"/>
                <w:sz w:val="24"/>
                <w:szCs w:val="24"/>
                <w:highlight w:val="none"/>
                <w:u w:val="single"/>
                <w:lang w:val="zh-CN" w:eastAsia="zh-CN" w:bidi="ar-SA"/>
              </w:rPr>
              <w:t xml:space="preserve">待定</w:t>
            </w:r>
            <w:r>
              <w:rPr>
                <w:rFonts w:hint="eastAsia" w:ascii="仿宋" w:hAnsi="仿宋" w:eastAsia="仿宋" w:cs="仿宋"/>
                <w:color w:val="auto"/>
                <w:sz w:val="24"/>
                <w:szCs w:val="24"/>
                <w:highlight w:val="none"/>
                <w:lang w:val="zh-CN" w:eastAsia="zh-CN" w:bidi="ar-SA"/>
              </w:rPr>
              <w:t xml:space="preserve">元+床位数*每床</w:t>
            </w:r>
            <w:r>
              <w:rPr>
                <w:rFonts w:hint="eastAsia" w:ascii="仿宋" w:hAnsi="仿宋" w:eastAsia="仿宋" w:cs="仿宋"/>
                <w:color w:val="auto"/>
                <w:sz w:val="24"/>
                <w:szCs w:val="24"/>
                <w:highlight w:val="none"/>
                <w:u w:val="single"/>
                <w:lang w:val="zh-CN" w:eastAsia="zh-CN" w:bidi="ar-SA"/>
              </w:rPr>
              <w:t xml:space="preserve">待定</w:t>
            </w:r>
            <w:r>
              <w:rPr>
                <w:rFonts w:hint="eastAsia" w:ascii="仿宋" w:hAnsi="仿宋" w:eastAsia="仿宋" w:cs="仿宋"/>
                <w:color w:val="auto"/>
                <w:sz w:val="24"/>
                <w:szCs w:val="24"/>
                <w:highlight w:val="none"/>
                <w:lang w:val="zh-CN" w:eastAsia="zh-CN" w:bidi="ar-SA"/>
              </w:rPr>
              <w:t xml:space="preserve">元</w:t>
            </w:r>
            <w:r/>
          </w:p>
        </w:tc>
        <w:tc>
          <w:tcPr>
            <w:tcW w:w="5064"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医疗责任事故年累计赔偿限额30万元，每人每次事故赔偿限额10万元（其中精神损害赔偿限额3万元）。诊疗意外事故年累计赔偿限额16万元，每人每次事故赔偿限额4万元。</w:t>
            </w:r>
            <w:r/>
          </w:p>
        </w:tc>
      </w:tr>
      <w:tr>
        <w:trPr>
          <w:trHeight w:val="1421"/>
        </w:trPr>
        <w:tc>
          <w:tcPr>
            <w:tcW w:w="135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二级医院</w:t>
            </w:r>
            <w:r/>
          </w:p>
        </w:tc>
        <w:tc>
          <w:tcPr>
            <w:tcW w:w="2187"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医护人员数*每人</w:t>
            </w:r>
            <w:r>
              <w:rPr>
                <w:rFonts w:hint="eastAsia" w:ascii="仿宋" w:hAnsi="仿宋" w:eastAsia="仿宋" w:cs="仿宋"/>
                <w:color w:val="auto"/>
                <w:sz w:val="24"/>
                <w:szCs w:val="24"/>
                <w:highlight w:val="none"/>
                <w:u w:val="single"/>
                <w:lang w:val="zh-CN" w:eastAsia="zh-CN" w:bidi="ar-SA"/>
              </w:rPr>
              <w:t xml:space="preserve">待定</w:t>
            </w:r>
            <w:r>
              <w:rPr>
                <w:rFonts w:hint="eastAsia" w:ascii="仿宋" w:hAnsi="仿宋" w:eastAsia="仿宋" w:cs="仿宋"/>
                <w:color w:val="auto"/>
                <w:sz w:val="24"/>
                <w:szCs w:val="24"/>
                <w:highlight w:val="none"/>
                <w:lang w:val="zh-CN" w:eastAsia="zh-CN" w:bidi="ar-SA"/>
              </w:rPr>
              <w:t xml:space="preserve">元+床位数*每床</w:t>
            </w:r>
            <w:r>
              <w:rPr>
                <w:rFonts w:hint="eastAsia" w:ascii="仿宋" w:hAnsi="仿宋" w:eastAsia="仿宋" w:cs="仿宋"/>
                <w:color w:val="auto"/>
                <w:sz w:val="24"/>
                <w:szCs w:val="24"/>
                <w:highlight w:val="none"/>
                <w:u w:val="single"/>
                <w:lang w:val="zh-CN" w:eastAsia="zh-CN" w:bidi="ar-SA"/>
              </w:rPr>
              <w:t xml:space="preserve">待定</w:t>
            </w:r>
            <w:r>
              <w:rPr>
                <w:rFonts w:hint="eastAsia" w:ascii="仿宋" w:hAnsi="仿宋" w:eastAsia="仿宋" w:cs="仿宋"/>
                <w:color w:val="auto"/>
                <w:sz w:val="24"/>
                <w:szCs w:val="24"/>
                <w:highlight w:val="none"/>
                <w:lang w:val="zh-CN" w:eastAsia="zh-CN" w:bidi="ar-SA"/>
              </w:rPr>
              <w:t xml:space="preserve">元</w:t>
            </w:r>
            <w:r/>
          </w:p>
        </w:tc>
        <w:tc>
          <w:tcPr>
            <w:tcW w:w="5064"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医疗责任事故年累计赔偿限额120万元，每人每次事故赔偿限额12万元（其中精神损害赔偿限额3万元）。诊疗意外事故年累计赔偿限额20万元，每人每次事故赔偿限额6万元。</w:t>
            </w:r>
            <w:r/>
          </w:p>
        </w:tc>
      </w:tr>
      <w:tr>
        <w:trPr>
          <w:trHeight w:val="1434"/>
        </w:trPr>
        <w:tc>
          <w:tcPr>
            <w:tcW w:w="135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三级医院</w:t>
            </w:r>
            <w:r/>
          </w:p>
        </w:tc>
        <w:tc>
          <w:tcPr>
            <w:tcW w:w="2187"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医护人员数*每人</w:t>
            </w:r>
            <w:r>
              <w:rPr>
                <w:rFonts w:hint="eastAsia" w:ascii="仿宋" w:hAnsi="仿宋" w:eastAsia="仿宋" w:cs="仿宋"/>
                <w:color w:val="auto"/>
                <w:sz w:val="24"/>
                <w:szCs w:val="24"/>
                <w:highlight w:val="none"/>
                <w:u w:val="single"/>
                <w:lang w:val="zh-CN" w:eastAsia="zh-CN" w:bidi="ar-SA"/>
              </w:rPr>
              <w:t xml:space="preserve">待定</w:t>
            </w:r>
            <w:r>
              <w:rPr>
                <w:rFonts w:hint="eastAsia" w:ascii="仿宋" w:hAnsi="仿宋" w:eastAsia="仿宋" w:cs="仿宋"/>
                <w:color w:val="auto"/>
                <w:sz w:val="24"/>
                <w:szCs w:val="24"/>
                <w:highlight w:val="none"/>
                <w:lang w:val="zh-CN" w:eastAsia="zh-CN" w:bidi="ar-SA"/>
              </w:rPr>
              <w:t xml:space="preserve">元+床位数*每床</w:t>
            </w:r>
            <w:r>
              <w:rPr>
                <w:rFonts w:hint="eastAsia" w:ascii="仿宋" w:hAnsi="仿宋" w:eastAsia="仿宋" w:cs="仿宋"/>
                <w:color w:val="auto"/>
                <w:sz w:val="24"/>
                <w:szCs w:val="24"/>
                <w:highlight w:val="none"/>
                <w:u w:val="single"/>
                <w:lang w:val="zh-CN" w:eastAsia="zh-CN" w:bidi="ar-SA"/>
              </w:rPr>
              <w:t xml:space="preserve">待定</w:t>
            </w:r>
            <w:r>
              <w:rPr>
                <w:rFonts w:hint="eastAsia" w:ascii="仿宋" w:hAnsi="仿宋" w:eastAsia="仿宋" w:cs="仿宋"/>
                <w:color w:val="auto"/>
                <w:sz w:val="24"/>
                <w:szCs w:val="24"/>
                <w:highlight w:val="none"/>
                <w:lang w:val="zh-CN" w:eastAsia="zh-CN" w:bidi="ar-SA"/>
              </w:rPr>
              <w:t xml:space="preserve">元</w:t>
            </w:r>
            <w:r/>
          </w:p>
        </w:tc>
        <w:tc>
          <w:tcPr>
            <w:tcW w:w="5064"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医疗责任事故年累计赔偿限额200万元，每人每次事故赔偿限额20万元（其中精神损害赔偿限额4万元）。诊疗意外事故年累计赔偿限额40万元，每人每次事故赔偿限额8万元。</w:t>
            </w:r>
            <w:r/>
          </w:p>
        </w:tc>
      </w:tr>
    </w:tbl>
    <w:p>
      <w:pPr>
        <w:numPr>
          <w:ilvl w:val="0"/>
          <w:numId w:val="0"/>
        </w:numPr>
        <w:pageBreakBefore w:val="0"/>
        <w:spacing w:line="440" w:lineRule="atLeast"/>
        <w:tabs>
          <w:tab w:val="left" w:pos="851" w:leader="none"/>
        </w:tabs>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b/>
          <w:bCs/>
          <w:color w:val="auto"/>
          <w:sz w:val="24"/>
          <w:szCs w:val="24"/>
          <w:highlight w:val="none"/>
          <w:lang w:val="zh-CN" w:eastAsia="zh-CN" w:bidi="ar-SA"/>
        </w:rPr>
        <w:t xml:space="preserve">备注：</w:t>
      </w:r>
      <w:r/>
    </w:p>
    <w:p>
      <w:pPr>
        <w:numPr>
          <w:ilvl w:val="0"/>
          <w:numId w:val="0"/>
        </w:numPr>
        <w:ind w:firstLine="482"/>
        <w:pageBreakBefore w:val="0"/>
        <w:spacing w:line="440" w:lineRule="atLeast"/>
        <w:tabs>
          <w:tab w:val="left" w:pos="851" w:leader="none"/>
        </w:tabs>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b/>
          <w:bCs/>
          <w:color w:val="auto"/>
          <w:sz w:val="24"/>
          <w:szCs w:val="24"/>
          <w:highlight w:val="none"/>
          <w:lang w:val="zh-CN" w:eastAsia="zh-CN" w:bidi="ar-SA"/>
        </w:rPr>
        <w:t xml:space="preserve">1.泰兴市范围内的村卫生室、社区卫生服务站、其他部分民营医院的投保收费标准与赔偿限额参照卫生院的对应标准执行。</w:t>
      </w:r>
      <w:r/>
    </w:p>
    <w:p>
      <w:pPr>
        <w:numPr>
          <w:ilvl w:val="0"/>
          <w:numId w:val="0"/>
        </w:numPr>
        <w:ind w:firstLine="482"/>
        <w:pageBreakBefore w:val="0"/>
        <w:spacing w:line="440" w:lineRule="atLeast"/>
        <w:tabs>
          <w:tab w:val="left" w:pos="851" w:leader="none"/>
        </w:tabs>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zh-CN" w:eastAsia="zh-CN" w:bidi="ar-SA"/>
        </w:rPr>
        <w:t xml:space="preserve">2.泰兴市范围内主要医疗机构乡村医生、在院医生、床位数、医院等级参考表，因统计数据存在动态性，仅供参考。</w:t>
      </w:r>
      <w:r>
        <w:rPr>
          <w:rFonts w:hint="eastAsia" w:ascii="仿宋" w:hAnsi="仿宋" w:eastAsia="仿宋" w:cs="仿宋"/>
          <w:b/>
          <w:bCs/>
          <w:color w:val="auto"/>
          <w:sz w:val="24"/>
          <w:szCs w:val="24"/>
          <w:highlight w:val="none"/>
          <w:lang w:val="en-US" w:eastAsia="zh-CN" w:bidi="ar-SA"/>
        </w:rPr>
        <w:t xml:space="preserve">最终投保人数及床位数以中标后双方确认为准。</w:t>
      </w:r>
      <w:r/>
    </w:p>
    <w:tbl>
      <w:tblPr>
        <w:tblStyle w:val="875"/>
        <w:tblpPr w:horzAnchor="page" w:tblpXSpec="center" w:vertAnchor="text" w:tblpY="254" w:leftFromText="180" w:topFromText="0" w:rightFromText="180" w:bottomFromText="0"/>
        <w:tblW w:w="8377" w:type="dxa"/>
        <w:jc w:val="center"/>
        <w:tblLayout w:type="autofit"/>
        <w:tblCellMar>
          <w:left w:w="0" w:type="dxa"/>
          <w:top w:w="0" w:type="dxa"/>
          <w:right w:w="0" w:type="dxa"/>
          <w:bottom w:w="0" w:type="dxa"/>
        </w:tblCellMar>
        <w:tblLook w:val="04A0" w:firstRow="1" w:lastRow="0" w:firstColumn="1" w:lastColumn="0" w:noHBand="0" w:noVBand="1"/>
      </w:tblPr>
      <w:tblGrid>
        <w:gridCol w:w="748"/>
        <w:gridCol w:w="3561"/>
        <w:gridCol w:w="1017"/>
        <w:gridCol w:w="1017"/>
        <w:gridCol w:w="1017"/>
        <w:gridCol w:w="1017"/>
      </w:tblGrid>
      <w:tr>
        <w:trPr>
          <w:jc w:val="center"/>
          <w:trHeight w:val="49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泰兴辖内医疗机构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乡村医生</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（人数）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在院医生</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（人数）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床位数</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医院等级</w:t>
            </w:r>
            <w:r/>
          </w:p>
        </w:tc>
      </w:tr>
      <w:tr>
        <w:trPr>
          <w:jc w:val="center"/>
          <w:trHeight w:val="342"/>
        </w:trPr>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泰兴市张桥镇卫生院</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43</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45</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泰兴市分界镇卫生院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泰兴市分界镇长生卫生院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泰兴市根思乡卫生院（老叶）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泰兴市古溪镇卫生院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泰兴市河失镇卫生院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泰兴市古溪镇横垛卫生院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泰兴市黄桥镇卫生院（南沙）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泰兴市延令街道大生社区卫生服务中心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泰兴市济川街道拱极社区卫生服务中心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泰兴市张桥镇焦荡卫生院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泰兴市广陵镇卫生院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泰兴市广陵镇宁界卫生院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泰兴市新街镇卫生院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泰兴市姚王街道社区卫生服务中心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6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泰兴市河失镇常周卫生院（泰兴市常周中西医结合医院）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二级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泰兴市元竹镇卫生院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泰兴市滨江镇卫生院（泰兴经济开发区医院）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6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泰兴市姚王街道十里甸社区卫生服务中心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泰兴市滨江镇马甸卫生院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泰兴市宣堡镇卫生院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泰兴市新街镇南新卫生院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泰兴市曲霞镇卫生院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泰兴市虹桥镇卫生院（泰兴市第四人民医院）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二级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泰兴市珊瑚镇卫生院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二级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泰兴市妇幼保健院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二级</w:t>
            </w:r>
            <w:r/>
          </w:p>
        </w:tc>
      </w:tr>
      <w:tr>
        <w:trPr>
          <w:jc w:val="center"/>
          <w:trHeight w:val="6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泰兴市黄桥镇溪桥卫生院（泰兴市黄桥镇刘陈卫生院）</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230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二级</w:t>
            </w:r>
            <w:r/>
          </w:p>
        </w:tc>
      </w:tr>
      <w:tr>
        <w:trPr>
          <w:jc w:val="center"/>
          <w:trHeight w:val="6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泰兴市济川街道燕头社区卫生服务中心（泰兴市肿瘤医院）</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6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泰兴市中医院</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250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三级</w:t>
            </w:r>
            <w:r/>
          </w:p>
        </w:tc>
      </w:tr>
      <w:tr>
        <w:trPr>
          <w:jc w:val="center"/>
          <w:trHeight w:val="3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泰兴市济川街道鼓楼社区卫生服务中心（泰兴市第三人民医院）</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二级</w:t>
            </w:r>
            <w:r/>
          </w:p>
        </w:tc>
      </w:tr>
      <w:tr>
        <w:trPr>
          <w:jc w:val="center"/>
          <w:trHeight w:val="6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泰兴市第二人民医院</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二级</w:t>
            </w:r>
            <w:r/>
          </w:p>
        </w:tc>
      </w:tr>
      <w:tr>
        <w:trPr>
          <w:jc w:val="center"/>
          <w:trHeight w:val="3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泰兴市人民医院</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702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1368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三级</w:t>
            </w:r>
            <w:r/>
          </w:p>
        </w:tc>
      </w:tr>
      <w:tr>
        <w:trPr>
          <w:jc w:val="center"/>
          <w:trHeight w:val="3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576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2136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4385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r>
            <w:r/>
          </w:p>
        </w:tc>
      </w:tr>
    </w:tbl>
    <w:p>
      <w:r/>
      <w:r/>
    </w:p>
    <w:p>
      <w:pPr>
        <w:numPr>
          <w:ilvl w:val="0"/>
          <w:numId w:val="12"/>
        </w:numPr>
        <w:ind w:left="420"/>
        <w:pageBreakBefore w:val="0"/>
        <w:spacing w:line="440" w:lineRule="atLeast"/>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t xml:space="preserve">服务要求</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中标供应商必须严格遵守“保户第一，信誉至上，风险共担，利益共享，权利与义务对等”基本原则，按照泰兴市医疗机构医疗责任保险业务承办项目的特点，发挥与医疗纠纷的诉讼程序和行政程序处理相衔接、自愿投保的医疗责任保险及附加险相配套的医疗风险社会化承担的运行平台作用；把医疗责任保险的宣传培训、医疗纠纷的接待、咨询、受理、定损定责、调解处理、理赔、跟踪延伸服务、防灾防损等贯穿于保险业务全过程，为医疗执业提供高效率、高质量的保险保障服务，为建立和完善医疗风险社会承担机制、优化医疗发展环境奠定基础。</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2.中标供应商</w:t>
      </w:r>
      <w:r>
        <w:rPr>
          <w:rFonts w:hint="eastAsia" w:ascii="仿宋" w:hAnsi="仿宋" w:eastAsia="仿宋" w:cs="仿宋"/>
          <w:color w:val="auto"/>
          <w:sz w:val="24"/>
          <w:szCs w:val="24"/>
          <w:highlight w:val="none"/>
          <w:lang w:val="zh-CN" w:eastAsia="zh-CN" w:bidi="ar-SA"/>
        </w:rPr>
        <w:t xml:space="preserve">全权负责处理对投保人的承保出单工作，并依据保险条款及事先经中标确认的保险方案，出具保险单。</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医疗责任保险的目标是以保护患者和医疗机构及其医务人员合法权益为宗旨，以防范、控制和降低医疗过失的发生为主，以有利于建立健全以人为本的现代医疗服务模式，保障医疗安全为基本点，以高质量、高效率医疗纠纷调处理赔和在紧急医疗纠纷突发第一时间的现场快速化解和处理为重要环节，以期通过医疗纠纷处理责任和赔付责任的转移，达到处理主体和处理空间的转移，优化医疗发展环境和医疗秩序，促进医学科学事业的发展。</w:t>
      </w:r>
      <w:r/>
    </w:p>
    <w:p>
      <w:pPr>
        <w:numPr>
          <w:ilvl w:val="0"/>
          <w:numId w:val="0"/>
        </w:numPr>
        <w:ind w:firstLine="480"/>
        <w:jc w:val="left"/>
        <w:pageBreakBefore w:val="0"/>
        <w:spacing w:line="440" w:lineRule="atLeast"/>
        <w:tabs>
          <w:tab w:val="left" w:pos="851" w:leader="none"/>
        </w:tabs>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4.理赔服务</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限期赔偿原则。保险人收到被保险人或者受益人的赔偿请求后，应当在五个工作日内作出核定。对属于保险责任的，在与被保险人达成赔偿或者给付保险金的确认后十五个工作日内，履行赔偿或者给付保险金义务；对不属于保险责任的，应当自作出核定之日起三个工作日内向被保险人或者受益人发出拒绝赔偿或者拒绝给付保险金通知书，并说明理由。</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重大赔款的先予支付制度。保险人自收到赔偿或者给付保险金的请求和有关证明、资料之日起六十日内，对其赔偿或者给付保险金的数额不能确定的，应当根据已有证明和资料可以确定的数额先予支付；保险人在最终确定赔偿或者给付保险金的数额后，应当支付相应的差额。</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5.其他服务制度</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（1）培训机制：定期不定期组织专项培训，针对防范医疗纠纷向被保险人开展包括但不限于以弘扬人文精神、和谐医患关系为主题的讲座培训、案件分析等，</w:t>
      </w:r>
      <w:r>
        <w:rPr>
          <w:rFonts w:hint="eastAsia" w:ascii="仿宋" w:hAnsi="仿宋" w:eastAsia="仿宋" w:cs="仿宋"/>
          <w:color w:val="auto"/>
          <w:sz w:val="24"/>
          <w:szCs w:val="24"/>
          <w:highlight w:val="none"/>
          <w:lang w:val="zh-CN" w:eastAsia="zh-CN" w:bidi="ar-SA"/>
        </w:rPr>
        <w:t xml:space="preserve">在全市树立医疗纠纷患方自觉按法定程序处理的良好风尚。</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）调保结合制度：①保险人与医疗纠纷患者双方及</w:t>
      </w:r>
      <w:r>
        <w:rPr>
          <w:rFonts w:hint="eastAsia" w:ascii="仿宋" w:hAnsi="仿宋" w:eastAsia="仿宋" w:cs="仿宋"/>
          <w:color w:val="auto"/>
          <w:sz w:val="24"/>
          <w:szCs w:val="24"/>
          <w:highlight w:val="none"/>
          <w:lang w:val="en-US" w:eastAsia="zh-CN" w:bidi="ar-SA"/>
        </w:rPr>
        <w:t xml:space="preserve">泰兴</w:t>
      </w:r>
      <w:r>
        <w:rPr>
          <w:rFonts w:hint="eastAsia" w:ascii="仿宋" w:hAnsi="仿宋" w:eastAsia="仿宋" w:cs="仿宋"/>
          <w:color w:val="auto"/>
          <w:sz w:val="24"/>
          <w:szCs w:val="24"/>
          <w:highlight w:val="none"/>
          <w:lang w:val="zh-CN" w:eastAsia="zh-CN" w:bidi="ar-SA"/>
        </w:rPr>
        <w:t xml:space="preserve">市医患纠纷调处机构的对接方案；②配备具有医疗专业知识及调解能力的调保员的管理方案；③对于医疗机构出现的医疗纠纷，实行提前介入制度，一旦接到报案，有专职人员提前介入，帮助被保险人共同处理纠纷。专职人员需参与到医疗机构重大医疗纠纷处置过程中，指导医疗机构合理赔付；④调保结合的联合工作机制。</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）投诉制度：①设立投诉受理电话，由中标</w:t>
      </w:r>
      <w:r>
        <w:rPr>
          <w:rFonts w:hint="eastAsia" w:ascii="仿宋" w:hAnsi="仿宋" w:eastAsia="仿宋" w:cs="仿宋"/>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zh-CN" w:eastAsia="zh-CN" w:bidi="ar-SA"/>
        </w:rPr>
        <w:t xml:space="preserve">高管人员负责受理各被保险人对各分支机构的保险投诉；②对于同一分支机构发生超过3次（含3次）以上的有效投诉，应更换该分支机构的项目负责人。</w:t>
      </w:r>
      <w:r/>
    </w:p>
    <w:p>
      <w:pPr>
        <w:numPr>
          <w:ilvl w:val="0"/>
          <w:numId w:val="0"/>
        </w:numPr>
        <w:ind w:firstLine="480"/>
        <w:jc w:val="left"/>
        <w:pageBreakBefore w:val="0"/>
        <w:spacing w:line="440" w:lineRule="atLeast"/>
        <w:tabs>
          <w:tab w:val="left" w:pos="851" w:leader="none"/>
        </w:tabs>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建立</w:t>
      </w:r>
      <w:r>
        <w:rPr>
          <w:rFonts w:hint="eastAsia" w:ascii="仿宋" w:hAnsi="仿宋" w:eastAsia="仿宋" w:cs="仿宋"/>
          <w:color w:val="auto"/>
          <w:sz w:val="24"/>
          <w:szCs w:val="24"/>
          <w:highlight w:val="none"/>
          <w:lang w:val="zh-CN" w:eastAsia="zh-CN" w:bidi="ar-SA"/>
        </w:rPr>
        <w:t xml:space="preserve">重大医疗纠纷处理</w:t>
      </w:r>
      <w:r>
        <w:rPr>
          <w:rFonts w:hint="eastAsia" w:ascii="仿宋" w:hAnsi="仿宋" w:eastAsia="仿宋" w:cs="仿宋"/>
          <w:color w:val="auto"/>
          <w:sz w:val="24"/>
          <w:szCs w:val="24"/>
          <w:highlight w:val="none"/>
          <w:lang w:val="en-US" w:eastAsia="zh-CN" w:bidi="ar-SA"/>
        </w:rPr>
        <w:t xml:space="preserve">制度：通过调解或诉讼的方式。</w:t>
      </w:r>
      <w:r/>
    </w:p>
    <w:p>
      <w:pPr>
        <w:numPr>
          <w:ilvl w:val="0"/>
          <w:numId w:val="12"/>
        </w:numPr>
        <w:ind w:left="420"/>
        <w:pageBreakBefore w:val="0"/>
        <w:spacing w:line="440" w:lineRule="atLeast"/>
        <w:rPr>
          <w:rFonts w:hint="default"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t xml:space="preserve">其他要求</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中标供应商必须建立专门服务机构，指定专人负责，确定地点，形成完善的规章制度和服务体系，为服务对象办理承保、理赔、保费结算、投保信息汇总等业务。</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中标供应商应建立与完善投保、保费缴纳、送交保单、出险报案、接收服务对象索赔单证以及提交赔款等有关工作的具体操作程序和步骤，以利于医疗责任保险服务工作。</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中标供应商应根据保险政策及其承诺，制定医疗责任保险服务手册，分发给所有投保医疗机构、各级卫生行政管理部门。同时在保险责任期内，每季度向</w:t>
      </w:r>
      <w:r>
        <w:rPr>
          <w:rFonts w:hint="eastAsia" w:ascii="仿宋" w:hAnsi="仿宋" w:eastAsia="仿宋" w:cs="仿宋"/>
          <w:color w:val="auto"/>
          <w:sz w:val="24"/>
          <w:szCs w:val="24"/>
          <w:highlight w:val="none"/>
          <w:lang w:val="zh-CN" w:eastAsia="zh-CN" w:bidi="ar-SA"/>
        </w:rPr>
        <w:fldChar w:fldCharType="begin"/>
      </w:r>
      <w:r>
        <w:rPr>
          <w:rFonts w:hint="eastAsia" w:ascii="仿宋" w:hAnsi="仿宋" w:eastAsia="仿宋" w:cs="仿宋"/>
          <w:color w:val="auto"/>
          <w:sz w:val="24"/>
          <w:szCs w:val="24"/>
          <w:highlight w:val="none"/>
          <w:lang w:val="zh-CN" w:eastAsia="zh-CN" w:bidi="ar-SA"/>
        </w:rPr>
        <w:instrText xml:space="preserve"> HYPERLINK "https://www.bidcenter.com.cn/news-104599645-1.html" \o "泰兴市卫生健康委员会关于肺功能仪采购项目的招标公告--采招网" \t "https://www.bidcenter.com.cn/_blank" </w:instrText>
      </w:r>
      <w:r>
        <w:rPr>
          <w:rFonts w:hint="eastAsia" w:ascii="仿宋" w:hAnsi="仿宋" w:eastAsia="仿宋" w:cs="仿宋"/>
          <w:color w:val="auto"/>
          <w:sz w:val="24"/>
          <w:szCs w:val="24"/>
          <w:highlight w:val="none"/>
          <w:lang w:val="zh-CN" w:eastAsia="zh-CN" w:bidi="ar-SA"/>
        </w:rPr>
        <w:fldChar w:fldCharType="separate"/>
      </w:r>
      <w:r>
        <w:rPr>
          <w:rFonts w:hint="eastAsia" w:ascii="仿宋" w:hAnsi="仿宋" w:eastAsia="仿宋" w:cs="仿宋"/>
          <w:color w:val="auto"/>
          <w:sz w:val="24"/>
          <w:szCs w:val="24"/>
          <w:highlight w:val="none"/>
          <w:lang w:val="zh-CN" w:eastAsia="zh-CN" w:bidi="ar-SA"/>
        </w:rPr>
        <w:t xml:space="preserve">泰兴市卫生健康委员会</w:t>
      </w:r>
      <w:r>
        <w:rPr>
          <w:rFonts w:hint="eastAsia" w:ascii="仿宋" w:hAnsi="仿宋" w:eastAsia="仿宋" w:cs="仿宋"/>
          <w:color w:val="auto"/>
          <w:sz w:val="24"/>
          <w:szCs w:val="24"/>
          <w:highlight w:val="none"/>
          <w:lang w:val="zh-CN" w:eastAsia="zh-CN" w:bidi="ar-SA"/>
        </w:rPr>
        <w:fldChar w:fldCharType="end"/>
      </w:r>
      <w:r>
        <w:rPr>
          <w:rFonts w:hint="eastAsia" w:ascii="仿宋" w:hAnsi="仿宋" w:eastAsia="仿宋" w:cs="仿宋"/>
          <w:color w:val="auto"/>
          <w:sz w:val="24"/>
          <w:szCs w:val="24"/>
          <w:highlight w:val="none"/>
          <w:lang w:val="zh-CN" w:eastAsia="zh-CN" w:bidi="ar-SA"/>
        </w:rPr>
        <w:t xml:space="preserve">提供统计资料，包括理赔情况等。定期</w:t>
      </w:r>
      <w:r>
        <w:rPr>
          <w:rFonts w:hint="eastAsia" w:ascii="仿宋" w:hAnsi="仿宋" w:eastAsia="仿宋" w:cs="仿宋"/>
          <w:color w:val="auto"/>
          <w:sz w:val="24"/>
          <w:szCs w:val="24"/>
          <w:highlight w:val="none"/>
          <w:lang w:val="en-US" w:eastAsia="zh-CN" w:bidi="ar-SA"/>
        </w:rPr>
        <w:t xml:space="preserve">向</w:t>
      </w:r>
      <w:r>
        <w:rPr>
          <w:rFonts w:hint="eastAsia" w:ascii="仿宋" w:hAnsi="仿宋" w:eastAsia="仿宋" w:cs="仿宋"/>
          <w:color w:val="auto"/>
          <w:sz w:val="24"/>
          <w:szCs w:val="24"/>
          <w:highlight w:val="none"/>
          <w:lang w:val="zh-CN" w:eastAsia="zh-CN" w:bidi="ar-SA"/>
        </w:rPr>
        <w:fldChar w:fldCharType="begin"/>
      </w:r>
      <w:r>
        <w:rPr>
          <w:rFonts w:hint="eastAsia" w:ascii="仿宋" w:hAnsi="仿宋" w:eastAsia="仿宋" w:cs="仿宋"/>
          <w:color w:val="auto"/>
          <w:sz w:val="24"/>
          <w:szCs w:val="24"/>
          <w:highlight w:val="none"/>
          <w:lang w:val="zh-CN" w:eastAsia="zh-CN" w:bidi="ar-SA"/>
        </w:rPr>
        <w:instrText xml:space="preserve"> HYPERLINK "https://www.bidcenter.com.cn/news-104599645-1.html" \o "泰兴市卫生健康委员会关于肺功能仪采购项目的招标公告--采招网" \t "https://www.bidcenter.com.cn/_blank" </w:instrText>
      </w:r>
      <w:r>
        <w:rPr>
          <w:rFonts w:hint="eastAsia" w:ascii="仿宋" w:hAnsi="仿宋" w:eastAsia="仿宋" w:cs="仿宋"/>
          <w:color w:val="auto"/>
          <w:sz w:val="24"/>
          <w:szCs w:val="24"/>
          <w:highlight w:val="none"/>
          <w:lang w:val="zh-CN" w:eastAsia="zh-CN" w:bidi="ar-SA"/>
        </w:rPr>
        <w:fldChar w:fldCharType="separate"/>
      </w:r>
      <w:r>
        <w:rPr>
          <w:rFonts w:hint="eastAsia" w:ascii="仿宋" w:hAnsi="仿宋" w:eastAsia="仿宋" w:cs="仿宋"/>
          <w:color w:val="auto"/>
          <w:sz w:val="24"/>
          <w:szCs w:val="24"/>
          <w:highlight w:val="none"/>
          <w:lang w:val="zh-CN" w:eastAsia="zh-CN" w:bidi="ar-SA"/>
        </w:rPr>
        <w:t xml:space="preserve">泰兴市卫生健康委员会</w:t>
      </w:r>
      <w:r>
        <w:rPr>
          <w:rFonts w:hint="eastAsia" w:ascii="仿宋" w:hAnsi="仿宋" w:eastAsia="仿宋" w:cs="仿宋"/>
          <w:color w:val="auto"/>
          <w:sz w:val="24"/>
          <w:szCs w:val="24"/>
          <w:highlight w:val="none"/>
          <w:lang w:val="zh-CN" w:eastAsia="zh-CN" w:bidi="ar-SA"/>
        </w:rPr>
        <w:fldChar w:fldCharType="end"/>
      </w:r>
      <w:r>
        <w:rPr>
          <w:rFonts w:hint="eastAsia" w:ascii="仿宋" w:hAnsi="仿宋" w:eastAsia="仿宋" w:cs="仿宋"/>
          <w:color w:val="auto"/>
          <w:sz w:val="24"/>
          <w:szCs w:val="24"/>
          <w:highlight w:val="none"/>
          <w:lang w:val="en-US" w:eastAsia="zh-CN" w:bidi="ar-SA"/>
        </w:rPr>
        <w:t xml:space="preserve">提交</w:t>
      </w:r>
      <w:r>
        <w:rPr>
          <w:rFonts w:hint="eastAsia" w:ascii="仿宋" w:hAnsi="仿宋" w:eastAsia="仿宋" w:cs="仿宋"/>
          <w:color w:val="auto"/>
          <w:sz w:val="24"/>
          <w:szCs w:val="24"/>
          <w:highlight w:val="none"/>
          <w:lang w:val="zh-CN" w:eastAsia="zh-CN" w:bidi="ar-SA"/>
        </w:rPr>
        <w:t xml:space="preserve">泰兴市医疗责任保险分析报告。</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中标供应商应对有关出险报案、现场勘查、施救、理赔等在时间、处理办法及措施上有明确的承诺。</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中标供应商承诺不得有违反保险行业相关法律法规内容。</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中标供应商不得以任何理由任何方式给予投保医疗机构及个人保险合同以外的任何利益。</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中标供应商应具备较为健全的服务网络，可供卫健委查询和调阅投保进度和理赔进度，并能及时为投保医疗机构办理投保、理赔及其他相关事宜。</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8.</w:t>
      </w:r>
      <w:r>
        <w:rPr>
          <w:rFonts w:hint="eastAsia" w:ascii="仿宋" w:hAnsi="仿宋" w:eastAsia="仿宋" w:cs="仿宋"/>
          <w:color w:val="auto"/>
          <w:sz w:val="24"/>
          <w:szCs w:val="24"/>
          <w:highlight w:val="none"/>
          <w:lang w:val="zh-CN" w:eastAsia="zh-CN" w:bidi="ar-SA"/>
        </w:rPr>
        <w:t xml:space="preserve">中标供应商应定期对投保医疗机构的风险状况进行了解，对医疗机构前一阶段的实际理赔情况向医疗机构书面告知并提供防灾防损建议，协助医疗机构做好风险防范工作。定期向投保医疗机构提供有关培训，主要包括保险知识、条款解释、理赔服务、防灾防损知识等。同时也可对第三方调解的纠纷提供相应的服务支持计划或建议。</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9.</w:t>
      </w:r>
      <w:r>
        <w:rPr>
          <w:rFonts w:hint="eastAsia" w:ascii="仿宋" w:hAnsi="仿宋" w:eastAsia="仿宋" w:cs="仿宋"/>
          <w:color w:val="auto"/>
          <w:sz w:val="24"/>
          <w:szCs w:val="24"/>
          <w:highlight w:val="none"/>
          <w:lang w:val="zh-CN" w:eastAsia="zh-CN" w:bidi="ar-SA"/>
        </w:rPr>
        <w:t xml:space="preserve">中标供应商不得拒绝医疗机构投保医责保险的要求，在</w:t>
      </w:r>
      <w:r>
        <w:rPr>
          <w:rFonts w:hint="eastAsia" w:ascii="仿宋" w:hAnsi="仿宋" w:eastAsia="仿宋" w:cs="仿宋"/>
          <w:color w:val="auto"/>
          <w:sz w:val="24"/>
          <w:szCs w:val="24"/>
          <w:highlight w:val="none"/>
          <w:lang w:val="en-US" w:eastAsia="zh-CN" w:bidi="ar-SA"/>
        </w:rPr>
        <w:t xml:space="preserve">合同</w:t>
      </w:r>
      <w:r>
        <w:rPr>
          <w:rFonts w:hint="eastAsia" w:ascii="仿宋" w:hAnsi="仿宋" w:eastAsia="仿宋" w:cs="仿宋"/>
          <w:color w:val="auto"/>
          <w:sz w:val="24"/>
          <w:szCs w:val="24"/>
          <w:highlight w:val="none"/>
          <w:lang w:val="zh-CN" w:eastAsia="zh-CN" w:bidi="ar-SA"/>
        </w:rPr>
        <w:t xml:space="preserve">期内应维持费率、理赔和索赔材料的稳定，严格遵守承保的报价和理赔标准。</w:t>
      </w:r>
      <w:r/>
    </w:p>
    <w:p>
      <w:pPr>
        <w:numPr>
          <w:ilvl w:val="0"/>
          <w:numId w:val="0"/>
        </w:numPr>
        <w:ind w:firstLine="480"/>
        <w:jc w:val="left"/>
        <w:pageBreakBefore w:val="0"/>
        <w:spacing w:line="440" w:lineRule="atLeast"/>
        <w:tabs>
          <w:tab w:val="left" w:pos="851" w:leader="none"/>
        </w:tabs>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10.中标供应商具有便捷的服务能力，有专职服务人员，指定专人负责承保、理赔、咨询等工作。</w:t>
      </w:r>
      <w:r>
        <w:rPr>
          <w:rFonts w:hint="default" w:ascii="仿宋" w:hAnsi="仿宋" w:eastAsia="仿宋" w:cs="仿宋"/>
          <w:color w:val="auto"/>
          <w:sz w:val="24"/>
          <w:szCs w:val="24"/>
          <w:highlight w:val="none"/>
          <w:lang w:val="en-US" w:eastAsia="zh-CN" w:bidi="ar-SA"/>
        </w:rPr>
        <w:br/>
      </w:r>
      <w:r>
        <w:rPr>
          <w:rFonts w:hint="eastAsia" w:ascii="仿宋" w:hAnsi="仿宋" w:eastAsia="仿宋" w:cs="仿宋"/>
          <w:color w:val="auto"/>
          <w:sz w:val="24"/>
          <w:szCs w:val="24"/>
          <w:highlight w:val="none"/>
          <w:lang w:val="en-US" w:eastAsia="zh-CN" w:bidi="ar-SA"/>
        </w:rPr>
        <w:t xml:space="preserve">    </w:t>
      </w:r>
      <w:r>
        <w:rPr>
          <w:rFonts w:hint="default" w:ascii="仿宋" w:hAnsi="仿宋" w:eastAsia="仿宋" w:cs="仿宋"/>
          <w:color w:val="auto"/>
          <w:sz w:val="24"/>
          <w:szCs w:val="24"/>
          <w:highlight w:val="none"/>
          <w:lang w:val="en-US" w:eastAsia="zh-CN" w:bidi="ar-SA"/>
        </w:rPr>
        <w:t xml:space="preserve">11. 中标供应商须对所接触到的患者信息、医疗机构信息等承担严格保密义务，未经授权不得泄露或用于其他用途。</w:t>
      </w:r>
      <w:r/>
    </w:p>
    <w:p>
      <w:pPr>
        <w:pStyle w:val="912"/>
        <w:numPr>
          <w:ilvl w:val="0"/>
          <w:numId w:val="0"/>
        </w:numPr>
        <w:rPr>
          <w:rFonts w:hint="default"/>
          <w:lang w:val="en-US" w:eastAsia="zh-CN"/>
        </w:rPr>
      </w:pPr>
      <w:r>
        <w:rPr>
          <w:rFonts w:hint="default"/>
          <w:lang w:val="en-US" w:eastAsia="zh-CN"/>
        </w:rPr>
      </w:r>
      <w:bookmarkEnd w:id="101"/>
      <w:r/>
      <w:bookmarkEnd w:id="102"/>
      <w:r/>
      <w:bookmarkEnd w:id="103"/>
      <w:r/>
      <w:bookmarkEnd w:id="104"/>
      <w:r/>
      <w:bookmarkEnd w:id="105"/>
      <w:r/>
      <w:bookmarkEnd w:id="106"/>
      <w:r/>
      <w:bookmarkEnd w:id="107"/>
      <w:r/>
      <w:bookmarkEnd w:id="108"/>
      <w:r/>
      <w:bookmarkEnd w:id="109"/>
      <w:r/>
      <w:bookmarkEnd w:id="110"/>
      <w:r/>
      <w:r/>
    </w:p>
    <w:p>
      <w:pPr>
        <w:pStyle w:val="868"/>
        <w:jc w:val="center"/>
        <w:spacing w:line="360" w:lineRule="exact"/>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eastAsia" w:ascii="黑体" w:hAnsi="黑体" w:eastAsia="黑体" w:cs="黑体"/>
          <w:b w:val="0"/>
          <w:bCs/>
          <w:highlight w:val="none"/>
          <w:lang w:eastAsia="zh-CN"/>
        </w:rPr>
      </w:pPr>
      <w:r>
        <w:rPr>
          <w:rFonts w:hint="eastAsia" w:ascii="黑体" w:hAnsi="黑体" w:eastAsia="黑体" w:cs="黑体"/>
          <w:b w:val="0"/>
          <w:bCs/>
          <w:highlight w:val="none"/>
          <w:lang w:eastAsia="zh-CN"/>
        </w:rPr>
      </w:r>
      <w:r/>
    </w:p>
    <w:p>
      <w:pPr>
        <w:rPr>
          <w:rFonts w:hint="default" w:ascii="黑体" w:hAnsi="黑体" w:eastAsia="黑体" w:cs="黑体"/>
          <w:b w:val="0"/>
          <w:bCs/>
          <w:highlight w:val="none"/>
          <w:lang w:val="en-US" w:eastAsia="zh-CN"/>
        </w:rPr>
      </w:pPr>
      <w:r>
        <w:rPr>
          <w:rFonts w:hint="default" w:ascii="黑体" w:hAnsi="黑体" w:eastAsia="黑体" w:cs="黑体"/>
          <w:b w:val="0"/>
          <w:bCs/>
          <w:highlight w:val="none"/>
          <w:lang w:val="en-US" w:eastAsia="zh-CN"/>
        </w:rPr>
      </w:r>
      <w:r/>
    </w:p>
    <w:p>
      <w:pPr>
        <w:pStyle w:val="907"/>
        <w:rPr>
          <w:rFonts w:hint="default" w:ascii="黑体" w:hAnsi="黑体" w:eastAsia="黑体" w:cs="黑体"/>
          <w:b w:val="0"/>
          <w:bCs/>
          <w:highlight w:val="none"/>
          <w:lang w:val="en-US" w:eastAsia="zh-CN"/>
        </w:rPr>
      </w:pPr>
      <w:r>
        <w:rPr>
          <w:rFonts w:hint="default" w:ascii="黑体" w:hAnsi="黑体" w:eastAsia="黑体" w:cs="黑体"/>
          <w:b w:val="0"/>
          <w:bCs/>
          <w:highlight w:val="none"/>
          <w:lang w:val="en-US" w:eastAsia="zh-CN"/>
        </w:rPr>
      </w:r>
      <w:r/>
    </w:p>
    <w:p>
      <w:pPr>
        <w:pStyle w:val="907"/>
        <w:rPr>
          <w:rFonts w:hint="default" w:ascii="黑体" w:hAnsi="黑体" w:eastAsia="黑体" w:cs="黑体"/>
          <w:b w:val="0"/>
          <w:bCs/>
          <w:highlight w:val="none"/>
          <w:lang w:val="en-US" w:eastAsia="zh-CN"/>
        </w:rPr>
      </w:pPr>
      <w:r>
        <w:rPr>
          <w:rFonts w:hint="default" w:ascii="黑体" w:hAnsi="黑体" w:eastAsia="黑体" w:cs="黑体"/>
          <w:b w:val="0"/>
          <w:bCs/>
          <w:highlight w:val="none"/>
          <w:lang w:val="en-US" w:eastAsia="zh-CN"/>
        </w:rPr>
      </w:r>
      <w:r/>
    </w:p>
    <w:p>
      <w:pPr>
        <w:pStyle w:val="907"/>
        <w:rPr>
          <w:rFonts w:hint="default" w:ascii="黑体" w:hAnsi="黑体" w:eastAsia="黑体" w:cs="黑体"/>
          <w:b w:val="0"/>
          <w:bCs/>
          <w:highlight w:val="none"/>
          <w:lang w:val="en-US" w:eastAsia="zh-CN"/>
        </w:rPr>
      </w:pPr>
      <w:r>
        <w:rPr>
          <w:rFonts w:hint="default" w:ascii="黑体" w:hAnsi="黑体" w:eastAsia="黑体" w:cs="黑体"/>
          <w:b w:val="0"/>
          <w:bCs/>
          <w:highlight w:val="none"/>
          <w:lang w:val="en-US" w:eastAsia="zh-CN"/>
        </w:rPr>
      </w:r>
      <w:r/>
    </w:p>
    <w:p>
      <w:pPr>
        <w:pStyle w:val="907"/>
        <w:rPr>
          <w:rFonts w:hint="default" w:ascii="黑体" w:hAnsi="黑体" w:eastAsia="黑体" w:cs="黑体"/>
          <w:b w:val="0"/>
          <w:bCs/>
          <w:highlight w:val="none"/>
          <w:lang w:val="en-US" w:eastAsia="zh-CN"/>
        </w:rPr>
      </w:pPr>
      <w:r>
        <w:rPr>
          <w:rFonts w:hint="default" w:ascii="黑体" w:hAnsi="黑体" w:eastAsia="黑体" w:cs="黑体"/>
          <w:b w:val="0"/>
          <w:bCs/>
          <w:highlight w:val="none"/>
          <w:lang w:val="en-US" w:eastAsia="zh-CN"/>
        </w:rPr>
      </w:r>
      <w:r/>
    </w:p>
    <w:p>
      <w:pPr>
        <w:pStyle w:val="907"/>
        <w:rPr>
          <w:rFonts w:hint="default" w:ascii="黑体" w:hAnsi="黑体" w:eastAsia="黑体" w:cs="黑体"/>
          <w:b w:val="0"/>
          <w:bCs/>
          <w:highlight w:val="none"/>
          <w:lang w:val="en-US" w:eastAsia="zh-CN"/>
        </w:rPr>
      </w:pPr>
      <w:r>
        <w:rPr>
          <w:rFonts w:hint="default" w:ascii="黑体" w:hAnsi="黑体" w:eastAsia="黑体" w:cs="黑体"/>
          <w:b w:val="0"/>
          <w:bCs/>
          <w:highlight w:val="none"/>
          <w:lang w:val="en-US" w:eastAsia="zh-CN"/>
        </w:rPr>
      </w:r>
      <w:r/>
    </w:p>
    <w:p>
      <w:pPr>
        <w:pStyle w:val="907"/>
        <w:rPr>
          <w:rFonts w:hint="default" w:ascii="黑体" w:hAnsi="黑体" w:eastAsia="黑体" w:cs="黑体"/>
          <w:b w:val="0"/>
          <w:bCs/>
          <w:highlight w:val="none"/>
          <w:lang w:val="en-US" w:eastAsia="zh-CN"/>
        </w:rPr>
      </w:pPr>
      <w:r>
        <w:rPr>
          <w:rFonts w:hint="default" w:ascii="黑体" w:hAnsi="黑体" w:eastAsia="黑体" w:cs="黑体"/>
          <w:b w:val="0"/>
          <w:bCs/>
          <w:highlight w:val="none"/>
          <w:lang w:val="en-US" w:eastAsia="zh-CN"/>
        </w:rPr>
      </w:r>
      <w:r/>
    </w:p>
    <w:p>
      <w:pPr>
        <w:pStyle w:val="907"/>
        <w:rPr>
          <w:rFonts w:hint="default" w:ascii="黑体" w:hAnsi="黑体" w:eastAsia="黑体" w:cs="黑体"/>
          <w:b w:val="0"/>
          <w:bCs/>
          <w:highlight w:val="none"/>
          <w:lang w:val="en-US" w:eastAsia="zh-CN"/>
        </w:rPr>
      </w:pPr>
      <w:r>
        <w:rPr>
          <w:rFonts w:hint="default" w:ascii="黑体" w:hAnsi="黑体" w:eastAsia="黑体" w:cs="黑体"/>
          <w:b w:val="0"/>
          <w:bCs/>
          <w:highlight w:val="none"/>
          <w:lang w:val="en-US" w:eastAsia="zh-CN"/>
        </w:rPr>
      </w:r>
      <w:r/>
    </w:p>
    <w:p>
      <w:pPr>
        <w:pStyle w:val="907"/>
        <w:rPr>
          <w:rFonts w:hint="default" w:ascii="黑体" w:hAnsi="黑体" w:eastAsia="黑体" w:cs="黑体"/>
          <w:b w:val="0"/>
          <w:bCs/>
          <w:highlight w:val="none"/>
          <w:lang w:val="en-US" w:eastAsia="zh-CN"/>
        </w:rPr>
      </w:pPr>
      <w:r>
        <w:rPr>
          <w:rFonts w:hint="default" w:ascii="黑体" w:hAnsi="黑体" w:eastAsia="黑体" w:cs="黑体"/>
          <w:b w:val="0"/>
          <w:bCs/>
          <w:highlight w:val="none"/>
          <w:lang w:val="en-US" w:eastAsia="zh-CN"/>
        </w:rPr>
      </w:r>
      <w:r/>
    </w:p>
    <w:p>
      <w:pPr>
        <w:pStyle w:val="907"/>
        <w:rPr>
          <w:rFonts w:hint="default" w:ascii="黑体" w:hAnsi="黑体" w:eastAsia="黑体" w:cs="黑体"/>
          <w:b w:val="0"/>
          <w:bCs/>
          <w:highlight w:val="none"/>
          <w:lang w:val="en-US" w:eastAsia="zh-CN"/>
        </w:rPr>
      </w:pPr>
      <w:r>
        <w:rPr>
          <w:rFonts w:hint="default" w:ascii="黑体" w:hAnsi="黑体" w:eastAsia="黑体" w:cs="黑体"/>
          <w:b w:val="0"/>
          <w:bCs/>
          <w:highlight w:val="none"/>
          <w:lang w:val="en-US" w:eastAsia="zh-CN"/>
        </w:rPr>
      </w:r>
      <w:r/>
    </w:p>
    <w:p>
      <w:pPr>
        <w:pStyle w:val="907"/>
        <w:rPr>
          <w:rFonts w:hint="default" w:ascii="黑体" w:hAnsi="黑体" w:eastAsia="黑体" w:cs="黑体"/>
          <w:b w:val="0"/>
          <w:bCs/>
          <w:highlight w:val="none"/>
          <w:lang w:val="en-US" w:eastAsia="zh-CN"/>
        </w:rPr>
      </w:pPr>
      <w:r>
        <w:rPr>
          <w:rFonts w:hint="default" w:ascii="黑体" w:hAnsi="黑体" w:eastAsia="黑体" w:cs="黑体"/>
          <w:b w:val="0"/>
          <w:bCs/>
          <w:highlight w:val="none"/>
          <w:lang w:val="en-US" w:eastAsia="zh-CN"/>
        </w:rPr>
      </w:r>
      <w:r/>
    </w:p>
    <w:p>
      <w:pPr>
        <w:pStyle w:val="868"/>
        <w:jc w:val="center"/>
        <w:spacing w:line="360" w:lineRule="exact"/>
        <w:rPr>
          <w:rFonts w:hint="eastAsia" w:ascii="黑体" w:hAnsi="黑体" w:eastAsia="黑体" w:cs="黑体"/>
          <w:b w:val="0"/>
          <w:bCs/>
          <w:highlight w:val="none"/>
          <w:lang w:eastAsia="zh-CN"/>
        </w:rPr>
      </w:pPr>
      <w:r/>
      <w:bookmarkStart w:id="163" w:name="_Toc16032"/>
      <w:r>
        <w:rPr>
          <w:rFonts w:hint="eastAsia" w:ascii="黑体" w:hAnsi="黑体" w:eastAsia="黑体" w:cs="黑体"/>
          <w:b w:val="0"/>
          <w:bCs/>
          <w:highlight w:val="none"/>
          <w:lang w:eastAsia="zh-CN"/>
        </w:rPr>
        <w:t xml:space="preserve">第</w:t>
      </w:r>
      <w:r>
        <w:rPr>
          <w:rFonts w:hint="eastAsia" w:ascii="黑体" w:hAnsi="黑体" w:eastAsia="黑体" w:cs="黑体"/>
          <w:b w:val="0"/>
          <w:bCs/>
          <w:highlight w:val="none"/>
          <w:lang w:val="en-US" w:eastAsia="zh-CN"/>
        </w:rPr>
        <w:t xml:space="preserve">七</w:t>
      </w:r>
      <w:r>
        <w:rPr>
          <w:rFonts w:hint="eastAsia" w:ascii="黑体" w:hAnsi="黑体" w:eastAsia="黑体" w:cs="黑体"/>
          <w:b w:val="0"/>
          <w:bCs/>
          <w:highlight w:val="none"/>
          <w:lang w:eastAsia="zh-CN"/>
        </w:rPr>
        <w:t xml:space="preserve">章  投标文件格式</w:t>
      </w:r>
      <w:bookmarkEnd w:id="163"/>
      <w:r/>
      <w:r/>
    </w:p>
    <w:p>
      <w:p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jc w:val="center"/>
        <w:keepLines w:val="0"/>
        <w:keepNext w:val="0"/>
        <w:pageBreakBefore w:val="0"/>
        <w:spacing w:line="360" w:lineRule="auto"/>
        <w:widowControl/>
        <w:rPr>
          <w:rFonts w:hint="default" w:ascii="仿宋" w:hAnsi="仿宋" w:eastAsia="仿宋" w:cs="仿宋"/>
          <w:b/>
          <w:bCs/>
          <w:color w:val="000000"/>
          <w:sz w:val="28"/>
          <w:szCs w:val="28"/>
          <w:highlight w:val="none"/>
          <w:lang w:val="en-US" w:eastAsia="zh-CN"/>
        </w:rPr>
      </w:pPr>
      <w:r>
        <w:rPr>
          <w:rFonts w:hint="default" w:ascii="仿宋" w:hAnsi="仿宋" w:eastAsia="仿宋" w:cs="仿宋"/>
          <w:b/>
          <w:bCs/>
          <w:color w:val="000000"/>
          <w:sz w:val="28"/>
          <w:szCs w:val="28"/>
          <w:highlight w:val="none"/>
          <w:lang w:val="en-US" w:eastAsia="zh-CN"/>
        </w:rPr>
      </w:r>
      <w:r/>
    </w:p>
    <w:p>
      <w:pPr>
        <w:numPr>
          <w:ilvl w:val="0"/>
          <w:numId w:val="13"/>
        </w:num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投标函</w:t>
      </w:r>
      <w:r/>
    </w:p>
    <w:p>
      <w:pPr>
        <w:pStyle w:val="912"/>
        <w:numPr>
          <w:ilvl w:val="0"/>
          <w:numId w:val="13"/>
        </w:numPr>
        <w:ind w:left="0" w:firstLine="0"/>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开标一览表</w:t>
      </w:r>
      <w:r/>
    </w:p>
    <w:p>
      <w:pPr>
        <w:pStyle w:val="912"/>
        <w:numPr>
          <w:ilvl w:val="0"/>
          <w:numId w:val="13"/>
        </w:numPr>
        <w:ind w:left="0" w:firstLine="0"/>
        <w:rPr>
          <w:rFonts w:hint="default"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rPr>
        <w:t xml:space="preserve">分项报价表</w:t>
      </w:r>
      <w:r/>
    </w:p>
    <w:p>
      <w:pPr>
        <w:numPr>
          <w:ilvl w:val="0"/>
          <w:numId w:val="0"/>
        </w:numPr>
        <w:jc w:val="both"/>
        <w:keepLines w:val="0"/>
        <w:keepNext w:val="0"/>
        <w:pageBreakBefore w:val="0"/>
        <w:spacing w:line="360" w:lineRule="auto"/>
        <w:widowControl/>
        <w:rPr>
          <w:rFonts w:hint="default"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bidi="ar-SA"/>
        </w:rPr>
        <w:t xml:space="preserve">四</w:t>
      </w:r>
      <w:r>
        <w:rPr>
          <w:rFonts w:hint="default" w:ascii="仿宋" w:hAnsi="仿宋" w:eastAsia="仿宋" w:cs="仿宋"/>
          <w:b/>
          <w:bCs/>
          <w:color w:val="000000"/>
          <w:sz w:val="28"/>
          <w:szCs w:val="28"/>
          <w:highlight w:val="none"/>
          <w:lang w:val="en-US" w:eastAsia="zh-CN" w:bidi="ar-SA"/>
        </w:rPr>
        <w:t xml:space="preserve">、</w:t>
      </w:r>
      <w:r>
        <w:rPr>
          <w:rFonts w:hint="eastAsia" w:ascii="仿宋" w:hAnsi="仿宋" w:eastAsia="仿宋" w:cs="仿宋"/>
          <w:b/>
          <w:bCs/>
          <w:color w:val="000000"/>
          <w:sz w:val="28"/>
          <w:szCs w:val="28"/>
          <w:highlight w:val="none"/>
          <w:lang w:val="en-US" w:eastAsia="zh-CN"/>
        </w:rPr>
        <w:t xml:space="preserve">偏离表</w:t>
      </w:r>
      <w:r/>
    </w:p>
    <w:p>
      <w:pPr>
        <w:numPr>
          <w:ilvl w:val="0"/>
          <w:numId w:val="0"/>
        </w:numPr>
        <w:jc w:val="both"/>
        <w:keepLines w:val="0"/>
        <w:keepNext w:val="0"/>
        <w:pageBreakBefore w:val="0"/>
        <w:spacing w:line="360" w:lineRule="auto"/>
        <w:widowControl/>
        <w:rPr>
          <w:rFonts w:hint="default"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bidi="ar-SA"/>
        </w:rPr>
        <w:t xml:space="preserve">五</w:t>
      </w:r>
      <w:r>
        <w:rPr>
          <w:rFonts w:hint="default" w:ascii="仿宋" w:hAnsi="仿宋" w:eastAsia="仿宋" w:cs="仿宋"/>
          <w:b/>
          <w:bCs/>
          <w:color w:val="000000"/>
          <w:sz w:val="28"/>
          <w:szCs w:val="28"/>
          <w:highlight w:val="none"/>
          <w:lang w:val="en-US" w:eastAsia="zh-CN" w:bidi="ar-SA"/>
        </w:rPr>
        <w:t xml:space="preserve">、</w:t>
      </w:r>
      <w:r>
        <w:rPr>
          <w:rFonts w:hint="eastAsia" w:ascii="仿宋" w:hAnsi="仿宋" w:eastAsia="仿宋" w:cs="仿宋"/>
          <w:b/>
          <w:bCs/>
          <w:color w:val="000000"/>
          <w:sz w:val="28"/>
          <w:szCs w:val="28"/>
          <w:highlight w:val="none"/>
          <w:lang w:val="en-US" w:eastAsia="zh-CN"/>
        </w:rPr>
        <w:t xml:space="preserve">法定代表人（负责人）授权书或法定代表人（负责人）身份证明书</w:t>
      </w:r>
      <w:r/>
    </w:p>
    <w:p>
      <w:pPr>
        <w:numPr>
          <w:ilvl w:val="0"/>
          <w:numId w:val="0"/>
        </w:numPr>
        <w:jc w:val="both"/>
        <w:keepLines w:val="0"/>
        <w:keepNext w:val="0"/>
        <w:pageBreakBefore w:val="0"/>
        <w:spacing w:line="360" w:lineRule="auto"/>
        <w:widowControl/>
        <w:rPr>
          <w:rFonts w:hint="default"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bidi="ar-SA"/>
        </w:rPr>
        <w:t xml:space="preserve">六</w:t>
      </w:r>
      <w:r>
        <w:rPr>
          <w:rFonts w:hint="default" w:ascii="仿宋" w:hAnsi="仿宋" w:eastAsia="仿宋" w:cs="仿宋"/>
          <w:b/>
          <w:bCs/>
          <w:color w:val="000000"/>
          <w:sz w:val="28"/>
          <w:szCs w:val="28"/>
          <w:highlight w:val="none"/>
          <w:lang w:val="en-US" w:eastAsia="zh-CN" w:bidi="ar-SA"/>
        </w:rPr>
        <w:t xml:space="preserve">、</w:t>
      </w:r>
      <w:r>
        <w:rPr>
          <w:rFonts w:hint="eastAsia" w:ascii="仿宋" w:hAnsi="仿宋" w:eastAsia="仿宋" w:cs="仿宋"/>
          <w:b/>
          <w:bCs/>
          <w:color w:val="000000"/>
          <w:sz w:val="28"/>
          <w:szCs w:val="28"/>
          <w:highlight w:val="none"/>
          <w:lang w:val="en-US" w:eastAsia="zh-CN"/>
        </w:rPr>
        <w:t xml:space="preserve">中小企业声明函</w:t>
      </w:r>
      <w:r/>
    </w:p>
    <w:p>
      <w:pPr>
        <w:numPr>
          <w:ilvl w:val="0"/>
          <w:numId w:val="0"/>
        </w:numPr>
        <w:jc w:val="both"/>
        <w:keepLines w:val="0"/>
        <w:keepNext w:val="0"/>
        <w:pageBreakBefore w:val="0"/>
        <w:spacing w:line="360" w:lineRule="auto"/>
        <w:widowControl/>
        <w:rPr>
          <w:rFonts w:hint="default"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bidi="ar-SA"/>
        </w:rPr>
        <w:t xml:space="preserve">七</w:t>
      </w:r>
      <w:r>
        <w:rPr>
          <w:rFonts w:hint="default" w:ascii="仿宋" w:hAnsi="仿宋" w:eastAsia="仿宋" w:cs="仿宋"/>
          <w:b/>
          <w:bCs/>
          <w:color w:val="000000"/>
          <w:sz w:val="28"/>
          <w:szCs w:val="28"/>
          <w:highlight w:val="none"/>
          <w:lang w:val="en-US" w:eastAsia="zh-CN" w:bidi="ar-SA"/>
        </w:rPr>
        <w:t xml:space="preserve">、</w:t>
      </w:r>
      <w:r>
        <w:rPr>
          <w:rFonts w:hint="eastAsia" w:ascii="仿宋" w:hAnsi="仿宋" w:eastAsia="仿宋" w:cs="仿宋"/>
          <w:b/>
          <w:bCs/>
          <w:color w:val="000000"/>
          <w:sz w:val="28"/>
          <w:szCs w:val="28"/>
          <w:highlight w:val="none"/>
          <w:lang w:val="en-US" w:eastAsia="zh-CN"/>
        </w:rPr>
        <w:t xml:space="preserve">残疾人福利性单位声明函</w:t>
      </w:r>
      <w:r/>
    </w:p>
    <w:p>
      <w:pPr>
        <w:numPr>
          <w:ilvl w:val="0"/>
          <w:numId w:val="0"/>
        </w:num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八</w:t>
      </w:r>
      <w:r>
        <w:rPr>
          <w:rFonts w:hint="default" w:ascii="仿宋" w:hAnsi="仿宋" w:eastAsia="仿宋" w:cs="仿宋"/>
          <w:b/>
          <w:bCs/>
          <w:color w:val="000000"/>
          <w:sz w:val="28"/>
          <w:szCs w:val="28"/>
          <w:highlight w:val="none"/>
          <w:lang w:val="en-US" w:eastAsia="zh-CN" w:bidi="ar-SA"/>
        </w:rPr>
        <w:t xml:space="preserve">、</w:t>
      </w:r>
      <w:r>
        <w:rPr>
          <w:rFonts w:hint="eastAsia" w:ascii="仿宋" w:hAnsi="仿宋" w:eastAsia="仿宋" w:cs="仿宋"/>
          <w:b/>
          <w:bCs/>
          <w:color w:val="000000"/>
          <w:sz w:val="28"/>
          <w:szCs w:val="28"/>
          <w:highlight w:val="none"/>
          <w:lang w:val="en-US" w:eastAsia="zh-CN" w:bidi="ar-SA"/>
        </w:rPr>
        <w:t xml:space="preserve">投标人参加政府采购活动前3年内在经营活动中没有重大违法记录的书面声明</w:t>
      </w:r>
      <w:r/>
    </w:p>
    <w:p>
      <w:pPr>
        <w:numPr>
          <w:ilvl w:val="0"/>
          <w:numId w:val="0"/>
        </w:num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bidi="ar-SA"/>
        </w:rPr>
        <w:t xml:space="preserve">九、</w:t>
      </w:r>
      <w:r>
        <w:rPr>
          <w:rFonts w:hint="eastAsia" w:ascii="仿宋" w:hAnsi="仿宋" w:eastAsia="仿宋" w:cs="仿宋"/>
          <w:b/>
          <w:bCs/>
          <w:color w:val="000000"/>
          <w:sz w:val="28"/>
          <w:szCs w:val="28"/>
          <w:highlight w:val="none"/>
          <w:lang w:val="en-US" w:eastAsia="zh-CN"/>
        </w:rPr>
        <w:t xml:space="preserve">具备履行合同所必需的设备和专业技术能力的声明</w:t>
      </w:r>
      <w:r/>
    </w:p>
    <w:p>
      <w:pPr>
        <w:pStyle w:val="912"/>
        <w:ind w:left="0" w:firstLine="0"/>
        <w:rPr>
          <w:rFonts w:hint="default"/>
          <w:lang w:val="en-US" w:eastAsia="zh-CN"/>
        </w:rPr>
      </w:pPr>
      <w:r>
        <w:rPr>
          <w:rFonts w:hint="eastAsia" w:ascii="仿宋" w:hAnsi="仿宋" w:eastAsia="仿宋" w:cs="仿宋"/>
          <w:b/>
          <w:bCs/>
          <w:color w:val="000000"/>
          <w:sz w:val="28"/>
          <w:szCs w:val="28"/>
          <w:highlight w:val="none"/>
          <w:lang w:val="en-US" w:eastAsia="zh-CN"/>
        </w:rPr>
        <w:t xml:space="preserve">十、关于符合本国产品标准的声明函</w:t>
      </w:r>
      <w:r/>
    </w:p>
    <w:p>
      <w:pPr>
        <w:numPr>
          <w:ilvl w:val="0"/>
          <w:numId w:val="0"/>
        </w:numPr>
        <w:jc w:val="both"/>
        <w:keepLines w:val="0"/>
        <w:keepNext w:val="0"/>
        <w:pageBreakBefore w:val="0"/>
        <w:spacing w:line="360" w:lineRule="auto"/>
        <w:widowControl/>
        <w:rPr>
          <w:rFonts w:hint="default"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十一、</w:t>
      </w:r>
      <w:r>
        <w:rPr>
          <w:rFonts w:hint="eastAsia" w:ascii="仿宋" w:hAnsi="仿宋" w:eastAsia="仿宋" w:cs="仿宋"/>
          <w:b/>
          <w:bCs/>
          <w:color w:val="000000"/>
          <w:sz w:val="28"/>
          <w:szCs w:val="28"/>
          <w:highlight w:val="none"/>
          <w:lang w:val="en-US" w:eastAsia="zh-CN"/>
        </w:rPr>
        <w:t xml:space="preserve">质疑函范本</w:t>
      </w:r>
      <w:r/>
    </w:p>
    <w:p>
      <w:pPr>
        <w:numPr>
          <w:ilvl w:val="0"/>
          <w:numId w:val="0"/>
        </w:num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r>
      <w:r/>
    </w:p>
    <w:p>
      <w:pPr>
        <w:numPr>
          <w:ilvl w:val="0"/>
          <w:numId w:val="0"/>
        </w:num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r>
      <w:r/>
    </w:p>
    <w:p>
      <w:pPr>
        <w:numPr>
          <w:ilvl w:val="0"/>
          <w:numId w:val="0"/>
        </w:num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r>
      <w:r/>
    </w:p>
    <w:p>
      <w:pPr>
        <w:numPr>
          <w:ilvl w:val="0"/>
          <w:numId w:val="0"/>
        </w:numPr>
        <w:jc w:val="both"/>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r>
      <w:r/>
    </w:p>
    <w:p>
      <w:p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912"/>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一、投标函</w:t>
      </w:r>
      <w:r/>
    </w:p>
    <w:p>
      <w:pPr>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致：</w:t>
      </w:r>
      <w:r>
        <w:rPr>
          <w:rFonts w:hint="eastAsia" w:ascii="仿宋" w:hAnsi="仿宋" w:eastAsia="仿宋" w:cs="仿宋"/>
          <w:sz w:val="24"/>
          <w:szCs w:val="24"/>
          <w:highlight w:val="none"/>
          <w:lang w:val="en-US" w:eastAsia="zh-CN"/>
        </w:rPr>
        <w:t xml:space="preserve">泰兴市卫生健康委员会</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w:t>
      </w:r>
      <w:r>
        <w:rPr>
          <w:rFonts w:hint="eastAsia" w:ascii="仿宋" w:hAnsi="仿宋" w:eastAsia="仿宋" w:cs="仿宋"/>
          <w:sz w:val="24"/>
          <w:szCs w:val="24"/>
          <w:highlight w:val="none"/>
          <w:u w:val="single"/>
          <w:lang w:val="en-US" w:eastAsia="zh-CN"/>
        </w:rPr>
        <w:t xml:space="preserve">（名称） </w:t>
      </w:r>
      <w:r>
        <w:rPr>
          <w:rFonts w:hint="eastAsia" w:ascii="仿宋" w:hAnsi="仿宋" w:eastAsia="仿宋" w:cs="仿宋"/>
          <w:sz w:val="24"/>
          <w:szCs w:val="24"/>
          <w:highlight w:val="none"/>
        </w:rPr>
        <w:t xml:space="preserve">项目[项目编号</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rPr>
        <w:t xml:space="preserve">]招标文件，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rPr>
        <w:t xml:space="preserve">姓名</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代表我方</w:t>
      </w:r>
      <w:r>
        <w:rPr>
          <w:rFonts w:hint="eastAsia" w:ascii="仿宋" w:hAnsi="仿宋" w:eastAsia="仿宋" w:cs="仿宋"/>
          <w:sz w:val="24"/>
          <w:szCs w:val="24"/>
          <w:highlight w:val="none"/>
          <w:u w:val="single"/>
        </w:rPr>
        <w:t xml:space="preserve">（投标人的名称</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全权处理本次投标的有关事宜。</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据此函，投标人承诺并同意如下： </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1.投标人唯一投标报价见《开标一览表》。</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2.投标人将</w:t>
      </w:r>
      <w:r>
        <w:rPr>
          <w:rFonts w:hint="eastAsia" w:ascii="仿宋" w:hAnsi="仿宋" w:eastAsia="仿宋" w:cs="仿宋"/>
          <w:sz w:val="24"/>
          <w:szCs w:val="24"/>
          <w:highlight w:val="none"/>
          <w:lang w:eastAsia="zh-CN"/>
        </w:rPr>
        <w:t xml:space="preserve">按照</w:t>
      </w:r>
      <w:r>
        <w:rPr>
          <w:rFonts w:hint="eastAsia" w:ascii="仿宋" w:hAnsi="仿宋" w:eastAsia="仿宋" w:cs="仿宋"/>
          <w:sz w:val="24"/>
          <w:szCs w:val="24"/>
          <w:highlight w:val="none"/>
        </w:rPr>
        <w:t xml:space="preserve">招标文件的规定履行合同责任和义务。</w:t>
      </w:r>
      <w:r/>
    </w:p>
    <w:p>
      <w:pPr>
        <w:ind w:firstLine="480"/>
        <w:keepLines w:val="0"/>
        <w:keepNext w:val="0"/>
        <w:pageBreakBefore w:val="0"/>
        <w:spacing w:line="36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3.投标人已详细审查全部招标文件</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投标人</w:t>
      </w:r>
      <w:r>
        <w:rPr>
          <w:rFonts w:hint="eastAsia" w:ascii="仿宋" w:hAnsi="仿宋" w:eastAsia="仿宋" w:cs="仿宋"/>
          <w:b w:val="0"/>
          <w:bCs w:val="0"/>
          <w:sz w:val="24"/>
          <w:szCs w:val="24"/>
          <w:highlight w:val="none"/>
          <w:lang w:val="en-US" w:eastAsia="zh-CN"/>
        </w:rPr>
        <w:t xml:space="preserve">对招标文件的内容完全响应，</w:t>
      </w:r>
      <w:r>
        <w:rPr>
          <w:rFonts w:hint="eastAsia" w:ascii="仿宋" w:hAnsi="仿宋" w:eastAsia="仿宋" w:cs="仿宋"/>
          <w:b w:val="0"/>
          <w:bCs w:val="0"/>
          <w:sz w:val="24"/>
          <w:szCs w:val="24"/>
          <w:highlight w:val="none"/>
        </w:rPr>
        <w:t xml:space="preserve">完全理解并同意放弃对这方面有不明及误解的</w:t>
      </w:r>
      <w:r>
        <w:rPr>
          <w:rFonts w:hint="eastAsia" w:ascii="仿宋" w:hAnsi="仿宋" w:eastAsia="仿宋" w:cs="仿宋"/>
          <w:b w:val="0"/>
          <w:bCs w:val="0"/>
          <w:sz w:val="24"/>
          <w:szCs w:val="24"/>
          <w:highlight w:val="none"/>
          <w:lang w:val="en-US" w:eastAsia="zh-CN"/>
        </w:rPr>
        <w:t xml:space="preserve">权利</w:t>
      </w:r>
      <w:r>
        <w:rPr>
          <w:rFonts w:hint="eastAsia" w:ascii="仿宋" w:hAnsi="仿宋" w:eastAsia="仿宋" w:cs="仿宋"/>
          <w:b w:val="0"/>
          <w:bCs w:val="0"/>
          <w:sz w:val="24"/>
          <w:szCs w:val="24"/>
          <w:highlight w:val="none"/>
        </w:rPr>
        <w:t xml:space="preserve">。</w:t>
      </w:r>
      <w:r/>
    </w:p>
    <w:p>
      <w:pPr>
        <w:ind w:firstLine="480"/>
        <w:keepLines w:val="0"/>
        <w:keepNext w:val="0"/>
        <w:pageBreakBefore w:val="0"/>
        <w:spacing w:line="36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4.投标人同意成立疑难案件协商小组，并共同协商解决。</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.投标有效期为</w:t>
      </w:r>
      <w:r>
        <w:rPr>
          <w:rFonts w:hint="eastAsia" w:ascii="仿宋" w:hAnsi="仿宋" w:eastAsia="仿宋" w:cs="仿宋"/>
          <w:sz w:val="24"/>
          <w:szCs w:val="24"/>
          <w:highlight w:val="none"/>
          <w:lang w:val="en-US" w:eastAsia="zh-CN"/>
        </w:rPr>
        <w:t xml:space="preserve">90</w:t>
      </w:r>
      <w:r>
        <w:rPr>
          <w:rFonts w:hint="eastAsia" w:ascii="仿宋" w:hAnsi="仿宋" w:eastAsia="仿宋" w:cs="仿宋"/>
          <w:sz w:val="24"/>
          <w:szCs w:val="24"/>
          <w:highlight w:val="none"/>
        </w:rPr>
        <w:t xml:space="preserve">天。</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.投标人同意提供按照贵方可能要求的与其投标有关的一切数据或资料，完全理解贵方不一定接受最低价的投标或收到的任何投标。</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代理机构</w:t>
      </w:r>
      <w:r>
        <w:rPr>
          <w:rFonts w:hint="eastAsia" w:ascii="仿宋" w:hAnsi="仿宋" w:eastAsia="仿宋" w:cs="仿宋"/>
          <w:sz w:val="24"/>
          <w:szCs w:val="24"/>
          <w:highlight w:val="none"/>
        </w:rPr>
        <w:t xml:space="preserve">有权将我单位本项目的《开标一览表》予以公示，公示的方式由</w:t>
      </w:r>
      <w:r>
        <w:rPr>
          <w:rFonts w:hint="eastAsia" w:ascii="仿宋" w:hAnsi="仿宋" w:eastAsia="仿宋" w:cs="仿宋"/>
          <w:sz w:val="24"/>
          <w:szCs w:val="24"/>
          <w:highlight w:val="none"/>
          <w:lang w:val="en-US" w:eastAsia="zh-CN"/>
        </w:rPr>
        <w:t xml:space="preserve">代理机构</w:t>
      </w:r>
      <w:r>
        <w:rPr>
          <w:rFonts w:hint="eastAsia" w:ascii="仿宋" w:hAnsi="仿宋" w:eastAsia="仿宋" w:cs="仿宋"/>
          <w:sz w:val="24"/>
          <w:szCs w:val="24"/>
          <w:highlight w:val="none"/>
        </w:rPr>
        <w:t xml:space="preserve">确定。</w:t>
      </w:r>
      <w:r/>
    </w:p>
    <w:p>
      <w:pPr>
        <w:pStyle w:val="912"/>
        <w:ind w:left="0" w:firstLine="480"/>
        <w:jc w:val="both"/>
        <w:keepLines w:val="0"/>
        <w:keepNext w:val="0"/>
        <w:pageBreakBefore w:val="0"/>
        <w:spacing w:line="360" w:lineRule="auto"/>
        <w:widowControl w:val="off"/>
        <w:rPr>
          <w:rFonts w:hint="eastAsia" w:ascii="Times New Roman" w:hAnsi="Times New Roman" w:eastAsia="仿宋" w:cs="Times New Roman"/>
          <w:sz w:val="24"/>
          <w:szCs w:val="24"/>
          <w:lang w:val="en-US" w:eastAsia="zh-CN" w:bidi="ar-SA"/>
        </w:rPr>
      </w:pPr>
      <w:r>
        <w:rPr>
          <w:rFonts w:hint="eastAsia" w:ascii="仿宋" w:hAnsi="仿宋" w:eastAsia="仿宋" w:cs="仿宋"/>
          <w:sz w:val="24"/>
          <w:szCs w:val="24"/>
          <w:highlight w:val="none"/>
          <w:lang w:val="en-US" w:eastAsia="zh-CN"/>
        </w:rPr>
        <w:t xml:space="preserve">8.</w:t>
      </w:r>
      <w:r>
        <w:rPr>
          <w:rFonts w:hint="eastAsia" w:ascii="Times New Roman" w:hAnsi="Times New Roman" w:eastAsia="仿宋" w:cs="Times New Roman"/>
          <w:sz w:val="24"/>
          <w:szCs w:val="24"/>
          <w:lang w:val="en-US" w:eastAsia="zh-CN" w:bidi="ar-SA"/>
        </w:rPr>
        <w:t xml:space="preserve">中标供应商承诺保险期限从2026年6月30日0时起，并承担自2026年6月30日0时起的保险责任及赔偿义务。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 w:val="24"/>
          <w:szCs w:val="24"/>
          <w:highlight w:val="none"/>
          <w:lang w:val="en-US" w:eastAsia="zh-CN"/>
        </w:rPr>
        <w:t xml:space="preserve">9.投标人承诺根据招标文件要求自行编制有利于承保、理赔、宣传、业管、防灾防损、增值服务等客户服务的内容或方案。</w:t>
      </w:r>
      <w:r>
        <w:rPr>
          <w:rFonts w:ascii="FangSong" w:hAnsi="FangSong" w:eastAsia="FangSong" w:cs="FangSong"/>
          <w:color w:val="000000"/>
          <w:sz w:val="24"/>
        </w:rPr>
        <w:t xml:space="preserve">承诺提取一定比例费用用于疑难案件纠纷处理及相关防灾防损服务。</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sz w:val="24"/>
          <w:szCs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与本投标有关的一切正式往来信函请寄：</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 </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电话： </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投标人：（</w:t>
      </w:r>
      <w:r>
        <w:rPr>
          <w:rFonts w:hint="eastAsia" w:ascii="仿宋" w:hAnsi="仿宋" w:eastAsia="仿宋" w:cs="仿宋"/>
          <w:sz w:val="24"/>
          <w:highlight w:val="none"/>
          <w:lang w:eastAsia="zh-CN"/>
        </w:rPr>
        <w:t xml:space="preserve">盖</w:t>
      </w:r>
      <w:r>
        <w:rPr>
          <w:rFonts w:hint="eastAsia" w:ascii="仿宋" w:hAnsi="仿宋" w:eastAsia="仿宋" w:cs="仿宋"/>
          <w:sz w:val="24"/>
          <w:szCs w:val="24"/>
          <w:highlight w:val="none"/>
        </w:rPr>
        <w:t xml:space="preserve">电子签章）  </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日期：   年  月  日</w:t>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912"/>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二、开标一览表</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项目编号： </w:t>
      </w:r>
      <w:r/>
    </w:p>
    <w:p>
      <w:pPr>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货币单位：人民币元</w:t>
      </w:r>
      <w:r/>
    </w:p>
    <w:p>
      <w:pPr>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 </w:t>
      </w:r>
      <w:r/>
    </w:p>
    <w:tbl>
      <w:tblPr>
        <w:tblStyle w:val="875"/>
        <w:tblW w:w="3961" w:type="pct"/>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149"/>
        <w:gridCol w:w="1995"/>
        <w:gridCol w:w="2526"/>
      </w:tblGrid>
      <w:tr>
        <w:trPr>
          <w:tblCellSpacing w:w="15" w:type="dxa"/>
        </w:trPr>
        <w:tc>
          <w:tcPr>
            <w:tcBorders>
              <w:top w:val="single" w:color="auto" w:sz="6" w:space="0"/>
              <w:left w:val="single" w:color="auto" w:sz="6" w:space="0"/>
              <w:bottom w:val="single" w:color="auto" w:sz="6" w:space="0"/>
              <w:right w:val="single" w:color="auto" w:sz="6" w:space="0"/>
            </w:tcBorders>
            <w:tcW w:w="1521" w:type="pct"/>
            <w:vAlign w:val="center"/>
            <w:textDirection w:val="lrTb"/>
            <w:noWrap w:val="false"/>
          </w:tcPr>
          <w:p>
            <w:pPr>
              <w:ind w:left="0" w:right="0"/>
              <w:keepLines w:val="0"/>
              <w:keepNext w:val="0"/>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t xml:space="preserve">项目名称</w:t>
            </w:r>
            <w:r/>
          </w:p>
        </w:tc>
        <w:tc>
          <w:tcPr>
            <w:tcBorders>
              <w:top w:val="single" w:color="auto" w:sz="6" w:space="0"/>
              <w:left w:val="single" w:color="auto" w:sz="6" w:space="0"/>
              <w:bottom w:val="single" w:color="auto" w:sz="6" w:space="0"/>
              <w:right w:val="single" w:color="auto" w:sz="6" w:space="0"/>
            </w:tcBorders>
            <w:tcW w:w="1420" w:type="pct"/>
            <w:vAlign w:val="center"/>
            <w:textDirection w:val="lrTb"/>
            <w:noWrap w:val="false"/>
          </w:tcPr>
          <w:p>
            <w:pPr>
              <w:ind w:left="0" w:right="0"/>
              <w:keepLines w:val="0"/>
              <w:keepNext w:val="0"/>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t xml:space="preserve">项目内容</w:t>
            </w:r>
            <w:r/>
          </w:p>
        </w:tc>
        <w:tc>
          <w:tcPr>
            <w:tcBorders>
              <w:top w:val="single" w:color="auto" w:sz="6" w:space="0"/>
              <w:left w:val="single" w:color="auto" w:sz="6" w:space="0"/>
              <w:bottom w:val="single" w:color="auto" w:sz="6" w:space="0"/>
              <w:right w:val="single" w:color="auto" w:sz="6" w:space="0"/>
            </w:tcBorders>
            <w:tcW w:w="1792" w:type="pct"/>
            <w:vAlign w:val="center"/>
            <w:textDirection w:val="lrTb"/>
            <w:noWrap w:val="false"/>
          </w:tcPr>
          <w:p>
            <w:pPr>
              <w:ind w:left="0" w:right="0"/>
              <w:keepLines w:val="0"/>
              <w:keepNext w:val="0"/>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t xml:space="preserve"> 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1521" w:type="pct"/>
            <w:vAlign w:val="center"/>
            <w:textDirection w:val="lrTb"/>
            <w:noWrap w:val="false"/>
          </w:tcPr>
          <w:p>
            <w:pPr>
              <w:ind w:left="0" w:right="0"/>
              <w:keepLines w:val="0"/>
              <w:keepNext w:val="0"/>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20" w:type="pct"/>
            <w:vAlign w:val="center"/>
            <w:textDirection w:val="lrTb"/>
            <w:noWrap w:val="false"/>
          </w:tcPr>
          <w:p>
            <w:pPr>
              <w:ind w:left="0" w:right="0"/>
              <w:keepLines w:val="0"/>
              <w:keepNext w:val="0"/>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t xml:space="preserve">详见投标文件</w:t>
            </w:r>
            <w:r/>
          </w:p>
        </w:tc>
        <w:tc>
          <w:tcPr>
            <w:tcBorders>
              <w:top w:val="single" w:color="auto" w:sz="6" w:space="0"/>
              <w:left w:val="single" w:color="auto" w:sz="6" w:space="0"/>
              <w:bottom w:val="single" w:color="auto" w:sz="6" w:space="0"/>
              <w:right w:val="single" w:color="auto" w:sz="6" w:space="0"/>
            </w:tcBorders>
            <w:tcW w:w="1792" w:type="pct"/>
            <w:vAlign w:val="center"/>
            <w:textDirection w:val="lrTb"/>
            <w:noWrap w:val="false"/>
          </w:tcPr>
          <w:p>
            <w:pPr>
              <w:ind w:left="0" w:right="0"/>
              <w:keepLines w:val="0"/>
              <w:keepNext w:val="0"/>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t xml:space="preserve"> </w:t>
            </w:r>
            <w:r/>
          </w:p>
        </w:tc>
      </w:tr>
      <w:tr>
        <w:trPr>
          <w:tblCellSpacing w:w="15" w:type="dxa"/>
        </w:trPr>
        <w:tc>
          <w:tcPr>
            <w:tcBorders>
              <w:top w:val="single" w:color="auto" w:sz="6" w:space="0"/>
              <w:left w:val="single" w:color="auto" w:sz="6" w:space="0"/>
              <w:bottom w:val="single" w:color="auto" w:sz="6" w:space="0"/>
              <w:right w:val="single" w:color="auto" w:sz="6" w:space="0"/>
            </w:tcBorders>
            <w:tcW w:w="1521" w:type="pct"/>
            <w:vAlign w:val="center"/>
            <w:textDirection w:val="lrTb"/>
            <w:noWrap w:val="false"/>
          </w:tcPr>
          <w:p>
            <w:pPr>
              <w:ind w:left="0" w:right="0"/>
              <w:keepLines w:val="0"/>
              <w:keepNext w:val="0"/>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t xml:space="preserve">总价（大写）：</w:t>
            </w:r>
            <w:r/>
          </w:p>
        </w:tc>
        <w:tc>
          <w:tcPr>
            <w:gridSpan w:val="2"/>
            <w:tcBorders>
              <w:top w:val="single" w:color="auto" w:sz="6" w:space="0"/>
              <w:left w:val="single" w:color="auto" w:sz="6" w:space="0"/>
              <w:bottom w:val="single" w:color="auto" w:sz="6" w:space="0"/>
              <w:right w:val="single" w:color="auto" w:sz="6" w:space="0"/>
            </w:tcBorders>
            <w:tcW w:w="3213" w:type="pct"/>
            <w:vAlign w:val="center"/>
            <w:textDirection w:val="lrTb"/>
            <w:noWrap w:val="false"/>
          </w:tcPr>
          <w:p>
            <w:pPr>
              <w:ind w:left="0" w:right="0"/>
              <w:keepLines w:val="0"/>
              <w:keepNext w:val="0"/>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t xml:space="preserve"> </w:t>
            </w:r>
            <w:r/>
          </w:p>
        </w:tc>
      </w:tr>
    </w:tbl>
    <w:p>
      <w:pPr>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 </w:t>
      </w:r>
      <w:r/>
    </w:p>
    <w:p>
      <w:pPr>
        <w:spacing w:before="100" w:beforeAutospacing="1" w:after="100" w:afterAutospacing="1" w:line="240" w:lineRule="auto"/>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投标人公章：                               （电子签章）</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w:t>
      </w:r>
      <w:r/>
    </w:p>
    <w:p>
      <w:pPr>
        <w:numPr>
          <w:ilvl w:val="0"/>
          <w:numId w:val="14"/>
        </w:num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投标报价不得超过最高限价，否则为无效投标。</w:t>
      </w:r>
      <w:r/>
    </w:p>
    <w:p>
      <w:pPr>
        <w:numPr>
          <w:ilvl w:val="0"/>
          <w:numId w:val="14"/>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该表作为参考表格，实际格式以电子表格式为准。</w:t>
      </w:r>
      <w:r/>
    </w:p>
    <w:p>
      <w:p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912"/>
        <w:rPr>
          <w:rFonts w:hint="eastAsia"/>
          <w:lang w:val="en-US" w:eastAsia="zh-CN"/>
        </w:rPr>
      </w:pPr>
      <w:r>
        <w:rPr>
          <w:rFonts w:hint="eastAsia"/>
          <w:lang w:val="en-US" w:eastAsia="zh-CN"/>
        </w:rPr>
      </w:r>
      <w:r/>
    </w:p>
    <w:p>
      <w:pPr>
        <w:pStyle w:val="912"/>
        <w:rPr>
          <w:rFonts w:hint="eastAsia"/>
          <w:lang w:val="en-US" w:eastAsia="zh-CN"/>
        </w:rPr>
      </w:pPr>
      <w:r>
        <w:rPr>
          <w:rFonts w:hint="eastAsia"/>
          <w:lang w:val="en-US" w:eastAsia="zh-CN"/>
        </w:rPr>
      </w:r>
      <w:r/>
    </w:p>
    <w:p>
      <w:pPr>
        <w:pStyle w:val="912"/>
        <w:rPr>
          <w:rFonts w:hint="eastAsia"/>
          <w:lang w:val="en-US" w:eastAsia="zh-CN"/>
        </w:rPr>
      </w:pPr>
      <w:r>
        <w:rPr>
          <w:rFonts w:hint="eastAsia"/>
          <w:lang w:val="en-US" w:eastAsia="zh-CN"/>
        </w:rPr>
      </w:r>
      <w:r/>
    </w:p>
    <w:p>
      <w:p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numPr>
          <w:ilvl w:val="0"/>
          <w:numId w:val="0"/>
        </w:num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三、分项报价表</w:t>
      </w:r>
      <w:r/>
    </w:p>
    <w:tbl>
      <w:tblPr>
        <w:tblStyle w:val="875"/>
        <w:tblW w:w="80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9"/>
        <w:gridCol w:w="4635"/>
        <w:gridCol w:w="2112"/>
      </w:tblGrid>
      <w:tr>
        <w:trPr>
          <w:trHeight w:val="929"/>
        </w:trPr>
        <w:tc>
          <w:tcPr>
            <w:tcW w:w="1329" w:type="dxa"/>
            <w:vAlign w:val="top"/>
            <w:textDirection w:val="lrTb"/>
            <w:noWrap w:val="false"/>
          </w:tcPr>
          <w:p>
            <w:pPr>
              <w:ind w:left="0" w:right="0"/>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保险对象</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（泰兴市范围内）</w:t>
            </w:r>
            <w:r/>
          </w:p>
        </w:tc>
        <w:tc>
          <w:tcPr>
            <w:tcW w:w="4635"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赔偿限额</w:t>
            </w:r>
            <w:bookmarkStart w:id="172" w:name="_GoBack"/>
            <w:r/>
            <w:bookmarkEnd w:id="172"/>
            <w:r/>
            <w:r/>
          </w:p>
        </w:tc>
        <w:tc>
          <w:tcPr>
            <w:tcW w:w="2112"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报价</w:t>
            </w:r>
            <w:r/>
          </w:p>
        </w:tc>
      </w:tr>
      <w:tr>
        <w:trPr>
          <w:trHeight w:val="2405"/>
        </w:trPr>
        <w:tc>
          <w:tcPr>
            <w:tcW w:w="132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卫生院</w:t>
            </w:r>
            <w:r/>
          </w:p>
        </w:tc>
        <w:tc>
          <w:tcPr>
            <w:tcW w:w="4635" w:type="dxa"/>
            <w:vAlign w:val="center"/>
            <w:textDirection w:val="lrTb"/>
            <w:noWrap w:val="false"/>
          </w:tcPr>
          <w:p>
            <w:pPr>
              <w:ind w:left="0" w:right="0"/>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医疗责任事故年累计赔偿限额30万元，每人每次事故赔偿限额10万元（其中精神损害赔偿限额3万元）。诊疗意外事故年累计赔偿限额16万元，每人每次事故赔偿限额4万元。</w:t>
            </w:r>
            <w:r/>
          </w:p>
        </w:tc>
        <w:tc>
          <w:tcPr>
            <w:tcW w:w="2112" w:type="dxa"/>
            <w:vAlign w:val="center"/>
            <w:textDirection w:val="lrTb"/>
            <w:noWrap w:val="false"/>
          </w:tcPr>
          <w:p>
            <w:pPr>
              <w:ind w:left="0" w:right="0"/>
              <w:keepLines w:val="0"/>
              <w:keepNext w:val="0"/>
              <w:spacing w:before="0" w:beforeAutospacing="0" w:after="0" w:afterAutospacing="0" w:line="440" w:lineRule="atLeast"/>
              <w:rPr>
                <w:rFonts w:hint="eastAsia" w:ascii="仿宋" w:hAnsi="仿宋" w:eastAsia="仿宋" w:cs="仿宋"/>
                <w:b/>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医护人员数*每人</w:t>
            </w:r>
            <w:r>
              <w:rPr>
                <w:rFonts w:hint="eastAsia" w:ascii="仿宋" w:hAnsi="仿宋" w:eastAsia="仿宋" w:cs="仿宋"/>
                <w:b/>
                <w:bCs/>
                <w:color w:val="auto"/>
                <w:sz w:val="24"/>
                <w:szCs w:val="24"/>
                <w:highlight w:val="none"/>
                <w:u w:val="single"/>
                <w:lang w:val="zh-CN"/>
              </w:rPr>
              <w:t xml:space="preserve">报价</w:t>
            </w:r>
            <w:r>
              <w:rPr>
                <w:rFonts w:hint="eastAsia" w:ascii="仿宋" w:hAnsi="仿宋" w:eastAsia="仿宋" w:cs="仿宋"/>
                <w:color w:val="auto"/>
                <w:sz w:val="24"/>
                <w:szCs w:val="24"/>
                <w:highlight w:val="none"/>
                <w:lang w:val="zh-CN"/>
              </w:rPr>
              <w:t xml:space="preserve">元+床位数*每床</w:t>
            </w:r>
            <w:r>
              <w:rPr>
                <w:rFonts w:hint="eastAsia" w:ascii="仿宋" w:hAnsi="仿宋" w:eastAsia="仿宋" w:cs="仿宋"/>
                <w:b/>
                <w:bCs/>
                <w:color w:val="auto"/>
                <w:sz w:val="24"/>
                <w:szCs w:val="24"/>
                <w:highlight w:val="none"/>
                <w:u w:val="single"/>
                <w:lang w:val="zh-CN"/>
              </w:rPr>
              <w:t xml:space="preserve">报价</w:t>
            </w:r>
            <w:r>
              <w:rPr>
                <w:rFonts w:hint="eastAsia" w:ascii="仿宋" w:hAnsi="仿宋" w:eastAsia="仿宋" w:cs="仿宋"/>
                <w:color w:val="auto"/>
                <w:sz w:val="24"/>
                <w:szCs w:val="24"/>
                <w:highlight w:val="none"/>
                <w:lang w:val="zh-CN"/>
              </w:rPr>
              <w:t xml:space="preserve">元</w:t>
            </w:r>
            <w:r>
              <w:rPr>
                <w:rFonts w:hint="eastAsia" w:ascii="仿宋" w:hAnsi="仿宋" w:eastAsia="仿宋" w:cs="仿宋"/>
                <w:b/>
                <w:color w:val="auto"/>
                <w:sz w:val="24"/>
                <w:szCs w:val="24"/>
                <w:highlight w:val="none"/>
                <w:lang w:val="zh-CN"/>
              </w:rPr>
              <w:t xml:space="preserve">。</w:t>
            </w:r>
            <w:r/>
          </w:p>
          <w:p>
            <w:pPr>
              <w:ind w:left="0" w:right="0" w:firstLine="480"/>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r>
            <w:r/>
          </w:p>
        </w:tc>
      </w:tr>
      <w:tr>
        <w:trPr>
          <w:trHeight w:val="1392"/>
        </w:trPr>
        <w:tc>
          <w:tcPr>
            <w:tcW w:w="132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二级医院</w:t>
            </w:r>
            <w:r/>
          </w:p>
        </w:tc>
        <w:tc>
          <w:tcPr>
            <w:tcW w:w="4635" w:type="dxa"/>
            <w:vAlign w:val="center"/>
            <w:textDirection w:val="lrTb"/>
            <w:noWrap w:val="false"/>
          </w:tcPr>
          <w:p>
            <w:pPr>
              <w:ind w:left="0" w:right="0"/>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医疗责任事故年累计赔偿限额120万元，每人每次事故赔偿限额12万元（其中精神损害赔偿限额3万元）。诊疗意外事故年累计赔偿限额20万元，每人每次事故赔偿限额6万元。</w:t>
            </w:r>
            <w:r/>
          </w:p>
        </w:tc>
        <w:tc>
          <w:tcPr>
            <w:tcW w:w="2112" w:type="dxa"/>
            <w:vAlign w:val="center"/>
            <w:textDirection w:val="lrTb"/>
            <w:noWrap w:val="false"/>
          </w:tcPr>
          <w:p>
            <w:pPr>
              <w:ind w:left="0" w:right="0"/>
              <w:keepLines w:val="0"/>
              <w:keepNext w:val="0"/>
              <w:spacing w:before="0" w:beforeAutospacing="0" w:after="0" w:afterAutospacing="0" w:line="440" w:lineRule="atLeast"/>
              <w:rPr>
                <w:rFonts w:hint="eastAsia" w:ascii="仿宋" w:hAnsi="仿宋" w:eastAsia="仿宋" w:cs="仿宋"/>
                <w:b/>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医护人员数*每人</w:t>
            </w:r>
            <w:r>
              <w:rPr>
                <w:rFonts w:hint="eastAsia" w:ascii="仿宋" w:hAnsi="仿宋" w:eastAsia="仿宋" w:cs="仿宋"/>
                <w:b/>
                <w:bCs/>
                <w:color w:val="auto"/>
                <w:sz w:val="24"/>
                <w:szCs w:val="24"/>
                <w:highlight w:val="none"/>
                <w:u w:val="single"/>
                <w:lang w:val="zh-CN"/>
              </w:rPr>
              <w:t xml:space="preserve">报价</w:t>
            </w:r>
            <w:r>
              <w:rPr>
                <w:rFonts w:hint="eastAsia" w:ascii="仿宋" w:hAnsi="仿宋" w:eastAsia="仿宋" w:cs="仿宋"/>
                <w:color w:val="auto"/>
                <w:sz w:val="24"/>
                <w:szCs w:val="24"/>
                <w:highlight w:val="none"/>
                <w:lang w:val="zh-CN"/>
              </w:rPr>
              <w:t xml:space="preserve">元+床位数*每床</w:t>
            </w:r>
            <w:r>
              <w:rPr>
                <w:rFonts w:hint="eastAsia" w:ascii="仿宋" w:hAnsi="仿宋" w:eastAsia="仿宋" w:cs="仿宋"/>
                <w:b/>
                <w:bCs/>
                <w:color w:val="auto"/>
                <w:sz w:val="24"/>
                <w:szCs w:val="24"/>
                <w:highlight w:val="none"/>
                <w:u w:val="single"/>
                <w:lang w:val="zh-CN"/>
              </w:rPr>
              <w:t xml:space="preserve">报价</w:t>
            </w:r>
            <w:r>
              <w:rPr>
                <w:rFonts w:hint="eastAsia" w:ascii="仿宋" w:hAnsi="仿宋" w:eastAsia="仿宋" w:cs="仿宋"/>
                <w:color w:val="auto"/>
                <w:sz w:val="24"/>
                <w:szCs w:val="24"/>
                <w:highlight w:val="none"/>
                <w:lang w:val="zh-CN"/>
              </w:rPr>
              <w:t xml:space="preserve">元</w:t>
            </w:r>
            <w:r>
              <w:rPr>
                <w:rFonts w:hint="eastAsia" w:ascii="仿宋" w:hAnsi="仿宋" w:eastAsia="仿宋" w:cs="仿宋"/>
                <w:b/>
                <w:color w:val="auto"/>
                <w:sz w:val="24"/>
                <w:szCs w:val="24"/>
                <w:highlight w:val="none"/>
                <w:lang w:val="zh-CN"/>
              </w:rPr>
              <w:t xml:space="preserve">。</w:t>
            </w:r>
            <w:r/>
          </w:p>
          <w:p>
            <w:pPr>
              <w:ind w:left="0" w:right="0"/>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r>
            <w:r/>
          </w:p>
        </w:tc>
      </w:tr>
      <w:tr>
        <w:trPr>
          <w:trHeight w:val="2400"/>
        </w:trPr>
        <w:tc>
          <w:tcPr>
            <w:tcW w:w="132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三级医院</w:t>
            </w:r>
            <w:r/>
          </w:p>
        </w:tc>
        <w:tc>
          <w:tcPr>
            <w:tcW w:w="4635" w:type="dxa"/>
            <w:vAlign w:val="center"/>
            <w:textDirection w:val="lrTb"/>
            <w:noWrap w:val="false"/>
          </w:tcPr>
          <w:p>
            <w:pPr>
              <w:ind w:left="0" w:right="0"/>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医疗责任事故年累计赔偿限额200万元，每人每次事故赔偿限额20万元（其中精神损害赔偿限额4万元）。诊疗意外事故年累计赔偿限额40万元，每人每次事故赔偿限额8万元。</w:t>
            </w:r>
            <w:r/>
          </w:p>
        </w:tc>
        <w:tc>
          <w:tcPr>
            <w:tcW w:w="2112" w:type="dxa"/>
            <w:vAlign w:val="center"/>
            <w:textDirection w:val="lrTb"/>
            <w:noWrap w:val="false"/>
          </w:tcPr>
          <w:p>
            <w:pPr>
              <w:ind w:left="0" w:right="0"/>
              <w:keepLines w:val="0"/>
              <w:keepNext w:val="0"/>
              <w:spacing w:before="0" w:beforeAutospacing="0" w:after="0" w:afterAutospacing="0" w:line="440" w:lineRule="atLeast"/>
              <w:rPr>
                <w:rFonts w:hint="eastAsia" w:ascii="仿宋" w:hAnsi="仿宋" w:eastAsia="仿宋" w:cs="仿宋"/>
                <w:b/>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医护人员数*每人</w:t>
            </w:r>
            <w:r>
              <w:rPr>
                <w:rFonts w:hint="eastAsia" w:ascii="仿宋" w:hAnsi="仿宋" w:eastAsia="仿宋" w:cs="仿宋"/>
                <w:b/>
                <w:bCs/>
                <w:color w:val="auto"/>
                <w:sz w:val="24"/>
                <w:szCs w:val="24"/>
                <w:highlight w:val="none"/>
                <w:u w:val="single"/>
                <w:lang w:val="zh-CN"/>
              </w:rPr>
              <w:t xml:space="preserve">报价</w:t>
            </w:r>
            <w:r>
              <w:rPr>
                <w:rFonts w:hint="eastAsia" w:ascii="仿宋" w:hAnsi="仿宋" w:eastAsia="仿宋" w:cs="仿宋"/>
                <w:color w:val="auto"/>
                <w:sz w:val="24"/>
                <w:szCs w:val="24"/>
                <w:highlight w:val="none"/>
                <w:lang w:val="zh-CN"/>
              </w:rPr>
              <w:t xml:space="preserve">元+床位数*每床</w:t>
            </w:r>
            <w:r>
              <w:rPr>
                <w:rFonts w:hint="eastAsia" w:ascii="仿宋" w:hAnsi="仿宋" w:eastAsia="仿宋" w:cs="仿宋"/>
                <w:b/>
                <w:bCs/>
                <w:color w:val="auto"/>
                <w:sz w:val="24"/>
                <w:szCs w:val="24"/>
                <w:highlight w:val="none"/>
                <w:u w:val="single"/>
                <w:lang w:val="zh-CN"/>
              </w:rPr>
              <w:t xml:space="preserve">报价</w:t>
            </w:r>
            <w:r>
              <w:rPr>
                <w:rFonts w:hint="eastAsia" w:ascii="仿宋" w:hAnsi="仿宋" w:eastAsia="仿宋" w:cs="仿宋"/>
                <w:color w:val="auto"/>
                <w:sz w:val="24"/>
                <w:szCs w:val="24"/>
                <w:highlight w:val="none"/>
                <w:lang w:val="zh-CN"/>
              </w:rPr>
              <w:t xml:space="preserve">元</w:t>
            </w:r>
            <w:r>
              <w:rPr>
                <w:rFonts w:hint="eastAsia" w:ascii="仿宋" w:hAnsi="仿宋" w:eastAsia="仿宋" w:cs="仿宋"/>
                <w:b/>
                <w:color w:val="auto"/>
                <w:sz w:val="24"/>
                <w:szCs w:val="24"/>
                <w:highlight w:val="none"/>
                <w:lang w:val="zh-CN"/>
              </w:rPr>
              <w:t xml:space="preserve">。</w:t>
            </w:r>
            <w:r/>
          </w:p>
          <w:p>
            <w:pPr>
              <w:ind w:left="0" w:right="0"/>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r>
            <w:r/>
          </w:p>
        </w:tc>
      </w:tr>
    </w:tbl>
    <w:p>
      <w:pPr>
        <w:ind w:firstLine="482"/>
        <w:pageBreakBefore w:val="0"/>
        <w:spacing w:line="440" w:lineRule="exact"/>
        <w:widowControl/>
        <w:rPr>
          <w:rFonts w:hint="eastAsia" w:ascii="仿宋" w:hAnsi="仿宋" w:eastAsia="仿宋" w:cs="仿宋"/>
          <w:color w:val="auto"/>
          <w:highlight w:val="none"/>
        </w:rPr>
      </w:pPr>
      <w:r>
        <w:rPr>
          <w:rFonts w:hint="eastAsia" w:ascii="仿宋" w:hAnsi="仿宋" w:eastAsia="仿宋" w:cs="仿宋"/>
          <w:b/>
          <w:bCs/>
          <w:color w:val="auto"/>
          <w:sz w:val="24"/>
          <w:szCs w:val="24"/>
          <w:highlight w:val="none"/>
          <w:lang w:val="zh-CN"/>
        </w:rPr>
        <w:t xml:space="preserve">备注：泰兴市范围内的村卫生室、社区卫生服务站、其他部分民营医院的投保收费标准与赔偿限额参照卫生院的对应标准执行。</w:t>
      </w:r>
      <w:r/>
    </w:p>
    <w:p>
      <w:pPr>
        <w:jc w:val="center"/>
        <w:spacing w:line="44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p>
      <w:pPr>
        <w:jc w:val="righ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投标人：（</w:t>
      </w:r>
      <w:r>
        <w:rPr>
          <w:rFonts w:hint="eastAsia" w:ascii="仿宋" w:hAnsi="仿宋" w:eastAsia="仿宋" w:cs="仿宋"/>
          <w:sz w:val="24"/>
          <w:highlight w:val="none"/>
          <w:lang w:eastAsia="zh-CN"/>
        </w:rPr>
        <w:t xml:space="preserve">盖</w:t>
      </w:r>
      <w:r>
        <w:rPr>
          <w:rFonts w:hint="eastAsia" w:ascii="仿宋" w:hAnsi="仿宋" w:eastAsia="仿宋" w:cs="仿宋"/>
          <w:sz w:val="24"/>
          <w:szCs w:val="24"/>
          <w:highlight w:val="none"/>
        </w:rPr>
        <w:t xml:space="preserve">电子签章）  </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日期：   年  月  日</w:t>
      </w:r>
      <w:r/>
    </w:p>
    <w:p>
      <w:pPr>
        <w:jc w:val="center"/>
        <w:spacing w:line="44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spacing w:line="440" w:lineRule="atLeast"/>
        <w:rPr>
          <w:rFonts w:hint="eastAsia" w:ascii="仿宋" w:hAnsi="仿宋" w:eastAsia="仿宋" w:cs="仿宋"/>
          <w:b/>
          <w:bCs/>
          <w:color w:val="000000"/>
          <w:sz w:val="28"/>
          <w:szCs w:val="28"/>
          <w:highlight w:val="none"/>
          <w:lang w:val="en-US" w:eastAsia="zh-CN"/>
        </w:rPr>
      </w:pPr>
      <w:r>
        <w:rPr>
          <w:rFonts w:hint="eastAsia" w:ascii="仿宋" w:hAnsi="仿宋" w:eastAsia="仿宋" w:cs="仿宋"/>
          <w:color w:val="auto"/>
          <w:sz w:val="24"/>
          <w:szCs w:val="24"/>
          <w:highlight w:val="none"/>
          <w:lang w:val="en-US" w:eastAsia="zh-CN"/>
        </w:rPr>
        <w:t xml:space="preserve">      </w:t>
      </w:r>
      <w:r/>
    </w:p>
    <w:p>
      <w:p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四、偏离表</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w:t>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项目编号：</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bl>
      <w:tblPr>
        <w:tblStyle w:val="875"/>
        <w:tblW w:w="7920" w:type="dxa"/>
        <w:tblInd w:w="24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0"/>
        <w:gridCol w:w="1350"/>
        <w:gridCol w:w="1665"/>
        <w:gridCol w:w="1590"/>
        <w:gridCol w:w="2505"/>
      </w:tblGrid>
      <w:tr>
        <w:trPr>
          <w:trHeight w:val="794"/>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0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0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0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0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0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3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05"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bl>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注：投标人的投标文件中的内容与招标文件（含招标文件的澄清或者修改的内容）的要求不同时，逐条列在偏离表中，否则将</w:t>
      </w:r>
      <w:r>
        <w:rPr>
          <w:rFonts w:hint="eastAsia" w:ascii="仿宋" w:hAnsi="仿宋" w:eastAsia="仿宋" w:cs="仿宋"/>
          <w:sz w:val="24"/>
          <w:szCs w:val="24"/>
          <w:highlight w:val="none"/>
          <w:lang w:eastAsia="zh-CN"/>
        </w:rPr>
        <w:t xml:space="preserve">视为</w:t>
      </w:r>
      <w:r>
        <w:rPr>
          <w:rFonts w:hint="eastAsia" w:ascii="仿宋" w:hAnsi="仿宋" w:eastAsia="仿宋" w:cs="仿宋"/>
          <w:sz w:val="24"/>
          <w:szCs w:val="24"/>
          <w:highlight w:val="none"/>
        </w:rPr>
        <w:t xml:space="preserve">投标人接受招标文件的要求。</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投标人：（</w:t>
      </w:r>
      <w:r>
        <w:rPr>
          <w:rFonts w:hint="eastAsia" w:ascii="仿宋" w:hAnsi="仿宋" w:eastAsia="仿宋" w:cs="仿宋"/>
          <w:sz w:val="24"/>
          <w:highlight w:val="none"/>
          <w:lang w:eastAsia="zh-CN"/>
        </w:rPr>
        <w:t xml:space="preserve">盖</w:t>
      </w:r>
      <w:r>
        <w:rPr>
          <w:rFonts w:hint="eastAsia" w:ascii="仿宋" w:hAnsi="仿宋" w:eastAsia="仿宋" w:cs="仿宋"/>
          <w:sz w:val="24"/>
          <w:szCs w:val="24"/>
          <w:highlight w:val="none"/>
        </w:rPr>
        <w:t xml:space="preserve">电子签章）</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日期：   年  月  日</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spacing w:line="36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sz w:val="24"/>
          <w:szCs w:val="24"/>
          <w:highlight w:val="none"/>
        </w:rPr>
        <w:br w:type="page" w:clear="all"/>
      </w:r>
      <w:bookmarkStart w:id="164" w:name="_Toc24457"/>
      <w:r/>
      <w:bookmarkStart w:id="165" w:name="_Toc30347"/>
      <w:r>
        <w:rPr>
          <w:rFonts w:hint="eastAsia" w:ascii="仿宋" w:hAnsi="仿宋" w:eastAsia="仿宋" w:cs="仿宋"/>
          <w:b/>
          <w:bCs/>
          <w:color w:val="000000"/>
          <w:sz w:val="28"/>
          <w:szCs w:val="28"/>
          <w:highlight w:val="none"/>
          <w:lang w:val="en-US" w:eastAsia="zh-CN"/>
        </w:rPr>
        <w:t xml:space="preserve">五、 法定代表人或负责人授权书</w:t>
      </w:r>
      <w:bookmarkEnd w:id="164"/>
      <w:r/>
      <w:bookmarkEnd w:id="165"/>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166" w:name="_Toc13470"/>
      <w:r>
        <w:rPr>
          <w:rFonts w:hint="eastAsia" w:ascii="仿宋" w:hAnsi="仿宋" w:eastAsia="仿宋" w:cs="仿宋"/>
          <w:sz w:val="24"/>
          <w:szCs w:val="24"/>
          <w:highlight w:val="none"/>
          <w:lang w:val="en-US" w:eastAsia="zh-CN"/>
        </w:rPr>
        <w:t xml:space="preserve">本授权委托书声明：本人</w:t>
      </w:r>
      <w:r>
        <w:rPr>
          <w:rFonts w:hint="eastAsia" w:ascii="仿宋" w:hAnsi="仿宋" w:eastAsia="仿宋" w:cs="仿宋"/>
          <w:sz w:val="24"/>
          <w:szCs w:val="24"/>
          <w:highlight w:val="none"/>
          <w:u w:val="single"/>
          <w:lang w:val="en-US" w:eastAsia="zh-CN"/>
        </w:rPr>
        <w:t xml:space="preserve">     （姓名）  </w:t>
      </w:r>
      <w:r>
        <w:rPr>
          <w:rFonts w:hint="eastAsia" w:ascii="仿宋" w:hAnsi="仿宋" w:eastAsia="仿宋" w:cs="仿宋"/>
          <w:sz w:val="24"/>
          <w:szCs w:val="24"/>
          <w:highlight w:val="none"/>
          <w:lang w:val="en-US" w:eastAsia="zh-CN"/>
        </w:rPr>
        <w:t xml:space="preserve">系</w:t>
      </w:r>
      <w:r>
        <w:rPr>
          <w:rFonts w:hint="eastAsia" w:ascii="仿宋" w:hAnsi="仿宋" w:eastAsia="仿宋" w:cs="仿宋"/>
          <w:sz w:val="24"/>
          <w:szCs w:val="24"/>
          <w:highlight w:val="none"/>
          <w:u w:val="single"/>
          <w:lang w:val="en-US" w:eastAsia="zh-CN"/>
        </w:rPr>
        <w:t xml:space="preserve">            （单位全称）  </w:t>
      </w:r>
      <w:r>
        <w:rPr>
          <w:rFonts w:hint="eastAsia" w:ascii="仿宋" w:hAnsi="仿宋" w:eastAsia="仿宋" w:cs="仿宋"/>
          <w:sz w:val="24"/>
          <w:szCs w:val="24"/>
          <w:highlight w:val="none"/>
          <w:lang w:val="en-US" w:eastAsia="zh-CN"/>
        </w:rPr>
        <w:t xml:space="preserve">的法定代表人</w:t>
      </w:r>
      <w:r>
        <w:rPr>
          <w:rFonts w:hint="eastAsia" w:ascii="仿宋" w:hAnsi="仿宋" w:eastAsia="仿宋" w:cs="仿宋"/>
          <w:sz w:val="24"/>
          <w:szCs w:val="24"/>
          <w:highlight w:val="none"/>
          <w:u w:val="none"/>
          <w:lang w:val="en-US" w:eastAsia="zh-CN"/>
        </w:rPr>
        <w:t xml:space="preserve">（或负责人）</w:t>
      </w:r>
      <w:r>
        <w:rPr>
          <w:rFonts w:hint="eastAsia" w:ascii="仿宋" w:hAnsi="仿宋" w:eastAsia="仿宋" w:cs="仿宋"/>
          <w:sz w:val="24"/>
          <w:szCs w:val="24"/>
          <w:highlight w:val="none"/>
          <w:lang w:val="en-US" w:eastAsia="zh-CN"/>
        </w:rPr>
        <w:t xml:space="preserve">，现代表本公司授权我公司</w:t>
      </w:r>
      <w:r>
        <w:rPr>
          <w:rFonts w:hint="eastAsia" w:ascii="仿宋" w:hAnsi="仿宋" w:eastAsia="仿宋" w:cs="仿宋"/>
          <w:sz w:val="24"/>
          <w:szCs w:val="24"/>
          <w:highlight w:val="none"/>
          <w:u w:val="single"/>
          <w:lang w:val="en-US" w:eastAsia="zh-CN"/>
        </w:rPr>
        <w:t xml:space="preserve">        （部门、职务或职称、姓名）</w:t>
      </w:r>
      <w:r>
        <w:rPr>
          <w:rFonts w:hint="eastAsia" w:ascii="仿宋" w:hAnsi="仿宋" w:eastAsia="仿宋" w:cs="仿宋"/>
          <w:sz w:val="24"/>
          <w:szCs w:val="24"/>
          <w:highlight w:val="none"/>
          <w:lang w:val="en-US" w:eastAsia="zh-CN"/>
        </w:rPr>
        <w:t xml:space="preserve">作为本公司的合法代理人，以本公司的名义参加</w:t>
      </w:r>
      <w:r>
        <w:rPr>
          <w:rFonts w:hint="eastAsia" w:ascii="仿宋" w:hAnsi="仿宋" w:eastAsia="仿宋" w:cs="仿宋"/>
          <w:sz w:val="24"/>
          <w:szCs w:val="24"/>
          <w:highlight w:val="none"/>
          <w:u w:val="single"/>
          <w:lang w:val="en-US" w:eastAsia="zh-CN"/>
        </w:rPr>
        <w:t xml:space="preserve">    　　  （采购人名称）</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u w:val="single"/>
          <w:lang w:val="en-US" w:eastAsia="zh-CN"/>
        </w:rPr>
        <w:t xml:space="preserve">   （项目名称）   </w:t>
      </w:r>
      <w:r>
        <w:rPr>
          <w:rFonts w:hint="eastAsia" w:ascii="仿宋" w:hAnsi="仿宋" w:eastAsia="仿宋" w:cs="仿宋"/>
          <w:sz w:val="24"/>
          <w:szCs w:val="24"/>
          <w:highlight w:val="none"/>
          <w:u w:val="none"/>
          <w:lang w:val="en-US" w:eastAsia="zh-CN"/>
        </w:rPr>
        <w:t xml:space="preserve">（项目编号：</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w:t>
      </w:r>
      <w:r>
        <w:rPr>
          <w:rFonts w:hint="eastAsia" w:ascii="仿宋" w:hAnsi="仿宋" w:eastAsia="仿宋" w:cs="仿宋"/>
          <w:sz w:val="24"/>
          <w:szCs w:val="24"/>
          <w:highlight w:val="none"/>
          <w:lang w:val="en-US" w:eastAsia="zh-CN"/>
        </w:rPr>
        <w:t xml:space="preserve">投标活动。授权代表签署与本次招标采购相关的一切文件和处理与之有关的一切事务，本人均予以承认。</w:t>
      </w:r>
      <w:bookmarkEnd w:id="166"/>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bookmarkStart w:id="167" w:name="_Toc5710"/>
      <w:r>
        <w:rPr>
          <w:rFonts w:hint="eastAsia" w:ascii="仿宋" w:hAnsi="仿宋" w:eastAsia="仿宋" w:cs="仿宋"/>
          <w:sz w:val="24"/>
          <w:szCs w:val="24"/>
          <w:highlight w:val="none"/>
          <w:lang w:val="en-US" w:eastAsia="zh-CN"/>
        </w:rPr>
        <w:t xml:space="preserve">授权委托人无转委托权。</w:t>
      </w:r>
      <w:bookmarkEnd w:id="167"/>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168" w:name="_Toc15714"/>
      <w:r>
        <w:rPr>
          <w:rFonts w:hint="eastAsia" w:ascii="仿宋" w:hAnsi="仿宋" w:eastAsia="仿宋" w:cs="仿宋"/>
          <w:sz w:val="24"/>
          <w:szCs w:val="24"/>
          <w:highlight w:val="none"/>
          <w:lang w:val="en-US" w:eastAsia="zh-CN"/>
        </w:rPr>
        <w:t xml:space="preserve">特此声明</w:t>
      </w:r>
      <w:bookmarkEnd w:id="168"/>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（注：被授权人身份证复印件请附后）</w:t>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169" w:name="_Toc22253"/>
      <w:r>
        <w:rPr>
          <w:rFonts w:hint="eastAsia" w:ascii="仿宋" w:hAnsi="仿宋" w:eastAsia="仿宋" w:cs="仿宋"/>
          <w:sz w:val="24"/>
          <w:szCs w:val="24"/>
          <w:highlight w:val="none"/>
          <w:lang w:val="en-US" w:eastAsia="zh-CN"/>
        </w:rPr>
        <w:t xml:space="preserve">           授权单位名称（盖章）：</w:t>
      </w:r>
      <w:bookmarkEnd w:id="169"/>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170" w:name="_Toc17511"/>
      <w:r>
        <w:rPr>
          <w:rFonts w:hint="eastAsia" w:ascii="仿宋" w:hAnsi="仿宋" w:eastAsia="仿宋" w:cs="仿宋"/>
          <w:sz w:val="24"/>
          <w:szCs w:val="24"/>
          <w:highlight w:val="none"/>
          <w:lang w:val="en-US" w:eastAsia="zh-CN"/>
        </w:rPr>
        <w:t xml:space="preserve">             法定代表人或投标单位负责人（签字或盖章）：</w:t>
      </w:r>
      <w:bookmarkEnd w:id="170"/>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171" w:name="_Toc23127"/>
      <w:r>
        <w:rPr>
          <w:rFonts w:hint="eastAsia" w:ascii="仿宋" w:hAnsi="仿宋" w:eastAsia="仿宋" w:cs="仿宋"/>
          <w:sz w:val="24"/>
          <w:szCs w:val="24"/>
          <w:highlight w:val="none"/>
          <w:lang w:val="en-US" w:eastAsia="zh-CN"/>
        </w:rPr>
        <w:t xml:space="preserve">日期：</w:t>
      </w:r>
      <w:bookmarkEnd w:id="171"/>
      <w:r>
        <w:rPr>
          <w:rFonts w:hint="eastAsia" w:ascii="仿宋" w:hAnsi="仿宋" w:eastAsia="仿宋" w:cs="仿宋"/>
          <w:sz w:val="24"/>
          <w:szCs w:val="24"/>
          <w:highlight w:val="none"/>
          <w:lang w:val="en-US" w:eastAsia="zh-CN"/>
        </w:rPr>
        <w:t xml:space="preserve">   年  月  日</w:t>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被授权人身份证复印件：</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jc w:val="center"/>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法定代表人或负责人身份证明书</w:t>
      </w:r>
      <w:r/>
    </w:p>
    <w:p>
      <w:pPr>
        <w:ind w:firstLine="480"/>
        <w:keepLines w:val="0"/>
        <w:keepNext w:val="0"/>
        <w:pageBreakBefore w:val="0"/>
        <w:spacing w:line="360" w:lineRule="auto"/>
        <w:widowControl w:val="off"/>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p>
    <w:p>
      <w:pPr>
        <w:ind w:firstLine="480"/>
        <w:keepLines w:val="0"/>
        <w:keepNext w:val="0"/>
        <w:pageBreakBefore w:val="0"/>
        <w:spacing w:line="360" w:lineRule="auto"/>
        <w:widowControl w:val="off"/>
        <w:tabs>
          <w:tab w:val="left" w:pos="720" w:leader="none"/>
          <w:tab w:val="left" w:pos="900" w:leader="none"/>
        </w:tabs>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姓名：</w:t>
      </w:r>
      <w:r>
        <w:rPr>
          <w:rFonts w:hint="eastAsia" w:ascii="仿宋" w:hAnsi="仿宋" w:eastAsia="仿宋" w:cs="仿宋"/>
          <w:sz w:val="24"/>
          <w:highlight w:val="none"/>
          <w:lang w:val="en-US" w:eastAsia="zh-CN"/>
        </w:rPr>
        <w:t xml:space="preserve">                   </w:t>
      </w:r>
      <w:r>
        <w:rPr>
          <w:rFonts w:hint="eastAsia" w:ascii="仿宋" w:hAnsi="仿宋" w:eastAsia="仿宋" w:cs="仿宋"/>
          <w:bCs/>
          <w:sz w:val="24"/>
          <w:highlight w:val="none"/>
          <w:lang w:val="en-US" w:eastAsia="zh-CN"/>
        </w:rPr>
        <w:t xml:space="preserve">电话：</w:t>
      </w:r>
      <w:r/>
    </w:p>
    <w:p>
      <w:pPr>
        <w:ind w:firstLine="480"/>
        <w:keepLines w:val="0"/>
        <w:keepNext w:val="0"/>
        <w:pageBreakBefore w:val="0"/>
        <w:spacing w:line="360" w:lineRule="auto"/>
        <w:widowControl w:val="off"/>
        <w:tabs>
          <w:tab w:val="left" w:pos="720" w:leader="none"/>
          <w:tab w:val="left" w:pos="900" w:leader="none"/>
        </w:tabs>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身份证号：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职务：</w:t>
      </w:r>
      <w:r>
        <w:rPr>
          <w:rFonts w:hint="eastAsia" w:ascii="仿宋" w:hAnsi="仿宋" w:eastAsia="仿宋" w:cs="仿宋"/>
          <w:sz w:val="24"/>
          <w:highlight w:val="none"/>
          <w:lang w:val="en-US" w:eastAsia="zh-CN"/>
        </w:rPr>
        <w:t xml:space="preserve">             </w:t>
      </w:r>
      <w:r/>
    </w:p>
    <w:p>
      <w:pPr>
        <w:ind w:firstLine="480"/>
        <w:keepLines w:val="0"/>
        <w:keepNext w:val="0"/>
        <w:pageBreakBefore w:val="0"/>
        <w:spacing w:line="360"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系我司的法定代表人。签署</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项目名称</w:t>
      </w:r>
      <w:r>
        <w:rPr>
          <w:rFonts w:hint="eastAsia" w:ascii="仿宋" w:hAnsi="仿宋" w:eastAsia="仿宋" w:cs="仿宋"/>
          <w:sz w:val="24"/>
          <w:highlight w:val="none"/>
          <w:u w:val="single"/>
          <w:lang w:eastAsia="zh-CN"/>
        </w:rPr>
        <w:t xml:space="preserve">）</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sz w:val="24"/>
          <w:highlight w:val="none"/>
        </w:rPr>
        <w:t xml:space="preserve">（项目编号：</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投标</w:t>
      </w:r>
      <w:r>
        <w:rPr>
          <w:rFonts w:hint="eastAsia" w:ascii="仿宋" w:hAnsi="仿宋" w:eastAsia="仿宋" w:cs="仿宋"/>
          <w:sz w:val="24"/>
          <w:highlight w:val="none"/>
        </w:rPr>
        <w:t xml:space="preserve">文件、进行合同谈判、签署合同和处理与之有关的一切事务。</w:t>
      </w:r>
      <w:r/>
    </w:p>
    <w:p>
      <w:pPr>
        <w:spacing w:line="5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5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特此证明。</w:t>
      </w:r>
      <w:r/>
    </w:p>
    <w:p>
      <w:pPr>
        <w:ind w:firstLine="480"/>
        <w:spacing w:line="5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right"/>
        <w:spacing w:line="360" w:lineRule="auto"/>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911"/>
        <w:rPr>
          <w:rFonts w:hint="eastAsia" w:ascii="仿宋" w:hAnsi="仿宋" w:eastAsia="仿宋" w:cs="仿宋"/>
          <w:highlight w:val="none"/>
        </w:rPr>
      </w:pPr>
      <w:r>
        <w:rPr>
          <w:rFonts w:hint="eastAsia" w:ascii="仿宋" w:hAnsi="仿宋" w:eastAsia="仿宋" w:cs="仿宋"/>
          <w:highlight w:val="none"/>
        </w:rPr>
      </w:r>
      <w:r/>
    </w:p>
    <w:p>
      <w:pPr>
        <w:ind w:firstLine="4660"/>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sz w:val="24"/>
          <w:szCs w:val="24"/>
          <w:highlight w:val="none"/>
          <w:lang w:val="en-US" w:eastAsia="zh-CN"/>
        </w:rPr>
        <w:t xml:space="preserve">单位名称（盖章）：</w:t>
      </w:r>
      <w:r/>
    </w:p>
    <w:p>
      <w:pPr>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sz w:val="24"/>
          <w:szCs w:val="24"/>
          <w:highlight w:val="none"/>
          <w:lang w:val="en-US" w:eastAsia="zh-CN"/>
        </w:rPr>
        <w:t xml:space="preserve">法定代表人或投标单位负责人（签字或盖章）：</w:t>
      </w:r>
      <w:r>
        <w:rPr>
          <w:rFonts w:hint="eastAsia" w:ascii="仿宋" w:hAnsi="仿宋" w:eastAsia="仿宋" w:cs="仿宋"/>
          <w:color w:val="000000"/>
          <w:sz w:val="24"/>
          <w:highlight w:val="none"/>
        </w:rPr>
        <w:t xml:space="preserve">  </w:t>
      </w:r>
      <w:r/>
    </w:p>
    <w:p>
      <w:pPr>
        <w:ind w:firstLine="4560"/>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p>
    <w:p>
      <w:pPr>
        <w:jc w:val="both"/>
        <w:spacing w:line="360" w:lineRule="auto"/>
        <w:rPr>
          <w:rFonts w:hint="eastAsia" w:ascii="仿宋" w:hAnsi="仿宋" w:eastAsia="仿宋" w:cs="仿宋"/>
          <w:highlight w:val="none"/>
        </w:rPr>
      </w:pPr>
      <w:r>
        <w:rPr>
          <w:rFonts w:hint="eastAsia" w:ascii="仿宋" w:hAnsi="仿宋" w:eastAsia="仿宋" w:cs="仿宋"/>
          <w:highlight w:val="none"/>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highlight w:val="none"/>
          <w:lang w:eastAsia="zh-CN"/>
        </w:rPr>
        <w:t xml:space="preserve">（法定代表人</w:t>
      </w:r>
      <w:r>
        <w:rPr>
          <w:rFonts w:hint="eastAsia" w:ascii="仿宋" w:hAnsi="仿宋" w:eastAsia="仿宋" w:cs="仿宋"/>
          <w:sz w:val="24"/>
          <w:highlight w:val="none"/>
        </w:rPr>
        <w:t xml:space="preserve">身份证</w:t>
      </w:r>
      <w:r>
        <w:rPr>
          <w:rFonts w:hint="eastAsia" w:ascii="仿宋" w:hAnsi="仿宋" w:eastAsia="仿宋" w:cs="仿宋"/>
          <w:bCs/>
          <w:sz w:val="24"/>
          <w:highlight w:val="none"/>
          <w:lang w:eastAsia="zh-CN"/>
        </w:rPr>
        <w:t xml:space="preserve">原件扫描件</w:t>
      </w:r>
      <w:r>
        <w:rPr>
          <w:rFonts w:hint="eastAsia" w:ascii="仿宋" w:hAnsi="仿宋" w:eastAsia="仿宋" w:cs="仿宋"/>
          <w:sz w:val="24"/>
          <w:highlight w:val="none"/>
        </w:rPr>
        <w:t xml:space="preserve">附后）</w:t>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8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color w:val="000000"/>
          <w:sz w:val="28"/>
          <w:szCs w:val="28"/>
          <w:highlight w:val="none"/>
          <w:lang w:val="en-US" w:eastAsia="zh-CN"/>
        </w:rPr>
        <w:t xml:space="preserve">六、中小企业声明函</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本公司（联合体）郑重声明，根据《政府采购促进中小企业发展管理办法》（财库</w:t>
      </w:r>
      <w:r>
        <w:rPr>
          <w:rFonts w:hint="eastAsia" w:ascii="仿宋" w:hAnsi="仿宋" w:eastAsia="仿宋" w:cs="仿宋"/>
          <w:sz w:val="24"/>
          <w:szCs w:val="24"/>
          <w:highlight w:val="none"/>
          <w:lang w:eastAsia="zh-CN"/>
        </w:rPr>
        <w:t xml:space="preserve">〔2020〕46号</w:t>
      </w:r>
      <w:r>
        <w:rPr>
          <w:rFonts w:hint="eastAsia" w:ascii="仿宋" w:hAnsi="仿宋" w:eastAsia="仿宋" w:cs="仿宋"/>
          <w:sz w:val="24"/>
          <w:szCs w:val="24"/>
          <w:highlight w:val="none"/>
        </w:rPr>
        <w:t xml:space="preserve">）的规定，本公司（联合体）参加</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rPr>
        <w:t xml:space="preserve">采购活动，</w:t>
      </w:r>
      <w:r>
        <w:rPr>
          <w:rFonts w:hint="eastAsia" w:ascii="仿宋" w:hAnsi="仿宋" w:eastAsia="仿宋" w:cs="仿宋"/>
          <w:sz w:val="24"/>
          <w:szCs w:val="24"/>
          <w:highlight w:val="none"/>
          <w:lang w:val="en-US" w:eastAsia="zh-CN"/>
        </w:rPr>
        <w:t xml:space="preserve">服务全部由符合政策要求的中小企业承接</w:t>
      </w:r>
      <w:r>
        <w:rPr>
          <w:rFonts w:hint="eastAsia" w:ascii="仿宋" w:hAnsi="仿宋" w:eastAsia="仿宋" w:cs="仿宋"/>
          <w:sz w:val="24"/>
          <w:szCs w:val="24"/>
          <w:highlight w:val="none"/>
        </w:rPr>
        <w:t xml:space="preserve">。相关企业（含联合体中的中小企业、签订分包意向协议的中小企业）的具体情况如下：</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（采购文件中明确的所属行业）</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承建（</w:t>
      </w:r>
      <w:r>
        <w:rPr>
          <w:rFonts w:hint="eastAsia" w:ascii="仿宋" w:hAnsi="仿宋" w:eastAsia="仿宋" w:cs="仿宋"/>
          <w:sz w:val="24"/>
          <w:szCs w:val="24"/>
          <w:highlight w:val="none"/>
        </w:rPr>
        <w:t xml:space="preserve">承接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（中型企业、小型企业、微型企业）</w:t>
      </w:r>
      <w:r>
        <w:rPr>
          <w:rFonts w:hint="eastAsia" w:ascii="仿宋" w:hAnsi="仿宋" w:eastAsia="仿宋" w:cs="仿宋"/>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（采购文件中明确的所属行业）</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承建（</w:t>
      </w:r>
      <w:r>
        <w:rPr>
          <w:rFonts w:hint="eastAsia" w:ascii="仿宋" w:hAnsi="仿宋" w:eastAsia="仿宋" w:cs="仿宋"/>
          <w:sz w:val="24"/>
          <w:szCs w:val="24"/>
          <w:highlight w:val="none"/>
        </w:rPr>
        <w:t xml:space="preserve">承接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（中型企业、小型企业、微型企业）</w:t>
      </w:r>
      <w:r>
        <w:rPr>
          <w:rFonts w:hint="eastAsia" w:ascii="仿宋" w:hAnsi="仿宋" w:eastAsia="仿宋" w:cs="仿宋"/>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ind w:firstLine="28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企业名称（供应商名称）：（</w:t>
      </w:r>
      <w:r>
        <w:rPr>
          <w:rFonts w:hint="eastAsia" w:ascii="仿宋" w:hAnsi="仿宋" w:eastAsia="仿宋" w:cs="仿宋"/>
          <w:sz w:val="24"/>
          <w:highlight w:val="none"/>
          <w:lang w:eastAsia="zh-CN"/>
        </w:rPr>
        <w:t xml:space="preserve">盖</w:t>
      </w:r>
      <w:r>
        <w:rPr>
          <w:rFonts w:hint="eastAsia" w:ascii="仿宋" w:hAnsi="仿宋" w:eastAsia="仿宋" w:cs="仿宋"/>
          <w:sz w:val="24"/>
          <w:szCs w:val="24"/>
          <w:highlight w:val="none"/>
        </w:rPr>
        <w:t xml:space="preserve">电子签章）</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日  期：  年  月  日</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从业人员、营业收入、资产总额填报上一年度数据，无上一年度数据的新成立企业可不填报。</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供应商如不提供此声明函，价格将不做相应扣除。</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供应商提供的声明函内容不实的，属于提供虚假材料谋取中标，依照《中华人民共和国政府采购法》等国家有关规定追究相应责任。</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七、残疾人福利性单位声明函</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 民政部 中国残疾人联合会关于促进残疾人就业政府采购政策的通知》（财库</w:t>
      </w:r>
      <w:r>
        <w:rPr>
          <w:rFonts w:hint="eastAsia" w:ascii="仿宋" w:hAnsi="仿宋" w:eastAsia="仿宋" w:cs="仿宋"/>
          <w:sz w:val="24"/>
          <w:szCs w:val="24"/>
          <w:highlight w:val="none"/>
          <w:lang w:eastAsia="zh-CN"/>
        </w:rPr>
        <w:t xml:space="preserve">〔2017〕141号</w:t>
      </w:r>
      <w:r>
        <w:rPr>
          <w:rFonts w:hint="eastAsia" w:ascii="仿宋" w:hAnsi="仿宋" w:eastAsia="仿宋" w:cs="仿宋"/>
          <w:sz w:val="24"/>
          <w:szCs w:val="24"/>
          <w:highlight w:val="none"/>
        </w:rPr>
        <w:t xml:space="preserve">）的规定，本单位为符合条件的残疾人福利性单位，且本单位参加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52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w:t>
      </w:r>
      <w:r>
        <w:rPr>
          <w:rFonts w:hint="eastAsia" w:ascii="仿宋" w:hAnsi="仿宋" w:eastAsia="仿宋" w:cs="仿宋"/>
          <w:sz w:val="24"/>
          <w:highlight w:val="none"/>
          <w:lang w:eastAsia="zh-CN"/>
        </w:rPr>
        <w:t xml:space="preserve">盖</w:t>
      </w:r>
      <w:r>
        <w:rPr>
          <w:rFonts w:hint="eastAsia" w:ascii="仿宋" w:hAnsi="仿宋" w:eastAsia="仿宋" w:cs="仿宋"/>
          <w:sz w:val="24"/>
          <w:szCs w:val="24"/>
          <w:highlight w:val="none"/>
        </w:rPr>
        <w:t xml:space="preserve">电子签章）</w:t>
      </w:r>
      <w:r>
        <w:rPr>
          <w:rFonts w:hint="eastAsia" w:ascii="仿宋" w:hAnsi="仿宋" w:eastAsia="仿宋" w:cs="仿宋"/>
          <w:sz w:val="24"/>
          <w:szCs w:val="24"/>
          <w:highlight w:val="none"/>
        </w:rPr>
        <w:tab/>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52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八、投标人参加政府采购活动前3年内在经营活动中没有重大违法记录的书面声明格式</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我单位在参加</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项目名称</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项目</w:t>
      </w:r>
      <w:r>
        <w:rPr>
          <w:rFonts w:hint="eastAsia" w:ascii="仿宋" w:hAnsi="仿宋" w:eastAsia="仿宋" w:cs="仿宋"/>
          <w:sz w:val="24"/>
          <w:szCs w:val="24"/>
          <w:highlight w:val="none"/>
        </w:rPr>
        <w:t xml:space="preserve">编号：</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我单位对上述声明的真实性负责。如有虚假，将依法承担相应责任。</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600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w:t>
      </w:r>
      <w:r>
        <w:rPr>
          <w:rFonts w:hint="eastAsia" w:ascii="仿宋" w:hAnsi="仿宋" w:eastAsia="仿宋" w:cs="仿宋"/>
          <w:sz w:val="24"/>
          <w:highlight w:val="none"/>
          <w:lang w:eastAsia="zh-CN"/>
        </w:rPr>
        <w:t xml:space="preserve">盖</w:t>
      </w:r>
      <w:r>
        <w:rPr>
          <w:rFonts w:hint="eastAsia" w:ascii="仿宋" w:hAnsi="仿宋" w:eastAsia="仿宋" w:cs="仿宋"/>
          <w:sz w:val="24"/>
          <w:szCs w:val="24"/>
          <w:highlight w:val="none"/>
        </w:rPr>
        <w:t xml:space="preserve">电子签章）</w:t>
      </w:r>
      <w:r/>
    </w:p>
    <w:p>
      <w:pPr>
        <w:ind w:firstLine="600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numPr>
          <w:ilvl w:val="0"/>
          <w:numId w:val="0"/>
        </w:numPr>
        <w:rPr>
          <w:rFonts w:hint="eastAsia"/>
          <w:highlight w:val="none"/>
        </w:rPr>
      </w:pPr>
      <w:r>
        <w:rPr>
          <w:rFonts w:hint="eastAsia"/>
          <w:highlight w:val="none"/>
        </w:rPr>
      </w:r>
      <w:r/>
    </w:p>
    <w:p>
      <w:pPr>
        <w:pStyle w:val="883"/>
        <w:rPr>
          <w:rFonts w:hint="eastAsia"/>
          <w:highlight w:val="none"/>
        </w:rPr>
      </w:pPr>
      <w:r>
        <w:rPr>
          <w:rFonts w:hint="eastAsia"/>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九、具备履行合同所必需的设备和专业技术能力的声明</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val="en-US" w:eastAsia="zh-CN"/>
        </w:rPr>
        <w:t xml:space="preserve">  </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u w:val="single"/>
          <w:lang w:val="en-US"/>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u w:val="single"/>
          <w:lang w:val="en-US" w:eastAsia="zh-CN"/>
        </w:rPr>
        <w:t xml:space="preserve"> </w:t>
      </w:r>
      <w:r/>
    </w:p>
    <w:p>
      <w:pPr>
        <w:ind w:firstLine="480"/>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left"/>
        <w:keepLines w:val="0"/>
        <w:keepNext w:val="0"/>
        <w:pageBreakBefore w:val="0"/>
        <w:spacing w:beforeAutospacing="0" w:afterAutospacing="0"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我单位</w:t>
      </w:r>
      <w:r>
        <w:rPr>
          <w:rFonts w:hint="eastAsia" w:ascii="仿宋" w:hAnsi="仿宋" w:eastAsia="仿宋" w:cs="仿宋"/>
          <w:sz w:val="24"/>
          <w:highlight w:val="none"/>
        </w:rPr>
        <w:t xml:space="preserve">郑重声明：</w:t>
      </w:r>
      <w:r>
        <w:rPr>
          <w:rFonts w:hint="eastAsia" w:ascii="仿宋" w:hAnsi="仿宋" w:eastAsia="仿宋" w:cs="仿宋"/>
          <w:sz w:val="24"/>
          <w:highlight w:val="none"/>
          <w:lang w:eastAsia="zh-CN"/>
        </w:rPr>
        <w:t xml:space="preserve">我单位</w:t>
      </w:r>
      <w:r>
        <w:rPr>
          <w:rFonts w:hint="eastAsia" w:ascii="仿宋" w:hAnsi="仿宋" w:eastAsia="仿宋" w:cs="仿宋"/>
          <w:sz w:val="24"/>
          <w:highlight w:val="none"/>
        </w:rPr>
        <w:t xml:space="preserve">具备履行合同（项目名称：</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lang w:eastAsia="zh-CN"/>
        </w:rPr>
        <w:t xml:space="preserve">项目</w:t>
      </w:r>
      <w:r>
        <w:rPr>
          <w:rFonts w:hint="eastAsia" w:ascii="仿宋" w:hAnsi="仿宋" w:eastAsia="仿宋" w:cs="仿宋"/>
          <w:sz w:val="24"/>
          <w:highlight w:val="none"/>
        </w:rPr>
        <w:t xml:space="preserve">，项目编号：</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）所必需的设备和专业技术能力</w:t>
      </w:r>
      <w:r>
        <w:rPr>
          <w:rFonts w:hint="eastAsia" w:ascii="仿宋" w:hAnsi="仿宋" w:eastAsia="仿宋" w:cs="仿宋"/>
          <w:sz w:val="24"/>
          <w:highlight w:val="none"/>
          <w:lang w:eastAsia="zh-CN"/>
        </w:rPr>
        <w:t xml:space="preserve">。</w:t>
      </w:r>
      <w:r/>
    </w:p>
    <w:p>
      <w:pPr>
        <w:ind w:firstLine="480"/>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r>
      <w:r/>
    </w:p>
    <w:p>
      <w:pPr>
        <w:ind w:firstLine="480"/>
        <w:keepLines w:val="0"/>
        <w:keepNext w:val="0"/>
        <w:pageBreakBefore w:val="0"/>
        <w:spacing w:line="360"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特此声明。</w:t>
      </w:r>
      <w:r/>
    </w:p>
    <w:p>
      <w:pPr>
        <w:ind w:firstLine="480"/>
        <w:keepLines w:val="0"/>
        <w:keepNext w:val="0"/>
        <w:pageBreakBefore w:val="0"/>
        <w:spacing w:line="360" w:lineRule="auto"/>
        <w:widowControl w:val="off"/>
        <w:rPr>
          <w:rFonts w:hint="eastAsia" w:ascii="仿宋" w:hAnsi="仿宋" w:eastAsia="仿宋" w:cs="仿宋"/>
          <w:sz w:val="24"/>
          <w:highlight w:val="none"/>
        </w:rPr>
      </w:pPr>
      <w:r>
        <w:rPr>
          <w:rFonts w:hint="eastAsia" w:ascii="仿宋" w:hAnsi="仿宋" w:eastAsia="仿宋" w:cs="仿宋"/>
          <w:sz w:val="24"/>
          <w:highlight w:val="none"/>
          <w:lang w:eastAsia="zh-CN"/>
        </w:rPr>
        <w:t xml:space="preserve">我单位</w:t>
      </w:r>
      <w:r>
        <w:rPr>
          <w:rFonts w:hint="eastAsia" w:ascii="仿宋" w:hAnsi="仿宋" w:eastAsia="仿宋" w:cs="仿宋"/>
          <w:sz w:val="24"/>
          <w:highlight w:val="none"/>
        </w:rPr>
        <w:t xml:space="preserve">对上述声明的真实性负责。如有虚假，将依法承担相应责任。</w:t>
      </w:r>
      <w:r/>
    </w:p>
    <w:p>
      <w:pPr>
        <w:rPr>
          <w:rFonts w:hint="eastAsia" w:ascii="仿宋" w:hAnsi="仿宋" w:eastAsia="仿宋" w:cs="仿宋"/>
          <w:sz w:val="24"/>
          <w:highlight w:val="none"/>
        </w:rPr>
      </w:pPr>
      <w:r>
        <w:rPr>
          <w:rFonts w:hint="eastAsia" w:ascii="仿宋" w:hAnsi="仿宋" w:eastAsia="仿宋" w:cs="仿宋"/>
          <w:sz w:val="24"/>
          <w:highlight w:val="none"/>
        </w:rPr>
      </w:r>
      <w:r/>
    </w:p>
    <w:p>
      <w:pPr>
        <w:ind w:firstLine="3000"/>
        <w:spacing w:line="30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5040"/>
        <w:jc w:val="both"/>
        <w:spacing w:line="300" w:lineRule="auto"/>
        <w:rPr>
          <w:rFonts w:hint="eastAsia" w:ascii="仿宋" w:hAnsi="仿宋" w:eastAsia="仿宋" w:cs="仿宋"/>
          <w:sz w:val="24"/>
          <w:highlight w:val="none"/>
        </w:rPr>
      </w:pPr>
      <w:r>
        <w:rPr>
          <w:rFonts w:hint="eastAsia" w:ascii="仿宋" w:hAnsi="仿宋" w:eastAsia="仿宋" w:cs="仿宋"/>
          <w:sz w:val="24"/>
          <w:highlight w:val="none"/>
        </w:rPr>
        <w:t xml:space="preserve"> 投标人：（</w:t>
      </w:r>
      <w:r>
        <w:rPr>
          <w:rFonts w:hint="eastAsia" w:ascii="仿宋" w:hAnsi="仿宋" w:eastAsia="仿宋" w:cs="仿宋"/>
          <w:sz w:val="24"/>
          <w:highlight w:val="none"/>
          <w:lang w:eastAsia="zh-CN"/>
        </w:rPr>
        <w:t xml:space="preserve">盖</w:t>
      </w:r>
      <w:r>
        <w:rPr>
          <w:rFonts w:hint="eastAsia" w:ascii="仿宋" w:hAnsi="仿宋" w:eastAsia="仿宋" w:cs="仿宋"/>
          <w:sz w:val="24"/>
          <w:highlight w:val="none"/>
          <w:lang w:val="en-US" w:eastAsia="zh-CN"/>
        </w:rPr>
        <w:t xml:space="preserve">电子签章</w:t>
      </w:r>
      <w:r>
        <w:rPr>
          <w:rFonts w:hint="eastAsia" w:ascii="仿宋" w:hAnsi="仿宋" w:eastAsia="仿宋" w:cs="仿宋"/>
          <w:sz w:val="24"/>
          <w:highlight w:val="none"/>
        </w:rPr>
        <w:t xml:space="preserve">）</w:t>
      </w:r>
      <w:r/>
    </w:p>
    <w:p>
      <w:pPr>
        <w:ind w:firstLine="480"/>
        <w:jc w:val="both"/>
        <w:spacing w:line="30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 日期：   年  月  日</w:t>
      </w:r>
      <w:r/>
    </w:p>
    <w:p>
      <w:pPr>
        <w:jc w:val="both"/>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1"/>
        <w:numPr>
          <w:ilvl w:val="3"/>
          <w:numId w:val="0"/>
        </w:numPr>
        <w:rPr>
          <w:rFonts w:hint="eastAsia"/>
        </w:rPr>
      </w:pPr>
      <w:r>
        <w:rPr>
          <w:rFonts w:hint="eastAsia"/>
        </w:rPr>
      </w:r>
      <w:r/>
    </w:p>
    <w:p>
      <w:pPr>
        <w:pStyle w:val="8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jc w:val="center"/>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十、关于符合本国产品标准的声明函</w:t>
      </w:r>
      <w:r/>
    </w:p>
    <w:p>
      <w:pPr>
        <w:ind w:firstLine="480"/>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1.（产品名称1）1，生产厂为（厂名）2，厂址为（生产厂址）。 / 的中国境内生产的组件成本占比≥  /  3。  /  的  /  4在中国境内生产。  /  的  /  5在中国境内完成。</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2.（产品名称2），生产厂为（厂名），厂址为（生产厂址）。 /  的中国境内生产的组件成本占比≥  /  。  /  的  /  在中国境内生产。  /  的  /  在中国境内完成。</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本公司（单位）对上述声明内容的真实性负责。如有虚假，愿承担相应法律责任。</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   公司（单位）名称（加盖CA电子公章）：         </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           日期：      年   月   日         </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_________________</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1.产品如有型号，请在“产品名称”栏一并填写。</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4.该产品的关键组件要求实施前，“关键组件”栏可不填，下同。</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5.该产品的关键工序要求实施前，“关键工序”栏可不填，下同。</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6.《声明函》中标注“  /  ”的地方无需填写。</w:t>
      </w:r>
      <w:r/>
    </w:p>
    <w:p>
      <w:pPr>
        <w:jc w:val="center"/>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jc w:val="center"/>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jc w:val="center"/>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jc w:val="center"/>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十一、质疑函范本</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一、质疑供应商基本信息</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质疑供应商：</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地址：邮编：</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联系人：联系电话：</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邮编：</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二、质疑项目基本情况</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质疑项目的名称：</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包号：</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采购人名称：</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采购文件获取日期：</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三、质疑事项具体内容</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质疑事项1：</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事实依据：</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法律依据：</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质疑事项2</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四、与质疑事项相关的质疑请求</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请求：</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签字</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签章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公章：                      </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质疑函制作说明：</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1.供应商提出质疑时，应提交质疑函和必要的证明材料。</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3.质疑供应商若对项目的某一分包进行质疑，质疑函中应列明具体分包号。</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4.质疑函的质疑事项应具体、明确，并有必要的事实依据和法律依据。</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5.质疑函的质疑请求应与质疑事项相关。</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7.按该表格填写，一式两份，并将该函和相关证据盖公章在规定的时间内分别送达采购人和采购代理机构。</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sectPr>
      <w:headerReference w:type="default" r:id="rId9"/>
      <w:footerReference w:type="default" r:id="rId10"/>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w:panose1 w:val="020B0502040204020203"/>
  </w:font>
  <w:font w:name="FangSong">
    <w:panose1 w:val="02010609060101010101"/>
  </w:font>
  <w:font w:name="华文新魏">
    <w:panose1 w:val="02010800040101010101"/>
  </w:font>
  <w:font w:name="Wingdings">
    <w:panose1 w:val="05000000000000000000"/>
  </w:font>
  <w:font w:name="Symbol">
    <w:panose1 w:val="05050102010706020507"/>
  </w:font>
  <w:font w:name="新宋体">
    <w:panose1 w:val="02010609030101010101"/>
  </w:font>
  <w:font w:name="Tahoma">
    <w:panose1 w:val="020B0604030504040204"/>
  </w:font>
  <w:font w:name="方正黑体_GBK">
    <w:panose1 w:val="020B0503020202020204"/>
  </w:font>
  <w:font w:name="Cambria">
    <w:panose1 w:val="02040503050406030204"/>
  </w:font>
  <w:font w:name="Courier New">
    <w:panose1 w:val="02070309020205020404"/>
  </w:font>
  <w:font w:name="仿宋">
    <w:panose1 w:val="02010609060101010101"/>
  </w:font>
  <w:font w:name="Calibri">
    <w:panose1 w:val="020F0502020204030204"/>
  </w:font>
  <w:font w:name="Verdana">
    <w:panose1 w:val="020B060403050404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98"/>
                          </w:pPr>
                          <w:r>
                            <w:fldChar w:fldCharType="begin"/>
                          </w:r>
                          <w:r>
                            <w:instrText xml:space="preserve"> PAGE  \* MERGEFORMAT </w:instrText>
                          </w:r>
                          <w:r>
                            <w:fldChar w:fldCharType="separate"/>
                          </w:r>
                          <w:r>
                            <w:t xml:space="preserve">24</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1.25pt">
              <v:textbox inset="0,0,0,0">
                <w:txbxContent>
                  <w:p>
                    <w:pPr>
                      <w:pStyle w:val="898"/>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p>
    <w:pPr>
      <w:pStyle w:val="89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rPr>
        <w:rFonts w:hint="eastAsia"/>
        <w:u w:val="single"/>
      </w:rPr>
      <w:pBdr>
        <w:bottom w:val="none" w:color="auto" w:sz="0" w:space="0"/>
      </w:pBdr>
    </w:pPr>
    <w:r>
      <w:rPr>
        <w:rFonts w:hint="eastAsia"/>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12"/>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7">
    <w:multiLevelType w:val="hybridMultilevel"/>
    <w:lvl w:ilvl="0">
      <w:start w:val="1"/>
      <w:numFmt w:val="decimal"/>
      <w:pStyle w:val="1025"/>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none"/>
      <w:pStyle w:val="873"/>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9">
    <w:multiLevelType w:val="hybridMultilevel"/>
    <w:lvl w:ilvl="0">
      <w:start w:val="1"/>
      <w:numFmt w:val="none"/>
      <w:pStyle w:val="983"/>
      <w:isLgl w:val="false"/>
      <w:suff w:val="nothing"/>
      <w:lvlText w:val="%1"/>
      <w:lvlJc w:val="left"/>
      <w:pPr>
        <w:ind w:left="0" w:firstLine="0"/>
      </w:pPr>
      <w:rPr>
        <w:rFonts w:hint="default" w:ascii="Times New Roman" w:hAnsi="Times New Roman" w:cs="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pStyle w:val="882"/>
      <w:isLgl w:val="false"/>
      <w:suff w:val="nothing"/>
      <w:lvlText w:val="%1%2.%3　"/>
      <w:lvlJc w:val="left"/>
      <w:pPr>
        <w:ind w:left="315" w:firstLine="0"/>
      </w:pPr>
      <w:rPr>
        <w:rFonts w:hint="eastAsia" w:ascii="黑体" w:hAnsi="Times New Roman" w:eastAsia="黑体"/>
        <w:b w:val="0"/>
        <w:i w:val="0"/>
        <w:sz w:val="21"/>
      </w:rPr>
    </w:lvl>
    <w:lvl w:ilvl="3">
      <w:start w:val="1"/>
      <w:numFmt w:val="decimal"/>
      <w:pStyle w:val="881"/>
      <w:isLgl w:val="false"/>
      <w:suff w:val="nothing"/>
      <w:lvlText w:val="%1%2.%3.%4　"/>
      <w:lvlJc w:val="left"/>
      <w:pPr>
        <w:ind w:left="1080" w:firstLine="0"/>
      </w:pPr>
      <w:rPr>
        <w:rFonts w:hint="eastAsia" w:ascii="黑体" w:hAnsi="Times New Roman" w:eastAsia="黑体"/>
        <w:b w:val="0"/>
        <w:i w:val="0"/>
        <w:sz w:val="21"/>
      </w:rPr>
    </w:lvl>
    <w:lvl w:ilvl="4">
      <w:start w:val="1"/>
      <w:numFmt w:val="decimal"/>
      <w:pStyle w:val="1005"/>
      <w:isLgl w:val="false"/>
      <w:suff w:val="nothing"/>
      <w:lvlText w:val="%1%2.%3.%4.%5　"/>
      <w:lvlJc w:val="left"/>
      <w:pPr>
        <w:ind w:left="1260" w:firstLine="0"/>
      </w:pPr>
      <w:rPr>
        <w:rFonts w:hint="eastAsia" w:ascii="黑体" w:hAnsi="Times New Roman" w:eastAsia="黑体"/>
        <w:b w:val="0"/>
        <w:i w:val="0"/>
        <w:sz w:val="21"/>
      </w:rPr>
    </w:lvl>
    <w:lvl w:ilvl="5">
      <w:start w:val="1"/>
      <w:numFmt w:val="decimal"/>
      <w:pStyle w:val="1031"/>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030"/>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taiwaneseCountingThousand"/>
      <w:pStyle w:val="1032"/>
      <w:isLgl w:val="false"/>
      <w:suff w:val="nothing"/>
      <w:lvlText w:val="%1、"/>
      <w:lvlJc w:val="left"/>
      <w:pPr>
        <w:ind w:firstLine="561"/>
      </w:pPr>
      <w:rPr>
        <w:rFonts w:hint="eastAsia" w:cs="Times New Roman"/>
      </w:rPr>
    </w:lvl>
    <w:lvl w:ilvl="1">
      <w:start w:val="1"/>
      <w:numFmt w:val="taiwaneseCountingThousand"/>
      <w:isLgl w:val="false"/>
      <w:suff w:val="nothing"/>
      <w:lvlText w:val="（%2）"/>
      <w:lvlJc w:val="left"/>
      <w:pPr>
        <w:ind w:firstLine="561"/>
      </w:pPr>
      <w:rPr>
        <w:rFonts w:hint="eastAsia" w:cs="Times New Roman"/>
      </w:rPr>
    </w:lvl>
    <w:lvl w:ilvl="2">
      <w:start w:val="1"/>
      <w:numFmt w:val="decimal"/>
      <w:isLgl w:val="false"/>
      <w:suff w:val="nothing"/>
      <w:lvlText w:val="%3、"/>
      <w:lvlJc w:val="left"/>
      <w:pPr>
        <w:ind w:left="-21" w:firstLine="561"/>
      </w:pPr>
      <w:rPr>
        <w:rFonts w:hint="eastAsia" w:cs="Times New Roman"/>
      </w:rPr>
    </w:lvl>
    <w:lvl w:ilvl="3">
      <w:start w:val="1"/>
      <w:numFmt w:val="decimal"/>
      <w:isLgl w:val="false"/>
      <w:suff w:val="nothing"/>
      <w:lvlText w:val="（%4）"/>
      <w:lvlJc w:val="left"/>
      <w:pPr>
        <w:ind w:left="-21" w:firstLine="561"/>
      </w:pPr>
      <w:rPr>
        <w:rFonts w:hint="eastAsia" w:cs="Times New Roman"/>
      </w:rPr>
    </w:lvl>
    <w:lvl w:ilvl="4">
      <w:start w:val="1"/>
      <w:numFmt w:val="decimal"/>
      <w:isLgl w:val="false"/>
      <w:suff w:val="tab"/>
      <w:lvlText w:val="%1.%2.%3.%4.%5"/>
      <w:lvlJc w:val="left"/>
      <w:pPr>
        <w:ind w:left="608" w:hanging="1008"/>
        <w:tabs>
          <w:tab w:val="left" w:pos="608" w:leader="none"/>
        </w:tabs>
      </w:pPr>
      <w:rPr>
        <w:rFonts w:hint="eastAsia" w:cs="Times New Roman"/>
      </w:rPr>
    </w:lvl>
    <w:lvl w:ilvl="5">
      <w:start w:val="1"/>
      <w:numFmt w:val="decimal"/>
      <w:isLgl w:val="false"/>
      <w:suff w:val="tab"/>
      <w:lvlText w:val="%1.%2.%3.%4.%5.%6"/>
      <w:lvlJc w:val="left"/>
      <w:pPr>
        <w:ind w:left="752" w:hanging="1152"/>
        <w:tabs>
          <w:tab w:val="left" w:pos="752" w:leader="none"/>
        </w:tabs>
      </w:pPr>
      <w:rPr>
        <w:rFonts w:hint="eastAsia" w:cs="Times New Roman"/>
      </w:rPr>
    </w:lvl>
    <w:lvl w:ilvl="6">
      <w:start w:val="1"/>
      <w:numFmt w:val="decimal"/>
      <w:isLgl w:val="false"/>
      <w:suff w:val="tab"/>
      <w:lvlText w:val="%1.%2.%3.%4.%5.%6.%7"/>
      <w:lvlJc w:val="left"/>
      <w:pPr>
        <w:ind w:left="896" w:hanging="1296"/>
        <w:tabs>
          <w:tab w:val="left" w:pos="896" w:leader="none"/>
        </w:tabs>
      </w:pPr>
      <w:rPr>
        <w:rFonts w:hint="eastAsia" w:cs="Times New Roman"/>
      </w:rPr>
    </w:lvl>
    <w:lvl w:ilvl="7">
      <w:start w:val="1"/>
      <w:numFmt w:val="decimal"/>
      <w:isLgl w:val="false"/>
      <w:suff w:val="tab"/>
      <w:lvlText w:val="%1.%2.%3.%4.%5.%6.%7.%8"/>
      <w:lvlJc w:val="left"/>
      <w:pPr>
        <w:ind w:left="1040" w:hanging="1440"/>
        <w:tabs>
          <w:tab w:val="left" w:pos="1040" w:leader="none"/>
        </w:tabs>
      </w:pPr>
      <w:rPr>
        <w:rFonts w:hint="eastAsia" w:cs="Times New Roman"/>
      </w:rPr>
    </w:lvl>
    <w:lvl w:ilvl="8">
      <w:start w:val="1"/>
      <w:numFmt w:val="decimal"/>
      <w:isLgl w:val="false"/>
      <w:suff w:val="tab"/>
      <w:lvlText w:val="%1.%2.%3.%4.%5.%6.%7.%8.%9"/>
      <w:lvlJc w:val="left"/>
      <w:pPr>
        <w:ind w:left="1184" w:hanging="1584"/>
        <w:tabs>
          <w:tab w:val="left" w:pos="1184" w:leader="none"/>
        </w:tabs>
      </w:pPr>
      <w:rPr>
        <w:rFonts w:hint="eastAsia" w:cs="Times New Roman"/>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6"/>
  </w:num>
  <w:num w:numId="4">
    <w:abstractNumId w:val="5"/>
  </w:num>
  <w:num w:numId="5">
    <w:abstractNumId w:val="7"/>
  </w:num>
  <w:num w:numId="6">
    <w:abstractNumId w:val="12"/>
  </w:num>
  <w:num w:numId="7">
    <w:abstractNumId w:val="10"/>
  </w:num>
  <w:num w:numId="8">
    <w:abstractNumId w:val="13"/>
  </w:num>
  <w:num w:numId="9">
    <w:abstractNumId w:val="3"/>
  </w:num>
  <w:num w:numId="10">
    <w:abstractNumId w:val="2"/>
  </w:num>
  <w:num w:numId="11">
    <w:abstractNumId w:val="11"/>
  </w:num>
  <w:num w:numId="12">
    <w:abstractNumId w:val="0"/>
  </w:num>
  <w:num w:numId="13">
    <w:abstractNumId w:val="1"/>
  </w:num>
  <w:num w:numId="14">
    <w:abstractNumId w:val="4"/>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74"/>
    <w:link w:val="868"/>
    <w:uiPriority w:val="9"/>
    <w:rPr>
      <w:rFonts w:ascii="Arial" w:hAnsi="Arial" w:eastAsia="Arial" w:cs="Arial"/>
      <w:sz w:val="40"/>
      <w:szCs w:val="40"/>
    </w:rPr>
  </w:style>
  <w:style w:type="character" w:styleId="713">
    <w:name w:val="Heading 2 Char"/>
    <w:basedOn w:val="874"/>
    <w:link w:val="869"/>
    <w:uiPriority w:val="9"/>
    <w:rPr>
      <w:rFonts w:ascii="Arial" w:hAnsi="Arial" w:eastAsia="Arial" w:cs="Arial"/>
      <w:sz w:val="34"/>
    </w:rPr>
  </w:style>
  <w:style w:type="character" w:styleId="714">
    <w:name w:val="Heading 3 Char"/>
    <w:basedOn w:val="874"/>
    <w:link w:val="870"/>
    <w:uiPriority w:val="9"/>
    <w:rPr>
      <w:rFonts w:ascii="Arial" w:hAnsi="Arial" w:eastAsia="Arial" w:cs="Arial"/>
      <w:sz w:val="30"/>
      <w:szCs w:val="30"/>
    </w:rPr>
  </w:style>
  <w:style w:type="character" w:styleId="715">
    <w:name w:val="Heading 4 Char"/>
    <w:basedOn w:val="874"/>
    <w:link w:val="871"/>
    <w:uiPriority w:val="9"/>
    <w:rPr>
      <w:rFonts w:ascii="Arial" w:hAnsi="Arial" w:eastAsia="Arial" w:cs="Arial"/>
      <w:b/>
      <w:bCs/>
      <w:sz w:val="26"/>
      <w:szCs w:val="26"/>
    </w:rPr>
  </w:style>
  <w:style w:type="character" w:styleId="716">
    <w:name w:val="Heading 5 Char"/>
    <w:basedOn w:val="874"/>
    <w:link w:val="872"/>
    <w:uiPriority w:val="9"/>
    <w:rPr>
      <w:rFonts w:ascii="Arial" w:hAnsi="Arial" w:eastAsia="Arial" w:cs="Arial"/>
      <w:b/>
      <w:bCs/>
      <w:sz w:val="24"/>
      <w:szCs w:val="24"/>
    </w:rPr>
  </w:style>
  <w:style w:type="character" w:styleId="717">
    <w:name w:val="Heading 6 Char"/>
    <w:basedOn w:val="874"/>
    <w:link w:val="873"/>
    <w:uiPriority w:val="9"/>
    <w:rPr>
      <w:rFonts w:ascii="Arial" w:hAnsi="Arial" w:eastAsia="Arial" w:cs="Arial"/>
      <w:b/>
      <w:bCs/>
      <w:sz w:val="22"/>
      <w:szCs w:val="22"/>
    </w:rPr>
  </w:style>
  <w:style w:type="paragraph" w:styleId="718">
    <w:name w:val="Heading 7"/>
    <w:basedOn w:val="867"/>
    <w:next w:val="867"/>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74"/>
    <w:link w:val="718"/>
    <w:uiPriority w:val="9"/>
    <w:rPr>
      <w:rFonts w:ascii="Arial" w:hAnsi="Arial" w:eastAsia="Arial" w:cs="Arial"/>
      <w:b/>
      <w:bCs/>
      <w:i/>
      <w:iCs/>
      <w:sz w:val="22"/>
      <w:szCs w:val="22"/>
    </w:rPr>
  </w:style>
  <w:style w:type="paragraph" w:styleId="720">
    <w:name w:val="Heading 8"/>
    <w:basedOn w:val="867"/>
    <w:next w:val="867"/>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74"/>
    <w:link w:val="720"/>
    <w:uiPriority w:val="9"/>
    <w:rPr>
      <w:rFonts w:ascii="Arial" w:hAnsi="Arial" w:eastAsia="Arial" w:cs="Arial"/>
      <w:i/>
      <w:iCs/>
      <w:sz w:val="22"/>
      <w:szCs w:val="22"/>
    </w:rPr>
  </w:style>
  <w:style w:type="paragraph" w:styleId="722">
    <w:name w:val="Heading 9"/>
    <w:basedOn w:val="867"/>
    <w:next w:val="867"/>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74"/>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character" w:styleId="725">
    <w:name w:val="Title Char"/>
    <w:basedOn w:val="874"/>
    <w:link w:val="910"/>
    <w:uiPriority w:val="10"/>
    <w:rPr>
      <w:sz w:val="48"/>
      <w:szCs w:val="48"/>
    </w:rPr>
  </w:style>
  <w:style w:type="character" w:styleId="726">
    <w:name w:val="Subtitle Char"/>
    <w:basedOn w:val="874"/>
    <w:link w:val="902"/>
    <w:uiPriority w:val="11"/>
    <w:rPr>
      <w:sz w:val="24"/>
      <w:szCs w:val="24"/>
    </w:rPr>
  </w:style>
  <w:style w:type="paragraph" w:styleId="727">
    <w:name w:val="Quote"/>
    <w:basedOn w:val="867"/>
    <w:next w:val="867"/>
    <w:link w:val="728"/>
    <w:uiPriority w:val="29"/>
    <w:qFormat/>
    <w:pPr>
      <w:ind w:left="720" w:right="720"/>
    </w:pPr>
    <w:rPr>
      <w:i/>
    </w:rPr>
  </w:style>
  <w:style w:type="character" w:styleId="728">
    <w:name w:val="Quote Char"/>
    <w:link w:val="727"/>
    <w:uiPriority w:val="29"/>
    <w:rPr>
      <w:i/>
    </w:rPr>
  </w:style>
  <w:style w:type="paragraph" w:styleId="729">
    <w:name w:val="Intense Quote"/>
    <w:basedOn w:val="867"/>
    <w:next w:val="867"/>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74"/>
    <w:link w:val="899"/>
    <w:uiPriority w:val="99"/>
  </w:style>
  <w:style w:type="character" w:styleId="732">
    <w:name w:val="Footer Char"/>
    <w:basedOn w:val="874"/>
    <w:link w:val="898"/>
    <w:uiPriority w:val="99"/>
  </w:style>
  <w:style w:type="paragraph" w:styleId="733">
    <w:name w:val="Caption"/>
    <w:basedOn w:val="867"/>
    <w:next w:val="867"/>
    <w:uiPriority w:val="35"/>
    <w:semiHidden/>
    <w:unhideWhenUsed/>
    <w:qFormat/>
    <w:pPr>
      <w:spacing w:line="276" w:lineRule="auto"/>
    </w:pPr>
    <w:rPr>
      <w:b/>
      <w:bCs/>
      <w:color w:val="4f81bd" w:themeColor="accent1"/>
      <w:sz w:val="18"/>
      <w:szCs w:val="18"/>
    </w:rPr>
  </w:style>
  <w:style w:type="character" w:styleId="734">
    <w:name w:val="Caption Char"/>
    <w:basedOn w:val="733"/>
    <w:link w:val="898"/>
    <w:uiPriority w:val="99"/>
  </w:style>
  <w:style w:type="table" w:styleId="735">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6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74"/>
    <w:uiPriority w:val="99"/>
    <w:unhideWhenUsed/>
    <w:rPr>
      <w:vertAlign w:val="superscript"/>
    </w:rPr>
  </w:style>
  <w:style w:type="character" w:styleId="863">
    <w:name w:val="Endnote Text Char"/>
    <w:link w:val="896"/>
    <w:uiPriority w:val="99"/>
    <w:rPr>
      <w:sz w:val="20"/>
    </w:rPr>
  </w:style>
  <w:style w:type="character" w:styleId="864">
    <w:name w:val="endnote reference"/>
    <w:basedOn w:val="874"/>
    <w:uiPriority w:val="99"/>
    <w:semiHidden/>
    <w:unhideWhenUsed/>
    <w:rPr>
      <w:vertAlign w:val="superscript"/>
    </w:r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6"/>
    <w:uiPriority w:val="0"/>
    <w:qFormat/>
    <w:pPr>
      <w:jc w:val="both"/>
      <w:widowControl w:val="off"/>
    </w:pPr>
    <w:rPr>
      <w:rFonts w:ascii="Times New Roman" w:hAnsi="Times New Roman" w:eastAsia="宋体" w:cs="Times New Roman"/>
      <w:sz w:val="21"/>
      <w:szCs w:val="21"/>
      <w:lang w:val="en-US" w:eastAsia="zh-CN" w:bidi="ar-SA"/>
    </w:rPr>
  </w:style>
  <w:style w:type="paragraph" w:styleId="868">
    <w:name w:val="Heading 1"/>
    <w:basedOn w:val="867"/>
    <w:next w:val="867"/>
    <w:link w:val="919"/>
    <w:uiPriority w:val="99"/>
    <w:qFormat/>
    <w:pPr>
      <w:jc w:val="center"/>
      <w:keepNext/>
      <w:outlineLvl w:val="0"/>
    </w:pPr>
    <w:rPr>
      <w:rFonts w:ascii="楷体_GB2312" w:hAnsi="楷体_GB2312" w:eastAsia="宋体"/>
      <w:b/>
      <w:sz w:val="28"/>
      <w:szCs w:val="28"/>
    </w:rPr>
  </w:style>
  <w:style w:type="paragraph" w:styleId="869">
    <w:name w:val="Heading 2"/>
    <w:basedOn w:val="867"/>
    <w:next w:val="867"/>
    <w:link w:val="920"/>
    <w:uiPriority w:val="99"/>
    <w:qFormat/>
    <w:pPr>
      <w:jc w:val="center"/>
      <w:keepLines/>
      <w:keepNext/>
      <w:spacing w:before="260" w:after="260" w:line="412" w:lineRule="auto"/>
      <w:outlineLvl w:val="1"/>
    </w:pPr>
    <w:rPr>
      <w:rFonts w:ascii="Arial" w:hAnsi="Arial" w:eastAsia="楷体_GB2312" w:cs="Arial"/>
      <w:b/>
      <w:bCs/>
      <w:sz w:val="28"/>
      <w:szCs w:val="44"/>
    </w:rPr>
  </w:style>
  <w:style w:type="paragraph" w:styleId="870">
    <w:name w:val="Heading 3"/>
    <w:basedOn w:val="867"/>
    <w:next w:val="867"/>
    <w:link w:val="921"/>
    <w:uiPriority w:val="99"/>
    <w:qFormat/>
    <w:pPr>
      <w:keepLines/>
      <w:keepNext/>
      <w:spacing w:before="260" w:after="260" w:line="412" w:lineRule="auto"/>
      <w:outlineLvl w:val="2"/>
    </w:pPr>
    <w:rPr>
      <w:b/>
      <w:bCs/>
      <w:sz w:val="32"/>
      <w:szCs w:val="32"/>
    </w:rPr>
  </w:style>
  <w:style w:type="paragraph" w:styleId="871">
    <w:name w:val="Heading 4"/>
    <w:basedOn w:val="867"/>
    <w:next w:val="867"/>
    <w:link w:val="922"/>
    <w:uiPriority w:val="99"/>
    <w:qFormat/>
    <w:pPr>
      <w:keepLines/>
      <w:keepNext/>
      <w:spacing w:before="280" w:after="290" w:line="372" w:lineRule="auto"/>
      <w:outlineLvl w:val="3"/>
    </w:pPr>
    <w:rPr>
      <w:rFonts w:ascii="Arial" w:hAnsi="Arial" w:eastAsia="黑体"/>
      <w:b/>
      <w:bCs/>
      <w:sz w:val="28"/>
      <w:szCs w:val="28"/>
    </w:rPr>
  </w:style>
  <w:style w:type="paragraph" w:styleId="872">
    <w:name w:val="Heading 5"/>
    <w:basedOn w:val="867"/>
    <w:next w:val="867"/>
    <w:link w:val="923"/>
    <w:uiPriority w:val="99"/>
    <w:qFormat/>
    <w:pPr>
      <w:keepNext/>
      <w:outlineLvl w:val="4"/>
    </w:pPr>
    <w:rPr>
      <w:rFonts w:ascii="宋体"/>
      <w:color w:val="000000"/>
      <w:sz w:val="28"/>
      <w:szCs w:val="28"/>
    </w:rPr>
  </w:style>
  <w:style w:type="paragraph" w:styleId="873">
    <w:name w:val="Heading 6"/>
    <w:basedOn w:val="867"/>
    <w:next w:val="867"/>
    <w:link w:val="924"/>
    <w:uiPriority w:val="99"/>
    <w:qFormat/>
    <w:pPr>
      <w:numPr>
        <w:ilvl w:val="5"/>
        <w:numId w:val="1"/>
      </w:numPr>
      <w:keepLines/>
      <w:keepNext/>
      <w:spacing w:before="240" w:after="64" w:line="316" w:lineRule="auto"/>
      <w:outlineLvl w:val="5"/>
    </w:pPr>
    <w:rPr>
      <w:rFonts w:ascii="Arial" w:hAnsi="Arial" w:eastAsia="黑体"/>
      <w:b/>
      <w:bCs/>
      <w:sz w:val="24"/>
      <w:szCs w:val="24"/>
    </w:rPr>
  </w:style>
  <w:style w:type="character" w:styleId="874" w:default="1">
    <w:name w:val="Default Paragraph Font"/>
    <w:uiPriority w:val="0"/>
    <w:qFormat/>
  </w:style>
  <w:style w:type="table" w:styleId="875" w:default="1">
    <w:name w:val="Normal Table"/>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tblCellMar>
        <w:left w:w="108" w:type="dxa"/>
        <w:top w:w="0" w:type="dxa"/>
        <w:right w:w="108" w:type="dxa"/>
        <w:bottom w:w="0" w:type="dxa"/>
      </w:tblCellMar>
    </w:tblPr>
  </w:style>
  <w:style w:type="paragraph" w:styleId="876" w:customStyle="1">
    <w:name w:val="正文1"/>
    <w:basedOn w:val="867"/>
    <w:next w:val="867"/>
    <w:uiPriority w:val="99"/>
    <w:qFormat/>
    <w:pPr>
      <w:ind w:firstLine="510"/>
      <w:spacing w:before="156" w:line="360" w:lineRule="auto"/>
    </w:pPr>
    <w:rPr>
      <w:sz w:val="24"/>
      <w:szCs w:val="20"/>
    </w:rPr>
  </w:style>
  <w:style w:type="paragraph" w:styleId="877">
    <w:name w:val="toc 7"/>
    <w:basedOn w:val="867"/>
    <w:next w:val="867"/>
    <w:uiPriority w:val="39"/>
    <w:unhideWhenUsed/>
    <w:qFormat/>
    <w:pPr>
      <w:ind w:left="2520"/>
    </w:pPr>
  </w:style>
  <w:style w:type="paragraph" w:styleId="878">
    <w:name w:val="Note Heading"/>
    <w:basedOn w:val="867"/>
    <w:next w:val="867"/>
    <w:uiPriority w:val="0"/>
    <w:qFormat/>
    <w:rPr>
      <w:rFonts w:ascii="Verdana" w:hAnsi="Verdana" w:cs="Times New Roman"/>
      <w:szCs w:val="20"/>
    </w:rPr>
  </w:style>
  <w:style w:type="paragraph" w:styleId="879">
    <w:name w:val="Normal Indent"/>
    <w:basedOn w:val="867"/>
    <w:next w:val="880"/>
    <w:link w:val="925"/>
    <w:uiPriority w:val="99"/>
    <w:qFormat/>
    <w:pPr>
      <w:ind w:firstLine="420"/>
    </w:pPr>
  </w:style>
  <w:style w:type="paragraph" w:styleId="880">
    <w:name w:val="Body Text"/>
    <w:basedOn w:val="867"/>
    <w:next w:val="881"/>
    <w:link w:val="926"/>
    <w:uiPriority w:val="99"/>
    <w:qFormat/>
    <w:pPr>
      <w:spacing w:after="120"/>
    </w:pPr>
  </w:style>
  <w:style w:type="paragraph" w:styleId="881" w:customStyle="1">
    <w:name w:val="一级条标题"/>
    <w:basedOn w:val="882"/>
    <w:next w:val="883"/>
    <w:uiPriority w:val="99"/>
    <w:qFormat/>
    <w:pPr>
      <w:numPr>
        <w:ilvl w:val="3"/>
        <w:numId w:val="2"/>
      </w:numPr>
      <w:ind w:left="315"/>
      <w:outlineLvl w:val="2"/>
    </w:pPr>
  </w:style>
  <w:style w:type="paragraph" w:styleId="882" w:customStyle="1">
    <w:name w:val="章标题"/>
    <w:next w:val="867"/>
    <w:uiPriority w:val="99"/>
    <w:qFormat/>
    <w:pPr>
      <w:numPr>
        <w:ilvl w:val="2"/>
        <w:numId w:val="2"/>
      </w:numPr>
      <w:ind w:left="0"/>
      <w:jc w:val="both"/>
      <w:spacing w:before="156" w:after="156"/>
      <w:outlineLvl w:val="1"/>
    </w:pPr>
    <w:rPr>
      <w:rFonts w:ascii="黑体" w:hAnsi="Times New Roman" w:eastAsia="黑体" w:cs="Times New Roman"/>
      <w:sz w:val="21"/>
      <w:lang w:val="en-US" w:eastAsia="zh-CN" w:bidi="ar-SA"/>
    </w:rPr>
  </w:style>
  <w:style w:type="paragraph" w:styleId="883" w:customStyle="1">
    <w:name w:val="段"/>
    <w:basedOn w:val="884"/>
    <w:next w:val="867"/>
    <w:uiPriority w:val="99"/>
    <w:qFormat/>
    <w:pPr>
      <w:ind w:firstLine="200"/>
      <w:jc w:val="both"/>
    </w:pPr>
    <w:rPr>
      <w:rFonts w:ascii="宋体"/>
      <w:sz w:val="21"/>
      <w:lang w:val="en-US" w:eastAsia="zh-CN" w:bidi="ar-SA"/>
    </w:rPr>
  </w:style>
  <w:style w:type="paragraph" w:styleId="884" w:customStyle="1">
    <w:name w:val="正文11"/>
    <w:uiPriority w:val="0"/>
    <w:qFormat/>
    <w:pPr>
      <w:jc w:val="both"/>
      <w:widowControl w:val="off"/>
    </w:pPr>
    <w:rPr>
      <w:rFonts w:hint="default" w:ascii="Calibri" w:hAnsi="Calibri" w:eastAsia="宋体" w:cs="Times New Roman"/>
      <w:sz w:val="21"/>
      <w:szCs w:val="24"/>
    </w:rPr>
  </w:style>
  <w:style w:type="paragraph" w:styleId="885">
    <w:name w:val="Document Map"/>
    <w:basedOn w:val="867"/>
    <w:link w:val="927"/>
    <w:uiPriority w:val="99"/>
    <w:qFormat/>
    <w:pPr>
      <w:shd w:val="clear" w:color="auto" w:fill="000080"/>
    </w:pPr>
  </w:style>
  <w:style w:type="paragraph" w:styleId="886">
    <w:name w:val="annotation text"/>
    <w:basedOn w:val="867"/>
    <w:link w:val="928"/>
    <w:uiPriority w:val="99"/>
    <w:qFormat/>
    <w:pPr>
      <w:jc w:val="left"/>
    </w:pPr>
    <w:rPr>
      <w:szCs w:val="24"/>
    </w:rPr>
  </w:style>
  <w:style w:type="paragraph" w:styleId="887">
    <w:name w:val="Body Text 3"/>
    <w:basedOn w:val="867"/>
    <w:uiPriority w:val="99"/>
    <w:unhideWhenUsed/>
    <w:qFormat/>
    <w:pPr>
      <w:spacing w:after="120"/>
    </w:pPr>
    <w:rPr>
      <w:sz w:val="16"/>
      <w:szCs w:val="16"/>
    </w:rPr>
  </w:style>
  <w:style w:type="paragraph" w:styleId="888">
    <w:name w:val="Body Text Indent"/>
    <w:basedOn w:val="867"/>
    <w:next w:val="889"/>
    <w:link w:val="929"/>
    <w:uiPriority w:val="99"/>
    <w:qFormat/>
    <w:pPr>
      <w:ind w:left="420"/>
      <w:spacing w:after="120"/>
    </w:pPr>
    <w:rPr>
      <w:rFonts w:ascii="楷体_GB2312" w:eastAsia="楷体_GB2312"/>
      <w:sz w:val="32"/>
      <w:szCs w:val="32"/>
    </w:rPr>
  </w:style>
  <w:style w:type="paragraph" w:styleId="889">
    <w:name w:val="envelope return"/>
    <w:basedOn w:val="867"/>
    <w:uiPriority w:val="0"/>
    <w:qFormat/>
    <w:pPr>
      <w:jc w:val="left"/>
      <w:spacing w:line="360" w:lineRule="auto"/>
      <w:widowControl/>
    </w:pPr>
    <w:rPr>
      <w:rFonts w:ascii="Arial" w:hAnsi="Arial" w:cs="Arial"/>
      <w:sz w:val="24"/>
    </w:rPr>
  </w:style>
  <w:style w:type="paragraph" w:styleId="890">
    <w:name w:val="Block Text"/>
    <w:basedOn w:val="867"/>
    <w:uiPriority w:val="6"/>
    <w:qFormat/>
    <w:pPr>
      <w:ind w:left="256" w:right="6" w:firstLine="624"/>
    </w:pPr>
    <w:rPr>
      <w:rFonts w:ascii="Times New Roman" w:hAnsi="Times New Roman" w:eastAsia="仿宋" w:cs="Times New Roman"/>
      <w:sz w:val="28"/>
      <w:szCs w:val="20"/>
    </w:rPr>
  </w:style>
  <w:style w:type="paragraph" w:styleId="891">
    <w:name w:val="toc 5"/>
    <w:basedOn w:val="867"/>
    <w:next w:val="867"/>
    <w:uiPriority w:val="39"/>
    <w:unhideWhenUsed/>
    <w:qFormat/>
    <w:pPr>
      <w:ind w:left="1680"/>
    </w:pPr>
  </w:style>
  <w:style w:type="paragraph" w:styleId="892">
    <w:name w:val="toc 3"/>
    <w:basedOn w:val="867"/>
    <w:next w:val="867"/>
    <w:uiPriority w:val="99"/>
    <w:unhideWhenUsed/>
    <w:qFormat/>
    <w:pPr>
      <w:ind w:left="840"/>
    </w:pPr>
  </w:style>
  <w:style w:type="paragraph" w:styleId="893">
    <w:name w:val="Plain Text"/>
    <w:basedOn w:val="867"/>
    <w:next w:val="879"/>
    <w:link w:val="930"/>
    <w:uiPriority w:val="99"/>
    <w:qFormat/>
    <w:pPr>
      <w:ind w:firstLine="200"/>
      <w:spacing w:line="360" w:lineRule="auto"/>
    </w:pPr>
    <w:rPr>
      <w:rFonts w:ascii="宋体" w:hAnsi="Courier New"/>
      <w:sz w:val="24"/>
    </w:rPr>
  </w:style>
  <w:style w:type="paragraph" w:styleId="894">
    <w:name w:val="toc 8"/>
    <w:basedOn w:val="867"/>
    <w:next w:val="867"/>
    <w:uiPriority w:val="39"/>
    <w:unhideWhenUsed/>
    <w:qFormat/>
    <w:pPr>
      <w:ind w:left="2940"/>
    </w:pPr>
  </w:style>
  <w:style w:type="paragraph" w:styleId="895">
    <w:name w:val="Date"/>
    <w:basedOn w:val="867"/>
    <w:next w:val="867"/>
    <w:uiPriority w:val="0"/>
    <w:qFormat/>
    <w:pPr>
      <w:ind w:left="100"/>
    </w:pPr>
  </w:style>
  <w:style w:type="paragraph" w:styleId="896">
    <w:name w:val="endnote text"/>
    <w:basedOn w:val="867"/>
    <w:link w:val="931"/>
    <w:uiPriority w:val="99"/>
    <w:unhideWhenUsed/>
    <w:qFormat/>
    <w:pPr>
      <w:jc w:val="left"/>
    </w:pPr>
  </w:style>
  <w:style w:type="paragraph" w:styleId="897">
    <w:name w:val="Balloon Text"/>
    <w:basedOn w:val="867"/>
    <w:link w:val="932"/>
    <w:uiPriority w:val="99"/>
    <w:qFormat/>
    <w:rPr>
      <w:sz w:val="18"/>
      <w:szCs w:val="18"/>
    </w:rPr>
  </w:style>
  <w:style w:type="paragraph" w:styleId="898">
    <w:name w:val="Footer"/>
    <w:basedOn w:val="867"/>
    <w:link w:val="933"/>
    <w:uiPriority w:val="99"/>
    <w:qFormat/>
    <w:pPr>
      <w:jc w:val="left"/>
      <w:tabs>
        <w:tab w:val="center" w:pos="4153" w:leader="none"/>
        <w:tab w:val="right" w:pos="8306" w:leader="none"/>
      </w:tabs>
    </w:pPr>
    <w:rPr>
      <w:rFonts w:ascii="宋体" w:hAnsi="宋体"/>
      <w:sz w:val="18"/>
      <w:szCs w:val="18"/>
    </w:rPr>
  </w:style>
  <w:style w:type="paragraph" w:styleId="899">
    <w:name w:val="Header"/>
    <w:basedOn w:val="867"/>
    <w:link w:val="934"/>
    <w:uiPriority w:val="99"/>
    <w:qFormat/>
    <w:pPr>
      <w:jc w:val="center"/>
      <w:tabs>
        <w:tab w:val="center" w:pos="4153" w:leader="none"/>
        <w:tab w:val="right" w:pos="8306" w:leader="none"/>
      </w:tabs>
      <w:pBdr>
        <w:bottom w:val="single" w:color="auto" w:sz="6" w:space="1"/>
      </w:pBdr>
    </w:pPr>
    <w:rPr>
      <w:rFonts w:ascii="宋体" w:hAnsi="宋体"/>
      <w:sz w:val="18"/>
      <w:szCs w:val="18"/>
    </w:rPr>
  </w:style>
  <w:style w:type="paragraph" w:styleId="900">
    <w:name w:val="toc 1"/>
    <w:basedOn w:val="867"/>
    <w:next w:val="867"/>
    <w:uiPriority w:val="39"/>
    <w:qFormat/>
  </w:style>
  <w:style w:type="paragraph" w:styleId="901">
    <w:name w:val="toc 4"/>
    <w:basedOn w:val="867"/>
    <w:next w:val="867"/>
    <w:uiPriority w:val="99"/>
    <w:unhideWhenUsed/>
    <w:qFormat/>
    <w:pPr>
      <w:ind w:left="1260"/>
    </w:pPr>
  </w:style>
  <w:style w:type="paragraph" w:styleId="902">
    <w:name w:val="Subtitle"/>
    <w:basedOn w:val="867"/>
    <w:next w:val="867"/>
    <w:uiPriority w:val="11"/>
    <w:qFormat/>
    <w:pPr>
      <w:spacing w:before="200" w:after="200"/>
    </w:pPr>
    <w:rPr>
      <w:rFonts w:hint="default" w:ascii="Times New Roman" w:hAnsi="Times New Roman" w:eastAsia="宋体" w:cs="Times New Roman"/>
      <w:sz w:val="24"/>
      <w:szCs w:val="24"/>
    </w:rPr>
  </w:style>
  <w:style w:type="paragraph" w:styleId="903">
    <w:name w:val="toc 6"/>
    <w:basedOn w:val="867"/>
    <w:next w:val="867"/>
    <w:uiPriority w:val="39"/>
    <w:unhideWhenUsed/>
    <w:qFormat/>
    <w:pPr>
      <w:ind w:left="2100"/>
    </w:pPr>
  </w:style>
  <w:style w:type="paragraph" w:styleId="904">
    <w:name w:val="Body Text Indent 3"/>
    <w:basedOn w:val="867"/>
    <w:link w:val="935"/>
    <w:uiPriority w:val="99"/>
    <w:qFormat/>
    <w:pPr>
      <w:ind w:left="420"/>
      <w:spacing w:after="120"/>
    </w:pPr>
    <w:rPr>
      <w:sz w:val="16"/>
      <w:szCs w:val="16"/>
    </w:rPr>
  </w:style>
  <w:style w:type="paragraph" w:styleId="905">
    <w:name w:val="toc 2"/>
    <w:basedOn w:val="867"/>
    <w:next w:val="867"/>
    <w:uiPriority w:val="39"/>
    <w:qFormat/>
    <w:pPr>
      <w:ind w:left="420"/>
    </w:pPr>
  </w:style>
  <w:style w:type="paragraph" w:styleId="906">
    <w:name w:val="toc 9"/>
    <w:basedOn w:val="867"/>
    <w:next w:val="867"/>
    <w:uiPriority w:val="39"/>
    <w:unhideWhenUsed/>
    <w:qFormat/>
    <w:pPr>
      <w:ind w:left="3360"/>
    </w:pPr>
  </w:style>
  <w:style w:type="paragraph" w:styleId="907">
    <w:name w:val="Body Text 2"/>
    <w:basedOn w:val="867"/>
    <w:uiPriority w:val="0"/>
    <w:qFormat/>
    <w:pPr>
      <w:spacing w:after="120" w:line="480" w:lineRule="auto"/>
    </w:pPr>
    <w:rPr>
      <w:szCs w:val="20"/>
    </w:rPr>
  </w:style>
  <w:style w:type="paragraph" w:styleId="908">
    <w:name w:val="HTML Preformatted"/>
    <w:basedOn w:val="867"/>
    <w:link w:val="93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09">
    <w:name w:val="Normal (Web)"/>
    <w:basedOn w:val="867"/>
    <w:uiPriority w:val="99"/>
    <w:qFormat/>
    <w:rPr>
      <w:sz w:val="24"/>
      <w:szCs w:val="24"/>
    </w:rPr>
  </w:style>
  <w:style w:type="paragraph" w:styleId="910">
    <w:name w:val="Title"/>
    <w:basedOn w:val="867"/>
    <w:next w:val="867"/>
    <w:link w:val="937"/>
    <w:uiPriority w:val="99"/>
    <w:qFormat/>
    <w:pPr>
      <w:jc w:val="center"/>
      <w:spacing w:before="240" w:after="60"/>
      <w:outlineLvl w:val="0"/>
    </w:pPr>
    <w:rPr>
      <w:rFonts w:ascii="Cambria" w:hAnsi="Cambria"/>
      <w:b/>
      <w:bCs/>
      <w:sz w:val="32"/>
      <w:szCs w:val="32"/>
    </w:rPr>
  </w:style>
  <w:style w:type="paragraph" w:styleId="911">
    <w:name w:val="Body Text First Indent"/>
    <w:basedOn w:val="880"/>
    <w:next w:val="912"/>
    <w:link w:val="938"/>
    <w:uiPriority w:val="99"/>
    <w:qFormat/>
    <w:pPr>
      <w:ind w:firstLine="420"/>
    </w:pPr>
    <w:rPr>
      <w:szCs w:val="20"/>
    </w:rPr>
  </w:style>
  <w:style w:type="paragraph" w:styleId="912">
    <w:name w:val="Body Text First Indent 2"/>
    <w:basedOn w:val="888"/>
    <w:uiPriority w:val="0"/>
    <w:qFormat/>
    <w:pPr>
      <w:ind w:left="0" w:firstLine="420"/>
      <w:spacing w:after="0" w:line="360" w:lineRule="auto"/>
    </w:pPr>
    <w:rPr>
      <w:rFonts w:ascii="宋体" w:hAnsi="宋体" w:eastAsia="楷体_GB2312" w:cs="Times New Roman"/>
      <w:szCs w:val="32"/>
    </w:rPr>
  </w:style>
  <w:style w:type="table" w:styleId="913">
    <w:name w:val="Table Grid"/>
    <w:basedOn w:val="87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4">
    <w:name w:val="Strong"/>
    <w:uiPriority w:val="99"/>
    <w:qFormat/>
    <w:rPr>
      <w:rFonts w:cs="Times New Roman"/>
      <w:b/>
    </w:rPr>
  </w:style>
  <w:style w:type="character" w:styleId="915">
    <w:name w:val="page number"/>
    <w:basedOn w:val="874"/>
    <w:uiPriority w:val="99"/>
    <w:qFormat/>
  </w:style>
  <w:style w:type="character" w:styleId="916">
    <w:name w:val="FollowedHyperlink"/>
    <w:basedOn w:val="874"/>
    <w:uiPriority w:val="99"/>
    <w:qFormat/>
    <w:rPr>
      <w:color w:val="333333"/>
      <w:u w:val="none"/>
    </w:rPr>
  </w:style>
  <w:style w:type="character" w:styleId="917">
    <w:name w:val="Hyperlink"/>
    <w:basedOn w:val="874"/>
    <w:uiPriority w:val="99"/>
    <w:qFormat/>
    <w:rPr>
      <w:color w:val="0000ff"/>
      <w:u w:val="none"/>
    </w:rPr>
  </w:style>
  <w:style w:type="character" w:styleId="918">
    <w:name w:val="annotation reference"/>
    <w:uiPriority w:val="99"/>
    <w:qFormat/>
    <w:rPr>
      <w:sz w:val="21"/>
      <w:szCs w:val="21"/>
    </w:rPr>
  </w:style>
  <w:style w:type="character" w:styleId="919" w:customStyle="1">
    <w:name w:val="标题 1 Char"/>
    <w:link w:val="868"/>
    <w:uiPriority w:val="99"/>
    <w:qFormat/>
    <w:rPr>
      <w:rFonts w:ascii="楷体_GB2312" w:hAnsi="楷体_GB2312" w:eastAsia="宋体"/>
      <w:b/>
      <w:sz w:val="28"/>
      <w:szCs w:val="28"/>
      <w:lang w:val="en-US" w:eastAsia="zh-CN" w:bidi="ar-SA"/>
    </w:rPr>
  </w:style>
  <w:style w:type="character" w:styleId="920" w:customStyle="1">
    <w:name w:val="标题 2 Char"/>
    <w:link w:val="869"/>
    <w:uiPriority w:val="99"/>
    <w:qFormat/>
    <w:rPr>
      <w:rFonts w:ascii="Arial" w:hAnsi="Arial" w:eastAsia="楷体_GB2312" w:cs="Arial"/>
      <w:b/>
      <w:bCs/>
      <w:sz w:val="28"/>
      <w:szCs w:val="44"/>
      <w:lang w:val="en-US" w:eastAsia="zh-CN" w:bidi="ar-SA"/>
    </w:rPr>
  </w:style>
  <w:style w:type="character" w:styleId="921" w:customStyle="1">
    <w:name w:val="标题 3 Char"/>
    <w:link w:val="870"/>
    <w:uiPriority w:val="99"/>
    <w:qFormat/>
    <w:rPr>
      <w:rFonts w:eastAsia="宋体"/>
      <w:b/>
      <w:bCs/>
      <w:sz w:val="32"/>
      <w:szCs w:val="32"/>
      <w:lang w:val="en-US" w:eastAsia="zh-CN" w:bidi="ar-SA"/>
    </w:rPr>
  </w:style>
  <w:style w:type="character" w:styleId="922" w:customStyle="1">
    <w:name w:val="标题 4 Char"/>
    <w:link w:val="871"/>
    <w:uiPriority w:val="99"/>
    <w:qFormat/>
    <w:rPr>
      <w:rFonts w:ascii="Arial" w:hAnsi="Arial" w:eastAsia="黑体" w:cs="Arial"/>
      <w:b/>
      <w:bCs/>
      <w:sz w:val="28"/>
      <w:szCs w:val="28"/>
    </w:rPr>
  </w:style>
  <w:style w:type="character" w:styleId="923" w:customStyle="1">
    <w:name w:val="标题 5 Char"/>
    <w:link w:val="872"/>
    <w:uiPriority w:val="99"/>
    <w:qFormat/>
    <w:rPr>
      <w:rFonts w:ascii="宋体"/>
      <w:color w:val="000000"/>
      <w:sz w:val="28"/>
      <w:szCs w:val="28"/>
    </w:rPr>
  </w:style>
  <w:style w:type="character" w:styleId="924" w:customStyle="1">
    <w:name w:val="标题 6 Char"/>
    <w:link w:val="873"/>
    <w:uiPriority w:val="99"/>
    <w:qFormat/>
    <w:rPr>
      <w:rFonts w:ascii="Arial" w:hAnsi="Arial" w:eastAsia="黑体"/>
      <w:b/>
      <w:bCs/>
      <w:sz w:val="24"/>
      <w:szCs w:val="24"/>
      <w:lang w:bidi="ar-SA"/>
    </w:rPr>
  </w:style>
  <w:style w:type="character" w:styleId="925" w:customStyle="1">
    <w:name w:val="正文缩进 Char"/>
    <w:link w:val="879"/>
    <w:uiPriority w:val="99"/>
    <w:qFormat/>
    <w:rPr>
      <w:rFonts w:eastAsia="宋体"/>
      <w:sz w:val="21"/>
      <w:szCs w:val="21"/>
      <w:lang w:val="en-US" w:eastAsia="zh-CN" w:bidi="ar-SA"/>
    </w:rPr>
  </w:style>
  <w:style w:type="character" w:styleId="926" w:customStyle="1">
    <w:name w:val="正文文本 Char"/>
    <w:link w:val="880"/>
    <w:uiPriority w:val="99"/>
    <w:qFormat/>
    <w:rPr>
      <w:sz w:val="21"/>
      <w:szCs w:val="21"/>
    </w:rPr>
  </w:style>
  <w:style w:type="character" w:styleId="927" w:customStyle="1">
    <w:name w:val="文档结构图 Char"/>
    <w:link w:val="885"/>
    <w:uiPriority w:val="99"/>
    <w:qFormat/>
    <w:rPr>
      <w:sz w:val="21"/>
      <w:szCs w:val="21"/>
      <w:shd w:val="clear" w:color="auto" w:fill="000080"/>
    </w:rPr>
  </w:style>
  <w:style w:type="character" w:styleId="928" w:customStyle="1">
    <w:name w:val="批注文字 Char"/>
    <w:link w:val="886"/>
    <w:uiPriority w:val="99"/>
    <w:qFormat/>
    <w:rPr>
      <w:sz w:val="21"/>
      <w:szCs w:val="24"/>
    </w:rPr>
  </w:style>
  <w:style w:type="character" w:styleId="929" w:customStyle="1">
    <w:name w:val="正文文本缩进 Char"/>
    <w:link w:val="888"/>
    <w:uiPriority w:val="99"/>
    <w:qFormat/>
    <w:rPr>
      <w:rFonts w:ascii="楷体_GB2312" w:eastAsia="楷体_GB2312"/>
      <w:sz w:val="32"/>
      <w:szCs w:val="32"/>
      <w:lang w:val="en-US" w:eastAsia="zh-CN" w:bidi="ar-SA"/>
    </w:rPr>
  </w:style>
  <w:style w:type="character" w:styleId="930" w:customStyle="1">
    <w:name w:val="纯文本 Char"/>
    <w:link w:val="893"/>
    <w:uiPriority w:val="99"/>
    <w:qFormat/>
    <w:rPr>
      <w:rFonts w:ascii="宋体" w:hAnsi="Courier New" w:cs="Courier New"/>
      <w:sz w:val="24"/>
      <w:szCs w:val="21"/>
    </w:rPr>
  </w:style>
  <w:style w:type="character" w:styleId="931" w:customStyle="1">
    <w:name w:val="尾注文本 Char"/>
    <w:link w:val="896"/>
    <w:uiPriority w:val="99"/>
    <w:qFormat/>
    <w:rPr>
      <w:sz w:val="21"/>
      <w:szCs w:val="21"/>
    </w:rPr>
  </w:style>
  <w:style w:type="character" w:styleId="932" w:customStyle="1">
    <w:name w:val="批注框文本 Char"/>
    <w:link w:val="897"/>
    <w:uiPriority w:val="99"/>
    <w:qFormat/>
    <w:rPr>
      <w:sz w:val="18"/>
      <w:szCs w:val="18"/>
    </w:rPr>
  </w:style>
  <w:style w:type="character" w:styleId="933" w:customStyle="1">
    <w:name w:val="页脚 Char"/>
    <w:link w:val="898"/>
    <w:uiPriority w:val="99"/>
    <w:qFormat/>
    <w:rPr>
      <w:rFonts w:ascii="宋体" w:hAnsi="宋体" w:eastAsia="宋体"/>
      <w:sz w:val="18"/>
      <w:szCs w:val="18"/>
      <w:lang w:val="en-US" w:eastAsia="zh-CN" w:bidi="ar-SA"/>
    </w:rPr>
  </w:style>
  <w:style w:type="character" w:styleId="934" w:customStyle="1">
    <w:name w:val="页眉 Char"/>
    <w:link w:val="899"/>
    <w:uiPriority w:val="99"/>
    <w:qFormat/>
    <w:rPr>
      <w:rFonts w:ascii="宋体" w:hAnsi="宋体" w:eastAsia="宋体"/>
      <w:sz w:val="18"/>
      <w:szCs w:val="18"/>
      <w:lang w:val="en-US" w:eastAsia="zh-CN" w:bidi="ar-SA"/>
    </w:rPr>
  </w:style>
  <w:style w:type="character" w:styleId="935" w:customStyle="1">
    <w:name w:val="正文文本缩进 3 Char"/>
    <w:link w:val="904"/>
    <w:uiPriority w:val="99"/>
    <w:qFormat/>
    <w:rPr>
      <w:sz w:val="16"/>
      <w:szCs w:val="16"/>
    </w:rPr>
  </w:style>
  <w:style w:type="character" w:styleId="936" w:customStyle="1">
    <w:name w:val="HTML 预设格式 Char"/>
    <w:link w:val="908"/>
    <w:uiPriority w:val="99"/>
    <w:qFormat/>
    <w:rPr>
      <w:rFonts w:ascii="宋体" w:hAnsi="宋体" w:cs="宋体"/>
      <w:sz w:val="24"/>
      <w:szCs w:val="24"/>
    </w:rPr>
  </w:style>
  <w:style w:type="character" w:styleId="937" w:customStyle="1">
    <w:name w:val="标题 Char"/>
    <w:link w:val="910"/>
    <w:uiPriority w:val="99"/>
    <w:qFormat/>
    <w:rPr>
      <w:rFonts w:ascii="Cambria" w:hAnsi="Cambria"/>
      <w:b/>
      <w:bCs/>
      <w:sz w:val="32"/>
      <w:szCs w:val="32"/>
    </w:rPr>
  </w:style>
  <w:style w:type="character" w:styleId="938" w:customStyle="1">
    <w:name w:val="正文首行缩进 Char"/>
    <w:basedOn w:val="926"/>
    <w:link w:val="911"/>
    <w:uiPriority w:val="99"/>
    <w:qFormat/>
  </w:style>
  <w:style w:type="character" w:styleId="939" w:customStyle="1">
    <w:name w:val="Char Char5"/>
    <w:uiPriority w:val="99"/>
    <w:qFormat/>
    <w:rPr>
      <w:rFonts w:hint="eastAsia" w:ascii="宋体" w:hAnsi="宋体" w:eastAsia="宋体"/>
      <w:b/>
      <w:bCs/>
      <w:sz w:val="32"/>
      <w:szCs w:val="32"/>
      <w:lang w:val="en-US" w:eastAsia="zh-CN" w:bidi="ar-SA"/>
    </w:rPr>
  </w:style>
  <w:style w:type="character" w:styleId="940" w:customStyle="1">
    <w:name w:val="段落 Char1"/>
    <w:link w:val="941"/>
    <w:uiPriority w:val="99"/>
    <w:qFormat/>
    <w:rPr>
      <w:rFonts w:ascii="仿宋_GB2312" w:eastAsia="仿宋_GB2312"/>
      <w:sz w:val="24"/>
      <w:szCs w:val="24"/>
      <w:lang w:val="en-US" w:eastAsia="zh-CN" w:bidi="ar-SA"/>
    </w:rPr>
  </w:style>
  <w:style w:type="paragraph" w:styleId="941" w:customStyle="1">
    <w:name w:val="段落"/>
    <w:link w:val="940"/>
    <w:uiPriority w:val="99"/>
    <w:qFormat/>
    <w:pPr>
      <w:ind w:firstLine="540"/>
      <w:jc w:val="both"/>
      <w:spacing w:after="160" w:line="360" w:lineRule="auto"/>
    </w:pPr>
    <w:rPr>
      <w:rFonts w:ascii="仿宋_GB2312" w:hAnsi="Times New Roman" w:eastAsia="仿宋_GB2312" w:cs="Times New Roman"/>
      <w:sz w:val="24"/>
      <w:szCs w:val="24"/>
      <w:lang w:val="en-US" w:eastAsia="zh-CN" w:bidi="ar-SA"/>
    </w:rPr>
  </w:style>
  <w:style w:type="character" w:styleId="942" w:customStyle="1">
    <w:name w:val="text1"/>
    <w:basedOn w:val="874"/>
    <w:uiPriority w:val="99"/>
    <w:qFormat/>
  </w:style>
  <w:style w:type="character" w:styleId="943" w:customStyle="1">
    <w:name w:val="Char Char6"/>
    <w:uiPriority w:val="99"/>
    <w:qFormat/>
    <w:rPr>
      <w:rFonts w:hint="eastAsia" w:ascii="宋体" w:hAnsi="宋体" w:eastAsia="宋体"/>
      <w:sz w:val="18"/>
      <w:szCs w:val="18"/>
      <w:lang w:bidi="ar-SA"/>
    </w:rPr>
  </w:style>
  <w:style w:type="character" w:styleId="944" w:customStyle="1">
    <w:name w:val="彩色底纹 - 强调文字颜色 3 Char"/>
    <w:link w:val="945"/>
    <w:uiPriority w:val="99"/>
    <w:qFormat/>
    <w:rPr>
      <w:rFonts w:ascii="Calibri" w:hAnsi="Calibri" w:eastAsia="宋体"/>
      <w:sz w:val="24"/>
      <w:szCs w:val="21"/>
      <w:lang w:val="en-US" w:eastAsia="zh-CN" w:bidi="ar-SA"/>
    </w:rPr>
  </w:style>
  <w:style w:type="paragraph" w:styleId="945" w:customStyle="1">
    <w:name w:val="彩色底纹 - 强调文字颜色 31"/>
    <w:basedOn w:val="867"/>
    <w:next w:val="896"/>
    <w:link w:val="944"/>
    <w:uiPriority w:val="99"/>
    <w:qFormat/>
    <w:pPr>
      <w:ind w:firstLine="420"/>
      <w:spacing w:line="360" w:lineRule="auto"/>
    </w:pPr>
    <w:rPr>
      <w:rFonts w:ascii="Calibri" w:hAnsi="Calibri"/>
      <w:sz w:val="24"/>
    </w:rPr>
  </w:style>
  <w:style w:type="character" w:styleId="946" w:customStyle="1">
    <w:name w:val="正文520 Char Char"/>
    <w:link w:val="947"/>
    <w:uiPriority w:val="99"/>
    <w:qFormat/>
    <w:rPr>
      <w:rFonts w:ascii="宋体" w:hAnsi="宋体" w:eastAsia="宋体" w:cs="Arial"/>
      <w:sz w:val="24"/>
      <w:szCs w:val="24"/>
      <w:lang w:val="en-US" w:eastAsia="zh-CN" w:bidi="ar-SA"/>
    </w:rPr>
  </w:style>
  <w:style w:type="paragraph" w:styleId="947" w:customStyle="1">
    <w:name w:val="正文520"/>
    <w:basedOn w:val="867"/>
    <w:link w:val="946"/>
    <w:uiPriority w:val="99"/>
    <w:qFormat/>
    <w:pPr>
      <w:ind w:firstLine="511"/>
      <w:spacing w:line="360" w:lineRule="auto"/>
    </w:pPr>
    <w:rPr>
      <w:rFonts w:ascii="宋体" w:hAnsi="宋体" w:cs="Arial"/>
      <w:sz w:val="24"/>
      <w:szCs w:val="24"/>
    </w:rPr>
  </w:style>
  <w:style w:type="character" w:styleId="948" w:customStyle="1">
    <w:name w:val="3zw"/>
    <w:uiPriority w:val="99"/>
    <w:qFormat/>
    <w:rPr>
      <w:rFonts w:cs="Times New Roman"/>
    </w:rPr>
  </w:style>
  <w:style w:type="character" w:styleId="949" w:customStyle="1">
    <w:name w:val="表格样式居左 Char Char"/>
    <w:link w:val="950"/>
    <w:uiPriority w:val="99"/>
    <w:qFormat/>
    <w:rPr>
      <w:rFonts w:ascii="仿宋_GB2312" w:eastAsia="仿宋_GB2312"/>
      <w:bCs/>
      <w:sz w:val="21"/>
      <w:szCs w:val="44"/>
      <w:lang w:val="en-US" w:eastAsia="zh-CN" w:bidi="ar-SA"/>
    </w:rPr>
  </w:style>
  <w:style w:type="paragraph" w:styleId="950" w:customStyle="1">
    <w:name w:val="表格样式居左"/>
    <w:link w:val="949"/>
    <w:uiPriority w:val="99"/>
    <w:qFormat/>
    <w:pPr>
      <w:spacing w:line="360" w:lineRule="exact"/>
    </w:pPr>
    <w:rPr>
      <w:rFonts w:ascii="仿宋_GB2312" w:hAnsi="Times New Roman" w:eastAsia="仿宋_GB2312" w:cs="Times New Roman"/>
      <w:bCs/>
      <w:sz w:val="21"/>
      <w:szCs w:val="44"/>
      <w:lang w:val="en-US" w:eastAsia="zh-CN" w:bidi="ar-SA"/>
    </w:rPr>
  </w:style>
  <w:style w:type="character" w:styleId="951" w:customStyle="1">
    <w:name w:val="正文2 Char Char"/>
    <w:link w:val="952"/>
    <w:uiPriority w:val="99"/>
    <w:qFormat/>
    <w:rPr>
      <w:rFonts w:eastAsia="宋体"/>
      <w:sz w:val="24"/>
      <w:lang w:val="en-US" w:eastAsia="zh-CN" w:bidi="ar-SA"/>
    </w:rPr>
  </w:style>
  <w:style w:type="paragraph" w:styleId="952" w:customStyle="1">
    <w:name w:val="正文2"/>
    <w:basedOn w:val="867"/>
    <w:link w:val="951"/>
    <w:uiPriority w:val="99"/>
    <w:qFormat/>
    <w:pPr>
      <w:ind w:firstLine="510"/>
      <w:spacing w:before="156" w:line="360" w:lineRule="auto"/>
    </w:pPr>
    <w:rPr>
      <w:sz w:val="24"/>
      <w:szCs w:val="20"/>
    </w:rPr>
  </w:style>
  <w:style w:type="character" w:styleId="953" w:customStyle="1">
    <w:name w:val="省厅标题1 Char Char"/>
    <w:link w:val="954"/>
    <w:uiPriority w:val="99"/>
    <w:qFormat/>
    <w:rPr>
      <w:rFonts w:ascii="黑体" w:eastAsia="黑体"/>
      <w:sz w:val="32"/>
      <w:szCs w:val="32"/>
      <w:lang w:val="en-US" w:eastAsia="zh-CN" w:bidi="ar-SA"/>
    </w:rPr>
  </w:style>
  <w:style w:type="paragraph" w:styleId="954" w:customStyle="1">
    <w:name w:val="省厅标题1"/>
    <w:basedOn w:val="867"/>
    <w:link w:val="953"/>
    <w:uiPriority w:val="99"/>
    <w:qFormat/>
    <w:pPr>
      <w:ind w:firstLine="640"/>
      <w:spacing w:line="336" w:lineRule="auto"/>
      <w:outlineLvl w:val="0"/>
    </w:pPr>
    <w:rPr>
      <w:rFonts w:ascii="黑体" w:eastAsia="黑体"/>
      <w:sz w:val="32"/>
      <w:szCs w:val="32"/>
    </w:rPr>
  </w:style>
  <w:style w:type="character" w:styleId="955" w:customStyle="1">
    <w:name w:val="正文缩进2字符 Char"/>
    <w:link w:val="956"/>
    <w:uiPriority w:val="99"/>
    <w:qFormat/>
    <w:rPr>
      <w:sz w:val="24"/>
    </w:rPr>
  </w:style>
  <w:style w:type="paragraph" w:styleId="956" w:customStyle="1">
    <w:name w:val="正文缩进2字符"/>
    <w:basedOn w:val="867"/>
    <w:link w:val="955"/>
    <w:uiPriority w:val="99"/>
    <w:qFormat/>
    <w:pPr>
      <w:ind w:firstLine="480"/>
      <w:spacing w:line="360" w:lineRule="auto"/>
    </w:pPr>
    <w:rPr>
      <w:sz w:val="24"/>
      <w:szCs w:val="20"/>
    </w:rPr>
  </w:style>
  <w:style w:type="character" w:styleId="957" w:customStyle="1">
    <w:name w:val="font01"/>
    <w:uiPriority w:val="99"/>
    <w:qFormat/>
    <w:rPr>
      <w:rFonts w:hint="eastAsia" w:ascii="宋体" w:hAnsi="宋体" w:eastAsia="宋体" w:cs="宋体"/>
      <w:color w:val="000000"/>
      <w:sz w:val="18"/>
      <w:szCs w:val="18"/>
      <w:u w:val="none"/>
    </w:rPr>
  </w:style>
  <w:style w:type="character" w:styleId="958" w:customStyle="1">
    <w:name w:val="省厅正文 Char Char"/>
    <w:link w:val="959"/>
    <w:uiPriority w:val="99"/>
    <w:qFormat/>
    <w:rPr>
      <w:rFonts w:ascii="仿宋_GB2312" w:eastAsia="仿宋_GB2312"/>
      <w:sz w:val="32"/>
      <w:szCs w:val="32"/>
      <w:lang w:val="en-US" w:eastAsia="zh-CN" w:bidi="ar-SA"/>
    </w:rPr>
  </w:style>
  <w:style w:type="paragraph" w:styleId="959" w:customStyle="1">
    <w:name w:val="省厅正文"/>
    <w:basedOn w:val="867"/>
    <w:link w:val="958"/>
    <w:uiPriority w:val="99"/>
    <w:qFormat/>
    <w:pPr>
      <w:ind w:firstLine="640"/>
      <w:spacing w:line="336" w:lineRule="auto"/>
    </w:pPr>
    <w:rPr>
      <w:rFonts w:ascii="仿宋_GB2312" w:eastAsia="仿宋_GB2312"/>
      <w:sz w:val="32"/>
      <w:szCs w:val="32"/>
    </w:rPr>
  </w:style>
  <w:style w:type="character" w:styleId="960" w:customStyle="1">
    <w:name w:val="标题 3 字符"/>
    <w:uiPriority w:val="99"/>
    <w:qFormat/>
    <w:rPr>
      <w:b/>
      <w:bCs/>
      <w:sz w:val="32"/>
      <w:szCs w:val="32"/>
    </w:rPr>
  </w:style>
  <w:style w:type="character" w:styleId="961" w:customStyle="1">
    <w:name w:val="方案正文 Char Char"/>
    <w:link w:val="962"/>
    <w:uiPriority w:val="99"/>
    <w:qFormat/>
    <w:rPr>
      <w:rFonts w:ascii="Arial" w:hAnsi="Arial"/>
    </w:rPr>
  </w:style>
  <w:style w:type="paragraph" w:styleId="962" w:customStyle="1">
    <w:name w:val="方案正文"/>
    <w:basedOn w:val="867"/>
    <w:link w:val="961"/>
    <w:uiPriority w:val="99"/>
    <w:qFormat/>
    <w:pPr>
      <w:ind w:firstLine="359"/>
      <w:jc w:val="left"/>
      <w:spacing w:before="156" w:line="360" w:lineRule="auto"/>
    </w:pPr>
    <w:rPr>
      <w:rFonts w:ascii="Arial" w:hAnsi="Arial"/>
      <w:sz w:val="20"/>
      <w:szCs w:val="20"/>
    </w:rPr>
  </w:style>
  <w:style w:type="character" w:styleId="963" w:customStyle="1">
    <w:name w:val="彩色列表 - 着色 1 Char"/>
    <w:link w:val="964"/>
    <w:uiPriority w:val="0"/>
    <w:qFormat/>
    <w:rPr>
      <w:rFonts w:ascii="Calibri" w:hAnsi="Calibri"/>
      <w:sz w:val="24"/>
      <w:szCs w:val="21"/>
    </w:rPr>
  </w:style>
  <w:style w:type="paragraph" w:styleId="964" w:customStyle="1">
    <w:name w:val="彩色列表 - 着色 11"/>
    <w:basedOn w:val="867"/>
    <w:link w:val="963"/>
    <w:uiPriority w:val="0"/>
    <w:qFormat/>
    <w:pPr>
      <w:ind w:firstLine="420"/>
      <w:spacing w:line="360" w:lineRule="auto"/>
    </w:pPr>
    <w:rPr>
      <w:rFonts w:ascii="Calibri" w:hAnsi="Calibri"/>
      <w:sz w:val="24"/>
    </w:rPr>
  </w:style>
  <w:style w:type="character" w:styleId="965" w:customStyle="1">
    <w:name w:val="Char Char4"/>
    <w:uiPriority w:val="99"/>
    <w:qFormat/>
    <w:rPr>
      <w:rFonts w:hint="eastAsia" w:ascii="宋体" w:hAnsi="宋体" w:eastAsia="宋体"/>
      <w:sz w:val="18"/>
      <w:szCs w:val="18"/>
      <w:lang w:bidi="ar-SA"/>
    </w:rPr>
  </w:style>
  <w:style w:type="character" w:styleId="966" w:customStyle="1">
    <w:name w:val="正文（缩进） Char Char"/>
    <w:link w:val="967"/>
    <w:uiPriority w:val="99"/>
    <w:qFormat/>
    <w:rPr>
      <w:rFonts w:ascii="宋体" w:hAnsi="宋体" w:eastAsia="宋体"/>
      <w:sz w:val="24"/>
      <w:szCs w:val="24"/>
      <w:lang w:val="en-US" w:eastAsia="zh-CN" w:bidi="ar-SA"/>
    </w:rPr>
  </w:style>
  <w:style w:type="paragraph" w:styleId="967" w:customStyle="1">
    <w:name w:val="正文（缩进）"/>
    <w:basedOn w:val="867"/>
    <w:link w:val="966"/>
    <w:uiPriority w:val="99"/>
    <w:qFormat/>
    <w:pPr>
      <w:ind w:firstLine="480"/>
      <w:spacing w:before="156" w:after="156" w:line="360" w:lineRule="auto"/>
    </w:pPr>
    <w:rPr>
      <w:rFonts w:ascii="宋体" w:hAnsi="宋体"/>
      <w:sz w:val="24"/>
      <w:szCs w:val="24"/>
    </w:rPr>
  </w:style>
  <w:style w:type="character" w:styleId="968" w:customStyle="1">
    <w:name w:val="Char Char51"/>
    <w:uiPriority w:val="99"/>
    <w:qFormat/>
    <w:rPr>
      <w:rFonts w:ascii="Arial" w:hAnsi="Arial" w:eastAsia="楷体_GB2312"/>
      <w:b/>
      <w:sz w:val="44"/>
      <w:lang w:val="en-US" w:eastAsia="zh-CN"/>
    </w:rPr>
  </w:style>
  <w:style w:type="character" w:styleId="969" w:customStyle="1">
    <w:name w:val="页脚 字符"/>
    <w:uiPriority w:val="99"/>
    <w:qFormat/>
  </w:style>
  <w:style w:type="character" w:styleId="970" w:customStyle="1">
    <w:name w:val="表格样式居中 Char"/>
    <w:link w:val="971"/>
    <w:uiPriority w:val="99"/>
    <w:qFormat/>
    <w:rPr>
      <w:rFonts w:ascii="宋体" w:hAnsi="宋体"/>
      <w:sz w:val="21"/>
      <w:szCs w:val="22"/>
      <w:lang w:val="zh-CN" w:eastAsia="zh-CN" w:bidi="ar-SA"/>
    </w:rPr>
  </w:style>
  <w:style w:type="paragraph" w:styleId="971" w:customStyle="1">
    <w:name w:val="表格样式居中"/>
    <w:link w:val="970"/>
    <w:uiPriority w:val="99"/>
    <w:qFormat/>
    <w:rPr>
      <w:rFonts w:ascii="宋体" w:hAnsi="宋体" w:eastAsia="宋体" w:cs="Times New Roman"/>
      <w:sz w:val="21"/>
      <w:szCs w:val="22"/>
      <w:lang w:val="zh-CN" w:eastAsia="zh-CN" w:bidi="ar-SA"/>
    </w:rPr>
  </w:style>
  <w:style w:type="character" w:styleId="972" w:customStyle="1">
    <w:name w:val="font11"/>
    <w:uiPriority w:val="0"/>
    <w:qFormat/>
    <w:rPr>
      <w:rFonts w:hint="default" w:ascii="Arial" w:hAnsi="Arial" w:cs="Arial"/>
      <w:color w:val="000000"/>
      <w:sz w:val="18"/>
      <w:szCs w:val="18"/>
      <w:u w:val="none"/>
    </w:rPr>
  </w:style>
  <w:style w:type="character" w:styleId="973" w:customStyle="1">
    <w:name w:val="一级缩进 Char Char"/>
    <w:link w:val="974"/>
    <w:uiPriority w:val="99"/>
    <w:qFormat/>
    <w:rPr>
      <w:rFonts w:ascii="仿宋_GB2312" w:eastAsia="仿宋_GB2312"/>
      <w:sz w:val="24"/>
      <w:szCs w:val="24"/>
      <w:lang w:val="en-US" w:eastAsia="zh-CN" w:bidi="ar-SA"/>
    </w:rPr>
  </w:style>
  <w:style w:type="paragraph" w:styleId="974" w:customStyle="1">
    <w:name w:val="一级缩进"/>
    <w:link w:val="973"/>
    <w:uiPriority w:val="99"/>
    <w:qFormat/>
    <w:pPr>
      <w:ind w:left="1290" w:hanging="1290"/>
      <w:jc w:val="both"/>
      <w:spacing w:before="120" w:after="120" w:line="360" w:lineRule="auto"/>
      <w:tabs>
        <w:tab w:val="left" w:pos="1290" w:leader="none"/>
      </w:tabs>
    </w:pPr>
    <w:rPr>
      <w:rFonts w:ascii="仿宋_GB2312" w:hAnsi="Times New Roman" w:eastAsia="仿宋_GB2312" w:cs="Times New Roman"/>
      <w:sz w:val="24"/>
      <w:szCs w:val="24"/>
      <w:lang w:val="en-US" w:eastAsia="zh-CN" w:bidi="ar-SA"/>
    </w:rPr>
  </w:style>
  <w:style w:type="character" w:styleId="975" w:customStyle="1">
    <w:name w:val="省厅标题3 Char Char"/>
    <w:link w:val="976"/>
    <w:uiPriority w:val="99"/>
    <w:qFormat/>
    <w:rPr>
      <w:rFonts w:ascii="仿宋_GB2312" w:eastAsia="仿宋_GB2312"/>
      <w:sz w:val="32"/>
      <w:szCs w:val="32"/>
      <w:lang w:val="en-US" w:eastAsia="zh-CN" w:bidi="ar-SA"/>
    </w:rPr>
  </w:style>
  <w:style w:type="paragraph" w:styleId="976" w:customStyle="1">
    <w:name w:val="省厅标题3"/>
    <w:basedOn w:val="867"/>
    <w:link w:val="975"/>
    <w:uiPriority w:val="99"/>
    <w:qFormat/>
    <w:pPr>
      <w:ind w:firstLine="640"/>
      <w:spacing w:line="336" w:lineRule="auto"/>
      <w:outlineLvl w:val="2"/>
    </w:pPr>
    <w:rPr>
      <w:rFonts w:ascii="仿宋_GB2312" w:eastAsia="仿宋_GB2312"/>
      <w:sz w:val="32"/>
      <w:szCs w:val="32"/>
    </w:rPr>
  </w:style>
  <w:style w:type="character" w:styleId="977" w:customStyle="1">
    <w:name w:val="标准正文 Char Char"/>
    <w:link w:val="978"/>
    <w:uiPriority w:val="99"/>
    <w:qFormat/>
    <w:rPr>
      <w:rFonts w:ascii="宋体" w:hAnsi="Courier New" w:eastAsia="仿宋_GB2312"/>
      <w:sz w:val="32"/>
    </w:rPr>
  </w:style>
  <w:style w:type="paragraph" w:styleId="978" w:customStyle="1">
    <w:name w:val="标准正文"/>
    <w:basedOn w:val="893"/>
    <w:link w:val="977"/>
    <w:uiPriority w:val="99"/>
    <w:qFormat/>
    <w:pPr>
      <w:spacing w:line="240" w:lineRule="auto"/>
    </w:pPr>
    <w:rPr>
      <w:rFonts w:eastAsia="仿宋_GB2312"/>
      <w:sz w:val="32"/>
      <w:szCs w:val="20"/>
    </w:rPr>
  </w:style>
  <w:style w:type="character" w:styleId="979" w:customStyle="1">
    <w:name w:val="font21"/>
    <w:uiPriority w:val="99"/>
    <w:qFormat/>
    <w:rPr>
      <w:rFonts w:ascii="宋体" w:hAnsi="宋体" w:eastAsia="宋体" w:cs="宋体"/>
      <w:color w:val="000000"/>
      <w:sz w:val="22"/>
      <w:szCs w:val="22"/>
      <w:u w:val="none"/>
    </w:rPr>
  </w:style>
  <w:style w:type="character" w:styleId="980" w:customStyle="1">
    <w:name w:val="样式 正文缩进 + 首行缩进:  2 字符 Char Char"/>
    <w:link w:val="981"/>
    <w:uiPriority w:val="99"/>
    <w:qFormat/>
    <w:rPr>
      <w:sz w:val="24"/>
    </w:rPr>
  </w:style>
  <w:style w:type="paragraph" w:styleId="981" w:customStyle="1">
    <w:name w:val="样式 正文缩进 + 首行缩进:  2 字符"/>
    <w:basedOn w:val="879"/>
    <w:link w:val="980"/>
    <w:uiPriority w:val="99"/>
    <w:qFormat/>
    <w:pPr>
      <w:ind w:left="420" w:firstLine="200"/>
      <w:spacing w:after="120" w:line="360" w:lineRule="auto"/>
    </w:pPr>
    <w:rPr>
      <w:sz w:val="24"/>
      <w:szCs w:val="20"/>
    </w:rPr>
  </w:style>
  <w:style w:type="character" w:styleId="982" w:customStyle="1">
    <w:name w:val="二级目录 Char Char"/>
    <w:link w:val="983"/>
    <w:uiPriority w:val="99"/>
    <w:qFormat/>
    <w:rPr>
      <w:rFonts w:eastAsia="Times New Roman"/>
      <w:b/>
      <w:sz w:val="30"/>
      <w:szCs w:val="28"/>
      <w:lang w:val="en-US" w:eastAsia="zh-CN" w:bidi="ar-SA"/>
    </w:rPr>
  </w:style>
  <w:style w:type="paragraph" w:styleId="983" w:customStyle="1">
    <w:name w:val="二级目录"/>
    <w:next w:val="867"/>
    <w:link w:val="982"/>
    <w:uiPriority w:val="99"/>
    <w:qFormat/>
    <w:pPr>
      <w:numPr>
        <w:ilvl w:val="0"/>
        <w:numId w:val="2"/>
      </w:numPr>
      <w:tabs>
        <w:tab w:val="left" w:pos="720" w:leader="none"/>
      </w:tabs>
      <w:outlineLvl w:val="1"/>
    </w:pPr>
    <w:rPr>
      <w:rFonts w:ascii="Times New Roman" w:hAnsi="Times New Roman" w:eastAsia="Times New Roman" w:cs="Times New Roman"/>
      <w:b/>
      <w:sz w:val="30"/>
      <w:szCs w:val="28"/>
      <w:lang w:val="en-US" w:eastAsia="zh-CN" w:bidi="ar-SA"/>
    </w:rPr>
  </w:style>
  <w:style w:type="character" w:styleId="984" w:customStyle="1">
    <w:name w:val="样式 正文文本缩进 + 左  0 字符 Char"/>
    <w:link w:val="985"/>
    <w:uiPriority w:val="99"/>
    <w:qFormat/>
    <w:rPr>
      <w:rFonts w:ascii="Calibri" w:hAnsi="Calibri"/>
      <w:sz w:val="22"/>
    </w:rPr>
  </w:style>
  <w:style w:type="paragraph" w:styleId="985" w:customStyle="1">
    <w:name w:val="样式 正文文本缩进 + 左  0 字符"/>
    <w:basedOn w:val="888"/>
    <w:link w:val="984"/>
    <w:uiPriority w:val="99"/>
    <w:qFormat/>
    <w:pPr>
      <w:ind w:left="0"/>
      <w:spacing w:after="0"/>
    </w:pPr>
    <w:rPr>
      <w:rFonts w:ascii="Calibri" w:hAnsi="Calibri" w:eastAsia="宋体"/>
      <w:sz w:val="22"/>
      <w:szCs w:val="20"/>
    </w:rPr>
  </w:style>
  <w:style w:type="character" w:styleId="986" w:customStyle="1">
    <w:name w:val="列出段落 Char"/>
    <w:link w:val="987"/>
    <w:uiPriority w:val="34"/>
    <w:qFormat/>
    <w:rPr>
      <w:rFonts w:ascii="Calibri" w:hAnsi="Calibri"/>
      <w:sz w:val="21"/>
    </w:rPr>
  </w:style>
  <w:style w:type="paragraph" w:styleId="987" w:customStyle="1">
    <w:name w:val="列出段落1"/>
    <w:basedOn w:val="867"/>
    <w:next w:val="896"/>
    <w:link w:val="986"/>
    <w:uiPriority w:val="34"/>
    <w:qFormat/>
    <w:pPr>
      <w:ind w:firstLine="420"/>
      <w:spacing w:line="360" w:lineRule="auto"/>
    </w:pPr>
    <w:rPr>
      <w:rFonts w:ascii="Calibri" w:hAnsi="Calibri"/>
      <w:szCs w:val="20"/>
    </w:rPr>
  </w:style>
  <w:style w:type="character" w:styleId="988" w:customStyle="1">
    <w:name w:val="style31"/>
    <w:uiPriority w:val="99"/>
    <w:qFormat/>
    <w:rPr>
      <w:b/>
      <w:bCs/>
      <w:color w:val="0141a0"/>
      <w:sz w:val="21"/>
      <w:szCs w:val="21"/>
    </w:rPr>
  </w:style>
  <w:style w:type="paragraph" w:styleId="989" w:customStyle="1">
    <w:name w:val="_Style 37"/>
    <w:basedOn w:val="867"/>
    <w:next w:val="904"/>
    <w:uiPriority w:val="99"/>
    <w:qFormat/>
    <w:pPr>
      <w:ind w:firstLine="420"/>
      <w:spacing w:line="360" w:lineRule="auto"/>
    </w:pPr>
    <w:rPr>
      <w:color w:val="ff0000"/>
      <w:sz w:val="24"/>
      <w:szCs w:val="24"/>
    </w:rPr>
  </w:style>
  <w:style w:type="paragraph" w:styleId="990" w:customStyle="1">
    <w:name w:val="WPSOffice手动目录 1"/>
    <w:uiPriority w:val="0"/>
    <w:qFormat/>
    <w:rPr>
      <w:rFonts w:ascii="Times New Roman" w:hAnsi="Times New Roman" w:eastAsia="宋体" w:cs="Times New Roman"/>
      <w:lang w:val="en-US" w:eastAsia="zh-CN" w:bidi="ar-SA"/>
    </w:rPr>
  </w:style>
  <w:style w:type="paragraph" w:styleId="991" w:customStyle="1">
    <w:name w:val="_Style 6"/>
    <w:basedOn w:val="867"/>
    <w:uiPriority w:val="99"/>
    <w:qFormat/>
    <w:pPr>
      <w:ind w:firstLine="420"/>
    </w:pPr>
    <w:rPr>
      <w:rFonts w:ascii="Calibri" w:hAnsi="Calibri"/>
      <w:szCs w:val="24"/>
    </w:rPr>
  </w:style>
  <w:style w:type="paragraph" w:styleId="992" w:customStyle="1">
    <w:name w:val="列出段落11"/>
    <w:basedOn w:val="867"/>
    <w:uiPriority w:val="99"/>
    <w:qFormat/>
    <w:pPr>
      <w:ind w:firstLine="420"/>
    </w:pPr>
    <w:rPr>
      <w:rFonts w:ascii="Calibri" w:hAnsi="Calibri"/>
      <w:szCs w:val="22"/>
    </w:rPr>
  </w:style>
  <w:style w:type="paragraph" w:styleId="993" w:customStyle="1">
    <w:name w:val="Char Char Char Char Char Char Char Char Char Char Char Char Char Char Char Char"/>
    <w:basedOn w:val="867"/>
    <w:uiPriority w:val="99"/>
    <w:qFormat/>
    <w:pPr>
      <w:tabs>
        <w:tab w:val="left" w:pos="360" w:leader="none"/>
      </w:tabs>
    </w:pPr>
    <w:rPr>
      <w:sz w:val="24"/>
      <w:szCs w:val="24"/>
    </w:rPr>
  </w:style>
  <w:style w:type="paragraph" w:styleId="994" w:customStyle="1">
    <w:name w:val="reader-word-layer reader-word-s19-11"/>
    <w:basedOn w:val="867"/>
    <w:uiPriority w:val="0"/>
    <w:qFormat/>
    <w:pPr>
      <w:jc w:val="left"/>
      <w:spacing w:before="100" w:beforeAutospacing="1" w:after="100" w:afterAutospacing="1"/>
      <w:widowControl/>
    </w:pPr>
    <w:rPr>
      <w:rFonts w:ascii="宋体" w:hAnsi="宋体" w:cs="宋体"/>
      <w:sz w:val="24"/>
      <w:szCs w:val="24"/>
    </w:rPr>
  </w:style>
  <w:style w:type="paragraph" w:styleId="995">
    <w:name w:val="List Paragraph"/>
    <w:basedOn w:val="867"/>
    <w:next w:val="896"/>
    <w:uiPriority w:val="34"/>
    <w:qFormat/>
    <w:pPr>
      <w:ind w:firstLine="420"/>
      <w:spacing w:line="360" w:lineRule="auto"/>
    </w:pPr>
    <w:rPr>
      <w:rFonts w:ascii="Calibri" w:hAnsi="Calibri"/>
      <w:sz w:val="24"/>
    </w:rPr>
  </w:style>
  <w:style w:type="paragraph" w:styleId="996" w:customStyle="1">
    <w:name w:val="Char Char1 Char"/>
    <w:basedOn w:val="867"/>
    <w:uiPriority w:val="99"/>
    <w:qFormat/>
    <w:rPr>
      <w:rFonts w:ascii="仿宋_GB2312" w:eastAsia="仿宋_GB2312"/>
      <w:b/>
      <w:sz w:val="32"/>
      <w:szCs w:val="32"/>
    </w:rPr>
  </w:style>
  <w:style w:type="paragraph" w:styleId="997" w:customStyle="1">
    <w:name w:val="reader-word-layer reader-word-s20-4"/>
    <w:basedOn w:val="867"/>
    <w:uiPriority w:val="0"/>
    <w:qFormat/>
    <w:pPr>
      <w:jc w:val="left"/>
      <w:spacing w:before="100" w:beforeAutospacing="1" w:after="100" w:afterAutospacing="1"/>
      <w:widowControl/>
    </w:pPr>
    <w:rPr>
      <w:rFonts w:ascii="宋体" w:hAnsi="宋体" w:cs="宋体"/>
      <w:sz w:val="24"/>
      <w:szCs w:val="24"/>
    </w:rPr>
  </w:style>
  <w:style w:type="paragraph" w:styleId="998" w:customStyle="1">
    <w:name w:val="列出段落2"/>
    <w:basedOn w:val="867"/>
    <w:uiPriority w:val="99"/>
    <w:qFormat/>
    <w:pPr>
      <w:ind w:firstLine="420"/>
    </w:pPr>
    <w:rPr>
      <w:rFonts w:ascii="Calibri" w:hAnsi="Calibri"/>
      <w:szCs w:val="22"/>
    </w:rPr>
  </w:style>
  <w:style w:type="paragraph" w:styleId="999" w:customStyle="1">
    <w:name w:val="_Style 131"/>
    <w:basedOn w:val="868"/>
    <w:next w:val="867"/>
    <w:uiPriority w:val="39"/>
    <w:qFormat/>
    <w:pPr>
      <w:jc w:val="left"/>
      <w:keepLines/>
      <w:spacing w:before="480" w:line="276" w:lineRule="auto"/>
      <w:widowControl/>
      <w:outlineLvl w:val="9"/>
    </w:pPr>
    <w:rPr>
      <w:rFonts w:ascii="Cambria" w:hAnsi="Cambria" w:eastAsia="宋体" w:cs="Times New Roman"/>
      <w:b w:val="0"/>
      <w:bCs/>
      <w:color w:val="365f91"/>
    </w:rPr>
  </w:style>
  <w:style w:type="paragraph" w:styleId="1000" w:customStyle="1">
    <w:name w:val="彩色列表 - 着色 12"/>
    <w:basedOn w:val="867"/>
    <w:uiPriority w:val="0"/>
    <w:qFormat/>
    <w:pPr>
      <w:ind w:firstLine="420"/>
      <w:spacing w:line="360" w:lineRule="auto"/>
    </w:pPr>
    <w:rPr>
      <w:rFonts w:ascii="Calibri" w:hAnsi="Calibri" w:eastAsia="宋体"/>
      <w:sz w:val="24"/>
      <w:szCs w:val="21"/>
      <w:lang w:val="en-US" w:eastAsia="zh-CN" w:bidi="ar-SA"/>
    </w:rPr>
  </w:style>
  <w:style w:type="paragraph" w:styleId="1001" w:customStyle="1">
    <w:name w:val="一级目录"/>
    <w:next w:val="867"/>
    <w:uiPriority w:val="99"/>
    <w:qFormat/>
    <w:pPr>
      <w:jc w:val="center"/>
      <w:spacing w:after="312"/>
      <w:outlineLvl w:val="0"/>
    </w:pPr>
    <w:rPr>
      <w:rFonts w:ascii="黑体" w:hAnsi="Times New Roman" w:eastAsia="黑体" w:cs="Times New Roman"/>
      <w:b/>
      <w:sz w:val="44"/>
      <w:szCs w:val="44"/>
      <w:lang w:val="en-US" w:eastAsia="zh-CN" w:bidi="ar-SA"/>
    </w:rPr>
  </w:style>
  <w:style w:type="paragraph" w:styleId="1002" w:customStyle="1">
    <w:name w:val="xl29"/>
    <w:basedOn w:val="867"/>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3" w:customStyle="1">
    <w:name w:val="xl28"/>
    <w:basedOn w:val="867"/>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4" w:customStyle="1">
    <w:name w:val="font5"/>
    <w:basedOn w:val="867"/>
    <w:uiPriority w:val="99"/>
    <w:qFormat/>
    <w:pPr>
      <w:jc w:val="left"/>
      <w:spacing w:before="100" w:beforeAutospacing="1" w:after="100" w:afterAutospacing="1"/>
      <w:widowControl/>
    </w:pPr>
    <w:rPr>
      <w:rFonts w:ascii="宋体" w:hAnsi="宋体"/>
      <w:sz w:val="28"/>
      <w:szCs w:val="28"/>
    </w:rPr>
  </w:style>
  <w:style w:type="paragraph" w:styleId="1005" w:customStyle="1">
    <w:name w:val="二级条标题"/>
    <w:basedOn w:val="881"/>
    <w:next w:val="883"/>
    <w:uiPriority w:val="99"/>
    <w:qFormat/>
    <w:pPr>
      <w:numPr>
        <w:ilvl w:val="4"/>
        <w:numId w:val="2"/>
      </w:numPr>
      <w:ind w:left="1080"/>
      <w:outlineLvl w:val="3"/>
    </w:pPr>
  </w:style>
  <w:style w:type="paragraph" w:styleId="1006" w:customStyle="1">
    <w:name w:val="正文缩进1"/>
    <w:basedOn w:val="867"/>
    <w:next w:val="888"/>
    <w:uiPriority w:val="99"/>
    <w:qFormat/>
    <w:pPr>
      <w:ind w:firstLine="480"/>
      <w:spacing w:after="120" w:line="360" w:lineRule="auto"/>
    </w:pPr>
    <w:rPr>
      <w:sz w:val="24"/>
    </w:rPr>
  </w:style>
  <w:style w:type="paragraph" w:styleId="1007" w:customStyle="1">
    <w:name w:val=" Char8"/>
    <w:basedOn w:val="867"/>
    <w:uiPriority w:val="0"/>
    <w:qFormat/>
    <w:pPr>
      <w:ind w:left="390" w:hanging="390"/>
      <w:keepLines/>
      <w:keepNext/>
      <w:pageBreakBefore/>
      <w:tabs>
        <w:tab w:val="left" w:pos="390" w:leader="none"/>
      </w:tabs>
    </w:pPr>
    <w:rPr>
      <w:szCs w:val="20"/>
    </w:rPr>
  </w:style>
  <w:style w:type="paragraph" w:styleId="1008" w:customStyle="1">
    <w:name w:val="表头文本"/>
    <w:basedOn w:val="867"/>
    <w:uiPriority w:val="99"/>
    <w:qFormat/>
    <w:pPr>
      <w:jc w:val="center"/>
    </w:pPr>
    <w:rPr>
      <w:b/>
      <w:sz w:val="24"/>
      <w:szCs w:val="20"/>
    </w:rPr>
  </w:style>
  <w:style w:type="paragraph" w:styleId="1009" w:customStyle="1">
    <w:name w:val="reader-word-layer reader-word-s19-12"/>
    <w:basedOn w:val="867"/>
    <w:uiPriority w:val="0"/>
    <w:qFormat/>
    <w:pPr>
      <w:jc w:val="left"/>
      <w:spacing w:before="100" w:beforeAutospacing="1" w:after="100" w:afterAutospacing="1"/>
      <w:widowControl/>
    </w:pPr>
    <w:rPr>
      <w:rFonts w:ascii="宋体" w:hAnsi="宋体" w:cs="宋体"/>
      <w:sz w:val="24"/>
      <w:szCs w:val="24"/>
    </w:rPr>
  </w:style>
  <w:style w:type="paragraph" w:styleId="1010" w:customStyle="1">
    <w:name w:val="样式1"/>
    <w:basedOn w:val="867"/>
    <w:uiPriority w:val="99"/>
    <w:qFormat/>
    <w:pPr>
      <w:numPr>
        <w:ilvl w:val="0"/>
        <w:numId w:val="3"/>
      </w:numPr>
    </w:pPr>
    <w:rPr>
      <w:rFonts w:ascii="宋体" w:hAnsi="宋体"/>
    </w:rPr>
  </w:style>
  <w:style w:type="paragraph" w:styleId="1011" w:customStyle="1">
    <w:name w:val="正文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012" w:customStyle="1">
    <w:name w:val="附录1"/>
    <w:uiPriority w:val="99"/>
    <w:qFormat/>
    <w:pPr>
      <w:numPr>
        <w:ilvl w:val="0"/>
        <w:numId w:val="4"/>
      </w:numPr>
      <w:spacing w:before="240" w:line="600" w:lineRule="atLeast"/>
    </w:pPr>
    <w:rPr>
      <w:rFonts w:ascii="Times New Roman" w:hAnsi="Times New Roman" w:eastAsia="宋体" w:cs="Times New Roman"/>
      <w:b/>
      <w:i/>
      <w:sz w:val="28"/>
      <w:lang w:val="en-US" w:eastAsia="zh-CN" w:bidi="ar-SA"/>
    </w:rPr>
  </w:style>
  <w:style w:type="paragraph" w:styleId="1013" w:customStyle="1">
    <w:name w:val="reader-word-layer reader-word-s19-8"/>
    <w:basedOn w:val="867"/>
    <w:uiPriority w:val="0"/>
    <w:qFormat/>
    <w:pPr>
      <w:jc w:val="left"/>
      <w:spacing w:before="100" w:beforeAutospacing="1" w:after="100" w:afterAutospacing="1"/>
      <w:widowControl/>
    </w:pPr>
    <w:rPr>
      <w:rFonts w:ascii="宋体" w:hAnsi="宋体" w:cs="宋体"/>
      <w:sz w:val="24"/>
      <w:szCs w:val="24"/>
    </w:rPr>
  </w:style>
  <w:style w:type="paragraph" w:styleId="1014" w:customStyle="1">
    <w:name w:val="标题1"/>
    <w:basedOn w:val="867"/>
    <w:next w:val="867"/>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5" w:customStyle="1">
    <w:name w:val="reader-word-layer reader-word-s19-13"/>
    <w:basedOn w:val="867"/>
    <w:uiPriority w:val="0"/>
    <w:qFormat/>
    <w:pPr>
      <w:jc w:val="left"/>
      <w:spacing w:before="100" w:beforeAutospacing="1" w:after="100" w:afterAutospacing="1"/>
      <w:widowControl/>
    </w:pPr>
    <w:rPr>
      <w:rFonts w:ascii="宋体" w:hAnsi="宋体" w:cs="宋体"/>
      <w:sz w:val="24"/>
      <w:szCs w:val="24"/>
    </w:rPr>
  </w:style>
  <w:style w:type="paragraph" w:styleId="1016" w:customStyle="1">
    <w:name w:val="reader-word-layer reader-word-s20-5"/>
    <w:basedOn w:val="867"/>
    <w:uiPriority w:val="0"/>
    <w:qFormat/>
    <w:pPr>
      <w:jc w:val="left"/>
      <w:spacing w:before="100" w:beforeAutospacing="1" w:after="100" w:afterAutospacing="1"/>
      <w:widowControl/>
    </w:pPr>
    <w:rPr>
      <w:rFonts w:ascii="宋体" w:hAnsi="宋体" w:cs="宋体"/>
      <w:sz w:val="24"/>
      <w:szCs w:val="24"/>
    </w:rPr>
  </w:style>
  <w:style w:type="paragraph" w:styleId="1017" w:customStyle="1">
    <w:name w:val="默认段落字体 Para Char Char Char Char Char Char Char"/>
    <w:basedOn w:val="867"/>
    <w:uiPriority w:val="99"/>
    <w:qFormat/>
    <w:pPr>
      <w:jc w:val="left"/>
      <w:spacing w:line="360" w:lineRule="auto"/>
    </w:pPr>
  </w:style>
  <w:style w:type="paragraph" w:styleId="1018" w:customStyle="1">
    <w:name w:val="图表文字"/>
    <w:basedOn w:val="867"/>
    <w:uiPriority w:val="99"/>
    <w:qFormat/>
    <w:pPr>
      <w:widowControl/>
    </w:pPr>
    <w:rPr>
      <w:szCs w:val="20"/>
      <w:lang w:bidi="he-IL"/>
    </w:rPr>
  </w:style>
  <w:style w:type="paragraph" w:styleId="1019" w:customStyle="1">
    <w:name w:val="xl26"/>
    <w:basedOn w:val="86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0"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021" w:customStyle="1">
    <w:name w:val="font7"/>
    <w:basedOn w:val="867"/>
    <w:uiPriority w:val="99"/>
    <w:qFormat/>
    <w:pPr>
      <w:jc w:val="left"/>
      <w:spacing w:before="100" w:beforeAutospacing="1" w:after="100" w:afterAutospacing="1"/>
      <w:widowControl/>
    </w:pPr>
    <w:rPr>
      <w:rFonts w:ascii="宋体" w:hAnsi="宋体"/>
      <w:sz w:val="18"/>
      <w:szCs w:val="18"/>
    </w:rPr>
  </w:style>
  <w:style w:type="paragraph" w:styleId="1022" w:customStyle="1">
    <w:name w:val="默认段落字体 Para Char Char Char Char Char Char Char Char Char1 Char Char Char Char Char Char Char"/>
    <w:basedOn w:val="885"/>
    <w:uiPriority w:val="99"/>
    <w:qFormat/>
    <w:rPr>
      <w:rFonts w:ascii="Tahoma" w:hAnsi="Tahoma"/>
      <w:sz w:val="24"/>
      <w:szCs w:val="24"/>
    </w:rPr>
  </w:style>
  <w:style w:type="paragraph" w:styleId="1023" w:customStyle="1">
    <w:name w:val="_Style 1"/>
    <w:uiPriority w:val="1"/>
    <w:qFormat/>
    <w:pPr>
      <w:jc w:val="both"/>
      <w:widowControl w:val="off"/>
    </w:pPr>
    <w:rPr>
      <w:rFonts w:ascii="Calibri" w:hAnsi="Calibri" w:eastAsia="宋体" w:cs="Times New Roman"/>
      <w:sz w:val="21"/>
      <w:szCs w:val="22"/>
      <w:lang w:val="en-US" w:eastAsia="zh-CN" w:bidi="ar-SA"/>
    </w:rPr>
  </w:style>
  <w:style w:type="paragraph" w:styleId="1024" w:customStyle="1">
    <w:name w:val="reader-word-layer reader-word-s19-10"/>
    <w:basedOn w:val="867"/>
    <w:uiPriority w:val="0"/>
    <w:qFormat/>
    <w:pPr>
      <w:jc w:val="left"/>
      <w:spacing w:before="100" w:beforeAutospacing="1" w:after="100" w:afterAutospacing="1"/>
      <w:widowControl/>
    </w:pPr>
    <w:rPr>
      <w:rFonts w:ascii="宋体" w:hAnsi="宋体" w:cs="宋体"/>
      <w:sz w:val="24"/>
      <w:szCs w:val="24"/>
    </w:rPr>
  </w:style>
  <w:style w:type="paragraph" w:styleId="1025" w:customStyle="1">
    <w:name w:val="图标"/>
    <w:basedOn w:val="867"/>
    <w:next w:val="867"/>
    <w:uiPriority w:val="99"/>
    <w:qFormat/>
    <w:pPr>
      <w:numPr>
        <w:ilvl w:val="0"/>
        <w:numId w:val="5"/>
      </w:numPr>
      <w:jc w:val="center"/>
      <w:spacing w:before="120" w:after="120" w:line="320" w:lineRule="atLeast"/>
      <w:tabs>
        <w:tab w:val="left" w:pos="567" w:leader="none"/>
        <w:tab w:val="clear" w:pos="840" w:leader="none"/>
      </w:tabs>
    </w:pPr>
    <w:rPr>
      <w:rFonts w:eastAsia="仿宋_GB2312"/>
      <w:sz w:val="24"/>
      <w:szCs w:val="20"/>
    </w:rPr>
  </w:style>
  <w:style w:type="paragraph" w:styleId="1026" w:customStyle="1">
    <w:name w:val="普通正文"/>
    <w:basedOn w:val="867"/>
    <w:uiPriority w:val="99"/>
    <w:qFormat/>
    <w:pPr>
      <w:ind w:firstLine="480"/>
      <w:jc w:val="left"/>
      <w:spacing w:before="120" w:after="120" w:line="360" w:lineRule="auto"/>
    </w:pPr>
    <w:rPr>
      <w:rFonts w:ascii="Arial" w:hAnsi="Arial"/>
      <w:sz w:val="24"/>
      <w:szCs w:val="24"/>
    </w:rPr>
  </w:style>
  <w:style w:type="paragraph" w:styleId="1027" w:customStyle="1">
    <w:name w:val="List Paragraph1"/>
    <w:basedOn w:val="867"/>
    <w:uiPriority w:val="0"/>
    <w:qFormat/>
    <w:pPr>
      <w:ind w:firstLine="420"/>
    </w:pPr>
    <w:rPr>
      <w:rFonts w:ascii="Calibri" w:hAnsi="Calibri"/>
      <w:szCs w:val="22"/>
    </w:rPr>
  </w:style>
  <w:style w:type="paragraph" w:styleId="1028" w:customStyle="1">
    <w:name w:val="数字序一级缩进"/>
    <w:uiPriority w:val="99"/>
    <w:qFormat/>
    <w:pPr>
      <w:ind w:firstLine="640"/>
      <w:spacing w:before="120" w:after="50" w:line="341" w:lineRule="auto"/>
    </w:pPr>
    <w:rPr>
      <w:rFonts w:ascii="楷体_GB2312" w:hAnsi="Times New Roman" w:eastAsia="楷体_GB2312" w:cs="Times New Roman"/>
      <w:sz w:val="32"/>
      <w:szCs w:val="24"/>
      <w:lang w:val="en-US" w:eastAsia="zh-CN" w:bidi="ar-SA"/>
    </w:rPr>
  </w:style>
  <w:style w:type="paragraph" w:styleId="1029" w:customStyle="1">
    <w:name w:val="Body Text 2"/>
    <w:basedOn w:val="867"/>
    <w:uiPriority w:val="0"/>
    <w:qFormat/>
    <w:pPr>
      <w:ind w:firstLine="420"/>
    </w:pPr>
    <w:rPr>
      <w:rFonts w:ascii="宋体"/>
      <w:szCs w:val="21"/>
    </w:rPr>
  </w:style>
  <w:style w:type="paragraph" w:styleId="1030" w:customStyle="1">
    <w:name w:val="四级条标题"/>
    <w:basedOn w:val="1031"/>
    <w:next w:val="883"/>
    <w:uiPriority w:val="99"/>
    <w:qFormat/>
    <w:pPr>
      <w:numPr>
        <w:ilvl w:val="6"/>
        <w:numId w:val="2"/>
      </w:numPr>
      <w:outlineLvl w:val="5"/>
    </w:pPr>
  </w:style>
  <w:style w:type="paragraph" w:styleId="1031" w:customStyle="1">
    <w:name w:val="三级条标题"/>
    <w:basedOn w:val="1005"/>
    <w:next w:val="883"/>
    <w:uiPriority w:val="99"/>
    <w:qFormat/>
    <w:pPr>
      <w:numPr>
        <w:ilvl w:val="5"/>
        <w:numId w:val="2"/>
      </w:numPr>
      <w:ind w:left="1260"/>
      <w:outlineLvl w:val="4"/>
    </w:pPr>
  </w:style>
  <w:style w:type="paragraph" w:styleId="1032" w:customStyle="1">
    <w:name w:val="公文标题 1"/>
    <w:basedOn w:val="1033"/>
    <w:next w:val="1033"/>
    <w:uiPriority w:val="99"/>
    <w:qFormat/>
    <w:pPr>
      <w:numPr>
        <w:ilvl w:val="0"/>
        <w:numId w:val="6"/>
      </w:numPr>
      <w:ind w:firstLine="0"/>
      <w:outlineLvl w:val="0"/>
    </w:pPr>
  </w:style>
  <w:style w:type="paragraph" w:styleId="1033" w:customStyle="1">
    <w:name w:val="公文正文"/>
    <w:basedOn w:val="888"/>
    <w:uiPriority w:val="99"/>
    <w:qFormat/>
    <w:pPr>
      <w:ind w:left="0" w:firstLine="200"/>
      <w:spacing w:after="0"/>
    </w:pPr>
    <w:rPr>
      <w:rFonts w:ascii="仿宋_GB2312" w:hAnsi="宋体" w:eastAsia="仿宋_GB2312"/>
      <w:sz w:val="28"/>
      <w:szCs w:val="24"/>
    </w:rPr>
  </w:style>
  <w:style w:type="paragraph" w:styleId="1034" w:customStyle="1">
    <w:name w:val="标题3"/>
    <w:basedOn w:val="867"/>
    <w:next w:val="867"/>
    <w:uiPriority w:val="99"/>
    <w:qFormat/>
    <w:pPr>
      <w:ind w:firstLine="624"/>
      <w:spacing w:line="590" w:lineRule="atLeast"/>
    </w:pPr>
    <w:rPr>
      <w:rFonts w:ascii="方正黑体_GBK" w:eastAsia="方正黑体_GBK"/>
      <w:sz w:val="32"/>
      <w:szCs w:val="32"/>
    </w:rPr>
  </w:style>
  <w:style w:type="paragraph" w:styleId="1035" w:customStyle="1">
    <w:name w:val="Char1"/>
    <w:basedOn w:val="867"/>
    <w:uiPriority w:val="99"/>
    <w:qFormat/>
    <w:rPr>
      <w:rFonts w:ascii="Tahoma" w:hAnsi="Tahoma"/>
      <w:sz w:val="24"/>
      <w:szCs w:val="20"/>
    </w:rPr>
  </w:style>
  <w:style w:type="paragraph" w:styleId="1036" w:customStyle="1">
    <w:name w:val="公文标题 2"/>
    <w:basedOn w:val="1032"/>
    <w:next w:val="1033"/>
    <w:uiPriority w:val="99"/>
    <w:qFormat/>
    <w:pPr>
      <w:numPr>
        <w:ilvl w:val="0"/>
        <w:numId w:val="0"/>
      </w:numPr>
      <w:outlineLvl w:val="1"/>
    </w:pPr>
  </w:style>
  <w:style w:type="paragraph" w:styleId="1037" w:customStyle="1">
    <w:name w:val="列出段落3"/>
    <w:basedOn w:val="867"/>
    <w:next w:val="896"/>
    <w:uiPriority w:val="99"/>
    <w:qFormat/>
    <w:pPr>
      <w:ind w:firstLine="420"/>
      <w:spacing w:line="360" w:lineRule="auto"/>
    </w:pPr>
    <w:rPr>
      <w:rFonts w:ascii="Calibri" w:hAnsi="Calibri"/>
      <w:sz w:val="24"/>
    </w:rPr>
  </w:style>
  <w:style w:type="paragraph" w:styleId="1038" w:customStyle="1">
    <w:name w:val="脚注文本1"/>
    <w:basedOn w:val="876"/>
    <w:next w:val="1039"/>
    <w:uiPriority w:val="0"/>
    <w:qFormat/>
    <w:pPr>
      <w:jc w:val="left"/>
    </w:pPr>
    <w:rPr>
      <w:rFonts w:ascii="宋体" w:eastAsia="Times New Roman"/>
      <w:sz w:val="18"/>
      <w:szCs w:val="18"/>
    </w:rPr>
  </w:style>
  <w:style w:type="paragraph" w:styleId="1039" w:customStyle="1">
    <w:name w:val="索引 51"/>
    <w:basedOn w:val="876"/>
    <w:next w:val="876"/>
    <w:uiPriority w:val="0"/>
    <w:qFormat/>
    <w:pPr>
      <w:ind w:left="798"/>
      <w:jc w:val="left"/>
    </w:pPr>
    <w:rPr>
      <w:rFonts w:ascii="Calibri" w:hAnsi="Calibri"/>
    </w:rPr>
  </w:style>
  <w:style w:type="paragraph" w:styleId="1040" w:customStyle="1">
    <w:name w:val="Char2 Char Char Char"/>
    <w:basedOn w:val="867"/>
    <w:uiPriority w:val="99"/>
    <w:qFormat/>
    <w:rPr>
      <w:rFonts w:ascii="仿宋_GB2312" w:eastAsia="仿宋_GB2312"/>
      <w:b/>
      <w:sz w:val="32"/>
      <w:szCs w:val="32"/>
    </w:rPr>
  </w:style>
  <w:style w:type="paragraph" w:styleId="1041" w:customStyle="1">
    <w:name w:val="xl30"/>
    <w:basedOn w:val="867"/>
    <w:uiPriority w:val="99"/>
    <w:qFormat/>
    <w:pPr>
      <w:jc w:val="center"/>
      <w:spacing w:before="100" w:beforeAutospacing="1" w:after="100" w:afterAutospacing="1"/>
      <w:widowControl/>
    </w:pPr>
    <w:rPr>
      <w:rFonts w:ascii="宋体" w:hAnsi="宋体"/>
      <w:b/>
      <w:bCs/>
      <w:sz w:val="36"/>
      <w:szCs w:val="36"/>
    </w:rPr>
  </w:style>
  <w:style w:type="paragraph" w:styleId="1042" w:customStyle="1">
    <w:name w:val="1"/>
    <w:basedOn w:val="867"/>
    <w:next w:val="887"/>
    <w:uiPriority w:val="0"/>
    <w:qFormat/>
    <w:pPr>
      <w:widowControl/>
    </w:pPr>
    <w:rPr>
      <w:rFonts w:ascii="Arial" w:hAnsi="Arial"/>
      <w:sz w:val="20"/>
      <w:szCs w:val="20"/>
    </w:rPr>
  </w:style>
  <w:style w:type="paragraph" w:styleId="1043" w:customStyle="1">
    <w:name w:val="普通文字"/>
    <w:basedOn w:val="867"/>
    <w:next w:val="867"/>
    <w:uiPriority w:val="0"/>
    <w:qFormat/>
    <w:rPr>
      <w:rFonts w:ascii="宋体"/>
      <w:sz w:val="24"/>
      <w:szCs w:val="20"/>
      <w:u w:val="none"/>
    </w:rPr>
  </w:style>
  <w:style w:type="paragraph" w:styleId="1044" w:customStyle="1">
    <w:name w:val="reader-word-layer reader-word-s19-9"/>
    <w:basedOn w:val="867"/>
    <w:uiPriority w:val="0"/>
    <w:qFormat/>
    <w:pPr>
      <w:jc w:val="left"/>
      <w:spacing w:before="100" w:beforeAutospacing="1" w:after="100" w:afterAutospacing="1"/>
      <w:widowControl/>
    </w:pPr>
    <w:rPr>
      <w:rFonts w:ascii="宋体" w:hAnsi="宋体" w:cs="宋体"/>
      <w:sz w:val="24"/>
      <w:szCs w:val="24"/>
    </w:rPr>
  </w:style>
  <w:style w:type="paragraph" w:styleId="1045" w:customStyle="1">
    <w:name w:val="font6"/>
    <w:basedOn w:val="867"/>
    <w:uiPriority w:val="99"/>
    <w:qFormat/>
    <w:pPr>
      <w:jc w:val="left"/>
      <w:spacing w:before="100" w:beforeAutospacing="1" w:after="100" w:afterAutospacing="1"/>
      <w:widowControl/>
    </w:pPr>
    <w:rPr>
      <w:rFonts w:ascii="宋体" w:hAnsi="宋体"/>
      <w:sz w:val="28"/>
      <w:szCs w:val="28"/>
      <w:u w:val="single"/>
    </w:rPr>
  </w:style>
  <w:style w:type="paragraph" w:styleId="1046" w:customStyle="1">
    <w:name w:val="正文首行缩进1"/>
    <w:basedOn w:val="880"/>
    <w:uiPriority w:val="99"/>
    <w:qFormat/>
    <w:pPr>
      <w:ind w:firstLine="420"/>
    </w:pPr>
    <w:rPr>
      <w:szCs w:val="24"/>
      <w:lang w:eastAsia="ar-SA"/>
    </w:rPr>
  </w:style>
  <w:style w:type="paragraph" w:styleId="1047" w:customStyle="1">
    <w:name w:val="xl25"/>
    <w:basedOn w:val="867"/>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customStyle="1">
    <w:name w:val="xl27"/>
    <w:basedOn w:val="86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9" w:customStyle="1">
    <w:name w:val="Char Char Char1 Char"/>
    <w:basedOn w:val="867"/>
    <w:uiPriority w:val="99"/>
    <w:qFormat/>
    <w:pPr>
      <w:jc w:val="left"/>
      <w:spacing w:after="160" w:line="240" w:lineRule="exact"/>
      <w:widowControl/>
    </w:pPr>
    <w:rPr>
      <w:rFonts w:ascii="Verdana" w:hAnsi="Verdana" w:eastAsia="仿宋_GB2312"/>
      <w:sz w:val="24"/>
      <w:szCs w:val="20"/>
      <w:lang w:eastAsia="en-US"/>
    </w:rPr>
  </w:style>
  <w:style w:type="paragraph" w:styleId="1050" w:customStyle="1">
    <w:name w:val="xl24"/>
    <w:basedOn w:val="86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1" w:customStyle="1">
    <w:name w:val="TOC 标题1"/>
    <w:basedOn w:val="868"/>
    <w:next w:val="867"/>
    <w:uiPriority w:val="99"/>
    <w:qFormat/>
    <w:pPr>
      <w:jc w:val="left"/>
      <w:keepLines/>
      <w:spacing w:before="480" w:line="276" w:lineRule="auto"/>
      <w:widowControl/>
      <w:outlineLvl w:val="9"/>
    </w:pPr>
    <w:rPr>
      <w:rFonts w:ascii="Cambria" w:hAnsi="Cambria" w:eastAsia="宋体"/>
      <w:b w:val="0"/>
      <w:bCs/>
      <w:color w:val="365f91"/>
      <w:szCs w:val="20"/>
    </w:rPr>
  </w:style>
  <w:style w:type="paragraph" w:styleId="1052" w:customStyle="1">
    <w:name w:val="Char Char Char Char"/>
    <w:basedOn w:val="867"/>
    <w:uiPriority w:val="99"/>
    <w:qFormat/>
    <w:pPr>
      <w:jc w:val="left"/>
      <w:spacing w:after="160" w:line="240" w:lineRule="exact"/>
      <w:widowControl/>
    </w:pPr>
    <w:rPr>
      <w:szCs w:val="24"/>
    </w:rPr>
  </w:style>
  <w:style w:type="paragraph" w:styleId="1053" w:customStyle="1">
    <w:name w:val="Char Char1 Char Char Char Char Char Char Char Char Char Char Char Char Char Char Char Char Char Char"/>
    <w:basedOn w:val="867"/>
    <w:uiPriority w:val="99"/>
    <w:qFormat/>
    <w:pPr>
      <w:jc w:val="left"/>
      <w:spacing w:after="160" w:line="240" w:lineRule="exact"/>
      <w:widowControl/>
    </w:pPr>
    <w:rPr>
      <w:rFonts w:ascii="Verdana" w:hAnsi="Verdana"/>
      <w:sz w:val="20"/>
      <w:szCs w:val="20"/>
      <w:lang w:eastAsia="en-US"/>
    </w:rPr>
  </w:style>
  <w:style w:type="paragraph" w:styleId="1054" w:customStyle="1">
    <w:name w:val="Char Char1 Char Char Char Char Char Char Char"/>
    <w:basedOn w:val="867"/>
    <w:uiPriority w:val="99"/>
    <w:qFormat/>
    <w:rPr>
      <w:rFonts w:ascii="Tahoma" w:hAnsi="Tahoma"/>
      <w:sz w:val="24"/>
      <w:szCs w:val="20"/>
    </w:rPr>
  </w:style>
  <w:style w:type="paragraph" w:styleId="1055" w:customStyle="1">
    <w:name w:val="Char3 Char Char Char"/>
    <w:basedOn w:val="867"/>
    <w:uiPriority w:val="99"/>
    <w:qFormat/>
    <w:pPr>
      <w:jc w:val="left"/>
      <w:spacing w:after="160" w:line="240" w:lineRule="exact"/>
      <w:widowControl/>
    </w:pPr>
    <w:rPr>
      <w:rFonts w:ascii="Verdana" w:hAnsi="Verdana"/>
      <w:sz w:val="20"/>
      <w:szCs w:val="20"/>
      <w:lang w:eastAsia="en-US"/>
    </w:rPr>
  </w:style>
  <w:style w:type="paragraph" w:styleId="1056" w:customStyle="1">
    <w:name w:val="Char"/>
    <w:basedOn w:val="885"/>
    <w:uiPriority w:val="99"/>
    <w:qFormat/>
    <w:rPr>
      <w:rFonts w:ascii="Tahoma" w:hAnsi="Tahoma"/>
      <w:sz w:val="24"/>
      <w:szCs w:val="24"/>
    </w:rPr>
  </w:style>
  <w:style w:type="paragraph" w:styleId="1057" w:customStyle="1">
    <w:name w:val="reader-word-layer reader-word-s19-2"/>
    <w:basedOn w:val="867"/>
    <w:uiPriority w:val="0"/>
    <w:qFormat/>
    <w:pPr>
      <w:jc w:val="left"/>
      <w:spacing w:before="100" w:beforeAutospacing="1" w:after="100" w:afterAutospacing="1"/>
      <w:widowControl/>
    </w:pPr>
    <w:rPr>
      <w:rFonts w:ascii="宋体" w:hAnsi="宋体" w:cs="宋体"/>
      <w:sz w:val="24"/>
      <w:szCs w:val="24"/>
    </w:rPr>
  </w:style>
  <w:style w:type="paragraph" w:styleId="1058" w:customStyle="1">
    <w:name w:val="reader-word-layer reader-word-s20-7"/>
    <w:basedOn w:val="867"/>
    <w:uiPriority w:val="0"/>
    <w:qFormat/>
    <w:pPr>
      <w:jc w:val="left"/>
      <w:spacing w:before="100" w:beforeAutospacing="1" w:after="100" w:afterAutospacing="1"/>
      <w:widowControl/>
    </w:pPr>
    <w:rPr>
      <w:rFonts w:ascii="宋体" w:hAnsi="宋体" w:cs="宋体"/>
      <w:sz w:val="24"/>
      <w:szCs w:val="24"/>
    </w:rPr>
  </w:style>
  <w:style w:type="paragraph" w:styleId="1059" w:customStyle="1">
    <w:name w:val="普通 (Web)"/>
    <w:basedOn w:val="867"/>
    <w:uiPriority w:val="99"/>
    <w:qFormat/>
    <w:pPr>
      <w:jc w:val="left"/>
      <w:spacing w:before="100" w:beforeAutospacing="1" w:after="100" w:afterAutospacing="1"/>
      <w:widowControl/>
    </w:pPr>
    <w:rPr>
      <w:rFonts w:ascii="宋体" w:hAnsi="宋体"/>
      <w:sz w:val="24"/>
      <w:szCs w:val="24"/>
    </w:rPr>
  </w:style>
  <w:style w:type="paragraph" w:styleId="1060" w:customStyle="1">
    <w:name w:val="Body Text(ch)"/>
    <w:basedOn w:val="867"/>
    <w:next w:val="880"/>
    <w:uiPriority w:val="99"/>
    <w:qFormat/>
    <w:pPr>
      <w:spacing w:after="120"/>
    </w:pPr>
    <w:rPr>
      <w:rFonts w:ascii="宋体" w:hAnsi="Arial"/>
      <w:bCs/>
      <w:iCs/>
      <w:szCs w:val="24"/>
    </w:rPr>
  </w:style>
  <w:style w:type="paragraph" w:styleId="1061" w:customStyle="1">
    <w:name w:val="p15"/>
    <w:basedOn w:val="867"/>
    <w:uiPriority w:val="0"/>
    <w:qFormat/>
    <w:pPr>
      <w:widowControl/>
    </w:pPr>
    <w:rPr>
      <w:szCs w:val="21"/>
    </w:rPr>
  </w:style>
  <w:style w:type="paragraph" w:styleId="1062" w:customStyle="1">
    <w:name w:val="WPSOffice手动目录 2"/>
    <w:uiPriority w:val="0"/>
    <w:qFormat/>
    <w:rPr>
      <w:rFonts w:ascii="Times New Roman" w:hAnsi="Times New Roman" w:eastAsia="宋体" w:cs="Times New Roman"/>
      <w:lang w:val="en-US" w:eastAsia="zh-CN" w:bidi="ar-SA"/>
    </w:rPr>
  </w:style>
  <w:style w:type="paragraph" w:styleId="1063" w:customStyle="1">
    <w:name w:val="reader-word-layer reader-word-s19-6"/>
    <w:basedOn w:val="867"/>
    <w:uiPriority w:val="0"/>
    <w:qFormat/>
    <w:pPr>
      <w:jc w:val="left"/>
      <w:spacing w:before="100" w:beforeAutospacing="1" w:after="100" w:afterAutospacing="1"/>
      <w:widowControl/>
    </w:pPr>
    <w:rPr>
      <w:rFonts w:ascii="宋体" w:hAnsi="宋体" w:cs="宋体"/>
      <w:sz w:val="24"/>
      <w:szCs w:val="24"/>
    </w:rPr>
  </w:style>
  <w:style w:type="paragraph" w:styleId="1064" w:customStyle="1">
    <w:name w:val="正文 首行缩进:  2 字符 Char"/>
    <w:basedOn w:val="867"/>
    <w:uiPriority w:val="99"/>
    <w:qFormat/>
    <w:pPr>
      <w:ind w:firstLine="480"/>
      <w:spacing w:line="360" w:lineRule="auto"/>
    </w:pPr>
    <w:rPr>
      <w:sz w:val="24"/>
      <w:szCs w:val="20"/>
    </w:rPr>
  </w:style>
  <w:style w:type="paragraph" w:styleId="1065" w:customStyle="1">
    <w:name w:val="正文111"/>
    <w:next w:val="10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文本块1"/>
    <w:basedOn w:val="1067"/>
    <w:next w:val="1068"/>
    <w:uiPriority w:val="0"/>
    <w:qFormat/>
    <w:pPr>
      <w:ind w:left="420" w:right="33"/>
      <w:jc w:val="left"/>
    </w:pPr>
    <w:rPr>
      <w:sz w:val="24"/>
      <w:szCs w:val="20"/>
    </w:rPr>
  </w:style>
  <w:style w:type="paragraph" w:styleId="1067" w:customStyle="1">
    <w:name w:val="正文1111"/>
    <w:next w:val="10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标题 41"/>
    <w:basedOn w:val="867"/>
    <w:next w:val="884"/>
    <w:uiPriority w:val="9"/>
    <w:unhideWhenUsed/>
    <w:qFormat/>
    <w:pPr>
      <w:keepLines/>
      <w:keepNext/>
      <w:spacing w:before="320" w:after="200"/>
      <w:outlineLvl w:val="3"/>
    </w:pPr>
    <w:rPr>
      <w:rFonts w:ascii="Arial" w:hAnsi="Arial" w:eastAsia="Arial" w:cs="Arial"/>
      <w:b/>
      <w:bCs/>
      <w:sz w:val="26"/>
      <w:szCs w:val="26"/>
    </w:rPr>
  </w:style>
  <w:style w:type="paragraph" w:styleId="1069" w:customStyle="1">
    <w:name w:val="目录 111"/>
    <w:basedOn w:val="1065"/>
    <w:next w:val="1065"/>
    <w:uiPriority w:val="0"/>
    <w:qFormat/>
  </w:style>
  <w:style w:type="paragraph" w:styleId="1070" w:customStyle="1">
    <w:name w:val="脚注文本11"/>
    <w:basedOn w:val="1065"/>
    <w:next w:val="1071"/>
    <w:uiPriority w:val="0"/>
    <w:qFormat/>
    <w:pPr>
      <w:jc w:val="left"/>
    </w:pPr>
    <w:rPr>
      <w:rFonts w:ascii="宋体" w:eastAsia="Times New Roman"/>
      <w:sz w:val="18"/>
      <w:szCs w:val="18"/>
    </w:rPr>
  </w:style>
  <w:style w:type="paragraph" w:styleId="1071" w:customStyle="1">
    <w:name w:val="索引 511"/>
    <w:basedOn w:val="1065"/>
    <w:next w:val="1065"/>
    <w:uiPriority w:val="0"/>
    <w:qFormat/>
    <w:pPr>
      <w:ind w:left="798"/>
      <w:jc w:val="left"/>
    </w:pPr>
    <w:rPr>
      <w:rFonts w:ascii="Calibri" w:hAnsi="Calibri"/>
    </w:rPr>
  </w:style>
  <w:style w:type="paragraph" w:styleId="1072" w:customStyle="1">
    <w:name w:val="普通(网站)1"/>
    <w:basedOn w:val="884"/>
    <w:uiPriority w:val="0"/>
    <w:qFormat/>
    <w:pPr>
      <w:jc w:val="left"/>
      <w:spacing w:before="100" w:beforeAutospacing="1" w:after="100" w:afterAutospacing="1"/>
      <w:widowControl/>
    </w:pPr>
    <w:rPr>
      <w:rFonts w:ascii="宋体" w:hAnsi="宋体"/>
      <w:sz w:val="24"/>
    </w:rPr>
  </w:style>
  <w:style w:type="character" w:styleId="1073" w:customStyle="1">
    <w:name w:val="font31"/>
    <w:basedOn w:val="874"/>
    <w:uiPriority w:val="0"/>
    <w:qFormat/>
    <w:rPr>
      <w:rFonts w:hint="eastAsia" w:ascii="宋体" w:hAnsi="宋体" w:eastAsia="宋体" w:cs="宋体"/>
      <w:color w:val="000000"/>
      <w:sz w:val="21"/>
      <w:szCs w:val="21"/>
      <w:u w:val="none"/>
    </w:rPr>
  </w:style>
  <w:style w:type="paragraph" w:styleId="1074" w:customStyle="1">
    <w:name w:val="标题 11"/>
    <w:basedOn w:val="876"/>
    <w:next w:val="876"/>
    <w:uiPriority w:val="0"/>
    <w:qFormat/>
    <w:pPr>
      <w:jc w:val="center"/>
      <w:keepLines/>
      <w:keepNext/>
      <w:spacing w:line="578" w:lineRule="auto"/>
      <w:outlineLvl w:val="0"/>
    </w:pPr>
    <w:rPr>
      <w:rFonts w:eastAsia="新宋体"/>
      <w:b/>
      <w:bCs/>
      <w:sz w:val="30"/>
      <w:szCs w:val="44"/>
    </w:rPr>
  </w:style>
  <w:style w:type="paragraph" w:styleId="1075" w:customStyle="1">
    <w:name w:val="注释标题1"/>
    <w:basedOn w:val="867"/>
    <w:next w:val="867"/>
    <w:uiPriority w:val="1664"/>
    <w:qFormat/>
    <w:rPr>
      <w:rFonts w:ascii="Verdana" w:hAnsi="Verdana" w:cs="Times New Roman"/>
      <w:szCs w:val="20"/>
    </w:rPr>
  </w:style>
  <w:style w:type="paragraph" w:styleId="1076" w:customStyle="1">
    <w:name w:val="正文文本1"/>
    <w:basedOn w:val="876"/>
    <w:uiPriority w:val="0"/>
    <w:qFormat/>
    <w:pPr>
      <w:spacing w:after="120"/>
    </w:pPr>
    <w:rPr>
      <w:rFonts w:ascii="Calibri" w:hAnsi="Calibri"/>
    </w:rPr>
  </w:style>
  <w:style w:type="paragraph" w:styleId="1077" w:customStyle="1">
    <w:name w:val="页眉1"/>
    <w:basedOn w:val="876"/>
    <w:uiPriority w:val="99"/>
    <w:qFormat/>
    <w:pPr>
      <w:jc w:val="center"/>
      <w:tabs>
        <w:tab w:val="center" w:pos="4153" w:leader="none"/>
        <w:tab w:val="right" w:pos="8306" w:leader="none"/>
      </w:tabs>
      <w:pBdr>
        <w:bottom w:val="single" w:color="000000" w:sz="6" w:space="1"/>
      </w:pBdr>
    </w:pPr>
    <w:rPr>
      <w:sz w:val="18"/>
      <w:szCs w:val="18"/>
    </w:rPr>
  </w:style>
  <w:style w:type="paragraph" w:styleId="1078" w:customStyle="1">
    <w:name w:val="页脚1"/>
    <w:basedOn w:val="876"/>
    <w:uiPriority w:val="99"/>
    <w:qFormat/>
    <w:pPr>
      <w:jc w:val="left"/>
      <w:tabs>
        <w:tab w:val="center" w:pos="4153" w:leader="none"/>
        <w:tab w:val="right" w:pos="8306" w:leader="none"/>
      </w:tabs>
    </w:pPr>
    <w:rPr>
      <w:sz w:val="18"/>
      <w:szCs w:val="18"/>
    </w:rPr>
  </w:style>
  <w:style w:type="character" w:styleId="1079" w:customStyle="1">
    <w:name w:val="页码1"/>
    <w:uiPriority w:val="0"/>
    <w:qFormat/>
  </w:style>
  <w:style w:type="paragraph" w:styleId="108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BodyTextIndent"/>
    <w:basedOn w:val="867"/>
    <w:uiPriority w:val="0"/>
    <w:qFormat/>
    <w:pPr>
      <w:ind w:firstLine="358"/>
    </w:pPr>
    <w:rPr>
      <w:sz w:val="28"/>
    </w:rPr>
  </w:style>
  <w:style w:type="paragraph" w:styleId="1082" w:customStyle="1">
    <w:name w:val="纯文本2"/>
    <w:basedOn w:val="867"/>
    <w:uiPriority w:val="0"/>
    <w:qFormat/>
    <w:rPr>
      <w:rFonts w:ascii="宋体" w:hAnsi="Times New Roman"/>
      <w:sz w:val="28"/>
      <w:szCs w:val="20"/>
    </w:rPr>
  </w:style>
  <w:style w:type="character" w:styleId="1083" w:customStyle="1">
    <w:name w:val="超链接1"/>
    <w:uiPriority w:val="99"/>
    <w:qFormat/>
    <w:rPr>
      <w:rFonts w:ascii="宋体" w:hAnsi="宋体"/>
      <w:sz w:val="24"/>
      <w:szCs w:val="24"/>
      <w:lang w:val="en-US" w:eastAsia="zh-CN" w:bidi="ar-SA"/>
    </w:rPr>
  </w:style>
  <w:style w:type="paragraph" w:styleId="1084" w:customStyle="1">
    <w:name w:val="普通(网站)11"/>
    <w:basedOn w:val="867"/>
    <w:uiPriority w:val="0"/>
    <w:qFormat/>
    <w:pPr>
      <w:spacing w:beforeAutospacing="1" w:afterAutospacing="1"/>
    </w:pPr>
  </w:style>
  <w:style w:type="paragraph" w:styleId="1085" w:customStyle="1">
    <w:name w:val="文本块11"/>
    <w:basedOn w:val="867"/>
    <w:uiPriority w:val="6"/>
    <w:qFormat/>
    <w:pPr>
      <w:ind w:left="256" w:right="6" w:firstLine="624"/>
    </w:pPr>
    <w:rPr>
      <w:rFonts w:ascii="Times New Roman" w:hAnsi="Times New Roman" w:eastAsia="仿宋" w:cs="Times New Roman"/>
      <w:sz w:val="28"/>
      <w:szCs w:val="20"/>
    </w:rPr>
  </w:style>
  <w:style w:type="paragraph" w:styleId="1086" w:customStyle="1">
    <w:name w:val="正文文本缩进1"/>
    <w:basedOn w:val="867"/>
    <w:uiPriority w:val="99"/>
    <w:qFormat/>
    <w:pPr>
      <w:ind w:left="420"/>
      <w:spacing w:after="120"/>
    </w:pPr>
    <w:rPr>
      <w:rFonts w:ascii="楷体_GB2312" w:eastAsia="楷体_GB2312"/>
      <w:sz w:val="32"/>
      <w:szCs w:val="32"/>
    </w:rPr>
  </w:style>
  <w:style w:type="paragraph" w:styleId="1087" w:customStyle="1">
    <w:name w:val="BodyTextIndent1"/>
    <w:basedOn w:val="867"/>
    <w:uiPriority w:val="0"/>
    <w:qFormat/>
    <w:pPr>
      <w:ind w:firstLine="358"/>
    </w:pPr>
    <w:rPr>
      <w:sz w:val="28"/>
    </w:rPr>
  </w:style>
  <w:style w:type="paragraph" w:styleId="1088" w:customStyle="1">
    <w:name w:val="正文文本11"/>
    <w:basedOn w:val="867"/>
    <w:uiPriority w:val="99"/>
    <w:qFormat/>
    <w:pPr>
      <w:spacing w:after="120"/>
    </w:p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56a7905e-f3d5-47d6-8b16-b0a8fa55481f</errorID>
      <errorWord>(</errorWord>
      <group>L1_Format</group>
      <groupName>格式问题</groupName>
      <ability>L2_HalfPunc_CN</ability>
      <abilityName>全半角问题</abilityName>
      <candidateList>
        <item>（</item>
      </candidateList>
      <explain>文本全半角错误。</explain>
      <paraID>114D654A</paraID>
      <start>69</start>
      <end>70</end>
      <status>modified</status>
      <modifiedWord>（</modifiedWord>
      <trackRevisions>false</trackRevisions>
    </reviewItem>
    <reviewItem>
      <errorID>a11c699a-4635-470b-8466-11efa3519eed</errorID>
      <errorWord>)</errorWord>
      <group>L1_Format</group>
      <groupName>格式问题</groupName>
      <ability>L2_HalfPunc_CN</ability>
      <abilityName>全半角问题</abilityName>
      <candidateList>
        <item>）</item>
      </candidateList>
      <explain>文本全半角错误。</explain>
      <paraID>114D654A</paraID>
      <start>92</start>
      <end>93</end>
      <status>modified</status>
      <modifiedWord>）</modifiedWord>
      <trackRevisions>false</trackRevisions>
    </reviewItem>
    <reviewItem>
      <errorID>a41b5654-f0a8-4be0-8f23-d01bbc9e44ef</errorID>
      <errorWord>江苏省保监局</errorWord>
      <group>L1_Knowledge</group>
      <groupName>知识性问题</groupName>
      <ability>L2_Organization</ability>
      <abilityName>机构检查</abilityName>
      <candidateList>
        <item>江苏省医保局</item>
      </candidateList>
      <explain>机关单位全简称表述错误</explain>
      <paraID>114D654A</paraID>
      <start>104</start>
      <end>110</end>
      <status>unmodified</status>
      <modifiedWord/>
      <trackRevisions>false</trackRevisions>
    </reviewItem>
    <reviewItem>
      <errorID>a8c9e76c-aebf-4d64-bfb0-49895d866d50</errorID>
      <errorWord>后</errorWord>
      <group>L1_Word</group>
      <groupName>字词问题</groupName>
      <ability>L2_Typo</ability>
      <abilityName>字词错误</abilityName>
      <candidateList>
        <item>后在</item>
      </candidateList>
      <explain/>
      <paraID>404CF656</paraID>
      <start>13</start>
      <end>14</end>
      <status>ignored</status>
      <modifiedWord/>
      <trackRevisions>false</trackRevisions>
    </reviewItem>
    <reviewItem>
      <errorID>ebbb02fb-6d0b-439a-b18c-043d7e7ba361</errorID>
      <errorWord>(</errorWord>
      <group>L1_Format</group>
      <groupName>格式问题</groupName>
      <ability>L2_HalfPunc_CN</ability>
      <abilityName>全半角问题</abilityName>
      <candidateList>
        <item>（</item>
      </candidateList>
      <explain>文本全半角错误。</explain>
      <paraID>77B99068</paraID>
      <start>5</start>
      <end>6</end>
      <status>modified</status>
      <modifiedWord>（</modifiedWord>
      <trackRevisions>false</trackRevisions>
    </reviewItem>
    <reviewItem>
      <errorID>e94da06b-ba79-437c-b947-d2d4bf038594</errorID>
      <errorWord>)</errorWord>
      <group>L1_Format</group>
      <groupName>格式问题</groupName>
      <ability>L2_HalfPunc_CN</ability>
      <abilityName>全半角问题</abilityName>
      <candidateList>
        <item>）</item>
      </candidateList>
      <explain>文本全半角错误。</explain>
      <paraID>77B99068</paraID>
      <start>8</start>
      <end>9</end>
      <status>unmodified</status>
      <modifiedWord/>
      <trackRevisions>false</trackRevisions>
    </reviewItem>
    <reviewItem>
      <errorID>5378b032-bb95-448d-a18d-cb4618871fd7</errorID>
      <errorWord>(</errorWord>
      <group>L1_Format</group>
      <groupName>格式问题</groupName>
      <ability>L2_HalfPunc_CN</ability>
      <abilityName>全半角问题</abilityName>
      <candidateList>
        <item>（</item>
      </candidateList>
      <explain>文本全半角错误。</explain>
      <paraID>77B99068</paraID>
      <start>30</start>
      <end>31</end>
      <status>unmodified</status>
      <modifiedWord/>
      <trackRevisions>false</trackRevisions>
    </reviewItem>
    <reviewItem>
      <errorID>25cec963-b44e-4b0b-bf44-121fbc3f51a4</errorID>
      <errorWord>)</errorWord>
      <group>L1_Format</group>
      <groupName>格式问题</groupName>
      <ability>L2_HalfPunc_CN</ability>
      <abilityName>全半角问题</abilityName>
      <candidateList>
        <item>）</item>
      </candidateList>
      <explain>文本全半角错误。</explain>
      <paraID>77B99068</paraID>
      <start>33</start>
      <end>34</end>
      <status>unmodified</status>
      <modifiedWord/>
      <trackRevisions>false</trackRevisions>
    </reviewItem>
    <reviewItem>
      <errorID>74b21f60-4edb-4b75-b398-e9562f6c7b7d</errorID>
      <errorWord>(</errorWord>
      <group>L1_Format</group>
      <groupName>格式问题</groupName>
      <ability>L2_HalfPunc_CN</ability>
      <abilityName>全半角问题</abilityName>
      <candidateList>
        <item>（</item>
      </candidateList>
      <explain>文本全半角错误。</explain>
      <paraID>77B99068</paraID>
      <start>44</start>
      <end>45</end>
      <status>unmodified</status>
      <modifiedWord/>
      <trackRevisions>false</trackRevisions>
    </reviewItem>
    <reviewItem>
      <errorID>411aff43-4189-49ac-954d-d800b9b5bfbb</errorID>
      <errorWord>)</errorWord>
      <group>L1_Format</group>
      <groupName>格式问题</groupName>
      <ability>L2_HalfPunc_CN</ability>
      <abilityName>全半角问题</abilityName>
      <candidateList>
        <item>）</item>
      </candidateList>
      <explain>文本全半角错误。</explain>
      <paraID>77B99068</paraID>
      <start>47</start>
      <end>48</end>
      <status>unmodified</status>
      <modifiedWord/>
      <trackRevisions>false</trackRevisions>
    </reviewItem>
    <reviewItem>
      <errorID>41dd99ed-839d-4e7a-b90c-a633e4ca623c</errorID>
      <errorWord>&lt;</errorWord>
      <group>L1_Format</group>
      <groupName>格式问题</groupName>
      <ability>L2_HalfPunc_CN</ability>
      <abilityName>全半角问题</abilityName>
      <candidateList>
        <item>〈</item>
      </candidateList>
      <explain>文本全半角错误。</explain>
      <paraID>77B99068</paraID>
      <start>50</start>
      <end>51</end>
      <status>unmodified</status>
      <modifiedWord/>
      <trackRevisions>false</trackRevisions>
    </reviewItem>
    <reviewItem>
      <errorID>77e8a2cf-6dba-47b4-af64-3ed76558dcd9</errorID>
      <errorWord>(</errorWord>
      <group>L1_Format</group>
      <groupName>格式问题</groupName>
      <ability>L2_HalfPunc_CN</ability>
      <abilityName>全半角问题</abilityName>
      <candidateList>
        <item>（</item>
      </candidateList>
      <explain>文本全半角错误。</explain>
      <paraID>77B99068</paraID>
      <start>68</start>
      <end>69</end>
      <status>unmodified</status>
      <modifiedWord/>
      <trackRevisions>false</trackRevisions>
    </reviewItem>
    <reviewItem>
      <errorID>41d4ad01-3bf2-41eb-858f-599451c9e001</errorID>
      <errorWord>)</errorWord>
      <group>L1_Format</group>
      <groupName>格式问题</groupName>
      <ability>L2_HalfPunc_CN</ability>
      <abilityName>全半角问题</abilityName>
      <candidateList>
        <item>）</item>
      </candidateList>
      <explain>文本全半角错误。</explain>
      <paraID>77B99068</paraID>
      <start>71</start>
      <end>72</end>
      <status>unmodified</status>
      <modifiedWord/>
      <trackRevisions>false</trackRevisions>
    </reviewItem>
    <reviewItem>
      <errorID>cb1f61c6-e9eb-4f49-be3a-f7795af0f1c7</errorID>
      <errorWord>&lt;</errorWord>
      <group>L1_Format</group>
      <groupName>格式问题</groupName>
      <ability>L2_HalfPunc_CN</ability>
      <abilityName>全半角问题</abilityName>
      <candidateList>
        <item>〈</item>
      </candidateList>
      <explain>文本全半角错误。</explain>
      <paraID>34F48964</paraID>
      <start>35</start>
      <end>36</end>
      <status>unmodified</status>
      <modifiedWord/>
      <trackRevisions>false</trackRevisions>
    </reviewItem>
    <reviewItem>
      <errorID>78f96a85-166d-4d58-9286-be430732b474</errorID>
      <errorWord>间</errorWord>
      <group>L1_Word</group>
      <groupName>字词问题</groupName>
      <ability>L2_Typo</ability>
      <abilityName>字词错误</abilityName>
      <candidateList>
        <item>间之</item>
      </candidateList>
      <explain/>
      <paraID>21BAE56C</paraID>
      <start>8</start>
      <end>9</end>
      <status>unmodified</status>
      <modifiedWord/>
      <trackRevisions>false</trackRevisions>
    </reviewItem>
    <reviewItem>
      <errorID>79478b92-f2f8-42c1-aee4-62891f70969d</errorID>
      <errorWord>。。</errorWord>
      <group>L1_Punc</group>
      <groupName>标点问题</groupName>
      <ability>L2_Punc_CN</ability>
      <abilityName>标点符号问题</abilityName>
      <candidateList>
        <item>。</item>
      </candidateList>
      <explain/>
      <paraID>20DD6423</paraID>
      <start>74</start>
      <end>75</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1A207A1-13B8-41D1-885B-E0B3FF83858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纷繁多彩.wpt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华怡</cp:lastModifiedBy>
  <cp:revision>7</cp:revision>
  <dcterms:created xsi:type="dcterms:W3CDTF">2018-02-25T07:07:00Z</dcterms:created>
  <dcterms:modified xsi:type="dcterms:W3CDTF">2026-08-18T09:04:09Z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E4CCCE588DA646209F23C206AE8B1BC6_13</vt:lpwstr>
  </property>
  <property fmtid="{D5CDD505-2E9C-101B-9397-08002B2CF9AE}" pid="4" name="KSOTemplateDocerSaveRecord">
    <vt:lpwstr>eyJoZGlkIjoiYWFiYzlhYTUzZDZhZGFjYWY0YTFlZTM4ODU3ODM0NGEiLCJ1c2VySWQiOiIxMzIwMTU3MjIxIn0=</vt:lpwstr>
  </property>
</Properties>
</file>