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苏州市政府采购</w:t>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t xml:space="preserve"> </w:t>
      </w:r>
      <w:r/>
    </w:p>
    <w:p>
      <w:pPr>
        <w:pStyle w:val="928"/>
        <w:ind w:firstLine="0"/>
        <w:jc w:val="center"/>
        <w:spacing w:line="360" w:lineRule="auto"/>
        <w:rPr>
          <w:rFonts w:ascii="宋体" w:hAnsi="宋体" w:cs="宋体"/>
        </w:rPr>
      </w:pPr>
      <w:r>
        <w:rPr>
          <w:rFonts w:ascii="宋体" w:hAnsi="宋体" w:cs="宋体"/>
        </w:rPr>
      </w:r>
      <w:r/>
    </w:p>
    <w:p>
      <w:pPr>
        <w:ind w:firstLine="2249"/>
        <w:spacing w:line="360" w:lineRule="auto"/>
        <w:rPr>
          <w:rFonts w:hint="eastAsia" w:ascii="宋体" w:hAnsi="宋体" w:eastAsia="宋体" w:cs="宋体"/>
          <w:b/>
          <w:bCs/>
          <w:sz w:val="32"/>
          <w:szCs w:val="20"/>
          <w:shd w:val="clear" w:color="auto" w:fill="ffffff"/>
          <w:lang w:eastAsia="zh-CN"/>
        </w:rPr>
      </w:pPr>
      <w:r>
        <w:rPr>
          <w:rFonts w:hint="eastAsia" w:ascii="宋体" w:hAnsi="宋体" w:eastAsia="宋体" w:cs="宋体"/>
          <w:b/>
          <w:bCs/>
          <w:sz w:val="32"/>
          <w:szCs w:val="20"/>
          <w:shd w:val="clear" w:color="auto" w:fill="ffffff"/>
        </w:rPr>
        <w:t xml:space="preserve">采购编号：</w:t>
      </w:r>
      <w:r>
        <w:rPr>
          <w:rFonts w:hint="eastAsia" w:ascii="宋体" w:hAnsi="宋体" w:eastAsia="宋体" w:cs="宋体"/>
          <w:b/>
          <w:bCs/>
          <w:sz w:val="32"/>
          <w:szCs w:val="20"/>
          <w:shd w:val="clear" w:color="auto" w:fill="ffffff"/>
          <w:lang w:eastAsia="zh-CN"/>
        </w:rPr>
        <w:t xml:space="preserve">JSZC-320500-SZCH-G2026-0039</w:t>
      </w:r>
      <w:r/>
    </w:p>
    <w:p>
      <w:pPr>
        <w:ind w:firstLine="2249"/>
        <w:spacing w:line="360" w:lineRule="auto"/>
        <w:tabs>
          <w:tab w:val="left" w:pos="8820" w:leader="none"/>
        </w:tabs>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人：苏州大学</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采购内容：高效液相色谱</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pStyle w:val="764"/>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64"/>
        <w:ind w:left="0" w:firstLine="0"/>
        <w:jc w:val="center"/>
        <w:rPr>
          <w:rFonts w:ascii="宋体" w:hAnsi="宋体" w:eastAsia="宋体" w:cs="宋体"/>
        </w:rPr>
      </w:pPr>
      <w:r>
        <w:rPr>
          <w:rFonts w:ascii="宋体" w:hAnsi="宋体" w:eastAsia="宋体" w:cs="宋体"/>
        </w:rPr>
      </w:r>
      <w:r/>
    </w:p>
    <w:p>
      <w:pPr>
        <w:pStyle w:val="764"/>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二○二六年八月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r>
        <w:rPr>
          <w:rFonts w:hint="eastAsia" w:ascii="宋体" w:hAnsi="宋体" w:eastAsia="宋体" w:cs="宋体"/>
          <w:b/>
          <w:sz w:val="32"/>
          <w:szCs w:val="32"/>
          <w:shd w:val="clear" w:color="auto" w:fill="ffffff"/>
        </w:rPr>
        <w:t xml:space="preserve">前附表</w:t>
      </w:r>
      <w:r/>
    </w:p>
    <w:tbl>
      <w:tblPr>
        <w:tblStyle w:val="722"/>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14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采购内容：高效液相色谱</w:t>
            </w:r>
            <w:r/>
          </w:p>
        </w:tc>
      </w:tr>
      <w:tr>
        <w:trPr>
          <w:jc w:val="center"/>
          <w:trHeight w:val="3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投标有效期：自投标截止日起</w:t>
            </w:r>
            <w:r>
              <w:rPr>
                <w:rFonts w:hint="eastAsia" w:ascii="宋体" w:hAnsi="宋体" w:eastAsia="宋体" w:cs="宋体"/>
                <w:b/>
                <w:bCs/>
                <w:szCs w:val="21"/>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投标保证金：</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不需提交，招标文件中有关投标保证金的规定均不适用。</w:t>
            </w:r>
            <w:r/>
          </w:p>
          <w:p>
            <w:pPr>
              <w:pStyle w:val="732"/>
              <w:ind w:left="0"/>
              <w:spacing w:line="240" w:lineRule="auto"/>
              <w:rPr>
                <w:rFonts w:ascii="宋体" w:hAnsi="宋体" w:eastAsia="宋体" w:cs="宋体"/>
              </w:rPr>
            </w:pPr>
            <w:r>
              <w:rPr>
                <w:rFonts w:ascii="Wingdings" w:hAnsi="Wingdings" w:eastAsia="Wingdings" w:cs="Wingdings"/>
                <w:bCs/>
                <w:szCs w:val="24"/>
              </w:rPr>
              <w:t xml:space="preserve"></w:t>
            </w:r>
            <w:r>
              <w:rPr>
                <w:rFonts w:hint="eastAsia" w:ascii="宋体" w:hAnsi="宋体" w:eastAsia="宋体" w:cs="宋体"/>
                <w:sz w:val="21"/>
                <w:szCs w:val="21"/>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144" w:type="dxa"/>
            <w:vAlign w:val="center"/>
            <w:textDirection w:val="lrTb"/>
            <w:noWrap w:val="false"/>
          </w:tcPr>
          <w:p>
            <w:pPr>
              <w:rPr>
                <w:rFonts w:ascii="宋体" w:hAnsi="宋体" w:eastAsia="宋体" w:cs="宋体"/>
              </w:rPr>
            </w:pPr>
            <w:r>
              <w:rPr>
                <w:rFonts w:hint="eastAsia" w:ascii="宋体" w:hAnsi="宋体" w:eastAsia="宋体" w:cs="宋体"/>
                <w:szCs w:val="21"/>
                <w:shd w:val="clear" w:color="auto" w:fill="ffffff"/>
              </w:rPr>
              <w:t xml:space="preserve">投标文件：</w:t>
            </w:r>
            <w:r>
              <w:rPr>
                <w:rFonts w:hint="eastAsia" w:ascii="宋体" w:hAnsi="宋体" w:eastAsia="宋体" w:cs="宋体"/>
                <w:b/>
                <w:bCs/>
                <w:szCs w:val="21"/>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144" w:type="dxa"/>
            <w:vAlign w:val="center"/>
            <w:textDirection w:val="lrTb"/>
            <w:noWrap w:val="false"/>
          </w:tcPr>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开标信息</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投标截止时间：</w:t>
            </w:r>
            <w:r>
              <w:rPr>
                <w:rFonts w:hint="eastAsia" w:ascii="宋体" w:hAnsi="宋体" w:eastAsia="宋体" w:cs="宋体"/>
                <w:szCs w:val="21"/>
                <w:shd w:val="clear" w:color="auto" w:fill="ffffff"/>
                <w:lang w:eastAsia="zh-CN"/>
              </w:rPr>
              <w:t xml:space="preserve">2026年9月11日</w:t>
            </w:r>
            <w:r>
              <w:rPr>
                <w:rFonts w:hint="eastAsia" w:ascii="宋体" w:hAnsi="宋体" w:eastAsia="宋体" w:cs="宋体"/>
                <w:szCs w:val="21"/>
                <w:shd w:val="clear" w:color="auto" w:fill="ffffff"/>
                <w:lang w:val="en-US" w:eastAsia="zh-CN"/>
              </w:rPr>
              <w:t xml:space="preserve">9</w:t>
            </w:r>
            <w:r>
              <w:rPr>
                <w:rFonts w:hint="eastAsia" w:ascii="宋体" w:hAnsi="宋体" w:eastAsia="宋体" w:cs="宋体"/>
                <w:szCs w:val="21"/>
                <w:shd w:val="clear" w:color="auto" w:fill="ffffff"/>
              </w:rPr>
              <w:t xml:space="preserve">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开标时间：</w:t>
            </w:r>
            <w:r>
              <w:rPr>
                <w:rFonts w:hint="eastAsia" w:ascii="宋体" w:hAnsi="宋体" w:eastAsia="宋体" w:cs="宋体"/>
                <w:szCs w:val="21"/>
                <w:shd w:val="clear" w:color="auto" w:fill="ffffff"/>
                <w:lang w:eastAsia="zh-CN"/>
              </w:rPr>
              <w:t xml:space="preserve">2026年9月11日</w:t>
            </w:r>
            <w:r>
              <w:rPr>
                <w:rFonts w:hint="eastAsia" w:ascii="宋体" w:hAnsi="宋体" w:eastAsia="宋体" w:cs="宋体"/>
                <w:szCs w:val="21"/>
                <w:shd w:val="clear" w:color="auto" w:fill="ffffff"/>
                <w:lang w:val="en-US" w:eastAsia="zh-CN"/>
              </w:rPr>
              <w:t xml:space="preserve">9</w:t>
            </w:r>
            <w:r>
              <w:rPr>
                <w:rFonts w:hint="eastAsia" w:ascii="宋体" w:hAnsi="宋体" w:eastAsia="宋体" w:cs="宋体"/>
                <w:szCs w:val="21"/>
                <w:shd w:val="clear" w:color="auto" w:fill="ffffff"/>
              </w:rPr>
              <w:t xml:space="preserve">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开标地点：“苏采云”系统（网址：http://jszfcg.jsczt.cn/）</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w:t>
            </w:r>
            <w:r/>
          </w:p>
          <w:p>
            <w:pPr>
              <w:jc w:val="left"/>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不需提交，招标文件中有关履约保证金的规定均不适用。</w:t>
            </w:r>
            <w:r/>
          </w:p>
          <w:p>
            <w:pPr>
              <w:ind w:right="-159"/>
              <w:jc w:val="left"/>
              <w:widowControl/>
              <w:rPr>
                <w:rFonts w:ascii="宋体" w:hAnsi="宋体" w:eastAsia="宋体" w:cs="宋体"/>
                <w:szCs w:val="21"/>
                <w:shd w:val="clear" w:color="auto" w:fill="ffffff"/>
              </w:rPr>
            </w:pPr>
            <w:r>
              <w:rPr>
                <w:rFonts w:ascii="Wingdings" w:hAnsi="Wingdings" w:eastAsia="Wingdings" w:cs="Wingdings"/>
                <w:bCs/>
                <w:sz w:val="24"/>
                <w:szCs w:val="24"/>
              </w:rPr>
              <w:t xml:space="preserve">þ</w:t>
            </w:r>
            <w:r>
              <w:rPr>
                <w:rFonts w:hint="eastAsia" w:ascii="宋体" w:hAnsi="宋体" w:eastAsia="宋体" w:cs="宋体"/>
                <w:szCs w:val="21"/>
                <w:shd w:val="clear" w:color="auto" w:fill="ffffff"/>
              </w:rPr>
              <w:t xml:space="preserve">需提交，中标合同金额的10%。</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szCs w:val="21"/>
              </w:rPr>
            </w:pPr>
            <w:r>
              <w:rPr>
                <w:rFonts w:hint="eastAsia" w:ascii="宋体" w:hAnsi="宋体" w:eastAsia="宋体" w:cs="宋体"/>
                <w:szCs w:val="21"/>
              </w:rPr>
              <w:t xml:space="preserve">7</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rPr>
              <w:t xml:space="preserve">代理服务费:</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rPr>
              <w:t xml:space="preserve">由采购人承担并直接支付</w:t>
            </w:r>
            <w:r>
              <w:rPr>
                <w:rFonts w:hint="eastAsia" w:ascii="宋体" w:hAnsi="宋体" w:eastAsia="宋体" w:cs="宋体"/>
                <w:szCs w:val="21"/>
                <w:shd w:val="clear" w:color="auto" w:fill="ffffff"/>
              </w:rPr>
              <w:t xml:space="preserve">，采购文件中有关代理服务费的规定均不适用。</w:t>
            </w:r>
            <w:r/>
          </w:p>
          <w:p>
            <w:pPr>
              <w:ind w:right="18"/>
              <w:jc w:val="left"/>
              <w:tabs>
                <w:tab w:val="left" w:pos="720" w:leader="none"/>
              </w:tabs>
              <w:rPr>
                <w:rFonts w:ascii="宋体" w:hAnsi="宋体" w:eastAsia="宋体" w:cs="宋体"/>
                <w:szCs w:val="21"/>
              </w:rPr>
            </w:pPr>
            <w:r>
              <w:rPr>
                <w:rFonts w:ascii="Wingdings" w:hAnsi="Wingdings" w:eastAsia="Wingdings" w:cs="Wingdings"/>
                <w:bCs/>
                <w:sz w:val="24"/>
                <w:szCs w:val="24"/>
              </w:rPr>
              <w:t xml:space="preserve"></w:t>
            </w:r>
            <w:r>
              <w:rPr>
                <w:rFonts w:hint="eastAsia" w:ascii="宋体" w:hAnsi="宋体" w:eastAsia="宋体" w:cs="宋体"/>
                <w:szCs w:val="21"/>
              </w:rPr>
              <w:t xml:space="preserve">由中标（成交）供应商承担并支付：</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收费标准：代理服务费收费按以下标准的</w:t>
            </w:r>
            <w:r>
              <w:rPr>
                <w:rFonts w:hint="eastAsia" w:ascii="宋体" w:hAnsi="宋体" w:eastAsia="宋体" w:cs="宋体"/>
                <w:szCs w:val="21"/>
                <w:u w:val="single"/>
              </w:rPr>
              <w:t xml:space="preserve"> 28 %</w:t>
            </w:r>
            <w:r>
              <w:rPr>
                <w:rFonts w:hint="eastAsia" w:ascii="宋体" w:hAnsi="宋体" w:eastAsia="宋体" w:cs="宋体"/>
                <w:szCs w:val="21"/>
              </w:rPr>
              <w:t xml:space="preserve">收取：</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预算金额500万元（含）-1000万元部分，费率为该部分预算金额的0.8%；</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预算金额1000万元（含）-5000万元部分，费率为该部分预算金额的0.5%；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预算金额5000万元以上部分，费率为该部分预算金额的0.25%。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本项目代理服务费：</w:t>
            </w:r>
            <w:r>
              <w:rPr>
                <w:rFonts w:hint="eastAsia" w:ascii="宋体" w:hAnsi="宋体" w:eastAsia="宋体" w:cs="宋体"/>
                <w:sz w:val="24"/>
                <w:szCs w:val="20"/>
              </w:rPr>
              <w:t xml:space="preserve">¥</w:t>
            </w:r>
            <w:r>
              <w:rPr>
                <w:rFonts w:hint="eastAsia" w:ascii="宋体" w:hAnsi="宋体" w:eastAsia="宋体" w:cs="宋体"/>
                <w:szCs w:val="21"/>
              </w:rPr>
              <w:t xml:space="preserve">5,425.00</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付款方式：银行转账、现金解款</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服务费收款账号：8314122601346</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账户名：苏州诚和招投标咨询有限公司</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政府采购监督电话：025-83633058</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 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第二章 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7</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第三章 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第四章 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41</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第五章 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48</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第六章 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55</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第七章 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58</w:t>
      </w:r>
      <w:r>
        <w:rPr>
          <w:rFonts w:hint="eastAsia" w:ascii="宋体" w:hAnsi="宋体" w:eastAsia="宋体" w:cs="宋体"/>
          <w:sz w:val="24"/>
          <w:szCs w:val="20"/>
        </w:rPr>
        <w:fldChar w:fldCharType="end"/>
      </w:r>
      <w:r/>
    </w:p>
    <w:p>
      <w:pPr>
        <w:spacing w:line="360" w:lineRule="auto"/>
        <w:rPr>
          <w:rFonts w:ascii="宋体" w:hAnsi="宋体" w:eastAsia="宋体" w:cs="宋体"/>
          <w:b/>
          <w:sz w:val="32"/>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End w:id="0"/>
      <w:r/>
      <w:r/>
    </w:p>
    <w:p>
      <w:pPr>
        <w:ind w:firstLine="482"/>
        <w:spacing w:line="360" w:lineRule="auto"/>
        <w:rPr>
          <w:rFonts w:ascii="宋体" w:hAnsi="宋体" w:eastAsia="宋体" w:cs="宋体"/>
          <w:b/>
          <w:sz w:val="24"/>
        </w:rPr>
      </w:pPr>
      <w:r>
        <w:rPr>
          <w:rFonts w:ascii="宋体" w:hAnsi="宋体" w:eastAsia="宋体" w:cs="宋体"/>
          <w:b/>
          <w:sz w:val="24"/>
        </w:rPr>
      </w:r>
      <w:r/>
    </w:p>
    <w:tbl>
      <w:tblPr>
        <w:tblStyle w:val="722"/>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szCs w:val="21"/>
              </w:rPr>
            </w:pPr>
            <w:r>
              <w:rPr>
                <w:rFonts w:hint="eastAsia" w:ascii="宋体" w:hAnsi="宋体" w:eastAsia="宋体" w:cs="宋体"/>
                <w:sz w:val="24"/>
              </w:rPr>
              <w:t xml:space="preserve">高效液相色谱</w:t>
            </w:r>
            <w:r>
              <w:rPr>
                <w:rFonts w:hint="eastAsia" w:ascii="宋体" w:hAnsi="宋体" w:eastAsia="宋体" w:cs="宋体"/>
                <w:sz w:val="24"/>
                <w:lang w:eastAsia="zh-CN"/>
              </w:rPr>
              <w:t xml:space="preserve">JSZC-320500-SZCH-G2026-0039</w:t>
            </w:r>
            <w:r>
              <w:rPr>
                <w:rFonts w:hint="eastAsia" w:ascii="宋体" w:hAnsi="宋体" w:eastAsia="宋体" w:cs="宋体"/>
                <w:sz w:val="24"/>
              </w:rPr>
              <w:t xml:space="preserve">的潜在投标人应在江苏省政府采购一体化平台“苏采云”系统自行免费下载招标（采购）文件，并于</w:t>
            </w:r>
            <w:r>
              <w:rPr>
                <w:rFonts w:hint="eastAsia" w:ascii="宋体" w:hAnsi="宋体" w:eastAsia="宋体" w:cs="宋体"/>
                <w:sz w:val="24"/>
                <w:lang w:eastAsia="zh-CN"/>
              </w:rPr>
              <w:t xml:space="preserve">2026年9月11日</w:t>
            </w:r>
            <w:r>
              <w:rPr>
                <w:rFonts w:hint="eastAsia" w:ascii="宋体" w:hAnsi="宋体" w:eastAsia="宋体" w:cs="宋体"/>
                <w:sz w:val="24"/>
                <w:lang w:val="en-US" w:eastAsia="zh-CN"/>
              </w:rPr>
              <w:t xml:space="preserve">9</w:t>
            </w:r>
            <w:r>
              <w:rPr>
                <w:rFonts w:hint="eastAsia" w:ascii="宋体" w:hAnsi="宋体" w:eastAsia="宋体" w:cs="宋体"/>
                <w:sz w:val="24"/>
              </w:rPr>
              <w:t xml:space="preserve">点30分（北京时间）前递交投标文件。</w:t>
            </w:r>
            <w:r/>
          </w:p>
        </w:tc>
      </w:tr>
    </w:tbl>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JSZC-320500-SZCH-G2026-0039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项目名称：高效液相色谱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ascii="宋体" w:hAnsi="宋体" w:eastAsia="宋体" w:cs="宋体"/>
          <w:sz w:val="24"/>
          <w:szCs w:val="24"/>
        </w:rPr>
      </w:pPr>
      <w:r/>
      <w:bookmarkStart w:id="1" w:name="_Hlk193370935"/>
      <w:r>
        <w:rPr>
          <w:rFonts w:hint="eastAsia" w:ascii="宋体" w:hAnsi="宋体" w:eastAsia="宋体" w:cs="宋体"/>
          <w:sz w:val="24"/>
          <w:szCs w:val="24"/>
        </w:rPr>
        <w:t xml:space="preserve">预算金额：</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人民币（大写）：壹佰叁拾玖万捌仟元整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人民币（小写）：¥1,398,000.00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w:t>
      </w:r>
      <w:bookmarkEnd w:id="1"/>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人民币（大写）：壹佰叁拾玖万捌仟元整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人民币（小写）：¥1,398,000.00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采购需求：高效液相色谱3套。本项目不接受进口产品投标。具体采购需求详见招标文件。</w:t>
      </w:r>
      <w:r/>
    </w:p>
    <w:p>
      <w:pPr>
        <w:ind w:firstLine="480"/>
        <w:spacing w:line="360" w:lineRule="auto"/>
        <w:tabs>
          <w:tab w:val="left" w:pos="9030" w:leader="none"/>
        </w:tabs>
        <w:rPr>
          <w:rFonts w:ascii="宋体" w:hAnsi="宋体" w:eastAsia="宋体" w:cs="宋体"/>
          <w:sz w:val="24"/>
          <w:szCs w:val="24"/>
        </w:rPr>
      </w:pPr>
      <w:r>
        <w:rPr>
          <w:rFonts w:hint="eastAsia" w:ascii="宋体" w:hAnsi="宋体" w:eastAsia="宋体" w:cs="宋体"/>
          <w:sz w:val="24"/>
          <w:szCs w:val="24"/>
        </w:rPr>
        <w:t xml:space="preserve">合同履行期限：合同签订后</w:t>
      </w:r>
      <w:r>
        <w:rPr>
          <w:rFonts w:ascii="宋体" w:hAnsi="宋体" w:eastAsia="宋体" w:cs="宋体"/>
          <w:sz w:val="24"/>
          <w:szCs w:val="24"/>
        </w:rPr>
        <w:t xml:space="preserve">60</w:t>
      </w:r>
      <w:r>
        <w:rPr>
          <w:rFonts w:hint="eastAsia" w:ascii="宋体" w:hAnsi="宋体" w:eastAsia="宋体" w:cs="宋体"/>
          <w:sz w:val="24"/>
          <w:szCs w:val="24"/>
        </w:rPr>
        <w:t xml:space="preserve">天内将货物运送至甲方指定仓库并进行</w:t>
      </w:r>
      <w:r>
        <w:rPr>
          <w:rFonts w:hint="eastAsia" w:ascii="宋体" w:hAnsi="宋体" w:eastAsia="宋体" w:cs="宋体"/>
          <w:bCs/>
          <w:sz w:val="24"/>
          <w:szCs w:val="24"/>
        </w:rPr>
        <w:t xml:space="preserve">预验收。预验收合格后，乙方应在接到甲方通知后5天内，约定</w:t>
      </w:r>
      <w:r>
        <w:rPr>
          <w:rFonts w:hint="eastAsia" w:ascii="宋体" w:hAnsi="宋体" w:eastAsia="宋体" w:cs="宋体"/>
          <w:sz w:val="24"/>
          <w:szCs w:val="24"/>
        </w:rPr>
        <w:t xml:space="preserve">二次运输日期（最晚不晚于合同签订后一年），二次运输后的5个工作日内甲方与乙方确认安装调试日期。</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本项目（是/否）接受联合体：否。</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pStyle w:val="725"/>
        <w:ind w:firstLine="480"/>
        <w:spacing w:line="360" w:lineRule="auto"/>
        <w:rPr>
          <w:rFonts w:ascii="宋体" w:hAnsi="宋体" w:eastAsia="宋体" w:cs="宋体"/>
          <w:szCs w:val="24"/>
        </w:rPr>
      </w:pPr>
      <w:r/>
      <w:bookmarkStart w:id="2" w:name="_Hlk193371023"/>
      <w:r>
        <w:rPr>
          <w:rFonts w:hint="eastAsia" w:ascii="宋体" w:hAnsi="宋体" w:eastAsia="宋体" w:cs="宋体"/>
          <w:szCs w:val="24"/>
        </w:rPr>
        <w:t xml:space="preserve">1.具有独立承担民事责任的能力；</w:t>
      </w:r>
      <w:r/>
    </w:p>
    <w:p>
      <w:pPr>
        <w:pStyle w:val="725"/>
        <w:ind w:firstLine="480"/>
        <w:spacing w:line="360" w:lineRule="auto"/>
        <w:rPr>
          <w:rFonts w:ascii="宋体" w:hAnsi="宋体" w:eastAsia="宋体" w:cs="宋体"/>
          <w:szCs w:val="24"/>
        </w:rPr>
      </w:pPr>
      <w:r>
        <w:rPr>
          <w:rFonts w:hint="eastAsia" w:ascii="宋体" w:hAnsi="宋体" w:eastAsia="宋体" w:cs="宋体"/>
          <w:szCs w:val="24"/>
        </w:rPr>
        <w:t xml:space="preserve">2.具有良好的商业信誉和健全的财务会计制度；</w:t>
      </w:r>
      <w:r/>
    </w:p>
    <w:p>
      <w:pPr>
        <w:pStyle w:val="725"/>
        <w:ind w:firstLine="480"/>
        <w:spacing w:line="360" w:lineRule="auto"/>
        <w:rPr>
          <w:rFonts w:ascii="宋体" w:hAnsi="宋体" w:eastAsia="宋体" w:cs="宋体"/>
          <w:szCs w:val="24"/>
        </w:rPr>
      </w:pPr>
      <w:r>
        <w:rPr>
          <w:rFonts w:hint="eastAsia" w:ascii="宋体" w:hAnsi="宋体" w:eastAsia="宋体" w:cs="宋体"/>
          <w:szCs w:val="24"/>
        </w:rPr>
        <w:t xml:space="preserve">3.具有履行合同所必需的设备和专业技术能力；</w:t>
      </w:r>
      <w:r/>
    </w:p>
    <w:p>
      <w:pPr>
        <w:pStyle w:val="725"/>
        <w:ind w:firstLine="480"/>
        <w:spacing w:line="360" w:lineRule="auto"/>
        <w:rPr>
          <w:rFonts w:ascii="宋体" w:hAnsi="宋体" w:eastAsia="宋体" w:cs="宋体"/>
          <w:szCs w:val="24"/>
        </w:rPr>
      </w:pPr>
      <w:r>
        <w:rPr>
          <w:rFonts w:hint="eastAsia" w:ascii="宋体" w:hAnsi="宋体" w:eastAsia="宋体" w:cs="宋体"/>
          <w:szCs w:val="24"/>
        </w:rPr>
        <w:t xml:space="preserve">4.有依法缴纳税收和社会保障资金的良好记录；</w:t>
      </w:r>
      <w:r/>
    </w:p>
    <w:p>
      <w:pPr>
        <w:pStyle w:val="725"/>
        <w:ind w:firstLine="480"/>
        <w:spacing w:line="360" w:lineRule="auto"/>
        <w:rPr>
          <w:rFonts w:ascii="宋体" w:hAnsi="宋体" w:eastAsia="宋体" w:cs="宋体"/>
          <w:szCs w:val="24"/>
        </w:rPr>
      </w:pPr>
      <w:r>
        <w:rPr>
          <w:rFonts w:hint="eastAsia" w:ascii="宋体" w:hAnsi="宋体" w:eastAsia="宋体" w:cs="宋体"/>
          <w:szCs w:val="24"/>
        </w:rPr>
        <w:t xml:space="preserve">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bookmarkEnd w:id="2"/>
      <w:r/>
      <w:r/>
    </w:p>
    <w:p>
      <w:pPr>
        <w:pStyle w:val="760"/>
        <w:ind w:firstLine="480"/>
        <w:spacing w:before="0" w:beforeAutospacing="0" w:after="0" w:afterAutospacing="0" w:line="360" w:lineRule="auto"/>
        <w:widowControl/>
        <w:rPr>
          <w:rFonts w:ascii="宋体" w:hAnsi="宋体" w:eastAsia="宋体" w:cs="宋体"/>
          <w:szCs w:val="24"/>
        </w:rPr>
      </w:pPr>
      <w:r>
        <w:rPr>
          <w:rFonts w:hint="eastAsia" w:ascii="宋体" w:hAnsi="宋体" w:eastAsia="宋体" w:cs="宋体"/>
          <w:szCs w:val="24"/>
        </w:rPr>
        <w:t xml:space="preserve">（二）落实政府采购政策需满足的资格要求：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1、未被“信用中国”网站（</w:t>
      </w:r>
      <w:r>
        <w:fldChar w:fldCharType="begin"/>
      </w:r>
      <w:r>
        <w:instrText xml:space="preserve"> HYPERLINK "https://www.creditchina.gov.cn"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）列入失信被执行人、重大税收违法案件当事人名单、政府采购严重失信行为记录名单。</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0"/>
        <w:spacing w:line="360" w:lineRule="auto"/>
        <w:rPr>
          <w:rFonts w:ascii="宋体" w:hAnsi="宋体" w:eastAsia="宋体" w:cs="宋体"/>
          <w:sz w:val="24"/>
          <w:szCs w:val="24"/>
        </w:rPr>
      </w:pPr>
      <w:r/>
      <w:bookmarkStart w:id="3" w:name="_Hlk97035982"/>
      <w:r>
        <w:rPr>
          <w:rFonts w:hint="eastAsia" w:ascii="宋体" w:hAnsi="宋体" w:eastAsia="宋体" w:cs="宋体"/>
          <w:sz w:val="24"/>
          <w:szCs w:val="24"/>
        </w:rPr>
        <w:t xml:space="preserve">1、时间：自招标公告发布之日起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sz w:val="24"/>
          <w:szCs w:val="24"/>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4、售价：0.00元</w:t>
      </w:r>
      <w:bookmarkEnd w:id="3"/>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2026年9月11日</w:t>
      </w:r>
      <w:r>
        <w:rPr>
          <w:rFonts w:hint="eastAsia" w:ascii="宋体" w:hAnsi="宋体" w:eastAsia="宋体" w:cs="宋体"/>
          <w:sz w:val="24"/>
          <w:szCs w:val="24"/>
          <w:lang w:val="en-US" w:eastAsia="zh-CN"/>
        </w:rPr>
        <w:t xml:space="preserve">9</w:t>
      </w:r>
      <w:bookmarkStart w:id="85" w:name="_GoBack"/>
      <w:r/>
      <w:bookmarkEnd w:id="85"/>
      <w:r>
        <w:rPr>
          <w:rFonts w:hint="eastAsia" w:ascii="宋体" w:hAnsi="宋体" w:eastAsia="宋体" w:cs="宋体"/>
          <w:sz w:val="24"/>
          <w:szCs w:val="24"/>
        </w:rPr>
        <w:t xml:space="preserve">点30分（北京时间）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w:t>
      </w:r>
      <w:r>
        <w:fldChar w:fldCharType="begin"/>
      </w:r>
      <w:r>
        <w:instrText xml:space="preserve"> HYPERLINK "http://jszfcg.jsczt.cn/）" </w:instrText>
      </w:r>
      <w:r>
        <w:fldChar w:fldCharType="separate"/>
      </w:r>
      <w:r>
        <w:rPr>
          <w:rStyle w:val="769"/>
          <w:rFonts w:hint="eastAsia" w:ascii="宋体" w:hAnsi="宋体" w:eastAsia="宋体" w:cs="宋体"/>
          <w:color w:val="auto"/>
          <w:sz w:val="24"/>
          <w:szCs w:val="24"/>
        </w:rPr>
        <w:t xml:space="preserve">http://jszfcg.jsczt.cn/）</w:t>
      </w:r>
      <w:r>
        <w:rPr>
          <w:rStyle w:val="769"/>
          <w:rFonts w:hint="eastAsia" w:ascii="宋体" w:hAnsi="宋体" w:eastAsia="宋体" w:cs="宋体"/>
          <w:color w:val="auto"/>
          <w:sz w:val="24"/>
          <w:szCs w:val="24"/>
        </w:rPr>
        <w:fldChar w:fldCharType="end"/>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五、公告期限：自本公告发布之日起5个工作日。</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szCs w:val="24"/>
        </w:rPr>
      </w:pPr>
      <w:r/>
      <w:bookmarkStart w:id="5" w:name="_Hlk193371515"/>
      <w:r>
        <w:rPr>
          <w:rFonts w:hint="eastAsia" w:ascii="宋体" w:hAnsi="宋体" w:eastAsia="宋体" w:cs="宋体"/>
          <w:sz w:val="24"/>
          <w:szCs w:val="24"/>
        </w:rPr>
        <w:t xml:space="preserve">4、CA证书办理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bookmarkStart w:id="6" w:name="_Hlk193371550"/>
      <w:r>
        <w:rPr>
          <w:rFonts w:hint="eastAsia" w:ascii="宋体" w:hAnsi="宋体" w:eastAsia="宋体" w:cs="宋体"/>
          <w:sz w:val="24"/>
          <w:szCs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7、如不同投标（响应）文件制作机器码一致，则投标（响应）无效。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8、制作电子投标（响应）文件：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Pr>
      <w:r/>
      <w:bookmarkStart w:id="7" w:name="_Hlk193371673"/>
      <w:r>
        <w:rPr>
          <w:rFonts w:hint="eastAsia" w:ascii="宋体" w:hAnsi="宋体" w:eastAsia="宋体" w:cs="宋体"/>
          <w:sz w:val="24"/>
          <w:szCs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CA技术咨询服务电话：400-608-6099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电子签章技术咨询服务电话：15380932027、15371015030、13675197356、13675197221</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13、本项目支持政府采购合同信用融资。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14、政府采购监督电话：025-83633058。</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单位名称：苏州大学</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单位地址：苏州市东环路50号</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联系人：秦老师</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联系电话：0512-67504198</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单位地址：苏州市竹辉路477号咨询大厦二楼</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联系电话：0512-65161672、0512-65161797</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电话：0512-65161672、0512-65161797</w:t>
      </w:r>
      <w:r/>
    </w:p>
    <w:p>
      <w:pPr>
        <w:rPr>
          <w:rFonts w:ascii="宋体" w:hAnsi="宋体" w:eastAsia="宋体" w:cs="宋体"/>
        </w:rPr>
      </w:pPr>
      <w:r>
        <w:rPr>
          <w:rFonts w:hint="eastAsia" w:ascii="宋体" w:hAnsi="宋体" w:eastAsia="宋体" w:cs="宋体"/>
        </w:rPr>
        <w:br w:type="page" w:clear="all"/>
      </w:r>
      <w:r/>
    </w:p>
    <w:p>
      <w:pPr>
        <w:rPr>
          <w:rFonts w:ascii="宋体" w:hAnsi="宋体" w:eastAsia="宋体" w:cs="宋体"/>
        </w:rPr>
      </w:pPr>
      <w:r>
        <w:rPr>
          <w:rFonts w:ascii="宋体" w:hAnsi="宋体" w:eastAsia="宋体" w:cs="宋体"/>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8" w:name="_Toc105940238"/>
      <w:r>
        <w:rPr>
          <w:rFonts w:hint="eastAsia" w:ascii="宋体" w:hAnsi="宋体" w:eastAsia="宋体" w:cs="宋体"/>
          <w:b/>
          <w:sz w:val="52"/>
          <w:szCs w:val="20"/>
          <w:shd w:val="clear" w:color="auto" w:fill="ffffff"/>
        </w:rPr>
        <w:t xml:space="preserve">第二章供应商须知</w:t>
      </w:r>
      <w:bookmarkEnd w:id="8"/>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bookmarkStart w:id="9"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《国务院办公厅关于在政府采购中实施本国产品标准及相关政策的通知》（国办发［2025］34号）规定</w:t>
      </w:r>
      <w:r>
        <w:rPr>
          <w:rFonts w:hint="eastAsia" w:ascii="宋体" w:hAnsi="宋体" w:eastAsia="宋体" w:cs="宋体"/>
          <w:sz w:val="24"/>
          <w:szCs w:val="24"/>
        </w:rPr>
        <w:t xml:space="preserve">的产品视为本国产品。</w:t>
      </w:r>
      <w:r/>
    </w:p>
    <w:p>
      <w:pPr>
        <w:ind w:firstLine="480"/>
        <w:spacing w:line="360" w:lineRule="auto"/>
        <w:rPr>
          <w:rFonts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ascii="宋体" w:hAnsi="宋体" w:eastAsia="宋体" w:cs="宋体"/>
          <w:sz w:val="24"/>
          <w:szCs w:val="24"/>
          <w:shd w:val="clear" w:color="auto" w:fill="ffffff"/>
        </w:rPr>
      </w:pPr>
      <w:r/>
      <w:bookmarkStart w:id="10" w:name="_Hlk193372108"/>
      <w:r>
        <w:rPr>
          <w:rFonts w:hint="eastAsia" w:ascii="宋体" w:hAnsi="宋体" w:eastAsia="宋体" w:cs="宋体"/>
          <w:sz w:val="24"/>
          <w:szCs w:val="24"/>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sz w:val="24"/>
          <w:szCs w:val="24"/>
          <w:shd w:val="clear" w:color="auto" w:fill="ffffff"/>
        </w:rPr>
        <w:t xml:space="preserve">详见统一格式</w:t>
      </w:r>
      <w:bookmarkEnd w:id="11"/>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sz w:val="24"/>
          <w:szCs w:val="24"/>
        </w:rPr>
      </w:pPr>
      <w:r/>
      <w:bookmarkStart w:id="12"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sz w:val="24"/>
          <w:szCs w:val="24"/>
        </w:rPr>
      </w:pPr>
      <w:r/>
      <w:bookmarkStart w:id="13" w:name="_Hlk193372188"/>
      <w:r>
        <w:rPr>
          <w:rFonts w:hint="eastAsia" w:ascii="宋体" w:hAnsi="宋体" w:eastAsia="宋体" w:cs="宋体"/>
          <w:sz w:val="24"/>
          <w:szCs w:val="24"/>
          <w:shd w:val="clear" w:color="auto" w:fill="ffffff"/>
        </w:rPr>
        <w:t xml:space="preserve">6.2</w:t>
      </w:r>
      <w:r>
        <w:rPr>
          <w:rFonts w:hint="eastAsia" w:ascii="宋体" w:hAnsi="宋体" w:eastAsia="宋体" w:cs="宋体"/>
          <w:sz w:val="24"/>
          <w:szCs w:val="24"/>
        </w:rPr>
        <w:t xml:space="preserve">联合体除应符合上述</w:t>
      </w: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条要求外，还应遵守以下规定：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bookmarkStart w:id="14" w:name="_Hlk193372537"/>
      <w:r>
        <w:rPr>
          <w:rFonts w:hint="eastAsia" w:ascii="宋体" w:hAnsi="宋体" w:eastAsia="宋体" w:cs="宋体"/>
          <w:sz w:val="24"/>
          <w:szCs w:val="24"/>
        </w:rPr>
        <w:t xml:space="preserve">招标文件由招标文件总目录所列内容组成，</w:t>
      </w:r>
      <w:bookmarkEnd w:id="14"/>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sz w:val="24"/>
          <w:szCs w:val="24"/>
        </w:rPr>
        <w:t xml:space="preserve">该电子投标（响应）文件将被视为未实质性响应。</w:t>
      </w:r>
      <w:bookmarkEnd w:id="15"/>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7.2招标文件及其补充文件</w:t>
      </w:r>
      <w:bookmarkStart w:id="16" w:name="_Hlk193372622"/>
      <w:r>
        <w:rPr>
          <w:rFonts w:hint="eastAsia" w:ascii="宋体" w:hAnsi="宋体" w:eastAsia="宋体" w:cs="宋体"/>
          <w:sz w:val="24"/>
          <w:szCs w:val="24"/>
        </w:rPr>
        <w:t xml:space="preserve">未按规定的方式获得的</w:t>
      </w:r>
      <w:bookmarkEnd w:id="16"/>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bookmarkStart w:id="17" w:name="_Hlk193372773"/>
      <w:r>
        <w:rPr>
          <w:rFonts w:hint="eastAsia" w:ascii="宋体" w:hAnsi="宋体" w:eastAsia="宋体" w:cs="宋体"/>
          <w:b/>
          <w:sz w:val="24"/>
          <w:szCs w:val="24"/>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sz w:val="24"/>
          <w:szCs w:val="24"/>
          <w:shd w:val="clear" w:color="auto" w:fill="ffffff"/>
        </w:rPr>
        <w:t xml:space="preserve">采购人或采购代理机构概不负责。</w:t>
      </w:r>
      <w:bookmarkEnd w:id="18"/>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Style w:val="722"/>
        <w:tblW w:w="46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167"/>
        <w:gridCol w:w="4386"/>
      </w:tblGrid>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rPr>
            </w:pPr>
            <w:r/>
            <w:bookmarkStart w:id="19" w:name="_Hlk193373287"/>
            <w:r>
              <w:rPr>
                <w:rFonts w:hint="eastAsia" w:ascii="宋体" w:hAnsi="宋体" w:eastAsia="宋体" w:cs="宋体"/>
                <w:sz w:val="21"/>
              </w:rPr>
              <w:t xml:space="preserve">序号</w:t>
            </w:r>
            <w:r/>
          </w:p>
        </w:tc>
        <w:tc>
          <w:tcPr>
            <w:tcW w:w="2324"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评审项</w:t>
            </w:r>
            <w:r/>
          </w:p>
        </w:tc>
        <w:tc>
          <w:tcPr>
            <w:tcW w:w="2443"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评审要求</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4"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443"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2</w:t>
            </w:r>
            <w:r/>
          </w:p>
        </w:tc>
        <w:tc>
          <w:tcPr>
            <w:tcW w:w="2324"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443"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w:t>
            </w:r>
            <w:r>
              <w:rPr>
                <w:rFonts w:hint="eastAsia" w:ascii="宋体" w:hAnsi="宋体" w:eastAsia="宋体" w:cs="宋体"/>
                <w:b/>
                <w:bCs/>
                <w:sz w:val="21"/>
                <w:szCs w:val="21"/>
              </w:rPr>
              <w:t xml:space="preserve">资产负债表、利润表、现金流量表等会计报表</w:t>
            </w:r>
            <w:r>
              <w:rPr>
                <w:rFonts w:hint="eastAsia" w:ascii="宋体" w:hAnsi="宋体" w:eastAsia="宋体" w:cs="宋体"/>
                <w:sz w:val="21"/>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3</w:t>
            </w:r>
            <w:r/>
          </w:p>
        </w:tc>
        <w:tc>
          <w:tcPr>
            <w:tcW w:w="2324"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443"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4</w:t>
            </w:r>
            <w:r/>
          </w:p>
        </w:tc>
        <w:tc>
          <w:tcPr>
            <w:tcW w:w="2324"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2443" w:type="pct"/>
            <w:vAlign w:val="center"/>
            <w:textDirection w:val="lrTb"/>
            <w:noWrap w:val="false"/>
          </w:tcPr>
          <w:p>
            <w:pPr>
              <w:jc w:val="left"/>
              <w:rPr>
                <w:rFonts w:ascii="宋体" w:hAnsi="宋体" w:eastAsia="宋体" w:cs="宋体"/>
              </w:rPr>
            </w:pPr>
            <w:r>
              <w:rPr>
                <w:rFonts w:hint="eastAsia" w:ascii="宋体" w:hAnsi="宋体" w:eastAsia="宋体" w:cs="宋体"/>
              </w:rPr>
              <w:t xml:space="preserve">供应商提供参加本次政府采购活动前一段时间内依法</w:t>
            </w:r>
            <w:r>
              <w:rPr>
                <w:rFonts w:hint="eastAsia" w:ascii="宋体" w:hAnsi="宋体" w:eastAsia="宋体" w:cs="宋体"/>
                <w:b/>
                <w:bCs/>
              </w:rPr>
              <w:t xml:space="preserve">缴纳税收</w:t>
            </w:r>
            <w:r>
              <w:rPr>
                <w:rFonts w:hint="eastAsia" w:ascii="宋体" w:hAnsi="宋体" w:eastAsia="宋体" w:cs="宋体"/>
              </w:rPr>
              <w:t xml:space="preserve">（供应商如为法人的，包括但不限于</w:t>
            </w:r>
            <w:r>
              <w:rPr>
                <w:rFonts w:hint="eastAsia" w:ascii="宋体" w:hAnsi="宋体" w:eastAsia="宋体" w:cs="宋体"/>
                <w:b/>
                <w:bCs/>
              </w:rPr>
              <w:t xml:space="preserve">企业所得税和增值税</w:t>
            </w:r>
            <w:r>
              <w:rPr>
                <w:rFonts w:hint="eastAsia" w:ascii="宋体" w:hAnsi="宋体" w:eastAsia="宋体" w:cs="宋体"/>
              </w:rPr>
              <w:t xml:space="preserve">）和</w:t>
            </w:r>
            <w:r>
              <w:rPr>
                <w:rFonts w:hint="eastAsia" w:ascii="宋体" w:hAnsi="宋体" w:eastAsia="宋体" w:cs="宋体"/>
                <w:b/>
                <w:bCs/>
              </w:rPr>
              <w:t xml:space="preserve">社会保险</w:t>
            </w:r>
            <w:r>
              <w:rPr>
                <w:rFonts w:hint="eastAsia" w:ascii="宋体" w:hAnsi="宋体" w:eastAsia="宋体" w:cs="宋体"/>
              </w:rPr>
              <w:t xml:space="preserve">的凭据；依法免税或不需要缴纳社会保障资金的供应商，应提供相应文件证明其依法免税或不需要缴纳社会保障资金。</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5</w:t>
            </w:r>
            <w:r/>
          </w:p>
        </w:tc>
        <w:tc>
          <w:tcPr>
            <w:tcW w:w="2324"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443"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6</w:t>
            </w:r>
            <w:r/>
          </w:p>
        </w:tc>
        <w:tc>
          <w:tcPr>
            <w:tcW w:w="2324"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443"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4"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rPr>
              <w:t xml:space="preserve">无</w:t>
            </w:r>
            <w:r/>
          </w:p>
        </w:tc>
        <w:tc>
          <w:tcPr>
            <w:tcW w:w="2443" w:type="pct"/>
            <w:textDirection w:val="lrTb"/>
            <w:noWrap w:val="false"/>
          </w:tcPr>
          <w:p>
            <w:pPr>
              <w:pStyle w:val="731"/>
              <w:jc w:val="left"/>
              <w:spacing w:line="240" w:lineRule="auto"/>
              <w:rPr>
                <w:rFonts w:ascii="宋体" w:hAnsi="宋体" w:eastAsia="宋体" w:cs="宋体"/>
                <w:sz w:val="21"/>
              </w:rPr>
            </w:pPr>
            <w:r>
              <w:rPr>
                <w:rFonts w:hint="eastAsia" w:ascii="宋体" w:hAnsi="宋体" w:eastAsia="宋体" w:cs="宋体"/>
                <w:sz w:val="21"/>
                <w:szCs w:val="21"/>
              </w:rPr>
              <w:t xml:space="preserve">无</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1</w:t>
            </w:r>
            <w:r/>
          </w:p>
        </w:tc>
        <w:tc>
          <w:tcPr>
            <w:shd w:val="clear" w:color="auto" w:fill="auto"/>
            <w:tcW w:w="2324"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shd w:val="clear" w:color="auto" w:fill="auto"/>
            <w:tcW w:w="2443"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19"/>
            <w:r/>
            <w:r/>
          </w:p>
        </w:tc>
      </w:tr>
    </w:tbl>
    <w:p>
      <w:pPr>
        <w:ind w:firstLine="482"/>
        <w:spacing w:line="360" w:lineRule="auto"/>
        <w:rPr>
          <w:rFonts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14.1.5符合性审查响应文件</w:t>
      </w:r>
      <w:r/>
    </w:p>
    <w:tbl>
      <w:tblPr>
        <w:tblStyle w:val="722"/>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9"/>
        <w:gridCol w:w="2670"/>
        <w:gridCol w:w="6288"/>
      </w:tblGrid>
      <w:tr>
        <w:trPr>
          <w:trHeight w:val="23"/>
        </w:trPr>
        <w:tc>
          <w:tcPr>
            <w:tcW w:w="239" w:type="pct"/>
            <w:vAlign w:val="center"/>
            <w:textDirection w:val="lrTb"/>
            <w:noWrap w:val="false"/>
          </w:tcPr>
          <w:p>
            <w:pPr>
              <w:pStyle w:val="731"/>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419" w:type="pct"/>
            <w:vAlign w:val="center"/>
            <w:textDirection w:val="lrTb"/>
            <w:noWrap w:val="false"/>
          </w:tcPr>
          <w:p>
            <w:pPr>
              <w:pStyle w:val="731"/>
              <w:jc w:val="center"/>
              <w:spacing w:line="240" w:lineRule="auto"/>
              <w:rPr>
                <w:rFonts w:ascii="宋体" w:hAnsi="宋体" w:eastAsia="宋体" w:cs="宋体"/>
                <w:b/>
                <w:bCs/>
                <w:sz w:val="21"/>
                <w:szCs w:val="21"/>
              </w:rPr>
            </w:pPr>
            <w:r>
              <w:rPr>
                <w:rFonts w:hint="eastAsia" w:ascii="宋体" w:hAnsi="宋体" w:eastAsia="宋体" w:cs="宋体"/>
                <w:b/>
                <w:sz w:val="21"/>
                <w:szCs w:val="21"/>
              </w:rPr>
              <w:t xml:space="preserve">评审项</w:t>
            </w:r>
            <w:r/>
          </w:p>
        </w:tc>
        <w:tc>
          <w:tcPr>
            <w:tcW w:w="3340" w:type="pct"/>
            <w:vAlign w:val="center"/>
            <w:textDirection w:val="lrTb"/>
            <w:noWrap w:val="false"/>
          </w:tcPr>
          <w:p>
            <w:pPr>
              <w:pStyle w:val="731"/>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评审要求</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一、报价要求</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19" w:type="pct"/>
            <w:vAlign w:val="center"/>
            <w:textDirection w:val="lrTb"/>
            <w:noWrap w:val="false"/>
          </w:tcPr>
          <w:p>
            <w:pPr>
              <w:pStyle w:val="731"/>
              <w:jc w:val="left"/>
              <w:spacing w:line="240" w:lineRule="auto"/>
              <w:rPr>
                <w:rFonts w:ascii="宋体" w:hAnsi="宋体" w:eastAsia="宋体" w:cs="宋体"/>
                <w:sz w:val="21"/>
                <w:szCs w:val="21"/>
              </w:rPr>
            </w:pPr>
            <w:r>
              <w:rPr>
                <w:rFonts w:ascii="宋体" w:hAnsi="宋体" w:eastAsia="宋体" w:cs="宋体"/>
                <w:sz w:val="21"/>
                <w:szCs w:val="21"/>
              </w:rPr>
              <w:t xml:space="preserve">报价符合性审查</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19"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以投标文件报价为准（供应商无须单独提供资料）</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二、商务要求</w:t>
            </w:r>
            <w:r/>
          </w:p>
        </w:tc>
      </w:tr>
      <w:tr>
        <w:trPr>
          <w:trHeight w:val="23"/>
        </w:trPr>
        <w:tc>
          <w:tcPr>
            <w:shd w:val="clear" w:color="auto" w:fill="auto"/>
            <w:tcW w:w="239"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419"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投标（响应）函</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1419"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1419"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23"/>
        </w:trPr>
        <w:tc>
          <w:tcPr>
            <w:shd w:val="clear" w:color="auto" w:fill="auto"/>
            <w:tcW w:w="239"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1419"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419"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《对投标人（供应商）有直接控股、管理关系的单位情况表》</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419"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《商务要求偏离表》</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1419"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《拟投入本项目人员配备一览表》</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三、技术要求</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19"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《技术或服务要求偏离表》</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19"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《投标货物和服务数量、品牌型号、技术要求、交货期》</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419"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《针对本项目制定的实施方案》</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31"/>
              <w:jc w:val="center"/>
              <w:spacing w:line="240" w:lineRule="auto"/>
              <w:rPr>
                <w:rFonts w:ascii="宋体" w:hAnsi="宋体" w:eastAsia="宋体" w:cs="宋体"/>
                <w:sz w:val="21"/>
                <w:szCs w:val="21"/>
              </w:rPr>
            </w:pPr>
            <w:r/>
            <w:bookmarkStart w:id="20" w:name="_Hlk193373412"/>
            <w:r>
              <w:rPr>
                <w:rFonts w:hint="eastAsia" w:ascii="宋体" w:hAnsi="宋体" w:eastAsia="宋体" w:cs="宋体"/>
                <w:sz w:val="21"/>
                <w:szCs w:val="21"/>
              </w:rPr>
              <w:t xml:space="preserve">4</w:t>
            </w:r>
            <w:r/>
          </w:p>
        </w:tc>
        <w:tc>
          <w:tcPr>
            <w:tcW w:w="1419"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334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格式自拟</w:t>
            </w:r>
            <w:bookmarkEnd w:id="20"/>
            <w:r/>
            <w:r/>
          </w:p>
        </w:tc>
      </w:tr>
    </w:tbl>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1" w:name="_Hlk193373771"/>
      <w:r>
        <w:rPr>
          <w:rFonts w:hint="eastAsia" w:ascii="宋体" w:hAnsi="宋体" w:eastAsia="宋体" w:cs="宋体"/>
          <w:b/>
          <w:bCs/>
          <w:sz w:val="24"/>
          <w:szCs w:val="24"/>
          <w:u w:val="single"/>
          <w:shd w:val="clear" w:color="auto" w:fill="ffffff"/>
        </w:rPr>
        <w:t xml:space="preserve">未按要求提供</w:t>
      </w:r>
      <w:bookmarkEnd w:id="21"/>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ascii="宋体" w:hAnsi="宋体" w:eastAsia="宋体" w:cs="宋体"/>
          <w:sz w:val="24"/>
          <w:szCs w:val="24"/>
          <w:shd w:val="clear" w:color="auto" w:fill="ffffff"/>
        </w:rPr>
      </w:pPr>
      <w:r/>
      <w:bookmarkStart w:id="22" w:name="_Hlk158131259"/>
      <w:r/>
      <w:bookmarkStart w:id="23"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4"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5" w:name="_Hlk158134955"/>
      <w:r>
        <w:rPr>
          <w:rFonts w:hint="eastAsia" w:ascii="宋体" w:hAnsi="宋体" w:eastAsia="宋体" w:cs="宋体"/>
          <w:sz w:val="24"/>
          <w:szCs w:val="24"/>
        </w:rPr>
        <w:t xml:space="preserve">15.4联合体投标（响应）：如招标公告中允许联合体投标（响应），联合体投标（响应）的投标（响应）文件制作上传操作如下：</w:t>
      </w:r>
      <w:r/>
    </w:p>
    <w:p>
      <w:pPr>
        <w:pStyle w:val="732"/>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第一步：在投标（响应）文件中上传联合体投标（响应）协议书。</w:t>
      </w:r>
      <w:r>
        <w:rPr>
          <w:rFonts w:hint="eastAsia" w:ascii="宋体" w:hAnsi="宋体" w:eastAsia="宋体" w:cs="宋体"/>
          <w:bCs/>
          <w:szCs w:val="24"/>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15.5如不同投标（响应）文件制作机器码一致，则投标（响应）无效。</w:t>
      </w:r>
      <w:bookmarkEnd w:id="2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17.1中标单位应按前附表的规定提交履约保证金。履约保证金形式：以支票、汇票、本票或者金融机构、担保机构出具的见索即付保函等非现金形式提交（保函内容须经学校认可）。</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17.2中标单位须在签订合同前向采购方缴纳合同金额的10%作为履约保证金，至双方签署最终验收合格证明之日起稳定运行1年后无息退还。</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17.4若中标单位对货物缺陷不予更正，采购人有权另请其他单位更正，所发生的费用在履约保证金中扣除。</w:t>
      </w:r>
      <w:bookmarkEnd w:id="27"/>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bookmarkStart w:id="29" w:name="_Hlk116314345"/>
      <w:r/>
      <w:bookmarkStart w:id="30" w:name="_Hlk117242692"/>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sz w:val="24"/>
          <w:szCs w:val="24"/>
        </w:rPr>
      </w:pPr>
      <w:r/>
      <w:bookmarkStart w:id="33" w:name="_Hlk158135485"/>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1"/>
      <w:r/>
      <w:bookmarkEnd w:id="3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r>
        <w:fldChar w:fldCharType="begin"/>
      </w:r>
      <w:r>
        <w:instrText xml:space="preserve"> HYPERLINK "http://www.jscredit.gov.cn/" </w:instrText>
      </w:r>
      <w: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22.1评标委员会由采购人或采购代理机构依法组建,由采购单位代表、专家评委组成。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22.2评标委员会负责具体的评标事务，并独立履行以下职责：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22.2.1审查、评价投标（响应）文件是否符合招标文件的商务、技术等实质性要求；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22.2.2要求供应商对投标（响应）文件有关事项作出澄清或者说明；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22.2.3对投标（响应）文件进行比较和评价；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22.2.4</w:t>
      </w:r>
      <w:r>
        <w:rPr>
          <w:rFonts w:hint="eastAsia" w:ascii="宋体" w:hAnsi="宋体" w:eastAsia="宋体" w:cs="宋体"/>
          <w:sz w:val="24"/>
          <w:szCs w:val="24"/>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22.2.5向采购人、采购代理机构或者有关部门报告评标中发现的违法行为；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22.3评标委员会成员应当履行下列义务：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22.3.1遵纪守法，客观、公正、廉洁地履行职责；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22.3.2按照招标文件规定的评标办法和评标标准进行评标，对评审意见承担个人责任；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22.3.3对评标过程和结果，以及供应商的商业秘密保密；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22.3.4参与评审报告的起草；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22.3.5配合相关部门的投诉处理工作；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22.3.6配合采购人或采购代理机构答复投标（响应）供应商提出的质疑。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sz w:val="24"/>
          <w:szCs w:val="24"/>
          <w:shd w:val="clear" w:color="auto" w:fill="ffffff"/>
        </w:rPr>
      </w:pPr>
      <w:r/>
      <w:bookmarkStart w:id="43" w:name="_Hlk158140503"/>
      <w:r/>
      <w:bookmarkStart w:id="44" w:name="_Hlk158140452"/>
      <w:r/>
      <w:bookmarkStart w:id="45" w:name="_Hlk193377538"/>
      <w:r/>
      <w:bookmarkStart w:id="46" w:name="_Hlk9065639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ascii="宋体" w:hAnsi="宋体" w:eastAsia="宋体" w:cs="宋体"/>
          <w:sz w:val="32"/>
          <w:szCs w:val="32"/>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sz w:val="32"/>
          <w:szCs w:val="32"/>
          <w:shd w:val="clear" w:color="auto" w:fill="ffffff"/>
        </w:rPr>
        <w:br w:type="page" w:clear="all"/>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jc w:val="center"/>
        <w:keepLines/>
        <w:keepNext/>
        <w:spacing w:before="340" w:after="330" w:line="360" w:lineRule="auto"/>
        <w:rPr>
          <w:rFonts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第三章投标文件格式</w:t>
      </w:r>
      <w:bookmarkEnd w:id="50"/>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（姓名+手机号码）为本公司代理人，以本公司的名义参加本项目采购代理机构组织实施的编号为</w:t>
      </w:r>
      <w:r>
        <w:rPr>
          <w:rFonts w:hint="eastAsia" w:ascii="宋体" w:hAnsi="宋体" w:eastAsia="宋体" w:cs="宋体"/>
          <w:sz w:val="24"/>
          <w:szCs w:val="20"/>
          <w:u w:val="single"/>
        </w:rPr>
        <w:t xml:space="preserve"> </w:t>
      </w:r>
      <w:r>
        <w:rPr>
          <w:rFonts w:hint="eastAsia" w:ascii="宋体" w:hAnsi="宋体" w:eastAsia="宋体" w:cs="宋体"/>
          <w:sz w:val="24"/>
          <w:u w:val="single"/>
          <w:lang w:eastAsia="zh-CN"/>
        </w:rPr>
        <w:t xml:space="preserve">JSZC-320500-SZCH-G2026-0039</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0"/>
        </w:rPr>
      </w:pPr>
      <w:r>
        <w:rPr>
          <w:rFonts w:ascii="宋体" w:hAnsi="宋体" w:eastAsia="宋体" w:cs="宋体"/>
          <w:b/>
          <w:sz w:val="24"/>
          <w:szCs w:val="20"/>
        </w:rPr>
      </w:r>
      <w:r/>
    </w:p>
    <w:p>
      <w:pPr>
        <w:rPr>
          <w:rFonts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rPr>
          <w:rFonts w:ascii="宋体" w:hAnsi="宋体" w:eastAsia="宋体" w:cs="宋体"/>
          <w:b/>
          <w:bCs/>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号招标文件，经仔细阅读和研究，本公司决定参加投标。</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1、本公司愿意按照招标文件的一切要求，提供完成该项目的全部内容，本公司的投标报价</w:t>
      </w:r>
      <w:r>
        <w:rPr>
          <w:rFonts w:hint="eastAsia" w:ascii="宋体" w:hAnsi="宋体" w:eastAsia="宋体" w:cs="宋体"/>
          <w:sz w:val="24"/>
          <w:szCs w:val="24"/>
          <w:shd w:val="clear" w:color="auto" w:fill="ffffff"/>
        </w:rPr>
        <w:t xml:space="preserve">包括完成对应采购包所有相关工作可能发生的一切费用，包括全部所投货物及备品、备件、辅配件和专用工具费用、税费及包装、仓储、运至最终目的地的运输、保险、检测验收、安装、调试、技术支持与培训、伴随服务/售后服务与维保及相关劳务支出等工作所发生的全部费用以及投标人企业利润、税金和政策性文件规定及合同包含的所有风险、责任等各项应有费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4、本公司同意按招标文件中的规定，本投标书的有效期限为投标截止日起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8、本公司承诺该项投标在开标后的全过程中保持有效，不作任何更改和变动。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（4）其他说明。</w:t>
      </w:r>
      <w:r/>
    </w:p>
    <w:p>
      <w:pPr>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731"/>
        <w:spacing w:line="240" w:lineRule="auto"/>
        <w:rPr>
          <w:rFonts w:ascii="宋体" w:hAnsi="宋体" w:eastAsia="宋体" w:cs="宋体"/>
        </w:rPr>
      </w:pPr>
      <w:r>
        <w:rPr>
          <w:rFonts w:ascii="宋体" w:hAnsi="宋体" w:eastAsia="宋体" w:cs="宋体"/>
        </w:rPr>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Cs w:val="24"/>
        </w:rPr>
      </w:pPr>
      <w:r>
        <w:rPr>
          <w:rFonts w:hint="eastAsia" w:ascii="宋体" w:hAnsi="宋体" w:eastAsia="宋体" w:cs="宋体"/>
          <w:b/>
          <w:szCs w:val="24"/>
        </w:rPr>
        <w:br w:type="page" w:clear="all"/>
      </w:r>
      <w:r/>
    </w:p>
    <w:p>
      <w:pPr>
        <w:pStyle w:val="725"/>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3、开标一览表</w:t>
      </w:r>
      <w:r/>
    </w:p>
    <w:p>
      <w:pPr>
        <w:pStyle w:val="1021"/>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供应商全称：</w:t>
      </w:r>
      <w:bookmarkStart w:id="52" w:name="TBR"/>
      <w:r/>
      <w:bookmarkEnd w:id="52"/>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53" w:name="XMBH"/>
      <w:r/>
      <w:bookmarkEnd w:id="53"/>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54" w:name="FBH"/>
      <w:r/>
      <w:bookmarkEnd w:id="54"/>
      <w:r/>
      <w:r/>
    </w:p>
    <w:tbl>
      <w:tblPr>
        <w:tblStyle w:val="722"/>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sz w:val="24"/>
                <w:szCs w:val="24"/>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56" w:name="JEXX"/>
            <w:r/>
            <w:bookmarkEnd w:id="56"/>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sz w:val="24"/>
                <w:szCs w:val="24"/>
              </w:rPr>
            </w:pPr>
            <w:r/>
            <w:bookmarkStart w:id="57" w:name="JEDX"/>
            <w:r/>
            <w:bookmarkEnd w:id="57"/>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bCs/>
          <w:sz w:val="24"/>
          <w:szCs w:val="24"/>
          <w:shd w:val="clear" w:color="auto" w:fill="ffffff"/>
        </w:rPr>
        <w:t xml:space="preserve">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w:t>
      </w:r>
      <w:r/>
    </w:p>
    <w:p>
      <w:pPr>
        <w:pStyle w:val="733"/>
        <w:ind w:left="0" w:right="-607"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w:t>
      </w:r>
      <w:r>
        <w:rPr>
          <w:rFonts w:ascii="宋体" w:hAnsi="宋体" w:eastAsia="宋体" w:cs="宋体"/>
          <w:b/>
          <w:sz w:val="24"/>
          <w:szCs w:val="24"/>
          <w:shd w:val="clear" w:color="auto" w:fill="ffffff"/>
        </w:rPr>
        <w:t xml:space="preserve">（响应）</w:t>
      </w:r>
      <w:r>
        <w:rPr>
          <w:rFonts w:ascii="宋体" w:hAnsi="宋体" w:eastAsia="宋体" w:cs="宋体"/>
          <w:b/>
          <w:bCs/>
          <w:sz w:val="24"/>
          <w:szCs w:val="24"/>
          <w:shd w:val="clear" w:color="auto" w:fill="ffffff"/>
        </w:rPr>
        <w:t xml:space="preserve">报价明细表</w:t>
      </w:r>
      <w:r/>
    </w:p>
    <w:tbl>
      <w:tblPr>
        <w:tblStyle w:val="722"/>
        <w:tblW w:w="4423" w:type="pct"/>
        <w:jc w:val="center"/>
        <w:tblLayout w:type="autofit"/>
        <w:tblCellMar>
          <w:left w:w="0" w:type="dxa"/>
          <w:top w:w="0" w:type="dxa"/>
          <w:right w:w="0" w:type="dxa"/>
          <w:bottom w:w="0" w:type="dxa"/>
        </w:tblCellMar>
        <w:tblLook w:val="04A0" w:firstRow="1" w:lastRow="0" w:firstColumn="1" w:lastColumn="0" w:noHBand="0" w:noVBand="1"/>
      </w:tblPr>
      <w:tblGrid>
        <w:gridCol w:w="595"/>
        <w:gridCol w:w="1420"/>
        <w:gridCol w:w="916"/>
        <w:gridCol w:w="1033"/>
        <w:gridCol w:w="1061"/>
        <w:gridCol w:w="735"/>
        <w:gridCol w:w="657"/>
        <w:gridCol w:w="1113"/>
        <w:gridCol w:w="99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pacing w:val="20"/>
                <w:szCs w:val="24"/>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szCs w:val="21"/>
                <w:lang w:bidi="ar"/>
              </w:rPr>
            </w:pPr>
            <w:r>
              <w:rPr>
                <w:rFonts w:hint="eastAsia" w:ascii="宋体" w:hAnsi="宋体" w:eastAsia="宋体" w:cs="宋体"/>
                <w:b/>
                <w:szCs w:val="21"/>
                <w:lang w:bidi="ar"/>
              </w:rPr>
              <w:t xml:space="preserve">投标总价：</w:t>
            </w:r>
            <w:r>
              <w:rPr>
                <w:rFonts w:hint="eastAsia" w:ascii="宋体" w:hAnsi="宋体" w:eastAsia="宋体" w:cs="宋体"/>
                <w:b/>
                <w:szCs w:val="21"/>
              </w:rPr>
              <w:t xml:space="preserve">（大写）人民币元                      （</w:t>
            </w:r>
            <w:r>
              <w:rPr>
                <w:rFonts w:hint="eastAsia" w:ascii="宋体" w:hAnsi="宋体" w:eastAsia="宋体" w:cs="宋体"/>
                <w:sz w:val="24"/>
                <w:szCs w:val="20"/>
              </w:rPr>
              <w:t xml:space="preserve">¥</w:t>
            </w:r>
            <w:r>
              <w:rPr>
                <w:rFonts w:hint="eastAsia" w:ascii="宋体" w:hAnsi="宋体" w:eastAsia="宋体" w:cs="宋体"/>
                <w:b/>
                <w:szCs w:val="21"/>
              </w:rPr>
              <w:t xml:space="preserve">           元）</w:t>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5、投标货物和服务数量、品牌型号、技术要求、交货期</w:t>
      </w:r>
      <w:r/>
    </w:p>
    <w:p>
      <w:pPr>
        <w:pStyle w:val="725"/>
        <w:ind w:firstLine="0"/>
        <w:jc w:val="center"/>
        <w:spacing w:line="360" w:lineRule="auto"/>
        <w:rPr>
          <w:rFonts w:ascii="宋体" w:hAnsi="宋体" w:eastAsia="宋体" w:cs="宋体"/>
          <w:b/>
          <w:szCs w:val="24"/>
        </w:rPr>
      </w:pPr>
      <w:r>
        <w:rPr>
          <w:rFonts w:hint="eastAsia" w:ascii="宋体" w:hAnsi="宋体" w:eastAsia="宋体" w:cs="宋体"/>
          <w:b/>
          <w:szCs w:val="24"/>
        </w:rPr>
        <w:t xml:space="preserve">投标货物和服务数量、品牌型号、技术要求、交货期</w:t>
      </w:r>
      <w:r/>
    </w:p>
    <w:tbl>
      <w:tblPr>
        <w:tblStyle w:val="7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bl>
    <w:p>
      <w:pPr>
        <w:pStyle w:val="725"/>
        <w:ind w:firstLine="0"/>
        <w:jc w:val="both"/>
        <w:spacing w:line="360" w:lineRule="auto"/>
        <w:rPr>
          <w:rFonts w:ascii="宋体" w:hAnsi="宋体" w:eastAsia="宋体" w:cs="宋体"/>
          <w:b/>
          <w:szCs w:val="24"/>
        </w:rPr>
      </w:pPr>
      <w:r>
        <w:rPr>
          <w:rFonts w:ascii="宋体" w:hAnsi="宋体" w:eastAsia="宋体" w:cs="宋体"/>
          <w:b/>
          <w:szCs w:val="24"/>
        </w:rPr>
      </w:r>
      <w:r/>
    </w:p>
    <w:p>
      <w:pPr>
        <w:pStyle w:val="1035"/>
        <w:ind w:firstLine="480"/>
        <w:spacing w:line="320" w:lineRule="exact"/>
        <w:rPr>
          <w:rFonts w:hAnsi="宋体" w:eastAsia="宋体" w:cs="宋体"/>
          <w:sz w:val="24"/>
          <w:szCs w:val="24"/>
          <w:shd w:val="clear" w:color="auto" w:fill="ffffff"/>
        </w:rPr>
      </w:pPr>
      <w:r>
        <w:rPr>
          <w:rFonts w:hAnsi="宋体" w:eastAsia="宋体" w:cs="宋体"/>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jc w:val="left"/>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6、针对本项目制定的实施方案</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针对本项目制定的实施方案</w:t>
      </w:r>
      <w:r/>
    </w:p>
    <w:tbl>
      <w:tblPr>
        <w:tblStyle w:val="722"/>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tc>
      </w:tr>
    </w:tbl>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rPr>
        <w:t xml:space="preserve">技术或服务</w:t>
      </w:r>
      <w:r>
        <w:rPr>
          <w:rFonts w:hint="eastAsia" w:ascii="宋体" w:hAnsi="宋体" w:eastAsia="宋体" w:cs="宋体"/>
          <w:b/>
          <w:sz w:val="24"/>
          <w:szCs w:val="24"/>
          <w:shd w:val="clear" w:color="auto" w:fill="ffffff"/>
        </w:rPr>
        <w:t xml:space="preserve">要求偏离表</w:t>
      </w:r>
      <w:r/>
    </w:p>
    <w:p>
      <w:pPr>
        <w:pStyle w:val="732"/>
        <w:ind w:left="0"/>
        <w:jc w:val="center"/>
        <w:spacing w:line="360" w:lineRule="auto"/>
        <w:rPr>
          <w:lang w:val="zh-CN"/>
        </w:rPr>
      </w:pPr>
      <w:r>
        <w:rPr>
          <w:rFonts w:hint="eastAsia" w:ascii="宋体" w:hAnsi="宋体" w:eastAsia="宋体" w:cs="宋体"/>
          <w:b/>
          <w:szCs w:val="24"/>
        </w:rPr>
        <w:t xml:space="preserve">技术或服务</w:t>
      </w:r>
      <w:r>
        <w:rPr>
          <w:rFonts w:hint="eastAsia" w:ascii="宋体" w:hAnsi="宋体" w:eastAsia="宋体" w:cs="宋体"/>
          <w:b/>
          <w:szCs w:val="24"/>
          <w:shd w:val="clear" w:color="auto" w:fill="ffffff"/>
        </w:rPr>
        <w:t xml:space="preserve">要求偏离表</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bl>
    <w:p>
      <w:pPr>
        <w:pStyle w:val="764"/>
        <w:ind w:firstLine="520"/>
        <w:rPr>
          <w:rFonts w:ascii="宋体" w:hAnsi="宋体" w:eastAsia="宋体" w:cs="宋体"/>
        </w:rPr>
      </w:pPr>
      <w:r>
        <w:rPr>
          <w:rFonts w:ascii="宋体" w:hAnsi="宋体" w:eastAsia="宋体" w:cs="宋体"/>
        </w:rPr>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8、商务要求偏离表</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bl>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9、拟投入本项目人员配备一览表</w:t>
      </w:r>
      <w:r/>
    </w:p>
    <w:p>
      <w:pPr>
        <w:jc w:val="center"/>
        <w:spacing w:line="360" w:lineRule="auto"/>
        <w:rPr>
          <w:rFonts w:ascii="宋体" w:hAnsi="宋体" w:eastAsia="宋体" w:cs="宋体"/>
          <w:b/>
          <w:sz w:val="26"/>
          <w:szCs w:val="20"/>
        </w:rPr>
      </w:pPr>
      <w:r>
        <w:rPr>
          <w:rFonts w:hint="eastAsia" w:ascii="宋体" w:hAnsi="宋体" w:eastAsia="宋体" w:cs="宋体"/>
          <w:b/>
          <w:sz w:val="24"/>
          <w:szCs w:val="24"/>
        </w:rPr>
        <w:t xml:space="preserve">拟投入本项目人员配备一览表</w:t>
      </w:r>
      <w:r/>
    </w:p>
    <w:tbl>
      <w:tblPr>
        <w:tblStyle w:val="722"/>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注：投标人根据招标文件要求及自身情况配备项目团队成员。</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1"/>
        </w:rPr>
        <w:t xml:space="preserve">10、类似业绩情况表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类似业绩情况表（如有）</w:t>
      </w:r>
      <w:r/>
    </w:p>
    <w:tbl>
      <w:tblPr>
        <w:tblStyle w:val="722"/>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25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tcW w:w="27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合同金额（万元）</w:t>
            </w:r>
            <w:r/>
          </w:p>
        </w:tc>
        <w:tc>
          <w:tcPr>
            <w:tcW w:w="198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pStyle w:val="733"/>
        <w:rPr>
          <w:rFonts w:hint="default" w:ascii="宋体" w:hAnsi="宋体" w:eastAsia="宋体" w:cs="宋体"/>
        </w:rPr>
      </w:pPr>
      <w:r>
        <w:rPr>
          <w:rFonts w:hint="default" w:ascii="宋体" w:hAnsi="宋体" w:eastAsia="宋体" w:cs="宋体"/>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11、资格证明文件</w:t>
      </w:r>
      <w:r/>
    </w:p>
    <w:p>
      <w:pPr>
        <w:spacing w:line="360" w:lineRule="auto"/>
        <w:rPr>
          <w:rFonts w:ascii="宋体" w:hAnsi="宋体" w:eastAsia="宋体" w:cs="宋体"/>
          <w:b/>
          <w:sz w:val="24"/>
          <w:szCs w:val="20"/>
          <w:shd w:val="clear" w:color="auto" w:fill="ffffff"/>
        </w:rPr>
      </w:pPr>
      <w:r>
        <w:rPr>
          <w:rFonts w:ascii="宋体" w:hAnsi="宋体" w:eastAsia="宋体" w:cs="宋体"/>
          <w:b/>
          <w:sz w:val="24"/>
          <w:szCs w:val="20"/>
          <w:shd w:val="clear" w:color="auto" w:fill="ffffff"/>
        </w:rPr>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0"/>
          <w:shd w:val="clear" w:color="auto" w:fill="ffffff"/>
        </w:rPr>
        <w:outlineLvl w:val="2"/>
      </w:pPr>
      <w:r>
        <w:rPr>
          <w:rFonts w:hint="eastAsia" w:ascii="宋体" w:hAnsi="宋体" w:eastAsia="宋体" w:cs="宋体"/>
          <w:b/>
          <w:sz w:val="24"/>
          <w:szCs w:val="20"/>
          <w:shd w:val="clear" w:color="auto" w:fill="ffffff"/>
        </w:rPr>
        <w:br w:type="page" w:clear="all"/>
      </w:r>
      <w:r>
        <w:rPr>
          <w:rFonts w:hint="eastAsia" w:ascii="宋体" w:hAnsi="宋体" w:eastAsia="宋体" w:cs="宋体"/>
          <w:b/>
          <w:sz w:val="24"/>
          <w:szCs w:val="20"/>
          <w:shd w:val="clear" w:color="auto" w:fill="ffffff"/>
        </w:rPr>
        <w:t xml:space="preserve">（2）供应商基本情况表</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7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50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bCs/>
          <w:szCs w:val="24"/>
          <w:shd w:val="clear" w:color="auto" w:fill="ffffff"/>
        </w:rPr>
      </w:pPr>
      <w:r>
        <w:rPr>
          <w:rFonts w:hint="eastAsia" w:ascii="宋体" w:hAnsi="宋体" w:eastAsia="宋体" w:cs="宋体"/>
          <w:b/>
          <w:bCs/>
          <w:szCs w:val="24"/>
          <w:shd w:val="clear" w:color="auto" w:fill="ffffff"/>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ascii="宋体" w:hAnsi="宋体" w:eastAsia="宋体" w:cs="宋体"/>
          <w:sz w:val="24"/>
          <w:szCs w:val="24"/>
        </w:rPr>
      </w:pPr>
      <w:r/>
      <w:bookmarkStart w:id="58" w:name="OLE_LINK5"/>
      <w:r/>
      <w:bookmarkEnd w:id="58"/>
      <w:r/>
      <w:bookmarkStart w:id="59" w:name="OLE_LINK6"/>
      <w:r/>
      <w:bookmarkEnd w:id="59"/>
      <w:r/>
      <w:r/>
    </w:p>
    <w:p>
      <w:pPr>
        <w:jc w:val="center"/>
        <w:rPr>
          <w:rFonts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ascii="宋体" w:hAnsi="宋体" w:eastAsia="宋体" w:cs="宋体"/>
          <w:sz w:val="24"/>
          <w:szCs w:val="24"/>
        </w:rPr>
      </w:pPr>
      <w:r>
        <w:rPr>
          <w:rFonts w:ascii="宋体" w:hAnsi="宋体" w:eastAsia="宋体" w:cs="宋体"/>
          <w:sz w:val="24"/>
          <w:szCs w:val="24"/>
        </w:rPr>
      </w:r>
      <w:r/>
    </w:p>
    <w:p>
      <w:pPr>
        <w:pStyle w:val="760"/>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bookmarkStart w:id="60"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77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77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77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77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77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w:t xml:space="preserve">2.</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，生产厂为</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（厂名）</w:t>
      </w:r>
      <w:r>
        <w:rPr>
          <w:rFonts w:hint="eastAsia" w:ascii="宋体" w:hAnsi="宋体" w:eastAsia="宋体" w:cs="宋体"/>
          <w:color w:val="000000" w:themeColor="text1"/>
          <w:sz w:val="24"/>
          <w:szCs w:val="24"/>
          <w14:textFill>
            <w14:solidFill>
              <w14:schemeClr w14:val="tx1"/>
            </w14:solidFill>
          </w14:textFill>
        </w:rPr>
        <w:t xml:space="preserve">，厂址为</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（生产厂址）</w:t>
      </w:r>
      <w:r>
        <w:rPr>
          <w:rFonts w:hint="eastAsia" w:ascii="宋体" w:hAnsi="宋体" w:eastAsia="宋体" w:cs="宋体"/>
          <w:color w:val="000000" w:themeColor="text1"/>
          <w:sz w:val="24"/>
          <w:szCs w:val="24"/>
          <w14:textFill>
            <w14:solidFill>
              <w14:schemeClr w14:val="tx1"/>
            </w14:solidFill>
          </w14:textFill>
        </w:rPr>
        <w:t xml:space="preserve">。</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的中国境内生产的组件成本占比≥</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（规定比例）</w:t>
      </w:r>
      <w:r>
        <w:rPr>
          <w:rFonts w:hint="eastAsia" w:ascii="宋体" w:hAnsi="宋体" w:eastAsia="宋体" w:cs="宋体"/>
          <w:color w:val="000000" w:themeColor="text1"/>
          <w:sz w:val="24"/>
          <w:szCs w:val="24"/>
          <w14:textFill>
            <w14:solidFill>
              <w14:schemeClr w14:val="tx1"/>
            </w14:solidFill>
          </w14:textFill>
        </w:rPr>
        <w:t xml:space="preserve">。</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（关键组件）</w:t>
      </w:r>
      <w:r>
        <w:rPr>
          <w:rFonts w:hint="eastAsia" w:ascii="宋体" w:hAnsi="宋体" w:eastAsia="宋体" w:cs="宋体"/>
          <w:color w:val="000000" w:themeColor="text1"/>
          <w:sz w:val="24"/>
          <w:szCs w:val="24"/>
          <w14:textFill>
            <w14:solidFill>
              <w14:schemeClr w14:val="tx1"/>
            </w14:solidFill>
          </w14:textFill>
        </w:rPr>
        <w:t xml:space="preserve">在中国境内生产。</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（关键工序）</w:t>
      </w:r>
      <w:r>
        <w:rPr>
          <w:rFonts w:hint="eastAsia" w:ascii="宋体" w:hAnsi="宋体" w:eastAsia="宋体" w:cs="宋体"/>
          <w:color w:val="000000" w:themeColor="text1"/>
          <w:sz w:val="24"/>
          <w:szCs w:val="24"/>
          <w14:textFill>
            <w14:solidFill>
              <w14:schemeClr w14:val="tx1"/>
            </w14:solidFill>
          </w14:textFill>
        </w:rPr>
        <w:t xml:space="preserve">在中国境内完成。</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61"/>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60"/>
        <w:ind w:firstLine="480"/>
        <w:jc w:val="both"/>
        <w:spacing w:before="0" w:beforeAutospacing="0" w:after="0" w:afterAutospacing="0" w:line="360" w:lineRule="auto"/>
        <w:rPr>
          <w:rFonts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pStyle w:val="731"/>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60"/>
      <w:r/>
      <w:r/>
    </w:p>
    <w:p>
      <w:pPr>
        <w:pStyle w:val="731"/>
        <w:rPr>
          <w:rFonts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公司（单位）名称（盖章）：</w:t>
      </w:r>
      <w:r/>
    </w:p>
    <w:p>
      <w:pPr>
        <w:rPr>
          <w:rFonts w:ascii="宋体" w:hAnsi="宋体" w:eastAsia="宋体" w:cs="宋体"/>
          <w:sz w:val="24"/>
        </w:rPr>
      </w:pPr>
      <w:r>
        <w:rPr>
          <w:rFonts w:hint="eastAsia" w:ascii="宋体" w:hAnsi="宋体" w:eastAsia="宋体" w:cs="宋体"/>
          <w:sz w:val="24"/>
        </w:rPr>
        <w:t xml:space="preserve">日 期：       年     月     日</w:t>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pStyle w:val="725"/>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（5）中小企业声明函</w:t>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0"/>
          <w:u w:val="single"/>
          <w:shd w:val="clear" w:color="auto" w:fill="ffffff"/>
        </w:rPr>
        <w:t xml:space="preserve">苏州大学</w:t>
      </w:r>
      <w:r>
        <w:rPr>
          <w:rFonts w:hint="eastAsia" w:ascii="宋体" w:hAnsi="宋体" w:eastAsia="宋体" w:cs="宋体"/>
          <w:sz w:val="24"/>
          <w:szCs w:val="20"/>
          <w:shd w:val="clear" w:color="auto" w:fill="ffffff"/>
        </w:rPr>
        <w:t xml:space="preserve">的</w:t>
      </w:r>
      <w:r>
        <w:rPr>
          <w:rFonts w:hint="eastAsia" w:ascii="宋体" w:hAnsi="宋体" w:eastAsia="宋体" w:cs="宋体"/>
          <w:sz w:val="24"/>
          <w:szCs w:val="20"/>
          <w:u w:val="single"/>
          <w:shd w:val="clear" w:color="auto" w:fill="ffffff"/>
        </w:rPr>
        <w:t xml:space="preserve">高效液相色谱</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pStyle w:val="731"/>
        <w:rPr>
          <w:rFonts w:ascii="宋体" w:hAnsi="宋体" w:eastAsia="宋体" w:cs="宋体"/>
          <w:lang w:val="zh-CN"/>
        </w:rPr>
      </w:pPr>
      <w:r>
        <w:rPr>
          <w:rFonts w:ascii="宋体" w:hAnsi="宋体" w:eastAsia="宋体" w:cs="宋体"/>
          <w:lang w:val="zh-CN"/>
        </w:rPr>
      </w:r>
      <w:r/>
    </w:p>
    <w:p>
      <w:pPr>
        <w:ind w:left="42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22"/>
        <w:spacing w:line="380" w:lineRule="exact"/>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rPr>
          <w:rFonts w:ascii="宋体" w:hAnsi="宋体" w:eastAsia="宋体" w:cs="宋体"/>
          <w:b/>
          <w:sz w:val="24"/>
          <w:szCs w:val="20"/>
          <w:shd w:val="clear" w:color="auto" w:fill="ffffff"/>
        </w:rPr>
      </w:pPr>
      <w:r>
        <w:rPr>
          <w:rFonts w:hint="eastAsia" w:ascii="宋体" w:hAnsi="宋体" w:eastAsia="宋体" w:cs="宋体"/>
          <w:sz w:val="24"/>
          <w:shd w:val="clear" w:color="auto" w:fill="ffffff"/>
        </w:rPr>
        <w:br w:type="page" w:clear="all"/>
      </w:r>
      <w:r/>
    </w:p>
    <w:p>
      <w:pPr>
        <w:pStyle w:val="725"/>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（6）残疾人福利性单位声明函</w:t>
      </w:r>
      <w:r/>
    </w:p>
    <w:p>
      <w:pPr>
        <w:jc w:val="center"/>
        <w:spacing w:before="100" w:after="100"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rPr>
          <w:rFonts w:ascii="宋体" w:hAnsi="宋体" w:eastAsia="宋体" w:cs="宋体"/>
          <w:sz w:val="24"/>
          <w:shd w:val="clear" w:color="auto" w:fill="ffffff"/>
        </w:rPr>
      </w:pPr>
      <w:r>
        <w:rPr>
          <w:rFonts w:hint="eastAsia" w:ascii="宋体" w:hAnsi="宋体" w:eastAsia="宋体" w:cs="宋体"/>
          <w:sz w:val="24"/>
          <w:shd w:val="clear" w:color="auto" w:fill="ffffff"/>
        </w:rPr>
        <w:br w:type="page" w:clear="all"/>
      </w:r>
      <w:r/>
    </w:p>
    <w:p>
      <w:pPr>
        <w:jc w:val="left"/>
        <w:spacing w:line="360" w:lineRule="auto"/>
        <w:rPr>
          <w:rFonts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对投标人（供应商）有直接控股、管理关系的单位情况表</w:t>
      </w:r>
      <w:r/>
    </w:p>
    <w:p>
      <w:pPr>
        <w:ind w:firstLine="420"/>
        <w:rPr>
          <w:rFonts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722"/>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482"/>
        <w:jc w:val="left"/>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732"/>
        <w:ind w:left="0" w:firstLine="482"/>
        <w:jc w:val="left"/>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021"/>
        <w:ind w:firstLine="480"/>
        <w:jc w:val="left"/>
        <w:spacing w:line="360" w:lineRule="auto"/>
        <w:rPr>
          <w:rFonts w:hAnsi="宋体" w:eastAsia="宋体" w:cs="宋体"/>
          <w:sz w:val="24"/>
          <w:szCs w:val="24"/>
        </w:rPr>
      </w:pPr>
      <w:r>
        <w:rPr>
          <w:rFonts w:hAnsi="宋体" w:eastAsia="宋体" w:cs="宋体"/>
          <w:sz w:val="24"/>
          <w:szCs w:val="24"/>
        </w:rPr>
      </w:r>
      <w:r/>
    </w:p>
    <w:p>
      <w:pPr>
        <w:pStyle w:val="1021"/>
        <w:ind w:firstLine="480"/>
        <w:jc w:val="left"/>
        <w:spacing w:line="360" w:lineRule="auto"/>
        <w:rPr>
          <w:rFonts w:hAnsi="宋体" w:eastAsia="宋体" w:cs="宋体"/>
          <w:sz w:val="24"/>
          <w:szCs w:val="24"/>
        </w:rPr>
      </w:pPr>
      <w:r>
        <w:rPr>
          <w:rFonts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021"/>
        <w:ind w:firstLine="4440"/>
        <w:jc w:val="right"/>
        <w:spacing w:line="360" w:lineRule="exact"/>
        <w:rPr>
          <w:rFonts w:hAnsi="宋体" w:eastAsia="宋体" w:cs="宋体"/>
          <w:sz w:val="24"/>
          <w:szCs w:val="24"/>
        </w:rPr>
      </w:pPr>
      <w:r>
        <w:rPr>
          <w:rFonts w:hint="eastAsia" w:hAnsi="宋体" w:eastAsia="宋体" w:cs="宋体"/>
          <w:sz w:val="24"/>
          <w:szCs w:val="24"/>
        </w:rPr>
        <w:t xml:space="preserve">日期：　　　年　　月　　日</w:t>
      </w:r>
      <w:r/>
    </w:p>
    <w:p>
      <w:pPr>
        <w:jc w:val="right"/>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733"/>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pStyle w:val="733"/>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62" w:name="_Toc13642115"/>
      <w:r/>
      <w:bookmarkStart w:id="63" w:name="_Toc105940240"/>
      <w:r>
        <w:rPr>
          <w:rFonts w:hint="eastAsia" w:ascii="宋体" w:hAnsi="宋体" w:eastAsia="宋体" w:cs="宋体"/>
          <w:b/>
          <w:sz w:val="52"/>
          <w:szCs w:val="20"/>
          <w:shd w:val="clear" w:color="auto" w:fill="ffffff"/>
        </w:rPr>
        <w:t xml:space="preserve">第四章 招标书</w:t>
      </w:r>
      <w:bookmarkEnd w:id="62"/>
      <w:r/>
      <w:bookmarkEnd w:id="63"/>
      <w:r/>
      <w:r/>
    </w:p>
    <w:p>
      <w:pPr>
        <w:jc w:val="center"/>
        <w:spacing w:line="360" w:lineRule="auto"/>
        <w:rPr>
          <w:rFonts w:ascii="宋体" w:hAnsi="宋体" w:eastAsia="宋体" w:cs="宋体"/>
          <w:b/>
          <w:sz w:val="48"/>
          <w:szCs w:val="48"/>
          <w:shd w:val="clear" w:color="auto" w:fill="ffffff"/>
        </w:rPr>
      </w:pPr>
      <w:r/>
      <w:bookmarkStart w:id="64"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48"/>
          <w:szCs w:val="48"/>
          <w:shd w:val="clear" w:color="auto" w:fill="ffffff"/>
        </w:rPr>
        <w:t xml:space="preserve">招标书</w:t>
      </w:r>
      <w:bookmarkEnd w:id="64"/>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苏州诚和招投标咨询有限公司受苏州大学的委托，就其所需的高效液相色谱进行国内公开招标。欢迎有资格的供应商前来参加投标（响应）。</w:t>
      </w:r>
      <w:r/>
    </w:p>
    <w:p>
      <w:pPr>
        <w:ind w:firstLine="482"/>
        <w:jc w:val="left"/>
        <w:spacing w:line="360" w:lineRule="auto"/>
        <w:rPr>
          <w:rFonts w:hint="eastAsia" w:ascii="宋体" w:hAnsi="宋体" w:eastAsia="宋体" w:cs="宋体"/>
          <w:b/>
          <w:sz w:val="24"/>
          <w:szCs w:val="24"/>
          <w:shd w:val="clear" w:color="auto" w:fill="ffffff"/>
          <w:lang w:eastAsia="zh-CN"/>
        </w:rPr>
        <w:outlineLvl w:val="1"/>
      </w:pPr>
      <w:r>
        <w:rPr>
          <w:rFonts w:hint="eastAsia" w:ascii="宋体" w:hAnsi="宋体" w:eastAsia="宋体" w:cs="宋体"/>
          <w:b/>
          <w:sz w:val="24"/>
          <w:szCs w:val="24"/>
          <w:shd w:val="clear" w:color="auto" w:fill="ffffff"/>
        </w:rPr>
        <w:t xml:space="preserve">一、招标编号：</w:t>
      </w:r>
      <w:bookmarkStart w:id="65" w:name="OLE_LINK1"/>
      <w:r>
        <w:rPr>
          <w:rFonts w:hint="eastAsia" w:ascii="宋体" w:hAnsi="宋体" w:eastAsia="宋体" w:cs="宋体"/>
          <w:sz w:val="24"/>
          <w:lang w:eastAsia="zh-CN"/>
        </w:rPr>
        <w:t xml:space="preserve">JSZC-320500-SZCH-G2026-0039</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360" w:lineRule="auto"/>
        <w:rPr>
          <w:rFonts w:ascii="宋体" w:hAnsi="宋体" w:eastAsia="宋体" w:cs="宋体"/>
          <w:b/>
          <w:bCs/>
          <w:sz w:val="24"/>
          <w:szCs w:val="24"/>
        </w:rPr>
        <w:outlineLvl w:val="1"/>
      </w:pPr>
      <w:r>
        <w:rPr>
          <w:rFonts w:hint="eastAsia" w:ascii="宋体" w:hAnsi="宋体" w:eastAsia="宋体" w:cs="宋体"/>
          <w:b/>
          <w:bCs/>
          <w:sz w:val="24"/>
          <w:szCs w:val="24"/>
          <w:shd w:val="clear" w:color="auto" w:fill="ffffff"/>
        </w:rPr>
        <w:t xml:space="preserve">高效液相色谱 </w:t>
      </w:r>
      <w:r>
        <w:rPr>
          <w:rFonts w:ascii="宋体" w:hAnsi="宋体" w:eastAsia="宋体" w:cs="宋体"/>
          <w:b/>
          <w:bCs/>
          <w:sz w:val="24"/>
          <w:szCs w:val="24"/>
          <w:shd w:val="clear" w:color="auto" w:fill="ffffff"/>
        </w:rPr>
        <w:t xml:space="preserve">  3</w:t>
      </w:r>
      <w:r>
        <w:rPr>
          <w:rFonts w:hint="eastAsia" w:ascii="宋体" w:hAnsi="宋体" w:eastAsia="宋体" w:cs="宋体"/>
          <w:b/>
          <w:bCs/>
          <w:sz w:val="24"/>
          <w:szCs w:val="24"/>
          <w:shd w:val="clear" w:color="auto" w:fill="ffffff"/>
        </w:rPr>
        <w:t xml:space="preserve">套</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（一）主要技术参数要求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1、工作条件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 环境温度：4℃～35℃；</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 相对湿度：20%～85%；</w:t>
      </w:r>
      <w:r>
        <w:rPr>
          <w:rFonts w:ascii="宋体" w:hAnsi="宋体" w:eastAsia="宋体" w:cs="宋体"/>
          <w:sz w:val="24"/>
          <w:szCs w:val="24"/>
        </w:rPr>
        <w:tab/>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 供电电源：220～240V，50～60Hz。</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2、技术指标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 输液泵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2.1.1 泵类型：串联或并联双柱塞往复式高压输液泵（非一体化泵），采用皮带传动方式，避免机械磨损；</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2.1.2 流速范围：0.001-10.000 mL/min（1.0-44 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2.1.3 流速准确度：± 2% 或 ± 2µL/min（其中较大值）；</w:t>
      </w:r>
      <w:r/>
    </w:p>
    <w:p>
      <w:pPr>
        <w:ind w:firstLine="480"/>
        <w:jc w:val="left"/>
        <w:spacing w:line="360" w:lineRule="auto"/>
        <w:rPr>
          <w:rFonts w:ascii="宋体" w:hAnsi="宋体" w:eastAsia="宋体" w:cs="宋体"/>
          <w:sz w:val="24"/>
          <w:szCs w:val="24"/>
        </w:rPr>
      </w:pPr>
      <w:r>
        <w:rPr>
          <w:rFonts w:ascii="Segoe UI" w:hAnsi="Segoe UI" w:eastAsia="Segoe UI" w:cs="Segoe UI"/>
          <w:color w:val="0f1115"/>
          <w:sz w:val="24"/>
          <w:szCs w:val="24"/>
          <w:shd w:val="clear" w:color="auto" w:fill="ffffff"/>
        </w:rPr>
        <w:t xml:space="preserve">★</w:t>
      </w:r>
      <w:r>
        <w:rPr>
          <w:rFonts w:hint="eastAsia" w:ascii="宋体" w:hAnsi="宋体" w:eastAsia="宋体" w:cs="宋体"/>
          <w:sz w:val="24"/>
          <w:szCs w:val="24"/>
        </w:rPr>
        <w:t xml:space="preserve">2.1.4 流速精确度：</w:t>
      </w:r>
      <w:r>
        <w:rPr>
          <w:rFonts w:ascii="宋体" w:hAnsi="宋体" w:eastAsia="宋体" w:cs="宋体"/>
          <w:sz w:val="24"/>
          <w:szCs w:val="24"/>
        </w:rPr>
        <w:t xml:space="preserve">RSD</w:t>
      </w:r>
      <w:r>
        <w:rPr>
          <w:rFonts w:hint="eastAsia" w:ascii="宋体" w:hAnsi="宋体" w:eastAsia="宋体" w:cs="宋体"/>
          <w:sz w:val="24"/>
          <w:szCs w:val="24"/>
        </w:rPr>
        <w:t xml:space="preserve">≤</w:t>
      </w:r>
      <w:r>
        <w:rPr>
          <w:rFonts w:ascii="宋体" w:hAnsi="宋体" w:eastAsia="宋体" w:cs="宋体"/>
          <w:sz w:val="24"/>
          <w:szCs w:val="24"/>
        </w:rPr>
        <w:t xml:space="preserve">0.075%</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2.1.5 工作压力：最大耐压＞40MPa；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2.1.6 梯度曲线：不少于10组梯度文件，单文件梯度段数≥100 段；支持任意曲线梯度编程（线性、步进、凹/凸曲线等）；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2.1.7 梯度组成范围：0.0</w:t>
      </w:r>
      <w:bookmarkStart w:id="66" w:name="OLE_LINK3"/>
      <w:r>
        <w:rPr>
          <w:rFonts w:hint="eastAsia" w:ascii="宋体" w:hAnsi="宋体" w:eastAsia="宋体" w:cs="宋体"/>
          <w:sz w:val="24"/>
          <w:szCs w:val="24"/>
        </w:rPr>
        <w:t xml:space="preserve">～</w:t>
      </w:r>
      <w:bookmarkEnd w:id="66"/>
      <w:r>
        <w:rPr>
          <w:rFonts w:hint="eastAsia" w:ascii="宋体" w:hAnsi="宋体" w:eastAsia="宋体" w:cs="宋体"/>
          <w:sz w:val="24"/>
          <w:szCs w:val="24"/>
        </w:rPr>
        <w:t xml:space="preserve">100.0%，0.1%步进；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2.1.8 梯度混合准确度：高压梯度≤±1.5%；</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2.1.9 高压梯度混合，溶剂通道数≥2路。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 自动进样器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2.2.1 进样方式：全量进样,进样量可变式；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2.2.2 最大耐压：≥40MPa；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2.2.3 进样量设定范围：0.1</w:t>
      </w:r>
      <w:r>
        <w:rPr>
          <w:rFonts w:ascii="Symbol" w:hAnsi="Symbol" w:eastAsia="Symbol" w:cs="Symbol"/>
          <w:sz w:val="24"/>
          <w:szCs w:val="24"/>
        </w:rPr>
        <w:t xml:space="preserve">m</w:t>
      </w:r>
      <w:r>
        <w:rPr>
          <w:rFonts w:hint="eastAsia" w:ascii="宋体" w:hAnsi="宋体" w:eastAsia="宋体" w:cs="宋体"/>
          <w:sz w:val="24"/>
          <w:szCs w:val="24"/>
        </w:rPr>
        <w:t xml:space="preserve">L ～ 50</w:t>
      </w:r>
      <w:r>
        <w:rPr>
          <w:rFonts w:ascii="Symbol" w:hAnsi="Symbol" w:eastAsia="Symbol" w:cs="Symbol"/>
          <w:sz w:val="24"/>
          <w:szCs w:val="24"/>
        </w:rPr>
        <w:t xml:space="preserve">m</w:t>
      </w:r>
      <w:r>
        <w:rPr>
          <w:rFonts w:hint="eastAsia" w:ascii="宋体" w:hAnsi="宋体" w:eastAsia="宋体" w:cs="宋体"/>
          <w:sz w:val="24"/>
          <w:szCs w:val="24"/>
        </w:rPr>
        <w:t xml:space="preserve">L；</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2.2.4 样品瓶数目：样品瓶≥80个(1.5mL样品瓶)；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2.2.5 反复进样次数：1-30次/1个样品；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2.2.6 进样精度＜0.8%RSD；</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2.2.7 进样量准确度：1%以下；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2.2.8 交叉污染＜0.0</w:t>
      </w:r>
      <w:r>
        <w:rPr>
          <w:rFonts w:ascii="宋体" w:hAnsi="宋体" w:eastAsia="宋体" w:cs="宋体"/>
          <w:sz w:val="24"/>
          <w:szCs w:val="24"/>
        </w:rPr>
        <w:t xml:space="preserve">5</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2.2.9 吸样速度： 0.1 ～ 15 </w:t>
      </w:r>
      <w:r>
        <w:rPr>
          <w:rFonts w:ascii="Symbol" w:hAnsi="Symbol" w:eastAsia="Symbol" w:cs="Symbol"/>
          <w:sz w:val="24"/>
          <w:szCs w:val="24"/>
        </w:rPr>
        <w:t xml:space="preserve">m</w:t>
      </w:r>
      <w:r>
        <w:rPr>
          <w:rFonts w:hint="eastAsia" w:ascii="宋体" w:hAnsi="宋体" w:eastAsia="宋体" w:cs="宋体"/>
          <w:sz w:val="24"/>
          <w:szCs w:val="24"/>
        </w:rPr>
        <w:t xml:space="preserve">L/sec；</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2.2.10 进样针清洗：在进样前后任意设定/内外清洗功能/清洗液，有在线自动脱气；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2.2.11 使用pH范围： pH1 ～ pH13。</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 脱气单元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2.3.1 流路数≥3 个；</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2.3.2 单流路最大流速</w:t>
      </w:r>
      <w:bookmarkStart w:id="67" w:name="OLE_LINK7"/>
      <w:r>
        <w:rPr>
          <w:rFonts w:hint="eastAsia" w:ascii="宋体" w:hAnsi="宋体" w:eastAsia="宋体" w:cs="宋体"/>
          <w:sz w:val="24"/>
          <w:szCs w:val="24"/>
        </w:rPr>
        <w:t xml:space="preserve">≥</w:t>
      </w:r>
      <w:bookmarkEnd w:id="67"/>
      <w:r>
        <w:rPr>
          <w:rFonts w:hint="eastAsia" w:ascii="宋体" w:hAnsi="宋体" w:eastAsia="宋体" w:cs="宋体"/>
          <w:sz w:val="24"/>
          <w:szCs w:val="24"/>
        </w:rPr>
        <w:t xml:space="preserve">10mL/min；</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2.3.3 单流路内部容量≥ 400μL；</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2.3.4 压力阻力：±0.1MPa。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 柱温箱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2.4.1 容量：可放置≥4根常规规格色谱柱和两个手动进样器, 梯度混合器、柱切换阀等；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2.4.2 温度控制范围：(室温+10)℃ ～ 85℃；</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2.4.3 温度设定范围包括4℃ ～ 85℃（步距为 1℃）；</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2.4.4 控温方式：强制空气循环；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2.4.5 温度稳定性：±0.2℃；</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2.4.6 安全措施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a.为防止过热，可设定使用最高温度保护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b.内装温度保险丝；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c.内装可燃溶剂漏液传感器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2.4.7 时间程序功能：温度设定变更，温度控制启动、停止。≥200 步，0.1-999.9分，支持线性控温；</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2.4.8 控制方式：软件控制、面板控制。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 紫外检测器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2.5.1 波长范围：190～700nm；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2.5.2 波长准确度：±2nm；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2.5.3 波长精密度：±0.1nm；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2.5.4 噪音（AU）：0.5 ×10</w:t>
      </w:r>
      <w:r>
        <w:rPr>
          <w:rFonts w:hint="eastAsia" w:ascii="宋体" w:hAnsi="宋体" w:eastAsia="宋体" w:cs="宋体"/>
          <w:sz w:val="24"/>
          <w:szCs w:val="24"/>
          <w:vertAlign w:val="superscript"/>
        </w:rPr>
        <w:t xml:space="preserve">-5</w:t>
      </w:r>
      <w:r>
        <w:rPr>
          <w:rFonts w:hint="eastAsia" w:ascii="宋体" w:hAnsi="宋体" w:eastAsia="宋体" w:cs="宋体"/>
          <w:sz w:val="24"/>
          <w:szCs w:val="24"/>
        </w:rPr>
        <w:t xml:space="preserve">AU（250nm，室温恒定，池内空气）；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2.5.5 双通道功能：有；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2.5.6 漂移：0.5×10</w:t>
      </w:r>
      <w:r>
        <w:rPr>
          <w:rFonts w:hint="eastAsia" w:ascii="宋体" w:hAnsi="宋体" w:eastAsia="宋体" w:cs="宋体"/>
          <w:sz w:val="24"/>
          <w:szCs w:val="24"/>
          <w:vertAlign w:val="superscript"/>
        </w:rPr>
        <w:t xml:space="preserve">-4</w:t>
      </w:r>
      <w:r>
        <w:rPr>
          <w:rFonts w:hint="eastAsia" w:ascii="宋体" w:hAnsi="宋体" w:eastAsia="宋体" w:cs="宋体"/>
          <w:sz w:val="24"/>
          <w:szCs w:val="24"/>
        </w:rPr>
        <w:t xml:space="preserve"> AU/0.5h（250nm，室温恒定，池内空气）；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2.5.7 线性范围：0.0001～2.5AU；</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2.5.8 谱带宽：8nm；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2.5.9 标准流通池：光程10mm，池体积12</w:t>
      </w:r>
      <w:r>
        <w:rPr>
          <w:rFonts w:ascii="Symbol" w:hAnsi="Symbol" w:eastAsia="Symbol" w:cs="Symbol"/>
          <w:sz w:val="24"/>
          <w:szCs w:val="24"/>
        </w:rPr>
        <w:t xml:space="preserve">m</w:t>
      </w:r>
      <w:r>
        <w:rPr>
          <w:rFonts w:hint="eastAsia" w:ascii="宋体" w:hAnsi="宋体" w:eastAsia="宋体" w:cs="宋体"/>
          <w:sz w:val="24"/>
          <w:szCs w:val="24"/>
        </w:rPr>
        <w:t xml:space="preserve">L，池压上限12MPa；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2.5.10 池温控制：可以，室温＋5～50℃；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2.5.11 扫描（储存）：可停泵作UV光谱图扫描（寻找最大吸收波长）；</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2.5.12 极性切换：可以。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 荧光检测器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2.6.1 光源：氙灯；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2.6.2 波长范围： 200～640nm；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2.6.3 光谱带宽：20nm；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2.6.4 波长准确度：±2nm；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2.6.5 波长精度：±0.2nm；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2.6.6 S/N：水的拉曼峰＞S/N1200，暗背景下＞S/N8000；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2.6.7 检测池：体积12μL，最大耐压2MPa。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2.7系统控制器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2.7.1 可控制模块数量：8个（可扩展到12个）；</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2.7.2 扩展板：2个。</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 工作站软件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2.8.1 功能构成：图形化工作界面，含仪器控制、数据采集、数据处理、PDF报告等功能；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2.8.2 连接方式：支持大容量接口卡、TCP/IP 网卡连接；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2.8.3 语言：中文/英文/日文；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2.8.4 操作系统：Windows 10 64位专业版；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2.8.5 支持系统适用性测试功能（SST）；</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2.8.6 支持手机等智能终端监测/操作/分析；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2.8.7 GMP合规功能：符合数据完整性功能要求，如用户管理、权限分级管理、审计追踪、日志记录等功能，数据完整性支持：所有分析数据，包括实验计划、设计空间和色谱图及报告等，通过同一数据库进行管理；</w:t>
      </w:r>
      <w:r/>
    </w:p>
    <w:p>
      <w:pPr>
        <w:numPr>
          <w:ilvl w:val="0"/>
          <w:numId w:val="4"/>
        </w:numPr>
        <w:ind w:firstLine="480"/>
        <w:jc w:val="left"/>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配置清单（单套配置）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配置一（2套，每套配置如下）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1、输液泵  2套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2、自动进样器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3、色谱柱温箱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4、紫外可见光检测器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5、系统控制器   1套</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6、原厂色谱控制软件  1 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7、计算工作站  1台</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配置二（1套，每套配置如下）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1、输液泵  2套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2、自动进样器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3、色谱柱温箱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4、紫外可见光检测器  1套</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5、荧光检测器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6、系统控制器   1套</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7、原厂色谱控制软件  1 套 </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、计算工作站  1台</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（三）交付及安装调试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1、交付流程：供应商应当在合同签订后</w:t>
      </w:r>
      <w:r>
        <w:rPr>
          <w:rFonts w:ascii="宋体" w:hAnsi="宋体" w:eastAsia="宋体" w:cs="宋体"/>
          <w:bCs/>
          <w:sz w:val="24"/>
          <w:szCs w:val="24"/>
        </w:rPr>
        <w:t xml:space="preserve">60</w:t>
      </w:r>
      <w:r>
        <w:rPr>
          <w:rFonts w:hint="eastAsia" w:ascii="宋体" w:hAnsi="宋体" w:eastAsia="宋体" w:cs="宋体"/>
          <w:bCs/>
          <w:sz w:val="24"/>
          <w:szCs w:val="24"/>
        </w:rPr>
        <w:t xml:space="preserve">天内将货物运送至采购人指定仓库，由双方对货物进行预验收。预验收合格后，供应商应在接到采购人通知后5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安装、调试及培训：供应商完成二次运输后的5个工作日内，采购方与供应商应确认安装调试日期，采购方应根据供应商要求准备好安装调试条件，供应商派专人到现场进行安装调试，并对采购方人员进行相关培训。</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（四）验收标准</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1、预验收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货物到达采购方指定的仓库后，对货物包装是否完好进行验收。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2、最终验收</w:t>
      </w:r>
      <w:r/>
    </w:p>
    <w:p>
      <w:pPr>
        <w:ind w:firstLine="482"/>
        <w:jc w:val="left"/>
        <w:spacing w:line="360" w:lineRule="auto"/>
        <w:rPr>
          <w:rFonts w:ascii="宋体" w:hAnsi="宋体" w:eastAsia="宋体" w:cs="宋体"/>
          <w:bCs/>
          <w:sz w:val="24"/>
          <w:szCs w:val="24"/>
        </w:rPr>
        <w:outlineLvl w:val="1"/>
      </w:pPr>
      <w:r/>
      <w:bookmarkStart w:id="68" w:name="_Hlk234652762"/>
      <w:r>
        <w:rPr>
          <w:rFonts w:hint="eastAsia" w:ascii="宋体" w:hAnsi="宋体" w:eastAsia="宋体" w:cs="宋体"/>
          <w:bCs/>
          <w:sz w:val="24"/>
          <w:szCs w:val="24"/>
        </w:rPr>
        <w:t xml:space="preserve">货物安装调试完成后，按招标文件及中标单位的投标文件中的技术指标进行验收，其他指标应按国际、国家相关标准、行业通行标准及厂方出厂标准进行验收。</w:t>
      </w:r>
      <w:bookmarkEnd w:id="68"/>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（五）质保服务要求</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1、设备免费质保期不少于5年，自最终验收完成合格之日起算。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（六）付款条款</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1、合同签订且采购人收到中标单位缴纳的履约保证金后支付10%预付款；设备运至采购人指定仓库且预验收合格后支付40%货款；</w:t>
      </w:r>
      <w:bookmarkStart w:id="69" w:name="_Hlk234655163"/>
      <w:r>
        <w:rPr>
          <w:rFonts w:hint="eastAsia" w:ascii="宋体" w:hAnsi="宋体" w:eastAsia="宋体" w:cs="宋体"/>
          <w:bCs/>
          <w:sz w:val="24"/>
          <w:szCs w:val="24"/>
        </w:rPr>
        <w:t xml:space="preserve">设备完成二次运输、安装、调试，双方签署最终验收合格证明后支付50%货款。</w:t>
      </w:r>
      <w:bookmarkEnd w:id="69"/>
      <w:r>
        <w:rPr>
          <w:rFonts w:hint="eastAsia" w:ascii="宋体" w:hAnsi="宋体" w:eastAsia="宋体" w:cs="宋体"/>
          <w:bCs/>
          <w:sz w:val="24"/>
          <w:szCs w:val="24"/>
        </w:rPr>
        <w:t xml:space="preserve">每次付款前，中标单位均须提供对应的等额增值税专用发票。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履约保证金：中标单位须在签订合同前向采购方缴纳合同金额的10%作为履约保证金，至双方签署最终验收合格证明之日起稳定运行1年后无息退还。履约保证金形式：以支票、汇票、本票或者金融机构、担保机构出具的见索即付保函等非现金形式提交（保函内容须经学校认可）。</w:t>
      </w:r>
      <w:r/>
    </w:p>
    <w:p>
      <w:pPr>
        <w:ind w:firstLine="482"/>
        <w:jc w:val="left"/>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（七）采购主要标的物数量、交付期及交付方式、付款方式、质保期、质保方式及★参数属于实质性响应要求，不得出现负偏离，否则视为无效投标。</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4、售后服务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质保期内根据采购人需要提供免费保养服务，质保期满后每年提供一次免费保养，软件终身免费升级，保证零配件的供给。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5、报价要求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（1）报价币种为人民币。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共一个采购包，投标总报价一次报定，投标总报价应包括完成对应采购包所有相关工作可能发生的一切费用，包括全部所投货物及备品、备件、辅配件和专用工具费用、税费及包装、仓储、运至最终目的地的运输、保险、检测验收、安装、调试、技术支持与培训、伴随服务/售后服务与维保及相关劳务支出等工作所发生的全部费用以及投标人企业利润、税金和政策性文件规定及合同包含的所有风险、责任等各项应有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（3）报价为固定价格，在合同执行过程中不因交货时间更改、物价变动、政策变动、投标人漏项或少报等风险因素而调整。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7、单位负责人为同一人或者存在直接控股、管理关系的不同供应商，不得参加同一合同项下的政府采购活动。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8、为本项目提供整体设计、规范编制或者项目管理、监理、监测等服务的供应商，不得再参加该采购项目的其他采购活动。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9、如接受进口产品投标的项目，优先采购向我国企业转让技术、与我国企业签订消化吸收再创新方案的供应商的进口产品。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10、采购项目需要落实的政府采购政策：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10.1根据财政部、工业和信息化部关于印发《政府采购促进中小企业发展管理办法》的规定执行。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10.2根据财政部、司法部《关于政府采购支持监狱企业发展有关问题的通知》（财库〔2014〕68号）的规定执行。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10.3根据财政部、民政部、中国残疾人联合会《关于促进残疾人就业政府采购政策的通知》（财库〔2017〕141号）的规定执行。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10.4绿色采购（本项目不涉及节能环保产品采购）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jc w:val="left"/>
        <w:spacing w:line="360" w:lineRule="auto"/>
        <w:rPr>
          <w:rFonts w:ascii="宋体" w:hAnsi="宋体" w:eastAsia="宋体" w:cs="宋体"/>
        </w:rPr>
      </w:pPr>
      <w:r>
        <w:rPr>
          <w:rFonts w:hint="eastAsia" w:ascii="宋体" w:hAnsi="宋体" w:eastAsia="宋体" w:cs="宋体"/>
          <w:sz w:val="24"/>
          <w:szCs w:val="24"/>
        </w:rPr>
        <w:t xml:space="preserve">11、凡涉及采购文件的补充说明和修改，均以政府采购网所发布的公告为准。</w:t>
      </w:r>
      <w:r/>
    </w:p>
    <w:p>
      <w:pPr>
        <w:ind w:firstLine="420"/>
        <w:spacing w:line="360" w:lineRule="auto"/>
        <w:rPr>
          <w:rFonts w:ascii="宋体" w:hAnsi="宋体" w:eastAsia="宋体" w:cs="宋体"/>
        </w:rPr>
      </w:pPr>
      <w:r>
        <w:rPr>
          <w:rFonts w:hint="eastAsia" w:ascii="宋体" w:hAnsi="宋体" w:eastAsia="宋体" w:cs="宋体"/>
        </w:rPr>
        <w:br w:type="page" w:clear="all"/>
      </w:r>
      <w:r/>
    </w:p>
    <w:p>
      <w:pPr>
        <w:pStyle w:val="927"/>
        <w:rPr>
          <w:rFonts w:hAnsi="宋体"/>
        </w:rPr>
      </w:pPr>
      <w:r>
        <w:rPr>
          <w:rFonts w:hAnsi="宋体"/>
        </w:rPr>
      </w:r>
      <w:r/>
    </w:p>
    <w:p>
      <w:pPr>
        <w:pStyle w:val="732"/>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48"/>
          <w:szCs w:val="48"/>
          <w:shd w:val="clear" w:color="auto" w:fill="ffffff"/>
        </w:rPr>
        <w:outlineLvl w:val="0"/>
      </w:pPr>
      <w:r/>
      <w:bookmarkStart w:id="70" w:name="_Toc105940241"/>
      <w:r/>
      <w:bookmarkStart w:id="71" w:name="_Toc396747046"/>
      <w:r>
        <w:rPr>
          <w:rFonts w:hint="eastAsia" w:ascii="宋体" w:hAnsi="宋体" w:eastAsia="宋体" w:cs="宋体"/>
          <w:b/>
          <w:sz w:val="48"/>
          <w:szCs w:val="48"/>
          <w:shd w:val="clear" w:color="auto" w:fill="ffffff"/>
        </w:rPr>
        <w:t xml:space="preserve">第五章 合同主要条款</w:t>
      </w:r>
      <w:bookmarkEnd w:id="70"/>
      <w:r/>
      <w:bookmarkEnd w:id="71"/>
      <w:r/>
      <w:r/>
    </w:p>
    <w:p>
      <w:pPr>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bookmarkEnd w:id="65"/>
      <w:r/>
      <w:r/>
    </w:p>
    <w:p>
      <w:pPr>
        <w:ind w:firstLine="482"/>
        <w:jc w:val="center"/>
        <w:spacing w:after="181"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bookmarkStart w:id="72" w:name="_Toc13642118"/>
      <w:r/>
      <w:bookmarkStart w:id="73" w:name="_Toc13889378"/>
      <w:r>
        <w:rPr>
          <w:rFonts w:hint="eastAsia" w:ascii="宋体" w:hAnsi="宋体" w:eastAsia="宋体" w:cs="宋体"/>
          <w:b/>
          <w:sz w:val="44"/>
        </w:rPr>
        <w:t xml:space="preserve">政府采购合同书</w:t>
      </w:r>
      <w:r/>
    </w:p>
    <w:p>
      <w:pPr>
        <w:jc w:val="right"/>
        <w:spacing w:line="360" w:lineRule="auto"/>
        <w:rPr>
          <w:b/>
          <w:sz w:val="24"/>
        </w:rPr>
      </w:pPr>
      <w:r>
        <w:rPr>
          <w:rFonts w:hint="eastAsia"/>
          <w:b/>
          <w:sz w:val="24"/>
        </w:rPr>
        <w:t xml:space="preserve">合同编号：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甲 </w:t>
      </w:r>
      <w:r>
        <w:rPr>
          <w:rFonts w:ascii="宋体" w:hAnsi="宋体" w:eastAsia="宋体"/>
          <w:sz w:val="24"/>
          <w:szCs w:val="24"/>
        </w:rPr>
        <w:t xml:space="preserve">   </w:t>
      </w:r>
      <w:r>
        <w:rPr>
          <w:rFonts w:hint="eastAsia" w:ascii="宋体" w:hAnsi="宋体" w:eastAsia="宋体"/>
          <w:sz w:val="24"/>
          <w:szCs w:val="24"/>
        </w:rPr>
        <w:t xml:space="preserve">方：苏州大学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址：苏州市东环路50号</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乙 </w:t>
      </w:r>
      <w:r>
        <w:rPr>
          <w:rFonts w:ascii="宋体" w:hAnsi="宋体" w:eastAsia="宋体"/>
          <w:sz w:val="24"/>
          <w:szCs w:val="24"/>
        </w:rPr>
        <w:t xml:space="preserve">   </w:t>
      </w:r>
      <w:r>
        <w:rPr>
          <w:rFonts w:hint="eastAsia" w:ascii="宋体" w:hAnsi="宋体" w:eastAsia="宋体"/>
          <w:sz w:val="24"/>
          <w:szCs w:val="24"/>
        </w:rPr>
        <w:t xml:space="preserve">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lang w:val="zh-CN"/>
        </w:rPr>
        <w:t xml:space="preserve">根据政府采购编号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号采购文件及乙方中标的投标文件和中标通知书，甲乙双方就此次中标的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事宜，签订本合同书。</w:t>
      </w:r>
      <w:r/>
    </w:p>
    <w:p>
      <w:pPr>
        <w:ind w:left="1325" w:hanging="765"/>
        <w:jc w:val="left"/>
        <w:spacing w:line="360" w:lineRule="auto"/>
        <w:rPr>
          <w:rFonts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33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型号、规格</w:t>
            </w:r>
            <w:r/>
          </w:p>
        </w:tc>
        <w:tc>
          <w:tcPr>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Borders>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单价（万元人民币）</w:t>
            </w:r>
            <w:r/>
          </w:p>
        </w:tc>
        <w:tc>
          <w:tcPr>
            <w:tcBorders>
              <w:left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总价（万元人民币）</w:t>
            </w:r>
            <w:r/>
          </w:p>
        </w:tc>
        <w:tc>
          <w:tcPr>
            <w:tcBorders>
              <w:lef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品牌</w:t>
            </w:r>
            <w:r/>
          </w:p>
        </w:tc>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产地</w:t>
            </w:r>
            <w:r/>
          </w:p>
        </w:tc>
      </w:tr>
      <w:tr>
        <w:trPr>
          <w:trHeight w:val="300"/>
        </w:trPr>
        <w:tc>
          <w:tcPr>
            <w:tcBorders>
              <w:bottom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00"/>
        </w:trPr>
        <w:tc>
          <w:tcPr>
            <w:tcBorders>
              <w:bottom w:val="single" w:color="auto" w:sz="4" w:space="0"/>
              <w:right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4" w:space="0"/>
              <w:bottom w:val="single" w:color="auto" w:sz="4" w:space="0"/>
              <w:right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150"/>
        </w:trPr>
        <w:tc>
          <w:tcPr>
            <w:tcBorders>
              <w:top w:val="single" w:color="auto" w:sz="4" w:space="0"/>
              <w:right w:val="single" w:color="auto" w:sz="4" w:space="0"/>
            </w:tcBorders>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right w:val="single" w:color="auto" w:sz="4" w:space="0"/>
            </w:tcBorders>
            <w:tcW w:w="133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517"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46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tcBorders>
            <w:tcW w:w="109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r>
    </w:tbl>
    <w:p>
      <w:pPr>
        <w:ind w:left="1325" w:hanging="765"/>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第二条 合同总价款   </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本合同项下货物总价款为人民币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总价款包括完成对应采购包所有相关工作可能发生的一切费用，包括全部所投货物及备品、备件、辅配件和专用工具费用、税费及包装、仓储、运至最终目的地的运输、保险、检测验收、安装、调试、技术支持与培训、伴随服务/售后服务与维保及相关劳务支出等工作所发生的全部费用以及投标人企业利润、税金和政策性文件规定及合同包含的所有风险、责任等各项应有费用。</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本合同执行期间合同总价款不变。</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第三条  履约保证金</w:t>
      </w:r>
      <w:r/>
    </w:p>
    <w:p>
      <w:pPr>
        <w:ind w:firstLine="560"/>
        <w:jc w:val="left"/>
        <w:spacing w:line="360" w:lineRule="auto"/>
        <w:rPr>
          <w:rFonts w:ascii="宋体" w:hAnsi="宋体" w:eastAsia="宋体" w:cs="宋体"/>
          <w:b/>
          <w:sz w:val="24"/>
          <w:szCs w:val="24"/>
        </w:rPr>
      </w:pPr>
      <w:r>
        <w:rPr>
          <w:rFonts w:hint="eastAsia" w:ascii="宋体" w:hAnsi="宋体" w:eastAsia="宋体" w:cs="宋体"/>
          <w:sz w:val="24"/>
          <w:szCs w:val="24"/>
        </w:rPr>
        <w:t xml:space="preserve">乙方须在签订合同前缴纳合同金额的10%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第四条  权利保证</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第五条  质量保证</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3、设备的质保期为甲乙双方最终验收合格之日起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个月。质保期内仪器设备本身所发生的问题（人为因素除外），由乙方提供完全无偿的维修服务。</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第六条  包装要求</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2、每一包装单元内应附详细的装箱单、质量合格凭证以及其他必须的相关材料。</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第七条  交货</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1、乙方应在本合同生效后</w:t>
      </w:r>
      <w:r>
        <w:rPr>
          <w:rFonts w:hint="eastAsia" w:ascii="宋体" w:hAnsi="宋体" w:eastAsia="宋体" w:cs="宋体"/>
          <w:sz w:val="24"/>
          <w:szCs w:val="24"/>
          <w:u w:val="single"/>
        </w:rPr>
        <w:t xml:space="preserve">60</w:t>
      </w:r>
      <w:r>
        <w:rPr>
          <w:rFonts w:hint="eastAsia" w:ascii="宋体" w:hAnsi="宋体" w:eastAsia="宋体" w:cs="宋体"/>
          <w:sz w:val="24"/>
          <w:szCs w:val="24"/>
        </w:rPr>
        <w:t xml:space="preserve">天内按照甲方要求将货物运送至指定仓库开展预验收。预验收合格后，乙方应当在接到甲方通知后5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第八条 安装调试、培训和验收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3、验收条款</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（1）预验收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货物到达采购方指定的仓库后，对货物包装是否完好进行验收。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（2）最终验收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货物安装调试完成后，按如下指标进行逐项测试：</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液相色谱系统验收：流速范围0.001-10.000mL/min，最高耐压＞40MPa；流速精密度≤0.075%RSD，高压梯度混合准确度≤±1.5%；进样量0.1-50μL全量可变，进样精密度＜0.8%RSD，交叉污染＜0.05%；样品位≥80位；管路兼容pH1~13，连续进样无堵针、残留异常。</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2.柱温箱及脱气单元验收：温控范围4-85℃（可低至室温以下10℃），控温精度≤±0.2℃；可放置≥4根色谱柱，具备三重安全防护；3路独立脱气流路，脱气压力波动≤±0.1MPa，基线无气泡干扰。</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3.检测系统验收：紫外检测器波长190-700nm，基线噪音≤0.5×10</w:t>
      </w:r>
      <w:r>
        <w:rPr>
          <w:rFonts w:ascii="宋体" w:hAnsi="宋体" w:eastAsia="宋体" w:cs="宋体"/>
          <w:sz w:val="24"/>
          <w:szCs w:val="24"/>
          <w:vertAlign w:val="superscript"/>
        </w:rPr>
        <w:t xml:space="preserve">-5</w:t>
      </w:r>
      <w:r>
        <w:rPr>
          <w:rFonts w:hint="eastAsia" w:ascii="宋体" w:hAnsi="宋体" w:eastAsia="宋体" w:cs="宋体"/>
          <w:sz w:val="24"/>
          <w:szCs w:val="24"/>
        </w:rPr>
        <w:t xml:space="preserve">AU，漂移≤0.5×10</w:t>
      </w:r>
      <w:r>
        <w:rPr>
          <w:rFonts w:ascii="宋体" w:hAnsi="宋体" w:eastAsia="宋体" w:cs="宋体"/>
          <w:sz w:val="24"/>
          <w:szCs w:val="24"/>
          <w:vertAlign w:val="superscript"/>
        </w:rPr>
        <w:t xml:space="preserve">-4</w:t>
      </w:r>
      <w:r>
        <w:rPr>
          <w:rFonts w:hint="eastAsia" w:ascii="宋体" w:hAnsi="宋体" w:eastAsia="宋体" w:cs="宋体"/>
          <w:sz w:val="24"/>
          <w:szCs w:val="24"/>
        </w:rPr>
        <w:t xml:space="preserve">AU/0.5h；荧光检测器波长200-640nm，纯水拉曼信噪比＞1200；双检测器协同工作正常，标准品测试峰形稳定。</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4.软件系统验收：图形化中文界面，具备仪器控制、数据采集、谱图处理、报告输出全套功能；内置分级权限、审计追踪、完整日志，满足GMP数据完整性要求；支持LIMS对接；批量运行无崩溃，数据自动保存可追溯。</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5.整机联机运行与售后验收：泵、进样器、柱温箱、双检测器连续8小时序列进样，各模块协同稳定，无报警、压力漂移、基线抬升、残留超标等异常；可提供IQ、OQ验证报告及现场装机培训。</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第九条  伴随服务／售后服务</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1、乙方应按照国家有关法律法规规章和“三包”规定以及合同所附的“服务承诺”（如果有）提供服务。</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2、除前款规定外，乙方还应提供下列服务：</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（1）货物的现场安装、调试和/或启动监督；</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（2）就货物的安装、启动、运行及维护等对甲方人员进行免费培训。</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6、质保期后的货物维护由双方协商确定。</w:t>
      </w:r>
      <w:r/>
    </w:p>
    <w:p>
      <w:pPr>
        <w:ind w:firstLine="560"/>
        <w:jc w:val="left"/>
        <w:spacing w:line="360" w:lineRule="auto"/>
        <w:tabs>
          <w:tab w:val="left" w:pos="1620" w:leader="none"/>
        </w:tabs>
        <w:rPr>
          <w:rFonts w:ascii="宋体" w:hAnsi="宋体" w:eastAsia="宋体" w:cs="宋体"/>
          <w:b/>
          <w:bCs/>
          <w:sz w:val="24"/>
          <w:szCs w:val="24"/>
        </w:rPr>
      </w:pPr>
      <w:r>
        <w:rPr>
          <w:rFonts w:hint="eastAsia" w:ascii="宋体" w:hAnsi="宋体" w:eastAsia="宋体" w:cs="宋体"/>
          <w:b/>
          <w:bCs/>
          <w:sz w:val="24"/>
          <w:szCs w:val="24"/>
        </w:rPr>
        <w:t xml:space="preserve">第十条   货款支付</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2、本合同按照以下付款节点及条件支付：</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（1）合同签订且甲方收到乙方缴纳的履约保证金后支付合同总金额的10%作为预付款；</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（2）设备运至甲方指定仓库且预验收合格后支付合同总金额的40%；</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（3）设备完成二次运输、安装、调试，双方签署最终验收合格证明后支付合同总金额的50%。 </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（4）每次付款前，乙方均须提供对应的等额增值税专用发票。</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乙方开户银行：</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银行账号：</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3、付款方式：银行汇票或转账</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bl>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第十一条　违约责任</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1、乙方逾期将货物运送至甲方指定仓库的，每逾期1周（不足1周按1周计算），乙方向甲方偿付逾期交货部分合同总价的5‰的滞纳金。如乙方逾期</w:t>
      </w:r>
      <w:r>
        <w:rPr>
          <w:rFonts w:hint="eastAsia" w:ascii="宋体" w:hAnsi="宋体" w:eastAsia="宋体" w:cs="宋体"/>
          <w:sz w:val="24"/>
          <w:szCs w:val="24"/>
          <w:u w:val="single"/>
        </w:rPr>
        <w:t xml:space="preserve">15</w:t>
      </w:r>
      <w:r>
        <w:rPr>
          <w:rFonts w:hint="eastAsia" w:ascii="宋体" w:hAnsi="宋体" w:eastAsia="宋体" w:cs="宋体"/>
          <w:sz w:val="24"/>
          <w:szCs w:val="24"/>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2、乙方所交付的货物品种、型号、规格不符合合同规定的，甲方有权拒收，乙方应向甲方支付合同总价10%的违约金，甲方有权直接从乙方缴纳的履约保证金中扣除上述违约金。</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合同总价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第十二条  不可抗力</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2、因不可抗力致使完全不能履行合同的，本协议终止，双方无须承担任何责任，但本协议另有规定的除外。</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5、因合同一方延迟履行合同后发生不可抗力的，不能免除延迟履行方的相应责任。</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第十三条　合同的变更和终止</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本合同一经签订，甲乙双方不得擅自变更、中止或终止合同。</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第十四条　合同的转让</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未经甲方书面同意，乙方不得擅自部分或全部转让其应履行的合同义务。</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第十五条  争议的解决</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第十六条   合同生效及其他</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1、下列文件作为本合同不可分割的部分：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采购文件及其附件；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乙方的响应文件；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乙方在采购过程中所作的其他承诺、声明、书面澄清等；</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合同附件等。</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2、本合同自合同双方签字、盖章之日起生效。</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3、本合同一式5 份，甲方执 3 份，乙方执 1 份，代理机构执1份，具有同等法律效力。</w:t>
      </w:r>
      <w:r/>
    </w:p>
    <w:p>
      <w:pPr>
        <w:ind w:firstLine="56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甲方（盖章）：                   乙方（盖章）：    </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设备购置负责人：                 授权代表：</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电话：                           电话：</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采购部门经办人：                 经办人：</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        审核人：</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日期：   年     月    日         日期：   年     月    日           </w:t>
      </w:r>
      <w:r/>
    </w:p>
    <w:p>
      <w:pPr>
        <w:jc w:val="left"/>
        <w:spacing w:line="48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br w:type="page" w:clear="all"/>
      </w:r>
      <w:r>
        <w:rPr>
          <w:rFonts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74" w:name="_Toc105940242"/>
      <w:r>
        <w:rPr>
          <w:rFonts w:hint="eastAsia" w:ascii="宋体" w:hAnsi="宋体" w:eastAsia="宋体" w:cs="宋体"/>
          <w:b/>
          <w:sz w:val="52"/>
          <w:szCs w:val="20"/>
          <w:shd w:val="clear" w:color="auto" w:fill="ffffff"/>
        </w:rPr>
        <w:t xml:space="preserve">第六章 评分</w:t>
      </w:r>
      <w:bookmarkEnd w:id="72"/>
      <w:r/>
      <w:bookmarkEnd w:id="73"/>
      <w:r>
        <w:rPr>
          <w:rFonts w:hint="eastAsia" w:ascii="宋体" w:hAnsi="宋体" w:eastAsia="宋体" w:cs="宋体"/>
          <w:b/>
          <w:sz w:val="52"/>
          <w:szCs w:val="20"/>
          <w:shd w:val="clear" w:color="auto" w:fill="ffffff"/>
        </w:rPr>
        <w:t xml:space="preserve">标准</w:t>
      </w:r>
      <w:bookmarkEnd w:id="74"/>
      <w:r/>
      <w:r/>
    </w:p>
    <w:p>
      <w:pPr>
        <w:ind w:firstLine="520"/>
        <w:spacing w:line="360" w:lineRule="auto"/>
        <w:rPr>
          <w:rFonts w:ascii="宋体" w:hAnsi="宋体" w:eastAsia="宋体" w:cs="宋体"/>
          <w:sz w:val="24"/>
          <w:szCs w:val="24"/>
        </w:rPr>
        <w:outlineLvl w:val="1"/>
      </w:pPr>
      <w:r/>
      <w:bookmarkStart w:id="75" w:name="OLE_LINK2"/>
      <w:r>
        <w:rPr>
          <w:rFonts w:hint="eastAsia" w:ascii="宋体" w:hAnsi="宋体" w:eastAsia="宋体" w:cs="宋体"/>
          <w:sz w:val="26"/>
          <w:szCs w:val="20"/>
          <w:shd w:val="clear" w:color="auto" w:fill="ffffff"/>
        </w:rPr>
        <w:br w:type="page" w:clear="all"/>
      </w:r>
      <w:bookmarkEnd w:id="75"/>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32"/>
        <w:ind w:left="0" w:firstLine="480"/>
        <w:spacing w:line="360" w:lineRule="auto"/>
        <w:rPr>
          <w:rFonts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30 </w:t>
      </w:r>
      <w:r>
        <w:rPr>
          <w:rFonts w:hint="eastAsia" w:ascii="宋体" w:hAnsi="宋体" w:eastAsia="宋体" w:cs="宋体"/>
          <w:b/>
          <w:sz w:val="24"/>
          <w:szCs w:val="24"/>
        </w:rPr>
        <w:t xml:space="preserve">分</w:t>
      </w:r>
      <w:r/>
    </w:p>
    <w:p>
      <w:pPr>
        <w:ind w:firstLine="480"/>
        <w:spacing w:line="360" w:lineRule="auto"/>
        <w:rPr>
          <w:rFonts w:ascii="宋体" w:hAnsi="宋体" w:eastAsia="宋体" w:cs="宋体"/>
          <w:sz w:val="24"/>
          <w:szCs w:val="24"/>
        </w:rPr>
      </w:pPr>
      <w:r/>
      <w:bookmarkStart w:id="76"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w:t>
      </w:r>
      <w:bookmarkStart w:id="77" w:name="_Hlk193380191"/>
      <w:r>
        <w:rPr>
          <w:rFonts w:hint="eastAsia" w:ascii="宋体" w:hAnsi="宋体" w:eastAsia="宋体" w:cs="宋体"/>
          <w:sz w:val="24"/>
          <w:szCs w:val="24"/>
        </w:rPr>
        <w:t xml:space="preserve">满足招标文件要求，且投标（响应）价格最低的投标（响应）报价为评标基准价</w:t>
      </w:r>
      <w:bookmarkEnd w:id="77"/>
      <w:r>
        <w:rPr>
          <w:rFonts w:hint="eastAsia" w:ascii="宋体" w:hAnsi="宋体" w:eastAsia="宋体" w:cs="宋体"/>
          <w:sz w:val="24"/>
          <w:szCs w:val="24"/>
        </w:rPr>
        <w:t xml:space="preserve">，</w:t>
      </w:r>
      <w:bookmarkStart w:id="78"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分</w:t>
      </w:r>
      <w:bookmarkEnd w:id="78"/>
      <w:r>
        <w:rPr>
          <w:rFonts w:hint="eastAsia" w:ascii="宋体" w:hAnsi="宋体" w:eastAsia="宋体" w:cs="宋体"/>
          <w:sz w:val="24"/>
          <w:szCs w:val="24"/>
        </w:rPr>
        <w:t xml:space="preserve">。其他报价得分统一按照下列公式计算（计算结果四舍五入，保留两位小数）：</w:t>
      </w:r>
      <w:r/>
    </w:p>
    <w:p>
      <w:pPr>
        <w:pStyle w:val="7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%×100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（二）技术参数及技术方案：</w:t>
      </w:r>
      <w:r>
        <w:rPr>
          <w:rFonts w:hint="eastAsia" w:ascii="宋体" w:hAnsi="宋体" w:eastAsia="宋体" w:cs="宋体"/>
          <w:b/>
          <w:sz w:val="24"/>
          <w:szCs w:val="24"/>
          <w:u w:val="single"/>
        </w:rPr>
        <w:t xml:space="preserve">39</w:t>
      </w:r>
      <w:r>
        <w:rPr>
          <w:rFonts w:hint="eastAsia" w:ascii="宋体" w:hAnsi="宋体" w:eastAsia="宋体" w:cs="宋体"/>
          <w:b/>
          <w:sz w:val="24"/>
          <w:szCs w:val="24"/>
        </w:rPr>
        <w:t xml:space="preserve">分</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817"/>
        <w:gridCol w:w="7110"/>
        <w:gridCol w:w="1184"/>
      </w:tblGrid>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shd w:val="clear" w:color="auto" w:fill="auto"/>
            <w:tcW w:w="7374"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技术参数及配置</w:t>
            </w:r>
            <w:r/>
          </w:p>
        </w:tc>
        <w:tc>
          <w:tcPr>
            <w:shd w:val="clear" w:color="auto" w:fill="auto"/>
            <w:tcW w:w="7374" w:type="dxa"/>
            <w:vAlign w:val="center"/>
            <w:textDirection w:val="lrTb"/>
            <w:noWrap w:val="false"/>
          </w:tcPr>
          <w:p>
            <w:pPr>
              <w:jc w:val="lef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以投标人提供的能直接反映该产品技术参数的官网或彩页或产品说明书或具有检验（检测）资质的第三方检测机构出具的有效检验（检测）报告等相关佐证材料作为主要评判依据。</w:t>
            </w:r>
            <w:r/>
          </w:p>
          <w:p>
            <w:pPr>
              <w:jc w:val="lef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全部响应即满足招标文件功能技术参数要求的得20分。所提供产品不满足招标文件要求（负偏离）、配置不详、技术参数不明确、缺漏项的，每项扣</w:t>
            </w:r>
            <w:r>
              <w:rPr>
                <w:rFonts w:ascii="宋体" w:hAnsi="宋体" w:eastAsia="宋体" w:cs="宋体"/>
                <w:bCs/>
                <w:sz w:val="24"/>
                <w:szCs w:val="24"/>
              </w:rPr>
              <w:t xml:space="preserve">1</w:t>
            </w:r>
            <w:r>
              <w:rPr>
                <w:rFonts w:hint="eastAsia" w:ascii="宋体" w:hAnsi="宋体" w:eastAsia="宋体" w:cs="宋体"/>
                <w:bCs/>
                <w:sz w:val="24"/>
                <w:szCs w:val="24"/>
              </w:rPr>
              <w:t xml:space="preserve">分，扣完为止。</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技术方案</w:t>
            </w:r>
            <w:r/>
          </w:p>
        </w:tc>
        <w:tc>
          <w:tcPr>
            <w:shd w:val="clear" w:color="auto" w:fill="auto"/>
            <w:tcW w:w="7374" w:type="dxa"/>
            <w:vAlign w:val="center"/>
            <w:textDirection w:val="lrTb"/>
            <w:noWrap w:val="false"/>
          </w:tcPr>
          <w:p>
            <w:pPr>
              <w:jc w:val="left"/>
              <w:rPr>
                <w:rFonts w:ascii="宋体" w:hAnsi="宋体" w:eastAsia="宋体" w:cs="宋体"/>
                <w:b/>
                <w:sz w:val="24"/>
                <w:szCs w:val="24"/>
              </w:rPr>
            </w:pPr>
            <w:r>
              <w:rPr>
                <w:rFonts w:hint="eastAsia" w:ascii="宋体" w:hAnsi="宋体" w:eastAsia="宋体" w:cs="宋体"/>
                <w:bCs/>
                <w:sz w:val="24"/>
                <w:szCs w:val="24"/>
              </w:rPr>
              <w:t xml:space="preserve">投标人提供为实现本项目招标文件技术参数要求而制定的技术方案。技术方案详尽合理、针对性强，能完全符合用户科研需求的得10分。技术方案基本规范合理、具有较强针对性，能基本符合用户科研需求的得</w:t>
            </w:r>
            <w:r>
              <w:rPr>
                <w:rFonts w:ascii="宋体" w:hAnsi="宋体" w:eastAsia="宋体" w:cs="宋体"/>
                <w:bCs/>
                <w:sz w:val="24"/>
                <w:szCs w:val="24"/>
              </w:rPr>
              <w:t xml:space="preserve">6</w:t>
            </w:r>
            <w:r>
              <w:rPr>
                <w:rFonts w:hint="eastAsia" w:ascii="宋体" w:hAnsi="宋体" w:eastAsia="宋体" w:cs="宋体"/>
                <w:bCs/>
                <w:sz w:val="24"/>
                <w:szCs w:val="24"/>
              </w:rPr>
              <w:t xml:space="preserve">分。技术方案有疏漏、合理性及针对性较差，仅能符合用户部分科研需求的得2分。技术方案完全不能符合用户科研需求或未提供技术方案的不得分。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10,6,2,0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项目实施方案</w:t>
            </w:r>
            <w:r/>
          </w:p>
        </w:tc>
        <w:tc>
          <w:tcPr>
            <w:shd w:val="clear" w:color="auto" w:fill="auto"/>
            <w:tcW w:w="7374" w:type="dxa"/>
            <w:vAlign w:val="center"/>
            <w:textDirection w:val="lrTb"/>
            <w:noWrap w:val="false"/>
          </w:tcPr>
          <w:p>
            <w:pPr>
              <w:jc w:val="left"/>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9</w:t>
            </w:r>
            <w:r/>
          </w:p>
        </w:tc>
      </w:tr>
    </w:tbl>
    <w:p>
      <w:pPr>
        <w:ind w:firstLine="482"/>
        <w:spacing w:line="360" w:lineRule="auto"/>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31 </w:t>
      </w:r>
      <w:r>
        <w:rPr>
          <w:rFonts w:hint="eastAsia" w:ascii="宋体" w:hAnsi="宋体" w:eastAsia="宋体" w:cs="宋体"/>
          <w:b/>
          <w:sz w:val="24"/>
          <w:szCs w:val="24"/>
        </w:rPr>
        <w:t xml:space="preserve">分</w:t>
      </w:r>
      <w:r/>
    </w:p>
    <w:tbl>
      <w:tblPr>
        <w:tblStyle w:val="722"/>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3"/>
        <w:gridCol w:w="1391"/>
        <w:gridCol w:w="6817"/>
        <w:gridCol w:w="731"/>
      </w:tblGrid>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tcW w:w="3636"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业绩</w:t>
            </w:r>
            <w:r/>
          </w:p>
        </w:tc>
        <w:tc>
          <w:tcPr>
            <w:tcW w:w="3636"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提供投标人的所投产品（同型号设备）自2023年7月1日起至今的销售业绩，每提供1份业绩得1分，满分4分。</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注：①提供业绩合同复印件；②以合同签订日期为准；③同一单位业绩不重复计分。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市场反馈情况</w:t>
            </w:r>
            <w:r/>
          </w:p>
        </w:tc>
        <w:tc>
          <w:tcPr>
            <w:tcW w:w="3636"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提供投标人的所投产品（同型号设备）现有用户反馈情况，每提供1份得1分，满分5分。反馈情况需含项目名称、型号、采购时间、满意度、联系人及电话。注：材料须加盖所属用户单位公章。</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售后服务方案</w:t>
            </w:r>
            <w:r/>
          </w:p>
        </w:tc>
        <w:tc>
          <w:tcPr>
            <w:tcW w:w="3636"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包括①针对本项目制定的售后服务响应机制及响应时间；②针对投标人服务体系的完备性；③投入本项目专业技术服务人员及技术力量保障性。</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12</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培训方案</w:t>
            </w:r>
            <w:r/>
          </w:p>
        </w:tc>
        <w:tc>
          <w:tcPr>
            <w:tcW w:w="3636"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包括（1）培训内容、时间、地点、人次、安装维护、调试、配置；（2）使用技能、业务人员培训、应用操作及使用等。</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8</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其他优惠措施</w:t>
            </w:r>
            <w:r/>
          </w:p>
        </w:tc>
        <w:tc>
          <w:tcPr>
            <w:tcW w:w="3636"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投标人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2,1,0.5,0</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bookmarkStart w:id="79" w:name="_Toc105940243"/>
      <w:r/>
      <w:bookmarkStart w:id="80" w:name="_Toc48723925"/>
      <w:r>
        <w:rPr>
          <w:rFonts w:hint="eastAsia" w:ascii="宋体" w:hAnsi="宋体" w:eastAsia="宋体" w:cs="宋体"/>
          <w:b/>
          <w:bCs/>
          <w:sz w:val="24"/>
          <w:szCs w:val="24"/>
        </w:rPr>
        <w:t xml:space="preserve">说明：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rPr>
      </w:pPr>
      <w:r>
        <w:rPr>
          <w:rFonts w:ascii="宋体" w:hAnsi="宋体" w:eastAsia="宋体" w:cs="宋体"/>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numPr>
          <w:ilvl w:val="0"/>
          <w:numId w:val="5"/>
        </w:num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81" w:name="OLE_LINK13"/>
      <w:r>
        <w:rPr>
          <w:rFonts w:hint="eastAsia" w:ascii="宋体" w:hAnsi="宋体" w:eastAsia="宋体" w:cs="宋体"/>
          <w:sz w:val="24"/>
          <w:szCs w:val="24"/>
          <w:lang w:val="zh-CN"/>
        </w:rPr>
        <w:t xml:space="preserve">（国办发［2025］34号）</w:t>
      </w:r>
      <w:bookmarkEnd w:id="81"/>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ascii="宋体" w:hAnsi="宋体" w:eastAsia="宋体" w:cs="宋体"/>
          <w:sz w:val="24"/>
          <w:szCs w:val="24"/>
        </w:rPr>
      </w:pPr>
      <w:r/>
      <w:bookmarkStart w:id="82"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bookmarkEnd w:id="82"/>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2、本项目如属于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，对小微企业报价给予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的扣除，用扣除后的价格参与评审。如扣除后的价格为最低价的，则作为评标基准价，中标（成交）金额则以实际投标（响应）报价为准。</w:t>
      </w:r>
      <w:r/>
    </w:p>
    <w:p>
      <w:pPr>
        <w:pStyle w:val="732"/>
        <w:ind w:left="0" w:firstLine="480"/>
        <w:spacing w:line="360" w:lineRule="auto"/>
        <w:rPr>
          <w:rFonts w:ascii="宋体" w:hAnsi="宋体" w:eastAsia="宋体" w:cs="宋体"/>
          <w:szCs w:val="24"/>
        </w:rPr>
      </w:pPr>
      <w:r>
        <w:rPr>
          <w:rFonts w:hint="eastAsia" w:ascii="宋体" w:hAnsi="宋体" w:eastAsia="宋体" w:cs="宋体"/>
          <w:szCs w:val="24"/>
        </w:rPr>
        <w:t xml:space="preserve">如</w:t>
      </w:r>
      <w:bookmarkStart w:id="83" w:name="OLE_LINK9"/>
      <w:r/>
      <w:bookmarkStart w:id="84" w:name="OLE_LINK8"/>
      <w:r>
        <w:rPr>
          <w:rFonts w:hint="eastAsia" w:ascii="宋体" w:hAnsi="宋体" w:eastAsia="宋体" w:cs="宋体"/>
          <w:szCs w:val="24"/>
        </w:rPr>
        <w:t xml:space="preserve">接受供应商为联合体投标（响应）</w:t>
      </w:r>
      <w:bookmarkEnd w:id="83"/>
      <w:r/>
      <w:bookmarkEnd w:id="84"/>
      <w:r>
        <w:rPr>
          <w:rFonts w:hint="eastAsia" w:ascii="宋体" w:hAnsi="宋体" w:eastAsia="宋体" w:cs="宋体"/>
          <w:szCs w:val="24"/>
        </w:rPr>
        <w:t xml:space="preserve">，联合体各方均为小微企业的，对联合体报价在评审时给予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（五）绿色采购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1、根据苏财购【2019】10号文：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rPr>
      </w:pPr>
      <w:r>
        <w:rPr>
          <w:rFonts w:hint="eastAsia" w:ascii="宋体" w:hAnsi="宋体" w:eastAsia="宋体" w:cs="宋体"/>
        </w:rPr>
        <w:br w:type="page" w:clear="all"/>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bookmarkEnd w:id="79"/>
      <w:r/>
      <w:bookmarkEnd w:id="80"/>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rPr>
        <w:outlineLvl w:val="0"/>
      </w:pPr>
      <w:r>
        <w:rPr>
          <w:rFonts w:hint="eastAsia" w:ascii="宋体" w:hAnsi="宋体" w:eastAsia="宋体" w:cs="宋体"/>
          <w:b/>
          <w:sz w:val="52"/>
          <w:szCs w:val="20"/>
          <w:shd w:val="clear" w:color="auto" w:fill="ffffff"/>
        </w:rPr>
        <w:t xml:space="preserve">第七章 附件</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spacing w:line="360" w:lineRule="auto"/>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br w:type="page" w:clear="all"/>
      </w:r>
      <w:r/>
    </w:p>
    <w:p>
      <w:pPr>
        <w:jc w:val="left"/>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pStyle w:val="963"/>
        <w:ind w:firstLine="0"/>
        <w:jc w:val="left"/>
        <w:rPr>
          <w:rFonts w:ascii="宋体" w:hAnsi="宋体" w:eastAsia="宋体" w:cs="宋体"/>
          <w:b/>
          <w:bCs/>
        </w:rPr>
      </w:pPr>
      <w:r>
        <w:rPr>
          <w:rFonts w:hint="eastAsia" w:ascii="宋体" w:hAnsi="宋体" w:eastAsia="宋体" w:cs="宋体"/>
          <w:b/>
          <w:bCs/>
        </w:rPr>
        <w:t xml:space="preserve">附件2：</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963"/>
        <w:ind w:firstLine="0"/>
        <w:jc w:val="left"/>
        <w:rPr>
          <w:rFonts w:ascii="宋体" w:hAnsi="宋体" w:eastAsia="宋体" w:cs="宋体"/>
          <w:b/>
          <w:bCs/>
        </w:rPr>
      </w:pPr>
      <w:r>
        <w:rPr>
          <w:rFonts w:hint="eastAsia" w:ascii="宋体" w:hAnsi="宋体" w:eastAsia="宋体" w:cs="宋体"/>
          <w:b/>
          <w:bCs/>
        </w:rPr>
        <w:t xml:space="preserve">附件3：</w:t>
      </w:r>
      <w:r/>
    </w:p>
    <w:p>
      <w:pPr>
        <w:pStyle w:val="963"/>
        <w:ind w:firstLine="0"/>
        <w:jc w:val="center"/>
        <w:rPr>
          <w:rFonts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p>
      <w:pPr>
        <w:pStyle w:val="731"/>
        <w:rPr>
          <w:rFonts w:ascii="宋体" w:hAnsi="宋体" w:eastAsia="宋体" w:cs="宋体"/>
        </w:rPr>
      </w:pPr>
      <w:r>
        <w:rPr>
          <w:rFonts w:ascii="宋体" w:hAnsi="宋体" w:eastAsia="宋体" w:cs="宋体"/>
        </w:rPr>
      </w:r>
      <w:r/>
    </w:p>
    <w:p>
      <w:pPr>
        <w:ind w:right="480"/>
        <w:spacing w:line="360" w:lineRule="auto"/>
        <w:rPr>
          <w:rFonts w:ascii="宋体" w:hAnsi="宋体" w:eastAsia="宋体" w:cs="宋体"/>
          <w:b/>
          <w:bCs/>
        </w:rPr>
      </w:pPr>
      <w:r>
        <w:rPr>
          <w:rFonts w:ascii="宋体" w:hAnsi="宋体" w:eastAsia="宋体" w:cs="宋体"/>
          <w:b/>
          <w:bCs/>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JSZC-320500-SZCH-G2026-0039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92"/>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7"/>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2">
    <w:name w:val="Heading 1"/>
    <w:basedOn w:val="711"/>
    <w:next w:val="711"/>
    <w:link w:val="929"/>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3">
    <w:name w:val="Heading 2"/>
    <w:basedOn w:val="711"/>
    <w:next w:val="711"/>
    <w:link w:val="930"/>
    <w:uiPriority w:val="0"/>
    <w:qFormat/>
    <w:pPr>
      <w:jc w:val="left"/>
      <w:keepLines/>
      <w:keepNext/>
      <w:outlineLvl w:val="1"/>
    </w:pPr>
    <w:rPr>
      <w:rFonts w:ascii="宋体" w:hAnsi="宋体" w:eastAsia="楷体_GB2312" w:cs="Times New Roman"/>
      <w:b/>
      <w:sz w:val="26"/>
      <w:szCs w:val="20"/>
    </w:rPr>
  </w:style>
  <w:style w:type="paragraph" w:styleId="714">
    <w:name w:val="Heading 3"/>
    <w:basedOn w:val="711"/>
    <w:next w:val="711"/>
    <w:link w:val="931"/>
    <w:uiPriority w:val="0"/>
    <w:qFormat/>
    <w:pPr>
      <w:jc w:val="left"/>
      <w:keepLines/>
      <w:keepNext/>
      <w:outlineLvl w:val="2"/>
    </w:pPr>
    <w:rPr>
      <w:rFonts w:ascii="Calibri" w:hAnsi="Calibri" w:eastAsia="楷体_GB2312" w:cs="Times New Roman"/>
      <w:b/>
      <w:sz w:val="26"/>
      <w:szCs w:val="20"/>
    </w:rPr>
  </w:style>
  <w:style w:type="paragraph" w:styleId="715">
    <w:name w:val="Heading 4"/>
    <w:basedOn w:val="711"/>
    <w:next w:val="711"/>
    <w:link w:val="932"/>
    <w:uiPriority w:val="0"/>
    <w:qFormat/>
    <w:pPr>
      <w:keepLines/>
      <w:keepNext/>
      <w:spacing w:before="280" w:after="290" w:line="376" w:lineRule="auto"/>
      <w:outlineLvl w:val="3"/>
    </w:pPr>
    <w:rPr>
      <w:rFonts w:ascii="Arial" w:hAnsi="Arial" w:eastAsia="黑体" w:cs="Times New Roman"/>
      <w:b/>
      <w:bCs/>
      <w:sz w:val="28"/>
      <w:szCs w:val="28"/>
    </w:rPr>
  </w:style>
  <w:style w:type="paragraph" w:styleId="716">
    <w:name w:val="Heading 5"/>
    <w:basedOn w:val="711"/>
    <w:next w:val="711"/>
    <w:link w:val="933"/>
    <w:uiPriority w:val="0"/>
    <w:qFormat/>
    <w:pPr>
      <w:keepNext/>
      <w:outlineLvl w:val="4"/>
    </w:pPr>
    <w:rPr>
      <w:rFonts w:ascii="宋体" w:hAnsi="宋体" w:eastAsia="宋体" w:cs="Times New Roman"/>
      <w:color w:val="000000"/>
      <w:sz w:val="28"/>
      <w:szCs w:val="20"/>
    </w:rPr>
  </w:style>
  <w:style w:type="paragraph" w:styleId="717">
    <w:name w:val="Heading 6"/>
    <w:basedOn w:val="711"/>
    <w:next w:val="711"/>
    <w:link w:val="934"/>
    <w:uiPriority w:val="0"/>
    <w:qFormat/>
    <w:pPr>
      <w:keepNext/>
      <w:outlineLvl w:val="5"/>
    </w:pPr>
    <w:rPr>
      <w:rFonts w:ascii="宋体" w:hAnsi="宋体" w:eastAsia="宋体" w:cs="Times New Roman"/>
      <w:sz w:val="28"/>
      <w:szCs w:val="20"/>
    </w:rPr>
  </w:style>
  <w:style w:type="paragraph" w:styleId="718">
    <w:name w:val="Heading 7"/>
    <w:basedOn w:val="711"/>
    <w:next w:val="711"/>
    <w:link w:val="805"/>
    <w:uiPriority w:val="9"/>
    <w:unhideWhenUsed/>
    <w:qFormat/>
    <w:pPr>
      <w:keepLines/>
      <w:keepNext/>
      <w:spacing w:before="320" w:after="200"/>
      <w:outlineLvl w:val="6"/>
    </w:pPr>
    <w:rPr>
      <w:rFonts w:ascii="Arial" w:hAnsi="Arial" w:eastAsia="Arial" w:cs="Arial"/>
      <w:b/>
      <w:bCs/>
      <w:i/>
      <w:iCs/>
      <w:sz w:val="22"/>
    </w:rPr>
  </w:style>
  <w:style w:type="paragraph" w:styleId="719">
    <w:name w:val="Heading 8"/>
    <w:basedOn w:val="711"/>
    <w:next w:val="711"/>
    <w:link w:val="806"/>
    <w:uiPriority w:val="9"/>
    <w:unhideWhenUsed/>
    <w:qFormat/>
    <w:pPr>
      <w:keepLines/>
      <w:keepNext/>
      <w:spacing w:before="320" w:after="200"/>
      <w:outlineLvl w:val="7"/>
    </w:pPr>
    <w:rPr>
      <w:rFonts w:ascii="Arial" w:hAnsi="Arial" w:eastAsia="Arial" w:cs="Arial"/>
      <w:i/>
      <w:iCs/>
      <w:sz w:val="22"/>
    </w:rPr>
  </w:style>
  <w:style w:type="paragraph" w:styleId="720">
    <w:name w:val="Heading 9"/>
    <w:basedOn w:val="711"/>
    <w:next w:val="711"/>
    <w:link w:val="807"/>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0"/>
    <w:qFormat/>
    <w:pPr>
      <w:ind w:left="2520"/>
    </w:pPr>
    <w:rPr>
      <w:rFonts w:ascii="Calibri" w:hAnsi="Calibri" w:eastAsia="楷体_GB2312" w:cs="Times New Roman"/>
      <w:sz w:val="26"/>
      <w:szCs w:val="20"/>
    </w:rPr>
  </w:style>
  <w:style w:type="paragraph" w:styleId="724">
    <w:name w:val="index 8"/>
    <w:basedOn w:val="711"/>
    <w:next w:val="711"/>
    <w:uiPriority w:val="0"/>
    <w:qFormat/>
    <w:pPr>
      <w:ind w:left="2940"/>
    </w:pPr>
    <w:rPr>
      <w:rFonts w:ascii="Calibri" w:hAnsi="Calibri" w:eastAsia="楷体_GB2312" w:cs="Times New Roman"/>
      <w:sz w:val="26"/>
      <w:szCs w:val="20"/>
    </w:rPr>
  </w:style>
  <w:style w:type="paragraph" w:styleId="725">
    <w:name w:val="Normal Indent"/>
    <w:basedOn w:val="711"/>
    <w:next w:val="711"/>
    <w:link w:val="935"/>
    <w:uiPriority w:val="0"/>
    <w:qFormat/>
    <w:pPr>
      <w:ind w:firstLine="420"/>
      <w:jc w:val="left"/>
    </w:pPr>
    <w:rPr>
      <w:rFonts w:ascii="Calibri" w:hAnsi="Calibri" w:eastAsia="楷体_GB2312" w:cs="Times New Roman"/>
      <w:sz w:val="24"/>
      <w:szCs w:val="20"/>
    </w:rPr>
  </w:style>
  <w:style w:type="paragraph" w:styleId="726">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index 5"/>
    <w:basedOn w:val="711"/>
    <w:next w:val="711"/>
    <w:uiPriority w:val="0"/>
    <w:qFormat/>
    <w:pPr>
      <w:ind w:left="1680"/>
    </w:pPr>
    <w:rPr>
      <w:rFonts w:ascii="Calibri" w:hAnsi="Calibri" w:eastAsia="楷体_GB2312" w:cs="Times New Roman"/>
      <w:sz w:val="26"/>
      <w:szCs w:val="20"/>
    </w:rPr>
  </w:style>
  <w:style w:type="paragraph" w:styleId="728">
    <w:name w:val="Document Map"/>
    <w:basedOn w:val="711"/>
    <w:link w:val="936"/>
    <w:uiPriority w:val="0"/>
    <w:qFormat/>
    <w:pPr>
      <w:shd w:val="clear" w:color="auto" w:fill="000080"/>
    </w:pPr>
    <w:rPr>
      <w:rFonts w:ascii="Calibri" w:hAnsi="Calibri" w:eastAsia="楷体_GB2312" w:cs="Times New Roman"/>
      <w:sz w:val="26"/>
      <w:szCs w:val="20"/>
    </w:rPr>
  </w:style>
  <w:style w:type="paragraph" w:styleId="729">
    <w:name w:val="annotation text"/>
    <w:basedOn w:val="711"/>
    <w:link w:val="937"/>
    <w:uiPriority w:val="0"/>
    <w:qFormat/>
    <w:pPr>
      <w:jc w:val="left"/>
    </w:pPr>
    <w:rPr>
      <w:rFonts w:ascii="Calibri" w:hAnsi="Calibri" w:eastAsia="楷体_GB2312" w:cs="Times New Roman"/>
      <w:sz w:val="26"/>
      <w:szCs w:val="20"/>
    </w:rPr>
  </w:style>
  <w:style w:type="paragraph" w:styleId="730">
    <w:name w:val="index 6"/>
    <w:basedOn w:val="711"/>
    <w:next w:val="711"/>
    <w:uiPriority w:val="0"/>
    <w:qFormat/>
    <w:pPr>
      <w:ind w:left="2100"/>
    </w:pPr>
    <w:rPr>
      <w:rFonts w:ascii="Calibri" w:hAnsi="Calibri" w:eastAsia="楷体_GB2312" w:cs="Times New Roman"/>
      <w:sz w:val="26"/>
      <w:szCs w:val="20"/>
    </w:rPr>
  </w:style>
  <w:style w:type="paragraph" w:styleId="731">
    <w:name w:val="Body Text"/>
    <w:basedOn w:val="711"/>
    <w:link w:val="938"/>
    <w:uiPriority w:val="0"/>
    <w:qFormat/>
    <w:pPr>
      <w:spacing w:line="400" w:lineRule="exact"/>
    </w:pPr>
    <w:rPr>
      <w:rFonts w:ascii="楷体_GB2312" w:hAnsi="Calibri" w:eastAsia="楷体_GB2312" w:cs="Times New Roman"/>
      <w:sz w:val="28"/>
      <w:szCs w:val="20"/>
    </w:rPr>
  </w:style>
  <w:style w:type="paragraph" w:styleId="732">
    <w:name w:val="Body Text Indent"/>
    <w:basedOn w:val="711"/>
    <w:link w:val="939"/>
    <w:uiPriority w:val="99"/>
    <w:qFormat/>
    <w:pPr>
      <w:ind w:left="570"/>
      <w:spacing w:line="520" w:lineRule="exact"/>
    </w:pPr>
    <w:rPr>
      <w:rFonts w:ascii="方正仿宋简体" w:hAnsi="创艺简仿宋" w:eastAsia="方正仿宋简体" w:cs="Times New Roman"/>
      <w:sz w:val="24"/>
      <w:szCs w:val="20"/>
    </w:rPr>
  </w:style>
  <w:style w:type="paragraph" w:styleId="733">
    <w:name w:val="Block Text"/>
    <w:basedOn w:val="711"/>
    <w:next w:val="71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4">
    <w:name w:val="index 4"/>
    <w:basedOn w:val="711"/>
    <w:next w:val="711"/>
    <w:uiPriority w:val="0"/>
    <w:qFormat/>
    <w:pPr>
      <w:ind w:left="1260"/>
    </w:pPr>
    <w:rPr>
      <w:rFonts w:ascii="Calibri" w:hAnsi="Calibri" w:eastAsia="楷体_GB2312" w:cs="Times New Roman"/>
      <w:sz w:val="26"/>
      <w:szCs w:val="20"/>
    </w:rPr>
  </w:style>
  <w:style w:type="paragraph" w:styleId="735">
    <w:name w:val="toc 5"/>
    <w:basedOn w:val="711"/>
    <w:next w:val="711"/>
    <w:uiPriority w:val="0"/>
    <w:qFormat/>
    <w:pPr>
      <w:ind w:left="1680"/>
    </w:pPr>
    <w:rPr>
      <w:rFonts w:ascii="Calibri" w:hAnsi="Calibri" w:eastAsia="楷体_GB2312" w:cs="Times New Roman"/>
      <w:sz w:val="26"/>
      <w:szCs w:val="20"/>
    </w:rPr>
  </w:style>
  <w:style w:type="paragraph" w:styleId="736">
    <w:name w:val="toc 3"/>
    <w:basedOn w:val="711"/>
    <w:next w:val="711"/>
    <w:uiPriority w:val="0"/>
    <w:qFormat/>
    <w:pPr>
      <w:ind w:left="840"/>
    </w:pPr>
    <w:rPr>
      <w:rFonts w:ascii="Calibri" w:hAnsi="Calibri" w:eastAsia="楷体_GB2312" w:cs="Times New Roman"/>
      <w:sz w:val="26"/>
      <w:szCs w:val="20"/>
    </w:rPr>
  </w:style>
  <w:style w:type="paragraph" w:styleId="737">
    <w:name w:val="Plain Text"/>
    <w:basedOn w:val="711"/>
    <w:link w:val="940"/>
    <w:uiPriority w:val="0"/>
    <w:qFormat/>
    <w:rPr>
      <w:rFonts w:ascii="宋体" w:hAnsi="Courier New" w:eastAsia="楷体_GB2312" w:cs="Times New Roman"/>
      <w:sz w:val="26"/>
      <w:szCs w:val="20"/>
    </w:rPr>
  </w:style>
  <w:style w:type="paragraph" w:styleId="738">
    <w:name w:val="toc 8"/>
    <w:basedOn w:val="711"/>
    <w:next w:val="711"/>
    <w:uiPriority w:val="0"/>
    <w:qFormat/>
    <w:pPr>
      <w:ind w:left="2940"/>
    </w:pPr>
    <w:rPr>
      <w:rFonts w:ascii="Calibri" w:hAnsi="Calibri" w:eastAsia="楷体_GB2312" w:cs="Times New Roman"/>
      <w:sz w:val="26"/>
      <w:szCs w:val="20"/>
    </w:rPr>
  </w:style>
  <w:style w:type="paragraph" w:styleId="739">
    <w:name w:val="index 3"/>
    <w:basedOn w:val="711"/>
    <w:next w:val="711"/>
    <w:uiPriority w:val="0"/>
    <w:qFormat/>
    <w:pPr>
      <w:ind w:left="840"/>
    </w:pPr>
    <w:rPr>
      <w:rFonts w:ascii="Calibri" w:hAnsi="Calibri" w:eastAsia="楷体_GB2312" w:cs="Times New Roman"/>
      <w:sz w:val="26"/>
      <w:szCs w:val="20"/>
    </w:rPr>
  </w:style>
  <w:style w:type="paragraph" w:styleId="740">
    <w:name w:val="Date"/>
    <w:basedOn w:val="711"/>
    <w:next w:val="711"/>
    <w:link w:val="941"/>
    <w:uiPriority w:val="0"/>
    <w:qFormat/>
    <w:rPr>
      <w:rFonts w:ascii="宋体" w:hAnsi="宋体" w:eastAsia="楷体_GB2312" w:cs="Times New Roman"/>
      <w:sz w:val="24"/>
      <w:szCs w:val="20"/>
    </w:rPr>
  </w:style>
  <w:style w:type="paragraph" w:styleId="741">
    <w:name w:val="Body Text Indent 2"/>
    <w:basedOn w:val="711"/>
    <w:link w:val="942"/>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2">
    <w:name w:val="endnote text"/>
    <w:basedOn w:val="711"/>
    <w:link w:val="943"/>
    <w:uiPriority w:val="0"/>
    <w:qFormat/>
    <w:pPr>
      <w:jc w:val="left"/>
    </w:pPr>
    <w:rPr>
      <w:rFonts w:ascii="Calibri" w:hAnsi="Calibri" w:eastAsia="楷体_GB2312" w:cs="Times New Roman"/>
      <w:sz w:val="26"/>
      <w:szCs w:val="20"/>
    </w:rPr>
  </w:style>
  <w:style w:type="paragraph" w:styleId="743">
    <w:name w:val="Balloon Text"/>
    <w:basedOn w:val="711"/>
    <w:link w:val="944"/>
    <w:uiPriority w:val="99"/>
    <w:qFormat/>
    <w:rPr>
      <w:rFonts w:ascii="Calibri" w:hAnsi="Calibri" w:eastAsia="楷体_GB2312" w:cs="Times New Roman"/>
      <w:sz w:val="18"/>
      <w:szCs w:val="18"/>
    </w:rPr>
  </w:style>
  <w:style w:type="paragraph" w:styleId="744">
    <w:name w:val="Footer"/>
    <w:basedOn w:val="711"/>
    <w:link w:val="945"/>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5">
    <w:name w:val="Header"/>
    <w:basedOn w:val="711"/>
    <w:link w:val="946"/>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6">
    <w:name w:val="toc 1"/>
    <w:basedOn w:val="711"/>
    <w:next w:val="711"/>
    <w:uiPriority w:val="39"/>
    <w:qFormat/>
    <w:pPr>
      <w:jc w:val="left"/>
    </w:pPr>
    <w:rPr>
      <w:rFonts w:ascii="Calibri" w:hAnsi="Calibri" w:eastAsia="楷体_GB2312" w:cs="Times New Roman"/>
      <w:sz w:val="24"/>
      <w:szCs w:val="20"/>
    </w:rPr>
  </w:style>
  <w:style w:type="paragraph" w:styleId="747">
    <w:name w:val="toc 4"/>
    <w:basedOn w:val="711"/>
    <w:next w:val="711"/>
    <w:uiPriority w:val="0"/>
    <w:qFormat/>
    <w:pPr>
      <w:ind w:left="1260"/>
    </w:pPr>
    <w:rPr>
      <w:rFonts w:ascii="Calibri" w:hAnsi="Calibri" w:eastAsia="楷体_GB2312" w:cs="Times New Roman"/>
      <w:sz w:val="26"/>
      <w:szCs w:val="20"/>
    </w:rPr>
  </w:style>
  <w:style w:type="paragraph" w:styleId="748">
    <w:name w:val="index heading"/>
    <w:basedOn w:val="711"/>
    <w:next w:val="749"/>
    <w:uiPriority w:val="0"/>
    <w:qFormat/>
    <w:rPr>
      <w:rFonts w:ascii="Calibri" w:hAnsi="Calibri" w:eastAsia="楷体_GB2312" w:cs="Times New Roman"/>
      <w:sz w:val="26"/>
      <w:szCs w:val="20"/>
    </w:rPr>
  </w:style>
  <w:style w:type="paragraph" w:styleId="749">
    <w:name w:val="index 1"/>
    <w:basedOn w:val="711"/>
    <w:next w:val="711"/>
    <w:uiPriority w:val="0"/>
    <w:unhideWhenUsed/>
    <w:qFormat/>
  </w:style>
  <w:style w:type="paragraph" w:styleId="750">
    <w:name w:val="Subtitle"/>
    <w:basedOn w:val="711"/>
    <w:next w:val="711"/>
    <w:link w:val="947"/>
    <w:uiPriority w:val="0"/>
    <w:qFormat/>
    <w:pPr>
      <w:jc w:val="left"/>
      <w:spacing w:before="120"/>
      <w:outlineLvl w:val="1"/>
    </w:pPr>
    <w:rPr>
      <w:rFonts w:ascii="Cambria" w:hAnsi="Cambria" w:eastAsia="宋体" w:cs="Times New Roman"/>
      <w:b/>
      <w:bCs/>
      <w:sz w:val="24"/>
      <w:szCs w:val="32"/>
    </w:rPr>
  </w:style>
  <w:style w:type="paragraph" w:styleId="751">
    <w:name w:val="footnote text"/>
    <w:basedOn w:val="711"/>
    <w:link w:val="948"/>
    <w:uiPriority w:val="0"/>
    <w:qFormat/>
    <w:pPr>
      <w:jc w:val="left"/>
    </w:pPr>
    <w:rPr>
      <w:rFonts w:ascii="Calibri" w:hAnsi="Calibri" w:eastAsia="楷体_GB2312" w:cs="Times New Roman"/>
      <w:sz w:val="18"/>
      <w:szCs w:val="20"/>
    </w:rPr>
  </w:style>
  <w:style w:type="paragraph" w:styleId="752">
    <w:name w:val="toc 6"/>
    <w:basedOn w:val="711"/>
    <w:next w:val="711"/>
    <w:uiPriority w:val="0"/>
    <w:qFormat/>
    <w:pPr>
      <w:ind w:left="2100"/>
    </w:pPr>
    <w:rPr>
      <w:rFonts w:ascii="Calibri" w:hAnsi="Calibri" w:eastAsia="楷体_GB2312" w:cs="Times New Roman"/>
      <w:sz w:val="26"/>
      <w:szCs w:val="20"/>
    </w:rPr>
  </w:style>
  <w:style w:type="paragraph" w:styleId="753">
    <w:name w:val="Body Text Indent 3"/>
    <w:basedOn w:val="711"/>
    <w:link w:val="949"/>
    <w:uiPriority w:val="0"/>
    <w:qFormat/>
    <w:pPr>
      <w:ind w:firstLine="617"/>
      <w:spacing w:line="360" w:lineRule="auto"/>
    </w:pPr>
    <w:rPr>
      <w:rFonts w:ascii="Calibri" w:hAnsi="Calibri" w:eastAsia="宋体" w:cs="Times New Roman"/>
      <w:sz w:val="24"/>
      <w:szCs w:val="24"/>
    </w:rPr>
  </w:style>
  <w:style w:type="paragraph" w:styleId="754">
    <w:name w:val="index 7"/>
    <w:basedOn w:val="711"/>
    <w:next w:val="711"/>
    <w:uiPriority w:val="0"/>
    <w:qFormat/>
    <w:pPr>
      <w:ind w:left="2520"/>
    </w:pPr>
    <w:rPr>
      <w:rFonts w:ascii="Calibri" w:hAnsi="Calibri" w:eastAsia="楷体_GB2312" w:cs="Times New Roman"/>
      <w:sz w:val="26"/>
      <w:szCs w:val="20"/>
    </w:rPr>
  </w:style>
  <w:style w:type="paragraph" w:styleId="755">
    <w:name w:val="index 9"/>
    <w:basedOn w:val="711"/>
    <w:next w:val="711"/>
    <w:uiPriority w:val="0"/>
    <w:qFormat/>
    <w:pPr>
      <w:ind w:left="3360"/>
    </w:pPr>
    <w:rPr>
      <w:rFonts w:ascii="Calibri" w:hAnsi="Calibri" w:eastAsia="楷体_GB2312" w:cs="Times New Roman"/>
      <w:sz w:val="26"/>
      <w:szCs w:val="20"/>
    </w:rPr>
  </w:style>
  <w:style w:type="paragraph" w:styleId="756">
    <w:name w:val="table of figures"/>
    <w:basedOn w:val="711"/>
    <w:next w:val="711"/>
    <w:uiPriority w:val="0"/>
    <w:qFormat/>
    <w:pPr>
      <w:ind w:left="420" w:hanging="420"/>
      <w:jc w:val="left"/>
    </w:pPr>
    <w:rPr>
      <w:rFonts w:ascii="Calibri" w:hAnsi="Calibri" w:eastAsia="楷体_GB2312" w:cs="Times New Roman"/>
      <w:smallCaps/>
      <w:sz w:val="24"/>
      <w:szCs w:val="20"/>
    </w:rPr>
  </w:style>
  <w:style w:type="paragraph" w:styleId="757">
    <w:name w:val="toc 2"/>
    <w:basedOn w:val="711"/>
    <w:next w:val="711"/>
    <w:uiPriority w:val="0"/>
    <w:qFormat/>
    <w:pPr>
      <w:ind w:left="420"/>
    </w:pPr>
    <w:rPr>
      <w:rFonts w:ascii="Calibri" w:hAnsi="Calibri" w:eastAsia="楷体_GB2312" w:cs="Times New Roman"/>
      <w:sz w:val="26"/>
      <w:szCs w:val="20"/>
    </w:rPr>
  </w:style>
  <w:style w:type="paragraph" w:styleId="758">
    <w:name w:val="toc 9"/>
    <w:basedOn w:val="711"/>
    <w:next w:val="711"/>
    <w:uiPriority w:val="0"/>
    <w:qFormat/>
    <w:pPr>
      <w:ind w:left="3360"/>
    </w:pPr>
    <w:rPr>
      <w:rFonts w:ascii="Calibri" w:hAnsi="Calibri" w:eastAsia="楷体_GB2312" w:cs="Times New Roman"/>
      <w:sz w:val="26"/>
      <w:szCs w:val="20"/>
    </w:rPr>
  </w:style>
  <w:style w:type="paragraph" w:styleId="759">
    <w:name w:val="HTML Preformatted"/>
    <w:basedOn w:val="711"/>
    <w:link w:val="9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60">
    <w:name w:val="Normal (Web)"/>
    <w:basedOn w:val="711"/>
    <w:uiPriority w:val="99"/>
    <w:qFormat/>
    <w:pPr>
      <w:jc w:val="left"/>
      <w:spacing w:before="100" w:beforeAutospacing="1" w:after="100" w:afterAutospacing="1"/>
    </w:pPr>
    <w:rPr>
      <w:rFonts w:ascii="Calibri" w:hAnsi="Calibri" w:eastAsia="楷体_GB2312" w:cs="Times New Roman"/>
      <w:sz w:val="24"/>
    </w:rPr>
  </w:style>
  <w:style w:type="paragraph" w:styleId="761">
    <w:name w:val="index 2"/>
    <w:basedOn w:val="711"/>
    <w:next w:val="711"/>
    <w:uiPriority w:val="0"/>
    <w:qFormat/>
    <w:pPr>
      <w:ind w:left="420"/>
    </w:pPr>
    <w:rPr>
      <w:rFonts w:ascii="Calibri" w:hAnsi="Calibri" w:eastAsia="楷体_GB2312" w:cs="Times New Roman"/>
      <w:sz w:val="26"/>
      <w:szCs w:val="20"/>
    </w:rPr>
  </w:style>
  <w:style w:type="paragraph" w:styleId="762">
    <w:name w:val="Title"/>
    <w:basedOn w:val="711"/>
    <w:next w:val="711"/>
    <w:link w:val="951"/>
    <w:uiPriority w:val="0"/>
    <w:qFormat/>
    <w:pPr>
      <w:jc w:val="center"/>
      <w:spacing w:before="240" w:after="60"/>
      <w:outlineLvl w:val="0"/>
    </w:pPr>
    <w:rPr>
      <w:rFonts w:ascii="Cambria" w:hAnsi="Cambria" w:eastAsia="宋体" w:cs="Times New Roman"/>
      <w:b/>
      <w:bCs/>
      <w:sz w:val="32"/>
      <w:szCs w:val="32"/>
    </w:rPr>
  </w:style>
  <w:style w:type="paragraph" w:styleId="763">
    <w:name w:val="annotation subject"/>
    <w:basedOn w:val="729"/>
    <w:next w:val="729"/>
    <w:link w:val="952"/>
    <w:uiPriority w:val="99"/>
    <w:qFormat/>
    <w:rPr>
      <w:b/>
      <w:bCs/>
    </w:rPr>
  </w:style>
  <w:style w:type="paragraph" w:styleId="764">
    <w:name w:val="Body Text First Indent 2"/>
    <w:basedOn w:val="732"/>
    <w:link w:val="953"/>
    <w:uiPriority w:val="0"/>
    <w:qFormat/>
    <w:pPr>
      <w:ind w:left="420" w:firstLine="420"/>
      <w:spacing w:after="120" w:line="240" w:lineRule="auto"/>
    </w:pPr>
    <w:rPr>
      <w:rFonts w:ascii="Calibri" w:hAnsi="Calibri" w:eastAsia="楷体_GB2312"/>
      <w:sz w:val="26"/>
    </w:rPr>
  </w:style>
  <w:style w:type="table" w:styleId="765">
    <w:name w:val="Table Grid"/>
    <w:basedOn w:val="7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basedOn w:val="721"/>
    <w:uiPriority w:val="0"/>
    <w:qFormat/>
    <w:rPr>
      <w:b/>
    </w:rPr>
  </w:style>
  <w:style w:type="character" w:styleId="767">
    <w:name w:val="endnote reference"/>
    <w:uiPriority w:val="0"/>
    <w:qFormat/>
    <w:rPr>
      <w:vertAlign w:val="superscript"/>
    </w:rPr>
  </w:style>
  <w:style w:type="character" w:styleId="768">
    <w:name w:val="page number"/>
    <w:basedOn w:val="721"/>
    <w:uiPriority w:val="0"/>
    <w:qFormat/>
  </w:style>
  <w:style w:type="character" w:styleId="769">
    <w:name w:val="FollowedHyperlink"/>
    <w:uiPriority w:val="99"/>
    <w:unhideWhenUsed/>
    <w:qFormat/>
    <w:rPr>
      <w:color w:val="800080"/>
      <w:u w:val="single"/>
    </w:rPr>
  </w:style>
  <w:style w:type="character" w:styleId="770">
    <w:name w:val="Emphasis"/>
    <w:uiPriority w:val="0"/>
    <w:qFormat/>
    <w:rPr>
      <w:i/>
    </w:rPr>
  </w:style>
  <w:style w:type="character" w:styleId="771">
    <w:name w:val="Hyperlink"/>
    <w:uiPriority w:val="0"/>
    <w:unhideWhenUsed/>
    <w:qFormat/>
    <w:rPr>
      <w:color w:val="0000ff"/>
      <w:u w:val="single"/>
    </w:rPr>
  </w:style>
  <w:style w:type="character" w:styleId="772">
    <w:name w:val="annotation reference"/>
    <w:uiPriority w:val="99"/>
    <w:qFormat/>
    <w:rPr>
      <w:sz w:val="21"/>
      <w:szCs w:val="21"/>
    </w:rPr>
  </w:style>
  <w:style w:type="character" w:styleId="773">
    <w:name w:val="footnote reference"/>
    <w:uiPriority w:val="0"/>
    <w:qFormat/>
    <w:rPr>
      <w:vertAlign w:val="superscript"/>
    </w:rPr>
  </w:style>
  <w:style w:type="character" w:styleId="774" w:customStyle="1">
    <w:name w:val="Heading 7 Char"/>
    <w:basedOn w:val="721"/>
    <w:uiPriority w:val="9"/>
    <w:qFormat/>
    <w:rPr>
      <w:rFonts w:ascii="Arial" w:hAnsi="Arial" w:eastAsia="Arial" w:cs="Arial"/>
      <w:b/>
      <w:bCs/>
      <w:i/>
      <w:iCs/>
      <w:sz w:val="22"/>
      <w:szCs w:val="22"/>
    </w:rPr>
  </w:style>
  <w:style w:type="character" w:styleId="775" w:customStyle="1">
    <w:name w:val="Heading 8 Char"/>
    <w:basedOn w:val="721"/>
    <w:uiPriority w:val="9"/>
    <w:rPr>
      <w:rFonts w:ascii="Arial" w:hAnsi="Arial" w:eastAsia="Arial" w:cs="Arial"/>
      <w:i/>
      <w:iCs/>
      <w:sz w:val="22"/>
      <w:szCs w:val="22"/>
    </w:rPr>
  </w:style>
  <w:style w:type="character" w:styleId="776" w:customStyle="1">
    <w:name w:val="Heading 9 Char"/>
    <w:basedOn w:val="721"/>
    <w:uiPriority w:val="9"/>
    <w:qFormat/>
    <w:rPr>
      <w:rFonts w:ascii="Arial" w:hAnsi="Arial" w:eastAsia="Arial" w:cs="Arial"/>
      <w:i/>
      <w:iCs/>
      <w:sz w:val="21"/>
      <w:szCs w:val="21"/>
    </w:rPr>
  </w:style>
  <w:style w:type="character" w:styleId="777" w:customStyle="1">
    <w:name w:val="Quote Char"/>
    <w:uiPriority w:val="29"/>
    <w:qFormat/>
    <w:rPr>
      <w:i/>
    </w:rPr>
  </w:style>
  <w:style w:type="character" w:styleId="778" w:customStyle="1">
    <w:name w:val="Intense Quote Char"/>
    <w:uiPriority w:val="30"/>
    <w:qFormat/>
    <w:rPr>
      <w:i/>
    </w:rPr>
  </w:style>
  <w:style w:type="table" w:styleId="779" w:customStyle="1">
    <w:name w:val="无格式表格 1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网格表 7 彩色1"/>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basedOn w:val="7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清单表 7 彩色1"/>
    <w:basedOn w:val="7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rPr>
      <w:rFonts w:ascii="Times New Roman" w:hAnsi="Times New Roman" w:eastAsia="宋体" w:cs="Times New Roman"/>
      <w:lang w:val="en-US" w:eastAsia="zh-CN" w:bidi="ar-SA"/>
    </w:rPr>
  </w:style>
  <w:style w:type="character" w:styleId="799" w:customStyle="1">
    <w:name w:val="Heading 1 Char"/>
    <w:basedOn w:val="721"/>
    <w:uiPriority w:val="9"/>
    <w:qFormat/>
    <w:rPr>
      <w:rFonts w:ascii="Arial" w:hAnsi="Arial" w:eastAsia="Arial" w:cs="Arial"/>
      <w:sz w:val="40"/>
      <w:szCs w:val="40"/>
    </w:rPr>
  </w:style>
  <w:style w:type="character" w:styleId="800" w:customStyle="1">
    <w:name w:val="Heading 2 Char"/>
    <w:basedOn w:val="721"/>
    <w:uiPriority w:val="9"/>
    <w:qFormat/>
    <w:rPr>
      <w:rFonts w:ascii="Arial" w:hAnsi="Arial" w:eastAsia="Arial" w:cs="Arial"/>
      <w:sz w:val="34"/>
    </w:rPr>
  </w:style>
  <w:style w:type="character" w:styleId="801" w:customStyle="1">
    <w:name w:val="Heading 3 Char"/>
    <w:basedOn w:val="721"/>
    <w:uiPriority w:val="9"/>
    <w:qFormat/>
    <w:rPr>
      <w:rFonts w:ascii="Arial" w:hAnsi="Arial" w:eastAsia="Arial" w:cs="Arial"/>
      <w:sz w:val="30"/>
      <w:szCs w:val="30"/>
    </w:rPr>
  </w:style>
  <w:style w:type="character" w:styleId="802" w:customStyle="1">
    <w:name w:val="Heading 4 Char"/>
    <w:basedOn w:val="721"/>
    <w:uiPriority w:val="9"/>
    <w:qFormat/>
    <w:rPr>
      <w:rFonts w:ascii="Arial" w:hAnsi="Arial" w:eastAsia="Arial" w:cs="Arial"/>
      <w:b/>
      <w:bCs/>
      <w:sz w:val="26"/>
      <w:szCs w:val="26"/>
    </w:rPr>
  </w:style>
  <w:style w:type="character" w:styleId="803" w:customStyle="1">
    <w:name w:val="Heading 5 Char"/>
    <w:basedOn w:val="721"/>
    <w:uiPriority w:val="9"/>
    <w:qFormat/>
    <w:rPr>
      <w:rFonts w:ascii="Arial" w:hAnsi="Arial" w:eastAsia="Arial" w:cs="Arial"/>
      <w:b/>
      <w:bCs/>
      <w:sz w:val="24"/>
      <w:szCs w:val="24"/>
    </w:rPr>
  </w:style>
  <w:style w:type="character" w:styleId="804" w:customStyle="1">
    <w:name w:val="Heading 6 Char"/>
    <w:basedOn w:val="721"/>
    <w:uiPriority w:val="9"/>
    <w:qFormat/>
    <w:rPr>
      <w:rFonts w:ascii="Arial" w:hAnsi="Arial" w:eastAsia="Arial" w:cs="Arial"/>
      <w:b/>
      <w:bCs/>
      <w:sz w:val="22"/>
      <w:szCs w:val="22"/>
    </w:rPr>
  </w:style>
  <w:style w:type="character" w:styleId="805" w:customStyle="1">
    <w:name w:val="标题 7 字符"/>
    <w:basedOn w:val="721"/>
    <w:link w:val="718"/>
    <w:uiPriority w:val="9"/>
    <w:qFormat/>
    <w:rPr>
      <w:rFonts w:ascii="Arial" w:hAnsi="Arial" w:eastAsia="Arial" w:cs="Arial"/>
      <w:b/>
      <w:bCs/>
      <w:i/>
      <w:iCs/>
      <w:sz w:val="22"/>
      <w:szCs w:val="22"/>
    </w:rPr>
  </w:style>
  <w:style w:type="character" w:styleId="806" w:customStyle="1">
    <w:name w:val="标题 8 字符"/>
    <w:basedOn w:val="721"/>
    <w:link w:val="719"/>
    <w:uiPriority w:val="9"/>
    <w:qFormat/>
    <w:rPr>
      <w:rFonts w:ascii="Arial" w:hAnsi="Arial" w:eastAsia="Arial" w:cs="Arial"/>
      <w:i/>
      <w:iCs/>
      <w:sz w:val="22"/>
      <w:szCs w:val="22"/>
    </w:rPr>
  </w:style>
  <w:style w:type="character" w:styleId="807" w:customStyle="1">
    <w:name w:val="标题 9 字符"/>
    <w:basedOn w:val="721"/>
    <w:link w:val="720"/>
    <w:uiPriority w:val="9"/>
    <w:qFormat/>
    <w:rPr>
      <w:rFonts w:ascii="Arial" w:hAnsi="Arial" w:eastAsia="Arial" w:cs="Arial"/>
      <w:i/>
      <w:iCs/>
      <w:sz w:val="21"/>
      <w:szCs w:val="21"/>
    </w:rPr>
  </w:style>
  <w:style w:type="paragraph" w:styleId="808">
    <w:name w:val="No Spacing"/>
    <w:uiPriority w:val="1"/>
    <w:qFormat/>
    <w:rPr>
      <w:rFonts w:ascii="Times New Roman" w:hAnsi="Times New Roman" w:eastAsia="宋体" w:cs="Times New Roman"/>
      <w:lang w:val="en-US" w:eastAsia="zh-CN" w:bidi="ar-SA"/>
    </w:rPr>
  </w:style>
  <w:style w:type="character" w:styleId="809" w:customStyle="1">
    <w:name w:val="Title Char"/>
    <w:basedOn w:val="721"/>
    <w:uiPriority w:val="10"/>
    <w:qFormat/>
    <w:rPr>
      <w:sz w:val="48"/>
      <w:szCs w:val="48"/>
    </w:rPr>
  </w:style>
  <w:style w:type="character" w:styleId="810" w:customStyle="1">
    <w:name w:val="Subtitle Char"/>
    <w:basedOn w:val="721"/>
    <w:uiPriority w:val="11"/>
    <w:qFormat/>
    <w:rPr>
      <w:sz w:val="24"/>
      <w:szCs w:val="24"/>
    </w:rPr>
  </w:style>
  <w:style w:type="paragraph" w:styleId="811">
    <w:name w:val="Quote"/>
    <w:basedOn w:val="711"/>
    <w:next w:val="711"/>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11"/>
    <w:next w:val="711"/>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basedOn w:val="721"/>
    <w:uiPriority w:val="99"/>
    <w:qFormat/>
  </w:style>
  <w:style w:type="character" w:styleId="816" w:customStyle="1">
    <w:name w:val="Footer Char"/>
    <w:basedOn w:val="721"/>
    <w:uiPriority w:val="99"/>
    <w:qFormat/>
  </w:style>
  <w:style w:type="character" w:styleId="817" w:customStyle="1">
    <w:name w:val="Caption Char"/>
    <w:uiPriority w:val="99"/>
    <w:qFormat/>
  </w:style>
  <w:style w:type="table" w:styleId="818"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9" w:customStyle="1">
    <w:name w:val="Grid Table 1 Light - Accent 1"/>
    <w:basedOn w:val="7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 Accent 1"/>
    <w:basedOn w:val="7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 Accent 1"/>
    <w:basedOn w:val="7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 Accent 1"/>
    <w:basedOn w:val="72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basedOn w:val="72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basedOn w:val="72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basedOn w:val="72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basedOn w:val="72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basedOn w:val="72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 Accent 1"/>
    <w:basedOn w:val="72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2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basedOn w:val="7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2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2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 Accent 1"/>
    <w:basedOn w:val="72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2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2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2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2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2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 Accent 1"/>
    <w:basedOn w:val="72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2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2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2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2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2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 Accent 1"/>
    <w:basedOn w:val="72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2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2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2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2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2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 Accent 1"/>
    <w:basedOn w:val="72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basedOn w:val="7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2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2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2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 Accent 1"/>
    <w:basedOn w:val="72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2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2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2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2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2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 Accent 1"/>
    <w:basedOn w:val="72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basedOn w:val="72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basedOn w:val="72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basedOn w:val="72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basedOn w:val="72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basedOn w:val="72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 Accent 1"/>
    <w:basedOn w:val="72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2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2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2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2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2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 Accent 1"/>
    <w:basedOn w:val="72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2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2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2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2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2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2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2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2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2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2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2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uiPriority w:val="99"/>
    <w:qFormat/>
    <w:rPr>
      <w:sz w:val="18"/>
    </w:rPr>
  </w:style>
  <w:style w:type="character" w:styleId="925" w:customStyle="1">
    <w:name w:val="Endnote Text Char"/>
    <w:uiPriority w:val="99"/>
    <w:qFormat/>
    <w:rPr>
      <w:sz w:val="20"/>
    </w:rPr>
  </w:style>
  <w:style w:type="paragraph" w:styleId="926" w:customStyle="1">
    <w:name w:val="TOC 标题11"/>
    <w:uiPriority w:val="39"/>
    <w:unhideWhenUsed/>
    <w:qFormat/>
    <w:rPr>
      <w:rFonts w:ascii="Times New Roman" w:hAnsi="Times New Roman" w:eastAsia="宋体" w:cs="Times New Roman"/>
      <w:lang w:val="en-US" w:eastAsia="zh-CN" w:bidi="ar-SA"/>
    </w:rPr>
  </w:style>
  <w:style w:type="paragraph" w:styleId="927" w:customStyle="1">
    <w:name w:val="段"/>
    <w:next w:val="711"/>
    <w:uiPriority w:val="0"/>
    <w:qFormat/>
    <w:pPr>
      <w:ind w:firstLine="200"/>
      <w:jc w:val="both"/>
    </w:pPr>
    <w:rPr>
      <w:rFonts w:ascii="宋体" w:hAnsi="Times New Roman" w:eastAsia="宋体" w:cs="宋体"/>
      <w:sz w:val="21"/>
      <w:szCs w:val="21"/>
      <w:lang w:val="en-US" w:eastAsia="zh-CN" w:bidi="ar-SA"/>
    </w:rPr>
  </w:style>
  <w:style w:type="paragraph" w:styleId="928" w:customStyle="1">
    <w:name w:val="首行缩进"/>
    <w:basedOn w:val="711"/>
    <w:uiPriority w:val="0"/>
    <w:qFormat/>
    <w:pPr>
      <w:ind w:firstLine="480"/>
    </w:pPr>
    <w:rPr>
      <w:rFonts w:ascii="Calibri" w:hAnsi="Calibri" w:eastAsia="宋体" w:cs="Times New Roman"/>
      <w:szCs w:val="20"/>
      <w:lang w:val="zh-CN"/>
    </w:rPr>
  </w:style>
  <w:style w:type="character" w:styleId="929" w:customStyle="1">
    <w:name w:val="标题 1 字符"/>
    <w:basedOn w:val="721"/>
    <w:link w:val="712"/>
    <w:uiPriority w:val="0"/>
    <w:qFormat/>
    <w:rPr>
      <w:rFonts w:ascii="Calibri" w:hAnsi="Calibri" w:eastAsia="楷体_GB2312" w:cs="Times New Roman"/>
      <w:b/>
      <w:sz w:val="44"/>
      <w:szCs w:val="20"/>
    </w:rPr>
  </w:style>
  <w:style w:type="character" w:styleId="930" w:customStyle="1">
    <w:name w:val="标题 2 字符"/>
    <w:basedOn w:val="721"/>
    <w:link w:val="713"/>
    <w:uiPriority w:val="0"/>
    <w:qFormat/>
    <w:rPr>
      <w:rFonts w:ascii="宋体" w:hAnsi="宋体" w:eastAsia="楷体_GB2312" w:cs="Times New Roman"/>
      <w:b/>
      <w:sz w:val="26"/>
      <w:szCs w:val="20"/>
    </w:rPr>
  </w:style>
  <w:style w:type="character" w:styleId="931" w:customStyle="1">
    <w:name w:val="标题 3 字符"/>
    <w:basedOn w:val="721"/>
    <w:link w:val="714"/>
    <w:uiPriority w:val="0"/>
    <w:qFormat/>
    <w:rPr>
      <w:rFonts w:ascii="Calibri" w:hAnsi="Calibri" w:eastAsia="楷体_GB2312" w:cs="Times New Roman"/>
      <w:b/>
      <w:sz w:val="26"/>
      <w:szCs w:val="20"/>
    </w:rPr>
  </w:style>
  <w:style w:type="character" w:styleId="932" w:customStyle="1">
    <w:name w:val="标题 4 字符"/>
    <w:basedOn w:val="721"/>
    <w:link w:val="715"/>
    <w:uiPriority w:val="0"/>
    <w:qFormat/>
    <w:rPr>
      <w:rFonts w:ascii="Arial" w:hAnsi="Arial" w:eastAsia="黑体" w:cs="Times New Roman"/>
      <w:b/>
      <w:bCs/>
      <w:sz w:val="28"/>
      <w:szCs w:val="28"/>
    </w:rPr>
  </w:style>
  <w:style w:type="character" w:styleId="933" w:customStyle="1">
    <w:name w:val="标题 5 字符"/>
    <w:basedOn w:val="721"/>
    <w:link w:val="716"/>
    <w:uiPriority w:val="0"/>
    <w:qFormat/>
    <w:rPr>
      <w:rFonts w:ascii="宋体" w:hAnsi="宋体" w:eastAsia="宋体" w:cs="Times New Roman"/>
      <w:color w:val="000000"/>
      <w:sz w:val="28"/>
      <w:szCs w:val="20"/>
    </w:rPr>
  </w:style>
  <w:style w:type="character" w:styleId="934" w:customStyle="1">
    <w:name w:val="标题 6 字符"/>
    <w:basedOn w:val="721"/>
    <w:link w:val="717"/>
    <w:uiPriority w:val="0"/>
    <w:qFormat/>
    <w:rPr>
      <w:rFonts w:ascii="宋体" w:hAnsi="宋体" w:eastAsia="宋体" w:cs="Times New Roman"/>
      <w:sz w:val="28"/>
      <w:szCs w:val="20"/>
    </w:rPr>
  </w:style>
  <w:style w:type="character" w:styleId="935" w:customStyle="1">
    <w:name w:val="正文缩进 字符"/>
    <w:link w:val="725"/>
    <w:uiPriority w:val="0"/>
    <w:qFormat/>
    <w:rPr>
      <w:rFonts w:ascii="Calibri" w:hAnsi="Calibri" w:eastAsia="楷体_GB2312" w:cs="Times New Roman"/>
      <w:sz w:val="24"/>
      <w:szCs w:val="20"/>
    </w:rPr>
  </w:style>
  <w:style w:type="character" w:styleId="936" w:customStyle="1">
    <w:name w:val="文档结构图 字符"/>
    <w:basedOn w:val="721"/>
    <w:link w:val="728"/>
    <w:uiPriority w:val="0"/>
    <w:qFormat/>
    <w:rPr>
      <w:rFonts w:ascii="Calibri" w:hAnsi="Calibri" w:eastAsia="楷体_GB2312" w:cs="Times New Roman"/>
      <w:sz w:val="26"/>
      <w:szCs w:val="20"/>
      <w:shd w:val="clear" w:color="auto" w:fill="000080"/>
    </w:rPr>
  </w:style>
  <w:style w:type="character" w:styleId="937" w:customStyle="1">
    <w:name w:val="批注文字 字符"/>
    <w:basedOn w:val="721"/>
    <w:link w:val="729"/>
    <w:uiPriority w:val="0"/>
    <w:qFormat/>
    <w:rPr>
      <w:rFonts w:ascii="Calibri" w:hAnsi="Calibri" w:eastAsia="楷体_GB2312" w:cs="Times New Roman"/>
      <w:sz w:val="26"/>
      <w:szCs w:val="20"/>
    </w:rPr>
  </w:style>
  <w:style w:type="character" w:styleId="938" w:customStyle="1">
    <w:name w:val="正文文本 字符"/>
    <w:basedOn w:val="721"/>
    <w:link w:val="731"/>
    <w:uiPriority w:val="0"/>
    <w:qFormat/>
    <w:rPr>
      <w:rFonts w:ascii="楷体_GB2312" w:hAnsi="Calibri" w:eastAsia="楷体_GB2312" w:cs="Times New Roman"/>
      <w:sz w:val="28"/>
      <w:szCs w:val="20"/>
    </w:rPr>
  </w:style>
  <w:style w:type="character" w:styleId="939" w:customStyle="1">
    <w:name w:val="正文文本缩进 字符"/>
    <w:basedOn w:val="721"/>
    <w:link w:val="732"/>
    <w:uiPriority w:val="99"/>
    <w:qFormat/>
    <w:rPr>
      <w:rFonts w:ascii="方正仿宋简体" w:hAnsi="创艺简仿宋" w:eastAsia="方正仿宋简体" w:cs="Times New Roman"/>
      <w:sz w:val="24"/>
      <w:szCs w:val="20"/>
    </w:rPr>
  </w:style>
  <w:style w:type="character" w:styleId="940" w:customStyle="1">
    <w:name w:val="纯文本 字符"/>
    <w:basedOn w:val="721"/>
    <w:link w:val="737"/>
    <w:uiPriority w:val="0"/>
    <w:qFormat/>
    <w:rPr>
      <w:rFonts w:ascii="宋体" w:hAnsi="Courier New" w:eastAsia="楷体_GB2312" w:cs="Times New Roman"/>
      <w:sz w:val="26"/>
      <w:szCs w:val="20"/>
    </w:rPr>
  </w:style>
  <w:style w:type="character" w:styleId="941" w:customStyle="1">
    <w:name w:val="日期 字符"/>
    <w:basedOn w:val="721"/>
    <w:link w:val="740"/>
    <w:uiPriority w:val="0"/>
    <w:qFormat/>
    <w:rPr>
      <w:rFonts w:ascii="宋体" w:hAnsi="宋体" w:eastAsia="楷体_GB2312" w:cs="Times New Roman"/>
      <w:sz w:val="24"/>
      <w:szCs w:val="20"/>
    </w:rPr>
  </w:style>
  <w:style w:type="character" w:styleId="942" w:customStyle="1">
    <w:name w:val="正文文本缩进 2 字符"/>
    <w:basedOn w:val="721"/>
    <w:link w:val="741"/>
    <w:uiPriority w:val="0"/>
    <w:qFormat/>
    <w:rPr>
      <w:rFonts w:ascii="宋体" w:hAnsi="Calibri" w:eastAsia="宋体" w:cs="Times New Roman"/>
      <w:b/>
      <w:bCs/>
      <w:sz w:val="24"/>
      <w:szCs w:val="20"/>
    </w:rPr>
  </w:style>
  <w:style w:type="character" w:styleId="943" w:customStyle="1">
    <w:name w:val="尾注文本 字符"/>
    <w:basedOn w:val="721"/>
    <w:link w:val="742"/>
    <w:uiPriority w:val="0"/>
    <w:qFormat/>
    <w:rPr>
      <w:rFonts w:ascii="Calibri" w:hAnsi="Calibri" w:eastAsia="楷体_GB2312" w:cs="Times New Roman"/>
      <w:sz w:val="26"/>
      <w:szCs w:val="20"/>
    </w:rPr>
  </w:style>
  <w:style w:type="character" w:styleId="944" w:customStyle="1">
    <w:name w:val="批注框文本 字符"/>
    <w:basedOn w:val="721"/>
    <w:link w:val="743"/>
    <w:uiPriority w:val="99"/>
    <w:qFormat/>
    <w:rPr>
      <w:rFonts w:ascii="Calibri" w:hAnsi="Calibri" w:eastAsia="楷体_GB2312" w:cs="Times New Roman"/>
      <w:sz w:val="18"/>
      <w:szCs w:val="18"/>
    </w:rPr>
  </w:style>
  <w:style w:type="character" w:styleId="945" w:customStyle="1">
    <w:name w:val="页脚 字符"/>
    <w:basedOn w:val="721"/>
    <w:link w:val="744"/>
    <w:uiPriority w:val="99"/>
    <w:qFormat/>
    <w:rPr>
      <w:rFonts w:ascii="Calibri" w:hAnsi="Calibri" w:eastAsia="楷体_GB2312" w:cs="Times New Roman"/>
      <w:sz w:val="18"/>
      <w:szCs w:val="20"/>
    </w:rPr>
  </w:style>
  <w:style w:type="character" w:styleId="946" w:customStyle="1">
    <w:name w:val="页眉 字符"/>
    <w:basedOn w:val="721"/>
    <w:link w:val="745"/>
    <w:uiPriority w:val="99"/>
    <w:qFormat/>
    <w:rPr>
      <w:rFonts w:ascii="Calibri" w:hAnsi="Calibri" w:eastAsia="楷体_GB2312" w:cs="Times New Roman"/>
      <w:sz w:val="18"/>
      <w:szCs w:val="20"/>
    </w:rPr>
  </w:style>
  <w:style w:type="character" w:styleId="947" w:customStyle="1">
    <w:name w:val="副标题 字符"/>
    <w:basedOn w:val="721"/>
    <w:link w:val="750"/>
    <w:uiPriority w:val="0"/>
    <w:qFormat/>
    <w:rPr>
      <w:rFonts w:ascii="Cambria" w:hAnsi="Cambria" w:eastAsia="宋体" w:cs="Times New Roman"/>
      <w:b/>
      <w:bCs/>
      <w:sz w:val="24"/>
      <w:szCs w:val="32"/>
    </w:rPr>
  </w:style>
  <w:style w:type="character" w:styleId="948" w:customStyle="1">
    <w:name w:val="脚注文本 字符"/>
    <w:basedOn w:val="721"/>
    <w:link w:val="751"/>
    <w:uiPriority w:val="0"/>
    <w:qFormat/>
    <w:rPr>
      <w:rFonts w:ascii="Calibri" w:hAnsi="Calibri" w:eastAsia="楷体_GB2312" w:cs="Times New Roman"/>
      <w:sz w:val="18"/>
      <w:szCs w:val="20"/>
    </w:rPr>
  </w:style>
  <w:style w:type="character" w:styleId="949" w:customStyle="1">
    <w:name w:val="正文文本缩进 3 字符"/>
    <w:basedOn w:val="721"/>
    <w:link w:val="753"/>
    <w:uiPriority w:val="0"/>
    <w:qFormat/>
    <w:rPr>
      <w:rFonts w:ascii="Calibri" w:hAnsi="Calibri" w:eastAsia="宋体" w:cs="Times New Roman"/>
      <w:sz w:val="24"/>
      <w:szCs w:val="24"/>
    </w:rPr>
  </w:style>
  <w:style w:type="character" w:styleId="950" w:customStyle="1">
    <w:name w:val="HTML 预设格式 字符"/>
    <w:basedOn w:val="721"/>
    <w:link w:val="759"/>
    <w:uiPriority w:val="0"/>
    <w:qFormat/>
    <w:rPr>
      <w:rFonts w:ascii="黑体" w:hAnsi="Courier New" w:eastAsia="黑体" w:cs="Times New Roman"/>
      <w:sz w:val="20"/>
      <w:szCs w:val="20"/>
    </w:rPr>
  </w:style>
  <w:style w:type="character" w:styleId="951" w:customStyle="1">
    <w:name w:val="标题 字符"/>
    <w:basedOn w:val="721"/>
    <w:link w:val="762"/>
    <w:uiPriority w:val="0"/>
    <w:qFormat/>
    <w:rPr>
      <w:rFonts w:ascii="Cambria" w:hAnsi="Cambria" w:eastAsia="宋体" w:cs="Times New Roman"/>
      <w:b/>
      <w:bCs/>
      <w:sz w:val="32"/>
      <w:szCs w:val="32"/>
    </w:rPr>
  </w:style>
  <w:style w:type="character" w:styleId="952" w:customStyle="1">
    <w:name w:val="批注主题 字符"/>
    <w:basedOn w:val="937"/>
    <w:link w:val="763"/>
    <w:uiPriority w:val="99"/>
    <w:qFormat/>
    <w:rPr>
      <w:rFonts w:ascii="Calibri" w:hAnsi="Calibri" w:eastAsia="楷体_GB2312" w:cs="Times New Roman"/>
      <w:b/>
      <w:bCs/>
      <w:sz w:val="26"/>
      <w:szCs w:val="20"/>
    </w:rPr>
  </w:style>
  <w:style w:type="character" w:styleId="953" w:customStyle="1">
    <w:name w:val="正文文本首行缩进 2 字符"/>
    <w:basedOn w:val="939"/>
    <w:link w:val="764"/>
    <w:uiPriority w:val="0"/>
    <w:qFormat/>
    <w:rPr>
      <w:rFonts w:ascii="Calibri" w:hAnsi="Calibri" w:eastAsia="楷体_GB2312" w:cs="Times New Roman"/>
      <w:sz w:val="26"/>
      <w:szCs w:val="20"/>
    </w:rPr>
  </w:style>
  <w:style w:type="character" w:styleId="954" w:customStyle="1">
    <w:name w:val="Plain Text Char Char"/>
    <w:link w:val="955"/>
    <w:uiPriority w:val="0"/>
    <w:qFormat/>
    <w:rPr>
      <w:rFonts w:ascii="宋体" w:hAnsi="Courier New" w:eastAsia="楷体_GB2312"/>
      <w:sz w:val="26"/>
    </w:rPr>
  </w:style>
  <w:style w:type="paragraph" w:styleId="955" w:customStyle="1">
    <w:name w:val="纯文本3"/>
    <w:basedOn w:val="711"/>
    <w:link w:val="954"/>
    <w:uiPriority w:val="0"/>
    <w:qFormat/>
    <w:rPr>
      <w:rFonts w:ascii="宋体" w:hAnsi="Courier New" w:eastAsia="楷体_GB2312"/>
      <w:sz w:val="26"/>
    </w:rPr>
  </w:style>
  <w:style w:type="character" w:styleId="956" w:customStyle="1">
    <w:name w:val="styl81"/>
    <w:uiPriority w:val="0"/>
    <w:qFormat/>
    <w:rPr>
      <w:sz w:val="21"/>
    </w:rPr>
  </w:style>
  <w:style w:type="character" w:styleId="957" w:customStyle="1">
    <w:name w:val="Plain Text Char"/>
    <w:link w:val="958"/>
    <w:uiPriority w:val="0"/>
    <w:qFormat/>
    <w:rPr>
      <w:rFonts w:ascii="宋体" w:hAnsi="Courier New" w:eastAsia="楷体_GB2312"/>
      <w:sz w:val="26"/>
    </w:rPr>
  </w:style>
  <w:style w:type="paragraph" w:styleId="958" w:customStyle="1">
    <w:name w:val="纯文本1"/>
    <w:basedOn w:val="711"/>
    <w:link w:val="957"/>
    <w:uiPriority w:val="0"/>
    <w:qFormat/>
    <w:rPr>
      <w:rFonts w:ascii="宋体" w:hAnsi="Courier New" w:eastAsia="楷体_GB2312"/>
      <w:sz w:val="26"/>
    </w:rPr>
  </w:style>
  <w:style w:type="character" w:styleId="959" w:customStyle="1">
    <w:name w:val="表正文 Char1"/>
    <w:uiPriority w:val="0"/>
    <w:qFormat/>
    <w:rPr>
      <w:rFonts w:eastAsia="楷体_GB2312"/>
      <w:sz w:val="24"/>
      <w:lang w:val="en-US" w:eastAsia="zh-CN" w:bidi="ar-SA"/>
    </w:rPr>
  </w:style>
  <w:style w:type="character" w:styleId="960" w:customStyle="1">
    <w:name w:val="_正文段落 Char"/>
    <w:link w:val="961"/>
    <w:uiPriority w:val="0"/>
    <w:qFormat/>
    <w:rPr>
      <w:rFonts w:ascii="宋体" w:hAnsi="宋体"/>
      <w:sz w:val="24"/>
      <w:szCs w:val="24"/>
    </w:rPr>
  </w:style>
  <w:style w:type="paragraph" w:styleId="961" w:customStyle="1">
    <w:name w:val="_正文段落"/>
    <w:basedOn w:val="711"/>
    <w:link w:val="960"/>
    <w:uiPriority w:val="0"/>
    <w:qFormat/>
    <w:pPr>
      <w:ind w:firstLine="480"/>
      <w:spacing w:line="360" w:lineRule="auto"/>
    </w:pPr>
    <w:rPr>
      <w:rFonts w:ascii="宋体" w:hAnsi="宋体"/>
      <w:sz w:val="24"/>
      <w:szCs w:val="24"/>
    </w:rPr>
  </w:style>
  <w:style w:type="character" w:styleId="962" w:customStyle="1">
    <w:name w:val="Andy_正文 Char"/>
    <w:link w:val="963"/>
    <w:uiPriority w:val="0"/>
    <w:qFormat/>
    <w:rPr>
      <w:sz w:val="24"/>
      <w:szCs w:val="24"/>
    </w:rPr>
  </w:style>
  <w:style w:type="paragraph" w:styleId="963" w:customStyle="1">
    <w:name w:val="Andy_正文"/>
    <w:basedOn w:val="711"/>
    <w:link w:val="962"/>
    <w:uiPriority w:val="0"/>
    <w:qFormat/>
    <w:pPr>
      <w:ind w:firstLine="480"/>
      <w:spacing w:line="360" w:lineRule="auto"/>
    </w:pPr>
    <w:rPr>
      <w:sz w:val="24"/>
      <w:szCs w:val="24"/>
    </w:rPr>
  </w:style>
  <w:style w:type="character" w:styleId="964" w:customStyle="1">
    <w:name w:val="正文缩进 Char1"/>
    <w:uiPriority w:val="0"/>
    <w:qFormat/>
    <w:rPr>
      <w:rFonts w:eastAsia="楷体_GB2312"/>
      <w:sz w:val="24"/>
    </w:rPr>
  </w:style>
  <w:style w:type="character" w:styleId="965" w:customStyle="1">
    <w:name w:val="副标题 Char1"/>
    <w:uiPriority w:val="11"/>
    <w:qFormat/>
    <w:rPr>
      <w:rFonts w:ascii="Cambria" w:hAnsi="Cambria" w:cs="Times New Roman"/>
      <w:b/>
      <w:bCs/>
      <w:sz w:val="32"/>
      <w:szCs w:val="32"/>
    </w:rPr>
  </w:style>
  <w:style w:type="character" w:styleId="966" w:customStyle="1">
    <w:name w:val="Andy_2级 Char"/>
    <w:link w:val="967"/>
    <w:uiPriority w:val="0"/>
    <w:qFormat/>
    <w:rPr>
      <w:sz w:val="24"/>
    </w:rPr>
  </w:style>
  <w:style w:type="paragraph" w:styleId="967" w:customStyle="1">
    <w:name w:val="Andy_2级"/>
    <w:basedOn w:val="711"/>
    <w:link w:val="966"/>
    <w:uiPriority w:val="0"/>
    <w:qFormat/>
    <w:pPr>
      <w:numPr>
        <w:ilvl w:val="1"/>
        <w:numId w:val="1"/>
      </w:numPr>
      <w:spacing w:line="360" w:lineRule="auto"/>
    </w:pPr>
    <w:rPr>
      <w:sz w:val="24"/>
    </w:rPr>
  </w:style>
  <w:style w:type="character" w:styleId="968" w:customStyle="1">
    <w:name w:val="副标题 Char2"/>
    <w:uiPriority w:val="0"/>
    <w:qFormat/>
    <w:rPr>
      <w:rFonts w:ascii="Cambria" w:hAnsi="Cambria" w:cs="Times New Roman"/>
      <w:b/>
      <w:bCs/>
      <w:sz w:val="32"/>
      <w:szCs w:val="32"/>
    </w:rPr>
  </w:style>
  <w:style w:type="character" w:styleId="969" w:customStyle="1">
    <w:name w:val="正文首行缩进 2 Char1"/>
    <w:uiPriority w:val="0"/>
    <w:qFormat/>
    <w:rPr>
      <w:rFonts w:ascii="方正仿宋简体" w:hAnsi="创艺简仿宋" w:eastAsia="楷体_GB2312"/>
      <w:sz w:val="26"/>
    </w:rPr>
  </w:style>
  <w:style w:type="character" w:styleId="970" w:customStyle="1">
    <w:name w:val="ca-221"/>
    <w:uiPriority w:val="0"/>
    <w:qFormat/>
    <w:rPr>
      <w:rFonts w:hint="eastAsia" w:ascii="宋体" w:hAnsi="宋体" w:eastAsia="宋体"/>
      <w:color w:val="ff0000"/>
      <w:sz w:val="24"/>
      <w:szCs w:val="24"/>
    </w:rPr>
  </w:style>
  <w:style w:type="paragraph" w:styleId="971" w:customStyle="1">
    <w:name w:val="纯文本11"/>
    <w:basedOn w:val="711"/>
    <w:uiPriority w:val="0"/>
    <w:qFormat/>
    <w:rPr>
      <w:rFonts w:ascii="宋体" w:hAnsi="Courier New" w:eastAsia="楷体_GB2312" w:cs="Times New Roman"/>
      <w:sz w:val="26"/>
      <w:szCs w:val="20"/>
    </w:rPr>
  </w:style>
  <w:style w:type="paragraph" w:styleId="972" w:customStyle="1">
    <w:name w:val="xl70"/>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3" w:customStyle="1">
    <w:name w:val="xl69"/>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4" w:customStyle="1">
    <w:name w:val="xl79"/>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5" w:customStyle="1">
    <w:name w:val="xl86"/>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6" w:customStyle="1">
    <w:name w:val="纯文本2"/>
    <w:basedOn w:val="711"/>
    <w:uiPriority w:val="0"/>
    <w:qFormat/>
    <w:rPr>
      <w:rFonts w:ascii="宋体" w:hAnsi="Courier New" w:eastAsia="楷体_GB2312" w:cs="Times New Roman"/>
      <w:sz w:val="26"/>
      <w:szCs w:val="20"/>
    </w:rPr>
  </w:style>
  <w:style w:type="paragraph" w:styleId="977" w:customStyle="1">
    <w:name w:val="列出段落2"/>
    <w:basedOn w:val="711"/>
    <w:uiPriority w:val="0"/>
    <w:qFormat/>
    <w:pPr>
      <w:ind w:firstLine="420"/>
    </w:pPr>
    <w:rPr>
      <w:rFonts w:ascii="Calibri" w:hAnsi="Calibri" w:eastAsia="宋体" w:cs="Times New Roman"/>
    </w:rPr>
  </w:style>
  <w:style w:type="paragraph" w:styleId="978" w:customStyle="1">
    <w:name w:val="xl78"/>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9" w:customStyle="1">
    <w:name w:val="xl96"/>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0" w:customStyle="1">
    <w:name w:val="Char Char Char Char"/>
    <w:basedOn w:val="728"/>
    <w:uiPriority w:val="0"/>
    <w:qFormat/>
    <w:pPr>
      <w:ind w:left="357"/>
      <w:jc w:val="left"/>
      <w:spacing w:line="436" w:lineRule="exact"/>
      <w:outlineLvl w:val="3"/>
    </w:pPr>
    <w:rPr>
      <w:rFonts w:ascii="Tahoma" w:hAnsi="Tahoma" w:eastAsia="宋体"/>
      <w:b/>
      <w:sz w:val="24"/>
      <w:szCs w:val="24"/>
    </w:rPr>
  </w:style>
  <w:style w:type="paragraph" w:styleId="981" w:customStyle="1">
    <w:name w:val="列出段落1"/>
    <w:basedOn w:val="711"/>
    <w:uiPriority w:val="0"/>
    <w:qFormat/>
    <w:pPr>
      <w:ind w:firstLine="420"/>
    </w:pPr>
    <w:rPr>
      <w:rFonts w:ascii="Calibri" w:hAnsi="Calibri" w:eastAsia="楷体_GB2312" w:cs="Times New Roman"/>
      <w:sz w:val="26"/>
      <w:szCs w:val="20"/>
    </w:rPr>
  </w:style>
  <w:style w:type="paragraph" w:styleId="982" w:customStyle="1">
    <w:name w:val="xl74"/>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3" w:customStyle="1">
    <w:name w:val="纯文本4"/>
    <w:basedOn w:val="711"/>
    <w:uiPriority w:val="0"/>
    <w:qFormat/>
    <w:rPr>
      <w:rFonts w:ascii="宋体" w:hAnsi="Courier New" w:eastAsia="楷体_GB2312" w:cs="Times New Roman"/>
      <w:sz w:val="26"/>
      <w:szCs w:val="20"/>
    </w:rPr>
  </w:style>
  <w:style w:type="paragraph" w:styleId="984" w:customStyle="1">
    <w:name w:val="xl92"/>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5" w:customStyle="1">
    <w:name w:val="xl66"/>
    <w:basedOn w:val="71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6" w:customStyle="1">
    <w:name w:val="xl94"/>
    <w:basedOn w:val="71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7" w:customStyle="1">
    <w:name w:val="Char Char3"/>
    <w:basedOn w:val="711"/>
    <w:uiPriority w:val="0"/>
    <w:qFormat/>
    <w:pPr>
      <w:jc w:val="left"/>
      <w:spacing w:after="160" w:line="240" w:lineRule="exact"/>
      <w:widowControl/>
    </w:pPr>
    <w:rPr>
      <w:rFonts w:ascii="Calibri" w:hAnsi="Calibri" w:eastAsia="宋体" w:cs="Times New Roman"/>
      <w:sz w:val="24"/>
      <w:szCs w:val="24"/>
    </w:rPr>
  </w:style>
  <w:style w:type="paragraph" w:styleId="988" w:customStyle="1">
    <w:name w:val="xl95"/>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9" w:customStyle="1">
    <w:name w:val="xl85"/>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90" w:customStyle="1">
    <w:name w:val="q3"/>
    <w:basedOn w:val="711"/>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91" w:customStyle="1">
    <w:name w:val="xl91"/>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2" w:customStyle="1">
    <w:name w:val="Char Char Char"/>
    <w:basedOn w:val="711"/>
    <w:uiPriority w:val="0"/>
    <w:qFormat/>
    <w:pPr>
      <w:numPr>
        <w:ilvl w:val="0"/>
        <w:numId w:val="2"/>
      </w:numPr>
    </w:pPr>
    <w:rPr>
      <w:rFonts w:ascii="Calibri" w:hAnsi="Calibri" w:eastAsia="宋体" w:cs="Times New Roman"/>
      <w:sz w:val="24"/>
      <w:szCs w:val="24"/>
    </w:rPr>
  </w:style>
  <w:style w:type="paragraph" w:styleId="993" w:customStyle="1">
    <w:name w:val="xl80"/>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4" w:customStyle="1">
    <w:name w:val="修订1"/>
    <w:uiPriority w:val="99"/>
    <w:unhideWhenUsed/>
    <w:qFormat/>
    <w:rPr>
      <w:rFonts w:ascii="Calibri" w:hAnsi="Calibri" w:eastAsia="楷体_GB2312" w:cs="Times New Roman"/>
      <w:sz w:val="26"/>
      <w:lang w:val="en-US" w:eastAsia="zh-CN" w:bidi="ar-SA"/>
    </w:rPr>
  </w:style>
  <w:style w:type="paragraph" w:styleId="995" w:customStyle="1">
    <w:name w:val="xl72"/>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6"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7" w:customStyle="1">
    <w:name w:val="纯文本111"/>
    <w:basedOn w:val="711"/>
    <w:uiPriority w:val="0"/>
    <w:qFormat/>
    <w:rPr>
      <w:rFonts w:ascii="宋体" w:hAnsi="Courier New" w:eastAsia="楷体_GB2312" w:cs="Times New Roman"/>
      <w:sz w:val="26"/>
      <w:szCs w:val="20"/>
    </w:rPr>
  </w:style>
  <w:style w:type="paragraph" w:styleId="998" w:customStyle="1">
    <w:name w:val="xl93"/>
    <w:basedOn w:val="71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9"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00" w:customStyle="1">
    <w:name w:val="xl71"/>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1" w:customStyle="1">
    <w:name w:val="xl87"/>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2" w:customStyle="1">
    <w:name w:val="Char"/>
    <w:basedOn w:val="711"/>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3" w:customStyle="1">
    <w:name w:val="xl67"/>
    <w:basedOn w:val="711"/>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4" w:customStyle="1">
    <w:name w:val="xl81"/>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5" w:customStyle="1">
    <w:name w:val="xl73"/>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6" w:customStyle="1">
    <w:name w:val="xl68"/>
    <w:basedOn w:val="71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7" w:customStyle="1">
    <w:name w:val="正文1"/>
    <w:basedOn w:val="711"/>
    <w:next w:val="711"/>
    <w:uiPriority w:val="0"/>
    <w:qFormat/>
    <w:pPr>
      <w:ind w:left="420" w:firstLine="527"/>
      <w:spacing w:before="120" w:line="360" w:lineRule="auto"/>
    </w:pPr>
    <w:rPr>
      <w:rFonts w:ascii="宋体" w:hAnsi="宋体" w:eastAsia="宋体" w:cs="Times New Roman"/>
      <w:sz w:val="24"/>
      <w:szCs w:val="24"/>
    </w:rPr>
  </w:style>
  <w:style w:type="paragraph" w:styleId="1008" w:customStyle="1">
    <w:name w:val="xl90"/>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9" w:customStyle="1">
    <w:name w:val="xl83"/>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10" w:customStyle="1">
    <w:name w:val="xl76"/>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1" w:customStyle="1">
    <w:name w:val="xl82"/>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2">
    <w:name w:val="List Paragraph"/>
    <w:basedOn w:val="711"/>
    <w:uiPriority w:val="34"/>
    <w:qFormat/>
    <w:pPr>
      <w:ind w:firstLine="420"/>
    </w:pPr>
    <w:rPr>
      <w:rFonts w:ascii="Calibri" w:hAnsi="Calibri" w:eastAsia="楷体_GB2312" w:cs="Times New Roman"/>
      <w:sz w:val="26"/>
      <w:szCs w:val="20"/>
    </w:rPr>
  </w:style>
  <w:style w:type="paragraph" w:styleId="1013" w:customStyle="1">
    <w:name w:val="纯文本5"/>
    <w:basedOn w:val="711"/>
    <w:uiPriority w:val="0"/>
    <w:qFormat/>
    <w:rPr>
      <w:rFonts w:ascii="宋体" w:hAnsi="Courier New" w:eastAsia="楷体_GB2312" w:cs="Times New Roman"/>
      <w:sz w:val="26"/>
      <w:szCs w:val="20"/>
    </w:rPr>
  </w:style>
  <w:style w:type="paragraph" w:styleId="1014" w:customStyle="1">
    <w:name w:val="xl84"/>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5" w:customStyle="1">
    <w:name w:val="xl88"/>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6" w:customStyle="1">
    <w:name w:val="xl75"/>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7" w:customStyle="1">
    <w:name w:val="xl97"/>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8" w:customStyle="1">
    <w:name w:val="xl77"/>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9" w:customStyle="1">
    <w:name w:val="xl89"/>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20" w:customStyle="1">
    <w:name w:val="网格型1"/>
    <w:basedOn w:val="7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1" w:customStyle="1">
    <w:name w:val="Plain Text1"/>
    <w:basedOn w:val="711"/>
    <w:uiPriority w:val="0"/>
    <w:qFormat/>
    <w:rPr>
      <w:rFonts w:ascii="宋体" w:hAnsi="Courier New" w:eastAsia="楷体_GB2312" w:cs="Times New Roman"/>
      <w:sz w:val="26"/>
      <w:szCs w:val="20"/>
    </w:rPr>
  </w:style>
  <w:style w:type="paragraph" w:styleId="1022"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23"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4"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5"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6"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7"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8" w:customStyle="1">
    <w:name w:val="font81"/>
    <w:basedOn w:val="721"/>
    <w:uiPriority w:val="0"/>
    <w:qFormat/>
    <w:rPr>
      <w:rFonts w:hint="eastAsia" w:ascii="宋体" w:hAnsi="宋体" w:eastAsia="宋体" w:cs="宋体"/>
      <w:color w:val="000000"/>
      <w:sz w:val="18"/>
      <w:szCs w:val="18"/>
      <w:u w:val="none"/>
    </w:rPr>
  </w:style>
  <w:style w:type="character" w:styleId="1029" w:customStyle="1">
    <w:name w:val="font91"/>
    <w:basedOn w:val="721"/>
    <w:uiPriority w:val="0"/>
    <w:qFormat/>
    <w:rPr>
      <w:rFonts w:hint="eastAsia" w:ascii="宋体" w:hAnsi="宋体" w:eastAsia="宋体" w:cs="宋体"/>
      <w:b/>
      <w:bCs/>
      <w:color w:val="ff0000"/>
      <w:sz w:val="18"/>
      <w:szCs w:val="18"/>
      <w:u w:val="none"/>
    </w:rPr>
  </w:style>
  <w:style w:type="character" w:styleId="1030" w:customStyle="1">
    <w:name w:val="font21"/>
    <w:basedOn w:val="721"/>
    <w:uiPriority w:val="0"/>
    <w:qFormat/>
    <w:rPr>
      <w:rFonts w:hint="eastAsia" w:ascii="宋体" w:hAnsi="宋体" w:eastAsia="宋体" w:cs="宋体"/>
      <w:b/>
      <w:bCs/>
      <w:color w:val="000000"/>
      <w:sz w:val="22"/>
      <w:szCs w:val="22"/>
      <w:u w:val="none"/>
    </w:rPr>
  </w:style>
  <w:style w:type="character" w:styleId="1031" w:customStyle="1">
    <w:name w:val="font51"/>
    <w:basedOn w:val="721"/>
    <w:uiPriority w:val="0"/>
    <w:qFormat/>
    <w:rPr>
      <w:rFonts w:hint="eastAsia" w:ascii="宋体" w:hAnsi="宋体" w:eastAsia="宋体" w:cs="宋体"/>
      <w:b/>
      <w:bCs/>
      <w:color w:val="ff0000"/>
      <w:sz w:val="22"/>
      <w:szCs w:val="22"/>
      <w:u w:val="none"/>
    </w:rPr>
  </w:style>
  <w:style w:type="character" w:styleId="1032" w:customStyle="1">
    <w:name w:val="font31"/>
    <w:basedOn w:val="721"/>
    <w:uiPriority w:val="0"/>
    <w:qFormat/>
    <w:rPr>
      <w:rFonts w:hint="eastAsia" w:ascii="宋体" w:hAnsi="宋体" w:eastAsia="宋体" w:cs="宋体"/>
      <w:color w:val="000000"/>
      <w:sz w:val="22"/>
      <w:szCs w:val="22"/>
      <w:u w:val="none"/>
    </w:rPr>
  </w:style>
  <w:style w:type="character" w:styleId="1033" w:customStyle="1">
    <w:name w:val="font61"/>
    <w:basedOn w:val="721"/>
    <w:uiPriority w:val="0"/>
    <w:qFormat/>
    <w:rPr>
      <w:rFonts w:hint="eastAsia" w:ascii="宋体" w:hAnsi="宋体" w:eastAsia="宋体" w:cs="宋体"/>
      <w:color w:val="ff0000"/>
      <w:sz w:val="22"/>
      <w:szCs w:val="22"/>
      <w:u w:val="none"/>
    </w:rPr>
  </w:style>
  <w:style w:type="table" w:styleId="1034" w:customStyle="1">
    <w:name w:val="Table Normal"/>
    <w:uiPriority w:val="0"/>
    <w:unhideWhenUsed/>
    <w:qFormat/>
    <w:tblPr>
      <w:tblCellMar>
        <w:left w:w="0" w:type="dxa"/>
        <w:top w:w="0" w:type="dxa"/>
        <w:right w:w="0" w:type="dxa"/>
        <w:bottom w:w="0" w:type="dxa"/>
      </w:tblCellMar>
    </w:tblPr>
  </w:style>
  <w:style w:type="paragraph" w:styleId="1035" w:customStyle="1">
    <w:name w:val="纯文本6"/>
    <w:basedOn w:val="711"/>
    <w:uiPriority w:val="0"/>
    <w:qFormat/>
    <w:rPr>
      <w:rFonts w:ascii="宋体" w:hAnsi="Courier New"/>
    </w:rPr>
  </w:style>
  <w:style w:type="character" w:styleId="1036" w:customStyle="1">
    <w:name w:val="NormalCharacter"/>
    <w:uiPriority w:val="0"/>
    <w:semiHidden/>
    <w:qFormat/>
  </w:style>
  <w:style w:type="paragraph" w:styleId="1037" w:customStyle="1">
    <w:name w:val="正文缩进1"/>
    <w:basedOn w:val="711"/>
    <w:next w:val="711"/>
    <w:uiPriority w:val="0"/>
    <w:qFormat/>
    <w:pPr>
      <w:ind w:firstLine="420"/>
      <w:jc w:val="left"/>
    </w:pPr>
    <w:rPr>
      <w:sz w:val="24"/>
    </w:rPr>
  </w:style>
  <w:style w:type="paragraph" w:styleId="1038"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39"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40" w:customStyle="1">
    <w:name w:val="p_text_indent_2"/>
    <w:basedOn w:val="711"/>
    <w:uiPriority w:val="0"/>
    <w:qFormat/>
    <w:pPr>
      <w:jc w:val="left"/>
      <w:spacing w:before="100" w:beforeAutospacing="1" w:after="100" w:afterAutospacing="1"/>
      <w:widowControl/>
    </w:pPr>
    <w:rPr>
      <w:rFonts w:ascii="宋体" w:hAnsi="宋体" w:eastAsia="宋体" w:cs="宋体"/>
      <w:sz w:val="24"/>
      <w:szCs w:val="24"/>
    </w:rPr>
  </w:style>
  <w:style w:type="paragraph" w:styleId="1041" w:customStyle="1">
    <w:name w:val="修订8"/>
    <w:hidden/>
    <w:uiPriority w:val="99"/>
    <w:unhideWhenUsed/>
    <w:qFormat/>
    <w:rPr>
      <w:rFonts w:asciiTheme="minorHAnsi" w:hAnsiTheme="minorHAnsi" w:eastAsiaTheme="minorEastAsia" w:cstheme="minorBidi"/>
      <w:sz w:val="21"/>
      <w:szCs w:val="22"/>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81F77D-FEA6-4222-A39F-222A6207E2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201</cp:revision>
  <dcterms:created xsi:type="dcterms:W3CDTF">2026-07-16T03:06:00Z</dcterms:created>
  <dcterms:modified xsi:type="dcterms:W3CDTF">2026-08-21T08:42:21Z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CA7B609B7165468A87CB5206D280567C_13</vt:lpwstr>
  </property>
  <property fmtid="{D5CDD505-2E9C-101B-9397-08002B2CF9AE}" pid="4" name="KSOTemplateDocerSaveRecord">
    <vt:lpwstr>eyJoZGlkIjoiNDcyOTY2ZDg2ZWQ5ZmU4ZTI4MDIxMTM2NjJiNDA2MzYiLCJ1c2VySWQiOiIzMjk1NDQ3OTEifQ==</vt:lpwstr>
  </property>
</Properties>
</file>