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B7F74">
      <w:pPr>
        <w:pStyle w:val="3"/>
        <w:tabs>
          <w:tab w:val="left" w:pos="0"/>
        </w:tabs>
        <w:autoSpaceDE w:val="0"/>
        <w:autoSpaceDN w:val="0"/>
        <w:adjustRightInd w:val="0"/>
        <w:spacing w:before="0" w:after="0" w:line="360" w:lineRule="auto"/>
        <w:jc w:val="center"/>
        <w:rPr>
          <w:rFonts w:hint="eastAsia" w:ascii="仿宋" w:hAnsi="仿宋" w:eastAsia="仿宋" w:cs="仿宋"/>
          <w:highlight w:val="none"/>
        </w:rPr>
      </w:pPr>
      <w:bookmarkStart w:id="0" w:name="_GoBack"/>
      <w:r>
        <w:rPr>
          <w:rFonts w:hint="eastAsia" w:ascii="仿宋" w:hAnsi="仿宋" w:eastAsia="仿宋" w:cs="仿宋"/>
          <w:highlight w:val="none"/>
        </w:rPr>
        <w:t>更正（澄清）内容（一）</w:t>
      </w:r>
    </w:p>
    <w:p w14:paraId="603E3746">
      <w:pPr>
        <w:rPr>
          <w:rFonts w:hint="eastAsia" w:ascii="仿宋" w:hAnsi="仿宋" w:eastAsia="仿宋" w:cs="仿宋"/>
          <w:highlight w:val="none"/>
        </w:rPr>
      </w:pPr>
    </w:p>
    <w:p w14:paraId="7A6E49AF">
      <w:pPr>
        <w:pStyle w:val="6"/>
        <w:keepNext w:val="0"/>
        <w:keepLines w:val="0"/>
        <w:pageBreakBefore w:val="0"/>
        <w:widowControl/>
        <w:kinsoku/>
        <w:wordWrap w:val="0"/>
        <w:overflowPunct/>
        <w:topLinePunct w:val="0"/>
        <w:autoSpaceDE/>
        <w:autoSpaceDN/>
        <w:bidi w:val="0"/>
        <w:adjustRightInd/>
        <w:snapToGrid/>
        <w:spacing w:beforeAutospacing="0" w:afterAutospacing="0" w:line="360" w:lineRule="auto"/>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各潜在</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rPr>
        <w:t>：</w:t>
      </w:r>
    </w:p>
    <w:p w14:paraId="17F5CC5F">
      <w:pPr>
        <w:pStyle w:val="6"/>
        <w:keepNext w:val="0"/>
        <w:keepLines w:val="0"/>
        <w:pageBreakBefore w:val="0"/>
        <w:widowControl/>
        <w:kinsoku/>
        <w:wordWrap w:val="0"/>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关于浦口区永宁街道应急避难救援设施项目文物勘探配合及清表工程（采购项目编号：JSZC-320111-JITC-C2026-0264）</w:t>
      </w: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rPr>
        <w:t>文件</w:t>
      </w:r>
      <w:r>
        <w:rPr>
          <w:rFonts w:hint="eastAsia" w:ascii="仿宋" w:hAnsi="仿宋" w:eastAsia="仿宋" w:cs="仿宋"/>
          <w:sz w:val="28"/>
          <w:szCs w:val="28"/>
          <w:highlight w:val="none"/>
          <w:lang w:val="en-US" w:eastAsia="zh-CN"/>
        </w:rPr>
        <w:t>更正（澄清）</w:t>
      </w:r>
      <w:r>
        <w:rPr>
          <w:rFonts w:hint="eastAsia" w:ascii="仿宋" w:hAnsi="仿宋" w:eastAsia="仿宋" w:cs="仿宋"/>
          <w:sz w:val="28"/>
          <w:szCs w:val="28"/>
          <w:highlight w:val="none"/>
        </w:rPr>
        <w:t>回复如下：</w:t>
      </w:r>
    </w:p>
    <w:p w14:paraId="5423230F">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是不是 26.74 万平方米全部都在文勘范围内？都要出</w:t>
      </w:r>
    </w:p>
    <w:p w14:paraId="6648D5AE">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考古作业面。</w:t>
      </w:r>
    </w:p>
    <w:p w14:paraId="0C716039">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bCs/>
          <w:sz w:val="28"/>
          <w:szCs w:val="28"/>
          <w:highlight w:val="none"/>
          <w:lang w:val="en-US" w:eastAsia="zh-CN"/>
        </w:rPr>
        <w:t>回复：</w:t>
      </w:r>
      <w:r>
        <w:rPr>
          <w:rFonts w:hint="eastAsia" w:ascii="仿宋" w:hAnsi="仿宋" w:eastAsia="仿宋" w:cs="仿宋"/>
          <w:b w:val="0"/>
          <w:bCs w:val="0"/>
          <w:sz w:val="28"/>
          <w:szCs w:val="28"/>
          <w:highlight w:val="none"/>
          <w:lang w:val="en-US" w:eastAsia="zh-CN"/>
        </w:rPr>
        <w:t>26.74 万平方米</w:t>
      </w:r>
      <w:r>
        <w:rPr>
          <w:rFonts w:hint="eastAsia" w:ascii="仿宋" w:hAnsi="仿宋" w:eastAsia="仿宋" w:cs="仿宋"/>
          <w:b w:val="0"/>
          <w:bCs w:val="0"/>
          <w:color w:val="auto"/>
          <w:sz w:val="28"/>
          <w:szCs w:val="28"/>
          <w:highlight w:val="none"/>
          <w:lang w:val="en-US" w:eastAsia="zh-CN"/>
        </w:rPr>
        <w:t>初步考虑是在文勘范围内，初步考虑都要出考古作业面，最终以文勘考古单位要求为准。</w:t>
      </w:r>
    </w:p>
    <w:p w14:paraId="1EEE9B5D">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挖掘至原状土，其中土方量未知，配合挖掘勘探沟的土方量是不是包含在“砍伐乔木、 植被清理”工程量“1 项”内。</w:t>
      </w:r>
    </w:p>
    <w:p w14:paraId="0DEE112B">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bCs/>
          <w:sz w:val="28"/>
          <w:szCs w:val="28"/>
          <w:highlight w:val="none"/>
          <w:lang w:val="en-US" w:eastAsia="zh-CN"/>
        </w:rPr>
        <w:t>回复：</w:t>
      </w:r>
      <w:r>
        <w:rPr>
          <w:rFonts w:hint="eastAsia" w:ascii="仿宋" w:hAnsi="仿宋" w:eastAsia="仿宋" w:cs="仿宋"/>
          <w:b w:val="0"/>
          <w:bCs w:val="0"/>
          <w:sz w:val="28"/>
          <w:szCs w:val="28"/>
          <w:highlight w:val="none"/>
          <w:lang w:val="en-US" w:eastAsia="zh-CN"/>
        </w:rPr>
        <w:t>采购文件未提及挖掘至原状土，清单土方量为预估，最终工程量按实结算；配合挖掘勘探沟的土方量不包含在“砍伐乔木、植被清理”内，该清单已调整按平方米计量。</w:t>
      </w:r>
    </w:p>
    <w:p w14:paraId="274AC1E2">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场内土方内倒、平整，最终标高是不是统一？但挖方区是不</w:t>
      </w:r>
    </w:p>
    <w:p w14:paraId="4B260034">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是就是指非塘区域。填方是不是用7万方均衡塘区场地？</w:t>
      </w:r>
    </w:p>
    <w:p w14:paraId="505E3DF1">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回复</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color w:val="auto"/>
          <w:sz w:val="28"/>
          <w:szCs w:val="28"/>
          <w:highlight w:val="none"/>
          <w:lang w:val="en-US" w:eastAsia="zh-CN"/>
        </w:rPr>
        <w:t>土方开挖后，待考古工作完成后，原处回填整平。红线范围内均为挖方区，最终由文勘考古单位指定，填方指开挖处回填平整，该工程量已调整。</w:t>
      </w:r>
    </w:p>
    <w:p w14:paraId="213851BE">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本项目地块过大，按照城管局要求，必须覆盖防尘网。清单扬尘污染防治费，未能（不够）完全裹住防尘网覆盖的费用。</w:t>
      </w:r>
    </w:p>
    <w:p w14:paraId="56298EA1">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回复：</w:t>
      </w:r>
      <w:r>
        <w:rPr>
          <w:rFonts w:hint="eastAsia" w:ascii="仿宋" w:hAnsi="仿宋" w:eastAsia="仿宋" w:cs="仿宋"/>
          <w:sz w:val="28"/>
          <w:szCs w:val="28"/>
          <w:highlight w:val="none"/>
          <w:lang w:val="en-US" w:eastAsia="zh-CN"/>
        </w:rPr>
        <w:t>施工须满足城管市容管理要求及场地文明施工要求，所需费用由供应商计入报价，结算时不调整。</w:t>
      </w:r>
    </w:p>
    <w:p w14:paraId="32665396">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最高限价原为269.748324万元</w:t>
      </w:r>
    </w:p>
    <w:p w14:paraId="5C6AB764">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现更变为：</w:t>
      </w:r>
      <w:r>
        <w:rPr>
          <w:rFonts w:hint="eastAsia" w:ascii="仿宋" w:hAnsi="仿宋" w:eastAsia="仿宋" w:cs="仿宋"/>
          <w:sz w:val="28"/>
          <w:szCs w:val="28"/>
          <w:highlight w:val="none"/>
          <w:lang w:val="en-US" w:eastAsia="zh-CN"/>
        </w:rPr>
        <w:t>369.842491万元。</w:t>
      </w:r>
    </w:p>
    <w:p w14:paraId="53B4F3A1">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采购文件第三章“ 政府采购合同条款及格式内容”第一条“工程概况”中的“工程承包范围”</w:t>
      </w:r>
      <w:r>
        <w:rPr>
          <w:rFonts w:hint="eastAsia" w:ascii="仿宋" w:hAnsi="仿宋" w:eastAsia="仿宋" w:cs="仿宋"/>
          <w:b/>
          <w:bCs/>
          <w:sz w:val="28"/>
          <w:szCs w:val="28"/>
          <w:highlight w:val="none"/>
          <w:lang w:val="en-US" w:eastAsia="zh-CN"/>
        </w:rPr>
        <w:t>原文为：</w:t>
      </w:r>
      <w:r>
        <w:rPr>
          <w:rFonts w:hint="eastAsia" w:ascii="仿宋" w:hAnsi="仿宋" w:eastAsia="仿宋" w:cs="仿宋"/>
          <w:sz w:val="28"/>
          <w:szCs w:val="28"/>
          <w:highlight w:val="none"/>
          <w:lang w:val="en-US" w:eastAsia="zh-CN"/>
        </w:rPr>
        <w:t>1.红线范围内除河塘外所有苗木（去除树根）、灌木、杂草清除外运弃置，露出表土；2.坑塘排水；3.配合文勘单位挖土、回填、挖土范围内地下管线拆除；4.场内硬化道路拆除外运等；5.河塘局部清淤。具体详见工程量清单。”</w:t>
      </w:r>
    </w:p>
    <w:p w14:paraId="76E88B4D">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现更正为：</w:t>
      </w:r>
      <w:r>
        <w:rPr>
          <w:rFonts w:hint="eastAsia" w:ascii="仿宋" w:hAnsi="仿宋" w:eastAsia="仿宋" w:cs="仿宋"/>
          <w:sz w:val="28"/>
          <w:szCs w:val="28"/>
          <w:highlight w:val="none"/>
          <w:lang w:val="en-US" w:eastAsia="zh-CN"/>
        </w:rPr>
        <w:t>工程承包范围：1.砍伐乔木、植被等附着物清理；2.坑塘排水；3.清淤、挖土、回填；4.地下管线拆除；5.机耕路拆除等。具体详见更正后的工程量清单。</w:t>
      </w:r>
    </w:p>
    <w:p w14:paraId="4F78478D">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采购文件第三章“ 政府采购合同条款及格式内容”第五条“工程价款及结算”中的“付款方式”</w:t>
      </w:r>
      <w:r>
        <w:rPr>
          <w:rFonts w:hint="eastAsia" w:ascii="仿宋" w:hAnsi="仿宋" w:eastAsia="仿宋" w:cs="仿宋"/>
          <w:b/>
          <w:bCs/>
          <w:sz w:val="28"/>
          <w:szCs w:val="28"/>
          <w:highlight w:val="none"/>
          <w:lang w:val="en-US" w:eastAsia="zh-CN"/>
        </w:rPr>
        <w:t>原文为：</w:t>
      </w:r>
      <w:r>
        <w:rPr>
          <w:rFonts w:hint="eastAsia" w:ascii="仿宋" w:hAnsi="仿宋" w:eastAsia="仿宋" w:cs="仿宋"/>
          <w:sz w:val="28"/>
          <w:szCs w:val="28"/>
          <w:highlight w:val="none"/>
          <w:lang w:val="en-US" w:eastAsia="zh-CN"/>
        </w:rPr>
        <w:t xml:space="preserve"> （1）本工程无预付款；（2）至竣工验收合格（并相关竣工资料整理齐移交）后分期支付至合同计量价的80%（其中实际计量未达到合同价款的付至实际计量价款的80%，实际计量超过合同价款的付至合同价款的80%）；（3）乙方提交完整的竣工结算报告，并经甲方及其委托的第三方结算审核单位审核确认并出具结算审核报告后，三十天内付至结算审定价的100%。（4）乙方应当在甲方每次付款前提供与造价清单税率相同的一般纳税人增值税专用发票，否则甲方有权迟延付款直至乙方提供符合要求的发票且甲方不承担任何违约责任。（5）后经决算审计或政府审计如发现金额超付，乙方应退回多付款项。（6）本项目为财政资金项目，最终付款以上级主管部门拨付时间为准。</w:t>
      </w:r>
    </w:p>
    <w:p w14:paraId="3A79F221">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现更正为：</w:t>
      </w:r>
      <w:r>
        <w:rPr>
          <w:rFonts w:hint="eastAsia" w:ascii="仿宋" w:hAnsi="仿宋" w:eastAsia="仿宋" w:cs="仿宋"/>
          <w:sz w:val="28"/>
          <w:szCs w:val="28"/>
          <w:highlight w:val="none"/>
          <w:lang w:val="en-US" w:eastAsia="zh-CN"/>
        </w:rPr>
        <w:t>（1）本工程无预付款；（2）工程完工前，支付已计量金额的80%作为进度款；（3）至竣工验收合格（并相关竣工资料整理齐移交）后支付至合同计量价的80%（其中实际计量未达到合同价款的付至实际计量价款的80%，实际计量超过合同价款的付至合同价款的80%）；（4）乙方提交完整的竣工结算报告，并经甲方及其委托的第三方结算审核单位审核确认并出具结算审核报告后，三十天内付至结算审定价的100%。（5）乙方应当在甲方每次付款前提供与造价清单税率相同的一般纳税人增值税专用发票，否则甲方有权迟延付款直至乙方提供符合要求的发票且甲方不承担任何违约责任。（6）后经决算审计或政府审计如发现金额超付，乙方应退回多付款项。（7）本项目为财政资金项目，最终付款以上级主管部门拨付时间为准。</w:t>
      </w:r>
    </w:p>
    <w:p w14:paraId="75B31EDF">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sz w:val="28"/>
          <w:szCs w:val="28"/>
          <w:highlight w:val="none"/>
          <w:lang w:val="en-US" w:eastAsia="zh-CN"/>
        </w:rPr>
        <w:t>采购文件第三章“ 政府采购合同条款及格式内容”第五条“工程价款及结算”中的第5条</w:t>
      </w:r>
      <w:r>
        <w:rPr>
          <w:rFonts w:hint="eastAsia" w:ascii="仿宋" w:hAnsi="仿宋" w:eastAsia="仿宋" w:cs="仿宋"/>
          <w:b/>
          <w:bCs/>
          <w:sz w:val="28"/>
          <w:szCs w:val="28"/>
          <w:highlight w:val="none"/>
          <w:lang w:val="en-US" w:eastAsia="zh-CN"/>
        </w:rPr>
        <w:t>原文为：</w:t>
      </w:r>
      <w:r>
        <w:rPr>
          <w:rFonts w:hint="eastAsia" w:ascii="仿宋" w:hAnsi="仿宋" w:eastAsia="仿宋" w:cs="仿宋"/>
          <w:b w:val="0"/>
          <w:bCs w:val="0"/>
          <w:sz w:val="28"/>
          <w:szCs w:val="28"/>
          <w:highlight w:val="none"/>
          <w:lang w:val="en-US" w:eastAsia="zh-CN"/>
        </w:rPr>
        <w:t>如建设单位委托第三方跟踪测量单位对项目土方进行测量，土方工程量以第三方跟测报告为计量依据。若未委托第三方，则按实收方记录并经施工、监理、跟审、甲方确认的工程量结算。</w:t>
      </w:r>
    </w:p>
    <w:p w14:paraId="3E5C9CA2">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bCs/>
          <w:sz w:val="28"/>
          <w:szCs w:val="28"/>
          <w:highlight w:val="none"/>
          <w:lang w:val="en-US" w:eastAsia="zh-CN"/>
        </w:rPr>
        <w:t>现更正为：</w:t>
      </w:r>
      <w:r>
        <w:rPr>
          <w:rFonts w:hint="eastAsia" w:ascii="仿宋" w:hAnsi="仿宋" w:eastAsia="仿宋" w:cs="仿宋"/>
          <w:b w:val="0"/>
          <w:bCs w:val="0"/>
          <w:sz w:val="28"/>
          <w:szCs w:val="28"/>
          <w:highlight w:val="none"/>
          <w:lang w:val="en-US" w:eastAsia="zh-CN"/>
        </w:rPr>
        <w:t>结算、进度款支付及计量工程量以建设单位委托的第</w:t>
      </w:r>
    </w:p>
    <w:p w14:paraId="18935352">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三方跟踪测量单位出具的关于土方、淤泥等工程量的跟踪测量报告为计量依据。其余按实计量并经施工、监理、跟审、甲方确认的工程计量单结算。</w:t>
      </w:r>
    </w:p>
    <w:p w14:paraId="36E194F8">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sz w:val="28"/>
          <w:szCs w:val="28"/>
          <w:highlight w:val="none"/>
          <w:lang w:val="en-US" w:eastAsia="zh-CN"/>
        </w:rPr>
        <w:t>采购文件第三章“ 政府采购合同条款及格式内容”第六条“违约责任”中的第1条</w:t>
      </w:r>
      <w:r>
        <w:rPr>
          <w:rFonts w:hint="eastAsia" w:ascii="仿宋" w:hAnsi="仿宋" w:eastAsia="仿宋" w:cs="仿宋"/>
          <w:b/>
          <w:bCs/>
          <w:sz w:val="28"/>
          <w:szCs w:val="28"/>
          <w:highlight w:val="none"/>
          <w:lang w:val="en-US" w:eastAsia="zh-CN"/>
        </w:rPr>
        <w:t>原文为：</w:t>
      </w:r>
      <w:r>
        <w:rPr>
          <w:rFonts w:hint="eastAsia" w:ascii="仿宋" w:hAnsi="仿宋" w:eastAsia="仿宋" w:cs="仿宋"/>
          <w:sz w:val="28"/>
          <w:szCs w:val="28"/>
          <w:highlight w:val="none"/>
          <w:lang w:val="en-US" w:eastAsia="zh-CN"/>
        </w:rPr>
        <w:t>甲方或乙方未按本合同条款约定内容履行自己的各项义务致使合同无法履行，应承担相应的违约金，赔偿因其违约给对方造成的损失，违约方按合同约定总价款的</w:t>
      </w:r>
      <w:r>
        <w:rPr>
          <w:rFonts w:hint="eastAsia" w:ascii="仿宋" w:hAnsi="仿宋" w:eastAsia="仿宋" w:cs="仿宋"/>
          <w:sz w:val="28"/>
          <w:szCs w:val="28"/>
          <w:highlight w:val="none"/>
          <w:u w:val="single"/>
          <w:lang w:val="en-US" w:eastAsia="zh-CN"/>
        </w:rPr>
        <w:t xml:space="preserve"> 5% </w:t>
      </w:r>
      <w:r>
        <w:rPr>
          <w:rFonts w:hint="eastAsia" w:ascii="仿宋" w:hAnsi="仿宋" w:eastAsia="仿宋" w:cs="仿宋"/>
          <w:sz w:val="28"/>
          <w:szCs w:val="28"/>
          <w:highlight w:val="none"/>
          <w:lang w:val="en-US" w:eastAsia="zh-CN"/>
        </w:rPr>
        <w:t>支付违约金。如实际损失大于合同总价款的</w:t>
      </w:r>
      <w:r>
        <w:rPr>
          <w:rFonts w:hint="eastAsia" w:ascii="仿宋" w:hAnsi="仿宋" w:eastAsia="仿宋" w:cs="仿宋"/>
          <w:sz w:val="28"/>
          <w:szCs w:val="28"/>
          <w:highlight w:val="none"/>
          <w:u w:val="single"/>
          <w:lang w:val="en-US" w:eastAsia="zh-CN"/>
        </w:rPr>
        <w:t xml:space="preserve"> 5% </w:t>
      </w:r>
      <w:r>
        <w:rPr>
          <w:rFonts w:hint="eastAsia" w:ascii="仿宋" w:hAnsi="仿宋" w:eastAsia="仿宋" w:cs="仿宋"/>
          <w:sz w:val="28"/>
          <w:szCs w:val="28"/>
          <w:highlight w:val="none"/>
          <w:lang w:val="en-US" w:eastAsia="zh-CN"/>
        </w:rPr>
        <w:t>，则按实际损失支付违约金。</w:t>
      </w:r>
    </w:p>
    <w:p w14:paraId="428F8465">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现更正为：</w:t>
      </w:r>
      <w:r>
        <w:rPr>
          <w:rFonts w:hint="eastAsia" w:ascii="仿宋" w:hAnsi="仿宋" w:eastAsia="仿宋" w:cs="仿宋"/>
          <w:sz w:val="28"/>
          <w:szCs w:val="28"/>
          <w:highlight w:val="none"/>
          <w:lang w:val="en-US" w:eastAsia="zh-CN"/>
        </w:rPr>
        <w:t>甲方或乙方未按本合同条款约定内容履行自己的各项</w:t>
      </w:r>
    </w:p>
    <w:p w14:paraId="0581DEFD">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义务致使合同无法履行，应承担相应的违约金，赔偿因其违约给对方造成的损失，违约方按合同约定总价款的</w:t>
      </w:r>
      <w:r>
        <w:rPr>
          <w:rFonts w:hint="eastAsia" w:ascii="仿宋" w:hAnsi="仿宋" w:eastAsia="仿宋" w:cs="仿宋"/>
          <w:sz w:val="28"/>
          <w:szCs w:val="28"/>
          <w:highlight w:val="none"/>
          <w:u w:val="single"/>
          <w:lang w:val="en-US" w:eastAsia="zh-CN"/>
        </w:rPr>
        <w:t xml:space="preserve"> 5% </w:t>
      </w:r>
      <w:r>
        <w:rPr>
          <w:rFonts w:hint="eastAsia" w:ascii="仿宋" w:hAnsi="仿宋" w:eastAsia="仿宋" w:cs="仿宋"/>
          <w:sz w:val="28"/>
          <w:szCs w:val="28"/>
          <w:highlight w:val="none"/>
          <w:lang w:val="en-US" w:eastAsia="zh-CN"/>
        </w:rPr>
        <w:t>支付违约金。如实际损失大于合同总价款的</w:t>
      </w:r>
      <w:r>
        <w:rPr>
          <w:rFonts w:hint="eastAsia" w:ascii="仿宋" w:hAnsi="仿宋" w:eastAsia="仿宋" w:cs="仿宋"/>
          <w:sz w:val="28"/>
          <w:szCs w:val="28"/>
          <w:highlight w:val="none"/>
          <w:u w:val="single"/>
          <w:lang w:val="en-US" w:eastAsia="zh-CN"/>
        </w:rPr>
        <w:t xml:space="preserve"> 5% </w:t>
      </w:r>
      <w:r>
        <w:rPr>
          <w:rFonts w:hint="eastAsia" w:ascii="仿宋" w:hAnsi="仿宋" w:eastAsia="仿宋" w:cs="仿宋"/>
          <w:sz w:val="28"/>
          <w:szCs w:val="28"/>
          <w:highlight w:val="none"/>
          <w:lang w:val="en-US" w:eastAsia="zh-CN"/>
        </w:rPr>
        <w:t>，则按实际损失支付违约金。甲方有权取消清单范围内的全部或部分工作量，并不做任何形式的利润补偿，不承担任何责任。</w:t>
      </w:r>
    </w:p>
    <w:p w14:paraId="19B63E1F">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采购文件第五章“评审方法与评审标准”中的“企业业绩和项目负责人要求”</w:t>
      </w:r>
      <w:r>
        <w:rPr>
          <w:rFonts w:hint="eastAsia" w:ascii="仿宋" w:hAnsi="仿宋" w:eastAsia="仿宋" w:cs="仿宋"/>
          <w:b/>
          <w:bCs/>
          <w:sz w:val="28"/>
          <w:szCs w:val="28"/>
          <w:highlight w:val="none"/>
          <w:lang w:val="en-US" w:eastAsia="zh-CN"/>
        </w:rPr>
        <w:t>原文为：</w:t>
      </w:r>
    </w:p>
    <w:tbl>
      <w:tblPr>
        <w:tblStyle w:val="7"/>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6367"/>
        <w:gridCol w:w="858"/>
      </w:tblGrid>
      <w:tr w14:paraId="38A2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54" w:type="pct"/>
            <w:noWrap w:val="0"/>
            <w:vAlign w:val="center"/>
          </w:tcPr>
          <w:p w14:paraId="6DEB4CE1">
            <w:pPr>
              <w:spacing w:line="360" w:lineRule="auto"/>
              <w:contextualSpacing/>
              <w:jc w:val="center"/>
              <w:rPr>
                <w:rFonts w:hint="eastAsia" w:ascii="宋体" w:hAnsi="宋体" w:eastAsia="宋体" w:cs="宋体"/>
                <w:b w:val="0"/>
                <w:bCs w:val="0"/>
                <w:color w:val="auto"/>
                <w:szCs w:val="21"/>
                <w:highlight w:val="none"/>
                <w:lang w:val="zh-CN" w:eastAsia="zh-CN"/>
              </w:rPr>
            </w:pPr>
            <w:r>
              <w:rPr>
                <w:rFonts w:hint="eastAsia" w:ascii="宋体" w:hAnsi="宋体" w:eastAsia="宋体" w:cs="宋体"/>
                <w:b w:val="0"/>
                <w:bCs w:val="0"/>
                <w:color w:val="auto"/>
                <w:szCs w:val="21"/>
                <w:highlight w:val="none"/>
                <w:lang w:val="en-US" w:eastAsia="zh-CN"/>
              </w:rPr>
              <w:t>企业业绩</w:t>
            </w:r>
          </w:p>
        </w:tc>
        <w:tc>
          <w:tcPr>
            <w:tcW w:w="3741" w:type="pct"/>
            <w:noWrap w:val="0"/>
            <w:vAlign w:val="center"/>
          </w:tcPr>
          <w:p w14:paraId="1F3DFFFC">
            <w:pPr>
              <w:numPr>
                <w:ilvl w:val="0"/>
                <w:numId w:val="0"/>
              </w:numPr>
              <w:spacing w:line="360" w:lineRule="auto"/>
              <w:ind w:firstLine="0" w:firstLineChars="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供应商自202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val="zh-CN" w:eastAsia="zh-CN"/>
              </w:rPr>
              <w:t>月1日以来承担过类似工程的成功案例，每提供一个得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分，最高得</w:t>
            </w:r>
            <w:r>
              <w:rPr>
                <w:rFonts w:hint="eastAsia" w:ascii="宋体" w:hAnsi="宋体" w:eastAsia="宋体" w:cs="宋体"/>
                <w:color w:val="auto"/>
                <w:szCs w:val="21"/>
                <w:highlight w:val="none"/>
                <w:lang w:val="en-US" w:eastAsia="zh-CN"/>
              </w:rPr>
              <w:t>9分</w:t>
            </w:r>
            <w:r>
              <w:rPr>
                <w:rFonts w:hint="eastAsia" w:ascii="宋体" w:hAnsi="宋体" w:eastAsia="宋体" w:cs="宋体"/>
                <w:color w:val="auto"/>
                <w:szCs w:val="21"/>
                <w:highlight w:val="none"/>
                <w:lang w:val="zh-CN" w:eastAsia="zh-CN"/>
              </w:rPr>
              <w:t>。</w:t>
            </w:r>
          </w:p>
          <w:p w14:paraId="751F233B">
            <w:pPr>
              <w:numPr>
                <w:ilvl w:val="0"/>
                <w:numId w:val="0"/>
              </w:numPr>
              <w:spacing w:line="360" w:lineRule="auto"/>
              <w:ind w:firstLine="0" w:firstLineChars="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注：1、</w:t>
            </w:r>
            <w:r>
              <w:rPr>
                <w:rFonts w:hint="eastAsia" w:ascii="宋体" w:hAnsi="宋体" w:eastAsia="宋体" w:cs="宋体"/>
                <w:color w:val="auto"/>
                <w:szCs w:val="21"/>
                <w:highlight w:val="none"/>
                <w:lang w:val="zh-CN" w:eastAsia="zh-CN"/>
              </w:rPr>
              <w:t>时间以合同签订时间为准。</w:t>
            </w:r>
          </w:p>
          <w:p w14:paraId="4E37B13F">
            <w:pPr>
              <w:numPr>
                <w:ilvl w:val="0"/>
                <w:numId w:val="0"/>
              </w:numPr>
              <w:spacing w:line="360" w:lineRule="auto"/>
              <w:ind w:firstLine="420" w:firstLineChars="20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须同时提供中标（</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val="zh-CN" w:eastAsia="zh-CN"/>
              </w:rPr>
              <w:t>）通知书（</w:t>
            </w:r>
            <w:r>
              <w:rPr>
                <w:rFonts w:hint="eastAsia" w:ascii="宋体" w:hAnsi="宋体" w:eastAsia="宋体" w:cs="宋体"/>
                <w:color w:val="auto"/>
                <w:szCs w:val="21"/>
                <w:highlight w:val="none"/>
                <w:lang w:val="en-US" w:eastAsia="zh-CN"/>
              </w:rPr>
              <w:t>或直接发包证明</w:t>
            </w:r>
            <w:r>
              <w:rPr>
                <w:rFonts w:hint="eastAsia" w:ascii="宋体" w:hAnsi="宋体" w:eastAsia="宋体" w:cs="宋体"/>
                <w:color w:val="auto"/>
                <w:szCs w:val="21"/>
                <w:highlight w:val="none"/>
                <w:lang w:val="zh-CN" w:eastAsia="zh-CN"/>
              </w:rPr>
              <w:t>）、合同协议书、完工验收证明（或合同工程完工验收鉴定书或竣工验收证书）的</w:t>
            </w:r>
            <w:r>
              <w:rPr>
                <w:rFonts w:hint="eastAsia" w:ascii="宋体" w:hAnsi="宋体" w:eastAsia="宋体" w:cs="宋体"/>
                <w:color w:val="auto"/>
                <w:szCs w:val="21"/>
                <w:highlight w:val="none"/>
                <w:lang w:val="en-US" w:eastAsia="zh-CN"/>
              </w:rPr>
              <w:t>扫描件</w:t>
            </w:r>
            <w:r>
              <w:rPr>
                <w:rFonts w:hint="eastAsia" w:ascii="宋体" w:hAnsi="宋体" w:eastAsia="宋体" w:cs="宋体"/>
                <w:color w:val="auto"/>
                <w:szCs w:val="21"/>
                <w:highlight w:val="none"/>
                <w:lang w:val="zh-CN" w:eastAsia="zh-CN"/>
              </w:rPr>
              <w:t>。提供的证明材料须能反映相关内容，否则视为</w:t>
            </w:r>
            <w:r>
              <w:rPr>
                <w:rFonts w:hint="eastAsia" w:ascii="宋体" w:hAnsi="宋体" w:eastAsia="宋体" w:cs="宋体"/>
                <w:color w:val="auto"/>
                <w:szCs w:val="21"/>
                <w:highlight w:val="none"/>
                <w:lang w:val="en-US" w:eastAsia="zh-CN"/>
              </w:rPr>
              <w:t>业绩不满足</w:t>
            </w:r>
            <w:r>
              <w:rPr>
                <w:rFonts w:hint="eastAsia" w:ascii="宋体" w:hAnsi="宋体" w:eastAsia="宋体" w:cs="宋体"/>
                <w:color w:val="auto"/>
                <w:szCs w:val="21"/>
                <w:highlight w:val="none"/>
                <w:lang w:val="zh-CN" w:eastAsia="zh-CN"/>
              </w:rPr>
              <w:t>。以上材料提供扫描件并加盖供应商单位公章。</w:t>
            </w:r>
          </w:p>
          <w:p w14:paraId="7CFD1801">
            <w:pPr>
              <w:numPr>
                <w:ilvl w:val="0"/>
                <w:numId w:val="0"/>
              </w:numPr>
              <w:spacing w:line="360" w:lineRule="auto"/>
              <w:ind w:firstLine="420" w:firstLineChars="20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3、项目</w:t>
            </w:r>
            <w:r>
              <w:rPr>
                <w:rFonts w:hint="default" w:ascii="宋体" w:hAnsi="宋体" w:eastAsia="宋体" w:cs="宋体"/>
                <w:color w:val="auto"/>
                <w:szCs w:val="21"/>
                <w:highlight w:val="none"/>
                <w:lang w:val="en-US" w:eastAsia="zh-CN"/>
              </w:rPr>
              <w:t>负责人业绩与</w:t>
            </w:r>
            <w:r>
              <w:rPr>
                <w:rFonts w:hint="eastAsia" w:ascii="宋体" w:hAnsi="宋体" w:eastAsia="宋体" w:cs="宋体"/>
                <w:color w:val="auto"/>
                <w:szCs w:val="21"/>
                <w:highlight w:val="none"/>
                <w:lang w:val="en-US" w:eastAsia="zh-CN"/>
              </w:rPr>
              <w:t>企业</w:t>
            </w:r>
            <w:r>
              <w:rPr>
                <w:rFonts w:hint="default" w:ascii="宋体" w:hAnsi="宋体" w:eastAsia="宋体" w:cs="宋体"/>
                <w:color w:val="auto"/>
                <w:szCs w:val="21"/>
                <w:highlight w:val="none"/>
                <w:lang w:val="en-US" w:eastAsia="zh-CN"/>
              </w:rPr>
              <w:t>业绩不可兼得</w:t>
            </w:r>
            <w:r>
              <w:rPr>
                <w:rFonts w:hint="eastAsia" w:ascii="宋体" w:hAnsi="宋体" w:eastAsia="宋体" w:cs="宋体"/>
                <w:color w:val="auto"/>
                <w:szCs w:val="21"/>
                <w:highlight w:val="none"/>
                <w:lang w:val="en-US" w:eastAsia="zh-CN"/>
              </w:rPr>
              <w:t>。</w:t>
            </w:r>
          </w:p>
        </w:tc>
        <w:tc>
          <w:tcPr>
            <w:tcW w:w="504" w:type="pct"/>
            <w:noWrap w:val="0"/>
            <w:vAlign w:val="center"/>
          </w:tcPr>
          <w:p w14:paraId="6AC37C6C">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r>
      <w:tr w14:paraId="1B9E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54" w:type="pct"/>
            <w:noWrap w:val="0"/>
            <w:vAlign w:val="center"/>
          </w:tcPr>
          <w:p w14:paraId="061061AF">
            <w:pPr>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项目负责人要求</w:t>
            </w:r>
          </w:p>
        </w:tc>
        <w:tc>
          <w:tcPr>
            <w:tcW w:w="3741" w:type="pct"/>
            <w:noWrap w:val="0"/>
            <w:vAlign w:val="center"/>
          </w:tcPr>
          <w:p w14:paraId="4E3D7EC0">
            <w:pPr>
              <w:spacing w:line="360" w:lineRule="auto"/>
              <w:ind w:firstLine="0" w:firstLineChars="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1、拟派</w:t>
            </w:r>
            <w:r>
              <w:rPr>
                <w:rFonts w:hint="eastAsia" w:ascii="宋体" w:hAnsi="宋体" w:eastAsia="宋体" w:cs="宋体"/>
                <w:color w:val="auto"/>
                <w:szCs w:val="21"/>
                <w:highlight w:val="none"/>
                <w:lang w:val="zh-CN" w:eastAsia="zh-CN"/>
              </w:rPr>
              <w:t>项目</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val="zh-CN" w:eastAsia="zh-CN"/>
              </w:rPr>
              <w:t>自202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val="zh-CN" w:eastAsia="zh-CN"/>
              </w:rPr>
              <w:t>月1日以来，</w:t>
            </w:r>
            <w:r>
              <w:rPr>
                <w:rFonts w:hint="eastAsia" w:ascii="宋体" w:hAnsi="宋体" w:eastAsia="宋体" w:cs="宋体"/>
                <w:color w:val="auto"/>
                <w:szCs w:val="21"/>
                <w:highlight w:val="none"/>
                <w:lang w:val="en-US" w:eastAsia="zh-CN"/>
              </w:rPr>
              <w:t>以项目负责人身份</w:t>
            </w:r>
            <w:r>
              <w:rPr>
                <w:rFonts w:hint="eastAsia" w:ascii="宋体" w:hAnsi="宋体" w:eastAsia="宋体" w:cs="宋体"/>
                <w:color w:val="auto"/>
                <w:szCs w:val="21"/>
                <w:highlight w:val="none"/>
                <w:lang w:val="zh-CN" w:eastAsia="zh-CN"/>
              </w:rPr>
              <w:t>承担过类似</w:t>
            </w:r>
            <w:r>
              <w:rPr>
                <w:rFonts w:hint="eastAsia" w:ascii="宋体" w:hAnsi="宋体" w:eastAsia="宋体" w:cs="宋体"/>
                <w:color w:val="auto"/>
                <w:szCs w:val="21"/>
                <w:highlight w:val="none"/>
                <w:lang w:val="en-US" w:eastAsia="zh-CN"/>
              </w:rPr>
              <w:t>工程</w:t>
            </w:r>
            <w:r>
              <w:rPr>
                <w:rFonts w:hint="eastAsia" w:ascii="宋体" w:hAnsi="宋体" w:eastAsia="宋体" w:cs="宋体"/>
                <w:color w:val="auto"/>
                <w:szCs w:val="21"/>
                <w:highlight w:val="none"/>
                <w:lang w:val="zh-CN" w:eastAsia="zh-CN"/>
              </w:rPr>
              <w:t>的成功案例，每提供一个得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分，最高得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w:t>
            </w:r>
          </w:p>
          <w:p w14:paraId="07F3F894">
            <w:pPr>
              <w:spacing w:line="360" w:lineRule="auto"/>
              <w:ind w:firstLine="420" w:firstLineChars="20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注：（1）、</w:t>
            </w:r>
            <w:r>
              <w:rPr>
                <w:rFonts w:hint="eastAsia" w:ascii="宋体" w:hAnsi="宋体" w:eastAsia="宋体" w:cs="宋体"/>
                <w:color w:val="auto"/>
                <w:szCs w:val="21"/>
                <w:highlight w:val="none"/>
                <w:lang w:val="zh-CN" w:eastAsia="zh-CN"/>
              </w:rPr>
              <w:t>时间以合同签订时间为准。</w:t>
            </w:r>
          </w:p>
          <w:p w14:paraId="633E2E39">
            <w:pPr>
              <w:spacing w:line="360" w:lineRule="auto"/>
              <w:ind w:firstLine="420" w:firstLineChars="20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须同时提供中标（</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val="zh-CN" w:eastAsia="zh-CN"/>
              </w:rPr>
              <w:t>）通知书（</w:t>
            </w:r>
            <w:r>
              <w:rPr>
                <w:rFonts w:hint="eastAsia" w:ascii="宋体" w:hAnsi="宋体" w:eastAsia="宋体" w:cs="宋体"/>
                <w:color w:val="auto"/>
                <w:szCs w:val="21"/>
                <w:highlight w:val="none"/>
                <w:lang w:val="en-US" w:eastAsia="zh-CN"/>
              </w:rPr>
              <w:t>或直接发包证明</w:t>
            </w:r>
            <w:r>
              <w:rPr>
                <w:rFonts w:hint="eastAsia" w:ascii="宋体" w:hAnsi="宋体" w:eastAsia="宋体" w:cs="宋体"/>
                <w:color w:val="auto"/>
                <w:szCs w:val="21"/>
                <w:highlight w:val="none"/>
                <w:lang w:val="zh-CN" w:eastAsia="zh-CN"/>
              </w:rPr>
              <w:t>）、合同协议书、完工验收证明（或合同工程完工验收鉴定书或竣工验收证书）的</w:t>
            </w:r>
            <w:r>
              <w:rPr>
                <w:rFonts w:hint="eastAsia" w:ascii="宋体" w:hAnsi="宋体" w:eastAsia="宋体" w:cs="宋体"/>
                <w:color w:val="auto"/>
                <w:szCs w:val="21"/>
                <w:highlight w:val="none"/>
                <w:lang w:val="en-US" w:eastAsia="zh-CN"/>
              </w:rPr>
              <w:t>扫描件</w:t>
            </w:r>
            <w:r>
              <w:rPr>
                <w:rFonts w:hint="eastAsia" w:ascii="宋体" w:hAnsi="宋体" w:eastAsia="宋体" w:cs="宋体"/>
                <w:color w:val="auto"/>
                <w:szCs w:val="21"/>
                <w:highlight w:val="none"/>
                <w:lang w:val="zh-CN" w:eastAsia="zh-CN"/>
              </w:rPr>
              <w:t>。提供的证明材料须能反映相关内容</w:t>
            </w:r>
            <w:r>
              <w:rPr>
                <w:rFonts w:hint="eastAsia" w:ascii="宋体" w:hAnsi="宋体" w:eastAsia="宋体" w:cs="宋体"/>
                <w:color w:val="auto"/>
                <w:szCs w:val="21"/>
                <w:highlight w:val="none"/>
                <w:lang w:val="en-US" w:eastAsia="zh-CN"/>
              </w:rPr>
              <w:t>及项目负责人相关信息</w:t>
            </w: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val="en-US" w:eastAsia="zh-CN"/>
              </w:rPr>
              <w:t>若未能反映项目负责人相关信息</w:t>
            </w:r>
            <w:r>
              <w:rPr>
                <w:rFonts w:hint="eastAsia" w:ascii="宋体" w:hAnsi="宋体" w:eastAsia="宋体" w:cs="宋体"/>
                <w:color w:val="auto"/>
                <w:szCs w:val="21"/>
                <w:highlight w:val="none"/>
                <w:lang w:val="zh-CN" w:eastAsia="zh-CN"/>
              </w:rPr>
              <w:t>须</w:t>
            </w:r>
            <w:r>
              <w:rPr>
                <w:rFonts w:hint="eastAsia" w:ascii="宋体" w:hAnsi="宋体" w:eastAsia="宋体" w:cs="宋体"/>
                <w:color w:val="auto"/>
                <w:szCs w:val="21"/>
                <w:highlight w:val="none"/>
                <w:lang w:val="en-US" w:eastAsia="zh-CN"/>
              </w:rPr>
              <w:t>提供业主证明材料（加盖业主单位公章），</w:t>
            </w:r>
            <w:r>
              <w:rPr>
                <w:rFonts w:hint="eastAsia" w:ascii="宋体" w:hAnsi="宋体" w:eastAsia="宋体" w:cs="宋体"/>
                <w:color w:val="auto"/>
                <w:szCs w:val="21"/>
                <w:highlight w:val="none"/>
                <w:lang w:val="zh-CN" w:eastAsia="zh-CN"/>
              </w:rPr>
              <w:t>否则视为业绩不满足。以上材料提供</w:t>
            </w:r>
            <w:r>
              <w:rPr>
                <w:rFonts w:hint="eastAsia" w:ascii="宋体" w:hAnsi="宋体" w:eastAsia="宋体" w:cs="宋体"/>
                <w:color w:val="auto"/>
                <w:szCs w:val="21"/>
                <w:highlight w:val="none"/>
                <w:lang w:val="en-US" w:eastAsia="zh-CN"/>
              </w:rPr>
              <w:t>扫描</w:t>
            </w:r>
            <w:r>
              <w:rPr>
                <w:rFonts w:hint="eastAsia" w:ascii="宋体" w:hAnsi="宋体" w:eastAsia="宋体" w:cs="宋体"/>
                <w:color w:val="auto"/>
                <w:szCs w:val="21"/>
                <w:highlight w:val="none"/>
                <w:lang w:val="zh-CN" w:eastAsia="zh-CN"/>
              </w:rPr>
              <w:t>件并加盖供应商单位公章。</w:t>
            </w:r>
          </w:p>
          <w:p w14:paraId="7E5F1430">
            <w:pPr>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w:t>
            </w:r>
            <w:r>
              <w:rPr>
                <w:rFonts w:hint="default" w:ascii="宋体" w:hAnsi="宋体" w:eastAsia="宋体" w:cs="宋体"/>
                <w:color w:val="auto"/>
                <w:szCs w:val="21"/>
                <w:highlight w:val="none"/>
                <w:lang w:val="en-US" w:eastAsia="zh-CN"/>
              </w:rPr>
              <w:t>负责人业绩与</w:t>
            </w:r>
            <w:r>
              <w:rPr>
                <w:rFonts w:hint="eastAsia" w:ascii="宋体" w:hAnsi="宋体" w:eastAsia="宋体" w:cs="宋体"/>
                <w:color w:val="auto"/>
                <w:szCs w:val="21"/>
                <w:highlight w:val="none"/>
                <w:lang w:val="en-US" w:eastAsia="zh-CN"/>
              </w:rPr>
              <w:t>企业</w:t>
            </w:r>
            <w:r>
              <w:rPr>
                <w:rFonts w:hint="default" w:ascii="宋体" w:hAnsi="宋体" w:eastAsia="宋体" w:cs="宋体"/>
                <w:color w:val="auto"/>
                <w:szCs w:val="21"/>
                <w:highlight w:val="none"/>
                <w:lang w:val="en-US" w:eastAsia="zh-CN"/>
              </w:rPr>
              <w:t>业绩不可兼得。</w:t>
            </w:r>
          </w:p>
          <w:p w14:paraId="276C78E6">
            <w:pPr>
              <w:spacing w:line="360" w:lineRule="auto"/>
              <w:ind w:firstLine="0" w:firstLineChars="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2、拟派项目负责人具备中级及以上工程类专业技术职称的，得3分。</w:t>
            </w:r>
          </w:p>
          <w:p w14:paraId="71F69CA1">
            <w:pPr>
              <w:spacing w:line="360" w:lineRule="auto"/>
              <w:ind w:firstLine="420" w:firstLineChars="200"/>
              <w:contextualSpacing/>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注：提供证书原件扫描件，以及</w:t>
            </w:r>
            <w:r>
              <w:rPr>
                <w:rFonts w:hint="eastAsia" w:cs="Microsoft New Tai Lue"/>
                <w:b w:val="0"/>
                <w:bCs/>
                <w:color w:val="auto"/>
                <w:szCs w:val="21"/>
                <w:highlight w:val="none"/>
              </w:rPr>
              <w:t>响应截止时间前6个月内</w:t>
            </w:r>
            <w:r>
              <w:rPr>
                <w:rFonts w:hint="eastAsia" w:cs="Microsoft New Tai Lue"/>
                <w:b w:val="0"/>
                <w:bCs/>
                <w:color w:val="auto"/>
                <w:szCs w:val="21"/>
                <w:highlight w:val="none"/>
                <w:lang w:val="en-US" w:eastAsia="zh-CN"/>
              </w:rPr>
              <w:t>任意1个月</w:t>
            </w:r>
            <w:r>
              <w:rPr>
                <w:rFonts w:hint="eastAsia" w:ascii="宋体" w:hAnsi="宋体" w:eastAsia="宋体" w:cs="宋体"/>
                <w:color w:val="auto"/>
                <w:szCs w:val="21"/>
                <w:highlight w:val="none"/>
                <w:lang w:val="en-US" w:eastAsia="zh-CN"/>
              </w:rPr>
              <w:t>供应商为其缴纳的社会保险证明（社保机构出具并加盖社保专用章或可查询的电子社保凭证），未提供或提供不全不得分。属企业退休人员、事业单位编制人员等客观原因无法提供社保缴费证明，须出具相关证明材料及劳动合同，否则一律按未提供社保缴费证明材料处理，未提供相关证明材料不得分。</w:t>
            </w:r>
          </w:p>
        </w:tc>
        <w:tc>
          <w:tcPr>
            <w:tcW w:w="504" w:type="pct"/>
            <w:noWrap w:val="0"/>
            <w:vAlign w:val="center"/>
          </w:tcPr>
          <w:p w14:paraId="0B07294D">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r>
    </w:tbl>
    <w:p w14:paraId="79E3366B">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现更正为:</w:t>
      </w:r>
    </w:p>
    <w:tbl>
      <w:tblPr>
        <w:tblStyle w:val="7"/>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6367"/>
        <w:gridCol w:w="858"/>
      </w:tblGrid>
      <w:tr w14:paraId="5AC0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54" w:type="pct"/>
            <w:noWrap w:val="0"/>
            <w:vAlign w:val="center"/>
          </w:tcPr>
          <w:p w14:paraId="03454067">
            <w:pPr>
              <w:spacing w:line="360" w:lineRule="auto"/>
              <w:contextualSpacing/>
              <w:jc w:val="center"/>
              <w:rPr>
                <w:rFonts w:hint="eastAsia" w:ascii="宋体" w:hAnsi="宋体" w:eastAsia="宋体" w:cs="宋体"/>
                <w:b w:val="0"/>
                <w:bCs w:val="0"/>
                <w:color w:val="auto"/>
                <w:szCs w:val="21"/>
                <w:highlight w:val="none"/>
                <w:lang w:val="zh-CN" w:eastAsia="zh-CN"/>
              </w:rPr>
            </w:pPr>
            <w:r>
              <w:rPr>
                <w:rFonts w:hint="eastAsia" w:ascii="宋体" w:hAnsi="宋体" w:eastAsia="宋体" w:cs="宋体"/>
                <w:b w:val="0"/>
                <w:bCs w:val="0"/>
                <w:color w:val="auto"/>
                <w:szCs w:val="21"/>
                <w:highlight w:val="none"/>
                <w:lang w:val="en-US" w:eastAsia="zh-CN"/>
              </w:rPr>
              <w:t>企业业绩</w:t>
            </w:r>
          </w:p>
        </w:tc>
        <w:tc>
          <w:tcPr>
            <w:tcW w:w="3741" w:type="pct"/>
            <w:noWrap w:val="0"/>
            <w:vAlign w:val="center"/>
          </w:tcPr>
          <w:p w14:paraId="5E9EA656">
            <w:pPr>
              <w:numPr>
                <w:ilvl w:val="0"/>
                <w:numId w:val="0"/>
              </w:numPr>
              <w:spacing w:line="360" w:lineRule="auto"/>
              <w:ind w:firstLine="0" w:firstLineChars="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供应商自202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val="zh-CN" w:eastAsia="zh-CN"/>
              </w:rPr>
              <w:t>月1日以来承担过</w:t>
            </w:r>
            <w:r>
              <w:rPr>
                <w:rFonts w:hint="eastAsia"/>
                <w:sz w:val="21"/>
                <w:szCs w:val="20"/>
                <w:highlight w:val="none"/>
              </w:rPr>
              <w:t>考古配合施工项目业绩</w:t>
            </w:r>
            <w:r>
              <w:rPr>
                <w:rFonts w:hint="eastAsia" w:ascii="宋体" w:hAnsi="宋体" w:eastAsia="宋体" w:cs="宋体"/>
                <w:color w:val="auto"/>
                <w:szCs w:val="21"/>
                <w:highlight w:val="none"/>
                <w:lang w:val="zh-CN" w:eastAsia="zh-CN"/>
              </w:rPr>
              <w:t>，每提供一个得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分，最高得</w:t>
            </w:r>
            <w:r>
              <w:rPr>
                <w:rFonts w:hint="eastAsia" w:ascii="宋体" w:hAnsi="宋体" w:eastAsia="宋体" w:cs="宋体"/>
                <w:color w:val="auto"/>
                <w:szCs w:val="21"/>
                <w:highlight w:val="none"/>
                <w:lang w:val="en-US" w:eastAsia="zh-CN"/>
              </w:rPr>
              <w:t>9分</w:t>
            </w:r>
            <w:r>
              <w:rPr>
                <w:rFonts w:hint="eastAsia" w:ascii="宋体" w:hAnsi="宋体" w:eastAsia="宋体" w:cs="宋体"/>
                <w:color w:val="auto"/>
                <w:szCs w:val="21"/>
                <w:highlight w:val="none"/>
                <w:lang w:val="zh-CN" w:eastAsia="zh-CN"/>
              </w:rPr>
              <w:t>。</w:t>
            </w:r>
          </w:p>
          <w:p w14:paraId="02C07D27">
            <w:pPr>
              <w:numPr>
                <w:ilvl w:val="0"/>
                <w:numId w:val="0"/>
              </w:numPr>
              <w:spacing w:line="360" w:lineRule="auto"/>
              <w:ind w:firstLine="0" w:firstLineChars="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注：1、</w:t>
            </w:r>
            <w:r>
              <w:rPr>
                <w:rFonts w:hint="eastAsia" w:ascii="宋体" w:hAnsi="宋体" w:eastAsia="宋体" w:cs="宋体"/>
                <w:color w:val="auto"/>
                <w:szCs w:val="21"/>
                <w:highlight w:val="none"/>
                <w:lang w:val="zh-CN" w:eastAsia="zh-CN"/>
              </w:rPr>
              <w:t>时间以合同签订时间为准。</w:t>
            </w:r>
          </w:p>
          <w:p w14:paraId="32BD9DB0">
            <w:pPr>
              <w:numPr>
                <w:ilvl w:val="0"/>
                <w:numId w:val="0"/>
              </w:numPr>
              <w:spacing w:line="360" w:lineRule="auto"/>
              <w:ind w:firstLine="420" w:firstLineChars="20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须同时提供中标（</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val="zh-CN" w:eastAsia="zh-CN"/>
              </w:rPr>
              <w:t>）通知书（</w:t>
            </w:r>
            <w:r>
              <w:rPr>
                <w:rFonts w:hint="eastAsia" w:ascii="宋体" w:hAnsi="宋体" w:eastAsia="宋体" w:cs="宋体"/>
                <w:color w:val="auto"/>
                <w:szCs w:val="21"/>
                <w:highlight w:val="none"/>
                <w:lang w:val="en-US" w:eastAsia="zh-CN"/>
              </w:rPr>
              <w:t>或直接发包证明</w:t>
            </w:r>
            <w:r>
              <w:rPr>
                <w:rFonts w:hint="eastAsia" w:ascii="宋体" w:hAnsi="宋体" w:eastAsia="宋体" w:cs="宋体"/>
                <w:color w:val="auto"/>
                <w:szCs w:val="21"/>
                <w:highlight w:val="none"/>
                <w:lang w:val="zh-CN" w:eastAsia="zh-CN"/>
              </w:rPr>
              <w:t>）、合同协议书、完工验收证明（或合同工程完工验收鉴定书或竣工验收证书）的</w:t>
            </w:r>
            <w:r>
              <w:rPr>
                <w:rFonts w:hint="eastAsia" w:ascii="宋体" w:hAnsi="宋体" w:eastAsia="宋体" w:cs="宋体"/>
                <w:color w:val="auto"/>
                <w:szCs w:val="21"/>
                <w:highlight w:val="none"/>
                <w:lang w:val="en-US" w:eastAsia="zh-CN"/>
              </w:rPr>
              <w:t>扫描件</w:t>
            </w:r>
            <w:r>
              <w:rPr>
                <w:rFonts w:hint="eastAsia" w:ascii="宋体" w:hAnsi="宋体" w:eastAsia="宋体" w:cs="宋体"/>
                <w:color w:val="auto"/>
                <w:szCs w:val="21"/>
                <w:highlight w:val="none"/>
                <w:lang w:val="zh-CN" w:eastAsia="zh-CN"/>
              </w:rPr>
              <w:t>。提供的证明材料须能反映相关内容，否则视为</w:t>
            </w:r>
            <w:r>
              <w:rPr>
                <w:rFonts w:hint="eastAsia" w:ascii="宋体" w:hAnsi="宋体" w:eastAsia="宋体" w:cs="宋体"/>
                <w:color w:val="auto"/>
                <w:szCs w:val="21"/>
                <w:highlight w:val="none"/>
                <w:lang w:val="en-US" w:eastAsia="zh-CN"/>
              </w:rPr>
              <w:t>业绩不满足</w:t>
            </w:r>
            <w:r>
              <w:rPr>
                <w:rFonts w:hint="eastAsia" w:ascii="宋体" w:hAnsi="宋体" w:eastAsia="宋体" w:cs="宋体"/>
                <w:color w:val="auto"/>
                <w:szCs w:val="21"/>
                <w:highlight w:val="none"/>
                <w:lang w:val="zh-CN" w:eastAsia="zh-CN"/>
              </w:rPr>
              <w:t>。以上材料提供扫描件并加盖供应商单位公章。</w:t>
            </w:r>
          </w:p>
          <w:p w14:paraId="693E3E5E">
            <w:pPr>
              <w:numPr>
                <w:ilvl w:val="0"/>
                <w:numId w:val="0"/>
              </w:numPr>
              <w:spacing w:line="360" w:lineRule="auto"/>
              <w:ind w:firstLine="420" w:firstLineChars="200"/>
              <w:contextualSpacing/>
              <w:rPr>
                <w:rFonts w:hint="eastAsia"/>
                <w:color w:val="auto"/>
                <w:highlight w:val="none"/>
                <w:lang w:val="zh-CN" w:eastAsia="zh-CN"/>
              </w:rPr>
            </w:pPr>
            <w:r>
              <w:rPr>
                <w:rFonts w:hint="eastAsia" w:ascii="宋体" w:hAnsi="宋体" w:eastAsia="宋体" w:cs="宋体"/>
                <w:color w:val="auto"/>
                <w:szCs w:val="21"/>
                <w:highlight w:val="none"/>
                <w:lang w:val="en-US" w:eastAsia="zh-CN"/>
              </w:rPr>
              <w:t>3、项目</w:t>
            </w:r>
            <w:r>
              <w:rPr>
                <w:rFonts w:hint="default" w:ascii="宋体" w:hAnsi="宋体" w:eastAsia="宋体" w:cs="宋体"/>
                <w:color w:val="auto"/>
                <w:szCs w:val="21"/>
                <w:highlight w:val="none"/>
                <w:lang w:val="en-US" w:eastAsia="zh-CN"/>
              </w:rPr>
              <w:t>负责人业绩与</w:t>
            </w:r>
            <w:r>
              <w:rPr>
                <w:rFonts w:hint="eastAsia" w:ascii="宋体" w:hAnsi="宋体" w:eastAsia="宋体" w:cs="宋体"/>
                <w:color w:val="auto"/>
                <w:szCs w:val="21"/>
                <w:highlight w:val="none"/>
                <w:lang w:val="en-US" w:eastAsia="zh-CN"/>
              </w:rPr>
              <w:t>企业</w:t>
            </w:r>
            <w:r>
              <w:rPr>
                <w:rFonts w:hint="default" w:ascii="宋体" w:hAnsi="宋体" w:eastAsia="宋体" w:cs="宋体"/>
                <w:color w:val="auto"/>
                <w:szCs w:val="21"/>
                <w:highlight w:val="none"/>
                <w:lang w:val="en-US" w:eastAsia="zh-CN"/>
              </w:rPr>
              <w:t>业绩不可兼得</w:t>
            </w:r>
            <w:r>
              <w:rPr>
                <w:rFonts w:hint="eastAsia" w:ascii="宋体" w:hAnsi="宋体" w:eastAsia="宋体" w:cs="宋体"/>
                <w:color w:val="auto"/>
                <w:szCs w:val="21"/>
                <w:highlight w:val="none"/>
                <w:lang w:val="en-US" w:eastAsia="zh-CN"/>
              </w:rPr>
              <w:t>。</w:t>
            </w:r>
          </w:p>
        </w:tc>
        <w:tc>
          <w:tcPr>
            <w:tcW w:w="504" w:type="pct"/>
            <w:noWrap w:val="0"/>
            <w:vAlign w:val="center"/>
          </w:tcPr>
          <w:p w14:paraId="746C2F4D">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r>
      <w:tr w14:paraId="0440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54" w:type="pct"/>
            <w:noWrap w:val="0"/>
            <w:vAlign w:val="center"/>
          </w:tcPr>
          <w:p w14:paraId="3EBDB9BC">
            <w:pPr>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项目负责人要求</w:t>
            </w:r>
          </w:p>
        </w:tc>
        <w:tc>
          <w:tcPr>
            <w:tcW w:w="3741" w:type="pct"/>
            <w:noWrap w:val="0"/>
            <w:vAlign w:val="center"/>
          </w:tcPr>
          <w:p w14:paraId="533708A8">
            <w:pPr>
              <w:spacing w:line="360" w:lineRule="auto"/>
              <w:ind w:firstLine="0" w:firstLineChars="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1、拟派</w:t>
            </w:r>
            <w:r>
              <w:rPr>
                <w:rFonts w:hint="eastAsia" w:ascii="宋体" w:hAnsi="宋体" w:eastAsia="宋体" w:cs="宋体"/>
                <w:color w:val="auto"/>
                <w:szCs w:val="21"/>
                <w:highlight w:val="none"/>
                <w:lang w:val="zh-CN" w:eastAsia="zh-CN"/>
              </w:rPr>
              <w:t>项目</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val="zh-CN" w:eastAsia="zh-CN"/>
              </w:rPr>
              <w:t>自202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val="zh-CN" w:eastAsia="zh-CN"/>
              </w:rPr>
              <w:t>月1日以来，</w:t>
            </w:r>
            <w:r>
              <w:rPr>
                <w:rFonts w:hint="eastAsia" w:ascii="宋体" w:hAnsi="宋体" w:eastAsia="宋体" w:cs="宋体"/>
                <w:color w:val="auto"/>
                <w:szCs w:val="21"/>
                <w:highlight w:val="none"/>
                <w:lang w:val="en-US" w:eastAsia="zh-CN"/>
              </w:rPr>
              <w:t>以项目负责人身份</w:t>
            </w:r>
            <w:r>
              <w:rPr>
                <w:rFonts w:hint="eastAsia" w:ascii="宋体" w:hAnsi="宋体" w:eastAsia="宋体" w:cs="宋体"/>
                <w:color w:val="auto"/>
                <w:szCs w:val="21"/>
                <w:highlight w:val="none"/>
                <w:lang w:val="zh-CN" w:eastAsia="zh-CN"/>
              </w:rPr>
              <w:t>承担过考古配合施工项目业绩，每提供一个得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分，最高得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分。</w:t>
            </w:r>
          </w:p>
          <w:p w14:paraId="2B1A2DC1">
            <w:pPr>
              <w:spacing w:line="360" w:lineRule="auto"/>
              <w:ind w:firstLine="420" w:firstLineChars="20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注：（1）、</w:t>
            </w:r>
            <w:r>
              <w:rPr>
                <w:rFonts w:hint="eastAsia" w:ascii="宋体" w:hAnsi="宋体" w:eastAsia="宋体" w:cs="宋体"/>
                <w:color w:val="auto"/>
                <w:szCs w:val="21"/>
                <w:highlight w:val="none"/>
                <w:lang w:val="zh-CN" w:eastAsia="zh-CN"/>
              </w:rPr>
              <w:t>时间以合同签订时间为准。</w:t>
            </w:r>
          </w:p>
          <w:p w14:paraId="443BCD61">
            <w:pPr>
              <w:spacing w:line="360" w:lineRule="auto"/>
              <w:ind w:firstLine="420" w:firstLineChars="20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须同时提供中标（</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val="zh-CN" w:eastAsia="zh-CN"/>
              </w:rPr>
              <w:t>）通知书（</w:t>
            </w:r>
            <w:r>
              <w:rPr>
                <w:rFonts w:hint="eastAsia" w:ascii="宋体" w:hAnsi="宋体" w:eastAsia="宋体" w:cs="宋体"/>
                <w:color w:val="auto"/>
                <w:szCs w:val="21"/>
                <w:highlight w:val="none"/>
                <w:lang w:val="en-US" w:eastAsia="zh-CN"/>
              </w:rPr>
              <w:t>或直接发包证明</w:t>
            </w:r>
            <w:r>
              <w:rPr>
                <w:rFonts w:hint="eastAsia" w:ascii="宋体" w:hAnsi="宋体" w:eastAsia="宋体" w:cs="宋体"/>
                <w:color w:val="auto"/>
                <w:szCs w:val="21"/>
                <w:highlight w:val="none"/>
                <w:lang w:val="zh-CN" w:eastAsia="zh-CN"/>
              </w:rPr>
              <w:t>）、合同协议书、完工验收证明（或合同工程完工验收鉴定书或竣工验收证书）的</w:t>
            </w:r>
            <w:r>
              <w:rPr>
                <w:rFonts w:hint="eastAsia" w:ascii="宋体" w:hAnsi="宋体" w:eastAsia="宋体" w:cs="宋体"/>
                <w:color w:val="auto"/>
                <w:szCs w:val="21"/>
                <w:highlight w:val="none"/>
                <w:lang w:val="en-US" w:eastAsia="zh-CN"/>
              </w:rPr>
              <w:t>扫描件</w:t>
            </w:r>
            <w:r>
              <w:rPr>
                <w:rFonts w:hint="eastAsia" w:ascii="宋体" w:hAnsi="宋体" w:eastAsia="宋体" w:cs="宋体"/>
                <w:color w:val="auto"/>
                <w:szCs w:val="21"/>
                <w:highlight w:val="none"/>
                <w:lang w:val="zh-CN" w:eastAsia="zh-CN"/>
              </w:rPr>
              <w:t>。提供的证明材料须能反映相关内容</w:t>
            </w:r>
            <w:r>
              <w:rPr>
                <w:rFonts w:hint="eastAsia" w:ascii="宋体" w:hAnsi="宋体" w:eastAsia="宋体" w:cs="宋体"/>
                <w:color w:val="auto"/>
                <w:szCs w:val="21"/>
                <w:highlight w:val="none"/>
                <w:lang w:val="en-US" w:eastAsia="zh-CN"/>
              </w:rPr>
              <w:t>及项目负责人相关信息</w:t>
            </w: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val="en-US" w:eastAsia="zh-CN"/>
              </w:rPr>
              <w:t>若未能反映项目负责人相关信息</w:t>
            </w:r>
            <w:r>
              <w:rPr>
                <w:rFonts w:hint="eastAsia" w:ascii="宋体" w:hAnsi="宋体" w:eastAsia="宋体" w:cs="宋体"/>
                <w:color w:val="auto"/>
                <w:szCs w:val="21"/>
                <w:highlight w:val="none"/>
                <w:lang w:val="zh-CN" w:eastAsia="zh-CN"/>
              </w:rPr>
              <w:t>须</w:t>
            </w:r>
            <w:r>
              <w:rPr>
                <w:rFonts w:hint="eastAsia" w:ascii="宋体" w:hAnsi="宋体" w:eastAsia="宋体" w:cs="宋体"/>
                <w:color w:val="auto"/>
                <w:szCs w:val="21"/>
                <w:highlight w:val="none"/>
                <w:lang w:val="en-US" w:eastAsia="zh-CN"/>
              </w:rPr>
              <w:t>提供业主证明材料（加盖业主单位公章），</w:t>
            </w:r>
            <w:r>
              <w:rPr>
                <w:rFonts w:hint="eastAsia" w:ascii="宋体" w:hAnsi="宋体" w:eastAsia="宋体" w:cs="宋体"/>
                <w:color w:val="auto"/>
                <w:szCs w:val="21"/>
                <w:highlight w:val="none"/>
                <w:lang w:val="zh-CN" w:eastAsia="zh-CN"/>
              </w:rPr>
              <w:t>否则视为业绩不满足。以上材料提供</w:t>
            </w:r>
            <w:r>
              <w:rPr>
                <w:rFonts w:hint="eastAsia" w:ascii="宋体" w:hAnsi="宋体" w:eastAsia="宋体" w:cs="宋体"/>
                <w:color w:val="auto"/>
                <w:szCs w:val="21"/>
                <w:highlight w:val="none"/>
                <w:lang w:val="en-US" w:eastAsia="zh-CN"/>
              </w:rPr>
              <w:t>扫描</w:t>
            </w:r>
            <w:r>
              <w:rPr>
                <w:rFonts w:hint="eastAsia" w:ascii="宋体" w:hAnsi="宋体" w:eastAsia="宋体" w:cs="宋体"/>
                <w:color w:val="auto"/>
                <w:szCs w:val="21"/>
                <w:highlight w:val="none"/>
                <w:lang w:val="zh-CN" w:eastAsia="zh-CN"/>
              </w:rPr>
              <w:t>件并加盖供应商单位公章。</w:t>
            </w:r>
          </w:p>
          <w:p w14:paraId="2263C325">
            <w:pPr>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w:t>
            </w:r>
            <w:r>
              <w:rPr>
                <w:rFonts w:hint="default" w:ascii="宋体" w:hAnsi="宋体" w:eastAsia="宋体" w:cs="宋体"/>
                <w:color w:val="auto"/>
                <w:szCs w:val="21"/>
                <w:highlight w:val="none"/>
                <w:lang w:val="en-US" w:eastAsia="zh-CN"/>
              </w:rPr>
              <w:t>负责人业绩与</w:t>
            </w:r>
            <w:r>
              <w:rPr>
                <w:rFonts w:hint="eastAsia" w:ascii="宋体" w:hAnsi="宋体" w:eastAsia="宋体" w:cs="宋体"/>
                <w:color w:val="auto"/>
                <w:szCs w:val="21"/>
                <w:highlight w:val="none"/>
                <w:lang w:val="en-US" w:eastAsia="zh-CN"/>
              </w:rPr>
              <w:t>企业</w:t>
            </w:r>
            <w:r>
              <w:rPr>
                <w:rFonts w:hint="default" w:ascii="宋体" w:hAnsi="宋体" w:eastAsia="宋体" w:cs="宋体"/>
                <w:color w:val="auto"/>
                <w:szCs w:val="21"/>
                <w:highlight w:val="none"/>
                <w:lang w:val="en-US" w:eastAsia="zh-CN"/>
              </w:rPr>
              <w:t>业绩不可兼得。</w:t>
            </w:r>
          </w:p>
          <w:p w14:paraId="2CA0C453">
            <w:pPr>
              <w:spacing w:line="360" w:lineRule="auto"/>
              <w:ind w:firstLine="0" w:firstLineChars="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2、拟派项目负责人具备中级及以上工程类专业技术职称的，得3分。</w:t>
            </w:r>
          </w:p>
          <w:p w14:paraId="7CEE677C">
            <w:pPr>
              <w:spacing w:line="360" w:lineRule="auto"/>
              <w:ind w:firstLine="420" w:firstLineChars="200"/>
              <w:contextualSpacing/>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注：提供证书原件扫描件，以及</w:t>
            </w:r>
            <w:r>
              <w:rPr>
                <w:rFonts w:hint="eastAsia" w:cs="Microsoft New Tai Lue"/>
                <w:b w:val="0"/>
                <w:bCs/>
                <w:color w:val="auto"/>
                <w:szCs w:val="21"/>
                <w:highlight w:val="none"/>
              </w:rPr>
              <w:t>响应截止时间前6个月内</w:t>
            </w:r>
            <w:r>
              <w:rPr>
                <w:rFonts w:hint="eastAsia" w:cs="Microsoft New Tai Lue"/>
                <w:b w:val="0"/>
                <w:bCs/>
                <w:color w:val="auto"/>
                <w:szCs w:val="21"/>
                <w:highlight w:val="none"/>
                <w:lang w:val="en-US" w:eastAsia="zh-CN"/>
              </w:rPr>
              <w:t>任意1个月</w:t>
            </w:r>
            <w:r>
              <w:rPr>
                <w:rFonts w:hint="eastAsia" w:ascii="宋体" w:hAnsi="宋体" w:eastAsia="宋体" w:cs="宋体"/>
                <w:color w:val="auto"/>
                <w:szCs w:val="21"/>
                <w:highlight w:val="none"/>
                <w:lang w:val="en-US" w:eastAsia="zh-CN"/>
              </w:rPr>
              <w:t>供应商为其缴纳的社会保险证明（社保机构出具并加盖社保专用章或可查询的电子社保凭证），未提供或提供不全不得分。属企业退休人员、事业单位编制人员等客观原因无法提供社保缴费证明，须出具相关证明材料及劳动合同，否则一律按未提供社保缴费证明材料处理，未提供相关证明材料不得分。</w:t>
            </w:r>
          </w:p>
        </w:tc>
        <w:tc>
          <w:tcPr>
            <w:tcW w:w="504" w:type="pct"/>
            <w:noWrap w:val="0"/>
            <w:vAlign w:val="center"/>
          </w:tcPr>
          <w:p w14:paraId="4CFA7A1B">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r>
    </w:tbl>
    <w:p w14:paraId="23378537">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本项目响应文件提交截止时间及开启时间延期至：2026年8月18日09：30（北京时间）</w:t>
      </w:r>
    </w:p>
    <w:p w14:paraId="3885EF02">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更正工程量清单，详见附件“更正后的工程量清单及工程量清单编制说明”。</w:t>
      </w:r>
    </w:p>
    <w:p w14:paraId="38BDF723">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新增附件“建设项目用地预审与选址意见书”。</w:t>
      </w:r>
    </w:p>
    <w:p w14:paraId="532E3143">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新增附件“场地平面图”。</w:t>
      </w:r>
    </w:p>
    <w:p w14:paraId="7E7AD8FA">
      <w:pPr>
        <w:pStyle w:val="6"/>
        <w:keepNext w:val="0"/>
        <w:keepLines w:val="0"/>
        <w:pageBreakBefore w:val="0"/>
        <w:widowControl/>
        <w:numPr>
          <w:ilvl w:val="0"/>
          <w:numId w:val="1"/>
        </w:numPr>
        <w:kinsoku/>
        <w:wordWrap w:val="0"/>
        <w:overflowPunct/>
        <w:topLinePunct w:val="0"/>
        <w:autoSpaceDE/>
        <w:autoSpaceDN/>
        <w:bidi w:val="0"/>
        <w:adjustRightInd/>
        <w:snapToGrid/>
        <w:spacing w:beforeAutospacing="0" w:afterAutospacing="0" w:line="360" w:lineRule="auto"/>
        <w:ind w:left="70" w:leftChars="0" w:firstLine="56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原采购文件内容与更正后的采购文件内容存在不一致的，以本次更正后的采购文件为准；原工程量清单内容与更正后的工程量清单内容不一致的，以本次更正后的工程量清单为准。</w:t>
      </w:r>
    </w:p>
    <w:p w14:paraId="33523F92">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righ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江苏省招标中心有限公司</w:t>
      </w:r>
    </w:p>
    <w:p w14:paraId="64580D56">
      <w:pPr>
        <w:pStyle w:val="6"/>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60" w:lineRule="auto"/>
        <w:jc w:val="right"/>
        <w:textAlignment w:val="auto"/>
        <w:rPr>
          <w:rFonts w:hint="eastAsia" w:ascii="仿宋" w:hAnsi="仿宋" w:eastAsia="仿宋" w:cs="仿宋"/>
          <w:highlight w:val="none"/>
        </w:rPr>
      </w:pPr>
      <w:r>
        <w:rPr>
          <w:rFonts w:hint="eastAsia" w:ascii="仿宋" w:hAnsi="仿宋" w:eastAsia="仿宋" w:cs="仿宋"/>
          <w:sz w:val="28"/>
          <w:szCs w:val="28"/>
          <w:highlight w:val="none"/>
          <w:lang w:val="en-US" w:eastAsia="zh-CN"/>
        </w:rPr>
        <w:t>2026年8月11日</w:t>
      </w:r>
    </w:p>
    <w:bookmarkEnd w:id="0"/>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New Tai Lue">
    <w:panose1 w:val="020B0502040204020203"/>
    <w:charset w:val="00"/>
    <w:family w:val="swiss"/>
    <w:pitch w:val="default"/>
    <w:sig w:usb0="00000003" w:usb1="00000000" w:usb2="8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EBE6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4D68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A4D68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66BD0E"/>
    <w:multiLevelType w:val="singleLevel"/>
    <w:tmpl w:val="7566BD0E"/>
    <w:lvl w:ilvl="0" w:tentative="0">
      <w:start w:val="1"/>
      <w:numFmt w:val="decimal"/>
      <w:suff w:val="nothing"/>
      <w:lvlText w:val="%1、"/>
      <w:lvlJc w:val="left"/>
      <w:pPr>
        <w:ind w:left="7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02914"/>
    <w:rsid w:val="077D65B1"/>
    <w:rsid w:val="08215AE4"/>
    <w:rsid w:val="15AF2AB5"/>
    <w:rsid w:val="1F2C7F81"/>
    <w:rsid w:val="204C04C4"/>
    <w:rsid w:val="2BE94FCF"/>
    <w:rsid w:val="2E5C5D76"/>
    <w:rsid w:val="430562F6"/>
    <w:rsid w:val="489349F6"/>
    <w:rsid w:val="504F0E3F"/>
    <w:rsid w:val="5389256D"/>
    <w:rsid w:val="5A0A6D93"/>
    <w:rsid w:val="5FDE1B2C"/>
    <w:rsid w:val="604D1DE8"/>
    <w:rsid w:val="67E0740D"/>
    <w:rsid w:val="6C645A08"/>
    <w:rsid w:val="73C24D80"/>
    <w:rsid w:val="76E02914"/>
    <w:rsid w:val="7D3A1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Autospacing="1" w:afterAutospacing="1"/>
      <w:jc w:val="left"/>
    </w:pPr>
    <w:rPr>
      <w:rFonts w:ascii="Calibri" w:hAnsi="Calibri"/>
      <w:kern w:val="0"/>
      <w:sz w:val="24"/>
    </w:rPr>
  </w:style>
  <w:style w:type="paragraph" w:styleId="9">
    <w:name w:val="List Paragraph"/>
    <w:basedOn w:val="1"/>
    <w:qFormat/>
    <w:uiPriority w:val="1"/>
    <w:pPr>
      <w:autoSpaceDE w:val="0"/>
      <w:autoSpaceDN w:val="0"/>
      <w:ind w:left="400" w:firstLine="42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3245</Words>
  <Characters>3343</Characters>
  <Lines>0</Lines>
  <Paragraphs>0</Paragraphs>
  <TotalTime>0</TotalTime>
  <ScaleCrop>false</ScaleCrop>
  <LinksUpToDate>false</LinksUpToDate>
  <CharactersWithSpaces>3361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2026-08-04T07:28:00Z</dcterms:created>
  <dc:creator>Yht</dc:creator>
  <cp:lastModifiedBy>Yht</cp:lastModifiedBy>
  <dcterms:modified xsi:type="dcterms:W3CDTF">2026-08-11T03:26:59Z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D1429F7AF81D40DBB155EF8AF4D3A7B5_11</vt:lpwstr>
  </property>
  <property fmtid="{D5CDD505-2E9C-101B-9397-08002B2CF9AE}" pid="4" name="KSOTemplateDocerSaveRecord">
    <vt:lpwstr>eyJoZGlkIjoiMjdiYzljNjE2NDJkNjliYTZhZTI1YWI4MWMyMTAyYTAiLCJ1c2VySWQiOiIxMjE0ODE1MzY4In0=</vt:lpwstr>
  </property>
</Properties>
</file>