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left="2238" w:hanging="160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项目名称：高邮市卸甲镇龙奔社区党群服务中心电梯采购与安装工程</w:t>
      </w:r>
      <w:r/>
    </w:p>
    <w:p>
      <w:pPr>
        <w:ind w:firstLine="640"/>
        <w:spacing w:before="120" w:after="120" w:line="360" w:lineRule="auto"/>
        <w:rPr>
          <w:rFonts w:hint="eastAsia" w:ascii="Arial" w:hAnsi="Arial"/>
          <w:b/>
          <w:bCs/>
          <w:sz w:val="32"/>
          <w:szCs w:val="24"/>
        </w:rPr>
      </w:pPr>
      <w:r>
        <w:rPr>
          <w:rFonts w:hint="eastAsia" w:ascii="Arial" w:hAnsi="Arial"/>
          <w:b/>
          <w:bCs/>
          <w:sz w:val="32"/>
          <w:szCs w:val="24"/>
        </w:rPr>
        <w:t xml:space="preserve">项目编号：</w:t>
      </w:r>
      <w:r>
        <w:rPr>
          <w:rFonts w:hint="eastAsia" w:ascii="Segoe UI" w:hAnsi="Segoe UI" w:eastAsia="宋体" w:cs="Segoe UI"/>
          <w:i w:val="0"/>
          <w:iCs w:val="0"/>
          <w:caps w:val="0"/>
          <w:spacing w:val="0"/>
          <w:sz w:val="32"/>
          <w:szCs w:val="32"/>
          <w:shd w:val="clear" w:color="auto" w:fill="ffffff"/>
          <w:lang w:eastAsia="zh-CN"/>
        </w:rPr>
        <w:t xml:space="preserve">JSZC-321084-JZCG-G2026-0019</w:t>
      </w:r>
      <w:r/>
    </w:p>
    <w:p>
      <w:pPr>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lang w:eastAsia="zh-CN"/>
        </w:rPr>
        <w:t xml:space="preserve">扬州市公共资源交易中心高邮分中心</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8</w:t>
      </w:r>
      <w:r>
        <w:rPr>
          <w:rFonts w:hint="eastAsia" w:ascii="Arial" w:hAnsi="Arial"/>
          <w:b/>
          <w:bCs/>
          <w:color w:val="000000"/>
          <w:sz w:val="32"/>
          <w:szCs w:val="24"/>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Arial" w:hAnsi="Arial"/>
          <w:color w:val="000000"/>
          <w:sz w:val="24"/>
          <w:szCs w:val="24"/>
        </w:rPr>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bookmarkStart w:id="0" w:name="_Toc120614210"/>
      <w:r/>
      <w:bookmarkStart w:id="1" w:name="_Toc513029200"/>
      <w:r/>
      <w:bookmarkStart w:id="2" w:name="_Toc479757206"/>
      <w:r/>
      <w:bookmarkStart w:id="3" w:name="_Toc523127445"/>
      <w:r/>
      <w:bookmarkStart w:id="4" w:name="_Toc20823272"/>
      <w:r/>
      <w:bookmarkStart w:id="5" w:name="_Toc1693851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03</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07</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18</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34</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44</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49</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受[高邮市卸甲镇人民政府]的委托，</w:t>
      </w:r>
      <w:r>
        <w:rPr>
          <w:rFonts w:hint="eastAsia" w:ascii="宋体" w:hAnsi="宋体"/>
          <w:color w:val="000000"/>
          <w:sz w:val="24"/>
          <w:szCs w:val="24"/>
          <w:lang w:eastAsia="zh-CN"/>
        </w:rPr>
        <w:t xml:space="preserve">扬州市公共资源交易中心高邮分中心</w:t>
      </w:r>
      <w:r>
        <w:rPr>
          <w:rFonts w:hint="eastAsia" w:ascii="宋体" w:hAnsi="宋体"/>
          <w:color w:val="000000"/>
          <w:sz w:val="24"/>
          <w:szCs w:val="24"/>
        </w:rPr>
        <w:t xml:space="preserve">就[高邮市卸甲镇龙奔社区党群服务中心</w:t>
      </w:r>
      <w:r>
        <w:rPr>
          <w:rFonts w:hint="eastAsia" w:ascii="宋体" w:hAnsi="宋体"/>
          <w:color w:val="000000"/>
          <w:sz w:val="24"/>
          <w:szCs w:val="24"/>
          <w:lang w:val="en-US" w:eastAsia="zh-CN"/>
        </w:rPr>
        <w:t xml:space="preserve">电梯采购与安装工</w:t>
      </w:r>
      <w:r>
        <w:rPr>
          <w:rFonts w:hint="eastAsia" w:ascii="宋体" w:hAnsi="宋体"/>
          <w:color w:val="auto"/>
          <w:sz w:val="24"/>
          <w:szCs w:val="24"/>
          <w:lang w:val="en-US" w:eastAsia="zh-CN"/>
        </w:rPr>
        <w:t xml:space="preserve">程</w:t>
      </w:r>
      <w:r>
        <w:rPr>
          <w:rFonts w:hint="eastAsia" w:ascii="宋体" w:hAnsi="宋体"/>
          <w:color w:val="auto"/>
          <w:sz w:val="24"/>
          <w:szCs w:val="24"/>
        </w:rPr>
        <w:t xml:space="preserve">](</w:t>
      </w:r>
      <w:r>
        <w:rPr>
          <w:rFonts w:hint="eastAsia" w:ascii="Segoe UI" w:hAnsi="Segoe UI" w:eastAsia="宋体" w:cs="Segoe UI"/>
          <w:i w:val="0"/>
          <w:iCs w:val="0"/>
          <w:caps w:val="0"/>
          <w:color w:val="auto"/>
          <w:spacing w:val="0"/>
          <w:sz w:val="24"/>
          <w:szCs w:val="24"/>
          <w:shd w:val="clear" w:color="auto" w:fill="ffffff"/>
          <w:lang w:eastAsia="zh-CN"/>
        </w:rPr>
        <w:t xml:space="preserve">JSZC-321084-JZCG-G2026-0019</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 (高邮市卸甲镇龙奔社区党群服务中心</w:t>
      </w:r>
      <w:r>
        <w:rPr>
          <w:rFonts w:hint="eastAsia" w:ascii="宋体" w:hAnsi="宋体"/>
          <w:color w:val="000000"/>
          <w:sz w:val="24"/>
          <w:szCs w:val="24"/>
          <w:u w:val="single"/>
          <w:lang w:val="en-US" w:eastAsia="zh-CN"/>
        </w:rPr>
        <w:t xml:space="preserve">电梯采购与安装工程</w:t>
      </w:r>
      <w:r>
        <w:rPr>
          <w:rFonts w:ascii="宋体" w:hAnsi="宋体"/>
          <w:color w:val="000000"/>
          <w:sz w:val="24"/>
          <w:szCs w:val="24"/>
          <w:u w:val="single"/>
        </w:rPr>
        <w:t xml:space="preserve">)</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8</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6"/>
        <w:keepLines/>
        <w:keepNext/>
        <w:spacing w:before="156" w:after="156" w:line="400" w:lineRule="exact"/>
        <w:rPr>
          <w:rFonts w:ascii="Times New Roman" w:hAnsi="Times New Roman"/>
          <w:b/>
          <w:bCs/>
          <w:color w:val="000000"/>
          <w:sz w:val="32"/>
          <w:szCs w:val="32"/>
        </w:rPr>
        <w:outlineLvl w:val="2"/>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Segoe UI" w:hAnsi="Segoe UI" w:eastAsia="宋体" w:cs="Segoe UI"/>
          <w:i w:val="0"/>
          <w:iCs w:val="0"/>
          <w:caps w:val="0"/>
          <w:color w:val="auto"/>
          <w:spacing w:val="0"/>
          <w:sz w:val="24"/>
          <w:szCs w:val="24"/>
          <w:shd w:val="clear" w:color="auto" w:fill="ffffff"/>
          <w:lang w:eastAsia="zh-CN"/>
        </w:rPr>
        <w:t xml:space="preserve">JSZC-321084-JZCG-G2026-0019</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2.项目名称：高邮市卸甲镇龙奔社区党群服务中心</w:t>
      </w:r>
      <w:r>
        <w:rPr>
          <w:rFonts w:hint="eastAsia" w:ascii="宋体" w:hAnsi="宋体"/>
          <w:color w:val="000000"/>
          <w:sz w:val="24"/>
          <w:szCs w:val="24"/>
          <w:lang w:val="en-US" w:eastAsia="zh-CN"/>
        </w:rPr>
        <w:t xml:space="preserve">电梯采购与安装工</w:t>
      </w:r>
      <w:r>
        <w:rPr>
          <w:rFonts w:hint="eastAsia" w:ascii="宋体" w:hAnsi="宋体"/>
          <w:color w:val="auto"/>
          <w:sz w:val="24"/>
          <w:szCs w:val="24"/>
          <w:lang w:val="en-US" w:eastAsia="zh-CN"/>
        </w:rPr>
        <w:t xml:space="preserve">程</w:t>
      </w:r>
      <w:bookmarkEnd w:id="11"/>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3.预算金额</w:t>
      </w:r>
      <w:r>
        <w:rPr>
          <w:rFonts w:hint="eastAsia" w:ascii="宋体" w:hAnsi="宋体"/>
          <w:sz w:val="24"/>
          <w:szCs w:val="24"/>
          <w:lang w:eastAsia="zh-CN"/>
        </w:rPr>
        <w:t xml:space="preserve">：</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lang w:val="en-US" w:eastAsia="zh-CN"/>
              </w:rPr>
              <w:t xml:space="preserve">14</w:t>
            </w:r>
            <w:r/>
          </w:p>
        </w:tc>
      </w:tr>
    </w:tbl>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lang w:eastAsia="zh-CN"/>
        </w:rPr>
        <w:t xml:space="preserve">：</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hint="eastAsia" w:ascii="宋体" w:hAnsi="宋体"/>
                <w:sz w:val="24"/>
                <w:szCs w:val="24"/>
              </w:rPr>
            </w:pPr>
            <w:r>
              <w:rPr>
                <w:rFonts w:hint="eastAsia" w:ascii="宋体" w:hAnsi="宋体"/>
                <w:sz w:val="24"/>
                <w:szCs w:val="24"/>
              </w:rPr>
              <w:t xml:space="preserve">包号</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vAlign w:val="top"/>
            <w:textDirection w:val="lrTb"/>
            <w:noWrap w:val="false"/>
          </w:tcPr>
          <w:p>
            <w:pPr>
              <w:jc w:val="center"/>
              <w:spacing w:line="0" w:lineRule="atLeast"/>
              <w:rPr>
                <w:rFonts w:ascii="宋体" w:hAnsi="宋体"/>
                <w:sz w:val="24"/>
                <w:szCs w:val="24"/>
              </w:rPr>
            </w:pPr>
            <w:r>
              <w:rPr>
                <w:rFonts w:hint="eastAsia" w:ascii="宋体" w:hAnsi="宋体"/>
                <w:sz w:val="24"/>
                <w:szCs w:val="24"/>
                <w:lang w:val="en-US" w:eastAsia="zh-CN"/>
              </w:rPr>
              <w:t xml:space="preserve">12</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5.采购需求(简介)：乘客电梯1台，</w:t>
      </w:r>
      <w:r>
        <w:rPr>
          <w:rFonts w:hint="eastAsia" w:ascii="宋体" w:hAnsi="宋体"/>
          <w:color w:val="000000"/>
          <w:sz w:val="24"/>
          <w:szCs w:val="24"/>
          <w:highlight w:val="none"/>
        </w:rPr>
        <w:t xml:space="preserve">额定载重量</w:t>
      </w:r>
      <w:r>
        <w:rPr>
          <w:rFonts w:hint="eastAsia" w:ascii="宋体" w:hAnsi="宋体"/>
          <w:color w:val="000000"/>
          <w:sz w:val="24"/>
          <w:szCs w:val="24"/>
          <w:highlight w:val="none"/>
          <w:lang w:val="en-US" w:eastAsia="zh-CN"/>
        </w:rPr>
        <w:t xml:space="preserve">630</w:t>
      </w:r>
      <w:r>
        <w:rPr>
          <w:rFonts w:hint="eastAsia" w:ascii="宋体" w:hAnsi="宋体"/>
          <w:color w:val="000000"/>
          <w:sz w:val="24"/>
          <w:szCs w:val="24"/>
          <w:highlight w:val="none"/>
        </w:rPr>
        <w:t xml:space="preserve">kg</w:t>
      </w:r>
      <w:r>
        <w:rPr>
          <w:rFonts w:hint="eastAsia" w:ascii="宋体" w:hAnsi="宋体"/>
          <w:color w:val="000000"/>
          <w:sz w:val="24"/>
          <w:szCs w:val="24"/>
        </w:rPr>
        <w:t xml:space="preserve">,额定速度为1.0米/秒；层站门：4/4/4，无机房独立运行；开门方式：中分式</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eastAsia="宋体" w:cs="Times New Roman"/>
          <w:color w:val="000000"/>
          <w:sz w:val="24"/>
          <w:szCs w:val="24"/>
          <w:lang w:val="zh-CN" w:eastAsia="zh-CN"/>
        </w:rPr>
        <w:t xml:space="preserve">自签订合同后30天内完成供货，</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0天内安装、调试完毕并取得技术质量监督部门的验收合格证书，具体时间根据招标采购单位要求。</w:t>
      </w:r>
      <w:r/>
    </w:p>
    <w:p>
      <w:pPr>
        <w:ind w:firstLine="496"/>
        <w:keepLines/>
        <w:keepNext/>
        <w:spacing w:before="156" w:after="156" w:line="360" w:lineRule="auto"/>
        <w:rPr>
          <w:rFonts w:ascii="Times New Roman" w:hAnsi="Times New Roman"/>
          <w:b/>
          <w:bCs/>
          <w:color w:val="000000"/>
          <w:sz w:val="32"/>
          <w:szCs w:val="32"/>
        </w:rPr>
        <w:outlineLvl w:val="2"/>
      </w:pPr>
      <w:r/>
      <w:bookmarkStart w:id="12" w:name="_Toc28359003"/>
      <w:r/>
      <w:bookmarkStart w:id="13" w:name="_Toc35393622"/>
      <w:r/>
      <w:bookmarkStart w:id="14" w:name="_Toc28359080"/>
      <w:r/>
      <w:bookmarkStart w:id="15" w:name="_Toc35393791"/>
      <w:r/>
      <w:bookmarkStart w:id="16" w:name="_Toc38985264"/>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hint="eastAsia" w:ascii="宋体" w:hAnsi="宋体"/>
          <w:color w:val="000000"/>
          <w:sz w:val="28"/>
          <w:szCs w:val="28"/>
        </w:rPr>
      </w:pPr>
      <w:r/>
      <w:bookmarkStart w:id="17" w:name="_Toc35393623"/>
      <w:r/>
      <w:bookmarkStart w:id="18" w:name="_Toc35393792"/>
      <w:r/>
      <w:bookmarkStart w:id="19" w:name="_Toc28359081"/>
      <w:r/>
      <w:bookmarkStart w:id="20" w:name="_Toc38985265"/>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w:t>
      </w:r>
      <w:r>
        <w:rPr>
          <w:rFonts w:hint="eastAsia" w:ascii="宋体" w:hAnsi="宋体" w:cs="宋体"/>
          <w:color w:val="000000"/>
          <w:sz w:val="24"/>
          <w:lang w:val="en-US" w:eastAsia="zh-CN"/>
        </w:rPr>
        <w:t xml:space="preserve">2024或2025</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w:t>
      </w:r>
      <w:r>
        <w:rPr>
          <w:rFonts w:hint="eastAsia" w:ascii="宋体" w:hAnsi="宋体"/>
          <w:color w:val="000000"/>
          <w:sz w:val="24"/>
          <w:szCs w:val="24"/>
          <w:highlight w:val="none"/>
        </w:rPr>
        <w:t xml:space="preserve">年内</w:t>
      </w:r>
      <w:r>
        <w:rPr>
          <w:rFonts w:hint="eastAsia" w:ascii="宋体" w:hAnsi="宋体"/>
          <w:color w:val="000000"/>
          <w:sz w:val="24"/>
          <w:szCs w:val="24"/>
          <w:highlight w:val="none"/>
          <w:lang w:val="en-US" w:eastAsia="zh-CN"/>
        </w:rPr>
        <w:t xml:space="preserve">任意</w:t>
      </w:r>
      <w:r>
        <w:rPr>
          <w:rFonts w:hint="eastAsia" w:ascii="宋体" w:hAnsi="宋体"/>
          <w:color w:val="000000"/>
          <w:sz w:val="24"/>
          <w:szCs w:val="24"/>
          <w:highlight w:val="none"/>
        </w:rPr>
        <w:t xml:space="preserve">一个月依法缴纳税收及缴纳社会保障资金的证明材料。投标人依法享受缓缴、免缴</w:t>
      </w:r>
      <w:r>
        <w:rPr>
          <w:rFonts w:hint="eastAsia" w:ascii="宋体" w:hAnsi="宋体"/>
          <w:color w:val="000000"/>
          <w:sz w:val="24"/>
          <w:szCs w:val="24"/>
        </w:rPr>
        <w:t xml:space="preserve">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1.6供应商信用承诺函。</w:t>
      </w:r>
      <w:r/>
    </w:p>
    <w:p>
      <w:pPr>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Style w:val="1053"/>
        <w:tblpPr w:horzAnchor="page" w:tblpX="1815" w:vertAnchor="text" w:tblpY="38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707"/>
        <w:gridCol w:w="4495"/>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707"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449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707"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c>
          <w:tcPr>
            <w:tcW w:w="449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.进口产品投标</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296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r>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hint="eastAsia" w:ascii="宋体" w:hAnsi="宋体"/>
                <w:sz w:val="24"/>
                <w:szCs w:val="24"/>
              </w:rPr>
            </w:pPr>
            <w:r>
              <w:rPr>
                <w:rFonts w:hint="eastAsia" w:ascii="宋体" w:hAnsi="宋体"/>
                <w:sz w:val="24"/>
                <w:szCs w:val="24"/>
              </w:rPr>
              <w:t xml:space="preserve">包号</w:t>
            </w:r>
            <w:r/>
          </w:p>
        </w:tc>
        <w:tc>
          <w:tcPr>
            <w:tcW w:w="592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5921" w:type="dxa"/>
            <w:vAlign w:val="top"/>
            <w:textDirection w:val="lrTb"/>
            <w:noWrap w:val="false"/>
          </w:tcPr>
          <w:p>
            <w:pPr>
              <w:ind w:firstLine="496"/>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1.若</w:t>
            </w:r>
            <w:r>
              <w:rPr>
                <w:rFonts w:hint="eastAsia" w:ascii="宋体" w:hAnsi="宋体"/>
                <w:sz w:val="24"/>
                <w:szCs w:val="24"/>
              </w:rPr>
              <w:t xml:space="preserve">投标人</w:t>
            </w:r>
            <w:r>
              <w:rPr>
                <w:rFonts w:hint="eastAsia" w:ascii="宋体" w:hAnsi="宋体" w:cs="宋体"/>
                <w:color w:val="000000"/>
                <w:sz w:val="24"/>
                <w:szCs w:val="24"/>
              </w:rPr>
              <w:t xml:space="preserve">是制造商，须具备以下（1）、（2）两项中的任意一项：</w:t>
            </w:r>
            <w:r/>
          </w:p>
          <w:p>
            <w:pPr>
              <w:ind w:firstLine="496"/>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（1）具有有效期内的《中华人民共和国特种设备制造许可证》</w:t>
            </w:r>
            <w:r>
              <w:rPr>
                <w:rFonts w:hint="eastAsia" w:ascii="宋体" w:hAnsi="宋体" w:eastAsia="宋体" w:cs="Times New Roman"/>
                <w:sz w:val="24"/>
                <w:szCs w:val="24"/>
                <w:lang w:val="en-US" w:eastAsia="zh-CN"/>
              </w:rPr>
              <w:t xml:space="preserve">（乘客电梯</w:t>
            </w:r>
            <w:r>
              <w:rPr>
                <w:rFonts w:hint="eastAsia" w:ascii="宋体" w:hAnsi="宋体" w:cs="宋体"/>
                <w:sz w:val="24"/>
                <w:szCs w:val="24"/>
                <w:lang w:val="en-US" w:eastAsia="zh-CN"/>
              </w:rPr>
              <w:t xml:space="preserve">B</w:t>
            </w:r>
            <w:r>
              <w:rPr>
                <w:rFonts w:hint="eastAsia" w:ascii="宋体" w:hAnsi="宋体" w:eastAsia="宋体" w:cs="宋体"/>
                <w:sz w:val="24"/>
                <w:szCs w:val="24"/>
              </w:rPr>
              <w:t xml:space="preserve">级及以上</w:t>
            </w:r>
            <w:r>
              <w:rPr>
                <w:rFonts w:hint="eastAsia" w:ascii="宋体" w:hAnsi="宋体" w:eastAsia="宋体" w:cs="Times New Roman"/>
                <w:sz w:val="24"/>
                <w:szCs w:val="24"/>
                <w:lang w:val="en-US" w:eastAsia="zh-CN"/>
              </w:rPr>
              <w:t xml:space="preserve">）</w:t>
            </w:r>
            <w:r>
              <w:rPr>
                <w:rFonts w:hint="eastAsia" w:ascii="宋体" w:hAnsi="宋体" w:cs="宋体"/>
                <w:color w:val="000000"/>
                <w:sz w:val="24"/>
                <w:szCs w:val="24"/>
              </w:rPr>
              <w:t xml:space="preserve">；</w:t>
            </w:r>
            <w:r/>
          </w:p>
          <w:p>
            <w:pPr>
              <w:ind w:firstLine="496"/>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（2）具有有效期内的《中华人民共和国特种设备生产许可证》，</w:t>
            </w:r>
            <w:r>
              <w:rPr>
                <w:rFonts w:hint="eastAsia" w:ascii="宋体" w:hAnsi="宋体" w:eastAsia="宋体" w:cs="Times New Roman"/>
                <w:sz w:val="24"/>
                <w:szCs w:val="24"/>
                <w:lang w:val="en-US" w:eastAsia="zh-CN"/>
              </w:rPr>
              <w:t xml:space="preserve">其中必须具备许可项目为电梯制造（含安装、修理、改造），许可子项目为曳引驱动乘客电梯（含消防员电梯）</w:t>
            </w:r>
            <w:r>
              <w:rPr>
                <w:rFonts w:hint="eastAsia" w:ascii="宋体" w:hAnsi="宋体" w:cs="Times New Roman"/>
                <w:sz w:val="24"/>
                <w:szCs w:val="24"/>
                <w:lang w:val="en-US" w:eastAsia="zh-CN"/>
              </w:rPr>
              <w:t xml:space="preserve">。</w:t>
            </w:r>
            <w:r/>
          </w:p>
          <w:p>
            <w:pPr>
              <w:ind w:firstLine="496"/>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2.若</w:t>
            </w:r>
            <w:r>
              <w:rPr>
                <w:rFonts w:hint="eastAsia" w:ascii="宋体" w:hAnsi="宋体"/>
                <w:sz w:val="24"/>
                <w:szCs w:val="24"/>
              </w:rPr>
              <w:t xml:space="preserve">投标人</w:t>
            </w:r>
            <w:r>
              <w:rPr>
                <w:rFonts w:hint="eastAsia" w:ascii="宋体" w:hAnsi="宋体" w:cs="宋体"/>
                <w:color w:val="000000"/>
                <w:sz w:val="24"/>
                <w:szCs w:val="24"/>
              </w:rPr>
              <w:t xml:space="preserve">是代理商，须具备以下条件：</w:t>
            </w:r>
            <w:r/>
          </w:p>
          <w:p>
            <w:pPr>
              <w:ind w:firstLine="493"/>
              <w:keepLines/>
              <w:keepNext/>
              <w:pageBreakBefore w:val="0"/>
              <w:spacing w:line="460" w:lineRule="exact"/>
              <w:widowControl w:val="off"/>
              <w:rPr>
                <w:rFonts w:hint="eastAsia" w:ascii="宋体" w:hAnsi="宋体" w:cs="宋体"/>
                <w:color w:val="000000"/>
                <w:sz w:val="24"/>
                <w:szCs w:val="24"/>
              </w:rPr>
              <w:outlineLvl w:val="2"/>
            </w:pPr>
            <w:r>
              <w:rPr>
                <w:rFonts w:hint="eastAsia" w:ascii="宋体" w:hAnsi="宋体" w:cs="宋体"/>
                <w:color w:val="000000"/>
                <w:sz w:val="24"/>
                <w:szCs w:val="24"/>
              </w:rPr>
              <w:t xml:space="preserve">（1）提供所代理制造商有效期内的《中华人民共和国特种设备制造许可证》</w:t>
            </w:r>
            <w:r>
              <w:rPr>
                <w:rFonts w:hint="eastAsia" w:ascii="宋体" w:hAnsi="宋体" w:eastAsia="宋体" w:cs="Times New Roman"/>
                <w:sz w:val="24"/>
                <w:szCs w:val="24"/>
                <w:lang w:val="en-US" w:eastAsia="zh-CN"/>
              </w:rPr>
              <w:t xml:space="preserve">（乘客电梯</w:t>
            </w:r>
            <w:r>
              <w:rPr>
                <w:rFonts w:hint="eastAsia" w:ascii="宋体" w:hAnsi="宋体" w:cs="宋体"/>
                <w:sz w:val="24"/>
                <w:szCs w:val="24"/>
                <w:lang w:val="en-US" w:eastAsia="zh-CN"/>
              </w:rPr>
              <w:t xml:space="preserve">B</w:t>
            </w:r>
            <w:r>
              <w:rPr>
                <w:rFonts w:hint="eastAsia" w:ascii="宋体" w:hAnsi="宋体" w:eastAsia="宋体" w:cs="宋体"/>
                <w:sz w:val="24"/>
                <w:szCs w:val="24"/>
              </w:rPr>
              <w:t xml:space="preserve">级及以上</w:t>
            </w:r>
            <w:r>
              <w:rPr>
                <w:rFonts w:hint="eastAsia" w:ascii="宋体" w:hAnsi="宋体" w:eastAsia="宋体" w:cs="Times New Roman"/>
                <w:sz w:val="24"/>
                <w:szCs w:val="24"/>
                <w:lang w:val="en-US" w:eastAsia="zh-CN"/>
              </w:rPr>
              <w:t xml:space="preserve">）</w:t>
            </w:r>
            <w:r>
              <w:rPr>
                <w:rFonts w:hint="eastAsia" w:ascii="宋体" w:hAnsi="宋体" w:cs="宋体"/>
                <w:color w:val="000000"/>
                <w:sz w:val="24"/>
                <w:szCs w:val="24"/>
              </w:rPr>
              <w:t xml:space="preserve">或者《中华人民共和国特种设备生产许可证》，</w:t>
            </w:r>
            <w:r>
              <w:rPr>
                <w:rFonts w:hint="eastAsia" w:ascii="宋体" w:hAnsi="宋体" w:eastAsia="宋体" w:cs="Times New Roman"/>
                <w:sz w:val="24"/>
                <w:szCs w:val="24"/>
                <w:lang w:val="en-US" w:eastAsia="zh-CN"/>
              </w:rPr>
              <w:t xml:space="preserve">其中必须具备许可项目为电梯制造（含安装、修理、改造），许可子项目为曳引驱动乘客电梯（含消防员电梯）</w:t>
            </w:r>
            <w:r>
              <w:rPr>
                <w:rFonts w:hint="eastAsia" w:ascii="宋体" w:hAnsi="宋体" w:cs="宋体"/>
                <w:color w:val="000000"/>
                <w:sz w:val="24"/>
                <w:szCs w:val="24"/>
              </w:rPr>
              <w:t xml:space="preserve">；</w:t>
            </w:r>
            <w:r/>
          </w:p>
          <w:p>
            <w:pPr>
              <w:jc w:val="center"/>
              <w:spacing w:line="400" w:lineRule="exact"/>
              <w:rPr>
                <w:rFonts w:ascii="宋体" w:hAnsi="宋体" w:eastAsia="宋体" w:cs="Times New Roman"/>
                <w:sz w:val="24"/>
                <w:szCs w:val="24"/>
                <w:lang w:val="en-US" w:eastAsia="zh-CN" w:bidi="ar-SA"/>
              </w:rPr>
            </w:pP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（2）具有</w:t>
            </w:r>
            <w:r>
              <w:rPr>
                <w:rFonts w:hint="eastAsia" w:ascii="宋体" w:hAnsi="宋体" w:cs="宋体"/>
                <w:color w:val="000000"/>
                <w:sz w:val="24"/>
                <w:szCs w:val="24"/>
                <w:lang w:val="en-US" w:eastAsia="zh-CN"/>
              </w:rPr>
              <w:t xml:space="preserve">投标人</w:t>
            </w:r>
            <w:r>
              <w:rPr>
                <w:rFonts w:hint="eastAsia" w:ascii="宋体" w:hAnsi="宋体" w:cs="宋体"/>
                <w:color w:val="000000"/>
                <w:sz w:val="24"/>
                <w:szCs w:val="24"/>
              </w:rPr>
              <w:t xml:space="preserve">有效期内的《中华人民共和国特种设备安装改造维修许可证》</w:t>
            </w:r>
            <w:r>
              <w:rPr>
                <w:rFonts w:hint="eastAsia" w:ascii="宋体" w:hAnsi="宋体" w:eastAsia="宋体" w:cs="Times New Roman"/>
                <w:sz w:val="24"/>
                <w:szCs w:val="24"/>
                <w:lang w:val="en-US" w:eastAsia="zh-CN"/>
              </w:rPr>
              <w:t xml:space="preserve">（安装、改造、维修B级及以上）</w:t>
            </w:r>
            <w:r>
              <w:rPr>
                <w:rFonts w:hint="eastAsia" w:ascii="宋体" w:hAnsi="宋体" w:cs="宋体"/>
                <w:color w:val="000000"/>
                <w:sz w:val="24"/>
                <w:szCs w:val="24"/>
              </w:rPr>
              <w:t xml:space="preserve">或《中华人民共和国特种设备生产许可证》，</w:t>
            </w:r>
            <w:r>
              <w:rPr>
                <w:rFonts w:hint="eastAsia" w:ascii="宋体" w:hAnsi="宋体" w:eastAsia="宋体" w:cs="Times New Roman"/>
                <w:sz w:val="24"/>
                <w:szCs w:val="24"/>
                <w:lang w:val="en-US" w:eastAsia="zh-CN"/>
              </w:rPr>
              <w:t xml:space="preserve">其中必须具备许可项目为电梯安装（含安装、改造、维修），许可子项目为曳引驱动乘客电梯（含消防员电梯）</w:t>
            </w:r>
            <w:r>
              <w:rPr>
                <w:rFonts w:hint="eastAsia" w:ascii="宋体" w:hAnsi="宋体" w:cs="宋体"/>
                <w:color w:val="000000"/>
                <w:sz w:val="24"/>
                <w:szCs w:val="24"/>
              </w:rPr>
              <w:t xml:space="preserve">。</w:t>
            </w:r>
            <w:r/>
          </w:p>
        </w:tc>
      </w:tr>
    </w:tbl>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w:t>
      </w:r>
      <w:r>
        <w:rPr>
          <w:rFonts w:hint="eastAsia" w:ascii="宋体" w:hAnsi="宋体"/>
          <w:color w:val="000000"/>
          <w:sz w:val="24"/>
          <w:szCs w:val="24"/>
        </w:rPr>
        <w:t xml:space="preserve">江苏政府采购网、扬州市政府采购网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ind w:firstLine="496"/>
        <w:keepLines/>
        <w:keepNext/>
        <w:spacing w:before="156" w:after="156" w:line="400" w:lineRule="exact"/>
        <w:rPr>
          <w:rFonts w:ascii="Times New Roman" w:hAnsi="Times New Roman"/>
          <w:b/>
          <w:bCs/>
          <w:color w:val="000000"/>
          <w:sz w:val="32"/>
          <w:szCs w:val="32"/>
        </w:rPr>
        <w:outlineLvl w:val="2"/>
      </w:pPr>
      <w:r/>
      <w:bookmarkStart w:id="22" w:name="_Toc28359005"/>
      <w:r/>
      <w:bookmarkStart w:id="23" w:name="_Toc28359082"/>
      <w:r/>
      <w:bookmarkStart w:id="24" w:name="_Toc35393793"/>
      <w:r/>
      <w:bookmarkStart w:id="25" w:name="_Toc38985266"/>
      <w:r/>
      <w:bookmarkStart w:id="26" w:name="_Toc35393624"/>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rPr>
        <w:t xml:space="preserve">月</w:t>
      </w:r>
      <w:r>
        <w:rPr>
          <w:rFonts w:hint="eastAsia" w:ascii="宋体" w:hAnsi="宋体"/>
          <w:bCs/>
          <w:color w:val="000000"/>
          <w:sz w:val="24"/>
          <w:szCs w:val="24"/>
          <w:u w:val="single"/>
          <w:lang w:val="en-US" w:eastAsia="zh-CN"/>
        </w:rPr>
        <w:t xml:space="preserve">8</w:t>
      </w:r>
      <w:r>
        <w:rPr>
          <w:rFonts w:hint="eastAsia" w:ascii="宋体" w:hAnsi="宋体"/>
          <w:bCs/>
          <w:color w:val="000000"/>
          <w:sz w:val="24"/>
          <w:szCs w:val="24"/>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rPr>
        <w:t xml:space="preserve">点</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6"/>
        <w:keepLines/>
        <w:keepNext/>
        <w:spacing w:before="156" w:after="156" w:line="360" w:lineRule="auto"/>
        <w:rPr>
          <w:rFonts w:ascii="Times New Roman" w:hAnsi="Times New Roman"/>
          <w:b/>
          <w:bCs/>
          <w:color w:val="000000"/>
          <w:sz w:val="32"/>
          <w:szCs w:val="32"/>
        </w:rPr>
        <w:outlineLvl w:val="2"/>
      </w:pPr>
      <w:r/>
      <w:bookmarkStart w:id="27" w:name="_Toc38985267"/>
      <w:r/>
      <w:bookmarkStart w:id="28" w:name="_Toc35393794"/>
      <w:r/>
      <w:bookmarkStart w:id="29" w:name="_Toc35393625"/>
      <w:r/>
      <w:bookmarkStart w:id="30" w:name="_Toc28359007"/>
      <w:r/>
      <w:bookmarkStart w:id="31" w:name="_Toc28359084"/>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96"/>
        <w:keepLines/>
        <w:keepNext/>
        <w:spacing w:before="156" w:after="156" w:line="400" w:lineRule="exact"/>
        <w:rPr>
          <w:rFonts w:ascii="Times New Roman" w:hAnsi="Times New Roman"/>
          <w:b/>
          <w:bCs/>
          <w:color w:val="000000"/>
          <w:sz w:val="32"/>
          <w:szCs w:val="32"/>
        </w:rPr>
        <w:outlineLvl w:val="2"/>
      </w:pPr>
      <w:r/>
      <w:bookmarkStart w:id="32" w:name="_Toc35393795"/>
      <w:r/>
      <w:bookmarkStart w:id="33" w:name="_Toc35393626"/>
      <w:r/>
      <w:bookmarkStart w:id="34" w:name="_Toc38985268"/>
      <w:r>
        <w:rPr>
          <w:rFonts w:hint="eastAsia" w:ascii="Times New Roman" w:hAnsi="Times New Roman"/>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6"/>
        <w:keepLines/>
        <w:keepNext/>
        <w:spacing w:before="156" w:after="156" w:line="400" w:lineRule="exact"/>
        <w:rPr>
          <w:rFonts w:ascii="Times New Roman" w:hAnsi="Times New Roman"/>
          <w:b/>
          <w:bCs/>
          <w:color w:val="000000"/>
          <w:sz w:val="32"/>
          <w:szCs w:val="32"/>
        </w:rPr>
        <w:outlineLvl w:val="2"/>
      </w:pPr>
      <w:r/>
      <w:bookmarkStart w:id="35" w:name="_Toc35393627"/>
      <w:r/>
      <w:bookmarkStart w:id="36" w:name="_Toc38985269"/>
      <w:r/>
      <w:bookmarkStart w:id="37" w:name="_Toc28359085"/>
      <w:r/>
      <w:bookmarkStart w:id="38" w:name="_Toc28359008"/>
      <w:r/>
      <w:bookmarkStart w:id="39" w:name="_Toc35393796"/>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bookmarkStart w:id="40" w:name="_Toc28359086"/>
      <w:r/>
      <w:bookmarkStart w:id="41" w:name="_Toc28359009"/>
      <w:r>
        <w:rPr>
          <w:rFonts w:hint="eastAsia" w:ascii="宋体" w:hAnsi="宋体"/>
          <w:color w:val="000000"/>
          <w:sz w:val="24"/>
          <w:szCs w:val="24"/>
        </w:rPr>
        <w:t xml:space="preserve">名 称：</w:t>
      </w:r>
      <w:r>
        <w:rPr>
          <w:rFonts w:hint="eastAsia" w:ascii="宋体" w:hAnsi="宋体"/>
          <w:color w:val="000000"/>
          <w:sz w:val="24"/>
          <w:szCs w:val="24"/>
          <w:u w:val="single"/>
        </w:rPr>
        <w:t xml:space="preserve">　高邮市卸甲镇人民政府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高邮市卸甲镇龙奔社区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陈超</w:t>
      </w:r>
      <w:r>
        <w:rPr>
          <w:rFonts w:hint="eastAsia" w:ascii="宋体" w:hAnsi="宋体"/>
          <w:color w:val="000000"/>
          <w:sz w:val="24"/>
          <w:szCs w:val="24"/>
          <w:u w:val="single"/>
        </w:rPr>
        <w:t xml:space="preserve">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17766008080　 </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扬州市公共资源交易中心高邮分中心</w:t>
      </w:r>
      <w:r>
        <w:rPr>
          <w:rFonts w:hint="eastAsia" w:ascii="宋体" w:hAnsi="宋体" w:cs="宋体"/>
          <w:color w:val="000000"/>
          <w:sz w:val="24"/>
          <w:szCs w:val="24"/>
        </w:rPr>
        <w:t xml:space="preserve">信息</w:t>
      </w:r>
      <w:bookmarkEnd w:id="40"/>
      <w:r/>
      <w:bookmarkEnd w:id="41"/>
      <w:r/>
      <w:r/>
    </w:p>
    <w:p>
      <w:pPr>
        <w:ind w:firstLine="480"/>
        <w:spacing w:line="400" w:lineRule="exact"/>
        <w:rPr>
          <w:rFonts w:ascii="宋体" w:hAnsi="宋体"/>
          <w:color w:val="000000"/>
          <w:sz w:val="24"/>
          <w:szCs w:val="24"/>
        </w:rPr>
      </w:pPr>
      <w:r/>
      <w:bookmarkStart w:id="42" w:name="_Toc28359087"/>
      <w:r/>
      <w:bookmarkStart w:id="43" w:name="_Toc28359010"/>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高邮市海潮东路997号</w:t>
      </w:r>
      <w:r>
        <w:rPr>
          <w:rFonts w:hint="eastAsia" w:ascii="宋体" w:hAnsi="宋体"/>
          <w:color w:val="000000"/>
          <w:sz w:val="24"/>
          <w:szCs w:val="24"/>
          <w:u w:val="single"/>
        </w:rPr>
        <w:t xml:space="preserve">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周宇   王琦 </w:t>
      </w:r>
      <w:r>
        <w:rPr>
          <w:rFonts w:hint="eastAsia" w:ascii="宋体" w:hAnsi="宋体"/>
          <w:color w:val="000000"/>
          <w:sz w:val="24"/>
          <w:szCs w:val="24"/>
          <w:u w:val="single"/>
        </w:rPr>
        <w:t xml:space="preserve">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0514-84651312</w:t>
      </w:r>
      <w:r>
        <w:rPr>
          <w:rFonts w:hint="eastAsia" w:ascii="宋体" w:hAnsi="宋体"/>
          <w:color w:val="000000"/>
          <w:sz w:val="24"/>
          <w:szCs w:val="24"/>
          <w:u w:val="single"/>
        </w:rPr>
        <w:t xml:space="preserve">　　</w:t>
      </w:r>
      <w:bookmarkEnd w:id="42"/>
      <w:r/>
      <w:bookmarkEnd w:id="43"/>
      <w:r/>
      <w:r/>
    </w:p>
    <w:p>
      <w:pPr>
        <w:ind w:firstLine="496"/>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20"/>
        <w:keepLines w:val="0"/>
        <w:keepNext w:val="0"/>
        <w:pageBreakBefore w:val="0"/>
        <w:spacing w:line="360" w:lineRule="auto"/>
        <w:widowControl w:val="off"/>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keepLines w:val="0"/>
        <w:keepNext w:val="0"/>
        <w:pageBreakBefore w:val="0"/>
        <w:spacing w:line="360" w:lineRule="auto"/>
        <w:widowControl w:val="off"/>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lang w:eastAsia="zh-CN"/>
        </w:rPr>
        <w:t xml:space="preserve">扬州市公共资源交易中心高邮分中心</w:t>
      </w:r>
      <w:r>
        <w:rPr>
          <w:rFonts w:hint="eastAsia" w:ascii="宋体" w:hAnsi="宋体"/>
          <w:bCs/>
          <w:sz w:val="24"/>
          <w:szCs w:val="24"/>
        </w:rPr>
        <w:t xml:space="preserve">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spacing w:line="400" w:lineRule="exact"/>
        <w:tabs>
          <w:tab w:val="left" w:pos="900" w:leader="none"/>
        </w:tabs>
        <w:rPr>
          <w:rFonts w:hint="eastAsia" w:ascii="宋体" w:hAnsi="宋体"/>
          <w:color w:val="000000"/>
          <w:sz w:val="24"/>
          <w:szCs w:val="24"/>
        </w:rPr>
      </w:pPr>
      <w:r>
        <w:rPr>
          <w:rFonts w:ascii="宋体" w:hAnsi="宋体"/>
          <w:color w:val="000000"/>
          <w:sz w:val="24"/>
          <w:szCs w:val="24"/>
        </w:rPr>
        <w:br w:type="page" w:clear="all"/>
      </w:r>
      <w:r/>
    </w:p>
    <w:p>
      <w:pPr>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6"/>
        <w:keepLines/>
        <w:keepNext/>
        <w:spacing w:before="156" w:after="156" w:line="400" w:lineRule="exact"/>
        <w:rPr>
          <w:rFonts w:hint="eastAsia" w:ascii="Times New Roman" w:hAnsi="Times New Roman"/>
          <w:b/>
          <w:bCs/>
          <w:color w:val="000000"/>
          <w:sz w:val="32"/>
          <w:szCs w:val="32"/>
        </w:rPr>
        <w:outlineLvl w:val="2"/>
      </w:pPr>
      <w:r/>
      <w:bookmarkStart w:id="49" w:name="_Toc16938519"/>
      <w:r/>
      <w:bookmarkStart w:id="50" w:name="_Toc513029203"/>
      <w:r/>
      <w:bookmarkStart w:id="51" w:name="_Toc20823275"/>
      <w:r/>
      <w:bookmarkStart w:id="52" w:name="_Toc120614214"/>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1.1本次招标采取公开招标方式，本招标文件仅适用于招标公告中所述项目。</w:t>
      </w:r>
      <w:r/>
    </w:p>
    <w:p>
      <w:pPr>
        <w:ind w:firstLine="420"/>
        <w:keepLines/>
        <w:keepNext/>
        <w:spacing w:line="400" w:lineRule="exact"/>
        <w:rPr>
          <w:rFonts w:hint="eastAsia" w:ascii="Arial" w:hAnsi="Arial" w:eastAsia="黑体" w:cs="Arial"/>
          <w:color w:val="000000"/>
          <w:sz w:val="28"/>
          <w:szCs w:val="28"/>
        </w:rPr>
        <w:outlineLvl w:val="3"/>
      </w:pPr>
      <w:r/>
      <w:bookmarkStart w:id="58" w:name="_Toc513029205"/>
      <w:r/>
      <w:bookmarkStart w:id="59" w:name="_Toc16938521"/>
      <w:r/>
      <w:bookmarkStart w:id="60" w:name="_Toc20823277"/>
      <w:r>
        <w:rPr>
          <w:rFonts w:hint="eastAsia" w:ascii="Arial" w:hAnsi="Arial" w:eastAsia="黑体" w:cs="Arial"/>
          <w:color w:val="000000"/>
          <w:sz w:val="28"/>
          <w:szCs w:val="28"/>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hint="eastAsia" w:ascii="黑体" w:hAnsi="黑体" w:eastAsia="黑体" w:cs="黑体"/>
          <w:color w:val="auto"/>
          <w:sz w:val="28"/>
          <w:szCs w:val="28"/>
          <w:highlight w:val="none"/>
        </w:rPr>
        <w:outlineLvl w:val="3"/>
      </w:pPr>
      <w:r>
        <w:rPr>
          <w:rFonts w:hint="eastAsia" w:ascii="黑体" w:hAnsi="黑体" w:eastAsia="黑体" w:cs="黑体"/>
          <w:color w:val="auto"/>
          <w:sz w:val="28"/>
          <w:szCs w:val="28"/>
          <w:highlight w:val="none"/>
        </w:rPr>
        <w:t xml:space="preserve">3、适用法律和标准</w:t>
      </w:r>
      <w:r/>
    </w:p>
    <w:p>
      <w:pPr>
        <w:ind w:firstLine="42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3.1本次招标及由此产生的合同受中华人民共和国有关的法律法规制约和保护</w:t>
      </w:r>
      <w:r>
        <w:rPr>
          <w:rFonts w:ascii="宋体" w:hAnsi="宋体"/>
          <w:color w:val="auto"/>
          <w:sz w:val="24"/>
          <w:szCs w:val="21"/>
          <w:highlight w:val="none"/>
        </w:rPr>
        <w:t xml:space="preserve">。</w:t>
      </w:r>
      <w:r/>
    </w:p>
    <w:p>
      <w:pPr>
        <w:ind w:firstLine="42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3.2 在本项目政府采购活动过程中，如果所执行的标准有更新的，按照最新标准执行。</w:t>
      </w:r>
      <w:r/>
    </w:p>
    <w:p>
      <w:pPr>
        <w:ind w:firstLine="420"/>
        <w:keepLines/>
        <w:keepNext/>
        <w:spacing w:line="400" w:lineRule="exact"/>
        <w:rPr>
          <w:rFonts w:hint="eastAsia" w:ascii="Arial" w:hAnsi="Arial" w:eastAsia="黑体" w:cs="Arial"/>
          <w:color w:val="000000"/>
          <w:sz w:val="28"/>
          <w:szCs w:val="28"/>
        </w:rPr>
        <w:outlineLvl w:val="3"/>
      </w:pPr>
      <w:r/>
      <w:bookmarkStart w:id="61" w:name="_Toc513029207"/>
      <w:r/>
      <w:bookmarkStart w:id="62" w:name="_Toc462564067"/>
      <w:r/>
      <w:bookmarkStart w:id="63" w:name="_Toc16938523"/>
      <w:r/>
      <w:bookmarkStart w:id="64" w:name="_Toc20823279"/>
      <w:r>
        <w:rPr>
          <w:rFonts w:hint="eastAsia" w:ascii="Arial" w:hAnsi="Arial" w:eastAsia="黑体" w:cs="Arial"/>
          <w:color w:val="000000"/>
          <w:sz w:val="28"/>
          <w:szCs w:val="28"/>
        </w:rPr>
        <w:t xml:space="preserve">4、投标费用</w:t>
      </w:r>
      <w:bookmarkEnd w:id="61"/>
      <w:r/>
      <w:bookmarkEnd w:id="62"/>
      <w:r/>
      <w:bookmarkEnd w:id="63"/>
      <w:r/>
      <w:bookmarkEnd w:id="64"/>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w:t>
      </w:r>
      <w:r>
        <w:rPr>
          <w:rFonts w:hint="eastAsia" w:ascii="宋体" w:hAnsi="宋体"/>
          <w:color w:val="000000"/>
          <w:sz w:val="24"/>
          <w:szCs w:val="21"/>
          <w:lang w:eastAsia="zh-CN"/>
        </w:rPr>
        <w:t xml:space="preserve">扬州市公共资源交易中心高邮分中心</w:t>
      </w:r>
      <w:r>
        <w:rPr>
          <w:rFonts w:hint="eastAsia" w:ascii="宋体" w:hAnsi="宋体"/>
          <w:color w:val="000000"/>
          <w:sz w:val="24"/>
          <w:szCs w:val="21"/>
        </w:rPr>
        <w:t xml:space="preserve">（以下简称交易中心）在任何情况下均无义务和责任承担这些费用。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4.2本次招标交易中心和采购人不收取标书工本费与中标服务费。</w:t>
      </w:r>
      <w:r/>
    </w:p>
    <w:p>
      <w:pPr>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0"/>
        <w:keepLines/>
        <w:keepNext/>
        <w:spacing w:before="156" w:after="156" w:line="400" w:lineRule="exact"/>
        <w:rPr>
          <w:rFonts w:hint="eastAsia" w:ascii="Times New Roman" w:hAnsi="Times New Roman"/>
          <w:b/>
          <w:bCs/>
          <w:color w:val="000000"/>
          <w:sz w:val="32"/>
          <w:szCs w:val="32"/>
        </w:rPr>
        <w:outlineLvl w:val="2"/>
      </w:pPr>
      <w:r/>
      <w:bookmarkStart w:id="65" w:name="_Toc20823281"/>
      <w:r/>
      <w:bookmarkStart w:id="66" w:name="_Toc120614215"/>
      <w:r/>
      <w:bookmarkStart w:id="67" w:name="_Toc16938525"/>
      <w:r/>
      <w:bookmarkStart w:id="68" w:name="_Toc513029209"/>
      <w:r>
        <w:rPr>
          <w:rFonts w:hint="eastAsia" w:ascii="Times New Roman" w:hAnsi="Times New Roman"/>
          <w:b/>
          <w:bCs/>
          <w:color w:val="000000"/>
          <w:sz w:val="32"/>
          <w:szCs w:val="32"/>
        </w:rPr>
        <w:t xml:space="preserve">二、招标文件</w:t>
      </w:r>
      <w:bookmarkEnd w:id="65"/>
      <w:r/>
      <w:bookmarkEnd w:id="66"/>
      <w:r/>
      <w:bookmarkEnd w:id="67"/>
      <w:r/>
      <w:bookmarkEnd w:id="68"/>
      <w:r/>
      <w:r/>
    </w:p>
    <w:p>
      <w:pPr>
        <w:ind w:firstLine="420"/>
        <w:keepLines/>
        <w:keepNext/>
        <w:spacing w:line="400" w:lineRule="exact"/>
        <w:rPr>
          <w:rFonts w:hint="eastAsia" w:ascii="Arial" w:hAnsi="Arial" w:eastAsia="黑体" w:cs="Arial"/>
          <w:color w:val="000000"/>
          <w:sz w:val="28"/>
          <w:szCs w:val="28"/>
        </w:rPr>
        <w:outlineLvl w:val="3"/>
      </w:pPr>
      <w:r/>
      <w:bookmarkStart w:id="69" w:name="_Toc513029210"/>
      <w:r/>
      <w:bookmarkStart w:id="70" w:name="_Toc16938526"/>
      <w:r/>
      <w:bookmarkStart w:id="71" w:name="_Toc20823282"/>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w:t>
      </w:r>
      <w:r>
        <w:rPr>
          <w:rFonts w:hint="eastAsia" w:ascii="Arial" w:hAnsi="Arial" w:eastAsia="黑体" w:cs="Arial"/>
          <w:color w:val="000000"/>
          <w:sz w:val="28"/>
          <w:szCs w:val="28"/>
        </w:rPr>
        <w:t xml:space="preserve">招标文件构成</w:t>
      </w:r>
      <w:bookmarkEnd w:id="69"/>
      <w:r/>
      <w:bookmarkEnd w:id="70"/>
      <w:r/>
      <w:bookmarkEnd w:id="71"/>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请仔细检查招标文件是否齐全，如有缺漏请立即与交易中心联系解决。</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Arial" w:hAnsi="Arial" w:eastAsia="黑体" w:cs="Arial"/>
          <w:color w:val="000000"/>
          <w:sz w:val="28"/>
          <w:szCs w:val="28"/>
        </w:rPr>
        <w:outlineLvl w:val="3"/>
      </w:pPr>
      <w:r/>
      <w:bookmarkStart w:id="72" w:name="_Toc462564071"/>
      <w:r/>
      <w:bookmarkStart w:id="73" w:name="_Toc16938528"/>
      <w:r/>
      <w:bookmarkStart w:id="74" w:name="_Toc20823284"/>
      <w:r/>
      <w:bookmarkStart w:id="75"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2"/>
      <w:r/>
      <w:bookmarkEnd w:id="73"/>
      <w:r/>
      <w:bookmarkEnd w:id="74"/>
      <w:r/>
      <w:bookmarkEnd w:id="75"/>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76" w:name="_Toc120614216"/>
      <w:r/>
      <w:bookmarkStart w:id="77" w:name="_Toc20823285"/>
      <w:r/>
      <w:bookmarkStart w:id="78" w:name="_Toc513029213"/>
      <w:r/>
      <w:bookmarkStart w:id="79" w:name="_Toc462564072"/>
      <w:r/>
      <w:bookmarkStart w:id="80" w:name="_Toc16938529"/>
      <w:r>
        <w:rPr>
          <w:rFonts w:hint="eastAsia" w:ascii="Times New Roman" w:hAnsi="Times New Roman"/>
          <w:b/>
          <w:bCs/>
          <w:color w:val="000000"/>
          <w:sz w:val="32"/>
          <w:szCs w:val="32"/>
        </w:rPr>
        <w:t xml:space="preserve">三、投标文件的编制</w:t>
      </w:r>
      <w:bookmarkEnd w:id="76"/>
      <w:r/>
      <w:bookmarkEnd w:id="77"/>
      <w:r/>
      <w:bookmarkEnd w:id="78"/>
      <w:r/>
      <w:bookmarkEnd w:id="79"/>
      <w:r/>
      <w:bookmarkEnd w:id="80"/>
      <w:r/>
      <w:r/>
    </w:p>
    <w:p>
      <w:pPr>
        <w:ind w:firstLine="560"/>
        <w:keepLines/>
        <w:keepNext/>
        <w:spacing w:line="400" w:lineRule="exact"/>
        <w:rPr>
          <w:rFonts w:hint="eastAsia" w:ascii="Arial" w:hAnsi="Arial" w:eastAsia="黑体" w:cs="Arial"/>
          <w:b/>
          <w:color w:val="000000"/>
          <w:sz w:val="28"/>
          <w:szCs w:val="28"/>
        </w:rPr>
        <w:outlineLvl w:val="3"/>
      </w:pPr>
      <w:r/>
      <w:bookmarkStart w:id="81" w:name="_Toc462564073"/>
      <w:r/>
      <w:bookmarkStart w:id="82" w:name="_Toc16938530"/>
      <w:r/>
      <w:bookmarkStart w:id="83" w:name="_Toc513029214"/>
      <w:r/>
      <w:bookmarkStart w:id="84"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1"/>
      <w:r/>
      <w:bookmarkEnd w:id="82"/>
      <w:r/>
      <w:bookmarkEnd w:id="83"/>
      <w:r/>
      <w:bookmarkEnd w:id="84"/>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hint="eastAsia" w:ascii="Arial" w:hAnsi="Arial" w:eastAsia="黑体" w:cs="Arial"/>
          <w:color w:val="000000"/>
          <w:sz w:val="28"/>
          <w:szCs w:val="28"/>
        </w:rPr>
        <w:outlineLvl w:val="3"/>
      </w:pPr>
      <w:r/>
      <w:bookmarkStart w:id="85" w:name="_Toc20823287"/>
      <w:r/>
      <w:bookmarkStart w:id="86" w:name="_Toc16938531"/>
      <w:r/>
      <w:bookmarkStart w:id="87" w:name="_Toc513029215"/>
      <w:r/>
      <w:bookmarkStart w:id="88"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5"/>
      <w:r/>
      <w:bookmarkEnd w:id="86"/>
      <w:r/>
      <w:bookmarkEnd w:id="87"/>
      <w:r/>
      <w:bookmarkEnd w:id="88"/>
      <w:r/>
      <w:r/>
    </w:p>
    <w:p>
      <w:pPr>
        <w:pStyle w:val="1083"/>
        <w:ind w:left="0" w:right="0" w:firstLine="480"/>
        <w:jc w:val="both"/>
        <w:keepLines w:val="0"/>
        <w:keepNext w:val="0"/>
        <w:spacing w:before="0" w:beforeAutospacing="0" w:after="0" w:afterAutospacing="0"/>
        <w:widowControl w:val="off"/>
        <w:rPr>
          <w:rFonts w:hint="eastAsia" w:ascii="宋体" w:hAnsi="宋体"/>
          <w:b w:val="0"/>
          <w:bCs w:val="0"/>
          <w:color w:val="auto"/>
          <w:sz w:val="24"/>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投标人编写的投标文件应</w:t>
      </w:r>
      <w:r>
        <w:rPr>
          <w:rFonts w:hint="eastAsia" w:ascii="宋体" w:hAnsi="宋体"/>
          <w:color w:val="auto"/>
          <w:sz w:val="24"/>
          <w:szCs w:val="21"/>
        </w:rPr>
        <w:t xml:space="preserve">包</w:t>
      </w:r>
      <w:r>
        <w:rPr>
          <w:rFonts w:hint="eastAsia" w:ascii="宋体" w:hAnsi="宋体"/>
          <w:b w:val="0"/>
          <w:bCs w:val="0"/>
          <w:color w:val="auto"/>
          <w:sz w:val="24"/>
          <w:szCs w:val="21"/>
          <w:highlight w:val="none"/>
        </w:rPr>
        <w:t xml:space="preserve">括</w:t>
      </w:r>
      <w:r>
        <w:rPr>
          <w:rFonts w:hint="eastAsia" w:ascii="宋体" w:hAnsi="宋体"/>
          <w:b w:val="0"/>
          <w:bCs w:val="0"/>
          <w:color w:val="auto"/>
          <w:sz w:val="24"/>
          <w:szCs w:val="21"/>
          <w:highlight w:val="none"/>
          <w:lang w:val="en-US" w:eastAsia="zh-CN"/>
        </w:rPr>
        <w:t xml:space="preserve">基本目录</w:t>
      </w:r>
      <w:r>
        <w:rPr>
          <w:rFonts w:hint="eastAsia" w:ascii="宋体" w:hAnsi="宋体"/>
          <w:b w:val="0"/>
          <w:bCs w:val="0"/>
          <w:color w:val="auto"/>
          <w:sz w:val="24"/>
          <w:szCs w:val="21"/>
          <w:highlight w:val="none"/>
        </w:rPr>
        <w:t xml:space="preserve">、</w:t>
      </w:r>
      <w:r>
        <w:rPr>
          <w:rFonts w:hint="eastAsia" w:ascii="宋体" w:hAnsi="宋体"/>
          <w:b w:val="0"/>
          <w:bCs w:val="0"/>
          <w:color w:val="auto"/>
          <w:sz w:val="24"/>
          <w:szCs w:val="24"/>
          <w:highlight w:val="none"/>
          <w:lang w:val="en-US" w:eastAsia="zh-CN"/>
        </w:rPr>
        <w:t xml:space="preserve">资格审查内容、符合性审查内容、</w:t>
      </w:r>
      <w:r>
        <w:rPr>
          <w:rFonts w:hint="eastAsia" w:ascii="宋体" w:hAnsi="宋体"/>
          <w:sz w:val="24"/>
          <w:szCs w:val="21"/>
          <w:lang w:val="en-US" w:eastAsia="zh-CN"/>
        </w:rPr>
        <w:t xml:space="preserve">价格扣除证明文件</w:t>
      </w:r>
      <w:r>
        <w:rPr>
          <w:rFonts w:hint="eastAsia" w:ascii="宋体" w:hAnsi="宋体"/>
          <w:b w:val="0"/>
          <w:bCs w:val="0"/>
          <w:color w:val="auto"/>
          <w:sz w:val="24"/>
          <w:szCs w:val="21"/>
          <w:highlight w:val="none"/>
        </w:rPr>
        <w:t xml:space="preserve">等部分。</w:t>
      </w:r>
      <w:r/>
    </w:p>
    <w:p>
      <w:pPr>
        <w:ind w:firstLine="480"/>
        <w:spacing w:line="400" w:lineRule="exact"/>
        <w:rPr>
          <w:rFonts w:hint="eastAsia"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hint="eastAsia" w:ascii="Arial" w:hAnsi="Arial" w:eastAsia="黑体" w:cs="Arial"/>
          <w:color w:val="000000"/>
          <w:sz w:val="28"/>
          <w:szCs w:val="28"/>
        </w:rPr>
        <w:outlineLvl w:val="3"/>
      </w:pPr>
      <w:r/>
      <w:bookmarkStart w:id="89" w:name="_Hlt26670360"/>
      <w:r/>
      <w:bookmarkEnd w:id="89"/>
      <w:r/>
      <w:bookmarkStart w:id="90" w:name="_Hlt26954838"/>
      <w:r/>
      <w:bookmarkEnd w:id="90"/>
      <w:r/>
      <w:bookmarkStart w:id="91" w:name="_Hlt26668975"/>
      <w:r/>
      <w:bookmarkEnd w:id="91"/>
      <w:r/>
      <w:bookmarkStart w:id="92" w:name="_Toc513029219"/>
      <w:r/>
      <w:bookmarkStart w:id="93" w:name="_Toc14577357"/>
      <w:r/>
      <w:bookmarkStart w:id="94" w:name="_Toc49090509"/>
      <w:r/>
      <w:bookmarkStart w:id="95" w:name="_Toc14577354"/>
      <w:r/>
      <w:bookmarkStart w:id="96" w:name="_Toc513029216"/>
      <w:r/>
      <w:bookmarkStart w:id="97" w:name="_Toc49090507"/>
      <w:r/>
      <w:bookmarkStart w:id="98" w:name="_Toc49090508"/>
      <w:r/>
      <w:bookmarkStart w:id="99"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2"/>
      <w:r/>
      <w:bookmarkEnd w:id="93"/>
      <w:r/>
      <w:bookmarkEnd w:id="94"/>
      <w:r/>
      <w:bookmarkEnd w:id="95"/>
      <w:r/>
      <w:bookmarkEnd w:id="96"/>
      <w:r/>
      <w:bookmarkEnd w:id="97"/>
      <w:r/>
      <w:r/>
    </w:p>
    <w:p>
      <w:pPr>
        <w:spacing w:line="400" w:lineRule="exact"/>
        <w:rPr>
          <w:rFonts w:hint="eastAsia"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98"/>
      <w:r/>
      <w:bookmarkEnd w:id="99"/>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100" w:name="_Hlt26954840"/>
      <w:r/>
      <w:bookmarkEnd w:id="100"/>
      <w:r>
        <w:rPr>
          <w:rFonts w:hint="eastAsia" w:ascii="宋体" w:hAnsi="宋体"/>
          <w:sz w:val="24"/>
          <w:szCs w:val="21"/>
        </w:rPr>
        <w:t xml:space="preserve">标人按照招标文件规定格式填报投标分项报价表</w:t>
      </w:r>
      <w:bookmarkStart w:id="101" w:name="_Hlt26670399"/>
      <w:r/>
      <w:bookmarkEnd w:id="101"/>
      <w:r>
        <w:rPr>
          <w:rFonts w:hint="eastAsia" w:ascii="宋体" w:hAnsi="宋体"/>
          <w:sz w:val="24"/>
          <w:szCs w:val="21"/>
        </w:rPr>
        <w:t xml:space="preserve">。</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hint="eastAsia" w:ascii="Arial" w:hAnsi="Arial" w:eastAsia="黑体" w:cs="Arial"/>
          <w:sz w:val="28"/>
          <w:szCs w:val="28"/>
        </w:rPr>
        <w:outlineLvl w:val="3"/>
      </w:pPr>
      <w:r/>
      <w:bookmarkStart w:id="102" w:name="_Hlt26954731"/>
      <w:r/>
      <w:bookmarkEnd w:id="102"/>
      <w:r/>
      <w:bookmarkStart w:id="103" w:name="_Hlt26670482"/>
      <w:r/>
      <w:bookmarkEnd w:id="103"/>
      <w:r/>
      <w:bookmarkStart w:id="104" w:name="_Hlt26954846"/>
      <w:r/>
      <w:bookmarkEnd w:id="104"/>
      <w:r/>
      <w:bookmarkStart w:id="105" w:name="_Hlt26670486"/>
      <w:r/>
      <w:bookmarkEnd w:id="105"/>
      <w:r/>
      <w:bookmarkStart w:id="106" w:name="_Hlt26954848"/>
      <w:r/>
      <w:bookmarkEnd w:id="106"/>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.2投标人需按照招标文件要求，在投标文件中提供与技术要求和商务要求相关的证明材料。</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.2投标人需根据招标文件要求提供培训计划。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hint="eastAsia" w:ascii="Arial" w:hAnsi="Arial" w:eastAsia="黑体" w:cs="Arial"/>
          <w:color w:val="000000"/>
          <w:sz w:val="28"/>
          <w:szCs w:val="28"/>
        </w:rPr>
        <w:outlineLvl w:val="3"/>
      </w:pPr>
      <w:r/>
      <w:bookmarkStart w:id="107" w:name="_Toc49090510"/>
      <w:r/>
      <w:bookmarkStart w:id="108"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.2对于采用货币报价的项目，开标一览表中的投标总报价应与投标分项报价表中的投标总报价一致，如不一致，不作为无效投标处理，但评标时按开标一览表中价格为准。</w:t>
      </w:r>
      <w:bookmarkEnd w:id="107"/>
      <w:r/>
      <w:bookmarkEnd w:id="108"/>
      <w:r/>
      <w:r/>
    </w:p>
    <w:p>
      <w:pPr>
        <w:ind w:firstLine="420"/>
        <w:keepLines/>
        <w:keepNext/>
        <w:spacing w:line="400" w:lineRule="exact"/>
        <w:rPr>
          <w:rFonts w:hint="eastAsia" w:ascii="Arial" w:hAnsi="Arial" w:eastAsia="黑体" w:cs="Arial"/>
          <w:color w:val="000000"/>
          <w:sz w:val="28"/>
          <w:szCs w:val="28"/>
        </w:rPr>
        <w:outlineLvl w:val="3"/>
      </w:pPr>
      <w:r/>
      <w:bookmarkStart w:id="109" w:name="_Toc14577360"/>
      <w:r/>
      <w:bookmarkStart w:id="110"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09"/>
      <w:r/>
      <w:bookmarkEnd w:id="110"/>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hint="eastAsia" w:ascii="Times New Roman" w:hAnsi="Times New Roman"/>
          <w:b/>
          <w:bCs/>
          <w:color w:val="000000"/>
          <w:sz w:val="32"/>
          <w:szCs w:val="32"/>
        </w:rPr>
        <w:outlineLvl w:val="2"/>
      </w:pPr>
      <w:r/>
      <w:bookmarkStart w:id="111" w:name="_Hlt26954852"/>
      <w:r/>
      <w:bookmarkEnd w:id="111"/>
      <w:r/>
      <w:bookmarkStart w:id="112" w:name="_Hlt26954739"/>
      <w:r/>
      <w:bookmarkEnd w:id="112"/>
      <w:r/>
      <w:bookmarkStart w:id="113" w:name="_Toc16938540"/>
      <w:r/>
      <w:bookmarkStart w:id="114" w:name="_Toc120614217"/>
      <w:r/>
      <w:bookmarkStart w:id="115" w:name="_Toc513029224"/>
      <w:r/>
      <w:bookmarkStart w:id="116" w:name="_Toc20823296"/>
      <w:r>
        <w:rPr>
          <w:rFonts w:hint="eastAsia" w:ascii="Times New Roman" w:hAnsi="Times New Roman"/>
          <w:b/>
          <w:bCs/>
          <w:color w:val="000000"/>
          <w:sz w:val="32"/>
          <w:szCs w:val="32"/>
        </w:rPr>
        <w:t xml:space="preserve">四、投标文件的递交</w:t>
      </w:r>
      <w:bookmarkEnd w:id="113"/>
      <w:r/>
      <w:bookmarkEnd w:id="114"/>
      <w:r/>
      <w:bookmarkEnd w:id="115"/>
      <w:r/>
      <w:bookmarkEnd w:id="116"/>
      <w:r/>
      <w:r/>
    </w:p>
    <w:p>
      <w:pPr>
        <w:ind w:firstLine="420"/>
        <w:keepLines/>
        <w:keepNext/>
        <w:spacing w:line="400" w:lineRule="exact"/>
        <w:rPr>
          <w:rFonts w:hint="eastAsia" w:ascii="黑体" w:hAnsi="Arial" w:eastAsia="黑体" w:cs="Arial"/>
          <w:color w:val="000000"/>
          <w:sz w:val="28"/>
          <w:szCs w:val="28"/>
        </w:rPr>
        <w:outlineLvl w:val="3"/>
      </w:pPr>
      <w:r/>
      <w:bookmarkStart w:id="117" w:name="_Toc20823297"/>
      <w:r/>
      <w:bookmarkStart w:id="118" w:name="_Toc513029225"/>
      <w:r/>
      <w:bookmarkStart w:id="119" w:name="_Toc16938541"/>
      <w:r/>
      <w:bookmarkStart w:id="120"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7"/>
      <w:r/>
      <w:bookmarkEnd w:id="118"/>
      <w:r/>
      <w:bookmarkEnd w:id="119"/>
      <w:r/>
      <w:bookmarkEnd w:id="120"/>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1" w:name="_Toc16938542"/>
      <w:r/>
      <w:bookmarkStart w:id="122" w:name="_Toc20823298"/>
      <w:r/>
      <w:bookmarkStart w:id="123" w:name="_Toc513029226"/>
      <w:r/>
      <w:r/>
    </w:p>
    <w:p>
      <w:pPr>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21"/>
      <w:r/>
      <w:bookmarkEnd w:id="122"/>
      <w:r/>
      <w:bookmarkEnd w:id="123"/>
      <w:r>
        <w:rPr>
          <w:rFonts w:hint="eastAsia" w:ascii="Arial" w:hAnsi="Arial" w:eastAsia="黑体" w:cs="Arial"/>
          <w:bCs/>
          <w:color w:val="000000"/>
          <w:sz w:val="28"/>
          <w:szCs w:val="28"/>
        </w:rPr>
        <w:t xml:space="preserve">时间</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投标人的所有权利和义务以及投标人受制的截止日期均应以延长后新的截止日期为准。</w:t>
      </w:r>
      <w:r/>
    </w:p>
    <w:p>
      <w:pPr>
        <w:ind w:firstLine="420"/>
        <w:keepLines/>
        <w:keepNext/>
        <w:spacing w:line="400" w:lineRule="exact"/>
        <w:rPr>
          <w:rFonts w:hint="eastAsia" w:ascii="Arial" w:hAnsi="Arial" w:eastAsia="黑体" w:cs="Arial"/>
          <w:color w:val="000000"/>
          <w:sz w:val="28"/>
          <w:szCs w:val="28"/>
        </w:rPr>
        <w:outlineLvl w:val="3"/>
      </w:pPr>
      <w:r/>
      <w:bookmarkStart w:id="124" w:name="_Toc513029227"/>
      <w:r/>
      <w:bookmarkStart w:id="125" w:name="_Toc16938543"/>
      <w:r/>
      <w:bookmarkStart w:id="126"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4"/>
      <w:r/>
      <w:bookmarkEnd w:id="125"/>
      <w:r/>
      <w:bookmarkEnd w:id="126"/>
      <w:r>
        <w:rPr>
          <w:rFonts w:hint="eastAsia" w:ascii="Arial" w:hAnsi="Arial" w:eastAsia="黑体" w:cs="Arial"/>
          <w:color w:val="000000"/>
          <w:sz w:val="28"/>
          <w:szCs w:val="28"/>
        </w:rPr>
        <w:t xml:space="preserve">的拒收</w:t>
      </w:r>
      <w:r/>
    </w:p>
    <w:p>
      <w:pPr>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.1交易中心拒绝接收在其规定的投标截止时间后上传的任何投标文件。</w:t>
      </w:r>
      <w:r/>
    </w:p>
    <w:p>
      <w:pPr>
        <w:ind w:firstLine="420"/>
        <w:keepLines/>
        <w:keepNext/>
        <w:spacing w:line="400" w:lineRule="exact"/>
        <w:rPr>
          <w:rFonts w:hint="eastAsia" w:ascii="Arial" w:hAnsi="Arial" w:eastAsia="黑体" w:cs="Arial"/>
          <w:color w:val="000000"/>
          <w:sz w:val="28"/>
          <w:szCs w:val="28"/>
        </w:rPr>
        <w:outlineLvl w:val="3"/>
      </w:pPr>
      <w:r/>
      <w:bookmarkStart w:id="127" w:name="_Toc16938544"/>
      <w:r/>
      <w:bookmarkStart w:id="128" w:name="_Toc513029228"/>
      <w:r/>
      <w:bookmarkStart w:id="129"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7"/>
      <w:r/>
      <w:bookmarkEnd w:id="128"/>
      <w:r/>
      <w:bookmarkEnd w:id="129"/>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.1.1电子投标文件的撤回</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.2投标文件的修改</w:t>
      </w:r>
      <w:r/>
    </w:p>
    <w:p>
      <w:pPr>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30" w:name="_Toc20823301"/>
      <w:r/>
      <w:bookmarkStart w:id="131" w:name="_Toc16938545"/>
      <w:r/>
      <w:bookmarkStart w:id="132" w:name="_Toc120614218"/>
      <w:r/>
      <w:bookmarkStart w:id="133" w:name="_Toc513029229"/>
      <w:r>
        <w:rPr>
          <w:rFonts w:hint="eastAsia" w:ascii="Times New Roman" w:hAnsi="Times New Roman"/>
          <w:b/>
          <w:bCs/>
          <w:color w:val="000000"/>
          <w:sz w:val="32"/>
          <w:szCs w:val="32"/>
        </w:rPr>
        <w:t xml:space="preserve">五、开标与评标</w:t>
      </w:r>
      <w:bookmarkEnd w:id="130"/>
      <w:r/>
      <w:bookmarkEnd w:id="131"/>
      <w:r/>
      <w:bookmarkEnd w:id="132"/>
      <w:r/>
      <w:bookmarkEnd w:id="133"/>
      <w:r/>
      <w:r/>
    </w:p>
    <w:p>
      <w:pPr>
        <w:ind w:firstLine="420"/>
        <w:keepLines/>
        <w:keepNext/>
        <w:spacing w:line="400" w:lineRule="exact"/>
        <w:rPr>
          <w:rFonts w:hint="eastAsia" w:ascii="Arial" w:hAnsi="Arial" w:eastAsia="黑体" w:cs="Arial"/>
          <w:color w:val="000000"/>
          <w:sz w:val="28"/>
          <w:szCs w:val="28"/>
        </w:rPr>
        <w:outlineLvl w:val="3"/>
      </w:pPr>
      <w:r/>
      <w:bookmarkStart w:id="134" w:name="_Toc16938546"/>
      <w:r/>
      <w:bookmarkStart w:id="135" w:name="_Toc513029230"/>
      <w:r/>
      <w:bookmarkStart w:id="136"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4"/>
      <w:r/>
      <w:bookmarkEnd w:id="135"/>
      <w:r/>
      <w:bookmarkEnd w:id="136"/>
      <w:r/>
      <w:r/>
    </w:p>
    <w:p>
      <w:pPr>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w:t>
      </w:r>
      <w:r>
        <w:rPr>
          <w:rFonts w:hint="eastAsia" w:ascii="宋体" w:hAnsi="宋体"/>
          <w:sz w:val="24"/>
          <w:szCs w:val="24"/>
          <w:lang w:val="en-US" w:eastAsia="zh-CN"/>
        </w:rPr>
        <w:t xml:space="preserve">展示</w:t>
      </w:r>
      <w:r>
        <w:rPr>
          <w:rFonts w:hint="eastAsia" w:ascii="宋体" w:hAnsi="宋体"/>
          <w:sz w:val="24"/>
          <w:szCs w:val="24"/>
        </w:rPr>
        <w:t xml:space="preserve">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Arial" w:hAnsi="Arial" w:eastAsia="黑体" w:cs="Arial"/>
          <w:sz w:val="28"/>
          <w:szCs w:val="28"/>
        </w:rPr>
        <w:outlineLvl w:val="3"/>
      </w:pPr>
      <w:r/>
      <w:bookmarkStart w:id="137" w:name="_Toc513029231"/>
      <w:r/>
      <w:bookmarkStart w:id="138" w:name="_Toc16938547"/>
      <w:r/>
      <w:bookmarkStart w:id="139"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.3评委会独立工作，负责评审所有投标文件并确定中标候选人。</w:t>
      </w:r>
      <w:r/>
    </w:p>
    <w:p>
      <w:pPr>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7"/>
      <w:r/>
      <w:bookmarkEnd w:id="138"/>
      <w:r/>
      <w:bookmarkEnd w:id="139"/>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w:t>
      </w:r>
      <w:r>
        <w:rPr>
          <w:rFonts w:hint="eastAsia" w:ascii="宋体" w:hAnsi="宋体"/>
          <w:color w:val="000000"/>
          <w:sz w:val="24"/>
          <w:szCs w:val="24"/>
          <w:lang w:eastAsia="zh-CN"/>
        </w:rPr>
        <w:t xml:space="preserve">评委会</w:t>
      </w:r>
      <w:r>
        <w:rPr>
          <w:rFonts w:hint="eastAsia" w:ascii="宋体" w:hAnsi="宋体"/>
          <w:color w:val="000000"/>
          <w:sz w:val="24"/>
          <w:szCs w:val="24"/>
        </w:rPr>
        <w:t xml:space="preserve">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Arial" w:hAnsi="Arial" w:eastAsia="黑体" w:cs="Arial"/>
          <w:color w:val="000000"/>
          <w:sz w:val="28"/>
          <w:szCs w:val="28"/>
        </w:rPr>
        <w:outlineLvl w:val="3"/>
      </w:pPr>
      <w:r/>
      <w:bookmarkStart w:id="140" w:name="_Toc513029232"/>
      <w:r/>
      <w:bookmarkStart w:id="141" w:name="_Toc16938548"/>
      <w:r/>
      <w:bookmarkStart w:id="142"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0"/>
      <w:r/>
      <w:bookmarkEnd w:id="141"/>
      <w:r/>
      <w:bookmarkEnd w:id="142"/>
      <w:r/>
      <w:r/>
    </w:p>
    <w:p>
      <w:pPr>
        <w:ind w:firstLine="480"/>
        <w:spacing w:line="400" w:lineRule="exact"/>
        <w:rPr>
          <w:rFonts w:ascii="宋体" w:hAnsi="宋体"/>
          <w:color w:val="000000"/>
          <w:sz w:val="24"/>
          <w:szCs w:val="24"/>
        </w:rPr>
      </w:pPr>
      <w:r/>
      <w:bookmarkStart w:id="143" w:name="_Toc513029233"/>
      <w:r/>
      <w:bookmarkStart w:id="144" w:name="_Toc20823305"/>
      <w:r/>
      <w:bookmarkStart w:id="145"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bookmarkEnd w:id="143"/>
      <w:r/>
      <w:bookmarkEnd w:id="144"/>
      <w:r/>
      <w:bookmarkEnd w:id="145"/>
      <w:r/>
      <w:r/>
    </w:p>
    <w:p>
      <w:pPr>
        <w:ind w:firstLine="420"/>
        <w:keepLines/>
        <w:keepNext/>
        <w:spacing w:line="400" w:lineRule="exact"/>
        <w:rPr>
          <w:rFonts w:hint="eastAsia" w:ascii="Arial" w:hAnsi="Arial" w:eastAsia="黑体" w:cs="Arial"/>
          <w:color w:val="000000"/>
          <w:sz w:val="28"/>
          <w:szCs w:val="28"/>
        </w:rPr>
        <w:outlineLvl w:val="3"/>
      </w:pPr>
      <w:r/>
      <w:bookmarkStart w:id="146" w:name="_Toc16938558"/>
      <w:r/>
      <w:bookmarkStart w:id="147" w:name="_Toc20823314"/>
      <w:r/>
      <w:bookmarkStart w:id="148" w:name="_Toc513029242"/>
      <w:r/>
      <w:bookmarkStart w:id="149" w:name="_Toc479757207"/>
      <w:r/>
      <w:bookmarkStart w:id="150" w:name="_Toc120614221"/>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lang w:val="en-US" w:eastAsia="zh-CN"/>
        </w:rPr>
        <w:t xml:space="preserve">信</w:t>
      </w:r>
      <w:r>
        <w:rPr>
          <w:rFonts w:hint="eastAsia" w:ascii="宋体" w:hAnsi="宋体"/>
          <w:bCs/>
          <w:color w:val="000000"/>
          <w:sz w:val="24"/>
          <w:szCs w:val="21"/>
        </w:rPr>
        <w:t xml:space="preserve">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w:t>
      </w:r>
      <w:r>
        <w:rPr>
          <w:rFonts w:hint="eastAsia" w:ascii="宋体" w:hAnsi="宋体"/>
          <w:bCs/>
          <w:color w:val="000000"/>
          <w:sz w:val="24"/>
          <w:szCs w:val="21"/>
          <w:lang w:val="en-US" w:eastAsia="zh-CN"/>
        </w:rPr>
        <w:t xml:space="preserve">会</w:t>
      </w:r>
      <w:r>
        <w:rPr>
          <w:rFonts w:hint="eastAsia" w:ascii="宋体" w:hAnsi="宋体"/>
          <w:bCs/>
          <w:color w:val="000000"/>
          <w:sz w:val="24"/>
          <w:szCs w:val="21"/>
        </w:rPr>
        <w:t xml:space="preserve">决定投标文件的响应性只根据投标文件本身的内容，而不寻求外部的证据。</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51" w:name="_Toc16938550"/>
      <w:r/>
      <w:bookmarkStart w:id="152" w:name="_Toc20823306"/>
      <w:r/>
      <w:bookmarkStart w:id="153"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lang w:eastAsia="zh-CN"/>
        </w:rPr>
        <w:t xml:space="preserve">评委会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并安排专人与交易中心及评委会联系。</w:t>
      </w:r>
      <w:r/>
    </w:p>
    <w:p>
      <w:pPr>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1"/>
      <w:r/>
      <w:bookmarkEnd w:id="152"/>
      <w:r/>
      <w:bookmarkEnd w:id="153"/>
      <w:r>
        <w:rPr>
          <w:rFonts w:hint="eastAsia" w:ascii="Arial" w:hAnsi="Arial" w:eastAsia="黑体" w:cs="Arial"/>
          <w:sz w:val="28"/>
          <w:szCs w:val="28"/>
        </w:rPr>
        <w:t xml:space="preserve">无效投标条款和废标条款</w:t>
      </w:r>
      <w:r/>
    </w:p>
    <w:p>
      <w:pPr>
        <w:ind w:left="478"/>
        <w:spacing w:line="400" w:lineRule="exact"/>
        <w:rPr>
          <w:rFonts w:hint="eastAsia" w:ascii="宋体" w:hAnsi="宋体"/>
          <w:bCs/>
          <w:sz w:val="24"/>
          <w:szCs w:val="21"/>
        </w:rPr>
      </w:pPr>
      <w:r/>
      <w:bookmarkStart w:id="154" w:name="_Toc20823307"/>
      <w:r/>
      <w:bookmarkStart w:id="155" w:name="_Toc513029235"/>
      <w:r/>
      <w:bookmarkStart w:id="156"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hint="eastAsia" w:ascii="宋体" w:hAnsi="宋体"/>
          <w:bCs/>
          <w:color w:val="000000"/>
          <w:sz w:val="24"/>
          <w:szCs w:val="21"/>
          <w:lang w:val="en-US" w:eastAsia="zh-CN"/>
        </w:rPr>
        <w:t xml:space="preserve">9</w:t>
      </w:r>
      <w:r>
        <w:rPr>
          <w:rFonts w:hint="eastAsia" w:ascii="宋体" w:hAnsi="宋体"/>
          <w:bCs/>
          <w:color w:val="000000"/>
          <w:sz w:val="24"/>
          <w:szCs w:val="21"/>
        </w:rPr>
        <w:t xml:space="preserve">投标文件含有采购人不能接受的附加条件的。</w:t>
      </w:r>
      <w:r/>
    </w:p>
    <w:p>
      <w:pPr>
        <w:ind w:firstLine="480"/>
        <w:spacing w:line="400" w:lineRule="exact"/>
        <w:rPr>
          <w:rFonts w:hint="eastAsia" w:ascii="宋体" w:hAnsi="宋体" w:eastAsia="宋体"/>
          <w:bCs/>
          <w:color w:val="auto"/>
          <w:sz w:val="24"/>
          <w:szCs w:val="21"/>
          <w:highlight w:val="none"/>
          <w:lang w:val="en-US" w:eastAsia="zh-CN"/>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lang w:val="en-US" w:eastAsia="zh-CN"/>
        </w:rPr>
        <w:t xml:space="preserve"> 异常低价投标（响应）</w:t>
      </w:r>
      <w:r/>
    </w:p>
    <w:p>
      <w:pPr>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26.1.10.1</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投标（响应）报价低于全部通过符合性审查供应商投标（响应）报价平均值</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6</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0%的，即投标（响应）报价&lt;全部通过符合性审查供应商投标（响应）报价平均值×</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6</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0%；</w:t>
      </w:r>
      <w:r/>
    </w:p>
    <w:p>
      <w:pPr>
        <w:ind w:right="0" w:firstLine="48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bCs/>
          <w:color w:val="auto"/>
          <w:sz w:val="24"/>
          <w:szCs w:val="21"/>
          <w:highlight w:val="none"/>
          <w:lang w:val="en-US" w:eastAsia="zh-CN"/>
        </w:rPr>
        <w:t xml:space="preserve">26.1.10.2</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投标（响应）报价低于通过符合性审查的次低报价供应商投标（响应）报价</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6</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0%的，即投标（响应）报价&lt;通过符合性审查的次低报价供应商投标（响应）报价×</w:t>
      </w:r>
      <w:r>
        <w:rPr>
          <w:rFonts w:hint="eastAsia" w:ascii="宋体" w:hAnsi="宋体" w:cs="宋体"/>
          <w:i w:val="0"/>
          <w:iCs w:val="0"/>
          <w:caps w:val="0"/>
          <w:color w:val="383838"/>
          <w:spacing w:val="0"/>
          <w:sz w:val="24"/>
          <w:szCs w:val="24"/>
          <w:highlight w:val="none"/>
          <w:shd w:val="clear" w:color="auto" w:fill="ffffff"/>
          <w:vertAlign w:val="baseline"/>
          <w:lang w:val="en-US" w:eastAsia="zh-CN" w:bidi="ar"/>
        </w:rPr>
        <w:t xml:space="preserve">6</w:t>
      </w: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0%；</w:t>
      </w:r>
      <w:r/>
    </w:p>
    <w:p>
      <w:pPr>
        <w:ind w:firstLine="480"/>
        <w:spacing w:line="400" w:lineRule="exact"/>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26.1.10.3</w:t>
      </w:r>
      <w:r>
        <w:rPr>
          <w:rFonts w:hint="eastAsia" w:ascii="宋体" w:hAnsi="宋体"/>
          <w:bCs/>
          <w:color w:val="auto"/>
          <w:sz w:val="24"/>
          <w:szCs w:val="21"/>
          <w:highlight w:val="none"/>
        </w:rPr>
        <w:t xml:space="preserve">投标（响应）报价低于采购项目最高限价 </w:t>
      </w:r>
      <w:r>
        <w:rPr>
          <w:rFonts w:hint="eastAsia" w:ascii="宋体" w:hAnsi="宋体"/>
          <w:bCs/>
          <w:color w:val="auto"/>
          <w:sz w:val="24"/>
          <w:szCs w:val="21"/>
          <w:highlight w:val="none"/>
          <w:lang w:val="en-US" w:eastAsia="zh-CN"/>
        </w:rPr>
        <w:t xml:space="preserve">60</w:t>
      </w:r>
      <w:r>
        <w:rPr>
          <w:rFonts w:hint="eastAsia" w:ascii="宋体" w:hAnsi="宋体"/>
          <w:bCs/>
          <w:color w:val="auto"/>
          <w:sz w:val="24"/>
          <w:szCs w:val="21"/>
          <w:highlight w:val="none"/>
        </w:rPr>
        <w:t xml:space="preserve">% 的，即投标（响应）报价&lt;采购项目最高限价×</w:t>
      </w:r>
      <w:r>
        <w:rPr>
          <w:rFonts w:hint="eastAsia" w:ascii="宋体" w:hAnsi="宋体"/>
          <w:bCs/>
          <w:color w:val="auto"/>
          <w:sz w:val="24"/>
          <w:szCs w:val="21"/>
          <w:highlight w:val="none"/>
          <w:lang w:val="en-US" w:eastAsia="zh-CN"/>
        </w:rPr>
        <w:t xml:space="preserve">60</w:t>
      </w:r>
      <w:r>
        <w:rPr>
          <w:rFonts w:hint="eastAsia" w:ascii="宋体" w:hAnsi="宋体"/>
          <w:bCs/>
          <w:color w:val="auto"/>
          <w:sz w:val="24"/>
          <w:szCs w:val="21"/>
          <w:highlight w:val="none"/>
        </w:rPr>
        <w:t xml:space="preserve">% ；</w:t>
      </w:r>
      <w:r/>
    </w:p>
    <w:p>
      <w:pPr>
        <w:ind w:firstLine="480"/>
        <w:spacing w:line="400" w:lineRule="exact"/>
        <w:rPr>
          <w:rFonts w:hint="eastAsia" w:ascii="宋体" w:hAnsi="宋体"/>
          <w:bCs/>
          <w:color w:val="auto"/>
          <w:sz w:val="24"/>
          <w:szCs w:val="21"/>
          <w:highlight w:val="none"/>
        </w:rPr>
      </w:pPr>
      <w:r>
        <w:rPr>
          <w:rFonts w:hint="eastAsia" w:ascii="宋体" w:hAnsi="宋体"/>
          <w:color w:val="auto"/>
          <w:sz w:val="24"/>
          <w:szCs w:val="24"/>
          <w:highlight w:val="none"/>
        </w:rPr>
        <w:t xml:space="preserve">26.1.10.</w:t>
      </w:r>
      <w:r>
        <w:rPr>
          <w:rFonts w:hint="eastAsia" w:ascii="宋体" w:hAnsi="宋体"/>
          <w:color w:val="auto"/>
          <w:sz w:val="24"/>
          <w:szCs w:val="24"/>
          <w:highlight w:val="none"/>
          <w:lang w:val="en-US" w:eastAsia="zh-CN"/>
        </w:rPr>
        <w:t xml:space="preserve">4</w:t>
      </w:r>
      <w:r>
        <w:rPr>
          <w:rFonts w:hint="eastAsia" w:ascii="宋体" w:hAnsi="宋体"/>
          <w:bCs/>
          <w:color w:val="auto"/>
          <w:sz w:val="24"/>
          <w:szCs w:val="21"/>
          <w:highlight w:val="none"/>
        </w:rPr>
        <w:t xml:space="preserve">评审委员会认定的供应商报价过低、有可能影响产品质量或者不能诚信履约的其他情形。</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color w:val="ff0000"/>
          <w:sz w:val="24"/>
          <w:szCs w:val="24"/>
          <w:highlight w:val="none"/>
        </w:rPr>
        <w:t xml:space="preserve">26.1.10.</w:t>
      </w:r>
      <w:r>
        <w:rPr>
          <w:rFonts w:hint="eastAsia" w:ascii="宋体" w:hAnsi="宋体"/>
          <w:color w:val="ff0000"/>
          <w:sz w:val="24"/>
          <w:szCs w:val="24"/>
          <w:highlight w:val="none"/>
          <w:lang w:val="en-US" w:eastAsia="zh-CN"/>
        </w:rPr>
        <w:t xml:space="preserve">5</w:t>
      </w: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w:t>
      </w:r>
      <w:r>
        <w:rPr>
          <w:rFonts w:hint="eastAsia" w:ascii="宋体" w:hAnsi="宋体" w:eastAsia="宋体" w:cs="宋体"/>
          <w:i w:val="0"/>
          <w:iCs w:val="0"/>
          <w:caps w:val="0"/>
          <w:color w:val="ff0000"/>
          <w:spacing w:val="0"/>
          <w:sz w:val="24"/>
          <w:szCs w:val="24"/>
          <w:highlight w:val="none"/>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eastAsia="宋体" w:cs="宋体"/>
          <w:i w:val="0"/>
          <w:iCs w:val="0"/>
          <w:caps w:val="0"/>
          <w:color w:val="383838"/>
          <w:spacing w:val="0"/>
          <w:sz w:val="24"/>
          <w:szCs w:val="24"/>
          <w:highlight w:val="none"/>
          <w:shd w:val="clear" w:color="auto" w:fill="ffffff"/>
        </w:rPr>
        <w:t xml:space="preserve">给予相关供应商的合理时间一般</w:t>
      </w:r>
      <w:r>
        <w:rPr>
          <w:rFonts w:hint="eastAsia" w:ascii="宋体" w:hAnsi="宋体" w:eastAsia="宋体" w:cs="宋体"/>
          <w:i w:val="0"/>
          <w:iCs w:val="0"/>
          <w:caps w:val="0"/>
          <w:color w:val="ff0000"/>
          <w:spacing w:val="0"/>
          <w:sz w:val="24"/>
          <w:szCs w:val="24"/>
          <w:highlight w:val="none"/>
          <w:shd w:val="clear" w:color="auto" w:fill="ffffff"/>
        </w:rPr>
        <w:t xml:space="preserve">不少于30分钟</w:t>
      </w:r>
      <w:r>
        <w:rPr>
          <w:rFonts w:hint="eastAsia" w:ascii="宋体" w:hAnsi="宋体" w:eastAsia="宋体" w:cs="宋体"/>
          <w:i w:val="0"/>
          <w:iCs w:val="0"/>
          <w:caps w:val="0"/>
          <w:color w:val="383838"/>
          <w:spacing w:val="0"/>
          <w:sz w:val="24"/>
          <w:szCs w:val="24"/>
          <w:highlight w:val="none"/>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eastAsia="宋体" w:cs="宋体"/>
          <w:i w:val="0"/>
          <w:iCs w:val="0"/>
          <w:caps w:val="0"/>
          <w:color w:val="383838"/>
          <w:spacing w:val="0"/>
          <w:sz w:val="24"/>
          <w:szCs w:val="24"/>
          <w:highlight w:val="none"/>
          <w:shd w:val="clear" w:color="auto" w:fill="ffffff"/>
        </w:rPr>
      </w:pPr>
      <w:r>
        <w:rPr>
          <w:rFonts w:hint="eastAsia" w:ascii="宋体" w:hAnsi="宋体" w:eastAsia="宋体" w:cs="宋体"/>
          <w:i w:val="0"/>
          <w:iCs w:val="0"/>
          <w:caps w:val="0"/>
          <w:color w:val="383838"/>
          <w:spacing w:val="0"/>
          <w:sz w:val="24"/>
          <w:szCs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eastAsia="宋体" w:cs="宋体"/>
          <w:i w:val="0"/>
          <w:iCs w:val="0"/>
          <w:caps w:val="0"/>
          <w:color w:val="ff0000"/>
          <w:spacing w:val="0"/>
          <w:sz w:val="24"/>
          <w:szCs w:val="24"/>
          <w:highlight w:val="none"/>
          <w:shd w:val="clear" w:color="auto" w:fill="ffffff"/>
        </w:rPr>
      </w:pPr>
      <w:r>
        <w:rPr>
          <w:rFonts w:hint="eastAsia" w:ascii="宋体" w:hAnsi="宋体" w:eastAsia="宋体" w:cs="宋体"/>
          <w:i w:val="0"/>
          <w:iCs w:val="0"/>
          <w:caps w:val="0"/>
          <w:color w:val="ff0000"/>
          <w:spacing w:val="0"/>
          <w:sz w:val="24"/>
          <w:szCs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color w:val="auto"/>
          <w:sz w:val="24"/>
          <w:szCs w:val="21"/>
        </w:rPr>
        <w:t xml:space="preserve">如</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w:t>
      </w:r>
      <w:r>
        <w:rPr>
          <w:rFonts w:hint="eastAsia" w:ascii="宋体" w:hAnsi="宋体"/>
          <w:bCs/>
          <w:color w:val="000000"/>
          <w:sz w:val="24"/>
          <w:szCs w:val="21"/>
          <w:lang w:val="en-US" w:eastAsia="zh-CN"/>
        </w:rPr>
        <w:t xml:space="preserve">原件扫描件</w:t>
      </w:r>
      <w:r>
        <w:rPr>
          <w:rFonts w:hint="eastAsia" w:ascii="宋体" w:hAnsi="宋体"/>
          <w:bCs/>
          <w:color w:val="000000"/>
          <w:sz w:val="24"/>
          <w:szCs w:val="21"/>
        </w:rPr>
        <w:t xml:space="preserve">）</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ff0000"/>
          <w:sz w:val="24"/>
          <w:szCs w:val="24"/>
          <w:highlight w:val="none"/>
        </w:rPr>
        <w:t xml:space="preserve">26.1.13 投标人所投标产品不符合招标文件中所列国家强制性标准的。</w:t>
      </w:r>
      <w:r/>
    </w:p>
    <w:p>
      <w:pPr>
        <w:ind w:left="478"/>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highlight w:val="none"/>
        </w:rPr>
        <w:t xml:space="preserve">26.1.1</w:t>
      </w:r>
      <w:r>
        <w:rPr>
          <w:rFonts w:hint="eastAsia" w:ascii="宋体" w:hAnsi="宋体" w:cs="Times New Roman"/>
          <w:bCs/>
          <w:color w:val="000000"/>
          <w:sz w:val="24"/>
          <w:szCs w:val="21"/>
          <w:highlight w:val="none"/>
          <w:lang w:val="en-US" w:eastAsia="zh-CN"/>
        </w:rPr>
        <w:t xml:space="preserve">4</w:t>
      </w:r>
      <w:r>
        <w:rPr>
          <w:rFonts w:hint="eastAsia" w:ascii="宋体" w:hAnsi="宋体" w:eastAsia="宋体" w:cs="Times New Roman"/>
          <w:bCs/>
          <w:color w:val="000000"/>
          <w:sz w:val="24"/>
          <w:szCs w:val="21"/>
          <w:highlight w:val="none"/>
        </w:rPr>
        <w:t xml:space="preserve">其他</w:t>
      </w:r>
      <w:r>
        <w:rPr>
          <w:rFonts w:hint="eastAsia" w:ascii="宋体" w:hAnsi="宋体" w:eastAsia="宋体" w:cs="Times New Roman"/>
          <w:bCs/>
          <w:color w:val="000000"/>
          <w:sz w:val="24"/>
          <w:szCs w:val="21"/>
        </w:rPr>
        <w:t xml:space="preserve">法律、法规及本招标文件规定的属无效投标的情形。</w:t>
      </w:r>
      <w:r/>
    </w:p>
    <w:p>
      <w:pPr>
        <w:ind w:left="478"/>
        <w:spacing w:line="4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26.2废标条款</w:t>
      </w:r>
      <w:r/>
    </w:p>
    <w:p>
      <w:pPr>
        <w:ind w:left="0" w:firstLine="480"/>
        <w:jc w:val="left"/>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26.2.1符合专业条件的供应商或者对招标文件作</w:t>
      </w:r>
      <w:r>
        <w:rPr>
          <w:rFonts w:hint="eastAsia" w:ascii="宋体" w:hAnsi="宋体" w:eastAsia="宋体" w:cs="Times New Roman"/>
          <w:bCs/>
          <w:color w:val="000000"/>
          <w:sz w:val="24"/>
          <w:szCs w:val="21"/>
          <w:lang w:val="en-US" w:eastAsia="zh-CN"/>
        </w:rPr>
        <w:t xml:space="preserve">出</w:t>
      </w:r>
      <w:r>
        <w:rPr>
          <w:rFonts w:hint="eastAsia" w:ascii="宋体" w:hAnsi="宋体" w:eastAsia="宋体" w:cs="Times New Roman"/>
          <w:bCs/>
          <w:color w:val="000000"/>
          <w:sz w:val="24"/>
          <w:szCs w:val="21"/>
        </w:rPr>
        <w:t xml:space="preserve">实质响应的供应商不足三家的。</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采购任务取消的。</w:t>
      </w:r>
      <w:r/>
    </w:p>
    <w:p>
      <w:pPr>
        <w:ind w:firstLine="480"/>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26.2.4</w:t>
      </w:r>
      <w:r>
        <w:rPr>
          <w:rFonts w:hint="eastAsia" w:ascii="宋体" w:hAnsi="宋体" w:eastAsia="宋体" w:cs="Times New Roman"/>
          <w:bCs/>
          <w:color w:val="000000"/>
          <w:sz w:val="24"/>
          <w:szCs w:val="21"/>
          <w:lang w:eastAsia="zh-CN"/>
        </w:rPr>
        <w:t xml:space="preserve">评委会</w:t>
      </w:r>
      <w:r>
        <w:rPr>
          <w:rFonts w:hint="eastAsia" w:ascii="宋体" w:hAnsi="宋体" w:eastAsia="宋体" w:cs="Times New Roman"/>
          <w:bCs/>
          <w:color w:val="000000"/>
          <w:sz w:val="24"/>
          <w:szCs w:val="21"/>
        </w:rPr>
        <w:t xml:space="preserve">认定招标文件存在歧义、重大缺陷导致评审工作无法进</w:t>
      </w:r>
      <w:r/>
    </w:p>
    <w:p>
      <w:pPr>
        <w:ind w:firstLine="0"/>
        <w:keepLines w:val="0"/>
        <w:keepNext w:val="0"/>
        <w:pageBreakBefore w:val="0"/>
        <w:spacing w:line="400" w:lineRule="exact"/>
        <w:widowControl w:val="off"/>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行。</w:t>
      </w:r>
      <w:r/>
    </w:p>
    <w:p>
      <w:pPr>
        <w:ind w:left="478"/>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8"/>
        <w:spacing w:line="400" w:lineRule="exact"/>
        <w:rPr>
          <w:rFonts w:hint="eastAsia" w:ascii="宋体" w:hAnsi="宋体" w:eastAsia="宋体"/>
          <w:bCs/>
          <w:color w:val="000000"/>
          <w:sz w:val="24"/>
          <w:szCs w:val="21"/>
          <w:lang w:eastAsia="zh-CN"/>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w:t>
      </w:r>
      <w:r>
        <w:rPr>
          <w:rFonts w:hint="eastAsia" w:ascii="宋体" w:hAnsi="宋体"/>
          <w:bCs/>
          <w:sz w:val="24"/>
          <w:szCs w:val="21"/>
          <w:lang w:val="en-US" w:eastAsia="zh-CN"/>
        </w:rPr>
        <w:t xml:space="preserve">3</w:t>
      </w:r>
      <w:r>
        <w:rPr>
          <w:rFonts w:hint="eastAsia" w:ascii="宋体" w:hAnsi="宋体"/>
          <w:bCs/>
          <w:sz w:val="24"/>
          <w:szCs w:val="21"/>
        </w:rPr>
        <w:t xml:space="preserve">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w:t>
      </w:r>
      <w:r>
        <w:rPr>
          <w:rFonts w:hint="eastAsia" w:ascii="宋体" w:hAnsi="宋体"/>
          <w:bCs/>
          <w:color w:val="000000"/>
          <w:sz w:val="24"/>
          <w:szCs w:val="21"/>
          <w:lang w:val="en-US" w:eastAsia="zh-CN"/>
        </w:rPr>
        <w:t xml:space="preserve">作出</w:t>
      </w:r>
      <w:r>
        <w:rPr>
          <w:rFonts w:hint="eastAsia" w:ascii="宋体" w:hAnsi="宋体"/>
          <w:bCs/>
          <w:color w:val="000000"/>
          <w:sz w:val="24"/>
          <w:szCs w:val="21"/>
        </w:rPr>
        <w:t xml:space="preserve">实质响应的供应商不足三家情况，按政府采购相关规定执行。</w:t>
      </w:r>
      <w:r/>
    </w:p>
    <w:p>
      <w:pPr>
        <w:ind w:firstLine="480"/>
        <w:keepLines/>
        <w:keepNext/>
        <w:spacing w:before="156" w:after="156" w:line="400" w:lineRule="exact"/>
        <w:rPr>
          <w:rFonts w:hint="eastAsia" w:ascii="Times New Roman" w:hAnsi="Times New Roman"/>
          <w:b/>
          <w:bCs/>
          <w:color w:val="000000"/>
          <w:sz w:val="32"/>
          <w:szCs w:val="32"/>
        </w:rPr>
        <w:outlineLvl w:val="2"/>
      </w:pPr>
      <w:r/>
      <w:bookmarkStart w:id="157" w:name="_Toc120614219"/>
      <w:r>
        <w:rPr>
          <w:rFonts w:hint="eastAsia" w:ascii="Times New Roman" w:hAnsi="Times New Roman"/>
          <w:b/>
          <w:bCs/>
          <w:color w:val="000000"/>
          <w:sz w:val="32"/>
          <w:szCs w:val="32"/>
        </w:rPr>
        <w:t xml:space="preserve">六、</w:t>
      </w:r>
      <w:bookmarkEnd w:id="154"/>
      <w:r/>
      <w:bookmarkEnd w:id="155"/>
      <w:r/>
      <w:bookmarkEnd w:id="156"/>
      <w:r>
        <w:rPr>
          <w:rFonts w:hint="eastAsia" w:ascii="Times New Roman" w:hAnsi="Times New Roman"/>
          <w:b/>
          <w:bCs/>
          <w:color w:val="000000"/>
          <w:sz w:val="32"/>
          <w:szCs w:val="32"/>
        </w:rPr>
        <w:t xml:space="preserve">定标</w:t>
      </w:r>
      <w:bookmarkEnd w:id="157"/>
      <w:r/>
      <w:r/>
    </w:p>
    <w:p>
      <w:pPr>
        <w:ind w:firstLine="600"/>
        <w:keepLines/>
        <w:keepNext/>
        <w:spacing w:line="400" w:lineRule="exact"/>
        <w:rPr>
          <w:rFonts w:hint="eastAsia" w:ascii="黑体" w:hAnsi="宋体" w:eastAsia="黑体"/>
          <w:bCs/>
          <w:color w:val="000000"/>
          <w:sz w:val="30"/>
          <w:szCs w:val="30"/>
        </w:rPr>
        <w:outlineLvl w:val="3"/>
      </w:pPr>
      <w:r/>
      <w:bookmarkStart w:id="158" w:name="_Toc513029238"/>
      <w:r/>
      <w:bookmarkStart w:id="159" w:name="_Toc20823310"/>
      <w:r/>
      <w:bookmarkStart w:id="160"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8"/>
      <w:r>
        <w:rPr>
          <w:rFonts w:hint="eastAsia" w:ascii="黑体" w:hAnsi="宋体" w:eastAsia="黑体"/>
          <w:bCs/>
          <w:color w:val="000000"/>
          <w:sz w:val="30"/>
          <w:szCs w:val="30"/>
        </w:rPr>
        <w:t xml:space="preserve">确定</w:t>
      </w:r>
      <w:bookmarkEnd w:id="159"/>
      <w:r/>
      <w:bookmarkEnd w:id="160"/>
      <w:r>
        <w:rPr>
          <w:rFonts w:hint="eastAsia" w:ascii="黑体" w:hAnsi="宋体" w:eastAsia="黑体"/>
          <w:bCs/>
          <w:color w:val="000000"/>
          <w:sz w:val="30"/>
          <w:szCs w:val="30"/>
        </w:rPr>
        <w:t xml:space="preserve">中标单位</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27.4.2向采购人、交易中心行贿或者提供其他不正当利益的。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61"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1"/>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采购人及交易中心只接收以纸质原件形式送达的质疑,建议供应商尽量通过邮寄方式提交质疑（采购人和交易中心不接受无快递运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质疑接收人及联系方式详见招标文件第一章。</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以下情形的质疑不予受理</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内容不符合《政府采购质疑和投诉办法》第十二条规定的质疑。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5.2超出政府采购法定期限的质疑。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5.3以传真、电子邮件等方式递交的非原件形式的质疑。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5.4未参加投标活动的供应商或在投标活动中自身权益未受到损害的供应商所提出的质疑。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中标结果确定后，交易中心将向中标供应商发出中标通知书。请中标供应商在中标结果公告届满之日起30日内,使用CA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Times New Roman" w:hAnsi="Times New Roman"/>
          <w:b/>
          <w:bCs/>
          <w:color w:val="000000"/>
          <w:sz w:val="32"/>
          <w:szCs w:val="32"/>
        </w:rPr>
        <w:outlineLvl w:val="2"/>
      </w:pPr>
      <w:r/>
      <w:bookmarkStart w:id="162" w:name="_Toc120614220"/>
      <w:r/>
      <w:bookmarkStart w:id="163" w:name="_Toc20823308"/>
      <w:r/>
      <w:bookmarkStart w:id="164" w:name="_Toc513029236"/>
      <w:r/>
      <w:bookmarkStart w:id="165" w:name="_Toc16938552"/>
      <w:r>
        <w:rPr>
          <w:rFonts w:hint="eastAsia" w:ascii="Times New Roman" w:hAnsi="Times New Roman"/>
          <w:b/>
          <w:bCs/>
          <w:color w:val="000000"/>
          <w:sz w:val="32"/>
          <w:szCs w:val="32"/>
        </w:rPr>
        <w:t xml:space="preserve">七、授予合同</w:t>
      </w:r>
      <w:bookmarkEnd w:id="162"/>
      <w:r/>
      <w:bookmarkEnd w:id="163"/>
      <w:r/>
      <w:bookmarkEnd w:id="164"/>
      <w:r/>
      <w:bookmarkEnd w:id="165"/>
      <w:r/>
      <w:r/>
    </w:p>
    <w:p>
      <w:pPr>
        <w:ind w:firstLine="600"/>
        <w:keepLines/>
        <w:keepNext/>
        <w:spacing w:line="400" w:lineRule="exact"/>
        <w:rPr>
          <w:rFonts w:hint="eastAsia" w:ascii="黑体" w:hAnsi="宋体" w:eastAsia="黑体"/>
          <w:bCs/>
          <w:color w:val="000000"/>
          <w:sz w:val="30"/>
          <w:szCs w:val="30"/>
        </w:rPr>
        <w:outlineLvl w:val="3"/>
      </w:pPr>
      <w:r/>
      <w:bookmarkStart w:id="166" w:name="_Toc16938553"/>
      <w:r/>
      <w:bookmarkStart w:id="167" w:name="_Toc20823309"/>
      <w:r/>
      <w:bookmarkStart w:id="168" w:name="_Toc51302923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bCs/>
          <w:color w:val="000000"/>
          <w:sz w:val="24"/>
          <w:szCs w:val="24"/>
          <w:lang w:val="en-US" w:eastAsia="zh-CN"/>
        </w:rPr>
        <w:t xml:space="preserve">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6"/>
      <w:r/>
      <w:bookmarkEnd w:id="167"/>
      <w:r/>
      <w:bookmarkEnd w:id="168"/>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spacing w:line="500" w:lineRule="exact"/>
        <w:rPr>
          <w:rFonts w:hint="eastAsia" w:ascii="宋体" w:hAnsi="宋体"/>
          <w:bCs/>
          <w:color w:val="000000"/>
          <w:sz w:val="24"/>
          <w:szCs w:val="24"/>
        </w:rPr>
      </w:pPr>
      <w:r>
        <w:rPr>
          <w:rFonts w:hint="eastAsia"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1440"/>
        <w:jc w:val="left"/>
        <w:keepNext/>
        <w:rPr>
          <w:rFonts w:ascii="宋体" w:hAnsi="宋体"/>
          <w:bCs/>
          <w:color w:val="000000"/>
          <w:sz w:val="24"/>
          <w:szCs w:val="24"/>
        </w:rPr>
        <w:outlineLvl w:val="0"/>
      </w:pPr>
      <w:r>
        <w:rPr>
          <w:rFonts w:ascii="宋体" w:hAnsi="宋体"/>
          <w:bCs/>
          <w:color w:val="000000"/>
          <w:sz w:val="24"/>
          <w:szCs w:val="24"/>
        </w:rPr>
      </w:r>
      <w:r/>
    </w:p>
    <w:p>
      <w:pPr>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ind w:firstLine="2640"/>
        <w:jc w:val="left"/>
        <w:keepNext/>
        <w:rPr>
          <w:rFonts w:hint="eastAsia" w:ascii="黑体" w:hAnsi="Times New Roman" w:eastAsia="黑体"/>
          <w:bCs/>
          <w:color w:val="000000"/>
          <w:sz w:val="44"/>
          <w:szCs w:val="28"/>
          <w:highlight w:val="none"/>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黑体" w:hAnsi="Times New Roman" w:eastAsia="黑体"/>
          <w:bCs/>
          <w:color w:val="000000"/>
          <w:sz w:val="44"/>
          <w:szCs w:val="28"/>
          <w:highlight w:val="none"/>
        </w:rPr>
      </w:r>
      <w:r/>
    </w:p>
    <w:p>
      <w:pPr>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第三章  合同</w:t>
      </w:r>
      <w:bookmarkEnd w:id="146"/>
      <w:r/>
      <w:bookmarkEnd w:id="147"/>
      <w:r/>
      <w:bookmarkEnd w:id="148"/>
      <w:r/>
      <w:bookmarkEnd w:id="149"/>
      <w:r/>
      <w:bookmarkEnd w:id="150"/>
      <w:r>
        <w:rPr>
          <w:rFonts w:hint="eastAsia" w:ascii="黑体" w:hAnsi="Times New Roman" w:eastAsia="黑体"/>
          <w:bCs/>
          <w:color w:val="000000"/>
          <w:sz w:val="44"/>
          <w:szCs w:val="28"/>
          <w:highlight w:val="none"/>
        </w:rPr>
        <w:t xml:space="preserve">文本</w:t>
      </w:r>
      <w:r/>
    </w:p>
    <w:p>
      <w:pPr>
        <w:spacing w:line="400" w:lineRule="exact"/>
        <w:rPr>
          <w:rFonts w:ascii="宋体" w:hAnsi="宋体"/>
          <w:bCs/>
          <w:color w:val="ff0000"/>
          <w:sz w:val="24"/>
          <w:szCs w:val="24"/>
          <w:highlight w:val="yellow"/>
        </w:rPr>
      </w:pPr>
      <w:r/>
      <w:bookmarkStart w:id="169" w:name="_Toc16938559"/>
      <w:r/>
      <w:bookmarkStart w:id="170" w:name="_Toc20823315"/>
      <w:r/>
      <w:bookmarkStart w:id="171" w:name="_Toc3995"/>
      <w:r/>
      <w:bookmarkStart w:id="172" w:name="_Toc513029243"/>
      <w:r/>
      <w:bookmarkStart w:id="173" w:name="_Hlt16619350"/>
      <w:r/>
      <w:bookmarkStart w:id="174" w:name="_Toc16938590"/>
      <w:r/>
      <w:bookmarkStart w:id="175" w:name="_Toc20823346"/>
      <w:r/>
      <w:bookmarkStart w:id="176" w:name="_Toc120614244"/>
      <w:r/>
      <w:bookmarkStart w:id="177" w:name="_Toc462564139"/>
      <w:r/>
      <w:bookmarkStart w:id="178" w:name="_Toc479757211"/>
      <w:r/>
      <w:r/>
    </w:p>
    <w:p>
      <w:pPr>
        <w:spacing w:line="500" w:lineRule="exact"/>
        <w:rPr>
          <w:rFonts w:hint="eastAsia" w:ascii="宋体" w:hAnsi="宋体"/>
          <w:bCs/>
          <w:color w:val="000000"/>
          <w:sz w:val="24"/>
          <w:szCs w:val="24"/>
        </w:rPr>
      </w:pPr>
      <w:r>
        <w:rPr>
          <w:rFonts w:hint="eastAsia" w:ascii="宋体" w:hAnsi="宋体"/>
          <w:bCs/>
          <w:color w:val="000000"/>
          <w:sz w:val="24"/>
          <w:szCs w:val="24"/>
        </w:rPr>
      </w:r>
      <w:bookmarkEnd w:id="169"/>
      <w:r/>
      <w:bookmarkEnd w:id="170"/>
      <w:r/>
      <w:bookmarkEnd w:id="171"/>
      <w:r/>
      <w:bookmarkEnd w:id="172"/>
      <w:r/>
      <w:r/>
    </w:p>
    <w:p>
      <w:pPr>
        <w:pStyle w:val="106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106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106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106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1044"/>
        <w:spacing w:line="400" w:lineRule="exact"/>
        <w:rPr>
          <w:rFonts w:ascii="黑体" w:hAnsi="黑体" w:eastAsia="黑体"/>
          <w:sz w:val="28"/>
          <w:szCs w:val="28"/>
        </w:rPr>
      </w:pPr>
      <w:r>
        <w:rPr>
          <w:rFonts w:ascii="黑体" w:hAnsi="黑体" w:eastAsia="黑体"/>
          <w:sz w:val="28"/>
          <w:szCs w:val="28"/>
        </w:rPr>
      </w:r>
      <w:r/>
    </w:p>
    <w:p>
      <w:pPr>
        <w:pStyle w:val="1044"/>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1044"/>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1063"/>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szCs w:val="21"/>
        </w:rPr>
      </w:pPr>
      <w:r>
        <w:rPr>
          <w:rFonts w:hint="eastAsia" w:ascii="宋体" w:hAnsi="宋体"/>
          <w:b/>
          <w:szCs w:val="21"/>
        </w:rPr>
        <w:t xml:space="preserve">项目信息</w:t>
      </w:r>
      <w:r/>
    </w:p>
    <w:p>
      <w:pPr>
        <w:pStyle w:val="1063"/>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1063"/>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1063"/>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157"/>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57"/>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57"/>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57"/>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57"/>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57"/>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157"/>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157"/>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157"/>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157"/>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57"/>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157"/>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57"/>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57"/>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57"/>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0"/>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125"/>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b/>
          <w:bCs/>
          <w:sz w:val="21"/>
          <w:szCs w:val="21"/>
          <w:u w:val="single"/>
        </w:rPr>
        <w:t xml:space="preserve"> </w:t>
      </w:r>
      <w:r>
        <w:rPr>
          <w:rFonts w:hint="eastAsia" w:ascii="宋体" w:hAnsi="宋体"/>
          <w:b/>
          <w:bCs/>
          <w:sz w:val="21"/>
          <w:szCs w:val="21"/>
          <w:u w:val="single"/>
          <w:lang w:val="en-US" w:eastAsia="zh-CN"/>
        </w:rPr>
        <w:t xml:space="preserve">1.</w:t>
      </w:r>
      <w:r>
        <w:rPr>
          <w:rFonts w:hint="eastAsia" w:ascii="宋体" w:hAnsi="宋体"/>
          <w:b/>
          <w:bCs/>
          <w:sz w:val="21"/>
          <w:szCs w:val="21"/>
          <w:u w:val="single"/>
        </w:rPr>
        <w:t xml:space="preserve">合同签订后，乙方向甲方开具发票，甲方自收到发票后10个工作日内支付合同总价30%的预付款；</w:t>
      </w:r>
      <w:r>
        <w:rPr>
          <w:rFonts w:hint="eastAsia" w:ascii="宋体" w:hAnsi="宋体" w:cs="宋体"/>
          <w:b/>
          <w:bCs/>
          <w:sz w:val="21"/>
          <w:szCs w:val="21"/>
          <w:u w:val="single"/>
        </w:rPr>
        <w:t xml:space="preserve">2.电梯设备发货前， </w:t>
      </w:r>
      <w:r>
        <w:rPr>
          <w:rFonts w:hint="eastAsia" w:ascii="宋体" w:hAnsi="宋体"/>
          <w:b/>
          <w:bCs/>
          <w:sz w:val="21"/>
          <w:szCs w:val="21"/>
          <w:u w:val="single"/>
        </w:rPr>
        <w:t xml:space="preserve">乙方向甲方开具发票，甲方自收到发票后10个工作日内</w:t>
      </w:r>
      <w:r>
        <w:rPr>
          <w:rFonts w:hint="eastAsia" w:ascii="宋体" w:hAnsi="宋体" w:cs="宋体"/>
          <w:b/>
          <w:bCs/>
          <w:sz w:val="21"/>
          <w:szCs w:val="21"/>
          <w:u w:val="single"/>
        </w:rPr>
        <w:t xml:space="preserve">支付乙方合同总价的30%作管电梯出货款；3.电梯经政府部门验收合格后</w:t>
      </w:r>
      <w:r>
        <w:rPr>
          <w:rFonts w:hint="eastAsia" w:ascii="宋体" w:hAnsi="宋体" w:cs="宋体"/>
          <w:b/>
          <w:bCs/>
          <w:sz w:val="21"/>
          <w:szCs w:val="21"/>
          <w:u w:val="single"/>
          <w:lang w:eastAsia="zh-CN"/>
        </w:rPr>
        <w:t xml:space="preserve">，</w:t>
      </w:r>
      <w:r>
        <w:rPr>
          <w:rFonts w:hint="eastAsia" w:ascii="宋体" w:hAnsi="宋体"/>
          <w:b/>
          <w:bCs/>
          <w:sz w:val="21"/>
          <w:szCs w:val="21"/>
          <w:u w:val="single"/>
        </w:rPr>
        <w:t xml:space="preserve">乙方向甲方开具发票，甲方自收到发票后10个工作日内</w:t>
      </w:r>
      <w:r>
        <w:rPr>
          <w:rFonts w:hint="eastAsia" w:ascii="宋体" w:hAnsi="宋体" w:cs="宋体"/>
          <w:b/>
          <w:bCs/>
          <w:color w:val="000000"/>
          <w:sz w:val="21"/>
          <w:szCs w:val="21"/>
          <w:u w:val="single"/>
        </w:rPr>
        <w:t xml:space="preserve">付清剩余款项</w:t>
      </w:r>
      <w:r>
        <w:rPr>
          <w:rFonts w:hint="eastAsia" w:ascii="宋体" w:hAnsi="宋体"/>
          <w:b/>
          <w:bCs/>
          <w:szCs w:val="21"/>
          <w:u w:val="single"/>
          <w:lang w:eastAsia="zh-CN"/>
        </w:rPr>
        <w:t xml:space="preserve">。</w:t>
      </w:r>
      <w:r>
        <w:rPr>
          <w:rFonts w:hint="eastAsia" w:ascii="宋体" w:hAnsi="宋体"/>
          <w:szCs w:val="21"/>
        </w:rPr>
        <w:t xml:space="preserve">其中涉及预付款的：</w:t>
      </w:r>
      <w:r>
        <w:rPr>
          <w:rFonts w:hint="eastAsia" w:ascii="宋体" w:hAnsi="宋体"/>
          <w:b/>
          <w:bCs/>
          <w:sz w:val="21"/>
          <w:szCs w:val="21"/>
          <w:u w:val="single"/>
        </w:rPr>
        <w:t xml:space="preserve">合同签订后，乙方向甲方开具发票，甲方自收到发票后10个工作日内支付合同总价30%的预付款</w:t>
      </w:r>
      <w:r>
        <w:rPr>
          <w:rFonts w:hint="eastAsia" w:ascii="宋体" w:hAnsi="宋体"/>
          <w:b/>
          <w:bCs/>
          <w:sz w:val="21"/>
          <w:szCs w:val="21"/>
          <w:u w:val="single"/>
          <w:lang w:eastAsia="zh-CN"/>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157"/>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乙方可以自主选择支票、汇票、本票、保函(电子保函)等非现金形式缴纳成交金额的10%作为本合同的履约保证金。若供应商选择电子保函，可登录“江苏政府采购网”“保险保函”栏目“一站式电子保函(保险)综合服务平台”办理。 </w:t>
      </w:r>
      <w:r/>
    </w:p>
    <w:p>
      <w:pPr>
        <w:pStyle w:val="1157"/>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成交金额的10%   </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Cs/>
          <w:szCs w:val="21"/>
          <w:u w:val="single"/>
        </w:rPr>
        <w:t xml:space="preserve"> 合同履行结束后，甲方应及时退还交纳的履约保证金。</w:t>
      </w:r>
      <w:r/>
    </w:p>
    <w:p>
      <w:pPr>
        <w:ind w:firstLine="420"/>
        <w:spacing w:line="400" w:lineRule="exact"/>
        <w:rPr>
          <w:rFonts w:hint="eastAsia" w:ascii="宋体" w:hAnsi="宋体" w:cs="宋体"/>
          <w:bCs/>
          <w:szCs w:val="21"/>
          <w:u w:val="single"/>
        </w:rPr>
      </w:pPr>
      <w:r>
        <w:rPr>
          <w:rFonts w:hint="eastAsia" w:ascii="宋体" w:hAnsi="宋体" w:cs="宋体"/>
          <w:bCs/>
          <w:szCs w:val="21"/>
          <w:u w:val="single"/>
          <w:lang w:val="en-US" w:eastAsia="zh-CN"/>
        </w:rPr>
        <w:t xml:space="preserve">①</w:t>
      </w:r>
      <w:r>
        <w:rPr>
          <w:rFonts w:hint="eastAsia" w:ascii="宋体" w:hAnsi="宋体" w:cs="宋体"/>
          <w:bCs/>
          <w:szCs w:val="21"/>
          <w:u w:val="single"/>
        </w:rPr>
        <w:t xml:space="preserve">履约保证金退还方式:按照乙方缴纳的方式进行退还。</w:t>
      </w:r>
      <w:r/>
    </w:p>
    <w:p>
      <w:pPr>
        <w:ind w:firstLine="420"/>
        <w:spacing w:line="400" w:lineRule="exact"/>
        <w:rPr>
          <w:rFonts w:hint="eastAsia" w:ascii="宋体" w:hAnsi="宋体" w:cs="宋体"/>
          <w:bCs/>
          <w:szCs w:val="21"/>
          <w:u w:val="single"/>
        </w:rPr>
      </w:pPr>
      <w:r>
        <w:rPr>
          <w:rFonts w:hint="eastAsia" w:ascii="宋体" w:hAnsi="宋体" w:cs="宋体"/>
          <w:bCs/>
          <w:szCs w:val="21"/>
          <w:u w:val="single"/>
          <w:lang w:val="en-US" w:eastAsia="zh-CN"/>
        </w:rPr>
        <w:t xml:space="preserve">②</w:t>
      </w:r>
      <w:r>
        <w:rPr>
          <w:rFonts w:hint="eastAsia" w:ascii="宋体" w:hAnsi="宋体" w:cs="宋体"/>
          <w:bCs/>
          <w:szCs w:val="21"/>
          <w:u w:val="single"/>
        </w:rPr>
        <w:t xml:space="preserve">履约保证金退还时间:项目期满考核合格后30日内。</w:t>
      </w:r>
      <w:r/>
    </w:p>
    <w:p>
      <w:pPr>
        <w:ind w:firstLine="420"/>
        <w:spacing w:line="400" w:lineRule="exact"/>
        <w:rPr>
          <w:rFonts w:hint="eastAsia" w:ascii="宋体" w:hAnsi="宋体" w:cs="宋体"/>
          <w:bCs/>
          <w:szCs w:val="21"/>
          <w:u w:val="single"/>
        </w:rPr>
      </w:pPr>
      <w:r>
        <w:rPr>
          <w:rFonts w:hint="eastAsia" w:ascii="宋体" w:hAnsi="宋体" w:cs="宋体"/>
          <w:bCs/>
          <w:szCs w:val="21"/>
          <w:u w:val="single"/>
          <w:lang w:val="en-US" w:eastAsia="zh-CN"/>
        </w:rPr>
        <w:t xml:space="preserve">③</w:t>
      </w:r>
      <w:r>
        <w:rPr>
          <w:rFonts w:hint="eastAsia" w:ascii="宋体" w:hAnsi="宋体" w:cs="宋体"/>
          <w:bCs/>
          <w:szCs w:val="21"/>
          <w:u w:val="single"/>
        </w:rPr>
        <w:t xml:space="preserve">履约保证金退还条件:乙方在履约期间未给甲方造成损失或造成的损失经扣除后存有结余的。</w:t>
      </w:r>
      <w:r/>
    </w:p>
    <w:p>
      <w:pPr>
        <w:ind w:firstLine="420"/>
        <w:spacing w:line="400" w:lineRule="exact"/>
        <w:rPr>
          <w:rFonts w:hint="eastAsia" w:ascii="宋体" w:hAnsi="宋体" w:cs="宋体"/>
          <w:bCs/>
          <w:szCs w:val="21"/>
          <w:u w:val="single"/>
        </w:rPr>
      </w:pPr>
      <w:r>
        <w:rPr>
          <w:rFonts w:hint="eastAsia" w:ascii="宋体" w:hAnsi="宋体" w:cs="宋体"/>
          <w:bCs/>
          <w:szCs w:val="21"/>
          <w:u w:val="single"/>
          <w:lang w:val="en-US" w:eastAsia="zh-CN"/>
        </w:rPr>
        <w:t xml:space="preserve">④</w:t>
      </w:r>
      <w:r>
        <w:rPr>
          <w:rFonts w:hint="eastAsia" w:ascii="宋体" w:hAnsi="宋体" w:cs="宋体"/>
          <w:bCs/>
          <w:szCs w:val="21"/>
          <w:u w:val="single"/>
        </w:rPr>
        <w:t xml:space="preserve">履约保证金不予退还的情形:乙方不履行合同或履行该合同不符合合同约定不足以弥补乙方违约造成甲方损失的。</w:t>
      </w:r>
      <w:r/>
    </w:p>
    <w:p>
      <w:pPr>
        <w:ind w:firstLine="420"/>
        <w:spacing w:line="400" w:lineRule="exact"/>
        <w:rPr>
          <w:rFonts w:ascii="宋体" w:hAnsi="宋体" w:cs="宋体"/>
        </w:rPr>
      </w:pPr>
      <w:r>
        <w:rPr>
          <w:rFonts w:hint="eastAsia" w:ascii="宋体" w:hAnsi="宋体" w:cs="宋体"/>
          <w:bCs/>
          <w:szCs w:val="21"/>
          <w:u w:val="single"/>
          <w:lang w:val="en-US" w:eastAsia="zh-CN"/>
        </w:rPr>
        <w:t xml:space="preserve">⑤</w:t>
      </w:r>
      <w:r>
        <w:rPr>
          <w:rFonts w:hint="eastAsia" w:ascii="宋体" w:hAnsi="宋体" w:cs="宋体"/>
          <w:bCs/>
          <w:szCs w:val="21"/>
          <w:u w:val="single"/>
        </w:rPr>
        <w:t xml:space="preserve">履约保证金逾期退还的违约责任:按中国人民银行同期贷款基准利率上浮20%后的利率支付超期资金占用费，但因乙方自身原因导致无法及时退还的除外。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Courier New"/>
          <w:bCs/>
          <w:color w:val="ff0000"/>
          <w:sz w:val="24"/>
          <w:szCs w:val="24"/>
          <w:highlight w:val="yellow"/>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5"/>
        </w:numPr>
        <w:ind w:firstLine="420"/>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15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15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0"/>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0"/>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1044"/>
        <w:spacing w:line="400" w:lineRule="exact"/>
        <w:rPr>
          <w:rFonts w:ascii="宋体" w:hAnsi="宋体"/>
          <w:b w:val="0"/>
          <w:bCs w:val="0"/>
          <w:sz w:val="21"/>
          <w:szCs w:val="21"/>
        </w:rPr>
      </w:pPr>
      <w:r>
        <w:rPr>
          <w:lang w:val="en"/>
        </w:rPr>
        <w:t xml:space="preserve">   </w:t>
      </w:r>
      <w:r/>
    </w:p>
    <w:p>
      <w:pPr>
        <w:pStyle w:val="1125"/>
        <w:rPr>
          <w:lang w:eastAsia="zh-CN"/>
        </w:rPr>
      </w:pPr>
      <w:r>
        <w:rPr>
          <w:lang w:eastAsia="zh-CN"/>
        </w:rPr>
      </w:r>
      <w:r/>
    </w:p>
    <w:tbl>
      <w:tblPr>
        <w:tblStyle w:val="1053"/>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1063"/>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1044"/>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157"/>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1067"/>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67"/>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15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5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15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5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15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5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5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15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15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15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57"/>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1044"/>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1053"/>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157"/>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106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62"/>
        <w:jc w:val="center"/>
        <w:rPr>
          <w:rFonts w:hint="eastAsia" w:ascii="宋体" w:hAnsi="宋体" w:cs="宋体"/>
          <w:b/>
          <w:bCs/>
          <w:spacing w:val="-20"/>
          <w:sz w:val="48"/>
          <w:szCs w:val="48"/>
        </w:rPr>
      </w:pPr>
      <w:r>
        <w:rPr>
          <w:rFonts w:hint="eastAsia"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3"/>
      <w:r>
        <w:rPr>
          <w:rFonts w:hint="eastAsia" w:ascii="黑体" w:hAnsi="Courier New" w:eastAsia="黑体" w:cs="Courier New"/>
          <w:bCs/>
          <w:color w:val="000000"/>
          <w:sz w:val="44"/>
          <w:szCs w:val="21"/>
        </w:rPr>
        <w:t xml:space="preserve">四章 采购需求</w:t>
      </w:r>
      <w:bookmarkEnd w:id="174"/>
      <w:r/>
      <w:bookmarkEnd w:id="175"/>
      <w:r/>
      <w:bookmarkEnd w:id="176"/>
      <w:r/>
      <w:r/>
    </w:p>
    <w:p>
      <w:pPr>
        <w:spacing w:line="0" w:lineRule="atLeast"/>
        <w:rPr>
          <w:rFonts w:ascii="宋体" w:hAnsi="宋体"/>
          <w:b/>
          <w:color w:val="000000"/>
          <w:sz w:val="24"/>
          <w:szCs w:val="24"/>
        </w:rPr>
      </w:pPr>
      <w:r/>
      <w:bookmarkStart w:id="179" w:name="_Toc26554093"/>
      <w:r/>
      <w:bookmarkStart w:id="180" w:name="_Toc49090575"/>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项目属性:货物类项目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品目清单”强制采购范围，投标文件中必须提供国家确定的认证机构出具的、处于有效期之内的该节能产品认证证书。</w:t>
      </w:r>
      <w:r>
        <w:rPr>
          <w:rFonts w:hint="eastAsia" w:ascii="Times New Roman" w:hAnsi="Times New Roman"/>
          <w:bCs/>
          <w:iCs/>
          <w:sz w:val="24"/>
          <w:szCs w:val="24"/>
          <w:highlight w:val="yellow"/>
        </w:rPr>
        <w:t xml:space="preserve">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jc w:val="left"/>
        <w:keepLines w:val="0"/>
        <w:keepNext w:val="0"/>
        <w:widowControl/>
        <w:rPr>
          <w:bCs/>
          <w:iCs/>
          <w:sz w:val="24"/>
          <w:szCs w:val="24"/>
        </w:rPr>
        <w:suppressLineNumbers w:val="0"/>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color w:val="auto"/>
                <w:sz w:val="21"/>
                <w:szCs w:val="21"/>
                <w:highlight w:val="none"/>
                <w:lang w:val="en-US" w:eastAsia="zh-CN"/>
              </w:rPr>
              <w:t xml:space="preserve">高邮市卸甲镇龙奔社区党群服务中心电梯采购与安装工程</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color w:val="auto"/>
                <w:sz w:val="21"/>
                <w:szCs w:val="21"/>
                <w:highlight w:val="none"/>
                <w:lang w:val="en-US" w:eastAsia="zh-CN"/>
              </w:rPr>
              <w:t xml:space="preserve">工业</w:t>
            </w:r>
            <w:r/>
          </w:p>
        </w:tc>
      </w:tr>
    </w:tbl>
    <w:p>
      <w:pPr>
        <w:spacing w:line="0" w:lineRule="atLeast"/>
        <w:rPr>
          <w:rFonts w:ascii="宋体" w:hAnsi="宋体"/>
          <w:sz w:val="24"/>
          <w:szCs w:val="24"/>
          <w:highlight w:val="yellow"/>
        </w:rPr>
      </w:pPr>
      <w:r>
        <w:rPr>
          <w:rFonts w:ascii="宋体" w:hAnsi="宋体"/>
          <w:sz w:val="24"/>
          <w:szCs w:val="24"/>
          <w:highlight w:val="yellow"/>
        </w:rPr>
      </w:r>
      <w:r/>
    </w:p>
    <w:p>
      <w:pPr>
        <w:ind w:firstLine="480"/>
        <w:spacing w:line="0" w:lineRule="atLeast"/>
        <w:rPr>
          <w:rFonts w:ascii="宋体" w:hAnsi="宋体"/>
          <w:sz w:val="24"/>
          <w:szCs w:val="24"/>
        </w:rPr>
      </w:pPr>
      <w:r>
        <w:rPr>
          <w:rFonts w:ascii="宋体" w:hAnsi="宋体"/>
          <w:sz w:val="24"/>
          <w:szCs w:val="24"/>
        </w:rPr>
        <w:t xml:space="preserve">4</w:t>
      </w:r>
      <w:r>
        <w:rPr>
          <w:rFonts w:hint="eastAsia" w:ascii="宋体" w:hAnsi="宋体"/>
          <w:sz w:val="24"/>
          <w:szCs w:val="24"/>
        </w:rPr>
        <w:t xml:space="preserve">．核心产品</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hint="eastAsia" w:ascii="宋体" w:hAnsi="宋体"/>
                <w:szCs w:val="21"/>
              </w:rPr>
            </w:pPr>
            <w:r>
              <w:rPr>
                <w:rFonts w:hint="eastAsia" w:ascii="宋体" w:hAnsi="宋体"/>
                <w:szCs w:val="21"/>
              </w:rPr>
              <w:t xml:space="preserve">包号</w:t>
            </w:r>
            <w:r/>
          </w:p>
        </w:tc>
        <w:tc>
          <w:tcPr>
            <w:tcW w:w="3173" w:type="dxa"/>
            <w:vAlign w:val="center"/>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173" w:type="dxa"/>
            <w:vAlign w:val="center"/>
            <w:textDirection w:val="lrTb"/>
            <w:noWrap w:val="false"/>
          </w:tcPr>
          <w:p>
            <w:pPr>
              <w:jc w:val="center"/>
              <w:rPr>
                <w:rFonts w:hint="eastAsia" w:ascii="宋体" w:hAnsi="宋体"/>
                <w:szCs w:val="21"/>
              </w:rPr>
            </w:pPr>
            <w:r>
              <w:rPr>
                <w:rFonts w:hint="eastAsia" w:ascii="宋体" w:hAnsi="宋体"/>
                <w:szCs w:val="21"/>
              </w:rPr>
              <w:t xml:space="preserve">无</w:t>
            </w:r>
            <w:r/>
          </w:p>
        </w:tc>
      </w:tr>
    </w:tbl>
    <w:p>
      <w:pPr>
        <w:keepLines/>
        <w:keepNext/>
        <w:spacing w:line="400" w:lineRule="exact"/>
        <w:rPr>
          <w:rFonts w:hint="eastAsia" w:ascii="宋体" w:hAnsi="宋体" w:eastAsia="宋体" w:cs="宋体"/>
          <w:b/>
          <w:bCs w:val="0"/>
          <w:color w:val="auto"/>
          <w:sz w:val="24"/>
          <w:szCs w:val="24"/>
          <w:highlight w:val="none"/>
        </w:rPr>
        <w:outlineLvl w:val="3"/>
      </w:pPr>
      <w:r>
        <w:rPr>
          <w:rFonts w:hint="eastAsia" w:ascii="宋体" w:hAnsi="宋体" w:eastAsia="宋体" w:cs="宋体"/>
          <w:b/>
          <w:bCs w:val="0"/>
          <w:color w:val="auto"/>
          <w:sz w:val="24"/>
          <w:szCs w:val="24"/>
          <w:highlight w:val="none"/>
        </w:rPr>
        <w:t xml:space="preserve">二、政府采购中实施本国产品标准及相关政策</w:t>
      </w:r>
      <w:r/>
    </w:p>
    <w:p>
      <w:pPr>
        <w:ind w:firstLine="555"/>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green"/>
          <w:lang w:val="en-US" w:eastAsia="zh-CN"/>
        </w:rPr>
        <w:t xml:space="preserve">根据《国务院办公厅关于在政府采购中实施本国产品标准及相关政策的通知》（国办发〔2025〕34号）规定，</w:t>
      </w:r>
      <w:r>
        <w:rPr>
          <w:rFonts w:hint="eastAsia" w:ascii="宋体" w:hAnsi="宋体" w:eastAsia="宋体" w:cs="宋体"/>
          <w:bCs/>
          <w:color w:val="auto"/>
          <w:sz w:val="24"/>
          <w:szCs w:val="24"/>
          <w:highlight w:val="none"/>
        </w:rPr>
        <w:t xml:space="preserve">本项目对采购本国产品给予政策支持，具体内容见招标文件“第五章 评标方法与评标标准”。</w:t>
      </w:r>
      <w:r/>
    </w:p>
    <w:p>
      <w:pPr>
        <w:ind w:firstLine="555"/>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exac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color w:val="000000"/>
          <w:sz w:val="24"/>
          <w:szCs w:val="24"/>
        </w:rPr>
      </w:pPr>
      <w:r>
        <w:rPr>
          <w:rFonts w:hint="eastAsia" w:ascii="宋体" w:hAnsi="宋体"/>
          <w:b/>
          <w:color w:val="auto"/>
          <w:sz w:val="24"/>
          <w:szCs w:val="24"/>
          <w:highlight w:val="none"/>
          <w:lang w:val="en-US" w:eastAsia="zh-CN"/>
        </w:rPr>
        <w:t xml:space="preserve">三</w:t>
      </w:r>
      <w:r>
        <w:rPr>
          <w:rFonts w:ascii="宋体" w:hAnsi="宋体"/>
          <w:b/>
          <w:color w:val="auto"/>
          <w:sz w:val="24"/>
          <w:szCs w:val="24"/>
          <w:highlight w:val="none"/>
        </w:rPr>
        <w:t xml:space="preserve">、</w:t>
      </w:r>
      <w:r>
        <w:rPr>
          <w:rFonts w:ascii="宋体" w:hAnsi="宋体"/>
          <w:b/>
          <w:color w:val="000000"/>
          <w:sz w:val="24"/>
          <w:szCs w:val="24"/>
        </w:rPr>
        <w:t xml:space="preserve">技术要求</w:t>
      </w:r>
      <w:r/>
    </w:p>
    <w:p>
      <w:pPr>
        <w:rPr>
          <w:rFonts w:hint="eastAsia"/>
          <w:b/>
          <w:sz w:val="30"/>
          <w:szCs w:val="30"/>
        </w:rPr>
      </w:pPr>
      <w:r>
        <w:rPr>
          <w:rFonts w:hint="eastAsia" w:ascii="宋体" w:hAnsi="宋体" w:cs="宋体"/>
          <w:b/>
          <w:bCs/>
          <w:szCs w:val="21"/>
        </w:rPr>
        <w:t xml:space="preserve">1</w:t>
      </w:r>
      <w:r>
        <w:rPr>
          <w:rFonts w:hint="eastAsia" w:ascii="宋体" w:hAnsi="宋体" w:cs="宋体"/>
          <w:b/>
          <w:bCs/>
          <w:szCs w:val="21"/>
          <w:lang w:eastAsia="zh-CN"/>
        </w:rPr>
        <w:t xml:space="preserve">.</w:t>
      </w:r>
      <w:r>
        <w:rPr>
          <w:rFonts w:hint="eastAsia" w:ascii="宋体" w:hAnsi="宋体" w:cs="宋体"/>
          <w:b/>
          <w:bCs/>
          <w:szCs w:val="21"/>
        </w:rPr>
        <w:t xml:space="preserve">乘客电梯总体需求</w:t>
      </w:r>
      <w:r>
        <w:rPr>
          <w:rFonts w:hint="eastAsia" w:ascii="宋体" w:hAnsi="宋体" w:cs="宋体"/>
          <w:b/>
          <w:bCs/>
          <w:szCs w:val="21"/>
        </w:rPr>
        <w:tab/>
      </w:r>
      <w:r/>
    </w:p>
    <w:tbl>
      <w:tblPr>
        <w:tblStyle w:val="1053"/>
        <w:tblW w:w="91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06"/>
        <w:gridCol w:w="1542"/>
        <w:gridCol w:w="6339"/>
      </w:tblGrid>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梯型</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无机房乘客电梯</w:t>
            </w:r>
            <w:r/>
          </w:p>
        </w:tc>
      </w:tr>
      <w:tr>
        <w:trPr>
          <w:trHeight w:val="90"/>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highlight w:val="none"/>
              </w:rPr>
            </w:pPr>
            <w:r>
              <w:rPr>
                <w:rFonts w:hint="eastAsia" w:ascii="宋体" w:hAnsi="宋体" w:cs="宋体"/>
                <w:highlight w:val="none"/>
              </w:rPr>
              <w:t xml:space="preserve">额定载重量</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highlight w:val="none"/>
              </w:rPr>
            </w:pPr>
            <w:r>
              <w:rPr>
                <w:rFonts w:hint="eastAsia" w:ascii="宋体" w:hAnsi="宋体" w:cs="宋体"/>
                <w:highlight w:val="none"/>
                <w:lang w:val="en-US" w:eastAsia="zh-CN"/>
              </w:rPr>
              <w:t xml:space="preserve">630</w:t>
            </w:r>
            <w:r>
              <w:rPr>
                <w:rFonts w:hint="eastAsia" w:ascii="宋体" w:hAnsi="宋体" w:cs="宋体"/>
                <w:highlight w:val="none"/>
              </w:rPr>
              <w:t xml:space="preserve">kg</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额定速度</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≥1.0m/s</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开门方式</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中分式、单开门</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曳引机</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原厂原品牌永磁同步无齿轮曳引机</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驱动方式</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驱动系统采用交流变频变压控制系统（VVVF） </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门机</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交流变频变压控制系统（VVVF） </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层门锁</w:t>
            </w:r>
            <w:r/>
          </w:p>
        </w:tc>
        <w:tc>
          <w:tcPr>
            <w:tcMar>
              <w:left w:w="20" w:type="dxa"/>
              <w:top w:w="20" w:type="dxa"/>
              <w:right w:w="20" w:type="dxa"/>
              <w:bottom w:w="0" w:type="dxa"/>
            </w:tcMar>
            <w:tcW w:w="6339" w:type="dxa"/>
            <w:vAlign w:val="center"/>
            <w:textDirection w:val="lrTb"/>
            <w:noWrap w:val="false"/>
          </w:tcPr>
          <w:p>
            <w:pPr>
              <w:spacing w:line="320" w:lineRule="exact"/>
              <w:rPr>
                <w:rFonts w:ascii="宋体" w:hAnsi="宋体" w:cs="宋体"/>
              </w:rPr>
            </w:pPr>
            <w:r>
              <w:rPr>
                <w:rFonts w:hint="eastAsia" w:ascii="宋体" w:hAnsi="宋体" w:cs="宋体"/>
              </w:rPr>
              <w:t xml:space="preserve">向下勾锁紧式</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ascii="宋体" w:hAnsi="宋体" w:cs="宋体"/>
              </w:rPr>
            </w:pPr>
            <w:r>
              <w:rPr>
                <w:rFonts w:hint="eastAsia" w:ascii="宋体" w:hAnsi="宋体" w:cs="宋体"/>
              </w:rPr>
              <w:t xml:space="preserve">轿门锁</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下勾锁紧式</w:t>
            </w:r>
            <w:r/>
          </w:p>
        </w:tc>
      </w:tr>
      <w:tr>
        <w:trPr>
          <w:trHeight w:val="375"/>
        </w:trPr>
        <w:tc>
          <w:tcPr>
            <w:gridSpan w:val="2"/>
            <w:tcMar>
              <w:left w:w="20" w:type="dxa"/>
              <w:top w:w="20" w:type="dxa"/>
              <w:right w:w="20" w:type="dxa"/>
              <w:bottom w:w="0" w:type="dxa"/>
            </w:tcMar>
            <w:tcW w:w="2848" w:type="dxa"/>
            <w:vAlign w:val="center"/>
            <w:textDirection w:val="lrTb"/>
            <w:noWrap w:val="false"/>
          </w:tcPr>
          <w:p>
            <w:pPr>
              <w:spacing w:line="320" w:lineRule="exact"/>
              <w:rPr>
                <w:rFonts w:ascii="宋体" w:hAnsi="宋体" w:cs="宋体"/>
              </w:rPr>
            </w:pPr>
            <w:r>
              <w:rPr>
                <w:rFonts w:hint="eastAsia" w:ascii="宋体" w:hAnsi="宋体" w:cs="宋体"/>
              </w:rPr>
              <w:t xml:space="preserve">安全电路</w:t>
            </w:r>
            <w:r/>
          </w:p>
        </w:tc>
        <w:tc>
          <w:tcPr>
            <w:tcBorders>
              <w:bottom w:val="single" w:color="auto" w:sz="4" w:space="0"/>
            </w:tcBorders>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i/>
                <w:iCs/>
                <w:u w:val="single"/>
              </w:rPr>
            </w:pPr>
            <w:r>
              <w:rPr>
                <w:rFonts w:hint="eastAsia" w:ascii="宋体" w:hAnsi="宋体" w:cs="宋体"/>
                <w:i/>
                <w:iCs/>
                <w:u w:val="single"/>
              </w:rPr>
              <w:t xml:space="preserve">原厂原品牌（提供型式试验报告原件扫描件）</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ascii="宋体" w:hAnsi="宋体" w:cs="宋体"/>
              </w:rPr>
            </w:pPr>
            <w:r>
              <w:rPr>
                <w:rFonts w:hint="eastAsia" w:ascii="宋体" w:hAnsi="宋体" w:cs="宋体"/>
              </w:rPr>
              <w:t xml:space="preserve">轿厢意外移动保护装置</w:t>
            </w:r>
            <w:r/>
          </w:p>
        </w:tc>
        <w:tc>
          <w:tcPr>
            <w:tcBorders>
              <w:top w:val="single" w:color="auto" w:sz="4" w:space="0"/>
            </w:tcBorders>
            <w:tcMar>
              <w:left w:w="20" w:type="dxa"/>
              <w:top w:w="20" w:type="dxa"/>
              <w:right w:w="20" w:type="dxa"/>
              <w:bottom w:w="0" w:type="dxa"/>
            </w:tcMar>
            <w:tcW w:w="6339" w:type="dxa"/>
            <w:vAlign w:val="center"/>
            <w:textDirection w:val="lrTb"/>
            <w:noWrap w:val="false"/>
          </w:tcPr>
          <w:p>
            <w:pPr>
              <w:spacing w:line="320" w:lineRule="exact"/>
              <w:rPr>
                <w:rFonts w:ascii="宋体" w:hAnsi="宋体" w:cs="宋体"/>
              </w:rPr>
            </w:pPr>
            <w:r>
              <w:rPr>
                <w:rFonts w:hint="eastAsia" w:ascii="宋体" w:hAnsi="宋体" w:cs="宋体"/>
              </w:rPr>
              <w:t xml:space="preserve">电磁铁断电触发</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开门控制及方式</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VVVF变频控制自动中分式开门</w:t>
            </w:r>
            <w:r/>
          </w:p>
        </w:tc>
      </w:tr>
      <w:tr>
        <w:trPr>
          <w:trHeight w:val="377"/>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门保护</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≥128束光幕保护</w:t>
            </w:r>
            <w:r/>
          </w:p>
        </w:tc>
      </w:tr>
      <w:tr>
        <w:trPr>
          <w:trHeight w:val="441"/>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轿内显示器及操纵盘</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不锈钢面板，设有内层数显示器、状态显示灯、对讲机和内呼叫按钮等，提供给乘客方便的操作和显示电梯的主要运行状态。</w:t>
            </w:r>
            <w:r/>
          </w:p>
        </w:tc>
      </w:tr>
      <w:tr>
        <w:trPr>
          <w:trHeight w:val="441"/>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外层站显示器</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发纹不锈钢，附方向及数字显示。要求外观及字体美观大方、数字清晰、能显示层数、上下运行方向、到站指示。</w:t>
            </w:r>
            <w:r/>
          </w:p>
        </w:tc>
      </w:tr>
      <w:tr>
        <w:trPr>
          <w:trHeight w:val="441"/>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外呼梯钮盒</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按钮采用不锈钢一体型无底盒外呼梯按钮。</w:t>
            </w:r>
            <w:r/>
          </w:p>
        </w:tc>
      </w:tr>
      <w:tr>
        <w:trPr>
          <w:trHeight w:val="394"/>
        </w:trPr>
        <w:tc>
          <w:tcPr>
            <w:tcMar>
              <w:left w:w="20" w:type="dxa"/>
              <w:top w:w="20" w:type="dxa"/>
              <w:right w:w="20" w:type="dxa"/>
              <w:bottom w:w="0" w:type="dxa"/>
            </w:tcMar>
            <w:tcW w:w="1306" w:type="dxa"/>
            <w:vAlign w:val="center"/>
            <w:vMerge w:val="restart"/>
            <w:textDirection w:val="lrTb"/>
            <w:noWrap w:val="false"/>
          </w:tcPr>
          <w:p>
            <w:pPr>
              <w:spacing w:line="320" w:lineRule="exact"/>
              <w:rPr>
                <w:rFonts w:hint="eastAsia" w:ascii="宋体" w:hAnsi="宋体" w:cs="宋体"/>
              </w:rPr>
            </w:pPr>
            <w:r>
              <w:rPr>
                <w:rFonts w:hint="eastAsia" w:ascii="宋体" w:hAnsi="宋体" w:cs="宋体"/>
              </w:rPr>
              <w:t xml:space="preserve">轿</w:t>
            </w:r>
            <w:r/>
          </w:p>
          <w:p>
            <w:pPr>
              <w:spacing w:line="320" w:lineRule="exact"/>
              <w:rPr>
                <w:rFonts w:hint="eastAsia" w:ascii="宋体" w:hAnsi="宋体" w:cs="宋体"/>
              </w:rPr>
            </w:pPr>
            <w:r>
              <w:rPr>
                <w:rFonts w:hint="eastAsia" w:ascii="宋体" w:hAnsi="宋体" w:cs="宋体"/>
              </w:rPr>
              <w:t xml:space="preserve">厢</w:t>
            </w:r>
            <w:r/>
          </w:p>
          <w:p>
            <w:pPr>
              <w:spacing w:line="320" w:lineRule="exact"/>
              <w:rPr>
                <w:rFonts w:hint="eastAsia" w:ascii="宋体" w:hAnsi="宋体" w:cs="宋体"/>
              </w:rPr>
            </w:pPr>
            <w:r>
              <w:rPr>
                <w:rFonts w:hint="eastAsia" w:ascii="宋体" w:hAnsi="宋体" w:cs="宋体"/>
              </w:rPr>
              <w:t xml:space="preserve">装</w:t>
            </w:r>
            <w:r/>
          </w:p>
          <w:p>
            <w:pPr>
              <w:spacing w:line="320" w:lineRule="exact"/>
              <w:rPr>
                <w:rFonts w:hint="eastAsia" w:ascii="宋体" w:hAnsi="宋体" w:cs="宋体"/>
              </w:rPr>
            </w:pPr>
            <w:r>
              <w:rPr>
                <w:rFonts w:hint="eastAsia" w:ascii="宋体" w:hAnsi="宋体" w:cs="宋体"/>
              </w:rPr>
              <w:t xml:space="preserve">饰</w:t>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轿门</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发纹不锈钢</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轿顶</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发纹不锈钢框架，LED灯，低噪音轴流风扇</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地坪</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耐磨防滑PVC地板</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扶手</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后壁单侧扶手</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四壁</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发纹不锈钢材质，后中壁镜面不锈钢</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门套</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发纹不锈钢小门套</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厅门</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发纹不锈钢</w:t>
            </w:r>
            <w:r/>
          </w:p>
        </w:tc>
      </w:tr>
      <w:tr>
        <w:trPr>
          <w:trHeight w:val="394"/>
        </w:trPr>
        <w:tc>
          <w:tcPr>
            <w:tcMar>
              <w:left w:w="20" w:type="dxa"/>
              <w:top w:w="20" w:type="dxa"/>
              <w:right w:w="20" w:type="dxa"/>
              <w:bottom w:w="0" w:type="dxa"/>
            </w:tcMar>
            <w:tcW w:w="1306" w:type="dxa"/>
            <w:vAlign w:val="center"/>
            <w:vMerge w:val="continue"/>
            <w:textDirection w:val="lrTb"/>
            <w:noWrap w:val="false"/>
          </w:tcPr>
          <w:p>
            <w:pPr>
              <w:spacing w:line="320" w:lineRule="exact"/>
              <w:rPr>
                <w:rFonts w:hint="eastAsia" w:ascii="宋体" w:hAnsi="宋体" w:cs="宋体"/>
              </w:rPr>
            </w:pPr>
            <w:r>
              <w:rPr>
                <w:rFonts w:hint="eastAsia" w:ascii="宋体" w:hAnsi="宋体" w:cs="宋体"/>
              </w:rPr>
            </w:r>
            <w:r/>
          </w:p>
        </w:tc>
        <w:tc>
          <w:tcPr>
            <w:tcW w:w="1542"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地板</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耐磨PVC地板</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安全钳</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渐进式安全钳</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限速器</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离心式限速器</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缓冲器</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液压缓冲器</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随行电缆</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采用电梯专用电缆，电梯轿厢内视频监控、其他数据通讯设备预留备用随行电缆</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井道内固定件</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要求零部件结构合理、牢固耐用、抗锈蚀能力强等</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井道照明</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部电梯应每层安装一组井道照明装置，其最高最低照明装置位置距井道上下端各为0.5米</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钢丝绳</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用电梯专用的钢丝绳，要求安全储备系数高，安全储备系数应≥12，</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供电电源</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驱动部分：三相交流电源380V、50HZ，照明部分220V、50HZ</w:t>
            </w:r>
            <w:r/>
          </w:p>
        </w:tc>
      </w:tr>
      <w:tr>
        <w:trPr>
          <w:trHeight w:val="394"/>
        </w:trPr>
        <w:tc>
          <w:tcPr>
            <w:gridSpan w:val="2"/>
            <w:tcMar>
              <w:left w:w="20" w:type="dxa"/>
              <w:top w:w="20" w:type="dxa"/>
              <w:right w:w="20" w:type="dxa"/>
              <w:bottom w:w="0" w:type="dxa"/>
            </w:tcMar>
            <w:tcW w:w="2848"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基站锁</w:t>
            </w:r>
            <w:r/>
          </w:p>
        </w:tc>
        <w:tc>
          <w:tcPr>
            <w:tcMar>
              <w:left w:w="20" w:type="dxa"/>
              <w:top w:w="20" w:type="dxa"/>
              <w:right w:w="20" w:type="dxa"/>
              <w:bottom w:w="0" w:type="dxa"/>
            </w:tcMar>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装设在一层，合并到外呼梯按钮盒上</w:t>
            </w:r>
            <w:r/>
          </w:p>
        </w:tc>
      </w:tr>
      <w:tr>
        <w:trPr>
          <w:trHeight w:val="327"/>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开门宽度</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900mm*2100mm</w:t>
            </w:r>
            <w:r/>
          </w:p>
        </w:tc>
      </w:tr>
      <w:tr>
        <w:trPr>
          <w:trHeight w:val="327"/>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层/站/门</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4/4/4</w:t>
            </w:r>
            <w:r/>
          </w:p>
        </w:tc>
      </w:tr>
      <w:tr>
        <w:trPr>
          <w:trHeight w:val="327"/>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停靠站门数</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1-4</w:t>
            </w:r>
            <w:r/>
          </w:p>
        </w:tc>
      </w:tr>
      <w:tr>
        <w:trPr>
          <w:trHeight w:val="540"/>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井道净尺寸（宽*深）</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2250mm*1850mm</w:t>
            </w:r>
            <w:r/>
          </w:p>
        </w:tc>
      </w:tr>
      <w:tr>
        <w:trPr>
          <w:trHeight w:val="480"/>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轿厢尺寸(宽*深*高）</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1600mm*</w:t>
            </w:r>
            <w:r>
              <w:rPr>
                <w:rFonts w:hint="eastAsia" w:ascii="宋体" w:hAnsi="宋体" w:cs="宋体"/>
                <w:color w:val="70ad47"/>
              </w:rPr>
              <w:t xml:space="preserve">1450mm</w:t>
            </w:r>
            <w:r>
              <w:rPr>
                <w:rFonts w:hint="eastAsia" w:ascii="宋体" w:hAnsi="宋体" w:cs="宋体"/>
              </w:rPr>
              <w:t xml:space="preserve">*</w:t>
            </w:r>
            <w:r>
              <w:rPr>
                <w:rFonts w:hint="eastAsia" w:ascii="宋体" w:hAnsi="宋体" w:cs="宋体"/>
                <w:color w:val="70ad47"/>
                <w:lang w:val="en-US" w:eastAsia="zh-CN"/>
              </w:rPr>
              <w:t xml:space="preserve">2400</w:t>
            </w:r>
            <w:r>
              <w:rPr>
                <w:rFonts w:hint="eastAsia" w:ascii="宋体" w:hAnsi="宋体" w:cs="宋体"/>
                <w:color w:val="70ad47"/>
              </w:rPr>
              <w:t xml:space="preserve">mm</w:t>
            </w:r>
            <w:r/>
          </w:p>
        </w:tc>
      </w:tr>
      <w:tr>
        <w:trPr>
          <w:trHeight w:val="530"/>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底坑深度</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color w:val="70ad47"/>
              </w:rPr>
              <w:t xml:space="preserve">1400mm</w:t>
            </w:r>
            <w:r/>
          </w:p>
        </w:tc>
      </w:tr>
      <w:tr>
        <w:trPr>
          <w:trHeight w:val="566"/>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顶层高度</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4300mm</w:t>
            </w:r>
            <w:r/>
          </w:p>
        </w:tc>
      </w:tr>
      <w:tr>
        <w:trPr>
          <w:trHeight w:val="540"/>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提升高度</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9000mm</w:t>
            </w:r>
            <w:r/>
          </w:p>
        </w:tc>
      </w:tr>
      <w:tr>
        <w:trPr>
          <w:trHeight w:val="540"/>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控制方式</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集选</w:t>
            </w:r>
            <w:r/>
          </w:p>
        </w:tc>
      </w:tr>
      <w:tr>
        <w:trPr>
          <w:trHeight w:val="660"/>
        </w:trPr>
        <w:tc>
          <w:tcPr>
            <w:gridSpan w:val="2"/>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曳引绳</w:t>
            </w:r>
            <w:r/>
          </w:p>
        </w:tc>
        <w:tc>
          <w:tcPr>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ascii="宋体" w:hAnsi="宋体" w:cs="宋体"/>
              </w:rPr>
            </w:pPr>
            <w:r>
              <w:rPr>
                <w:rFonts w:hint="eastAsia" w:ascii="宋体" w:hAnsi="宋体" w:cs="宋体"/>
              </w:rPr>
              <w:t xml:space="preserve">钢丝绳</w:t>
            </w:r>
            <w:r/>
          </w:p>
        </w:tc>
      </w:tr>
      <w:tr>
        <w:trPr>
          <w:trHeight w:val="720"/>
        </w:trPr>
        <w:tc>
          <w:tcPr>
            <w:gridSpan w:val="2"/>
            <w:shd w:val="clear" w:color="auto" w:fill="auto"/>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消防功能</w:t>
            </w:r>
            <w:r>
              <w:rPr>
                <w:rFonts w:hint="eastAsia" w:ascii="宋体" w:hAnsi="宋体" w:cs="宋体"/>
              </w:rPr>
              <w:tab/>
            </w:r>
            <w:r/>
          </w:p>
        </w:tc>
        <w:tc>
          <w:tcPr>
            <w:shd w:val="clear" w:color="auto" w:fill="ffffff"/>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(1)具备消防功能的电梯应按国家规范要求配置消防功能，并设有专门的消防运行状态，在消防状态下由消防员通过手动运行电梯实行救灾行动。  (2)所有电梯须具备消防迫降功能。</w:t>
            </w:r>
            <w:r/>
          </w:p>
        </w:tc>
      </w:tr>
      <w:tr>
        <w:trPr>
          <w:trHeight w:val="720"/>
        </w:trPr>
        <w:tc>
          <w:tcPr>
            <w:gridSpan w:val="2"/>
            <w:shd w:val="clear" w:color="auto" w:fill="auto"/>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color w:val="auto"/>
              </w:rPr>
            </w:pPr>
            <w:r>
              <w:rPr>
                <w:rFonts w:hint="eastAsia" w:ascii="宋体" w:hAnsi="宋体" w:cs="宋体"/>
                <w:color w:val="auto"/>
              </w:rPr>
              <w:t xml:space="preserve">视频监控</w:t>
            </w:r>
            <w:r/>
          </w:p>
        </w:tc>
        <w:tc>
          <w:tcPr>
            <w:shd w:val="clear" w:color="auto" w:fill="ffffff"/>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hint="eastAsia" w:ascii="宋体" w:hAnsi="宋体" w:cs="宋体"/>
                <w:color w:val="auto"/>
              </w:rPr>
            </w:pPr>
            <w:r>
              <w:rPr>
                <w:rFonts w:hint="eastAsia" w:ascii="宋体" w:hAnsi="宋体" w:cs="宋体"/>
                <w:color w:val="auto"/>
              </w:rPr>
              <w:t xml:space="preserve">放置于随行电缆及预留孔用于日后智能化公司安装摄像头</w:t>
            </w:r>
            <w:r/>
          </w:p>
        </w:tc>
      </w:tr>
      <w:tr>
        <w:trPr>
          <w:trHeight w:val="551"/>
        </w:trPr>
        <w:tc>
          <w:tcPr>
            <w:gridSpan w:val="2"/>
            <w:shd w:val="clear" w:color="auto" w:fill="auto"/>
            <w:tcBorders>
              <w:top w:val="none" w:color="000000" w:sz="4" w:space="0"/>
              <w:left w:val="single" w:color="000000" w:sz="8" w:space="0"/>
              <w:bottom w:val="single" w:color="000000" w:sz="8" w:space="0"/>
              <w:right w:val="single" w:color="000000" w:sz="8" w:space="0"/>
            </w:tcBorders>
            <w:tcW w:w="2848" w:type="dxa"/>
            <w:vAlign w:val="center"/>
            <w:vMerge w:val="restart"/>
            <w:textDirection w:val="lrTb"/>
            <w:noWrap w:val="false"/>
          </w:tcPr>
          <w:p>
            <w:pPr>
              <w:spacing w:line="320" w:lineRule="exact"/>
              <w:rPr>
                <w:rFonts w:ascii="宋体" w:hAnsi="宋体" w:cs="宋体"/>
              </w:rPr>
            </w:pPr>
            <w:r>
              <w:rPr>
                <w:rFonts w:hint="eastAsia" w:ascii="宋体" w:hAnsi="宋体" w:cs="宋体"/>
              </w:rPr>
              <w:t xml:space="preserve">通信系统</w:t>
            </w:r>
            <w:r/>
          </w:p>
        </w:tc>
        <w:tc>
          <w:tcPr>
            <w:shd w:val="clear" w:color="auto" w:fill="ffffff"/>
            <w:tcBorders>
              <w:top w:val="none" w:color="000000" w:sz="4" w:space="0"/>
              <w:left w:val="none" w:color="000000" w:sz="4" w:space="0"/>
              <w:bottom w:val="none" w:color="000000" w:sz="4" w:space="0"/>
              <w:right w:val="single" w:color="000000" w:sz="8" w:space="0"/>
            </w:tcBorders>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(1)按国家规范要求配置五方通话系统；</w:t>
            </w:r>
            <w:r/>
          </w:p>
        </w:tc>
      </w:tr>
      <w:tr>
        <w:trPr>
          <w:trHeight w:val="422"/>
        </w:trPr>
        <w:tc>
          <w:tcPr>
            <w:gridSpan w:val="2"/>
            <w:shd w:val="clear" w:color="auto" w:fill="auto"/>
            <w:tcBorders>
              <w:top w:val="none" w:color="000000" w:sz="4" w:space="0"/>
              <w:left w:val="single" w:color="000000" w:sz="8" w:space="0"/>
              <w:bottom w:val="single" w:color="000000" w:sz="8" w:space="0"/>
              <w:right w:val="single" w:color="000000" w:sz="8" w:space="0"/>
            </w:tcBorders>
            <w:tcW w:w="2848" w:type="dxa"/>
            <w:vAlign w:val="center"/>
            <w:vMerge w:val="continue"/>
            <w:textDirection w:val="lrTb"/>
            <w:noWrap w:val="false"/>
          </w:tcPr>
          <w:p>
            <w:pPr>
              <w:spacing w:line="320" w:lineRule="exact"/>
              <w:rPr>
                <w:rFonts w:ascii="宋体" w:hAnsi="宋体" w:cs="宋体"/>
              </w:rPr>
            </w:pPr>
            <w:r>
              <w:rPr>
                <w:rFonts w:ascii="宋体" w:hAnsi="宋体" w:cs="宋体"/>
              </w:rPr>
            </w:r>
            <w:r/>
          </w:p>
        </w:tc>
        <w:tc>
          <w:tcPr>
            <w:shd w:val="clear" w:color="auto" w:fill="ffffff"/>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(2)值班室电话为集中控制的主机，办公楼内布线由采购方负责完成；</w:t>
            </w:r>
            <w:r/>
          </w:p>
        </w:tc>
      </w:tr>
      <w:tr>
        <w:trPr>
          <w:trHeight w:val="640"/>
        </w:trPr>
        <w:tc>
          <w:tcPr>
            <w:gridSpan w:val="2"/>
            <w:shd w:val="clear" w:color="auto" w:fill="auto"/>
            <w:tcBorders>
              <w:top w:val="none" w:color="000000" w:sz="4" w:space="0"/>
              <w:left w:val="single" w:color="000000" w:sz="8" w:space="0"/>
              <w:bottom w:val="single" w:color="000000" w:sz="8"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地坎</w:t>
            </w:r>
            <w:r/>
          </w:p>
        </w:tc>
        <w:tc>
          <w:tcPr>
            <w:shd w:val="clear" w:color="auto" w:fill="ffffff"/>
            <w:tcBorders>
              <w:top w:val="none" w:color="000000" w:sz="4" w:space="0"/>
              <w:left w:val="none" w:color="000000" w:sz="4" w:space="0"/>
              <w:bottom w:val="single" w:color="000000" w:sz="8" w:space="0"/>
              <w:right w:val="single" w:color="000000" w:sz="8" w:space="0"/>
            </w:tcBorders>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硬质铝合金</w:t>
            </w:r>
            <w:r/>
          </w:p>
        </w:tc>
      </w:tr>
      <w:tr>
        <w:trPr>
          <w:trHeight w:val="660"/>
        </w:trPr>
        <w:tc>
          <w:tcPr>
            <w:gridSpan w:val="2"/>
            <w:shd w:val="clear" w:color="auto" w:fill="auto"/>
            <w:tcBorders>
              <w:top w:val="none" w:color="000000" w:sz="4" w:space="0"/>
              <w:left w:val="single" w:color="000000" w:sz="8" w:space="0"/>
              <w:bottom w:val="single" w:color="auto" w:sz="4"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轿底材质</w:t>
            </w:r>
            <w:r/>
          </w:p>
        </w:tc>
        <w:tc>
          <w:tcPr>
            <w:shd w:val="clear" w:color="auto" w:fill="ffffff"/>
            <w:tcBorders>
              <w:top w:val="none" w:color="000000" w:sz="4" w:space="0"/>
              <w:left w:val="none" w:color="000000" w:sz="4" w:space="0"/>
              <w:bottom w:val="single" w:color="auto" w:sz="4" w:space="0"/>
              <w:right w:val="single" w:color="000000" w:sz="8" w:space="0"/>
            </w:tcBorders>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耐磨PVC地板</w:t>
            </w:r>
            <w:r/>
          </w:p>
        </w:tc>
      </w:tr>
      <w:tr>
        <w:trPr>
          <w:trHeight w:val="660"/>
        </w:trPr>
        <w:tc>
          <w:tcPr>
            <w:gridSpan w:val="2"/>
            <w:shd w:val="clear" w:color="auto" w:fill="auto"/>
            <w:tcBorders>
              <w:top w:val="none" w:color="000000" w:sz="4" w:space="0"/>
              <w:left w:val="single" w:color="000000" w:sz="8" w:space="0"/>
              <w:bottom w:val="single" w:color="auto" w:sz="4" w:space="0"/>
              <w:right w:val="single" w:color="000000" w:sz="8" w:space="0"/>
            </w:tcBorders>
            <w:tcW w:w="2848" w:type="dxa"/>
            <w:vAlign w:val="center"/>
            <w:textDirection w:val="lrTb"/>
            <w:noWrap w:val="false"/>
          </w:tcPr>
          <w:p>
            <w:pPr>
              <w:spacing w:line="320" w:lineRule="exact"/>
              <w:rPr>
                <w:rFonts w:ascii="宋体" w:hAnsi="宋体" w:cs="宋体"/>
              </w:rPr>
            </w:pPr>
            <w:r>
              <w:rPr>
                <w:rFonts w:hint="eastAsia" w:ascii="宋体" w:hAnsi="宋体" w:cs="宋体"/>
              </w:rPr>
              <w:t xml:space="preserve">特殊要求</w:t>
            </w:r>
            <w:r/>
          </w:p>
        </w:tc>
        <w:tc>
          <w:tcPr>
            <w:shd w:val="clear" w:color="auto" w:fill="ffffff"/>
            <w:tcBorders>
              <w:top w:val="none" w:color="000000" w:sz="4" w:space="0"/>
              <w:left w:val="none" w:color="000000" w:sz="4" w:space="0"/>
              <w:bottom w:val="single" w:color="auto" w:sz="4" w:space="0"/>
              <w:right w:val="single" w:color="000000" w:sz="8" w:space="0"/>
            </w:tcBorders>
            <w:tcW w:w="6339" w:type="dxa"/>
            <w:vAlign w:val="center"/>
            <w:textDirection w:val="lrTb"/>
            <w:noWrap w:val="false"/>
          </w:tcPr>
          <w:p>
            <w:pPr>
              <w:spacing w:line="320" w:lineRule="exact"/>
              <w:rPr>
                <w:rFonts w:hint="eastAsia" w:ascii="宋体" w:hAnsi="宋体" w:cs="宋体"/>
              </w:rPr>
            </w:pPr>
            <w:r>
              <w:rPr>
                <w:rFonts w:hint="eastAsia" w:ascii="宋体" w:hAnsi="宋体" w:cs="宋体"/>
              </w:rPr>
              <w:t xml:space="preserve">残疾人操作装置，具备节能、物联网功能 </w:t>
            </w:r>
            <w:r/>
          </w:p>
        </w:tc>
      </w:tr>
    </w:tbl>
    <w:p>
      <w:pPr>
        <w:rPr>
          <w:rFonts w:ascii="宋体" w:hAnsi="宋体" w:cs="宋体"/>
          <w:b/>
          <w:bCs/>
        </w:rPr>
      </w:pPr>
      <w:r>
        <w:rPr>
          <w:rFonts w:ascii="宋体" w:hAnsi="宋体" w:cs="宋体"/>
          <w:b/>
          <w:bCs/>
        </w:rPr>
      </w:r>
      <w:r/>
    </w:p>
    <w:p>
      <w:pPr>
        <w:ind w:firstLine="420"/>
        <w:rPr>
          <w:rFonts w:ascii="宋体" w:hAnsi="宋体" w:cs="宋体"/>
          <w:b/>
          <w:bCs/>
        </w:rPr>
      </w:pPr>
      <w:r>
        <w:rPr>
          <w:rFonts w:hint="eastAsia" w:ascii="宋体" w:hAnsi="宋体" w:cs="宋体"/>
          <w:b/>
          <w:bCs/>
        </w:rPr>
        <w:t xml:space="preserve">2.乘客电梯技术需求</w:t>
      </w:r>
      <w:r/>
    </w:p>
    <w:tbl>
      <w:tblPr>
        <w:tblStyle w:val="1053"/>
        <w:tblW w:w="9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6"/>
        <w:gridCol w:w="2213"/>
        <w:gridCol w:w="7045"/>
      </w:tblGrid>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电梯变频驱动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rPr>
                <w:rFonts w:ascii="宋体" w:hAnsi="宋体" w:cs="宋体"/>
              </w:rPr>
            </w:pPr>
            <w:r>
              <w:rPr>
                <w:rFonts w:hint="eastAsia" w:ascii="宋体" w:hAnsi="宋体" w:cs="宋体"/>
              </w:rPr>
              <w:t xml:space="preserve">精确调整电动机转速，令电梯启动、运行、停止时的速度曲线平稳、圆滑，获得良好的舒适感。</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门机变频驱动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rPr>
                <w:rFonts w:ascii="宋体" w:hAnsi="宋体" w:cs="宋体"/>
              </w:rPr>
            </w:pPr>
            <w:r>
              <w:rPr>
                <w:rFonts w:hint="eastAsia" w:ascii="宋体" w:hAnsi="宋体" w:cs="宋体"/>
              </w:rPr>
              <w:t xml:space="preserve">精确调整电动机转速，使门机的开启、关闭更轻柔灵敏。</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修正运行</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rPr>
                <w:rFonts w:ascii="宋体" w:hAnsi="宋体" w:cs="宋体"/>
              </w:rPr>
            </w:pPr>
            <w:r>
              <w:rPr>
                <w:rFonts w:hint="eastAsia" w:ascii="宋体" w:hAnsi="宋体" w:cs="宋体"/>
              </w:rPr>
              <w:t xml:space="preserve">电梯因电源扰动、断电或对电梯系统的通信干扰导致电梯停在两层之间，当电源恢复或干扰消失后，驱动系统会把电梯运行到最近楼层。</w:t>
            </w:r>
            <w:r/>
          </w:p>
        </w:tc>
      </w:tr>
      <w:tr>
        <w:trPr>
          <w:jc w:val="center"/>
          <w:trHeight w:val="448"/>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电源相位故障监测</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rPr>
                <w:rFonts w:ascii="宋体" w:hAnsi="宋体" w:cs="宋体"/>
              </w:rPr>
            </w:pPr>
            <w:r>
              <w:rPr>
                <w:rFonts w:hint="eastAsia" w:ascii="宋体" w:hAnsi="宋体" w:cs="宋体"/>
              </w:rPr>
              <w:t xml:space="preserve">电源相位故障监测功能在电梯供电电源中一相或几相电压过低或断相时使用电梯停止运行；供电源正常时电梯恢复正常运行。</w:t>
            </w:r>
            <w:r/>
          </w:p>
        </w:tc>
      </w:tr>
      <w:tr>
        <w:trPr>
          <w:jc w:val="center"/>
          <w:trHeight w:val="669"/>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运行时间监察</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rPr>
                <w:rFonts w:ascii="宋体" w:hAnsi="宋体" w:cs="宋体"/>
              </w:rPr>
            </w:pPr>
            <w:r>
              <w:rPr>
                <w:rFonts w:hint="eastAsia" w:ascii="宋体" w:hAnsi="宋体" w:cs="宋体"/>
              </w:rPr>
              <w:t xml:space="preserve">当控制系统检测到因电梯的轿厢、对重或其他任何运动部件卡滞而产生的曳引机运转时间超过了设定的时间，会使曳引机停止运转。</w:t>
            </w:r>
            <w:r/>
          </w:p>
        </w:tc>
      </w:tr>
      <w:tr>
        <w:trPr>
          <w:jc w:val="center"/>
          <w:trHeight w:val="399"/>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6</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电阻制动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s>
              <w:rPr>
                <w:rFonts w:ascii="宋体" w:hAnsi="宋体" w:cs="宋体"/>
              </w:rPr>
            </w:pPr>
            <w:r>
              <w:rPr>
                <w:rFonts w:hint="eastAsia" w:ascii="宋体" w:hAnsi="宋体" w:cs="宋体"/>
              </w:rPr>
              <w:t xml:space="preserve">电梯减速时，曳引机产生再生能量，采用电阻吸收再生能量。</w:t>
            </w:r>
            <w:r/>
          </w:p>
        </w:tc>
      </w:tr>
      <w:tr>
        <w:trPr>
          <w:jc w:val="center"/>
          <w:trHeight w:val="412"/>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7</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缓冲器开关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s>
              <w:rPr>
                <w:rFonts w:ascii="宋体" w:hAnsi="宋体" w:cs="宋体"/>
              </w:rPr>
            </w:pPr>
            <w:r>
              <w:rPr>
                <w:rFonts w:hint="eastAsia" w:ascii="宋体" w:hAnsi="宋体" w:cs="宋体"/>
              </w:rPr>
              <w:t xml:space="preserve">当采用液压缓冲器时，缓冲器的安全监察开关，反馈缓冲器工作状况。</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8</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关门按钮</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当乘用/离开的乘客均已进/出轿厢后，轿厢内的乘客按关门按钮，使轿厢门立即关闭。</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9</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开门按钮（常开触点）</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按轿厢内的开门按钮可以打开正在关闭的门，以防止乘客及物品被夹住。</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同步运行</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如果电梯丢失楼层位置信号，电梯自动返回端站进行同步校正。</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12</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应急轿厢照明</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在轿厢照明电源故障时，轿厢内一个独立的应急照明灯亮。</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13</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应急电池供电</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应急电池始终给电梯报警系统供电，并在轿厢照明电源故障时给轿厢应急照明灯供电。电池在电梯正常时自动充电，且电池状况及其电量一直被监控。</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14</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五方通话</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通过对讲机，使轿厢、轿顶、底坑、机房和救援服务值班室之间可以通话。</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15</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检修运行</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在检修运行模式，按检修运行按钮电梯以限定速度运行。</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16</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维修用开门按钮</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在检修运行模式下，持续按压独立设在轿顶的按钮，可以控制轿厢开门或关门。</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17</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轿门触点</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用于监控轿门是否关好。</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18</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禁止开门开关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设在控制柜内的一个开关，检修时用于禁止轿厢门打开。</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19</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底坑急停开关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按下井道底坑急停开关，可使电梯停止运行。</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20</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轿顶急停开关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按下轿顶急停开关，可使电梯停止运行。</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禁止外呼开关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控制柜内一只单独开关，用于断开电梯外呼。</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22</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安全钳安全开关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当安全钳动作时，与之联动的安全开关使电梯停止运行。</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23</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限速器涨紧块安全开关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当限速器钢丝绳松弛、松开或断裂时，使该安全开关动作，电梯停止运行。</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24</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内呼快速关门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当有新内呼信号登记时，处于打开位置的门快速关门。</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25</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外呼重新开门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当电梯门已关门，但未启动时，本层同方向的外呼信号能重新开门。</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26</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光幕</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装于轿厢入口或轿厢门板上光幕，当红外光线被遮挡时，防止关门或重新打开正在关的门。</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27</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轿厢内照明监察</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当轿厢照明电源故障时（群控系统时，该电梯从群控中脱离），取消所有内呼信号，运行到下一个停靠站后，电梯停止运行。</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28</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按钮粘连监察</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所有内外呼按钮都被监控以防止粘连。</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29</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取消轿厢虚假召唤</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通过检查电梯连续两次停靠，在没有光幕被遮断或电梯未开门时，取消所有内呼。</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30</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反向内呼</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与当前运行方向相反的轿内反向内呼可以被接受后登记。</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外呼互锁</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防止同时登记一层站上的上、下外呼两个信号</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32</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轿厢照明自动控制</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电梯最后一次运行结束，所有层门和轿门都关闭，预置时间后，轿厢照明关闭；电梯有新召唤信号时，轿厢照明重新打开。</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33</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轿厢通风自动控制</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电梯最后一次运行结束，所有层门和轿门都关闭，预置时间后，轿厢通风关闭；电梯有新召唤信号时，轿厢通风重新打开。</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34</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轿厢照明主开关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安装在机房墙上的轿厢照明主开关，可以切断轿厢照明电源，或当轿厢照明漏电时，防止人员触电。</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35</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电梯主开关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安装在机房墙壁上的电梯主开关，可以切断除电梯照明供电以外的其它电梯供电。</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36</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退出服务开关</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该开关动作后，电梯仍服务所有已登记的内呼但不接受新内呼。</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37</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自动返基站</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当电梯空闲时，自动返回基站；电梯门关闭。</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38</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满载直驶</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当电梯满载时，只响应内呼，不响应外呼。</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39</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外呼登录显示灯</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显示灯亮表示外呼信号已被登记。外呼信号已被服务时灯熄灭。</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40</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超载停梯</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如果轿厢载重超过电梯额定载重的10%，电梯不能起动，电梯门开着，轿厢内的超载信号闪烁或警报器响，提示部分乘客离开轿厢。</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轿厢位置显示</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轿厢位置指示器显示轿厢所在的楼层区域。</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42</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运动方向指示</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方向箭头显示轿厢实际或将要运行的方向。</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43</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内呼登记显示灯</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显示灯亮表示内呼信号已被登记；内呼信号已被服务时灯熄灭。</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44</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起动计数器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控制柜内的控制主板统计电梯从一层到另一层的累积起动次数。</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45</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远程关闭</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通过钥匙开关，电梯可以被召唤到基站（服务完成后），并自动退出服务。</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46</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上行超速保护</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当电梯上行速度超过额定速度约1.2倍时，系统自动将电梯减速或制停。</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47</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下行超速保护</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当电梯下行的速度超过额定速度1.2倍时，系统自动切断控制电源，使电源减速或制停；如电梯继续下行，其速度超过额定速度约1.4倍时，安全钳动作，强制电梯停止运行，保证安全。</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48</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精确再平层</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rPr>
                <w:rFonts w:ascii="宋体" w:hAnsi="宋体" w:cs="宋体"/>
              </w:rPr>
            </w:pPr>
            <w:r>
              <w:rPr>
                <w:rFonts w:hint="eastAsia" w:ascii="宋体" w:hAnsi="宋体" w:cs="宋体"/>
              </w:rPr>
              <w:t xml:space="preserve">当电梯在开门区域停靠时，由于乘客（或货物）进出轿厢，使轿厢偏离了平层位置，电梯会自动运行返回平层位置。</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49</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误召唤删除</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当乘客发现所按指令有误时，可双击该指令来消除召唤。</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50</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消防联动</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 w:val="left" w:pos="6300" w:leader="none"/>
              </w:tabs>
              <w:rPr>
                <w:rFonts w:ascii="宋体" w:hAnsi="宋体" w:cs="宋体"/>
              </w:rPr>
            </w:pPr>
            <w:r>
              <w:rPr>
                <w:rFonts w:hint="eastAsia" w:ascii="宋体" w:hAnsi="宋体" w:cs="宋体"/>
              </w:rPr>
              <w:t xml:space="preserve">当大楼火警探测器动作并给电梯指令后，电梯驶到撤离层，开门释放乘客；停梯等待直到火警信号结束。</w:t>
            </w:r>
            <w:r/>
          </w:p>
        </w:tc>
      </w:tr>
      <w:tr>
        <w:trPr>
          <w:jc w:val="center"/>
        </w:trPr>
        <w:tc>
          <w:tcPr>
            <w:tcBorders>
              <w:top w:val="single" w:color="auto" w:sz="4" w:space="0"/>
              <w:left w:val="single" w:color="auto" w:sz="4" w:space="0"/>
              <w:bottom w:val="single" w:color="auto" w:sz="4" w:space="0"/>
              <w:right w:val="single" w:color="auto" w:sz="4" w:space="0"/>
            </w:tcBorders>
            <w:tcW w:w="586" w:type="dxa"/>
            <w:vAlign w:val="center"/>
            <w:textDirection w:val="lrTb"/>
            <w:noWrap w:val="false"/>
          </w:tcPr>
          <w:p>
            <w:pPr>
              <w:jc w:val="center"/>
              <w:spacing w:line="380" w:lineRule="exact"/>
              <w:rPr>
                <w:rFonts w:ascii="宋体" w:hAnsi="宋体" w:cs="宋体"/>
              </w:rPr>
            </w:pPr>
            <w:r>
              <w:rPr>
                <w:rFonts w:hint="eastAsia" w:ascii="宋体" w:hAnsi="宋体" w:cs="宋体"/>
              </w:rPr>
              <w:t xml:space="preserve">51</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spacing w:line="320" w:lineRule="exact"/>
              <w:rPr>
                <w:rFonts w:ascii="宋体" w:hAnsi="宋体" w:cs="宋体"/>
              </w:rPr>
            </w:pPr>
            <w:r>
              <w:rPr>
                <w:rFonts w:hint="eastAsia" w:ascii="宋体" w:hAnsi="宋体" w:cs="宋体"/>
              </w:rPr>
              <w:t xml:space="preserve">消防运行</w:t>
            </w:r>
            <w:r/>
          </w:p>
        </w:tc>
        <w:tc>
          <w:tcPr>
            <w:tcBorders>
              <w:top w:val="single" w:color="auto" w:sz="4" w:space="0"/>
              <w:left w:val="single" w:color="auto" w:sz="4" w:space="0"/>
              <w:bottom w:val="single" w:color="auto" w:sz="4" w:space="0"/>
              <w:right w:val="single" w:color="auto" w:sz="4" w:space="0"/>
            </w:tcBorders>
            <w:tcW w:w="7045" w:type="dxa"/>
            <w:vAlign w:val="center"/>
            <w:textDirection w:val="lrTb"/>
            <w:noWrap w:val="false"/>
          </w:tcPr>
          <w:p>
            <w:pPr>
              <w:spacing w:line="320" w:lineRule="exact"/>
              <w:tabs>
                <w:tab w:val="left" w:pos="900" w:leader="none"/>
              </w:tabs>
              <w:rPr>
                <w:rFonts w:ascii="宋体" w:hAnsi="宋体" w:cs="宋体"/>
              </w:rPr>
            </w:pPr>
            <w:r>
              <w:rPr>
                <w:rFonts w:hint="eastAsia" w:ascii="宋体" w:hAnsi="宋体" w:cs="宋体"/>
              </w:rPr>
              <w:t xml:space="preserve">当电梯消防开关动作后，电梯自动返回撤离楼层，开门释放乘客后，电梯转入消防员运行状态。</w:t>
            </w:r>
            <w:r/>
          </w:p>
        </w:tc>
      </w:tr>
    </w:tbl>
    <w:p>
      <w:pPr>
        <w:spacing w:line="420" w:lineRule="exact"/>
        <w:rPr>
          <w:rFonts w:hint="eastAsia" w:asciiTheme="minorEastAsia" w:hAnsiTheme="minorEastAsia" w:eastAsiaTheme="minorEastAsia" w:cstheme="minorEastAsia"/>
          <w:b w:val="0"/>
          <w:bCs/>
          <w:sz w:val="21"/>
          <w:szCs w:val="21"/>
        </w:rPr>
        <w:sectPr>
          <w:headerReference w:type="default" r:id="rId9"/>
          <w:footerReference w:type="default" r:id="rId14"/>
          <w:footerReference w:type="even" r:id="rId15"/>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szCs w:val="21"/>
        </w:rPr>
        <w:t xml:space="preserve">说明：在以上功能的基础上，本次投标人认为还需要增加的必备功能，可向</w:t>
      </w:r>
      <w:r>
        <w:rPr>
          <w:rFonts w:hint="eastAsia" w:ascii="宋体" w:hAnsi="宋体" w:cs="宋体"/>
          <w:b/>
          <w:bCs/>
          <w:szCs w:val="21"/>
          <w:lang w:val="en-US" w:eastAsia="zh-CN"/>
        </w:rPr>
        <w:t xml:space="preserve">甲方</w:t>
      </w:r>
      <w:r>
        <w:rPr>
          <w:rFonts w:hint="eastAsia" w:ascii="宋体" w:hAnsi="宋体" w:cs="宋体"/>
          <w:b/>
          <w:bCs/>
          <w:szCs w:val="21"/>
        </w:rPr>
        <w:t xml:space="preserve">推荐，并在投标文件中注明价格，此价格包含在投标总价中。</w:t>
      </w:r>
      <w:r/>
    </w:p>
    <w:p>
      <w:pPr>
        <w:pStyle w:val="1083"/>
        <w:spacing w:line="300" w:lineRule="exact"/>
        <w:rPr>
          <w:rFonts w:hint="eastAsia" w:asciiTheme="minorEastAsia" w:hAnsiTheme="minorEastAsia" w:eastAsiaTheme="minorEastAsia" w:cstheme="minorEastAsia"/>
          <w:b w:val="0"/>
          <w:bCs/>
          <w:color w:val="ff0000"/>
          <w:sz w:val="21"/>
          <w:szCs w:val="21"/>
        </w:rPr>
      </w:pPr>
      <w:r>
        <w:rPr>
          <w:rFonts w:hint="eastAsia" w:asciiTheme="minorEastAsia" w:hAnsiTheme="minorEastAsia" w:eastAsiaTheme="minorEastAsia" w:cstheme="minorEastAsia"/>
          <w:b w:val="0"/>
          <w:bCs/>
          <w:color w:val="ff0000"/>
          <w:sz w:val="21"/>
          <w:szCs w:val="21"/>
          <w:lang w:val="en-US" w:eastAsia="zh-CN"/>
        </w:rPr>
        <w:t xml:space="preserve">四</w:t>
      </w:r>
      <w:r>
        <w:rPr>
          <w:rFonts w:hint="eastAsia" w:asciiTheme="minorEastAsia" w:hAnsiTheme="minorEastAsia" w:eastAsiaTheme="minorEastAsia" w:cstheme="minorEastAsia"/>
          <w:b w:val="0"/>
          <w:bCs/>
          <w:color w:val="ff0000"/>
          <w:sz w:val="21"/>
          <w:szCs w:val="21"/>
        </w:rPr>
        <w:t xml:space="preserve">、售后服务要求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投标人依据现场实际情况和招标文件的要求，提供具体详实的售后服务方案：包括售后服务及电梯故障响应机制，在电梯发生故障时将故障排除，对于电梯的维修和质保应满足以下要求。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1、电梯交付后，</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须提供电梯使用地(同城)的报修电话，并保证 24小时有人接听。</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必须参照《电梯使用管理与维修保养规则》的要求，紧急故障反应时间小于 30分钟，一般故障修复时间小于 60分钟，较大故障修复时间小于36小时。完成修理后，</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应提交维修情况书面报告(包括但不限于故障原因、修理概况、恢复正常的时间和日期)。</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2、质保期最少</w:t>
      </w:r>
      <w:r>
        <w:rPr>
          <w:rFonts w:hint="eastAsia" w:asciiTheme="minorEastAsia" w:hAnsiTheme="minorEastAsia" w:eastAsiaTheme="minorEastAsia" w:cstheme="minorEastAsia"/>
          <w:b w:val="0"/>
          <w:bCs/>
          <w:sz w:val="21"/>
          <w:szCs w:val="21"/>
          <w:lang w:val="en-US" w:eastAsia="zh-CN"/>
        </w:rPr>
        <w:t xml:space="preserve">5</w:t>
      </w:r>
      <w:r>
        <w:rPr>
          <w:rFonts w:hint="eastAsia" w:asciiTheme="minorEastAsia" w:hAnsiTheme="minorEastAsia" w:eastAsiaTheme="minorEastAsia" w:cstheme="minorEastAsia"/>
          <w:b w:val="0"/>
          <w:bCs/>
          <w:sz w:val="21"/>
          <w:szCs w:val="21"/>
        </w:rPr>
        <w:t xml:space="preserve">年。质保期内，</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每1个月至少例行检查维保2次，并将检查情况书面报告采购人；质保期届满前30日内，</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应全面检查一次，并将检查情况书面报告采购人。质保期内，</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负责电梯年检事宜，包括更换部件与相应人工费。并承担质监部门的电梯年检费(含1次/年监督检验费，1次/年电梯安全责任保险保险费，与保修年数相同次数的定期检验费)，保证年检合格。</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r>
      <w:r/>
    </w:p>
    <w:p>
      <w:pPr>
        <w:pStyle w:val="1083"/>
        <w:spacing w:line="300" w:lineRule="exact"/>
        <w:rPr>
          <w:rFonts w:hint="eastAsia" w:asciiTheme="minorEastAsia" w:hAnsiTheme="minorEastAsia" w:eastAsiaTheme="minorEastAsia" w:cstheme="minorEastAsia"/>
          <w:b w:val="0"/>
          <w:bCs/>
          <w:color w:val="ff0000"/>
          <w:sz w:val="21"/>
          <w:szCs w:val="21"/>
        </w:rPr>
      </w:pPr>
      <w:r>
        <w:rPr>
          <w:rFonts w:hint="eastAsia" w:asciiTheme="minorEastAsia" w:hAnsiTheme="minorEastAsia" w:eastAsiaTheme="minorEastAsia" w:cstheme="minorEastAsia"/>
          <w:b w:val="0"/>
          <w:bCs/>
          <w:color w:val="ff0000"/>
          <w:sz w:val="21"/>
          <w:szCs w:val="21"/>
          <w:lang w:val="en-US" w:eastAsia="zh-CN"/>
        </w:rPr>
        <w:t xml:space="preserve">五</w:t>
      </w:r>
      <w:r>
        <w:rPr>
          <w:rFonts w:hint="eastAsia" w:asciiTheme="minorEastAsia" w:hAnsiTheme="minorEastAsia" w:eastAsiaTheme="minorEastAsia" w:cstheme="minorEastAsia"/>
          <w:b w:val="0"/>
          <w:bCs/>
          <w:color w:val="ff0000"/>
          <w:sz w:val="21"/>
          <w:szCs w:val="21"/>
        </w:rPr>
        <w:t xml:space="preserve">、项目深化设计、项目实施及质量控制方案</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(一)项目深化设计方案要求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 投标人应按《电梯制造与安装安全规范》等规定对本项目进行深化设计，确保电梯选型及安装符合本项目实际及国家相关规定。</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2、投标人应制订针对本项目的设计方案，包括匹配本项目要求的产品选型、产品技术性能优势介绍、产品安全性介绍、系统拓扑图、电梯轿厢的效果图等，设计方案应充分考虑</w:t>
      </w:r>
      <w:r>
        <w:rPr>
          <w:rFonts w:hint="eastAsia" w:asciiTheme="minorEastAsia" w:hAnsiTheme="minorEastAsia" w:eastAsiaTheme="minorEastAsia" w:cstheme="minorEastAsia"/>
          <w:b w:val="0"/>
          <w:bCs/>
          <w:sz w:val="21"/>
          <w:szCs w:val="21"/>
          <w:lang w:val="en-US" w:eastAsia="zh-CN"/>
        </w:rPr>
        <w:t xml:space="preserve">采购人</w:t>
      </w:r>
      <w:r>
        <w:rPr>
          <w:rFonts w:hint="eastAsia" w:asciiTheme="minorEastAsia" w:hAnsiTheme="minorEastAsia" w:eastAsiaTheme="minorEastAsia" w:cstheme="minorEastAsia"/>
          <w:b w:val="0"/>
          <w:bCs/>
          <w:sz w:val="21"/>
          <w:szCs w:val="21"/>
        </w:rPr>
        <w:t xml:space="preserve">使用的实际，确保项目高质量完成及后期稳定、安全运行。</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(二)项目生产供货进度方案要求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项目的实施方案应符合本项目实际需要，并确保在规定的</w:t>
      </w:r>
      <w:r>
        <w:rPr>
          <w:rFonts w:hint="eastAsia" w:asciiTheme="minorEastAsia" w:hAnsiTheme="minorEastAsia" w:eastAsiaTheme="minorEastAsia" w:cstheme="minorEastAsia"/>
          <w:b w:val="0"/>
          <w:bCs/>
          <w:color w:val="auto"/>
          <w:sz w:val="21"/>
          <w:szCs w:val="21"/>
          <w:lang w:val="en-US" w:eastAsia="zh-CN"/>
        </w:rPr>
        <w:t xml:space="preserve">采购人</w:t>
      </w:r>
      <w:r>
        <w:rPr>
          <w:rFonts w:hint="eastAsia" w:asciiTheme="minorEastAsia" w:hAnsiTheme="minorEastAsia" w:eastAsiaTheme="minorEastAsia" w:cstheme="minorEastAsia"/>
          <w:b w:val="0"/>
          <w:bCs/>
          <w:sz w:val="21"/>
          <w:szCs w:val="21"/>
        </w:rPr>
        <w:t xml:space="preserve">时间内完成。</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1、提供针对本项目具体的生产方案、供货计划及进度控制。</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(1)生产方案需提供投标货物主要生产、检验、测量设备说明。</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(2)供货计划需提供交货期及运输方案。</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(3)进度控制需提供供货计划。</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(三)安装方案</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1、提供针对本项目具体的安装方案，包括设备现场安装及安全要求：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(1)电梯安装现场必须有技术、安全人员监护；</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(2)电梯安装区域设置警戒线，有明显标志，并要有专人监护，安装期间现场严禁闲杂人员进出；</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(3)电梯安装前工作人员应对工具、附件等仔细检查，不合格者立即更换，确保正常使用；</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(4)电梯安装过程中，所有工作人员必须听从指挥人员的统一指挥和信号；</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(5)电梯安装过程中须有专人照看电源；</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(6)电梯安装过程中所有工作人员必须戴好安全帽，上高人员必须穿防滑鞋，高空作业必须系好安全带，配挂工具包；</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(7)电梯安装过程中严禁由高空向下抛投物品；</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(8)电梯安装过程中注意建筑物周边的障碍物，若有障碍物必须排除后方可作业，防止发生意外事故；</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(9)电梯安装过程中吊笼运动时，人体及装运的物件绝对不准超出吊笼护栏；</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(10)电梯安装过程中每道工序完成后经专人检查认可方能进行下一道安装工序；</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(11)电梯安装过程中发现异常，应立即停止安装工作，排除故障后才能继续安装；</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(12)电梯安装过程中吊笼载荷不允许超过额定安装载重量。</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(13)电梯安装期间绝对不允许非安装人员使用施工升降机；</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(14)安装期间严禁饮酒、打闹；</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(15)电梯安装完成后应仔细检查施工升降机的各机构，各部位是否应处于良好状态，发现问题及时处理。</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2、电梯的安装和调试要求需严格执与电梯相关的国家、行业和地方的法律法规、规范规程、标准、图集的要求：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(1)如需对井道等进行改造，</w:t>
      </w:r>
      <w:r>
        <w:rPr>
          <w:rFonts w:hint="eastAsia" w:asciiTheme="minorEastAsia" w:hAnsiTheme="minorEastAsia" w:eastAsiaTheme="minorEastAsia" w:cstheme="minorEastAsia"/>
          <w:b w:val="0"/>
          <w:bCs/>
          <w:sz w:val="21"/>
          <w:szCs w:val="21"/>
          <w:lang w:val="en-US" w:eastAsia="zh-CN"/>
        </w:rPr>
        <w:t xml:space="preserve">中标人</w:t>
      </w:r>
      <w:r>
        <w:rPr>
          <w:rFonts w:hint="eastAsia" w:asciiTheme="minorEastAsia" w:hAnsiTheme="minorEastAsia" w:eastAsiaTheme="minorEastAsia" w:cstheme="minorEastAsia"/>
          <w:b w:val="0"/>
          <w:bCs/>
          <w:sz w:val="21"/>
          <w:szCs w:val="21"/>
        </w:rPr>
        <w:t xml:space="preserve">须在收到</w:t>
      </w:r>
      <w:r>
        <w:rPr>
          <w:rFonts w:hint="eastAsia" w:asciiTheme="minorEastAsia" w:hAnsiTheme="minorEastAsia" w:eastAsiaTheme="minorEastAsia" w:cstheme="minorEastAsia"/>
          <w:b w:val="0"/>
          <w:bCs/>
          <w:sz w:val="21"/>
          <w:szCs w:val="21"/>
          <w:lang w:val="en-US" w:eastAsia="zh-CN"/>
        </w:rPr>
        <w:t xml:space="preserve">中标</w:t>
      </w:r>
      <w:r>
        <w:rPr>
          <w:rFonts w:hint="eastAsia" w:asciiTheme="minorEastAsia" w:hAnsiTheme="minorEastAsia" w:eastAsiaTheme="minorEastAsia" w:cstheme="minorEastAsia"/>
          <w:b w:val="0"/>
          <w:bCs/>
          <w:sz w:val="21"/>
          <w:szCs w:val="21"/>
        </w:rPr>
        <w:t xml:space="preserve">通知书之日起 15天内提交相关整改的书面详细要求(如发生变更原有建筑结构的维修改造，必须提供有资质的设计院出具的改造图纸)，并配合做好井道整改。如因</w:t>
      </w:r>
      <w:r>
        <w:rPr>
          <w:rFonts w:hint="eastAsia" w:asciiTheme="minorEastAsia" w:hAnsiTheme="minorEastAsia" w:eastAsiaTheme="minorEastAsia" w:cstheme="minorEastAsia"/>
          <w:b w:val="0"/>
          <w:bCs/>
          <w:sz w:val="21"/>
          <w:szCs w:val="21"/>
          <w:lang w:val="en-US" w:eastAsia="zh-CN"/>
        </w:rPr>
        <w:t xml:space="preserve">中标人</w:t>
      </w:r>
      <w:r>
        <w:rPr>
          <w:rFonts w:hint="eastAsia" w:asciiTheme="minorEastAsia" w:hAnsiTheme="minorEastAsia" w:eastAsiaTheme="minorEastAsia" w:cstheme="minorEastAsia"/>
          <w:b w:val="0"/>
          <w:bCs/>
          <w:sz w:val="21"/>
          <w:szCs w:val="21"/>
        </w:rPr>
        <w:t xml:space="preserve">原因造成不能及时安装和调试，由</w:t>
      </w:r>
      <w:r>
        <w:rPr>
          <w:rFonts w:hint="eastAsia" w:asciiTheme="minorEastAsia" w:hAnsiTheme="minorEastAsia" w:eastAsiaTheme="minorEastAsia" w:cstheme="minorEastAsia"/>
          <w:b w:val="0"/>
          <w:bCs/>
          <w:sz w:val="21"/>
          <w:szCs w:val="21"/>
          <w:lang w:val="en-US" w:eastAsia="zh-CN"/>
        </w:rPr>
        <w:t xml:space="preserve">中标人</w:t>
      </w:r>
      <w:r>
        <w:rPr>
          <w:rFonts w:hint="eastAsia" w:asciiTheme="minorEastAsia" w:hAnsiTheme="minorEastAsia" w:eastAsiaTheme="minorEastAsia" w:cstheme="minorEastAsia"/>
          <w:b w:val="0"/>
          <w:bCs/>
          <w:sz w:val="21"/>
          <w:szCs w:val="21"/>
        </w:rPr>
        <w:t xml:space="preserve">承担一切责任和损失。</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(2)所投电梯必须符合中华人民共和国电梯制造与安全规范的制造、安装标准和技术规范要求，</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须提供采购人所在地质量技术监督部门的验收合格证、运行证等。</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(3)本次采购规定的电梯设备，由</w:t>
      </w:r>
      <w:r>
        <w:rPr>
          <w:rFonts w:hint="eastAsia" w:asciiTheme="minorEastAsia" w:hAnsiTheme="minorEastAsia" w:eastAsiaTheme="minorEastAsia" w:cstheme="minorEastAsia"/>
          <w:b w:val="0"/>
          <w:bCs/>
          <w:sz w:val="21"/>
          <w:szCs w:val="21"/>
          <w:lang w:val="en-US" w:eastAsia="zh-CN"/>
        </w:rPr>
        <w:t xml:space="preserve">中标人</w:t>
      </w:r>
      <w:r>
        <w:rPr>
          <w:rFonts w:hint="eastAsia" w:asciiTheme="minorEastAsia" w:hAnsiTheme="minorEastAsia" w:eastAsiaTheme="minorEastAsia" w:cstheme="minorEastAsia"/>
          <w:b w:val="0"/>
          <w:bCs/>
          <w:sz w:val="21"/>
          <w:szCs w:val="21"/>
        </w:rPr>
        <w:t xml:space="preserve">负责运输到项目现场，并进行整机安装、调试及试运行，政府验收合格后交付采购人。</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(4)投标人依据现场实际情况和招标文件的要求，提供具体详实的项目实施方案。</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(四)项目安全文明施工方案要求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color w:val="auto"/>
          <w:sz w:val="21"/>
          <w:szCs w:val="21"/>
        </w:rPr>
        <w:t xml:space="preserve">本项目安装工作在</w:t>
      </w:r>
      <w:r>
        <w:rPr>
          <w:rFonts w:hint="eastAsia" w:asciiTheme="minorEastAsia" w:hAnsiTheme="minorEastAsia" w:eastAsiaTheme="minorEastAsia" w:cstheme="minorEastAsia"/>
          <w:b w:val="0"/>
          <w:bCs/>
          <w:color w:val="auto"/>
          <w:sz w:val="21"/>
          <w:szCs w:val="21"/>
          <w:lang w:eastAsia="zh-CN"/>
        </w:rPr>
        <w:t xml:space="preserve">小区内</w:t>
      </w:r>
      <w:r>
        <w:rPr>
          <w:rFonts w:hint="eastAsia" w:asciiTheme="minorEastAsia" w:hAnsiTheme="minorEastAsia" w:eastAsiaTheme="minorEastAsia" w:cstheme="minorEastAsia"/>
          <w:b w:val="0"/>
          <w:bCs/>
          <w:sz w:val="21"/>
          <w:szCs w:val="21"/>
        </w:rPr>
        <w:t xml:space="preserve">。施工环境复杂，安全要求高，投标人应根据招标文件要</w:t>
      </w:r>
      <w:r>
        <w:rPr>
          <w:rFonts w:hint="eastAsia" w:asciiTheme="minorEastAsia" w:hAnsiTheme="minorEastAsia" w:eastAsiaTheme="minorEastAsia" w:cstheme="minorEastAsia"/>
          <w:b w:val="0"/>
          <w:bCs/>
          <w:sz w:val="21"/>
          <w:szCs w:val="21"/>
        </w:rPr>
        <w:t xml:space="preserve">求及本项目实际，提供科学、细化的项目安全文明施工控制方案，要求项目实施过程中，不发生任何事故及做好环境、噪声等控制，投标人对于安装电梯有关的文明施工、环境保护、安全生产、治安与消防负主体责任。投标人须做好安全防护、围挡、个人安全防护措施；拆除工作要有防尘降噪措施；施工区域悬挂警示标志和安全文明用语；拆除工作严格按照消防管理制度执行，以防热切割过程中火灾发生，有措施防止烟气动作烟感；每天施工完毕需清洁井道外场地；拆除和安装的进度施工方案需征得业主同意方可施工。施工前须与采购人签订安全协议，施工期间的安全责任由</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负责，若发生安全事故，所有损失由</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承担，给</w:t>
      </w:r>
      <w:r>
        <w:rPr>
          <w:rFonts w:hint="eastAsia" w:asciiTheme="minorEastAsia" w:hAnsiTheme="minorEastAsia" w:eastAsiaTheme="minorEastAsia" w:cstheme="minorEastAsia"/>
          <w:b w:val="0"/>
          <w:bCs/>
          <w:color w:val="auto"/>
          <w:sz w:val="21"/>
          <w:szCs w:val="21"/>
          <w:lang w:val="en-US" w:eastAsia="zh-CN"/>
        </w:rPr>
        <w:t xml:space="preserve">采购人</w:t>
      </w:r>
      <w:r>
        <w:rPr>
          <w:rFonts w:hint="eastAsia" w:asciiTheme="minorEastAsia" w:hAnsiTheme="minorEastAsia" w:eastAsiaTheme="minorEastAsia" w:cstheme="minorEastAsia"/>
          <w:b w:val="0"/>
          <w:bCs/>
          <w:sz w:val="21"/>
          <w:szCs w:val="21"/>
        </w:rPr>
        <w:t xml:space="preserve">造成损失的，追究相关责任。</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(五)质量保证方案</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1、严格按国家颁布的电梯安装施工工艺标准执行，并派电梯安全质量检验员进行监督，每道工序完工后由质检员检查合格后，方能进行下一道工序。</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 为保证工程顺利无事故进行，安装队必须定期组织召开安全会，检查各种安全防护用品是否牢固。要求操作者严格遵守现场的安全管理规定，确保现场安全。</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3、 为保证在合同期内完成电梯的安装工作量，要求安装队制定详细的施工进度表，并严格按进度表完成当日的工作量。</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4、在安装过程中，要求各班组必须加强自检、互检工作，并严格填写自检记录，各数据必须真实可靠，并有填写人签名，以便日后查找。</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5、施工中文明施工，严格遵守国家法规，遵守工地规章制度，配备安全检查专职人员。</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(六)应急处置方案要求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 维修单位经理或值班人员接报后，应即派人前往现场维修，同时电话通知电梯维修公司前来抢修。</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 维修单位经理或值班人员应详细记录故障发生时间、原因、解救办法和修复时间。</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本项目电梯主要由</w:t>
      </w:r>
      <w:r>
        <w:rPr>
          <w:rFonts w:hint="eastAsia" w:asciiTheme="minorEastAsia" w:hAnsiTheme="minorEastAsia" w:eastAsiaTheme="minorEastAsia" w:cstheme="minorEastAsia"/>
          <w:b w:val="0"/>
          <w:bCs/>
          <w:sz w:val="21"/>
          <w:szCs w:val="21"/>
          <w:lang w:eastAsia="zh-CN"/>
        </w:rPr>
        <w:t xml:space="preserve">党群服务中心</w:t>
      </w:r>
      <w:r>
        <w:rPr>
          <w:rFonts w:hint="eastAsia" w:asciiTheme="minorEastAsia" w:hAnsiTheme="minorEastAsia" w:eastAsiaTheme="minorEastAsia" w:cstheme="minorEastAsia"/>
          <w:b w:val="0"/>
          <w:bCs/>
          <w:sz w:val="21"/>
          <w:szCs w:val="21"/>
        </w:rPr>
        <w:t xml:space="preserve">使用，使用负荷高，应急安全等要求高，投标人应针对本项目制定具体的应急预案，确保电梯使用安全。</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(七)验收方案要求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1、在交货之前，制造商应对产品质量、规格、性能和数量/重量进行精确和全面的检测，并出具证明产品与招标文件要求相符的证明书。</w:t>
      </w:r>
      <w:r/>
    </w:p>
    <w:p>
      <w:pPr>
        <w:jc w:val="both"/>
        <w:spacing w:line="360" w:lineRule="auto"/>
        <w:rPr>
          <w:rFonts w:hint="eastAsia" w:asciiTheme="minorEastAsia" w:hAnsiTheme="minorEastAsia" w:eastAsiaTheme="minorEastAsia" w:cstheme="minorEastAsia"/>
          <w:b w:val="0"/>
          <w:bCs/>
          <w:sz w:val="21"/>
          <w:szCs w:val="21"/>
          <w:highlight w:val="none"/>
        </w:rPr>
      </w:pPr>
      <w:r>
        <w:rPr>
          <w:rFonts w:hint="eastAsia" w:asciiTheme="minorEastAsia" w:hAnsiTheme="minorEastAsia" w:eastAsiaTheme="minorEastAsia" w:cstheme="minorEastAsia"/>
          <w:b w:val="0"/>
          <w:bCs/>
          <w:sz w:val="21"/>
          <w:szCs w:val="21"/>
          <w:highlight w:val="none"/>
        </w:rPr>
        <w:t xml:space="preserve">2、检测、检验和试验证明设备达到文件的技术规定，并取得当地</w:t>
      </w:r>
      <w:r>
        <w:rPr>
          <w:rFonts w:hint="eastAsia" w:asciiTheme="minorEastAsia" w:hAnsiTheme="minorEastAsia" w:eastAsiaTheme="minorEastAsia" w:cstheme="minorEastAsia"/>
          <w:b w:val="0"/>
          <w:bCs/>
          <w:sz w:val="21"/>
          <w:szCs w:val="21"/>
          <w:highlight w:val="none"/>
          <w:lang w:eastAsia="zh-CN"/>
        </w:rPr>
        <w:t xml:space="preserve">市监</w:t>
      </w:r>
      <w:r>
        <w:rPr>
          <w:rFonts w:hint="eastAsia" w:asciiTheme="minorEastAsia" w:hAnsiTheme="minorEastAsia" w:eastAsiaTheme="minorEastAsia" w:cstheme="minorEastAsia"/>
          <w:b w:val="0"/>
          <w:bCs/>
          <w:sz w:val="21"/>
          <w:szCs w:val="21"/>
          <w:highlight w:val="none"/>
        </w:rPr>
        <w:t xml:space="preserve">部门的验收</w:t>
      </w:r>
      <w:r>
        <w:rPr>
          <w:rFonts w:hint="eastAsia" w:asciiTheme="minorEastAsia" w:hAnsiTheme="minorEastAsia" w:eastAsiaTheme="minorEastAsia" w:cstheme="minorEastAsia"/>
          <w:b w:val="0"/>
          <w:bCs/>
          <w:sz w:val="21"/>
          <w:szCs w:val="21"/>
          <w:highlight w:val="none"/>
          <w:lang w:eastAsia="zh-CN"/>
        </w:rPr>
        <w:t xml:space="preserve">报告</w:t>
      </w:r>
      <w:r>
        <w:rPr>
          <w:rFonts w:hint="eastAsia" w:asciiTheme="minorEastAsia" w:hAnsiTheme="minorEastAsia" w:eastAsiaTheme="minorEastAsia" w:cstheme="minorEastAsia"/>
          <w:b w:val="0"/>
          <w:bCs/>
          <w:sz w:val="21"/>
          <w:szCs w:val="21"/>
          <w:highlight w:val="none"/>
        </w:rPr>
        <w:t xml:space="preserve">、</w:t>
      </w:r>
      <w:r>
        <w:rPr>
          <w:rFonts w:hint="eastAsia" w:asciiTheme="minorEastAsia" w:hAnsiTheme="minorEastAsia" w:eastAsiaTheme="minorEastAsia" w:cstheme="minorEastAsia"/>
          <w:b w:val="0"/>
          <w:bCs/>
          <w:sz w:val="21"/>
          <w:szCs w:val="21"/>
          <w:highlight w:val="none"/>
          <w:lang w:eastAsia="zh-CN"/>
        </w:rPr>
        <w:t xml:space="preserve">使用登记证</w:t>
      </w:r>
      <w:r>
        <w:rPr>
          <w:rFonts w:hint="eastAsia" w:asciiTheme="minorEastAsia" w:hAnsiTheme="minorEastAsia" w:eastAsiaTheme="minorEastAsia" w:cstheme="minorEastAsia"/>
          <w:b w:val="0"/>
          <w:bCs/>
          <w:sz w:val="21"/>
          <w:szCs w:val="21"/>
          <w:highlight w:val="none"/>
        </w:rPr>
        <w:t xml:space="preserve">后，方能交付使用。双方签署验收文件，设备即视为验收通过。</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3、货物抵达工地后，双方根据装箱文件清点件数及外观质量验收，并出具</w:t>
      </w:r>
      <w:r>
        <w:rPr>
          <w:rFonts w:hint="eastAsia" w:asciiTheme="minorEastAsia" w:hAnsiTheme="minorEastAsia" w:eastAsiaTheme="minorEastAsia" w:cstheme="minorEastAsia"/>
          <w:b w:val="0"/>
          <w:bCs/>
          <w:sz w:val="21"/>
          <w:szCs w:val="21"/>
          <w:lang w:eastAsia="zh-CN"/>
        </w:rPr>
        <w:t xml:space="preserve">书面</w:t>
      </w:r>
      <w:r>
        <w:rPr>
          <w:rFonts w:hint="eastAsia" w:asciiTheme="minorEastAsia" w:hAnsiTheme="minorEastAsia" w:eastAsiaTheme="minorEastAsia" w:cstheme="minorEastAsia"/>
          <w:b w:val="0"/>
          <w:bCs/>
          <w:sz w:val="21"/>
          <w:szCs w:val="21"/>
        </w:rPr>
        <w:t xml:space="preserve">验收证明。</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4、货物到达采购人工地至交付使用前所有的安全保管工作由</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负责。</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5、电梯验收要求</w:t>
      </w:r>
      <w:r/>
    </w:p>
    <w:p>
      <w:pPr>
        <w:pStyle w:val="1083"/>
        <w:spacing w:line="300" w:lineRule="exact"/>
        <w:rPr>
          <w:rFonts w:hint="eastAsia" w:asciiTheme="minorEastAsia" w:hAnsiTheme="minorEastAsia" w:eastAsiaTheme="minorEastAsia" w:cstheme="minorEastAsia"/>
          <w:b w:val="0"/>
          <w:bCs/>
          <w:sz w:val="21"/>
          <w:szCs w:val="21"/>
          <w:lang w:eastAsia="zh-CN"/>
        </w:rPr>
      </w:pPr>
      <w:r>
        <w:rPr>
          <w:rFonts w:hint="eastAsia" w:asciiTheme="minorEastAsia" w:hAnsiTheme="minorEastAsia" w:eastAsiaTheme="minorEastAsia" w:cstheme="minorEastAsia"/>
          <w:b w:val="0"/>
          <w:bCs/>
          <w:sz w:val="21"/>
          <w:szCs w:val="21"/>
        </w:rPr>
        <w:t xml:space="preserve">(1)设备运抵采购人现场之日，采购人、</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双方及采购人共同派员验收，如发生数量短少、外观缺损，由</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负责办理相关报验手续并免费补齐、调换。</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同时提供出厂前的检测报告和产品合格证书；</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所提供的设备和部件如是国外制造的，除提供上述资料外还应提供原产地证书、报关资料及检验检疫证明。若</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所提供的设备及部件的品牌不符合文件要求，采购人有权终止合同，并依法追究供应商的相关责任。(包括扣除</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全部履约保证金及赔偿给采购人造成的相关损失等。</w:t>
      </w:r>
      <w:r>
        <w:rPr>
          <w:rFonts w:hint="eastAsia" w:asciiTheme="minorEastAsia" w:hAnsiTheme="minorEastAsia" w:eastAsiaTheme="minorEastAsia" w:cstheme="minorEastAsia"/>
          <w:b w:val="0"/>
          <w:bCs/>
          <w:sz w:val="21"/>
          <w:szCs w:val="21"/>
          <w:lang w:eastAsia="zh-CN"/>
        </w:rPr>
        <w:t xml:space="preserve">）</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(2)设备安装、调试结束，试车，达到验收标准，采购人、</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双方及采购人工程监理共同验收合格。若采购人在安装或调试时对设备有异议，则应在设备安装或调试完毕之日起 15日内以书面形式向</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提出；</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应在采购人提出书面异议通知的 10天内书面答复，否则，则视为同意并且认可采购人提出的异议和处理意见，如采购人提出异议及问题，在异议及问题未能得到妥善解决期间，采购人有权拒付任何货款，直至相关问题处理完毕，有关货物全部风险、保管及其他费用以及给采购人造成的损失均应由</w:t>
      </w:r>
      <w:r>
        <w:rPr>
          <w:rFonts w:hint="eastAsia" w:asciiTheme="minorEastAsia" w:hAnsiTheme="minorEastAsia" w:eastAsiaTheme="minorEastAsia" w:cstheme="minorEastAsia"/>
          <w:b w:val="0"/>
          <w:bCs/>
          <w:sz w:val="21"/>
          <w:szCs w:val="21"/>
          <w:lang w:val="en-US" w:eastAsia="zh-CN"/>
        </w:rPr>
        <w:t xml:space="preserve">投标人</w:t>
      </w:r>
      <w:r>
        <w:rPr>
          <w:rFonts w:hint="eastAsia" w:asciiTheme="minorEastAsia" w:hAnsiTheme="minorEastAsia" w:eastAsiaTheme="minorEastAsia" w:cstheme="minorEastAsia"/>
          <w:b w:val="0"/>
          <w:bCs/>
          <w:sz w:val="21"/>
          <w:szCs w:val="21"/>
        </w:rPr>
        <w:t xml:space="preserve">承担。</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(八)培训方案要求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投标人依据现场实际情况和招标文件的要求，提供完备的售后培训方案：投标人提供专业电梯维修从业人员，在中标后，针对本次投标的电梯品牌，提供电梯安全管理使用培训手册，对</w:t>
      </w:r>
      <w:r>
        <w:rPr>
          <w:rFonts w:hint="eastAsia" w:asciiTheme="minorEastAsia" w:hAnsiTheme="minorEastAsia" w:eastAsiaTheme="minorEastAsia" w:cstheme="minorEastAsia"/>
          <w:b w:val="0"/>
          <w:bCs/>
          <w:sz w:val="21"/>
          <w:szCs w:val="21"/>
          <w:lang w:val="en-US" w:eastAsia="zh-CN"/>
        </w:rPr>
        <w:t xml:space="preserve">采购人</w:t>
      </w:r>
      <w:r>
        <w:rPr>
          <w:rFonts w:hint="eastAsia" w:asciiTheme="minorEastAsia" w:hAnsiTheme="minorEastAsia" w:eastAsiaTheme="minorEastAsia" w:cstheme="minorEastAsia"/>
          <w:b w:val="0"/>
          <w:bCs/>
          <w:sz w:val="21"/>
          <w:szCs w:val="21"/>
        </w:rPr>
        <w:t xml:space="preserve">电梯管理员进行电梯安全管理及使用的培训，提供针对本次投标梯型电梯的日常维修保养作业指导书以及应急演练方案。</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(九)其它要求及说明</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1、</w:t>
      </w:r>
      <w:r>
        <w:rPr>
          <w:rFonts w:hint="eastAsia" w:asciiTheme="minorEastAsia" w:hAnsiTheme="minorEastAsia" w:eastAsiaTheme="minorEastAsia" w:cstheme="minorEastAsia"/>
          <w:b w:val="0"/>
          <w:bCs/>
          <w:sz w:val="21"/>
          <w:szCs w:val="21"/>
        </w:rPr>
        <w:t xml:space="preserve">电梯的电源总柜内，应有安装电源电缆的足够空间与配套紧固件。</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2、</w:t>
      </w:r>
      <w:r>
        <w:rPr>
          <w:rFonts w:hint="eastAsia" w:asciiTheme="minorEastAsia" w:hAnsiTheme="minorEastAsia" w:eastAsiaTheme="minorEastAsia" w:cstheme="minorEastAsia"/>
          <w:b w:val="0"/>
          <w:bCs/>
          <w:sz w:val="21"/>
          <w:szCs w:val="21"/>
        </w:rPr>
        <w:t xml:space="preserve">电梯的变频调速等应有必要的防干扰措施，阻止电梯的干扰信号经双电源线路对外传导而妨害其它用电设备。</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3、</w:t>
      </w:r>
      <w:r>
        <w:rPr>
          <w:rFonts w:hint="eastAsia" w:asciiTheme="minorEastAsia" w:hAnsiTheme="minorEastAsia" w:eastAsiaTheme="minorEastAsia" w:cstheme="minorEastAsia"/>
          <w:b w:val="0"/>
          <w:bCs/>
          <w:sz w:val="21"/>
          <w:szCs w:val="21"/>
        </w:rPr>
        <w:t xml:space="preserve">电梯的 VVVF系统应采用低电磁噪声(静音化)、电流过零开关控制等技术，充分改善波形、降低谐波次数与幅值。</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4、</w:t>
      </w:r>
      <w:r>
        <w:rPr>
          <w:rFonts w:hint="eastAsia" w:asciiTheme="minorEastAsia" w:hAnsiTheme="minorEastAsia" w:eastAsiaTheme="minorEastAsia" w:cstheme="minorEastAsia"/>
          <w:b w:val="0"/>
          <w:bCs/>
          <w:sz w:val="21"/>
          <w:szCs w:val="21"/>
        </w:rPr>
        <w:t xml:space="preserve">电梯电气系统应有三相电源错相与缺相保护、短路与超负荷保护，应有合理、可靠的防雷击保护；电梯电源(控制)柜应具有防水溅、防尘等必要的防护，应能在国标环境温度下长期正常工作，有强制通风散热，进风口滤网可拆洗，高温报警自动停运、钥匙开门等必需的保护；如果电梯配有工作温度较高的电阻器等元器件，不得与变频器、电脑控制板同柜安装。</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5、</w:t>
      </w:r>
      <w:r>
        <w:rPr>
          <w:rFonts w:hint="eastAsia" w:asciiTheme="minorEastAsia" w:hAnsiTheme="minorEastAsia" w:eastAsiaTheme="minorEastAsia" w:cstheme="minorEastAsia"/>
          <w:b w:val="0"/>
          <w:bCs/>
          <w:sz w:val="21"/>
          <w:szCs w:val="21"/>
        </w:rPr>
        <w:t xml:space="preserve">须配置井道爬梯、井道永久照明和井道间防护网并符合国标要求。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 xml:space="preserve">(十)其它注意事项和要求</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1、</w:t>
      </w:r>
      <w:r>
        <w:rPr>
          <w:rFonts w:hint="eastAsia" w:asciiTheme="minorEastAsia" w:hAnsiTheme="minorEastAsia" w:eastAsiaTheme="minorEastAsia" w:cstheme="minorEastAsia"/>
          <w:b w:val="0"/>
          <w:bCs/>
          <w:sz w:val="21"/>
          <w:szCs w:val="21"/>
        </w:rPr>
        <w:t xml:space="preserve">响应文件应按照已有井道与门厅、圈梁等布置，原则上不得改造电梯井道的原有尺寸，技术要求中所有尺寸应以按现场勘查采购人确认的数据实际为准。</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2、</w:t>
      </w:r>
      <w:r>
        <w:rPr>
          <w:rFonts w:hint="eastAsia" w:asciiTheme="minorEastAsia" w:hAnsiTheme="minorEastAsia" w:eastAsiaTheme="minorEastAsia" w:cstheme="minorEastAsia"/>
          <w:b w:val="0"/>
          <w:bCs/>
          <w:sz w:val="21"/>
          <w:szCs w:val="21"/>
        </w:rPr>
        <w:t xml:space="preserve">在电梯的安装至交付过程中，</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应按质监部门的检测与验收要求，提供检测所需的样件、材料、人员配合，并承担这些费用。</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3、</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负责安装电梯所需的全部零件、管线(如电管、走线槽、电线、电缆等)、配件、构件、施工人员与设施，包括引至井道外与电梯有关的设备与管线。</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4、</w:t>
      </w:r>
      <w:r>
        <w:rPr>
          <w:rFonts w:hint="eastAsia" w:asciiTheme="minorEastAsia" w:hAnsiTheme="minorEastAsia" w:eastAsiaTheme="minorEastAsia" w:cstheme="minorEastAsia"/>
          <w:b w:val="0"/>
          <w:bCs/>
          <w:sz w:val="21"/>
          <w:szCs w:val="21"/>
        </w:rPr>
        <w:t xml:space="preserve">如果建筑物现有共用总接地点接地电阻值不能满足响应电梯安装要求，由投标人自行解决。</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5、</w:t>
      </w:r>
      <w:r>
        <w:rPr>
          <w:rFonts w:hint="eastAsia" w:asciiTheme="minorEastAsia" w:hAnsiTheme="minorEastAsia" w:eastAsiaTheme="minorEastAsia" w:cstheme="minorEastAsia"/>
          <w:b w:val="0"/>
          <w:bCs/>
          <w:sz w:val="21"/>
          <w:szCs w:val="21"/>
        </w:rPr>
        <w:t xml:space="preserve">除采购文件明确由采购人负责的工程外，因安装电梯所需的其它土建与预埋、配合，由</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承担全部费用。</w:t>
      </w:r>
      <w:r/>
    </w:p>
    <w:p>
      <w:pPr>
        <w:pStyle w:val="1083"/>
        <w:spacing w:line="300" w:lineRule="exact"/>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lang w:val="en-US" w:eastAsia="zh-CN"/>
        </w:rPr>
        <w:t xml:space="preserve">6、</w:t>
      </w:r>
      <w:r>
        <w:rPr>
          <w:rFonts w:hint="eastAsia" w:asciiTheme="minorEastAsia" w:hAnsiTheme="minorEastAsia" w:eastAsiaTheme="minorEastAsia" w:cstheme="minorEastAsia"/>
          <w:b w:val="0"/>
          <w:bCs/>
          <w:sz w:val="21"/>
          <w:szCs w:val="21"/>
          <w:lang w:eastAsia="zh-CN"/>
        </w:rPr>
        <w:t xml:space="preserve">中标人</w:t>
      </w:r>
      <w:r>
        <w:rPr>
          <w:rFonts w:hint="eastAsia" w:asciiTheme="minorEastAsia" w:hAnsiTheme="minorEastAsia" w:eastAsiaTheme="minorEastAsia" w:cstheme="minorEastAsia"/>
          <w:b w:val="0"/>
          <w:bCs/>
          <w:sz w:val="21"/>
          <w:szCs w:val="21"/>
        </w:rPr>
        <w:t xml:space="preserve">应当服从采购人属地的质监部门、城市管理等部门的管理与督查，并按规定缴相关管理费。</w:t>
      </w:r>
      <w:r/>
    </w:p>
    <w:p>
      <w:pPr>
        <w:spacing w:line="400" w:lineRule="exact"/>
        <w:rPr>
          <w:rFonts w:hint="eastAsia" w:asciiTheme="minorEastAsia" w:hAnsiTheme="minorEastAsia" w:eastAsiaTheme="minorEastAsia" w:cstheme="minorEastAsia"/>
          <w:b w:val="0"/>
          <w:bCs/>
          <w:i/>
          <w:iCs/>
          <w:sz w:val="21"/>
          <w:szCs w:val="21"/>
          <w:u w:val="single"/>
          <w:lang w:val="en-US" w:eastAsia="zh-CN" w:bidi="ar-SA"/>
        </w:rPr>
      </w:pPr>
      <w:r>
        <w:rPr>
          <w:rFonts w:hint="eastAsia" w:asciiTheme="minorEastAsia" w:hAnsiTheme="minorEastAsia" w:eastAsiaTheme="minorEastAsia" w:cstheme="minorEastAsia"/>
          <w:b w:val="0"/>
          <w:bCs/>
          <w:i/>
          <w:iCs/>
          <w:sz w:val="21"/>
          <w:szCs w:val="21"/>
          <w:u w:val="single"/>
          <w:lang w:val="en-US" w:eastAsia="zh-CN" w:bidi="ar-SA"/>
        </w:rPr>
        <w:t xml:space="preserve">7、</w:t>
      </w:r>
      <w:r>
        <w:rPr>
          <w:rFonts w:hint="eastAsia" w:asciiTheme="minorEastAsia" w:hAnsiTheme="minorEastAsia" w:eastAsiaTheme="minorEastAsia" w:cstheme="minorEastAsia"/>
          <w:b w:val="0"/>
          <w:bCs/>
          <w:i/>
          <w:iCs/>
          <w:sz w:val="21"/>
          <w:szCs w:val="21"/>
          <w:u w:val="single"/>
          <w:lang w:val="zh-CN" w:eastAsia="zh-CN" w:bidi="ar-SA"/>
        </w:rPr>
        <w:t xml:space="preserve">自签订合同后30天内完成供货，</w:t>
      </w:r>
      <w:r>
        <w:rPr>
          <w:rFonts w:hint="eastAsia" w:asciiTheme="minorEastAsia" w:hAnsiTheme="minorEastAsia" w:eastAsiaTheme="minorEastAsia" w:cstheme="minorEastAsia"/>
          <w:b w:val="0"/>
          <w:bCs/>
          <w:i/>
          <w:iCs/>
          <w:sz w:val="21"/>
          <w:szCs w:val="21"/>
          <w:u w:val="single"/>
          <w:lang w:val="en-US" w:eastAsia="zh-CN" w:bidi="ar-SA"/>
        </w:rPr>
        <w:t xml:space="preserve">3</w:t>
      </w:r>
      <w:r>
        <w:rPr>
          <w:rFonts w:hint="eastAsia" w:asciiTheme="minorEastAsia" w:hAnsiTheme="minorEastAsia" w:eastAsiaTheme="minorEastAsia" w:cstheme="minorEastAsia"/>
          <w:b w:val="0"/>
          <w:bCs/>
          <w:i/>
          <w:iCs/>
          <w:sz w:val="21"/>
          <w:szCs w:val="21"/>
          <w:u w:val="single"/>
          <w:lang w:val="zh-CN" w:eastAsia="zh-CN" w:bidi="ar-SA"/>
        </w:rPr>
        <w:t xml:space="preserve">0天内安装、调试完毕并取得技术质量监督部门的验收合格证书，具体时间根据招标采购单位要求。（</w:t>
      </w:r>
      <w:r>
        <w:rPr>
          <w:rFonts w:hint="eastAsia" w:asciiTheme="minorEastAsia" w:hAnsiTheme="minorEastAsia" w:eastAsiaTheme="minorEastAsia" w:cstheme="minorEastAsia"/>
          <w:b w:val="0"/>
          <w:bCs/>
          <w:i/>
          <w:iCs/>
          <w:sz w:val="21"/>
          <w:szCs w:val="21"/>
          <w:u w:val="single"/>
          <w:lang w:val="en-US" w:eastAsia="zh-CN" w:bidi="ar-SA"/>
        </w:rPr>
        <w:t xml:space="preserve">提供承诺函扫描上传</w:t>
      </w:r>
      <w:r>
        <w:rPr>
          <w:rFonts w:hint="eastAsia" w:asciiTheme="minorEastAsia" w:hAnsiTheme="minorEastAsia" w:eastAsiaTheme="minorEastAsia" w:cstheme="minorEastAsia"/>
          <w:b w:val="0"/>
          <w:bCs/>
          <w:i/>
          <w:iCs/>
          <w:sz w:val="21"/>
          <w:szCs w:val="21"/>
          <w:u w:val="single"/>
          <w:lang w:val="zh-CN" w:eastAsia="zh-CN" w:bidi="ar-SA"/>
        </w:rPr>
        <w:t xml:space="preserve">）</w:t>
      </w:r>
      <w:r/>
    </w:p>
    <w:p>
      <w:pPr>
        <w:pStyle w:val="1083"/>
        <w:spacing w:line="300" w:lineRule="exact"/>
        <w:rPr>
          <w:rFonts w:hint="eastAsia" w:asciiTheme="minorEastAsia" w:hAnsiTheme="minorEastAsia" w:eastAsiaTheme="minorEastAsia" w:cstheme="minorEastAsia"/>
          <w:b w:val="0"/>
          <w:bCs/>
          <w:sz w:val="21"/>
          <w:szCs w:val="21"/>
          <w:lang w:val="en-US" w:eastAsia="zh-CN"/>
        </w:rPr>
      </w:pPr>
      <w:r>
        <w:rPr>
          <w:rFonts w:hint="eastAsia" w:asciiTheme="minorEastAsia" w:hAnsiTheme="minorEastAsia" w:eastAsiaTheme="minorEastAsia" w:cstheme="minorEastAsia"/>
          <w:b w:val="0"/>
          <w:bCs/>
          <w:sz w:val="21"/>
          <w:szCs w:val="21"/>
          <w:lang w:val="en-US" w:eastAsia="zh-CN"/>
        </w:rPr>
      </w:r>
      <w:r/>
    </w:p>
    <w:p>
      <w:pPr>
        <w:spacing w:line="0" w:lineRule="atLeast"/>
        <w:rPr>
          <w:rFonts w:hint="eastAsia" w:ascii="宋体" w:hAnsi="宋体"/>
          <w:color w:val="000000"/>
          <w:sz w:val="24"/>
          <w:szCs w:val="24"/>
        </w:rPr>
      </w:pPr>
      <w:r>
        <w:rPr>
          <w:rFonts w:hint="eastAsia" w:ascii="宋体" w:hAnsi="宋体"/>
          <w:color w:val="000000"/>
          <w:sz w:val="24"/>
          <w:szCs w:val="24"/>
        </w:rPr>
      </w:r>
      <w:r/>
    </w:p>
    <w:p>
      <w:pPr>
        <w:spacing w:line="0" w:lineRule="atLeast"/>
        <w:rPr>
          <w:rFonts w:hint="eastAsia" w:ascii="宋体" w:hAnsi="宋体"/>
          <w:color w:val="ff0000"/>
          <w:sz w:val="24"/>
          <w:szCs w:val="24"/>
        </w:rPr>
      </w:pPr>
      <w:r/>
      <w:bookmarkStart w:id="181" w:name="_Toc120614281"/>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p>
    <w:p>
      <w:pPr>
        <w:rPr>
          <w:rFonts w:hint="eastAsia" w:ascii="Times New Roman" w:hAnsi="Times New Roman"/>
          <w:color w:val="000000"/>
          <w:szCs w:val="21"/>
        </w:rPr>
      </w:pPr>
      <w:r>
        <w:rPr>
          <w:rFonts w:hint="eastAsia" w:ascii="Times New Roman" w:hAnsi="Times New Roman"/>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39"/>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本项目专门面向中小企业：是</w:t>
      </w:r>
      <w:r/>
    </w:p>
    <w:tbl>
      <w:tblPr>
        <w:tblStyle w:val="1053"/>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是</w:t>
            </w:r>
            <w:r/>
          </w:p>
        </w:tc>
      </w:tr>
    </w:tbl>
    <w:p>
      <w:pPr>
        <w:jc w:val="left"/>
        <w:spacing w:before="120" w:after="120" w:line="0" w:lineRule="atLeast"/>
        <w:rPr>
          <w:rFonts w:hint="eastAsia" w:ascii="宋体" w:hAnsi="宋体"/>
          <w:b/>
          <w:sz w:val="24"/>
          <w:szCs w:val="24"/>
          <w:highlight w:val="yellow"/>
        </w:rPr>
      </w:pPr>
      <w:r>
        <w:rPr>
          <w:rFonts w:hint="eastAsia" w:ascii="宋体" w:hAnsi="宋体"/>
          <w:b/>
          <w:sz w:val="24"/>
          <w:szCs w:val="24"/>
          <w:highlight w:val="yellow"/>
        </w:rPr>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131"/>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highlight w:val="yellow"/>
          <w:u w:val="single"/>
          <w:lang w:val="en-US" w:eastAsia="zh-CN"/>
        </w:rPr>
        <w:t xml:space="preserve">/</w:t>
      </w:r>
      <w:r>
        <w:rPr>
          <w:rFonts w:hint="eastAsia" w:ascii="宋体" w:hAnsi="宋体"/>
          <w:color w:val="000000"/>
          <w:sz w:val="24"/>
          <w:szCs w:val="24"/>
        </w:rPr>
        <w:t xml:space="preserve">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7、采购本国产品的支持政策</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7.4 供应商需在《声明函》中逐一、准确填写产品名称、厂名、生产厂址三项信息</w:t>
      </w:r>
      <w:r>
        <w:rPr>
          <w:rFonts w:hint="eastAsia" w:ascii="宋体" w:hAnsi="宋体" w:eastAsia="宋体"/>
          <w:color w:val="ff0000"/>
          <w:sz w:val="24"/>
          <w:szCs w:val="24"/>
          <w:highlight w:val="green"/>
        </w:rPr>
        <w:t xml:space="preserve">（</w:t>
      </w:r>
      <w:r>
        <w:rPr>
          <w:rFonts w:hint="eastAsia" w:ascii="宋体" w:hAnsi="宋体" w:eastAsia="宋体"/>
          <w:color w:val="ff0000"/>
          <w:sz w:val="24"/>
          <w:szCs w:val="24"/>
          <w:highlight w:val="green"/>
          <w:lang w:val="en-US" w:eastAsia="zh-CN"/>
        </w:rPr>
        <w:t xml:space="preserve">《声明函》中标注“  /  ”的地方无需填写</w:t>
      </w:r>
      <w:r>
        <w:rPr>
          <w:rFonts w:hint="eastAsia" w:ascii="宋体" w:hAnsi="宋体" w:eastAsia="宋体"/>
          <w:color w:val="ff0000"/>
          <w:sz w:val="24"/>
          <w:szCs w:val="24"/>
          <w:highlight w:val="green"/>
        </w:rPr>
        <w:t xml:space="preserve">）</w:t>
      </w:r>
      <w:r>
        <w:rPr>
          <w:rFonts w:hint="eastAsia" w:ascii="宋体" w:hAnsi="宋体"/>
          <w:color w:val="auto"/>
          <w:sz w:val="24"/>
          <w:szCs w:val="24"/>
          <w:highlight w:val="none"/>
        </w:rPr>
        <w:t xml:space="preserve">，三项信息中任意一项未填写的视为该项产品不符合本国产品标准，不享受本国产品价格评审优惠。</w:t>
      </w:r>
      <w:r/>
    </w:p>
    <w:p>
      <w:pPr>
        <w:ind w:firstLine="480"/>
        <w:jc w:val="left"/>
        <w:spacing w:before="120" w:after="120"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Style w:val="1158"/>
        <w:tblW w:w="5574" w:type="pct"/>
        <w:tblInd w:w="-85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15"/>
        <w:gridCol w:w="1480"/>
        <w:gridCol w:w="6578"/>
      </w:tblGrid>
      <w:tr>
        <w:trPr>
          <w:trHeight w:val="492"/>
        </w:trPr>
        <w:tc>
          <w:tcPr>
            <w:gridSpan w:val="2"/>
            <w:tcW w:w="1453" w:type="pct"/>
            <w:textDirection w:val="lrTb"/>
            <w:noWrap w:val="false"/>
          </w:tcPr>
          <w:p>
            <w:pPr>
              <w:jc w:val="center"/>
              <w:spacing w:before="120" w:after="120" w:line="360" w:lineRule="auto"/>
              <w:rPr>
                <w:rFonts w:ascii="宋体" w:hAnsi="宋体" w:cs="宋体"/>
                <w:szCs w:val="21"/>
              </w:rPr>
            </w:pPr>
            <w:r>
              <w:rPr>
                <w:rFonts w:hint="eastAsia" w:ascii="宋体" w:hAnsi="宋体" w:cs="宋体"/>
                <w:b/>
                <w:bCs/>
                <w:spacing w:val="-3"/>
                <w:szCs w:val="21"/>
              </w:rPr>
              <w:t xml:space="preserve">评分项目</w:t>
            </w:r>
            <w:r/>
          </w:p>
        </w:tc>
        <w:tc>
          <w:tcPr>
            <w:tcW w:w="3546" w:type="pct"/>
            <w:textDirection w:val="lrTb"/>
            <w:noWrap w:val="false"/>
          </w:tcPr>
          <w:p>
            <w:pPr>
              <w:pStyle w:val="1159"/>
              <w:ind w:left="2900"/>
              <w:spacing w:before="140" w:line="221" w:lineRule="auto"/>
            </w:pPr>
            <w:r>
              <w:rPr>
                <w:rFonts w:hint="eastAsia"/>
                <w:b/>
                <w:bCs/>
                <w:spacing w:val="-3"/>
              </w:rPr>
              <w:t xml:space="preserve">评分标准</w:t>
            </w:r>
            <w:r/>
          </w:p>
        </w:tc>
      </w:tr>
      <w:tr>
        <w:trPr>
          <w:trHeight w:val="803"/>
        </w:trPr>
        <w:tc>
          <w:tcPr>
            <w:gridSpan w:val="2"/>
            <w:tcW w:w="1453" w:type="pct"/>
            <w:textDirection w:val="lrTb"/>
            <w:noWrap w:val="false"/>
          </w:tcPr>
          <w:p>
            <w:pPr>
              <w:pStyle w:val="1159"/>
              <w:ind w:left="218" w:right="217" w:firstLine="22"/>
              <w:jc w:val="center"/>
              <w:spacing w:before="94" w:line="307" w:lineRule="auto"/>
              <w:rPr>
                <w:spacing w:val="2"/>
                <w:sz w:val="21"/>
                <w:szCs w:val="21"/>
              </w:rPr>
            </w:pPr>
            <w:r>
              <w:rPr>
                <w:rFonts w:hint="eastAsia"/>
                <w:spacing w:val="-3"/>
                <w:sz w:val="21"/>
                <w:szCs w:val="21"/>
              </w:rPr>
              <w:t xml:space="preserve">投标报价</w:t>
            </w:r>
            <w:r/>
          </w:p>
          <w:p>
            <w:pPr>
              <w:pStyle w:val="1159"/>
              <w:ind w:left="218" w:right="217" w:firstLine="22"/>
              <w:jc w:val="center"/>
              <w:spacing w:before="94" w:line="307" w:lineRule="auto"/>
              <w:rPr>
                <w:sz w:val="21"/>
                <w:szCs w:val="21"/>
              </w:rPr>
            </w:pPr>
            <w:r>
              <w:rPr>
                <w:rFonts w:hint="eastAsia"/>
                <w:spacing w:val="-3"/>
                <w:sz w:val="21"/>
                <w:szCs w:val="21"/>
              </w:rPr>
              <w:t xml:space="preserve">（</w:t>
            </w:r>
            <w:r>
              <w:rPr>
                <w:rFonts w:hint="eastAsia"/>
                <w:spacing w:val="-3"/>
                <w:sz w:val="21"/>
                <w:szCs w:val="21"/>
                <w:lang w:eastAsia="zh-CN"/>
              </w:rPr>
              <w:t xml:space="preserve">3</w:t>
            </w:r>
            <w:r>
              <w:rPr>
                <w:rFonts w:hint="eastAsia"/>
                <w:spacing w:val="-3"/>
                <w:sz w:val="21"/>
                <w:szCs w:val="21"/>
                <w:lang w:val="en-US" w:eastAsia="zh-CN"/>
              </w:rPr>
              <w:t xml:space="preserve">5</w:t>
            </w:r>
            <w:r>
              <w:rPr>
                <w:rFonts w:hint="eastAsia"/>
                <w:spacing w:val="-3"/>
                <w:sz w:val="21"/>
                <w:szCs w:val="21"/>
              </w:rPr>
              <w:t xml:space="preserve">分）</w:t>
            </w:r>
            <w:r/>
          </w:p>
        </w:tc>
        <w:tc>
          <w:tcPr>
            <w:tcW w:w="3546" w:type="pct"/>
            <w:textDirection w:val="lrTb"/>
            <w:noWrap w:val="false"/>
          </w:tcPr>
          <w:p>
            <w:pPr>
              <w:pStyle w:val="1159"/>
              <w:ind w:left="113" w:right="112" w:firstLine="23"/>
              <w:spacing w:before="94" w:line="307" w:lineRule="auto"/>
              <w:rPr>
                <w:sz w:val="21"/>
                <w:szCs w:val="21"/>
              </w:rPr>
            </w:pPr>
            <w:r>
              <w:rPr>
                <w:rFonts w:hint="eastAsia" w:ascii="宋体" w:hAnsi="宋体" w:eastAsia="宋体" w:cs="宋体"/>
                <w:sz w:val="21"/>
                <w:szCs w:val="21"/>
              </w:rPr>
              <w:t xml:space="preserve">以满足招标文件要求的最低投标报价为评标基准价，得满分</w:t>
            </w:r>
            <w:r>
              <w:rPr>
                <w:rFonts w:hint="eastAsia" w:ascii="宋体" w:hAnsi="宋体" w:eastAsia="宋体" w:cs="宋体"/>
                <w:sz w:val="21"/>
                <w:szCs w:val="21"/>
                <w:lang w:val="en-US" w:eastAsia="zh-CN"/>
              </w:rPr>
              <w:t xml:space="preserve">35</w:t>
            </w:r>
            <w:r>
              <w:rPr>
                <w:rFonts w:hint="eastAsia" w:ascii="宋体" w:hAnsi="宋体" w:eastAsia="宋体" w:cs="宋体"/>
                <w:sz w:val="21"/>
                <w:szCs w:val="21"/>
              </w:rPr>
              <w:t xml:space="preserve">分，其他投标报价得分=（评标基准价/其他投标报价）×</w:t>
            </w:r>
            <w:r>
              <w:rPr>
                <w:rFonts w:hint="eastAsia" w:ascii="宋体" w:hAnsi="宋体" w:eastAsia="宋体" w:cs="宋体"/>
                <w:sz w:val="21"/>
                <w:szCs w:val="21"/>
                <w:lang w:val="en-US" w:eastAsia="zh-CN"/>
              </w:rPr>
              <w:t xml:space="preserve">35</w:t>
            </w:r>
            <w:r>
              <w:rPr>
                <w:rFonts w:hint="eastAsia" w:ascii="宋体" w:hAnsi="宋体" w:eastAsia="宋体" w:cs="宋体"/>
                <w:sz w:val="21"/>
                <w:szCs w:val="21"/>
              </w:rPr>
              <w:t xml:space="preserve">×100%。</w:t>
            </w:r>
            <w:r/>
          </w:p>
        </w:tc>
      </w:tr>
      <w:tr>
        <w:trPr>
          <w:trHeight w:val="1044"/>
        </w:trPr>
        <w:tc>
          <w:tcPr>
            <w:tcW w:w="655" w:type="pct"/>
            <w:vMerge w:val="restart"/>
            <w:textDirection w:val="lrTb"/>
            <w:noWrap w:val="false"/>
          </w:tcPr>
          <w:p>
            <w:pPr>
              <w:jc w:val="center"/>
              <w:spacing w:line="251"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jc w:val="center"/>
              <w:spacing w:line="252" w:lineRule="auto"/>
              <w:rPr>
                <w:rFonts w:ascii="宋体" w:hAnsi="宋体" w:cs="宋体"/>
                <w:szCs w:val="21"/>
              </w:rPr>
            </w:pPr>
            <w:r>
              <w:rPr>
                <w:rFonts w:ascii="宋体" w:hAnsi="宋体" w:cs="宋体"/>
                <w:szCs w:val="21"/>
              </w:rPr>
            </w:r>
            <w:r/>
          </w:p>
          <w:p>
            <w:pPr>
              <w:pStyle w:val="1159"/>
              <w:ind w:left="115" w:right="104" w:firstLine="18"/>
              <w:jc w:val="center"/>
              <w:spacing w:before="68" w:line="343" w:lineRule="auto"/>
            </w:pPr>
            <w:r>
              <w:rPr>
                <w:rFonts w:hint="eastAsia" w:asciiTheme="minorEastAsia" w:hAnsiTheme="minorEastAsia" w:eastAsiaTheme="minorEastAsia" w:cstheme="minorEastAsia"/>
                <w:b w:val="0"/>
                <w:bCs/>
                <w:color w:val="000000"/>
                <w:sz w:val="21"/>
                <w:szCs w:val="21"/>
              </w:rPr>
              <w:t xml:space="preserve">技术响应</w:t>
            </w:r>
            <w:r/>
          </w:p>
          <w:p>
            <w:pPr>
              <w:pStyle w:val="1159"/>
              <w:ind w:left="115" w:right="104" w:firstLine="18"/>
              <w:jc w:val="center"/>
              <w:spacing w:before="68" w:line="343" w:lineRule="auto"/>
              <w:rPr>
                <w:lang w:eastAsia="zh-CN"/>
              </w:rPr>
            </w:pPr>
            <w:r>
              <w:rPr>
                <w:rFonts w:hint="eastAsia"/>
                <w:lang w:eastAsia="zh-CN"/>
              </w:rPr>
              <w:t xml:space="preserve">（</w:t>
            </w:r>
            <w:r>
              <w:rPr>
                <w:rFonts w:hint="eastAsia"/>
                <w:lang w:val="en-US" w:eastAsia="zh-CN"/>
              </w:rPr>
              <w:t xml:space="preserve">26</w:t>
            </w:r>
            <w:r>
              <w:rPr>
                <w:rFonts w:hint="eastAsia"/>
                <w:lang w:eastAsia="zh-CN"/>
              </w:rPr>
              <w:t xml:space="preserve">分）</w:t>
            </w:r>
            <w:r/>
          </w:p>
        </w:tc>
        <w:tc>
          <w:tcPr>
            <w:tcW w:w="797"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轿厢意外移动安全完整性（</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p>
        </w:tc>
        <w:tc>
          <w:tcPr>
            <w:tcW w:w="3546" w:type="pct"/>
            <w:vAlign w:val="center"/>
            <w:textDirection w:val="lrTb"/>
            <w:noWrap w:val="false"/>
          </w:tcPr>
          <w:p>
            <w:pPr>
              <w:ind w:firstLine="420"/>
              <w:jc w:val="left"/>
              <w:widowControl/>
              <w:rPr>
                <w:rFonts w:hint="eastAsia" w:ascii="宋体" w:hAnsi="宋体" w:eastAsia="宋体" w:cs="宋体"/>
                <w:color w:val="auto"/>
                <w:szCs w:val="21"/>
                <w:lang w:eastAsia="zh-CN"/>
              </w:rPr>
            </w:pPr>
            <w:r>
              <w:rPr>
                <w:rFonts w:hint="eastAsia" w:ascii="宋体" w:hAnsi="宋体" w:cs="宋体"/>
                <w:color w:val="auto"/>
                <w:szCs w:val="21"/>
              </w:rPr>
              <w:t xml:space="preserve">门开启情况下轿厢意外移动安全完整性等级达到SIL2的得2分；平层、再平层和预备操作的安全完整性等级达到SIL2的得2分，采用减行程缓冲器时对电梯驱动主机正常减速的监测（ETSL）等级达到SIL2的得2分，满分6分（需提供第三方机构出具的检测报告，原件扫描上传</w:t>
            </w:r>
            <w:r>
              <w:rPr>
                <w:rFonts w:hint="eastAsia" w:ascii="宋体" w:hAnsi="宋体" w:cs="宋体"/>
                <w:color w:val="auto"/>
                <w:szCs w:val="21"/>
                <w:lang w:eastAsia="zh-CN"/>
              </w:rPr>
              <w:t xml:space="preserve">）</w:t>
            </w:r>
            <w:r/>
          </w:p>
        </w:tc>
      </w:tr>
      <w:tr>
        <w:trPr>
          <w:trHeight w:val="1714"/>
        </w:trPr>
        <w:tc>
          <w:tcPr>
            <w:tcW w:w="655" w:type="pct"/>
            <w:vMerge w:val="continue"/>
            <w:textDirection w:val="lrTb"/>
            <w:noWrap w:val="false"/>
          </w:tcPr>
          <w:p>
            <w:pPr>
              <w:pStyle w:val="1159"/>
              <w:ind w:left="115" w:right="104" w:firstLine="18"/>
              <w:jc w:val="center"/>
              <w:spacing w:before="68" w:line="343" w:lineRule="auto"/>
            </w:pPr>
            <w:r/>
            <w:r/>
          </w:p>
        </w:tc>
        <w:tc>
          <w:tcPr>
            <w:tcW w:w="797" w:type="pct"/>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主机制动器使用寿命（</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tc>
        <w:tc>
          <w:tcPr>
            <w:tcW w:w="3546" w:type="pct"/>
            <w:vAlign w:val="center"/>
            <w:textDirection w:val="lrTb"/>
            <w:noWrap w:val="false"/>
          </w:tcPr>
          <w:p>
            <w:pPr>
              <w:ind w:firstLine="420"/>
              <w:jc w:val="left"/>
              <w:widowControl/>
              <w:rPr>
                <w:rFonts w:ascii="宋体" w:hAnsi="宋体" w:cs="宋体"/>
                <w:color w:val="auto"/>
                <w:szCs w:val="21"/>
              </w:rPr>
            </w:pPr>
            <w:r>
              <w:rPr>
                <w:rFonts w:hint="eastAsia" w:ascii="宋体" w:hAnsi="宋体" w:cs="宋体"/>
                <w:color w:val="auto"/>
                <w:szCs w:val="21"/>
              </w:rPr>
              <w:t xml:space="preserve">主机制动器使用寿命≥500万次，得1分，每增加500万次加1分，满分</w:t>
            </w:r>
            <w:r>
              <w:rPr>
                <w:rFonts w:ascii="宋体" w:hAnsi="宋体" w:cs="宋体"/>
                <w:color w:val="auto"/>
                <w:szCs w:val="21"/>
              </w:rPr>
              <w:t xml:space="preserve">2</w:t>
            </w:r>
            <w:r>
              <w:rPr>
                <w:rFonts w:hint="eastAsia" w:ascii="宋体" w:hAnsi="宋体" w:cs="宋体"/>
                <w:color w:val="auto"/>
                <w:szCs w:val="21"/>
              </w:rPr>
              <w:t xml:space="preserve">分（需提供第三方机构出具的检测报告，原件扫描上传）</w:t>
            </w:r>
            <w:r/>
          </w:p>
        </w:tc>
      </w:tr>
      <w:tr>
        <w:trPr>
          <w:trHeight w:val="1111"/>
        </w:trPr>
        <w:tc>
          <w:tcPr>
            <w:tcW w:w="655" w:type="pct"/>
            <w:vMerge w:val="continue"/>
            <w:textDirection w:val="lrTb"/>
            <w:noWrap w:val="false"/>
          </w:tcPr>
          <w:p>
            <w:pPr>
              <w:pStyle w:val="1159"/>
              <w:ind w:left="115" w:right="104" w:firstLine="18"/>
              <w:jc w:val="center"/>
              <w:spacing w:before="68" w:line="343" w:lineRule="auto"/>
            </w:pPr>
            <w:r/>
            <w:r/>
          </w:p>
        </w:tc>
        <w:tc>
          <w:tcPr>
            <w:tcW w:w="797" w:type="pct"/>
            <w:vAlign w:val="center"/>
            <w:textDirection w:val="lrTb"/>
            <w:noWrap w:val="false"/>
          </w:tcPr>
          <w:p>
            <w:pPr>
              <w:jc w:val="center"/>
              <w:rPr>
                <w:rFonts w:hint="eastAsia" w:ascii="宋体" w:hAnsi="宋体" w:eastAsia="宋体" w:cs="宋体"/>
                <w:color w:val="auto"/>
                <w:szCs w:val="21"/>
                <w:lang w:eastAsia="zh-CN"/>
              </w:rPr>
            </w:pPr>
            <w:r>
              <w:rPr>
                <w:rFonts w:hint="eastAsia" w:ascii="宋体" w:hAnsi="宋体" w:cs="宋体"/>
                <w:color w:val="auto"/>
                <w:szCs w:val="21"/>
              </w:rPr>
              <w:t xml:space="preserve">电梯层门锁、轿门锁装置运行寿命（</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rPr>
                <w:rFonts w:hint="eastAsia" w:ascii="宋体" w:hAnsi="宋体" w:cs="宋体"/>
                <w:color w:val="auto"/>
                <w:szCs w:val="21"/>
                <w:lang w:eastAsia="zh-CN"/>
              </w:rPr>
              <w:t xml:space="preserve">）</w:t>
            </w:r>
            <w:r/>
          </w:p>
          <w:p>
            <w:pPr>
              <w:jc w:val="center"/>
              <w:rPr>
                <w:rFonts w:hint="eastAsia" w:ascii="宋体" w:hAnsi="宋体" w:cs="宋体"/>
                <w:color w:val="auto"/>
                <w:szCs w:val="21"/>
              </w:rPr>
            </w:pPr>
            <w:r>
              <w:rPr>
                <w:rFonts w:hint="eastAsia" w:ascii="宋体" w:hAnsi="宋体" w:cs="宋体"/>
                <w:color w:val="auto"/>
                <w:szCs w:val="21"/>
              </w:rPr>
            </w:r>
            <w:r/>
          </w:p>
        </w:tc>
        <w:tc>
          <w:tcPr>
            <w:tcW w:w="3546" w:type="pct"/>
            <w:vAlign w:val="center"/>
            <w:textDirection w:val="lrTb"/>
            <w:noWrap w:val="false"/>
          </w:tcPr>
          <w:p>
            <w:pPr>
              <w:ind w:firstLine="420"/>
              <w:jc w:val="left"/>
              <w:widowControl/>
              <w:rPr>
                <w:rFonts w:hint="eastAsia" w:ascii="宋体" w:hAnsi="宋体" w:cs="宋体"/>
                <w:color w:val="auto"/>
                <w:szCs w:val="21"/>
                <w:lang w:val="en-US" w:eastAsia="zh-CN"/>
              </w:rPr>
            </w:pPr>
            <w:r>
              <w:rPr>
                <w:rFonts w:hint="eastAsia" w:ascii="宋体" w:hAnsi="宋体" w:cs="宋体"/>
                <w:color w:val="auto"/>
                <w:szCs w:val="21"/>
              </w:rPr>
              <w:t xml:space="preserve">电梯层门锁、轿门锁装置运行寿命同时大于</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00万次，得1分，每</w:t>
            </w:r>
            <w:r>
              <w:rPr>
                <w:rFonts w:hint="eastAsia" w:ascii="宋体" w:hAnsi="宋体" w:cs="宋体"/>
                <w:color w:val="auto"/>
                <w:szCs w:val="21"/>
                <w:lang w:val="en-US" w:eastAsia="zh-CN"/>
              </w:rPr>
              <w:t xml:space="preserve">同时</w:t>
            </w:r>
            <w:r>
              <w:rPr>
                <w:rFonts w:hint="eastAsia" w:ascii="宋体" w:hAnsi="宋体" w:cs="宋体"/>
                <w:color w:val="auto"/>
                <w:szCs w:val="21"/>
              </w:rPr>
              <w:t xml:space="preserve">增加</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00万次得1分，满分3分（需提供第三方机构出具的检测报告，原件扫描上传）</w:t>
            </w:r>
            <w:r/>
          </w:p>
        </w:tc>
      </w:tr>
      <w:tr>
        <w:trPr>
          <w:trHeight w:val="1111"/>
        </w:trPr>
        <w:tc>
          <w:tcPr>
            <w:tcW w:w="655" w:type="pct"/>
            <w:vMerge w:val="continue"/>
            <w:textDirection w:val="lrTb"/>
            <w:noWrap w:val="false"/>
          </w:tcPr>
          <w:p>
            <w:pPr>
              <w:pStyle w:val="1159"/>
              <w:ind w:left="115" w:right="104" w:firstLine="18"/>
              <w:jc w:val="center"/>
              <w:spacing w:before="68" w:line="343" w:lineRule="auto"/>
            </w:pPr>
            <w:r/>
            <w:r/>
          </w:p>
        </w:tc>
        <w:tc>
          <w:tcPr>
            <w:tcW w:w="797" w:type="pct"/>
            <w:vAlign w:val="center"/>
            <w:textDirection w:val="lrTb"/>
            <w:noWrap w:val="false"/>
          </w:tcPr>
          <w:p>
            <w:pPr>
              <w:jc w:val="center"/>
              <w:rPr>
                <w:rFonts w:hint="default" w:ascii="宋体" w:hAnsi="宋体" w:cs="宋体"/>
                <w:color w:val="auto"/>
                <w:szCs w:val="21"/>
              </w:rPr>
            </w:pPr>
            <w:r>
              <w:rPr>
                <w:rFonts w:ascii="宋体" w:hAnsi="宋体" w:cs="宋体"/>
                <w:color w:val="auto"/>
                <w:sz w:val="21"/>
                <w:szCs w:val="21"/>
              </w:rPr>
              <w:t xml:space="preserve">电梯的门机整机、层门装置、门机变频器</w:t>
            </w:r>
            <w:r>
              <w:rPr>
                <w:rFonts w:hint="eastAsia" w:ascii="宋体" w:hAnsi="宋体" w:cs="宋体"/>
                <w:color w:val="auto"/>
                <w:szCs w:val="21"/>
              </w:rPr>
              <w:t xml:space="preserve">（</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w:t>
            </w:r>
            <w:r>
              <w:rPr>
                <w:rFonts w:hint="default" w:ascii="宋体" w:hAnsi="宋体" w:cs="宋体"/>
                <w:color w:val="auto"/>
                <w:szCs w:val="21"/>
              </w:rPr>
              <w:t xml:space="preserve">）</w:t>
            </w:r>
            <w:r/>
          </w:p>
        </w:tc>
        <w:tc>
          <w:tcPr>
            <w:tcW w:w="3546" w:type="pct"/>
            <w:vAlign w:val="center"/>
            <w:textDirection w:val="lrTb"/>
            <w:noWrap w:val="false"/>
          </w:tcPr>
          <w:p>
            <w:pPr>
              <w:ind w:firstLine="420"/>
              <w:jc w:val="left"/>
              <w:widowControl/>
              <w:rPr>
                <w:rFonts w:hint="eastAsia" w:ascii="宋体" w:hAnsi="宋体" w:cs="宋体"/>
                <w:color w:val="auto"/>
                <w:szCs w:val="21"/>
                <w:lang w:val="en-US" w:eastAsia="zh-CN"/>
              </w:rPr>
            </w:pPr>
            <w:r>
              <w:rPr>
                <w:rFonts w:ascii="宋体" w:hAnsi="宋体" w:cs="宋体"/>
                <w:color w:val="auto"/>
                <w:sz w:val="21"/>
                <w:szCs w:val="21"/>
              </w:rPr>
              <w:t xml:space="preserve">所投电梯的门机整机、层门装置、门机变频器的外壳防护等级均≥IP65的得</w:t>
            </w:r>
            <w:r>
              <w:rPr>
                <w:rFonts w:hint="default" w:ascii="宋体" w:hAnsi="宋体" w:cs="宋体"/>
                <w:color w:val="auto"/>
                <w:sz w:val="21"/>
                <w:szCs w:val="21"/>
              </w:rPr>
              <w:t xml:space="preserve">1</w:t>
            </w:r>
            <w:r>
              <w:rPr>
                <w:rFonts w:ascii="宋体" w:hAnsi="宋体" w:cs="宋体"/>
                <w:color w:val="auto"/>
                <w:sz w:val="21"/>
                <w:szCs w:val="21"/>
              </w:rPr>
              <w:t xml:space="preserve">分,其他不得分（</w:t>
            </w:r>
            <w:r>
              <w:rPr>
                <w:rFonts w:hint="eastAsia" w:ascii="宋体" w:hAnsi="宋体" w:cs="宋体"/>
                <w:color w:val="auto"/>
                <w:szCs w:val="21"/>
              </w:rPr>
              <w:t xml:space="preserve">需提供第三方机构出具的检测报告，原件扫描上传</w:t>
            </w:r>
            <w:r>
              <w:rPr>
                <w:rFonts w:ascii="宋体" w:hAnsi="宋体" w:cs="宋体"/>
                <w:color w:val="auto"/>
                <w:sz w:val="21"/>
                <w:szCs w:val="21"/>
              </w:rPr>
              <w:t xml:space="preserve">）；所投电梯品牌产品采用安全光幕保护系统且光幕通过可靠性实验，连续工作100000次无误动、无误触发，同时满足IP 防护等级达到IP65的得2分（</w:t>
            </w:r>
            <w:r>
              <w:rPr>
                <w:rFonts w:hint="eastAsia" w:ascii="宋体" w:hAnsi="宋体" w:cs="宋体"/>
                <w:color w:val="auto"/>
                <w:szCs w:val="21"/>
              </w:rPr>
              <w:t xml:space="preserve">需提供第三方机构出具的检测报告，原件扫描上传</w:t>
            </w:r>
            <w:r>
              <w:rPr>
                <w:rFonts w:ascii="宋体" w:hAnsi="宋体" w:cs="宋体"/>
                <w:color w:val="auto"/>
                <w:sz w:val="21"/>
                <w:szCs w:val="21"/>
              </w:rPr>
              <w:t xml:space="preserve">）</w:t>
            </w:r>
            <w:r/>
          </w:p>
        </w:tc>
      </w:tr>
      <w:tr>
        <w:trPr>
          <w:trHeight w:val="314"/>
        </w:trPr>
        <w:tc>
          <w:tcPr>
            <w:tcW w:w="655" w:type="pct"/>
            <w:vAlign w:val="center"/>
            <w:vMerge w:val="continue"/>
            <w:textDirection w:val="lrTb"/>
            <w:noWrap w:val="false"/>
          </w:tcPr>
          <w:p>
            <w:pPr>
              <w:pStyle w:val="1159"/>
              <w:ind w:right="217"/>
              <w:jc w:val="center"/>
              <w:spacing w:before="68" w:line="337" w:lineRule="auto"/>
              <w:rPr>
                <w:spacing w:val="-8"/>
              </w:rPr>
            </w:pPr>
            <w:r>
              <w:rPr>
                <w:spacing w:val="-8"/>
              </w:rPr>
            </w:r>
            <w:r/>
          </w:p>
        </w:tc>
        <w:tc>
          <w:tcPr>
            <w:tcW w:w="797" w:type="pct"/>
            <w:vAlign w:val="center"/>
            <w:textDirection w:val="lrTb"/>
            <w:noWrap w:val="false"/>
          </w:tcPr>
          <w:p>
            <w:pPr>
              <w:jc w:val="center"/>
              <w:spacing w:line="320" w:lineRule="exact"/>
              <w:rPr>
                <w:rFonts w:ascii="宋体" w:hAnsi="宋体" w:cs="宋体"/>
                <w:color w:val="auto"/>
              </w:rPr>
            </w:pPr>
            <w:r>
              <w:rPr>
                <w:rFonts w:hint="eastAsia" w:ascii="宋体" w:hAnsi="宋体" w:cs="宋体"/>
                <w:color w:val="auto"/>
                <w:szCs w:val="21"/>
                <w:lang w:val="en-US" w:eastAsia="zh-CN"/>
              </w:rPr>
              <w:t xml:space="preserve">  </w:t>
            </w:r>
            <w:r>
              <w:rPr>
                <w:rFonts w:hint="eastAsia" w:ascii="宋体" w:hAnsi="宋体" w:cs="宋体"/>
                <w:color w:val="auto"/>
                <w:szCs w:val="21"/>
              </w:rPr>
              <w:t xml:space="preserve">原厂原品牌</w:t>
            </w:r>
            <w:r>
              <w:rPr>
                <w:rFonts w:hint="eastAsia" w:ascii="宋体" w:hAnsi="宋体" w:cs="宋体"/>
                <w:color w:val="auto"/>
              </w:rPr>
              <w:t xml:space="preserve">（</w:t>
            </w:r>
            <w:r>
              <w:rPr>
                <w:rFonts w:hint="eastAsia" w:ascii="宋体" w:hAnsi="宋体" w:cs="宋体"/>
                <w:color w:val="auto"/>
                <w:lang w:val="en-US" w:eastAsia="zh-CN"/>
              </w:rPr>
              <w:t xml:space="preserve">12</w:t>
            </w:r>
            <w:r>
              <w:rPr>
                <w:rFonts w:hint="eastAsia" w:ascii="宋体" w:hAnsi="宋体" w:cs="宋体"/>
                <w:color w:val="auto"/>
              </w:rPr>
              <w:t xml:space="preserve">分）</w:t>
            </w:r>
            <w:r/>
          </w:p>
          <w:p>
            <w:pPr>
              <w:ind w:left="291" w:hanging="291"/>
              <w:spacing w:line="320" w:lineRule="exact"/>
              <w:rPr>
                <w:rFonts w:ascii="宋体" w:hAnsi="宋体" w:cs="宋体"/>
                <w:color w:val="auto"/>
                <w:spacing w:val="-8"/>
                <w:szCs w:val="21"/>
              </w:rPr>
            </w:pPr>
            <w:r>
              <w:rPr>
                <w:rFonts w:ascii="宋体" w:hAnsi="宋体" w:cs="宋体"/>
                <w:color w:val="auto"/>
                <w:spacing w:val="-8"/>
                <w:szCs w:val="21"/>
              </w:rPr>
            </w:r>
            <w:r/>
          </w:p>
        </w:tc>
        <w:tc>
          <w:tcPr>
            <w:tcW w:w="3546" w:type="pct"/>
            <w:vAlign w:val="center"/>
            <w:textDirection w:val="lrTb"/>
            <w:noWrap w:val="false"/>
          </w:tcPr>
          <w:p>
            <w:pPr>
              <w:numPr>
                <w:ilvl w:val="0"/>
                <w:numId w:val="0"/>
              </w:numPr>
              <w:ind w:firstLine="210"/>
              <w:jc w:val="left"/>
              <w:widowControl/>
              <w:rPr>
                <w:rFonts w:hint="eastAsia" w:asciiTheme="minorEastAsia" w:hAnsiTheme="minorEastAsia" w:eastAsiaTheme="minorEastAsia" w:cstheme="minorEastAsia"/>
                <w:b w:val="0"/>
                <w:bCs w:val="0"/>
                <w:color w:val="auto"/>
                <w:sz w:val="21"/>
                <w:szCs w:val="21"/>
              </w:rPr>
            </w:pPr>
            <w:r>
              <w:rPr>
                <w:rFonts w:hint="eastAsia" w:ascii="宋体" w:hAnsi="宋体" w:cs="宋体"/>
                <w:color w:val="auto"/>
                <w:szCs w:val="21"/>
              </w:rPr>
              <w:t xml:space="preserve">投标产品制造商乘客电梯核心部件采用原厂原品牌：驱动主机、控制柜、门机、限速器、安全钳、缓冲器、轿门锁、层门锁、轿厢意外移动保护装置、</w:t>
            </w:r>
            <w:r>
              <w:rPr>
                <w:rFonts w:hint="eastAsia" w:eastAsia="宋体"/>
                <w:color w:val="auto"/>
              </w:rPr>
              <w:t xml:space="preserve">上行超速保护装置、绳头组合</w:t>
            </w:r>
            <w:r>
              <w:rPr>
                <w:rFonts w:hint="eastAsia"/>
                <w:color w:val="auto"/>
                <w:lang w:eastAsia="zh-CN"/>
              </w:rPr>
              <w:t xml:space="preserve">、</w:t>
            </w:r>
            <w:r>
              <w:rPr>
                <w:rFonts w:hint="eastAsia" w:ascii="宋体" w:hAnsi="宋体" w:cs="宋体"/>
                <w:color w:val="auto"/>
              </w:rPr>
              <w:t xml:space="preserve">光幕</w:t>
            </w:r>
            <w:r>
              <w:rPr>
                <w:rFonts w:hint="eastAsia" w:ascii="宋体" w:hAnsi="宋体" w:cs="宋体"/>
                <w:color w:val="auto"/>
                <w:szCs w:val="21"/>
              </w:rPr>
              <w:t xml:space="preserve">为原厂原品牌得1</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b w:val="0"/>
                <w:bCs w:val="0"/>
                <w:color w:val="auto"/>
                <w:szCs w:val="21"/>
              </w:rPr>
              <w:t xml:space="preserve">（须提供投标产品型号整机型式试验报告，证书扫描上传</w:t>
            </w:r>
            <w:r>
              <w:rPr>
                <w:rFonts w:hint="eastAsia" w:ascii="宋体" w:hAnsi="宋体" w:cs="宋体"/>
                <w:b w:val="0"/>
                <w:bCs w:val="0"/>
                <w:color w:val="auto"/>
                <w:szCs w:val="21"/>
                <w:lang w:val="en-US" w:eastAsia="zh-CN"/>
              </w:rPr>
              <w:t xml:space="preserve">,</w:t>
            </w:r>
            <w:r>
              <w:rPr>
                <w:rFonts w:hint="eastAsia" w:ascii="宋体" w:hAnsi="宋体" w:cs="宋体"/>
                <w:b w:val="0"/>
                <w:bCs w:val="0"/>
                <w:color w:val="auto"/>
                <w:szCs w:val="21"/>
              </w:rPr>
              <w:t xml:space="preserve">未提供不得分。)</w:t>
            </w:r>
            <w:r/>
          </w:p>
          <w:p>
            <w:pPr>
              <w:ind w:firstLine="428"/>
              <w:jc w:val="left"/>
              <w:widowControl/>
              <w:rPr>
                <w:rFonts w:ascii="宋体" w:hAnsi="宋体" w:cs="宋体"/>
                <w:b/>
                <w:bCs/>
                <w:color w:val="auto"/>
                <w:spacing w:val="2"/>
                <w:szCs w:val="21"/>
              </w:rPr>
            </w:pPr>
            <w:r>
              <w:rPr>
                <w:rFonts w:ascii="宋体" w:hAnsi="宋体" w:cs="宋体"/>
                <w:b/>
                <w:bCs/>
                <w:color w:val="auto"/>
                <w:spacing w:val="2"/>
                <w:szCs w:val="21"/>
              </w:rPr>
            </w:r>
            <w:r/>
          </w:p>
        </w:tc>
      </w:tr>
      <w:tr>
        <w:trPr>
          <w:trHeight w:val="905"/>
        </w:trPr>
        <w:tc>
          <w:tcPr>
            <w:gridSpan w:val="2"/>
            <w:tcW w:w="1453" w:type="pct"/>
            <w:vAlign w:val="center"/>
            <w:textDirection w:val="lrTb"/>
            <w:noWrap w:val="false"/>
          </w:tcPr>
          <w:p>
            <w:pPr>
              <w:spacing w:line="252" w:lineRule="auto"/>
              <w:rPr>
                <w:rFonts w:ascii="宋体" w:hAnsi="宋体" w:cs="宋体"/>
                <w:szCs w:val="21"/>
              </w:rPr>
            </w:pPr>
            <w:r>
              <w:rPr>
                <w:rFonts w:ascii="宋体" w:hAnsi="宋体" w:cs="宋体"/>
                <w:szCs w:val="21"/>
              </w:rPr>
            </w:r>
            <w:r/>
          </w:p>
          <w:p>
            <w:pPr>
              <w:pStyle w:val="1159"/>
              <w:ind w:left="218" w:right="217" w:firstLine="20"/>
              <w:jc w:val="center"/>
              <w:spacing w:before="68" w:line="299" w:lineRule="auto"/>
              <w:rPr>
                <w:spacing w:val="-8"/>
              </w:rPr>
            </w:pPr>
            <w:r>
              <w:rPr>
                <w:rFonts w:hint="eastAsia" w:asciiTheme="minorEastAsia" w:hAnsiTheme="minorEastAsia" w:eastAsiaTheme="minorEastAsia" w:cstheme="minorEastAsia"/>
                <w:b w:val="0"/>
                <w:bCs/>
                <w:color w:val="000000"/>
                <w:sz w:val="21"/>
                <w:szCs w:val="21"/>
              </w:rPr>
              <w:t xml:space="preserve">知识产权</w:t>
            </w:r>
            <w:r>
              <w:rPr>
                <w:rFonts w:hint="eastAsia"/>
                <w:spacing w:val="-8"/>
              </w:rPr>
              <w:t xml:space="preserve">（</w:t>
            </w:r>
            <w:r>
              <w:rPr>
                <w:rFonts w:hint="eastAsia"/>
                <w:spacing w:val="-8"/>
                <w:lang w:val="en-US" w:eastAsia="zh-CN"/>
              </w:rPr>
              <w:t xml:space="preserve">3</w:t>
            </w:r>
            <w:r>
              <w:rPr>
                <w:rFonts w:hint="eastAsia"/>
                <w:spacing w:val="-8"/>
              </w:rPr>
              <w:t xml:space="preserve">分）</w:t>
            </w:r>
            <w:r/>
          </w:p>
        </w:tc>
        <w:tc>
          <w:tcPr>
            <w:tcW w:w="3546" w:type="pct"/>
            <w:textDirection w:val="lrTb"/>
            <w:noWrap w:val="false"/>
          </w:tcPr>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3.1软件著作权(1分)</w:t>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投标品牌制造商具有由国家版权局颁发的自主研发的电梯维保类相关的软件著作权登记证书，按要求提供的得1分，满分1分，未提供或未按照要求提供</w:t>
            </w:r>
            <w:r>
              <w:rPr>
                <w:rFonts w:hint="eastAsia" w:asciiTheme="minorEastAsia" w:hAnsiTheme="minorEastAsia" w:eastAsiaTheme="minorEastAsia" w:cstheme="minorEastAsia"/>
                <w:b w:val="0"/>
                <w:bCs/>
                <w:color w:val="000000"/>
                <w:sz w:val="21"/>
                <w:szCs w:val="21"/>
                <w:lang w:val="en-US" w:eastAsia="zh-CN"/>
              </w:rPr>
              <w:t xml:space="preserve">的</w:t>
            </w:r>
            <w:r>
              <w:rPr>
                <w:rFonts w:hint="eastAsia" w:asciiTheme="minorEastAsia" w:hAnsiTheme="minorEastAsia" w:eastAsiaTheme="minorEastAsia" w:cstheme="minorEastAsia"/>
                <w:b w:val="0"/>
                <w:bCs/>
                <w:color w:val="000000"/>
                <w:sz w:val="21"/>
                <w:szCs w:val="21"/>
              </w:rPr>
              <w:t xml:space="preserve">不得分。（需提供相关认证证书，原件扫描上传，未提供不得分。)</w:t>
            </w:r>
            <w:bookmarkStart w:id="188" w:name="_GoBack"/>
            <w:r/>
            <w:bookmarkEnd w:id="188"/>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如投标文件中提供的著作权名称表述与招标文件描述的关键字样不一致，而该投标文件中能证明投标人拥有的著作权具有相同或相似功能和效果的，视同符合要求。</w:t>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3.2专利证书(2分)</w:t>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投标品牌制造商获得电梯(不包括自动扶梯)相关发明专利的，每有1个得1分，本项最多得2分，未提供不得分。（需提供相关认证证书，原件扫描上传，未提供不得分。)</w:t>
            </w:r>
            <w:r/>
          </w:p>
          <w:p>
            <w:pPr>
              <w:ind w:firstLine="428"/>
              <w:jc w:val="left"/>
              <w:widowControl/>
              <w:rPr>
                <w:rFonts w:ascii="宋体" w:hAnsi="宋体" w:cs="宋体"/>
                <w:b/>
                <w:bCs/>
                <w:spacing w:val="2"/>
                <w:szCs w:val="21"/>
              </w:rPr>
            </w:pPr>
            <w:r>
              <w:rPr>
                <w:rFonts w:ascii="宋体" w:hAnsi="宋体" w:cs="宋体"/>
                <w:b/>
                <w:bCs/>
                <w:spacing w:val="2"/>
                <w:szCs w:val="21"/>
              </w:rPr>
            </w:r>
            <w:r/>
          </w:p>
        </w:tc>
      </w:tr>
      <w:tr>
        <w:trPr>
          <w:trHeight w:val="905"/>
        </w:trPr>
        <w:tc>
          <w:tcPr>
            <w:gridSpan w:val="2"/>
            <w:tcW w:w="1453" w:type="pct"/>
            <w:vAlign w:val="center"/>
            <w:textDirection w:val="lrTb"/>
            <w:noWrap w:val="false"/>
          </w:tcPr>
          <w:p>
            <w:pPr>
              <w:pStyle w:val="1159"/>
              <w:ind w:right="217"/>
              <w:jc w:val="center"/>
              <w:spacing w:before="68" w:line="337" w:lineRule="auto"/>
              <w:rPr>
                <w:color w:val="auto"/>
              </w:rPr>
            </w:pPr>
            <w:r>
              <w:rPr>
                <w:rFonts w:hint="eastAsia" w:asciiTheme="minorEastAsia" w:hAnsiTheme="minorEastAsia" w:eastAsiaTheme="minorEastAsia" w:cstheme="minorEastAsia"/>
                <w:b w:val="0"/>
                <w:bCs/>
                <w:color w:val="000000"/>
                <w:sz w:val="21"/>
                <w:szCs w:val="21"/>
              </w:rPr>
              <w:t xml:space="preserve">履约能力</w:t>
            </w:r>
            <w:r>
              <w:rPr>
                <w:rFonts w:hint="eastAsia"/>
                <w:color w:val="auto"/>
                <w:spacing w:val="-8"/>
              </w:rPr>
              <w:t xml:space="preserve">（</w:t>
            </w:r>
            <w:r>
              <w:rPr>
                <w:rFonts w:hint="eastAsia"/>
                <w:color w:val="auto"/>
                <w:spacing w:val="-8"/>
                <w:lang w:val="en-US" w:eastAsia="zh-CN"/>
              </w:rPr>
              <w:t xml:space="preserve">8</w:t>
            </w:r>
            <w:r>
              <w:rPr>
                <w:rFonts w:hint="eastAsia"/>
                <w:color w:val="auto"/>
                <w:spacing w:val="-8"/>
              </w:rPr>
              <w:t xml:space="preserve">分）</w:t>
            </w:r>
            <w:r/>
          </w:p>
        </w:tc>
        <w:tc>
          <w:tcPr>
            <w:tcW w:w="3546" w:type="pct"/>
            <w:textDirection w:val="lrTb"/>
            <w:noWrap w:val="false"/>
          </w:tcPr>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4.1投标人自2023年1月1日以来(以合同签订时间为准)具有与本项目类似的业绩供货及安装成功案例的，每有一个得1分，最多得3分，未提供或未按照要求提供</w:t>
            </w:r>
            <w:r>
              <w:rPr>
                <w:rFonts w:hint="eastAsia" w:asciiTheme="minorEastAsia" w:hAnsiTheme="minorEastAsia" w:eastAsiaTheme="minorEastAsia" w:cstheme="minorEastAsia"/>
                <w:b w:val="0"/>
                <w:bCs/>
                <w:color w:val="000000"/>
                <w:sz w:val="21"/>
                <w:szCs w:val="21"/>
                <w:lang w:eastAsia="zh-CN"/>
              </w:rPr>
              <w:t xml:space="preserve">的</w:t>
            </w:r>
            <w:r>
              <w:rPr>
                <w:rFonts w:hint="eastAsia" w:asciiTheme="minorEastAsia" w:hAnsiTheme="minorEastAsia" w:eastAsiaTheme="minorEastAsia" w:cstheme="minorEastAsia"/>
                <w:b w:val="0"/>
                <w:bCs/>
                <w:color w:val="000000"/>
                <w:sz w:val="21"/>
                <w:szCs w:val="21"/>
              </w:rPr>
              <w:t xml:space="preserve">不得分。（需提供合同原件，扫描上传，合同必须为投标人与最终使用单位签订的，否则不得分）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4.2 所投产品制造商: IS09001质量管理体系认证证书、IS014001 环境管理体系认证证书、IS045001 职业健康安全管理体系认证证书、GB/T29490 知识产权管理体系认证证书、ISO10012测量管理体系认证证书，提供一个得1分，最多得5分。未提供或未按照要求提供</w:t>
            </w:r>
            <w:r>
              <w:rPr>
                <w:rFonts w:hint="eastAsia" w:asciiTheme="minorEastAsia" w:hAnsiTheme="minorEastAsia" w:eastAsiaTheme="minorEastAsia" w:cstheme="minorEastAsia"/>
                <w:b w:val="0"/>
                <w:bCs/>
                <w:color w:val="000000"/>
                <w:sz w:val="21"/>
                <w:szCs w:val="21"/>
                <w:lang w:eastAsia="zh-CN"/>
              </w:rPr>
              <w:t xml:space="preserve">的</w:t>
            </w:r>
            <w:r>
              <w:rPr>
                <w:rFonts w:hint="eastAsia" w:asciiTheme="minorEastAsia" w:hAnsiTheme="minorEastAsia" w:eastAsiaTheme="minorEastAsia" w:cstheme="minorEastAsia"/>
                <w:b w:val="0"/>
                <w:bCs/>
                <w:color w:val="000000"/>
                <w:sz w:val="21"/>
                <w:szCs w:val="21"/>
              </w:rPr>
              <w:t xml:space="preserve">不得分。（需提供相关认证证书，原件扫描上传，未提供不得分。)</w:t>
            </w:r>
            <w:r/>
          </w:p>
          <w:p>
            <w:pPr>
              <w:pStyle w:val="1136"/>
              <w:ind w:left="420" w:right="99"/>
              <w:spacing w:line="400" w:lineRule="exact"/>
              <w:rPr>
                <w:rFonts w:ascii="宋体" w:hAnsi="宋体" w:cs="宋体"/>
                <w:color w:val="auto"/>
                <w:sz w:val="21"/>
                <w:szCs w:val="21"/>
                <w:lang w:eastAsia="zh-CN"/>
              </w:rPr>
            </w:pPr>
            <w:r>
              <w:rPr>
                <w:rFonts w:ascii="宋体" w:hAnsi="宋体" w:cs="宋体"/>
                <w:color w:val="auto"/>
                <w:sz w:val="21"/>
                <w:szCs w:val="21"/>
                <w:lang w:eastAsia="zh-CN"/>
              </w:rPr>
            </w:r>
            <w:r/>
          </w:p>
        </w:tc>
      </w:tr>
      <w:tr>
        <w:trPr>
          <w:trHeight w:val="820"/>
        </w:trPr>
        <w:tc>
          <w:tcPr>
            <w:gridSpan w:val="2"/>
            <w:tcW w:w="1453" w:type="pct"/>
            <w:vAlign w:val="center"/>
            <w:textDirection w:val="lrTb"/>
            <w:noWrap w:val="false"/>
          </w:tcPr>
          <w:p>
            <w:pPr>
              <w:pStyle w:val="1159"/>
              <w:ind w:right="217"/>
              <w:jc w:val="center"/>
              <w:spacing w:before="68" w:line="337" w:lineRule="auto"/>
              <w:rPr>
                <w:spacing w:val="-8"/>
                <w:lang w:eastAsia="zh-CN"/>
              </w:rPr>
            </w:pPr>
            <w:r>
              <w:rPr>
                <w:rFonts w:hint="eastAsia" w:asciiTheme="minorEastAsia" w:hAnsiTheme="minorEastAsia" w:eastAsiaTheme="minorEastAsia" w:cstheme="minorEastAsia"/>
                <w:b w:val="0"/>
                <w:bCs/>
                <w:color w:val="000000"/>
                <w:sz w:val="21"/>
                <w:szCs w:val="21"/>
              </w:rPr>
              <w:t xml:space="preserve">售后服务要求</w:t>
            </w:r>
            <w:r>
              <w:rPr>
                <w:rFonts w:hint="eastAsia"/>
                <w:spacing w:val="-8"/>
                <w:lang w:eastAsia="zh-CN"/>
              </w:rPr>
              <w:t xml:space="preserve">（</w:t>
            </w:r>
            <w:r>
              <w:rPr>
                <w:rFonts w:hint="eastAsia"/>
                <w:spacing w:val="-8"/>
                <w:lang w:val="en-US" w:eastAsia="zh-CN"/>
              </w:rPr>
              <w:t xml:space="preserve">5</w:t>
            </w:r>
            <w:r>
              <w:rPr>
                <w:rFonts w:hint="eastAsia"/>
                <w:spacing w:val="-8"/>
                <w:lang w:eastAsia="zh-CN"/>
              </w:rPr>
              <w:t xml:space="preserve">分）</w:t>
            </w:r>
            <w:r/>
          </w:p>
        </w:tc>
        <w:tc>
          <w:tcPr>
            <w:tcW w:w="3546" w:type="pct"/>
            <w:textDirection w:val="lrTb"/>
            <w:noWrap w:val="false"/>
          </w:tcPr>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5.1延长质保(3分)</w:t>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投标人在满足免费原厂质保</w:t>
            </w:r>
            <w:r>
              <w:rPr>
                <w:rFonts w:hint="eastAsia" w:asciiTheme="minorEastAsia" w:hAnsiTheme="minorEastAsia" w:eastAsiaTheme="minorEastAsia" w:cstheme="minorEastAsia"/>
                <w:b w:val="0"/>
                <w:bCs/>
                <w:color w:val="000000"/>
                <w:sz w:val="21"/>
                <w:szCs w:val="21"/>
                <w:lang w:val="en-US" w:eastAsia="zh-CN"/>
              </w:rPr>
              <w:t xml:space="preserve">5</w:t>
            </w:r>
            <w:r>
              <w:rPr>
                <w:rFonts w:hint="eastAsia" w:asciiTheme="minorEastAsia" w:hAnsiTheme="minorEastAsia" w:eastAsiaTheme="minorEastAsia" w:cstheme="minorEastAsia"/>
                <w:b w:val="0"/>
                <w:bCs/>
                <w:color w:val="000000"/>
                <w:sz w:val="21"/>
                <w:szCs w:val="21"/>
              </w:rPr>
              <w:t xml:space="preserve">年的基础上承诺延长免费原厂质保，每延长1年加1分，最多得3分。</w:t>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备注： 1、提供投标人承诺函，加盖公章</w:t>
            </w:r>
            <w:r>
              <w:rPr>
                <w:rFonts w:hint="eastAsia" w:asciiTheme="minorEastAsia" w:hAnsiTheme="minorEastAsia" w:eastAsiaTheme="minorEastAsia" w:cstheme="minorEastAsia"/>
                <w:b w:val="0"/>
                <w:bCs/>
                <w:color w:val="000000"/>
                <w:sz w:val="21"/>
                <w:szCs w:val="21"/>
                <w:lang w:eastAsia="zh-CN"/>
              </w:rPr>
              <w:t xml:space="preserve">，</w:t>
            </w:r>
            <w:r>
              <w:rPr>
                <w:rFonts w:hint="eastAsia" w:ascii="宋体" w:hAnsi="宋体" w:cs="宋体"/>
                <w:b w:val="0"/>
                <w:bCs w:val="0"/>
                <w:color w:val="auto"/>
                <w:szCs w:val="21"/>
                <w:lang w:val="en-US" w:eastAsia="zh-CN"/>
              </w:rPr>
              <w:t xml:space="preserve">扫描上传</w:t>
            </w:r>
            <w:r>
              <w:rPr>
                <w:rFonts w:hint="eastAsia" w:asciiTheme="minorEastAsia" w:hAnsiTheme="minorEastAsia" w:eastAsiaTheme="minorEastAsia" w:cstheme="minorEastAsia"/>
                <w:b w:val="0"/>
                <w:bCs/>
                <w:color w:val="000000"/>
                <w:sz w:val="21"/>
                <w:szCs w:val="21"/>
              </w:rPr>
              <w:t xml:space="preserve">； 2、延长不足1年的不得分。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5.2服务承诺(2分)</w:t>
            </w:r>
            <w:r/>
          </w:p>
          <w:p>
            <w:pPr>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投标人承诺在设备发生故障、接到采购人通知后响应时间：紧急故障反应时间小于 30分钟，一般故障修复时间小于 60分钟，较大故障修复时间小于 36小时；投标人承诺在质保期内每月进行常规维护保养不少于两次，每月对电梯的运行安全工作情况作一次全面检查并提交检查报告，上述承诺事项每提供一项得1分，最多得2分，未提供或不满足不得分。 （需提供承诺函原件，加盖公章，扫描上传)</w:t>
            </w:r>
            <w:r/>
          </w:p>
          <w:p>
            <w:pPr>
              <w:pStyle w:val="1160"/>
              <w:ind w:firstLine="428"/>
              <w:rPr>
                <w:rFonts w:ascii="宋体" w:hAnsi="宋体" w:cs="宋体"/>
                <w:spacing w:val="2"/>
                <w:sz w:val="21"/>
                <w:szCs w:val="21"/>
              </w:rPr>
            </w:pPr>
            <w:r>
              <w:rPr>
                <w:rFonts w:ascii="宋体" w:hAnsi="宋体" w:cs="宋体"/>
                <w:spacing w:val="2"/>
                <w:sz w:val="21"/>
                <w:szCs w:val="21"/>
              </w:rPr>
            </w:r>
            <w:r/>
          </w:p>
        </w:tc>
      </w:tr>
      <w:tr>
        <w:trPr>
          <w:trHeight w:val="1605"/>
        </w:trPr>
        <w:tc>
          <w:tcPr>
            <w:gridSpan w:val="2"/>
            <w:tcW w:w="1453" w:type="pct"/>
            <w:vAlign w:val="center"/>
            <w:textDirection w:val="lrTb"/>
            <w:noWrap w:val="false"/>
          </w:tcPr>
          <w:p>
            <w:pPr>
              <w:pStyle w:val="1159"/>
              <w:ind w:right="217"/>
              <w:jc w:val="center"/>
              <w:spacing w:before="68" w:line="337" w:lineRule="auto"/>
              <w:rPr>
                <w:color w:val="000000"/>
              </w:rPr>
            </w:pPr>
            <w:r>
              <w:rPr>
                <w:rFonts w:hint="eastAsia" w:asciiTheme="minorEastAsia" w:hAnsiTheme="minorEastAsia" w:eastAsiaTheme="minorEastAsia" w:cstheme="minorEastAsia"/>
                <w:b w:val="0"/>
                <w:bCs/>
                <w:color w:val="000000"/>
                <w:sz w:val="21"/>
                <w:szCs w:val="21"/>
              </w:rPr>
              <w:t xml:space="preserve">项目深化设计、项目实施及质量控制方案</w:t>
            </w:r>
            <w:r>
              <w:rPr>
                <w:rFonts w:hint="eastAsia"/>
                <w:spacing w:val="-8"/>
              </w:rPr>
              <w:t xml:space="preserve">（</w:t>
            </w:r>
            <w:r>
              <w:rPr>
                <w:rFonts w:hint="eastAsia"/>
                <w:spacing w:val="-8"/>
                <w:lang w:val="en-US" w:eastAsia="zh-CN"/>
              </w:rPr>
              <w:t xml:space="preserve">21</w:t>
            </w:r>
            <w:r>
              <w:rPr>
                <w:rFonts w:hint="eastAsia"/>
                <w:spacing w:val="-8"/>
              </w:rPr>
              <w:t xml:space="preserve">分）</w:t>
            </w:r>
            <w:r/>
          </w:p>
        </w:tc>
        <w:tc>
          <w:tcPr>
            <w:tcW w:w="3546" w:type="pct"/>
            <w:textDirection w:val="lrTb"/>
            <w:noWrap w:val="false"/>
          </w:tcPr>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6.1投标人应根据招标要求及项目实际，提供深化设计方案(3分)：方案优于招标文件要求得3分；方案符合招标文件要求得1.5分；方案不符合招标文件要求不得分。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6.2项目的生产供货进度方案(3分)：方案优于招标文件要求得3分；方案符合招标文件要求得1.5分；方案不符合招标文件要求不得分。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6.3安装方案(3分)：方案优于招标文件要求得3分；方案符合招标文件要求得1.5分；方案不符合招标文件要求不得分。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6.4安全文明施工方案(3分)：方案优于招标文件要求得3分；方案符合招标文件要求得1.5分；方案不符合招标文件要求不得分。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6.5质量保证方案(3分)方案优于招标文件要求得3分；方案符合招标文件要求得1.5分；方案不符合招标文件要求不得分。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6.6应急处置方案(2分)：方案优于招标文件要求得2分；方案符合招标文件要求得1分；方案不符合招标文件要求不得分。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6.7验收方案(2分)：满足招标文件要求得2分；方案符合招标文件要求得1分；方案不符合招标文件要求不得分。</w:t>
            </w:r>
            <w:r/>
          </w:p>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6.8培训方案(2分)方案优于招标文件要求得2分；方案符合招标文件要求得1分；方案不符合招标文件要求不得分。</w:t>
            </w:r>
            <w:r/>
          </w:p>
          <w:p>
            <w:pPr>
              <w:ind w:firstLine="420"/>
              <w:jc w:val="left"/>
              <w:widowControl/>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 </w:t>
            </w:r>
            <w:r/>
          </w:p>
        </w:tc>
      </w:tr>
      <w:tr>
        <w:trPr>
          <w:trHeight w:val="900"/>
        </w:trPr>
        <w:tc>
          <w:tcPr>
            <w:gridSpan w:val="2"/>
            <w:tcW w:w="1453" w:type="pct"/>
            <w:vAlign w:val="center"/>
            <w:textDirection w:val="lrTb"/>
            <w:noWrap w:val="false"/>
          </w:tcPr>
          <w:p>
            <w:pPr>
              <w:ind w:firstLine="63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rPr>
              <w:t xml:space="preserve">节能环保(2分)</w:t>
            </w:r>
            <w:r/>
          </w:p>
          <w:p>
            <w:pPr>
              <w:ind w:right="71"/>
              <w:jc w:val="center"/>
              <w:spacing w:before="22" w:line="286" w:lineRule="auto"/>
              <w:tabs>
                <w:tab w:val="left" w:pos="236" w:leader="none"/>
              </w:tabs>
              <w:rPr>
                <w:rFonts w:hint="eastAsia" w:ascii="宋体" w:hAnsi="宋体" w:cs="宋体"/>
                <w:color w:val="auto"/>
                <w:spacing w:val="-8"/>
                <w:szCs w:val="21"/>
              </w:rPr>
            </w:pPr>
            <w:r>
              <w:rPr>
                <w:rFonts w:hint="eastAsia" w:ascii="宋体" w:hAnsi="宋体" w:cs="宋体"/>
                <w:color w:val="auto"/>
                <w:spacing w:val="-8"/>
                <w:szCs w:val="21"/>
              </w:rPr>
            </w:r>
            <w:r/>
          </w:p>
        </w:tc>
        <w:tc>
          <w:tcPr>
            <w:tcW w:w="3546" w:type="pct"/>
            <w:vAlign w:val="center"/>
            <w:textDirection w:val="lrTb"/>
            <w:noWrap w:val="false"/>
          </w:tcPr>
          <w:p>
            <w:pPr>
              <w:ind w:firstLine="210"/>
              <w:jc w:val="left"/>
              <w:keepNext/>
              <w:rPr>
                <w:rFonts w:hint="eastAsia" w:asciiTheme="minorEastAsia" w:hAnsiTheme="minorEastAsia" w:eastAsiaTheme="minorEastAsia" w:cstheme="minorEastAsia"/>
                <w:b w:val="0"/>
                <w:bCs/>
                <w:color w:val="000000"/>
                <w:sz w:val="21"/>
                <w:szCs w:val="21"/>
              </w:rPr>
              <w:outlineLvl w:val="0"/>
            </w:pPr>
            <w:r>
              <w:rPr>
                <w:rFonts w:hint="eastAsia" w:asciiTheme="minorEastAsia" w:hAnsiTheme="minorEastAsia" w:eastAsiaTheme="minorEastAsia" w:cstheme="minorEastAsia"/>
                <w:b w:val="0"/>
                <w:bCs/>
                <w:color w:val="000000"/>
                <w:sz w:val="21"/>
                <w:szCs w:val="21"/>
                <w:lang w:val="en-US" w:eastAsia="zh-CN"/>
              </w:rPr>
              <w:t xml:space="preserve">7.</w:t>
            </w:r>
            <w:r>
              <w:rPr>
                <w:rFonts w:hint="eastAsia" w:asciiTheme="minorEastAsia" w:hAnsiTheme="minorEastAsia" w:eastAsiaTheme="minorEastAsia" w:cstheme="minorEastAsia"/>
                <w:b w:val="0"/>
                <w:bCs/>
                <w:color w:val="000000"/>
                <w:sz w:val="21"/>
                <w:szCs w:val="21"/>
              </w:rPr>
              <w:t xml:space="preserve">1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r/>
          </w:p>
          <w:p>
            <w:pPr>
              <w:ind w:firstLine="210"/>
              <w:jc w:val="left"/>
              <w:keepNext/>
              <w:rPr>
                <w:rFonts w:hint="eastAsia" w:ascii="宋体" w:hAnsi="宋体" w:cs="宋体"/>
                <w:b/>
                <w:bCs/>
                <w:color w:val="auto"/>
                <w:spacing w:val="2"/>
                <w:szCs w:val="21"/>
              </w:rPr>
              <w:outlineLvl w:val="0"/>
            </w:pPr>
            <w:r>
              <w:rPr>
                <w:rFonts w:hint="eastAsia" w:asciiTheme="minorEastAsia" w:hAnsiTheme="minorEastAsia" w:eastAsiaTheme="minorEastAsia" w:cstheme="minorEastAsia"/>
                <w:b w:val="0"/>
                <w:bCs/>
                <w:color w:val="000000"/>
                <w:sz w:val="21"/>
                <w:szCs w:val="21"/>
                <w:lang w:val="en-US" w:eastAsia="zh-CN"/>
              </w:rPr>
              <w:t xml:space="preserve">7.</w:t>
            </w:r>
            <w:r>
              <w:rPr>
                <w:rFonts w:hint="eastAsia" w:asciiTheme="minorEastAsia" w:hAnsiTheme="minorEastAsia" w:eastAsiaTheme="minorEastAsia" w:cstheme="minorEastAsia"/>
                <w:b w:val="0"/>
                <w:bCs/>
                <w:color w:val="000000"/>
                <w:sz w:val="21"/>
                <w:szCs w:val="21"/>
              </w:rPr>
              <w:t xml:space="preserve">2投标产品属于财政部、生态环境部公布的“环境标志产品品目清单”范围内的，投标人提供国家确定的认证机构出具的、处于有效期内的该投标产品环境标志产品认证证书复印件的，得1分。</w:t>
            </w:r>
            <w:r>
              <w:rPr>
                <w:rFonts w:hint="eastAsia" w:asciiTheme="minorEastAsia" w:hAnsiTheme="minorEastAsia" w:eastAsiaTheme="minorEastAsia" w:cstheme="minorEastAsia"/>
                <w:b w:val="0"/>
                <w:bCs/>
                <w:color w:val="000000"/>
                <w:sz w:val="21"/>
                <w:szCs w:val="21"/>
              </w:rP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page">
                        <wp:posOffset>12077700</wp:posOffset>
                      </wp:positionH>
                      <wp:positionV relativeFrom="paragraph">
                        <wp:posOffset>1714500</wp:posOffset>
                      </wp:positionV>
                      <wp:extent cx="673100" cy="2197100"/>
                      <wp:effectExtent l="0" t="0" r="13335" b="0"/>
                      <wp:wrapNone/>
                      <wp:docPr id="6" name="Draw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rawing 12"/>
                              <pic:cNvPicPr>
                                <a:picLocks noChangeAspect="1"/>
                              </pic:cNvPicPr>
                              <pic:nvPr/>
                            </pic:nvPicPr>
                            <pic:blipFill>
                              <a:blip r:embed="rId19"/>
                              <a:stretch/>
                            </pic:blipFill>
                            <pic:spPr bwMode="auto">
                              <a:xfrm>
                                <a:off x="0" y="0"/>
                                <a:ext cx="673100" cy="21971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3360;o:allowoverlap:true;o:allowincell:true;mso-position-horizontal-relative:page;margin-left:951.0pt;mso-position-horizontal:absolute;mso-position-vertical-relative:text;margin-top:135.0pt;mso-position-vertical:absolute;width:53.0pt;height:173.0pt;mso-wrap-distance-left:0.0pt;mso-wrap-distance-top:0.0pt;mso-wrap-distance-right:0.0pt;mso-wrap-distance-bottom:0.0pt;" stroked="false">
                      <v:path textboxrect="0,0,0,0"/>
                      <v:imagedata r:id="rId19" o:title=""/>
                    </v:shape>
                  </w:pict>
                </mc:Fallback>
              </mc:AlternateContent>
            </w:r>
            <w:r/>
          </w:p>
        </w:tc>
      </w:tr>
    </w:tbl>
    <w:p>
      <w:pPr>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  投标</w:t>
      </w:r>
      <w:bookmarkEnd w:id="179"/>
      <w:r/>
      <w:bookmarkEnd w:id="180"/>
      <w:r/>
      <w:bookmarkEnd w:id="181"/>
      <w:r>
        <w:rPr>
          <w:rFonts w:hint="eastAsia" w:ascii="黑体" w:hAnsi="Times New Roman" w:eastAsia="黑体"/>
          <w:bCs/>
          <w:color w:val="000000"/>
          <w:sz w:val="44"/>
          <w:szCs w:val="28"/>
        </w:rPr>
        <w:t xml:space="preserve">文件格式</w:t>
      </w:r>
      <w:r/>
    </w:p>
    <w:p>
      <w:pPr>
        <w:jc w:val="center"/>
        <w:rPr>
          <w:rFonts w:hint="eastAsia" w:ascii="宋体" w:hAnsi="宋体"/>
          <w:b/>
          <w:color w:val="000000"/>
          <w:sz w:val="72"/>
          <w:szCs w:val="21"/>
        </w:rPr>
      </w:pPr>
      <w:r/>
      <w:bookmarkStart w:id="182" w:name="_Hlt26955039"/>
      <w:r/>
      <w:bookmarkEnd w:id="182"/>
      <w:r/>
      <w:bookmarkStart w:id="183" w:name="_Hlt26671244"/>
      <w:r/>
      <w:bookmarkEnd w:id="183"/>
      <w:r/>
      <w:bookmarkStart w:id="184" w:name="_Toc120614282"/>
      <w:r/>
      <w:bookmarkStart w:id="185" w:name="_Toc49090576"/>
      <w:r/>
      <w:bookmarkStart w:id="186"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lang w:val="en-US" w:eastAsia="zh-CN"/>
        </w:rPr>
        <w:t xml:space="preserve"> </w:t>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1086"/>
        <w:rPr>
          <w:rFonts w:ascii="宋体" w:hAnsi="宋体"/>
          <w:sz w:val="24"/>
          <w:szCs w:val="21"/>
        </w:rPr>
      </w:pP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cs="宋体"/>
          <w:color w:val="000000"/>
          <w:sz w:val="24"/>
          <w:lang w:val="en-US" w:eastAsia="zh-CN"/>
        </w:rPr>
        <w:t xml:space="preserve">2024或2025</w:t>
      </w:r>
      <w:r>
        <w:rPr>
          <w:rFonts w:hint="eastAsia" w:ascii="宋体" w:hAnsi="宋体"/>
          <w:sz w:val="24"/>
          <w:szCs w:val="21"/>
        </w:rPr>
        <w:t xml:space="preserve">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color w:val="auto"/>
          <w:sz w:val="24"/>
          <w:szCs w:val="21"/>
          <w:lang w:val="en-US" w:eastAsia="zh-CN"/>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color w:val="auto"/>
          <w:sz w:val="24"/>
          <w:szCs w:val="21"/>
          <w:lang w:val="en-US" w:eastAsia="zh-CN"/>
        </w:rPr>
        <w:t xml:space="preserve">响应，并按照招标文件要求提供证明材料，否则做无效投标处理。（格式见附件</w:t>
      </w:r>
      <w:r>
        <w:rPr>
          <w:rFonts w:hint="eastAsia" w:ascii="宋体" w:hAnsi="宋体"/>
          <w:color w:val="auto"/>
          <w:sz w:val="24"/>
          <w:szCs w:val="21"/>
          <w:highlight w:val="none"/>
          <w:lang w:val="en-US" w:eastAsia="zh-CN"/>
        </w:rPr>
        <w:t xml:space="preserve">14）</w:t>
      </w:r>
      <w:r/>
    </w:p>
    <w:p>
      <w:pPr>
        <w:ind w:firstLine="480"/>
        <w:spacing w:line="400" w:lineRule="exact"/>
        <w:rPr>
          <w:rFonts w:hint="eastAsia" w:ascii="宋体" w:hAnsi="宋体"/>
          <w:b/>
          <w:bCs/>
          <w:color w:val="auto"/>
          <w:sz w:val="24"/>
          <w:szCs w:val="21"/>
          <w:lang w:val="en-US" w:eastAsia="zh-CN"/>
        </w:rPr>
      </w:pPr>
      <w:r>
        <w:rPr>
          <w:rFonts w:hint="eastAsia" w:ascii="宋体" w:hAnsi="宋体"/>
          <w:b/>
          <w:bCs/>
          <w:color w:val="auto"/>
          <w:sz w:val="24"/>
          <w:szCs w:val="21"/>
          <w:lang w:val="en-US" w:eastAsia="zh-CN"/>
        </w:rPr>
        <w:t xml:space="preserve">四、价格扣除证明文件</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1.中小企业声明函（格式见附件11）</w:t>
      </w:r>
      <w:r/>
    </w:p>
    <w:p>
      <w:pPr>
        <w:ind w:firstLine="480"/>
        <w:spacing w:line="400" w:lineRule="exact"/>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2.残疾人福利性单位声明函（格式见附件12）</w:t>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ff0000"/>
          <w:sz w:val="24"/>
          <w:szCs w:val="21"/>
          <w:highlight w:val="none"/>
        </w:rPr>
        <w:t xml:space="preserve">3. 关于符合本国产品标准的声明函（格式见附件13）</w:t>
      </w:r>
      <w:r/>
    </w:p>
    <w:p>
      <w:pPr>
        <w:rPr>
          <w:rFonts w:hint="eastAsia" w:ascii="宋体" w:hAnsi="宋体"/>
          <w:b/>
          <w:sz w:val="24"/>
          <w:szCs w:val="21"/>
        </w:rPr>
      </w:pPr>
      <w:r>
        <w:rPr>
          <w:rFonts w:hint="eastAsia" w:ascii="宋体" w:hAnsi="宋体"/>
          <w:b/>
          <w:sz w:val="24"/>
          <w:szCs w:val="21"/>
        </w:rPr>
      </w:r>
      <w:r/>
    </w:p>
    <w:p>
      <w:pPr>
        <w:jc w:val="center"/>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105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b/>
                <w:bCs/>
                <w:sz w:val="24"/>
                <w:szCs w:val="24"/>
              </w:rPr>
            </w:pPr>
            <w:r>
              <w:rPr>
                <w:rFonts w:hint="eastAsia" w:ascii="宋体" w:hAnsi="宋体" w:cs="宋体"/>
                <w:b/>
                <w:bCs/>
                <w:sz w:val="24"/>
                <w:szCs w:val="24"/>
              </w:rPr>
              <w:t xml:space="preserve">                     </w:t>
            </w:r>
            <w:r>
              <w:rPr>
                <w:rFonts w:hint="eastAsia" w:ascii="宋体" w:hAnsi="宋体" w:cs="宋体"/>
                <w:b/>
                <w:bCs/>
                <w:sz w:val="24"/>
                <w:szCs w:val="24"/>
                <w:lang w:val="en-US" w:eastAsia="zh-CN"/>
              </w:rPr>
              <w:t xml:space="preserve">      </w:t>
            </w: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sz w:val="24"/>
                <w:szCs w:val="24"/>
              </w:rPr>
            </w:pPr>
            <w:r>
              <w:rPr>
                <w:rFonts w:hint="eastAsia" w:ascii="宋体" w:hAnsi="宋体" w:cs="宋体"/>
                <w:sz w:val="24"/>
                <w:szCs w:val="24"/>
              </w:rPr>
            </w:r>
            <w:r/>
          </w:p>
        </w:tc>
      </w:tr>
    </w:tbl>
    <w:p>
      <w:pPr>
        <w:rPr>
          <w:rFonts w:hint="eastAsia" w:ascii="宋体" w:hAnsi="宋体"/>
          <w:sz w:val="24"/>
          <w:szCs w:val="24"/>
        </w:rPr>
      </w:pPr>
      <w:r>
        <w:rPr>
          <w:rFonts w:hint="eastAsia"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lang w:val="en-US" w:eastAsia="zh-CN"/>
        </w:rPr>
        <w:t xml:space="preserve">            </w:t>
      </w:r>
      <w:r>
        <w:rPr>
          <w:rFonts w:hint="eastAsia" w:ascii="宋体" w:hAnsi="宋体"/>
          <w:b/>
          <w:sz w:val="24"/>
          <w:szCs w:val="24"/>
        </w:rPr>
        <w:t xml:space="preserve">投标分项报价表（采购包号：***）</w:t>
      </w:r>
      <w:r/>
    </w:p>
    <w:p>
      <w:pPr>
        <w:jc w:val="both"/>
        <w:rPr>
          <w:rFonts w:hint="eastAsia" w:ascii="宋体" w:hAnsi="宋体"/>
          <w:b/>
          <w:sz w:val="24"/>
          <w:szCs w:val="24"/>
        </w:rPr>
      </w:pPr>
      <w:r>
        <w:rPr>
          <w:rFonts w:hint="eastAsia" w:ascii="宋体" w:hAnsi="宋体"/>
          <w:b/>
          <w:sz w:val="24"/>
          <w:szCs w:val="24"/>
        </w:rPr>
      </w:r>
      <w:r/>
    </w:p>
    <w:tbl>
      <w:tblPr>
        <w:tblStyle w:val="1053"/>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gridSpan w:val="9"/>
            <w:tcW w:w="8535"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lang w:val="en-US" w:eastAsia="zh-CN"/>
              </w:rPr>
              <w:t xml:space="preserve">投标总报价（人民币：元）</w:t>
            </w:r>
            <w:r/>
          </w:p>
        </w:tc>
      </w:tr>
      <w:tr>
        <w:trPr>
          <w:cantSplit/>
          <w:trHeight w:val="580"/>
        </w:trPr>
        <w:tc>
          <w:tcPr>
            <w:gridSpan w:val="9"/>
            <w:tcW w:w="8535" w:type="dxa"/>
            <w:vAlign w:val="center"/>
            <w:textDirection w:val="lrTb"/>
            <w:noWrap w:val="false"/>
          </w:tcPr>
          <w:p>
            <w:pPr>
              <w:jc w:val="left"/>
              <w:spacing w:line="0" w:lineRule="atLeast"/>
              <w:rPr>
                <w:rFonts w:hint="eastAsia" w:ascii="宋体" w:hAnsi="宋体"/>
                <w:sz w:val="24"/>
                <w:szCs w:val="24"/>
                <w:lang w:val="en-US" w:eastAsia="zh-CN"/>
              </w:rPr>
            </w:pPr>
            <w:r>
              <w:rPr>
                <w:rFonts w:hint="eastAsia" w:ascii="宋体" w:hAnsi="宋体" w:eastAsia="宋体" w:cs="宋体"/>
                <w:color w:val="ff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highlight w:val="none"/>
                <w:u w:val="single"/>
              </w:rPr>
              <w:t xml:space="preserve">***</w:t>
            </w:r>
            <w:r>
              <w:rPr>
                <w:rFonts w:hint="eastAsia" w:ascii="宋体" w:hAnsi="宋体" w:eastAsia="宋体" w:cs="宋体"/>
                <w:color w:val="ff0000"/>
                <w:sz w:val="24"/>
                <w:szCs w:val="24"/>
                <w:highlight w:val="none"/>
              </w:rPr>
              <w:t xml:space="preserve">%。</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sz w:val="24"/>
          <w:szCs w:val="24"/>
          <w:highlight w:val="green"/>
          <w:lang w:val="en-US" w:eastAsia="zh-CN"/>
        </w:rPr>
        <w:t xml:space="preserve">投标总报价”数额为各“分项总价”之和。</w:t>
      </w:r>
      <w:r/>
    </w:p>
    <w:p>
      <w:pPr>
        <w:spacing w:line="400" w:lineRule="exact"/>
        <w:rPr>
          <w:rFonts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eastAsia="宋体" w:cs="Times New Roman"/>
          <w:color w:val="ff0000"/>
          <w:sz w:val="24"/>
          <w:szCs w:val="21"/>
          <w:highlight w:val="none"/>
        </w:rPr>
      </w:pPr>
      <w:r>
        <w:rPr>
          <w:rFonts w:hint="eastAsia" w:ascii="宋体" w:hAnsi="宋体" w:eastAsia="宋体" w:cs="Times New Roman"/>
          <w:color w:val="ff0000"/>
          <w:sz w:val="24"/>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Times New Roman"/>
          <w:sz w:val="24"/>
          <w:szCs w:val="21"/>
          <w:highlight w:val="none"/>
        </w:rPr>
      </w:pPr>
      <w:r>
        <w:rPr>
          <w:rFonts w:hint="eastAsia" w:ascii="宋体" w:hAnsi="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.投标人需认真填写本报价表，尤其注意规格型号的准确填写。</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1086"/>
        <w:rPr>
          <w:rFonts w:ascii="宋体" w:hAnsi="宋体"/>
          <w:b/>
          <w:color w:val="ff0000"/>
          <w:sz w:val="24"/>
          <w:szCs w:val="24"/>
        </w:rPr>
      </w:pPr>
      <w:r>
        <w:rPr>
          <w:rFonts w:ascii="宋体" w:hAnsi="宋体"/>
          <w:b/>
          <w:color w:val="ff0000"/>
          <w:sz w:val="24"/>
          <w:szCs w:val="24"/>
        </w:rPr>
      </w:r>
      <w:r/>
    </w:p>
    <w:p>
      <w:pPr>
        <w:pStyle w:val="1086"/>
        <w:rPr>
          <w:rFonts w:ascii="宋体" w:hAnsi="宋体"/>
          <w:b/>
          <w:color w:val="ff0000"/>
          <w:sz w:val="24"/>
          <w:szCs w:val="24"/>
        </w:rPr>
      </w:pPr>
      <w:r>
        <w:rPr>
          <w:rFonts w:ascii="宋体" w:hAnsi="宋体"/>
          <w:b/>
          <w:color w:val="ff0000"/>
          <w:sz w:val="24"/>
          <w:szCs w:val="24"/>
        </w:rPr>
      </w:r>
      <w:r/>
    </w:p>
    <w:p>
      <w:pPr>
        <w:pStyle w:val="1086"/>
        <w:ind w:left="0" w:firstLine="0"/>
        <w:rPr>
          <w:rFonts w:ascii="宋体" w:hAnsi="宋体"/>
          <w:b/>
          <w:color w:val="ff0000"/>
          <w:sz w:val="24"/>
          <w:szCs w:val="24"/>
        </w:rPr>
      </w:pPr>
      <w:r>
        <w:rPr>
          <w:rFonts w:ascii="宋体" w:hAnsi="宋体"/>
          <w:b/>
          <w:color w:val="ff0000"/>
          <w:sz w:val="24"/>
          <w:szCs w:val="24"/>
        </w:rPr>
      </w:r>
      <w:r/>
    </w:p>
    <w:p>
      <w:pPr>
        <w:jc w:val="both"/>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10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pStyle w:val="1086"/>
        <w:rPr>
          <w:rFonts w:hint="eastAsia" w:ascii="宋体" w:hAnsi="宋体"/>
          <w:sz w:val="24"/>
          <w:szCs w:val="24"/>
        </w:rPr>
      </w:pPr>
      <w:r>
        <w:rPr>
          <w:rFonts w:hint="eastAsia" w:ascii="宋体" w:hAnsi="宋体"/>
          <w:sz w:val="24"/>
          <w:szCs w:val="24"/>
        </w:rPr>
      </w:r>
      <w:r/>
    </w:p>
    <w:p>
      <w:pPr>
        <w:pStyle w:val="1086"/>
        <w:rPr>
          <w:rFonts w:hint="eastAsia" w:ascii="宋体" w:hAnsi="宋体"/>
          <w:sz w:val="24"/>
          <w:szCs w:val="24"/>
        </w:rPr>
      </w:pPr>
      <w:r>
        <w:rPr>
          <w:rFonts w:hint="eastAsia" w:ascii="宋体" w:hAnsi="宋体"/>
          <w:sz w:val="24"/>
          <w:szCs w:val="24"/>
        </w:rPr>
      </w:r>
      <w:r/>
    </w:p>
    <w:p>
      <w:pPr>
        <w:pStyle w:val="1086"/>
        <w:rPr>
          <w:rFonts w:hint="eastAsia" w:ascii="宋体" w:hAnsi="宋体"/>
          <w:sz w:val="24"/>
          <w:szCs w:val="24"/>
        </w:rPr>
      </w:pPr>
      <w:r>
        <w:rPr>
          <w:rFonts w:hint="eastAsia" w:ascii="宋体" w:hAnsi="宋体"/>
          <w:sz w:val="24"/>
          <w:szCs w:val="24"/>
        </w:rPr>
      </w:r>
      <w:r/>
    </w:p>
    <w:p>
      <w:pPr>
        <w:pStyle w:val="1086"/>
        <w:rPr>
          <w:rFonts w:hint="eastAsia" w:ascii="宋体" w:hAnsi="宋体"/>
          <w:sz w:val="24"/>
          <w:szCs w:val="24"/>
        </w:rPr>
      </w:pPr>
      <w:r>
        <w:rPr>
          <w:rFonts w:hint="eastAsia" w:ascii="宋体" w:hAnsi="宋体"/>
          <w:sz w:val="24"/>
          <w:szCs w:val="24"/>
        </w:rPr>
      </w:r>
      <w:r/>
    </w:p>
    <w:p>
      <w:pPr>
        <w:pStyle w:val="1086"/>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p>
      <w:pPr>
        <w:jc w:val="both"/>
        <w:rPr>
          <w:rFonts w:hint="eastAsia" w:ascii="宋体" w:hAnsi="宋体"/>
          <w:b/>
          <w:sz w:val="24"/>
          <w:szCs w:val="24"/>
        </w:rPr>
      </w:pPr>
      <w:r>
        <w:rPr>
          <w:rFonts w:hint="eastAsia" w:ascii="宋体" w:hAnsi="宋体"/>
          <w:b/>
          <w:sz w:val="24"/>
          <w:szCs w:val="24"/>
        </w:rPr>
      </w:r>
      <w:r/>
    </w:p>
    <w:tbl>
      <w:tblPr>
        <w:tblStyle w:val="10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1086"/>
        <w:rPr>
          <w:rFonts w:hint="eastAsia" w:ascii="宋体" w:hAnsi="宋体"/>
          <w:b/>
          <w:sz w:val="24"/>
          <w:szCs w:val="21"/>
        </w:rPr>
      </w:pPr>
      <w:r>
        <w:rPr>
          <w:rFonts w:hint="eastAsia" w:ascii="宋体" w:hAnsi="宋体"/>
          <w:b/>
          <w:sz w:val="24"/>
          <w:szCs w:val="21"/>
        </w:rPr>
      </w:r>
      <w:r/>
    </w:p>
    <w:p>
      <w:pPr>
        <w:pStyle w:val="1086"/>
        <w:rPr>
          <w:rFonts w:hint="eastAsia" w:ascii="宋体" w:hAnsi="宋体"/>
          <w:b/>
          <w:sz w:val="24"/>
          <w:szCs w:val="21"/>
        </w:rPr>
      </w:pPr>
      <w:r>
        <w:rPr>
          <w:rFonts w:hint="eastAsia" w:ascii="宋体" w:hAnsi="宋体"/>
          <w:b/>
          <w:sz w:val="24"/>
          <w:szCs w:val="21"/>
        </w:rPr>
      </w:r>
      <w:r/>
    </w:p>
    <w:p>
      <w:pPr>
        <w:pStyle w:val="1086"/>
        <w:rPr>
          <w:rFonts w:hint="eastAsia" w:ascii="宋体" w:hAnsi="宋体"/>
          <w:b/>
          <w:sz w:val="24"/>
          <w:szCs w:val="21"/>
        </w:rPr>
      </w:pPr>
      <w:r>
        <w:rPr>
          <w:rFonts w:hint="eastAsia" w:ascii="宋体" w:hAnsi="宋体"/>
          <w:b/>
          <w:sz w:val="24"/>
          <w:szCs w:val="21"/>
        </w:rPr>
      </w:r>
      <w:r/>
    </w:p>
    <w:p>
      <w:pPr>
        <w:pStyle w:val="1086"/>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被授权人电子邮箱：</w:t>
      </w:r>
      <w:r>
        <w:rPr>
          <w:rFonts w:hint="eastAsia" w:ascii="Times New Roman" w:hAnsi="Times New Roman"/>
          <w:color w:val="auto"/>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扬州市公共资源交易中心高邮分中心：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1086"/>
        <w:rPr>
          <w:rFonts w:ascii="宋体" w:hAnsi="宋体"/>
          <w:b/>
          <w:color w:val="000000"/>
          <w:sz w:val="24"/>
          <w:szCs w:val="21"/>
        </w:rPr>
      </w:pPr>
      <w:r>
        <w:rPr>
          <w:rFonts w:ascii="宋体" w:hAnsi="宋体"/>
          <w:b/>
          <w:color w:val="000000"/>
          <w:sz w:val="24"/>
          <w:szCs w:val="21"/>
        </w:rPr>
      </w:r>
      <w:r/>
    </w:p>
    <w:p>
      <w:pPr>
        <w:pStyle w:val="1086"/>
        <w:rPr>
          <w:rFonts w:ascii="宋体" w:hAnsi="宋体"/>
          <w:b/>
          <w:color w:val="000000"/>
          <w:sz w:val="24"/>
          <w:szCs w:val="21"/>
        </w:rPr>
      </w:pPr>
      <w:r>
        <w:rPr>
          <w:rFonts w:ascii="宋体" w:hAnsi="宋体"/>
          <w:b/>
          <w:color w:val="000000"/>
          <w:sz w:val="24"/>
          <w:szCs w:val="21"/>
        </w:rPr>
      </w:r>
      <w:r/>
    </w:p>
    <w:p>
      <w:pPr>
        <w:pStyle w:val="1086"/>
        <w:rPr>
          <w:rFonts w:ascii="宋体" w:hAnsi="宋体"/>
          <w:b/>
          <w:color w:val="000000"/>
          <w:sz w:val="24"/>
          <w:szCs w:val="21"/>
        </w:rPr>
      </w:pPr>
      <w:r>
        <w:rPr>
          <w:rFonts w:ascii="宋体" w:hAnsi="宋体"/>
          <w:b/>
          <w:color w:val="000000"/>
          <w:sz w:val="24"/>
          <w:szCs w:val="21"/>
        </w:rPr>
      </w:r>
      <w:r/>
    </w:p>
    <w:p>
      <w:pPr>
        <w:pStyle w:val="1086"/>
        <w:rPr>
          <w:rFonts w:ascii="宋体" w:hAnsi="宋体"/>
          <w:b/>
          <w:color w:val="000000"/>
          <w:sz w:val="24"/>
          <w:szCs w:val="21"/>
        </w:rPr>
      </w:pPr>
      <w:r>
        <w:rPr>
          <w:rFonts w:ascii="宋体" w:hAnsi="宋体"/>
          <w:b/>
          <w:color w:val="000000"/>
          <w:sz w:val="24"/>
          <w:szCs w:val="21"/>
        </w:rPr>
      </w:r>
      <w:r/>
    </w:p>
    <w:p>
      <w:pPr>
        <w:pStyle w:val="1086"/>
        <w:rPr>
          <w:rFonts w:ascii="宋体" w:hAnsi="宋体"/>
          <w:b/>
          <w:color w:val="000000"/>
          <w:sz w:val="24"/>
          <w:szCs w:val="21"/>
        </w:rPr>
      </w:pPr>
      <w:r>
        <w:rPr>
          <w:rFonts w:ascii="宋体" w:hAnsi="宋体"/>
          <w:b/>
          <w:color w:val="000000"/>
          <w:sz w:val="24"/>
          <w:szCs w:val="21"/>
        </w:rPr>
      </w:r>
      <w:r/>
    </w:p>
    <w:p>
      <w:pPr>
        <w:pStyle w:val="1086"/>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1086"/>
        <w:ind w:left="0" w:firstLine="0"/>
        <w:rPr>
          <w:rFonts w:ascii="宋体" w:hAnsi="宋体"/>
          <w:b/>
          <w:color w:val="0b5fd1"/>
          <w:sz w:val="24"/>
          <w:szCs w:val="24"/>
        </w:rPr>
      </w:pPr>
      <w:r>
        <w:rPr>
          <w:rFonts w:hint="eastAsia" w:ascii="宋体" w:hAnsi="宋体" w:eastAsia="宋体" w:cs="Times New Roman"/>
          <w:b/>
          <w:color w:val="000000"/>
          <w:sz w:val="24"/>
          <w:szCs w:val="21"/>
          <w:lang w:val="en-US" w:eastAsia="zh-CN" w:bidi="ar-SA"/>
        </w:rPr>
        <w:t xml:space="preserve">附件7   </w:t>
      </w:r>
      <w:r>
        <w:rPr>
          <w:rFonts w:hint="eastAsia" w:ascii="宋体" w:hAnsi="宋体"/>
          <w:b/>
          <w:color w:val="000000"/>
          <w:sz w:val="24"/>
          <w:szCs w:val="21"/>
          <w:lang w:val="en-US" w:eastAsia="zh-CN"/>
        </w:rPr>
        <w:t xml:space="preserve">      </w:t>
      </w:r>
      <w:r>
        <w:rPr>
          <w:rFonts w:hint="eastAsia" w:ascii="宋体" w:hAnsi="宋体" w:eastAsia="宋体" w:cs="Times New Roman"/>
          <w:b/>
          <w:color w:val="000000"/>
          <w:sz w:val="24"/>
          <w:szCs w:val="21"/>
          <w:lang w:val="en-US" w:eastAsia="zh-CN" w:bidi="ar-SA"/>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1053"/>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1086"/>
        <w:rPr>
          <w:rFonts w:ascii="宋体" w:hAnsi="宋体"/>
          <w:b/>
          <w:color w:val="000000"/>
          <w:sz w:val="24"/>
          <w:szCs w:val="21"/>
        </w:rPr>
      </w:pPr>
      <w:r>
        <w:rPr>
          <w:rFonts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rPr>
          <w:rFonts w:hint="eastAsia" w:ascii="宋体" w:hAnsi="宋体"/>
          <w:b/>
          <w:color w:val="000000"/>
          <w:sz w:val="24"/>
          <w:szCs w:val="21"/>
        </w:rPr>
      </w:pPr>
      <w:r>
        <w:rPr>
          <w:rFonts w:hint="eastAsia" w:ascii="宋体" w:hAnsi="宋体"/>
          <w:b/>
          <w:color w:val="000000"/>
          <w:sz w:val="24"/>
          <w:szCs w:val="21"/>
        </w:rPr>
      </w:r>
      <w:r/>
    </w:p>
    <w:p>
      <w:pPr>
        <w:pStyle w:val="1086"/>
        <w:ind w:left="0" w:firstLine="0"/>
        <w:rPr>
          <w:rFonts w:hint="eastAsia" w:ascii="宋体" w:hAnsi="宋体" w:eastAsia="宋体" w:cs="Times New Roman"/>
          <w:b/>
          <w:color w:val="000000"/>
          <w:sz w:val="24"/>
          <w:szCs w:val="21"/>
          <w:lang w:val="en-US" w:eastAsia="zh-CN" w:bidi="ar-SA"/>
        </w:rPr>
      </w:pPr>
      <w:r>
        <w:rPr>
          <w:rFonts w:hint="eastAsia" w:ascii="宋体" w:hAnsi="宋体" w:eastAsia="宋体" w:cs="Times New Roman"/>
          <w:b/>
          <w:color w:val="000000"/>
          <w:sz w:val="24"/>
          <w:szCs w:val="21"/>
          <w:lang w:val="en-US" w:eastAsia="zh-CN" w:bidi="ar-SA"/>
        </w:rPr>
        <w:t xml:space="preserve">附件8</w:t>
      </w:r>
      <w:r/>
    </w:p>
    <w:p>
      <w:pPr>
        <w:ind w:firstLine="1200"/>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1086"/>
        <w:ind w:left="0" w:firstLine="0"/>
        <w:rPr>
          <w:rFonts w:ascii="宋体" w:hAnsi="宋体"/>
          <w:b/>
          <w:color w:val="000000"/>
          <w:sz w:val="24"/>
          <w:szCs w:val="21"/>
        </w:rPr>
      </w:pPr>
      <w:r>
        <w:rPr>
          <w:rFonts w:hint="eastAsia" w:ascii="宋体" w:hAnsi="宋体" w:eastAsia="宋体" w:cs="Times New Roman"/>
          <w:b/>
          <w:color w:val="000000"/>
          <w:sz w:val="24"/>
          <w:szCs w:val="21"/>
          <w:lang w:val="en-US" w:eastAsia="zh-CN" w:bidi="ar-SA"/>
        </w:rPr>
        <w:t xml:space="preserve">附件9</w:t>
      </w: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End w:id="184"/>
      <w:r/>
      <w:bookmarkEnd w:id="185"/>
      <w:r/>
      <w:bookmarkEnd w:id="186"/>
      <w:r/>
      <w:bookmarkStart w:id="187" w:name="_Toc120614284"/>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keepLines/>
        <w:keepNext/>
        <w:spacing w:before="260" w:after="260" w:line="416" w:lineRule="auto"/>
        <w:rPr>
          <w:rFonts w:hint="eastAsia" w:ascii="宋体" w:hAnsi="宋体"/>
          <w:b/>
          <w:color w:val="000000"/>
          <w:sz w:val="24"/>
          <w:szCs w:val="21"/>
          <w:lang w:val="en-US" w:eastAsia="zh-CN"/>
        </w:rPr>
        <w:outlineLvl w:val="1"/>
      </w:pP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keepLines/>
        <w:keepNext/>
        <w:spacing w:before="260" w:after="260" w:line="416" w:lineRule="auto"/>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ind w:left="420" w:firstLine="480"/>
        <w:jc w:val="left"/>
        <w:spacing w:line="420" w:lineRule="exact"/>
        <w:rPr>
          <w:rFonts w:hint="eastAsia"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ascii="宋体" w:hAnsi="宋体"/>
          <w:b/>
          <w:color w:val="ff0000"/>
          <w:sz w:val="24"/>
          <w:szCs w:val="21"/>
        </w:rPr>
      </w:pPr>
      <w:r>
        <w:rPr>
          <w:rFonts w:ascii="宋体" w:hAnsi="宋体"/>
          <w:b/>
          <w:color w:val="ff0000"/>
          <w:sz w:val="24"/>
          <w:szCs w:val="21"/>
        </w:rPr>
      </w:r>
      <w:r/>
    </w:p>
    <w:p>
      <w:pPr>
        <w:ind w:firstLine="240"/>
        <w:jc w:val="both"/>
        <w:spacing w:line="560" w:lineRule="exact"/>
        <w:rPr>
          <w:rFonts w:hint="eastAsia"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b/>
          <w:sz w:val="24"/>
          <w:szCs w:val="21"/>
        </w:rPr>
        <w:t xml:space="preserve">中小企业声明函（货物类项目）（采购包号：**）</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lang w:val="en-US" w:eastAsia="zh-CN"/>
        </w:rPr>
        <w:t xml:space="preserve">扬州市公共资源交易中心高邮分中心</w:t>
      </w:r>
      <w:r>
        <w:rPr>
          <w:rFonts w:hint="eastAsia" w:ascii="宋体" w:hAnsi="宋体" w:eastAsia="宋体" w:cs="宋体"/>
          <w:sz w:val="24"/>
          <w:szCs w:val="24"/>
          <w:lang w:val="en-US" w:eastAsia="zh-CN"/>
        </w:rPr>
        <w:t xml:space="preserve">组织</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hint="eastAsia" w:ascii="宋体" w:hAnsi="宋体" w:cs="宋体"/>
          <w:sz w:val="24"/>
          <w:szCs w:val="24"/>
          <w:u w:val="single"/>
          <w:lang w:eastAsia="zh-CN"/>
        </w:rPr>
        <w:t xml:space="preserve">，</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single"/>
          <w:lang w:val="en-US" w:eastAsia="zh-CN"/>
        </w:rPr>
        <w:t xml:space="preserve">项目编号</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u w:val="none"/>
          <w:lang w:val="en-US" w:eastAsia="zh-CN"/>
        </w:rPr>
        <w:t xml:space="preserve">的</w:t>
      </w:r>
      <w:r>
        <w:rPr>
          <w:rFonts w:ascii="宋体" w:hAnsi="宋体" w:eastAsia="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 1. </w:t>
      </w:r>
      <w:r>
        <w:rPr>
          <w:rFonts w:ascii="宋体" w:hAnsi="宋体" w:eastAsia="宋体" w:cs="宋体"/>
          <w:sz w:val="24"/>
          <w:szCs w:val="24"/>
          <w:u w:val="single"/>
        </w:rPr>
        <w:t xml:space="preserve">（</w:t>
      </w:r>
      <w:r>
        <w:rPr>
          <w:rFonts w:hint="eastAsia" w:ascii="宋体" w:hAnsi="宋体" w:eastAsia="宋体" w:cs="宋体"/>
          <w:sz w:val="24"/>
          <w:szCs w:val="24"/>
          <w:u w:val="single"/>
        </w:rPr>
        <w:t xml:space="preserve">高邮市卸甲镇龙奔社区党群服务中心电梯采购与安装工程</w:t>
      </w:r>
      <w:r>
        <w:rPr>
          <w:rFonts w:ascii="宋体" w:hAnsi="宋体" w:eastAsia="宋体" w:cs="宋体"/>
          <w:sz w:val="24"/>
          <w:szCs w:val="24"/>
          <w:u w:val="single"/>
        </w:rPr>
        <w:t xml:space="preserve">） </w:t>
      </w:r>
      <w:r>
        <w:rPr>
          <w:rFonts w:ascii="宋体" w:hAnsi="宋体" w:eastAsia="宋体" w:cs="宋体"/>
          <w:sz w:val="24"/>
          <w:szCs w:val="24"/>
        </w:rPr>
        <w:t xml:space="preserve">，属于</w:t>
      </w:r>
      <w:r>
        <w:rPr>
          <w:rFonts w:ascii="宋体" w:hAnsi="宋体" w:eastAsia="宋体" w:cs="宋体"/>
          <w:sz w:val="24"/>
          <w:szCs w:val="24"/>
          <w:u w:val="single"/>
        </w:rPr>
        <w:t xml:space="preserve">（</w:t>
      </w:r>
      <w:r>
        <w:rPr>
          <w:rFonts w:hint="eastAsia" w:ascii="宋体" w:hAnsi="宋体" w:cs="宋体"/>
          <w:sz w:val="24"/>
          <w:szCs w:val="24"/>
          <w:u w:val="single"/>
          <w:lang w:val="en-US" w:eastAsia="zh-CN"/>
        </w:rPr>
        <w:t xml:space="preserve">工业</w:t>
      </w:r>
      <w:r>
        <w:rPr>
          <w:rFonts w:ascii="宋体" w:hAnsi="宋体" w:eastAsia="宋体" w:cs="宋体"/>
          <w:sz w:val="24"/>
          <w:szCs w:val="24"/>
          <w:u w:val="single"/>
        </w:rPr>
        <w:t xml:space="preserve">）</w:t>
      </w:r>
      <w:r>
        <w:rPr>
          <w:rFonts w:ascii="宋体" w:hAnsi="宋体" w:eastAsia="宋体" w:cs="宋体"/>
          <w:sz w:val="24"/>
          <w:szCs w:val="24"/>
        </w:rPr>
        <w:t xml:space="preserve">行业；</w:t>
      </w:r>
      <w:r>
        <w:rPr>
          <w:rFonts w:ascii="宋体" w:hAnsi="宋体" w:eastAsia="宋体" w:cs="宋体"/>
          <w:color w:val="ff0000"/>
          <w:sz w:val="24"/>
          <w:szCs w:val="24"/>
        </w:rPr>
        <w:t xml:space="preserve">制造商</w:t>
      </w:r>
      <w:r>
        <w:rPr>
          <w:rFonts w:ascii="宋体" w:hAnsi="宋体" w:eastAsia="宋体" w:cs="宋体"/>
          <w:sz w:val="24"/>
          <w:szCs w:val="24"/>
        </w:rPr>
        <w:t xml:space="preserve">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中型企业、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小型企业、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2. </w:t>
      </w:r>
      <w:r>
        <w:rPr>
          <w:rFonts w:ascii="宋体" w:hAnsi="宋体" w:eastAsia="宋体" w:cs="宋体"/>
          <w:sz w:val="24"/>
          <w:szCs w:val="24"/>
          <w:u w:val="single"/>
        </w:rPr>
        <w:t xml:space="preserve">（标的名称） </w:t>
      </w:r>
      <w:r>
        <w:rPr>
          <w:rFonts w:ascii="宋体" w:hAnsi="宋体" w:eastAsia="宋体" w:cs="宋体"/>
          <w:sz w:val="24"/>
          <w:szCs w:val="24"/>
        </w:rPr>
        <w:t xml:space="preserve">，属于</w:t>
      </w:r>
      <w:r>
        <w:rPr>
          <w:rFonts w:ascii="宋体" w:hAnsi="宋体" w:eastAsia="宋体" w:cs="宋体"/>
          <w:sz w:val="24"/>
          <w:szCs w:val="24"/>
          <w:u w:val="single"/>
        </w:rPr>
        <w:t xml:space="preserve">（</w:t>
      </w:r>
      <w:r>
        <w:rPr>
          <w:rFonts w:ascii="宋体" w:hAnsi="宋体" w:eastAsia="宋体" w:cs="宋体"/>
          <w:color w:val="ff0000"/>
          <w:sz w:val="24"/>
          <w:szCs w:val="24"/>
          <w:u w:val="single"/>
        </w:rPr>
        <w:t xml:space="preserve">采购文件中明确的所属行业</w:t>
      </w:r>
      <w:r>
        <w:rPr>
          <w:rFonts w:ascii="宋体" w:hAnsi="宋体" w:eastAsia="宋体" w:cs="宋体"/>
          <w:sz w:val="24"/>
          <w:szCs w:val="24"/>
          <w:u w:val="single"/>
        </w:rPr>
        <w:t xml:space="preserve">）</w:t>
      </w:r>
      <w:r>
        <w:rPr>
          <w:rFonts w:ascii="宋体" w:hAnsi="宋体" w:eastAsia="宋体" w:cs="宋体"/>
          <w:sz w:val="24"/>
          <w:szCs w:val="24"/>
        </w:rPr>
        <w:t xml:space="preserve">行业；</w:t>
      </w:r>
      <w:r>
        <w:rPr>
          <w:rFonts w:ascii="宋体" w:hAnsi="宋体" w:eastAsia="宋体" w:cs="宋体"/>
          <w:color w:val="ff0000"/>
          <w:sz w:val="24"/>
          <w:szCs w:val="24"/>
        </w:rPr>
        <w:t xml:space="preserve">制造商</w:t>
      </w:r>
      <w:r>
        <w:rPr>
          <w:rFonts w:ascii="宋体" w:hAnsi="宋体" w:eastAsia="宋体" w:cs="宋体"/>
          <w:sz w:val="24"/>
          <w:szCs w:val="24"/>
        </w:rPr>
        <w:t xml:space="preserve">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人，营业收入为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万元，资产总额为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万元</w:t>
      </w:r>
      <w:r>
        <w:rPr>
          <w:rFonts w:hint="eastAsia" w:ascii="宋体" w:hAnsi="宋体" w:eastAsia="宋体" w:cs="宋体"/>
          <w:sz w:val="24"/>
          <w:szCs w:val="24"/>
          <w:lang w:eastAsia="zh-CN"/>
        </w:rPr>
        <w:t xml:space="preserve">，</w:t>
      </w:r>
      <w:r>
        <w:rPr>
          <w:rFonts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中型企业、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小型企业、</w:t>
      </w:r>
      <w:r>
        <w:rPr>
          <w:rFonts w:hint="eastAsia" w:ascii="宋体" w:hAnsi="宋体" w:eastAsia="宋体" w:cs="宋体"/>
          <w:sz w:val="24"/>
          <w:szCs w:val="24"/>
          <w:u w:val="single"/>
          <w:lang w:val="en-US" w:eastAsia="zh-CN"/>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 ……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eastAsia="宋体" w:cs="宋体"/>
          <w:sz w:val="24"/>
          <w:szCs w:val="24"/>
        </w:rPr>
      </w:pPr>
      <w:r>
        <w:rPr>
          <w:rFonts w:ascii="宋体" w:hAnsi="宋体" w:eastAsia="宋体" w:cs="宋体"/>
          <w:sz w:val="24"/>
          <w:szCs w:val="24"/>
        </w:rPr>
        <w:t xml:space="preserve">本企业对上述声明内容的真实性负责。如有虚假，将依法承担相应责任。 </w:t>
      </w:r>
      <w:r/>
    </w:p>
    <w:p>
      <w:pPr>
        <w:ind w:firstLine="4080"/>
        <w:spacing w:line="400" w:lineRule="exact"/>
        <w:rPr>
          <w:rFonts w:ascii="宋体" w:hAnsi="宋体" w:eastAsia="宋体" w:cs="宋体"/>
          <w:sz w:val="24"/>
          <w:szCs w:val="24"/>
        </w:rPr>
      </w:pPr>
      <w:r>
        <w:rPr>
          <w:rFonts w:ascii="宋体" w:hAnsi="宋体" w:eastAsia="宋体" w:cs="宋体"/>
          <w:sz w:val="24"/>
          <w:szCs w:val="24"/>
        </w:rPr>
      </w:r>
      <w:r/>
    </w:p>
    <w:p>
      <w:pPr>
        <w:ind w:firstLine="4080"/>
        <w:spacing w:line="400" w:lineRule="exact"/>
        <w:rPr>
          <w:rFonts w:ascii="宋体" w:hAnsi="宋体" w:eastAsia="宋体" w:cs="宋体"/>
          <w:sz w:val="24"/>
          <w:szCs w:val="24"/>
        </w:rPr>
      </w:pPr>
      <w:r>
        <w:rPr>
          <w:rFonts w:ascii="宋体" w:hAnsi="宋体" w:eastAsia="宋体" w:cs="宋体"/>
          <w:sz w:val="24"/>
          <w:szCs w:val="24"/>
        </w:rPr>
        <w:t xml:space="preserve">企业名称（</w:t>
      </w:r>
      <w:r>
        <w:rPr>
          <w:rFonts w:hint="eastAsia" w:ascii="宋体" w:hAnsi="宋体" w:eastAsia="宋体" w:cs="宋体"/>
          <w:sz w:val="24"/>
          <w:szCs w:val="24"/>
          <w:lang w:val="en-US" w:eastAsia="zh-CN"/>
        </w:rPr>
        <w:t xml:space="preserve">加盖CA电子公章</w:t>
      </w:r>
      <w:r>
        <w:rPr>
          <w:rFonts w:ascii="宋体" w:hAnsi="宋体" w:eastAsia="宋体" w:cs="宋体"/>
          <w:sz w:val="24"/>
          <w:szCs w:val="24"/>
        </w:rPr>
        <w:t xml:space="preserve">）：</w:t>
      </w:r>
      <w:r/>
    </w:p>
    <w:p>
      <w:pPr>
        <w:ind w:firstLine="4800"/>
        <w:spacing w:line="400" w:lineRule="exact"/>
        <w:rPr>
          <w:rFonts w:hint="eastAsia" w:ascii="宋体" w:hAnsi="宋体" w:eastAsia="宋体"/>
          <w:sz w:val="24"/>
          <w:szCs w:val="24"/>
          <w:lang w:eastAsia="zh-CN"/>
        </w:rPr>
      </w:pPr>
      <w:r>
        <w:rPr>
          <w:rFonts w:ascii="宋体" w:hAnsi="宋体" w:eastAsia="宋体" w:cs="宋体"/>
          <w:sz w:val="24"/>
          <w:szCs w:val="24"/>
        </w:rPr>
        <w:t xml:space="preserve">日期</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pageBreakBefore w:val="0"/>
        <w:spacing w:line="400" w:lineRule="exact"/>
        <w:widowControl w:val="off"/>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p>
    <w:p>
      <w:pPr>
        <w:jc w:val="left"/>
        <w:rPr>
          <w:rFonts w:ascii="宋体" w:hAnsi="宋体"/>
          <w:color w:val="ff0000"/>
          <w:sz w:val="24"/>
          <w:szCs w:val="24"/>
        </w:rPr>
      </w:pP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1053"/>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残疾人福利性单位声明函（货物类项目）（采购包号：**）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日  期：</w:t>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附件13  关于符合本国产品标准的声明函（采购包号：**）</w:t>
      </w:r>
      <w:r/>
    </w:p>
    <w:p>
      <w:pPr>
        <w:pStyle w:val="1083"/>
        <w:ind w:firstLine="42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3"/>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3"/>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green"/>
          <w:shd w:val="clear" w:color="auto" w:fill="ffffff"/>
        </w:rPr>
        <w:t xml:space="preserve">1.</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（产品名称1）</w:t>
      </w:r>
      <w:r>
        <w:rPr>
          <w:rStyle w:val="109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green"/>
          <w:shd w:val="clear" w:color="auto" w:fill="ffffff"/>
        </w:rPr>
        <w:t xml:space="preserve">，生产厂为</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（厂名）</w:t>
      </w:r>
      <w:r>
        <w:rPr>
          <w:rStyle w:val="109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green"/>
          <w:shd w:val="clear" w:color="auto" w:fill="ffffff"/>
        </w:rPr>
        <w:t xml:space="preserve">，厂址为</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（生产厂址）</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green"/>
          <w:shd w:val="clear" w:color="auto" w:fill="ffffff"/>
        </w:rPr>
        <w:t xml:space="preserve">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green"/>
          <w:shd w:val="clear" w:color="auto" w:fill="ffffff"/>
        </w:rPr>
        <w:t xml:space="preserve">在中国境内完成。</w:t>
      </w:r>
      <w:r/>
    </w:p>
    <w:p>
      <w:pPr>
        <w:pStyle w:val="1083"/>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gree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green"/>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green"/>
          <w:shd w:val="clear" w:color="auto" w:fill="ffffff"/>
        </w:rPr>
        <w:t xml:space="preserve">.</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（产品名称</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2</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w:t>
      </w:r>
      <w:r>
        <w:rPr>
          <w:rFonts w:hint="eastAsia" w:ascii="宋体" w:hAnsi="宋体" w:eastAsia="宋体" w:cs="宋体"/>
          <w:i w:val="0"/>
          <w:iCs w:val="0"/>
          <w:caps w:val="0"/>
          <w:color w:val="auto"/>
          <w:spacing w:val="0"/>
          <w:sz w:val="24"/>
          <w:szCs w:val="24"/>
          <w:highlight w:val="green"/>
          <w:shd w:val="clear" w:color="auto" w:fill="ffffff"/>
        </w:rPr>
        <w:t xml:space="preserve">，生产厂为</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（厂名）</w:t>
      </w:r>
      <w:r>
        <w:rPr>
          <w:rFonts w:hint="eastAsia" w:ascii="宋体" w:hAnsi="宋体" w:eastAsia="宋体" w:cs="宋体"/>
          <w:i w:val="0"/>
          <w:iCs w:val="0"/>
          <w:caps w:val="0"/>
          <w:color w:val="auto"/>
          <w:spacing w:val="0"/>
          <w:sz w:val="24"/>
          <w:szCs w:val="24"/>
          <w:highlight w:val="green"/>
          <w:shd w:val="clear" w:color="auto" w:fill="ffffff"/>
        </w:rPr>
        <w:t xml:space="preserve">，厂址为</w:t>
      </w:r>
      <w:r>
        <w:rPr>
          <w:rStyle w:val="1092"/>
          <w:rFonts w:hint="eastAsia" w:ascii="宋体" w:hAnsi="宋体" w:eastAsia="宋体" w:cs="宋体"/>
          <w:i w:val="0"/>
          <w:iCs w:val="0"/>
          <w:caps w:val="0"/>
          <w:color w:val="auto"/>
          <w:spacing w:val="0"/>
          <w:sz w:val="24"/>
          <w:szCs w:val="24"/>
          <w:highlight w:val="green"/>
          <w:u w:val="single"/>
          <w:shd w:val="clear" w:color="auto" w:fill="ffffff"/>
        </w:rPr>
        <w:t xml:space="preserve">（生产厂址）</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在中国境内生产。</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的</w:t>
      </w:r>
      <w:r>
        <w:rPr>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Style w:val="1092"/>
          <w:rFonts w:hint="eastAsia" w:ascii="宋体" w:hAnsi="宋体" w:eastAsia="宋体" w:cs="宋体"/>
          <w:i w:val="0"/>
          <w:iCs w:val="0"/>
          <w:caps w:val="0"/>
          <w:color w:val="auto"/>
          <w:spacing w:val="0"/>
          <w:sz w:val="24"/>
          <w:szCs w:val="24"/>
          <w:highlight w:val="green"/>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green"/>
          <w:shd w:val="clear" w:color="auto" w:fill="ffffff"/>
        </w:rPr>
        <w:t xml:space="preserve">在中国境内完成。</w:t>
      </w:r>
      <w:r/>
    </w:p>
    <w:p>
      <w:pPr>
        <w:pStyle w:val="1083"/>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1083"/>
        <w:ind w:firstLine="4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3"/>
        <w:ind w:right="480" w:firstLine="3720"/>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1083"/>
        <w:jc w:val="center"/>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083"/>
        <w:keepLines w:val="0"/>
        <w:keepNext w:val="0"/>
        <w:pageBreakBefore w:val="0"/>
        <w:spacing w:before="30" w:beforeAutospacing="0" w:after="30" w:afterAutospacing="0" w:line="360" w:lineRule="auto"/>
        <w:rPr>
          <w:rFonts w:hint="eastAsia" w:ascii="宋体" w:hAnsi="宋体" w:eastAsia="宋体" w:cs="宋体"/>
          <w:color w:val="auto"/>
          <w:sz w:val="24"/>
          <w:szCs w:val="24"/>
          <w:highlight w:val="green"/>
          <w:shd w:val="clear" w:color="auto" w:fill="ffffff"/>
        </w:rPr>
      </w:pPr>
      <w:r>
        <w:rPr>
          <w:rFonts w:hint="eastAsia" w:ascii="宋体" w:hAnsi="宋体" w:eastAsia="宋体" w:cs="宋体"/>
          <w:color w:val="auto"/>
          <w:sz w:val="24"/>
          <w:szCs w:val="24"/>
          <w:highlight w:val="green"/>
          <w:shd w:val="clear" w:color="auto" w:fill="ffffff"/>
        </w:rPr>
        <w:t xml:space="preserve">6.《声明函》中标注“  /  ”的地方无需填写。</w:t>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pageBreakBefore w:val="0"/>
        <w:spacing w:line="400" w:lineRule="exact"/>
        <w:widowControl w:val="off"/>
        <w:rPr>
          <w:rFonts w:hint="eastAsia" w:ascii="宋体" w:hAnsi="宋体"/>
          <w:b/>
          <w:sz w:val="24"/>
          <w:szCs w:val="21"/>
          <w:lang w:val="en-US" w:eastAsia="zh-CN"/>
        </w:rPr>
      </w:pPr>
      <w:r>
        <w:rPr>
          <w:rFonts w:hint="eastAsia" w:ascii="宋体" w:hAnsi="宋体"/>
          <w:b/>
          <w:sz w:val="24"/>
          <w:szCs w:val="21"/>
          <w:lang w:val="en-US" w:eastAsia="zh-CN"/>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highlight w:val="none"/>
        </w:rPr>
        <w:t xml:space="preserve">1</w:t>
      </w:r>
      <w:r>
        <w:rPr>
          <w:rFonts w:hint="eastAsia" w:ascii="宋体" w:hAnsi="宋体"/>
          <w:b/>
          <w:sz w:val="24"/>
          <w:szCs w:val="24"/>
          <w:highlight w:val="none"/>
          <w:lang w:val="en-US" w:eastAsia="zh-CN"/>
        </w:rPr>
        <w:t xml:space="preserve">4</w:t>
      </w:r>
      <w:r>
        <w:rPr>
          <w:rFonts w:ascii="宋体" w:hAnsi="宋体"/>
          <w:b/>
          <w:sz w:val="24"/>
          <w:szCs w:val="24"/>
          <w:highlight w:val="none"/>
        </w:rPr>
        <w:t xml:space="preserve">  </w:t>
      </w:r>
      <w:r>
        <w:rPr>
          <w:rFonts w:ascii="宋体" w:hAnsi="宋体"/>
          <w:b/>
          <w:sz w:val="24"/>
          <w:szCs w:val="24"/>
        </w:rPr>
        <w:t xml:space="preserve">           </w:t>
      </w:r>
      <w:r>
        <w:rPr>
          <w:rFonts w:hint="eastAsia" w:ascii="宋体" w:hAnsi="宋体"/>
          <w:b/>
          <w:sz w:val="24"/>
          <w:szCs w:val="24"/>
        </w:rPr>
        <w:t xml:space="preserve">实质性要求响应及偏离表（采购包号：**）</w:t>
      </w:r>
      <w:r/>
    </w:p>
    <w:tbl>
      <w:tblPr>
        <w:tblStyle w:val="10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ff0000"/>
          <w:sz w:val="24"/>
          <w:szCs w:val="24"/>
        </w:rPr>
      </w:pPr>
      <w:r>
        <w:rPr>
          <w:rFonts w:hint="eastAsia"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bookmarkEnd w:id="177"/>
      <w:r/>
      <w:bookmarkEnd w:id="178"/>
      <w:r/>
      <w:bookmarkEnd w:id="187"/>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hint="eastAsia" w:ascii="宋体" w:hAnsi="宋体" w:eastAsia="宋体" w:cs="宋体"/>
          <w:b/>
          <w:bCs/>
          <w:spacing w:val="-20"/>
          <w:sz w:val="32"/>
          <w:szCs w:val="32"/>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10"/>
      <w:footerReference w:type="default" r:id="rId16"/>
      <w:footerReference w:type="even" r:id="rId17"/>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rPr>
                              <w:rStyle w:val="1090"/>
                              <w:rFonts w:ascii="宋体" w:hAnsi="宋体"/>
                            </w:rPr>
                          </w:pPr>
                          <w:r>
                            <w:rPr>
                              <w:rStyle w:val="1090"/>
                              <w:rFonts w:ascii="宋体" w:hAnsi="宋体"/>
                            </w:rPr>
                            <w:fldChar w:fldCharType="begin"/>
                          </w:r>
                          <w:r>
                            <w:rPr>
                              <w:rStyle w:val="1090"/>
                              <w:rFonts w:ascii="宋体" w:hAnsi="宋体"/>
                            </w:rPr>
                            <w:instrText xml:space="preserve"> PAGE  \* MERGEFORMAT </w:instrText>
                          </w:r>
                          <w:r>
                            <w:rPr>
                              <w:rStyle w:val="1090"/>
                              <w:rFonts w:ascii="宋体" w:hAnsi="宋体"/>
                            </w:rPr>
                            <w:fldChar w:fldCharType="separate"/>
                          </w:r>
                          <w:r>
                            <w:rPr>
                              <w:rStyle w:val="1090"/>
                              <w:rFonts w:ascii="宋体" w:hAnsi="宋体"/>
                            </w:rPr>
                            <w:t xml:space="preserve">19</w:t>
                          </w:r>
                          <w:r>
                            <w:rPr>
                              <w:rStyle w:val="1090"/>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rPr>
                        <w:rStyle w:val="1090"/>
                        <w:rFonts w:ascii="宋体" w:hAnsi="宋体"/>
                      </w:rPr>
                    </w:pPr>
                    <w:r>
                      <w:rPr>
                        <w:rStyle w:val="1090"/>
                        <w:rFonts w:ascii="宋体" w:hAnsi="宋体"/>
                      </w:rPr>
                      <w:fldChar w:fldCharType="begin"/>
                    </w:r>
                    <w:r>
                      <w:rPr>
                        <w:rStyle w:val="1090"/>
                        <w:rFonts w:ascii="宋体" w:hAnsi="宋体"/>
                      </w:rPr>
                      <w:instrText xml:space="preserve"> PAGE  \* MERGEFORMAT </w:instrText>
                    </w:r>
                    <w:r>
                      <w:rPr>
                        <w:rStyle w:val="1090"/>
                        <w:rFonts w:ascii="宋体" w:hAnsi="宋体"/>
                      </w:rPr>
                      <w:fldChar w:fldCharType="separate"/>
                    </w:r>
                    <w:r>
                      <w:rPr>
                        <w:rStyle w:val="1090"/>
                        <w:rFonts w:ascii="宋体" w:hAnsi="宋体"/>
                      </w:rPr>
                      <w:t xml:space="preserve">19</w:t>
                    </w:r>
                    <w:r>
                      <w:rPr>
                        <w:rStyle w:val="1090"/>
                        <w:rFonts w:ascii="宋体" w:hAnsi="宋体"/>
                      </w:rP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rStyle w:val="1090"/>
      </w:rPr>
      <w:framePr w:wrap="around" w:vAnchor="text" w:hAnchor="margin" w:xAlign="center" w:y="1"/>
    </w:pPr>
    <w:r>
      <w:fldChar w:fldCharType="begin"/>
    </w:r>
    <w:r>
      <w:rPr>
        <w:rStyle w:val="1090"/>
      </w:rPr>
      <w:instrText xml:space="preserve">PAGE  </w:instrText>
    </w:r>
    <w:r>
      <w:fldChar w:fldCharType="separate"/>
    </w:r>
    <w:r>
      <w:rPr>
        <w:rStyle w:val="1090"/>
      </w:rPr>
      <w:t xml:space="preserve">1</w:t>
    </w:r>
    <w:r>
      <w:fldChar w:fldCharType="end"/>
    </w:r>
    <w:r/>
  </w:p>
  <w:p>
    <w:pPr>
      <w:pStyle w:val="107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pPr>
                    <w:r>
                      <w:fldChar w:fldCharType="begin"/>
                    </w:r>
                    <w:r>
                      <w:instrText xml:space="preserve"> PAGE  \* MERGEFORMAT </w:instrText>
                    </w:r>
                    <w:r>
                      <w:fldChar w:fldCharType="separate"/>
                    </w:r>
                    <w:r>
                      <w:t xml:space="preserve">38</w:t>
                    </w:r>
                    <w:r>
                      <w:fldChar w:fldCharType="end"/>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rStyle w:val="1090"/>
      </w:rPr>
      <w:framePr w:wrap="around" w:vAnchor="text" w:hAnchor="margin" w:xAlign="center" w:y="1"/>
    </w:pPr>
    <w:r>
      <w:fldChar w:fldCharType="begin"/>
    </w:r>
    <w:r>
      <w:rPr>
        <w:rStyle w:val="1090"/>
      </w:rPr>
      <w:instrText xml:space="preserve">PAGE  </w:instrText>
    </w:r>
    <w:r>
      <w:fldChar w:fldCharType="separate"/>
    </w:r>
    <w:r>
      <w:rPr>
        <w:rStyle w:val="1090"/>
      </w:rPr>
      <w:t xml:space="preserve">1</w:t>
    </w:r>
    <w:r>
      <w:fldChar w:fldCharType="end"/>
    </w:r>
    <w:r/>
  </w:p>
  <w:p>
    <w:pPr>
      <w:pStyle w:val="10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13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4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1048"/>
      <w:isLgl w:val="false"/>
      <w:suff w:val="nothing"/>
      <w:lvlText w:val=""/>
      <w:lvlJc w:val="left"/>
      <w:pPr>
        <w:ind w:left="0" w:firstLine="0"/>
      </w:pPr>
      <w:rPr>
        <w:rFonts w:hint="eastAsia"/>
      </w:rPr>
    </w:lvl>
    <w:lvl w:ilvl="6">
      <w:start w:val="1"/>
      <w:numFmt w:val="none"/>
      <w:pStyle w:val="1049"/>
      <w:isLgl w:val="false"/>
      <w:suff w:val="nothing"/>
      <w:lvlText w:val=""/>
      <w:lvlJc w:val="left"/>
      <w:pPr>
        <w:ind w:left="0" w:firstLine="0"/>
      </w:pPr>
      <w:rPr>
        <w:rFonts w:hint="eastAsia"/>
      </w:rPr>
    </w:lvl>
    <w:lvl w:ilvl="7">
      <w:start w:val="1"/>
      <w:numFmt w:val="none"/>
      <w:pStyle w:val="1050"/>
      <w:isLgl w:val="false"/>
      <w:suff w:val="nothing"/>
      <w:lvlText w:val=""/>
      <w:lvlJc w:val="left"/>
      <w:pPr>
        <w:ind w:left="0" w:firstLine="0"/>
      </w:pPr>
      <w:rPr>
        <w:rFonts w:hint="eastAsia"/>
      </w:rPr>
    </w:lvl>
    <w:lvl w:ilvl="8">
      <w:start w:val="1"/>
      <w:numFmt w:val="none"/>
      <w:pStyle w:val="1051"/>
      <w:isLgl w:val="false"/>
      <w:suff w:val="nothing"/>
      <w:lvlText w:val=""/>
      <w:lvlJc w:val="left"/>
      <w:pPr>
        <w:ind w:left="0" w:firstLine="0"/>
      </w:pPr>
      <w:rPr>
        <w:rFonts w:hint="eastAsia"/>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6"/>
  </w:num>
  <w:num w:numId="3">
    <w:abstractNumId w:val="7"/>
  </w:num>
  <w:num w:numId="4">
    <w:abstractNumId w:val="9"/>
  </w:num>
  <w:num w:numId="5">
    <w:abstractNumId w:val="10"/>
  </w:num>
  <w:num w:numId="6">
    <w:abstractNumId w:val="1"/>
  </w:num>
  <w:num w:numId="7">
    <w:abstractNumId w:val="5"/>
  </w:num>
  <w:num w:numId="8">
    <w:abstractNumId w:val="3"/>
  </w:num>
  <w:num w:numId="9">
    <w:abstractNumId w:val="2"/>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9">
    <w:name w:val="Heading 1 Char"/>
    <w:basedOn w:val="1052"/>
    <w:link w:val="1043"/>
    <w:uiPriority w:val="9"/>
    <w:rPr>
      <w:rFonts w:ascii="Arial" w:hAnsi="Arial" w:eastAsia="Arial" w:cs="Arial"/>
      <w:sz w:val="40"/>
      <w:szCs w:val="40"/>
    </w:rPr>
  </w:style>
  <w:style w:type="character" w:styleId="890">
    <w:name w:val="Heading 2 Char"/>
    <w:basedOn w:val="1052"/>
    <w:link w:val="1044"/>
    <w:uiPriority w:val="9"/>
    <w:rPr>
      <w:rFonts w:ascii="Arial" w:hAnsi="Arial" w:eastAsia="Arial" w:cs="Arial"/>
      <w:sz w:val="34"/>
    </w:rPr>
  </w:style>
  <w:style w:type="character" w:styleId="891">
    <w:name w:val="Heading 3 Char"/>
    <w:basedOn w:val="1052"/>
    <w:link w:val="1045"/>
    <w:uiPriority w:val="9"/>
    <w:rPr>
      <w:rFonts w:ascii="Arial" w:hAnsi="Arial" w:eastAsia="Arial" w:cs="Arial"/>
      <w:sz w:val="30"/>
      <w:szCs w:val="30"/>
    </w:rPr>
  </w:style>
  <w:style w:type="character" w:styleId="892">
    <w:name w:val="Heading 4 Char"/>
    <w:basedOn w:val="1052"/>
    <w:link w:val="1046"/>
    <w:uiPriority w:val="9"/>
    <w:rPr>
      <w:rFonts w:ascii="Arial" w:hAnsi="Arial" w:eastAsia="Arial" w:cs="Arial"/>
      <w:b/>
      <w:bCs/>
      <w:sz w:val="26"/>
      <w:szCs w:val="26"/>
    </w:rPr>
  </w:style>
  <w:style w:type="character" w:styleId="893">
    <w:name w:val="Heading 5 Char"/>
    <w:basedOn w:val="1052"/>
    <w:link w:val="1047"/>
    <w:uiPriority w:val="9"/>
    <w:rPr>
      <w:rFonts w:ascii="Arial" w:hAnsi="Arial" w:eastAsia="Arial" w:cs="Arial"/>
      <w:b/>
      <w:bCs/>
      <w:sz w:val="24"/>
      <w:szCs w:val="24"/>
    </w:rPr>
  </w:style>
  <w:style w:type="character" w:styleId="894">
    <w:name w:val="Heading 6 Char"/>
    <w:basedOn w:val="1052"/>
    <w:link w:val="1048"/>
    <w:uiPriority w:val="9"/>
    <w:rPr>
      <w:rFonts w:ascii="Arial" w:hAnsi="Arial" w:eastAsia="Arial" w:cs="Arial"/>
      <w:b/>
      <w:bCs/>
      <w:sz w:val="22"/>
      <w:szCs w:val="22"/>
    </w:rPr>
  </w:style>
  <w:style w:type="character" w:styleId="895">
    <w:name w:val="Heading 7 Char"/>
    <w:basedOn w:val="1052"/>
    <w:link w:val="1049"/>
    <w:uiPriority w:val="9"/>
    <w:rPr>
      <w:rFonts w:ascii="Arial" w:hAnsi="Arial" w:eastAsia="Arial" w:cs="Arial"/>
      <w:b/>
      <w:bCs/>
      <w:i/>
      <w:iCs/>
      <w:sz w:val="22"/>
      <w:szCs w:val="22"/>
    </w:rPr>
  </w:style>
  <w:style w:type="character" w:styleId="896">
    <w:name w:val="Heading 8 Char"/>
    <w:basedOn w:val="1052"/>
    <w:link w:val="1050"/>
    <w:uiPriority w:val="9"/>
    <w:rPr>
      <w:rFonts w:ascii="Arial" w:hAnsi="Arial" w:eastAsia="Arial" w:cs="Arial"/>
      <w:i/>
      <w:iCs/>
      <w:sz w:val="22"/>
      <w:szCs w:val="22"/>
    </w:rPr>
  </w:style>
  <w:style w:type="character" w:styleId="897">
    <w:name w:val="Heading 9 Char"/>
    <w:basedOn w:val="1052"/>
    <w:link w:val="1051"/>
    <w:uiPriority w:val="9"/>
    <w:rPr>
      <w:rFonts w:ascii="Arial" w:hAnsi="Arial" w:eastAsia="Arial" w:cs="Arial"/>
      <w:i/>
      <w:iCs/>
      <w:sz w:val="21"/>
      <w:szCs w:val="21"/>
    </w:rPr>
  </w:style>
  <w:style w:type="paragraph" w:styleId="898">
    <w:name w:val="Title"/>
    <w:basedOn w:val="1042"/>
    <w:next w:val="1042"/>
    <w:link w:val="899"/>
    <w:uiPriority w:val="10"/>
    <w:qFormat/>
    <w:pPr>
      <w:contextualSpacing/>
      <w:spacing w:before="300" w:after="200"/>
    </w:pPr>
    <w:rPr>
      <w:sz w:val="48"/>
      <w:szCs w:val="48"/>
    </w:rPr>
  </w:style>
  <w:style w:type="character" w:styleId="899">
    <w:name w:val="Title Char"/>
    <w:basedOn w:val="1052"/>
    <w:link w:val="898"/>
    <w:uiPriority w:val="10"/>
    <w:rPr>
      <w:sz w:val="48"/>
      <w:szCs w:val="48"/>
    </w:rPr>
  </w:style>
  <w:style w:type="paragraph" w:styleId="900">
    <w:name w:val="Subtitle"/>
    <w:basedOn w:val="1042"/>
    <w:next w:val="1042"/>
    <w:link w:val="901"/>
    <w:uiPriority w:val="11"/>
    <w:qFormat/>
    <w:pPr>
      <w:spacing w:before="200" w:after="200"/>
    </w:pPr>
    <w:rPr>
      <w:sz w:val="24"/>
      <w:szCs w:val="24"/>
    </w:rPr>
  </w:style>
  <w:style w:type="character" w:styleId="901">
    <w:name w:val="Subtitle Char"/>
    <w:basedOn w:val="1052"/>
    <w:link w:val="900"/>
    <w:uiPriority w:val="11"/>
    <w:rPr>
      <w:sz w:val="24"/>
      <w:szCs w:val="24"/>
    </w:rPr>
  </w:style>
  <w:style w:type="paragraph" w:styleId="902">
    <w:name w:val="Quote"/>
    <w:basedOn w:val="1042"/>
    <w:next w:val="1042"/>
    <w:link w:val="903"/>
    <w:uiPriority w:val="29"/>
    <w:qFormat/>
    <w:pPr>
      <w:ind w:left="720" w:right="720"/>
    </w:pPr>
    <w:rPr>
      <w:i/>
    </w:rPr>
  </w:style>
  <w:style w:type="character" w:styleId="903">
    <w:name w:val="Quote Char"/>
    <w:link w:val="902"/>
    <w:uiPriority w:val="29"/>
    <w:rPr>
      <w:i/>
    </w:rPr>
  </w:style>
  <w:style w:type="paragraph" w:styleId="904">
    <w:name w:val="Intense Quote"/>
    <w:basedOn w:val="1042"/>
    <w:next w:val="1042"/>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name w:val="Intense Quote Char"/>
    <w:link w:val="904"/>
    <w:uiPriority w:val="30"/>
    <w:rPr>
      <w:i/>
    </w:rPr>
  </w:style>
  <w:style w:type="character" w:styleId="906">
    <w:name w:val="Header Char"/>
    <w:basedOn w:val="1052"/>
    <w:link w:val="1073"/>
    <w:uiPriority w:val="99"/>
  </w:style>
  <w:style w:type="character" w:styleId="907">
    <w:name w:val="Footer Char"/>
    <w:basedOn w:val="1052"/>
    <w:link w:val="1072"/>
    <w:uiPriority w:val="99"/>
  </w:style>
  <w:style w:type="paragraph" w:styleId="908">
    <w:name w:val="Caption"/>
    <w:basedOn w:val="1042"/>
    <w:next w:val="1042"/>
    <w:uiPriority w:val="35"/>
    <w:semiHidden/>
    <w:unhideWhenUsed/>
    <w:qFormat/>
    <w:pPr>
      <w:spacing w:line="276" w:lineRule="auto"/>
    </w:pPr>
    <w:rPr>
      <w:b/>
      <w:bCs/>
      <w:color w:val="4f81bd" w:themeColor="accent1"/>
      <w:sz w:val="18"/>
      <w:szCs w:val="18"/>
    </w:rPr>
  </w:style>
  <w:style w:type="character" w:styleId="909">
    <w:name w:val="Caption Char"/>
    <w:basedOn w:val="908"/>
    <w:link w:val="1072"/>
    <w:uiPriority w:val="99"/>
  </w:style>
  <w:style w:type="table" w:styleId="910">
    <w:name w:val="Table Grid Light"/>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1"/>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2"/>
    <w:basedOn w:val="10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3"/>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name w:val="Plain Table 4"/>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name w:val="Plain Table 5"/>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6">
    <w:name w:val="Grid Table 1 Light"/>
    <w:basedOn w:val="10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7">
    <w:name w:val="Grid Table 1 Light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8">
    <w:name w:val="Grid Table 1 Light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9">
    <w:name w:val="Grid Table 1 Light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0">
    <w:name w:val="Grid Table 1 Light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1">
    <w:name w:val="Grid Table 1 Light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2">
    <w:name w:val="Grid Table 1 Light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3">
    <w:name w:val="Grid Table 2"/>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4">
    <w:name w:val="Grid Table 2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5">
    <w:name w:val="Grid Table 2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2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2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2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9">
    <w:name w:val="Grid Table 2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0">
    <w:name w:val="Grid Table 3"/>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4"/>
    <w:basedOn w:val="10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name w:val="Grid Table 4 - Accent 1"/>
    <w:basedOn w:val="10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9">
    <w:name w:val="Grid Table 4 - Accent 2"/>
    <w:basedOn w:val="10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0">
    <w:name w:val="Grid Table 4 - Accent 3"/>
    <w:basedOn w:val="10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1">
    <w:name w:val="Grid Table 4 - Accent 4"/>
    <w:basedOn w:val="10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2">
    <w:name w:val="Grid Table 4 - Accent 5"/>
    <w:basedOn w:val="10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3">
    <w:name w:val="Grid Table 4 - Accent 6"/>
    <w:basedOn w:val="10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4">
    <w:name w:val="Grid Table 5 Dark"/>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5">
    <w:name w:val="Grid Table 5 Dark- Accent 1"/>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6">
    <w:name w:val="Grid Table 5 Dark - Accent 2"/>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7">
    <w:name w:val="Grid Table 5 Dark - Accent 3"/>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8">
    <w:name w:val="Grid Table 5 Dark- Accent 4"/>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9">
    <w:name w:val="Grid Table 5 Dark - Accent 5"/>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0">
    <w:name w:val="Grid Table 5 Dark - Accent 6"/>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1">
    <w:name w:val="Grid Table 6 Colorful"/>
    <w:basedOn w:val="10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2">
    <w:name w:val="Grid Table 6 Colorful - Accent 1"/>
    <w:basedOn w:val="10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3">
    <w:name w:val="Grid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4">
    <w:name w:val="Grid Table 6 Colorful - Accent 3"/>
    <w:basedOn w:val="10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5">
    <w:name w:val="Grid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6">
    <w:name w:val="Grid Table 6 Colorful - Accent 5"/>
    <w:basedOn w:val="10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6 Colorful - Accent 6"/>
    <w:basedOn w:val="10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7 Colorful"/>
    <w:basedOn w:val="10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9">
    <w:name w:val="Grid Table 7 Colorful - Accent 1"/>
    <w:basedOn w:val="10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0">
    <w:name w:val="Grid Table 7 Colorful - Accent 2"/>
    <w:basedOn w:val="10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7 Colorful - Accent 3"/>
    <w:basedOn w:val="10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7 Colorful - Accent 4"/>
    <w:basedOn w:val="10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7 Colorful - Accent 5"/>
    <w:basedOn w:val="10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4">
    <w:name w:val="Grid Table 7 Colorful - Accent 6"/>
    <w:basedOn w:val="10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5">
    <w:name w:val="List Table 1 Light"/>
    <w:basedOn w:val="10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name w:val="List Table 1 Light - Accent 1"/>
    <w:basedOn w:val="10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7">
    <w:name w:val="List Table 1 Light - Accent 2"/>
    <w:basedOn w:val="10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8">
    <w:name w:val="List Table 1 Light - Accent 3"/>
    <w:basedOn w:val="10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9">
    <w:name w:val="List Table 1 Light - Accent 4"/>
    <w:basedOn w:val="10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0">
    <w:name w:val="List Table 1 Light - Accent 5"/>
    <w:basedOn w:val="10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1">
    <w:name w:val="List Table 1 Light - Accent 6"/>
    <w:basedOn w:val="10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2">
    <w:name w:val="List Table 2"/>
    <w:basedOn w:val="10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3">
    <w:name w:val="List Table 2 - Accent 1"/>
    <w:basedOn w:val="10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4">
    <w:name w:val="List Table 2 - Accent 2"/>
    <w:basedOn w:val="10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5">
    <w:name w:val="List Table 2 - Accent 3"/>
    <w:basedOn w:val="10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6">
    <w:name w:val="List Table 2 - Accent 4"/>
    <w:basedOn w:val="10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7">
    <w:name w:val="List Table 2 - Accent 5"/>
    <w:basedOn w:val="10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8">
    <w:name w:val="List Table 2 - Accent 6"/>
    <w:basedOn w:val="10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9">
    <w:name w:val="List Table 3"/>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3 - Accent 1"/>
    <w:basedOn w:val="10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1">
    <w:name w:val="List Table 3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2">
    <w:name w:val="List Table 3 - Accent 3"/>
    <w:basedOn w:val="10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3">
    <w:name w:val="List Table 3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4">
    <w:name w:val="List Table 3 - Accent 5"/>
    <w:basedOn w:val="10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5">
    <w:name w:val="List Table 3 - Accent 6"/>
    <w:basedOn w:val="10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6">
    <w:name w:val="List Table 4"/>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4 - Accent 1"/>
    <w:basedOn w:val="10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8">
    <w:name w:val="List Table 4 - Accent 2"/>
    <w:basedOn w:val="10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9">
    <w:name w:val="List Table 4 - Accent 3"/>
    <w:basedOn w:val="10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0">
    <w:name w:val="List Table 4 - Accent 4"/>
    <w:basedOn w:val="10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1">
    <w:name w:val="List Table 4 - Accent 5"/>
    <w:basedOn w:val="10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2">
    <w:name w:val="List Table 4 - Accent 6"/>
    <w:basedOn w:val="10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3">
    <w:name w:val="List Table 5 Dark"/>
    <w:basedOn w:val="10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1"/>
    <w:basedOn w:val="10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2"/>
    <w:basedOn w:val="10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3"/>
    <w:basedOn w:val="10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4"/>
    <w:basedOn w:val="10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5"/>
    <w:basedOn w:val="10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6"/>
    <w:basedOn w:val="10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6 Colorful"/>
    <w:basedOn w:val="10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1">
    <w:name w:val="List Table 6 Colorful - Accent 1"/>
    <w:basedOn w:val="10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2">
    <w:name w:val="List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3">
    <w:name w:val="List Table 6 Colorful - Accent 3"/>
    <w:basedOn w:val="10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4">
    <w:name w:val="List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5">
    <w:name w:val="List Table 6 Colorful - Accent 5"/>
    <w:basedOn w:val="10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6">
    <w:name w:val="List Table 6 Colorful - Accent 6"/>
    <w:basedOn w:val="10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7">
    <w:name w:val="List Table 7 Colorful"/>
    <w:basedOn w:val="10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8">
    <w:name w:val="List Table 7 Colorful - Accent 1"/>
    <w:basedOn w:val="10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9">
    <w:name w:val="List Table 7 Colorful - Accent 2"/>
    <w:basedOn w:val="10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0">
    <w:name w:val="List Table 7 Colorful - Accent 3"/>
    <w:basedOn w:val="10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1">
    <w:name w:val="List Table 7 Colorful - Accent 4"/>
    <w:basedOn w:val="10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2">
    <w:name w:val="List Table 7 Colorful - Accent 5"/>
    <w:basedOn w:val="10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3">
    <w:name w:val="List Table 7 Colorful - Accent 6"/>
    <w:basedOn w:val="10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4">
    <w:name w:val="Lined - Accent"/>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Lined - Accent 1"/>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6">
    <w:name w:val="Lined - Accent 2"/>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7">
    <w:name w:val="Lined - Accent 3"/>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8">
    <w:name w:val="Lined - Accent 4"/>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9">
    <w:name w:val="Lined - Accent 5"/>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0">
    <w:name w:val="Lined - Accent 6"/>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1">
    <w:name w:val="Bordered &amp; Lined - Accent"/>
    <w:basedOn w:val="10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Bordered &amp; Lined - Accent 1"/>
    <w:basedOn w:val="10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3">
    <w:name w:val="Bordered &amp; Lined - Accent 2"/>
    <w:basedOn w:val="10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4">
    <w:name w:val="Bordered &amp; Lined - Accent 3"/>
    <w:basedOn w:val="10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5">
    <w:name w:val="Bordered &amp; Lined - Accent 4"/>
    <w:basedOn w:val="10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6">
    <w:name w:val="Bordered &amp; Lined - Accent 5"/>
    <w:basedOn w:val="10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7">
    <w:name w:val="Bordered &amp; Lined - Accent 6"/>
    <w:basedOn w:val="10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8">
    <w:name w:val="Bordered"/>
    <w:basedOn w:val="10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9">
    <w:name w:val="Bordered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0">
    <w:name w:val="Bordered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1">
    <w:name w:val="Bordered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2">
    <w:name w:val="Bordered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3">
    <w:name w:val="Bordered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4">
    <w:name w:val="Bordered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5">
    <w:name w:val="footnote text"/>
    <w:basedOn w:val="1042"/>
    <w:link w:val="1036"/>
    <w:uiPriority w:val="99"/>
    <w:semiHidden/>
    <w:unhideWhenUsed/>
    <w:pPr>
      <w:spacing w:after="40" w:line="240" w:lineRule="auto"/>
    </w:pPr>
    <w:rPr>
      <w:sz w:val="18"/>
    </w:rPr>
  </w:style>
  <w:style w:type="character" w:styleId="1036">
    <w:name w:val="Footnote Text Char"/>
    <w:link w:val="1035"/>
    <w:uiPriority w:val="99"/>
    <w:rPr>
      <w:sz w:val="18"/>
    </w:rPr>
  </w:style>
  <w:style w:type="character" w:styleId="1037">
    <w:name w:val="footnote reference"/>
    <w:basedOn w:val="1052"/>
    <w:uiPriority w:val="99"/>
    <w:unhideWhenUsed/>
    <w:rPr>
      <w:vertAlign w:val="superscript"/>
    </w:rPr>
  </w:style>
  <w:style w:type="paragraph" w:styleId="1038">
    <w:name w:val="endnote text"/>
    <w:basedOn w:val="1042"/>
    <w:link w:val="1039"/>
    <w:uiPriority w:val="99"/>
    <w:semiHidden/>
    <w:unhideWhenUsed/>
    <w:pPr>
      <w:spacing w:after="0" w:line="240" w:lineRule="auto"/>
    </w:pPr>
    <w:rPr>
      <w:sz w:val="20"/>
    </w:rPr>
  </w:style>
  <w:style w:type="character" w:styleId="1039">
    <w:name w:val="Endnote Text Char"/>
    <w:link w:val="1038"/>
    <w:uiPriority w:val="99"/>
    <w:rPr>
      <w:sz w:val="20"/>
    </w:rPr>
  </w:style>
  <w:style w:type="character" w:styleId="1040">
    <w:name w:val="endnote reference"/>
    <w:basedOn w:val="1052"/>
    <w:uiPriority w:val="99"/>
    <w:semiHidden/>
    <w:unhideWhenUsed/>
    <w:rPr>
      <w:vertAlign w:val="superscript"/>
    </w:rPr>
  </w:style>
  <w:style w:type="paragraph" w:styleId="1041">
    <w:name w:val="TOC Heading"/>
    <w:uiPriority w:val="39"/>
    <w:unhideWhenUsed/>
  </w:style>
  <w:style w:type="paragraph" w:styleId="1042" w:default="1">
    <w:name w:val="Normal"/>
    <w:next w:val="1054"/>
    <w:uiPriority w:val="0"/>
    <w:qFormat/>
    <w:pPr>
      <w:jc w:val="both"/>
      <w:widowControl w:val="off"/>
    </w:pPr>
    <w:rPr>
      <w:rFonts w:ascii="Times New Roman" w:hAnsi="Times New Roman" w:eastAsia="宋体" w:cs="Times New Roman"/>
      <w:sz w:val="21"/>
      <w:szCs w:val="22"/>
      <w:lang w:val="en-US" w:eastAsia="zh-CN" w:bidi="ar-SA"/>
    </w:rPr>
  </w:style>
  <w:style w:type="paragraph" w:styleId="1043">
    <w:name w:val="Heading 1"/>
    <w:basedOn w:val="1042"/>
    <w:next w:val="1042"/>
    <w:link w:val="1095"/>
    <w:uiPriority w:val="0"/>
    <w:qFormat/>
    <w:pPr>
      <w:jc w:val="center"/>
      <w:keepNext/>
      <w:outlineLvl w:val="0"/>
    </w:pPr>
    <w:rPr>
      <w:rFonts w:ascii="楷体_GB2312" w:hAnsi="Times New Roman" w:eastAsia="楷体_GB2312" w:cs="Times New Roman"/>
      <w:sz w:val="28"/>
      <w:szCs w:val="28"/>
    </w:rPr>
  </w:style>
  <w:style w:type="paragraph" w:styleId="1044">
    <w:name w:val="Heading 2"/>
    <w:basedOn w:val="1042"/>
    <w:next w:val="1056"/>
    <w:link w:val="10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5">
    <w:name w:val="Heading 3"/>
    <w:basedOn w:val="1042"/>
    <w:next w:val="1056"/>
    <w:link w:val="10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46">
    <w:name w:val="Heading 4"/>
    <w:basedOn w:val="1042"/>
    <w:next w:val="1056"/>
    <w:link w:val="1099"/>
    <w:uiPriority w:val="0"/>
    <w:qFormat/>
    <w:pPr>
      <w:keepLines/>
      <w:keepNext/>
      <w:spacing w:before="280" w:after="290" w:line="376" w:lineRule="auto"/>
      <w:outlineLvl w:val="3"/>
    </w:pPr>
    <w:rPr>
      <w:rFonts w:ascii="Arial" w:hAnsi="Arial" w:eastAsia="黑体" w:cs="Arial"/>
      <w:b/>
      <w:bCs/>
      <w:sz w:val="28"/>
      <w:szCs w:val="28"/>
    </w:rPr>
  </w:style>
  <w:style w:type="paragraph" w:styleId="1047">
    <w:name w:val="Heading 5"/>
    <w:basedOn w:val="1042"/>
    <w:next w:val="1056"/>
    <w:link w:val="1100"/>
    <w:uiPriority w:val="0"/>
    <w:qFormat/>
    <w:pPr>
      <w:keepNext/>
      <w:outlineLvl w:val="4"/>
    </w:pPr>
    <w:rPr>
      <w:rFonts w:ascii="宋体" w:hAnsi="Times New Roman" w:eastAsia="宋体" w:cs="Times New Roman"/>
      <w:color w:val="000000"/>
      <w:sz w:val="28"/>
      <w:szCs w:val="28"/>
    </w:rPr>
  </w:style>
  <w:style w:type="paragraph" w:styleId="1048">
    <w:name w:val="Heading 6"/>
    <w:basedOn w:val="1042"/>
    <w:next w:val="1042"/>
    <w:link w:val="110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49">
    <w:name w:val="Heading 7"/>
    <w:basedOn w:val="1042"/>
    <w:next w:val="1042"/>
    <w:link w:val="110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50">
    <w:name w:val="Heading 8"/>
    <w:basedOn w:val="1042"/>
    <w:next w:val="1042"/>
    <w:link w:val="110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51">
    <w:name w:val="Heading 9"/>
    <w:basedOn w:val="1042"/>
    <w:next w:val="1042"/>
    <w:link w:val="110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52" w:default="1">
    <w:name w:val="Default Paragraph Font"/>
    <w:uiPriority w:val="1"/>
    <w:unhideWhenUsed/>
    <w:qFormat/>
  </w:style>
  <w:style w:type="table" w:styleId="1053" w:default="1">
    <w:name w:val="Normal Table"/>
    <w:uiPriority w:val="99"/>
    <w:unhideWhenUsed/>
    <w:qFormat/>
    <w:tblPr>
      <w:tblCellMar>
        <w:left w:w="108" w:type="dxa"/>
        <w:top w:w="0" w:type="dxa"/>
        <w:right w:w="108" w:type="dxa"/>
        <w:bottom w:w="0" w:type="dxa"/>
      </w:tblCellMar>
    </w:tblPr>
  </w:style>
  <w:style w:type="paragraph" w:styleId="1054" w:customStyle="1">
    <w:name w:val="正文文本1"/>
    <w:basedOn w:val="1042"/>
    <w:next w:val="1055"/>
    <w:uiPriority w:val="0"/>
    <w:qFormat/>
    <w:rPr>
      <w:rFonts w:ascii="楷体_GB2312" w:hAnsi="Arial" w:eastAsia="楷体_GB2312"/>
      <w:sz w:val="28"/>
      <w:szCs w:val="28"/>
    </w:rPr>
  </w:style>
  <w:style w:type="paragraph" w:styleId="1055" w:customStyle="1">
    <w:name w:val="正文缩进1"/>
    <w:basedOn w:val="1042"/>
    <w:next w:val="1042"/>
    <w:uiPriority w:val="0"/>
    <w:qFormat/>
    <w:pPr>
      <w:ind w:firstLine="420"/>
    </w:pPr>
    <w:rPr>
      <w:lang w:val="en-US" w:eastAsia="en-US"/>
    </w:rPr>
  </w:style>
  <w:style w:type="paragraph" w:styleId="1056">
    <w:name w:val="Normal Indent"/>
    <w:basedOn w:val="1042"/>
    <w:link w:val="1097"/>
    <w:uiPriority w:val="0"/>
    <w:qFormat/>
    <w:pPr>
      <w:ind w:firstLine="420"/>
    </w:pPr>
    <w:rPr>
      <w:szCs w:val="21"/>
    </w:rPr>
  </w:style>
  <w:style w:type="paragraph" w:styleId="1057">
    <w:name w:val="List 3"/>
    <w:basedOn w:val="1042"/>
    <w:uiPriority w:val="0"/>
    <w:qFormat/>
    <w:pPr>
      <w:ind w:left="100" w:hanging="200"/>
    </w:pPr>
    <w:rPr>
      <w:rFonts w:ascii="Times New Roman" w:hAnsi="Times New Roman" w:eastAsia="宋体" w:cs="Times New Roman"/>
      <w:szCs w:val="21"/>
    </w:rPr>
  </w:style>
  <w:style w:type="paragraph" w:styleId="1058">
    <w:name w:val="toc 7"/>
    <w:basedOn w:val="1042"/>
    <w:next w:val="1042"/>
    <w:uiPriority w:val="0"/>
    <w:semiHidden/>
    <w:qFormat/>
    <w:pPr>
      <w:ind w:left="1260"/>
      <w:jc w:val="left"/>
    </w:pPr>
    <w:rPr>
      <w:rFonts w:ascii="Times New Roman" w:hAnsi="Times New Roman" w:eastAsia="宋体" w:cs="Times New Roman"/>
      <w:szCs w:val="21"/>
    </w:rPr>
  </w:style>
  <w:style w:type="paragraph" w:styleId="1059">
    <w:name w:val="Document Map"/>
    <w:basedOn w:val="1042"/>
    <w:link w:val="1105"/>
    <w:uiPriority w:val="0"/>
    <w:semiHidden/>
    <w:qFormat/>
    <w:pPr>
      <w:shd w:val="clear" w:color="auto" w:fill="000080"/>
    </w:pPr>
    <w:rPr>
      <w:rFonts w:ascii="Times New Roman" w:hAnsi="Times New Roman" w:eastAsia="宋体" w:cs="Times New Roman"/>
      <w:szCs w:val="21"/>
    </w:rPr>
  </w:style>
  <w:style w:type="paragraph" w:styleId="1060">
    <w:name w:val="annotation text"/>
    <w:basedOn w:val="1042"/>
    <w:link w:val="1106"/>
    <w:uiPriority w:val="0"/>
    <w:unhideWhenUsed/>
    <w:qFormat/>
    <w:pPr>
      <w:jc w:val="left"/>
    </w:pPr>
  </w:style>
  <w:style w:type="paragraph" w:styleId="1061">
    <w:name w:val="Body Text 3"/>
    <w:basedOn w:val="1042"/>
    <w:link w:val="1107"/>
    <w:uiPriority w:val="0"/>
    <w:qFormat/>
    <w:rPr>
      <w:rFonts w:ascii="仿宋_GB2312" w:hAnsi="Arial" w:eastAsia="仿宋_GB2312" w:cs="Times New Roman"/>
      <w:sz w:val="32"/>
      <w:szCs w:val="32"/>
    </w:rPr>
  </w:style>
  <w:style w:type="paragraph" w:styleId="1062">
    <w:name w:val="Body Text"/>
    <w:basedOn w:val="1042"/>
    <w:link w:val="1108"/>
    <w:uiPriority w:val="0"/>
    <w:qFormat/>
    <w:rPr>
      <w:rFonts w:ascii="楷体_GB2312" w:hAnsi="Arial" w:eastAsia="楷体_GB2312" w:cs="Times New Roman"/>
      <w:sz w:val="28"/>
      <w:szCs w:val="28"/>
    </w:rPr>
  </w:style>
  <w:style w:type="paragraph" w:styleId="1063">
    <w:name w:val="Body Text Indent"/>
    <w:basedOn w:val="1042"/>
    <w:link w:val="1109"/>
    <w:uiPriority w:val="0"/>
    <w:unhideWhenUsed/>
    <w:qFormat/>
    <w:pPr>
      <w:ind w:left="420"/>
      <w:spacing w:after="120"/>
    </w:pPr>
  </w:style>
  <w:style w:type="paragraph" w:styleId="1064">
    <w:name w:val="List 2"/>
    <w:basedOn w:val="1042"/>
    <w:uiPriority w:val="0"/>
    <w:qFormat/>
    <w:pPr>
      <w:ind w:left="100" w:hanging="200"/>
    </w:pPr>
    <w:rPr>
      <w:rFonts w:ascii="Times New Roman" w:hAnsi="Times New Roman" w:eastAsia="宋体" w:cs="Times New Roman"/>
      <w:szCs w:val="21"/>
    </w:rPr>
  </w:style>
  <w:style w:type="paragraph" w:styleId="1065">
    <w:name w:val="toc 5"/>
    <w:basedOn w:val="1042"/>
    <w:next w:val="1042"/>
    <w:uiPriority w:val="0"/>
    <w:semiHidden/>
    <w:qFormat/>
    <w:pPr>
      <w:ind w:left="840"/>
      <w:jc w:val="left"/>
    </w:pPr>
    <w:rPr>
      <w:rFonts w:ascii="Times New Roman" w:hAnsi="Times New Roman" w:eastAsia="宋体" w:cs="Times New Roman"/>
      <w:szCs w:val="21"/>
    </w:rPr>
  </w:style>
  <w:style w:type="paragraph" w:styleId="1066">
    <w:name w:val="toc 3"/>
    <w:basedOn w:val="1042"/>
    <w:next w:val="1042"/>
    <w:uiPriority w:val="0"/>
    <w:semiHidden/>
    <w:qFormat/>
    <w:pPr>
      <w:ind w:left="420"/>
      <w:jc w:val="left"/>
    </w:pPr>
    <w:rPr>
      <w:rFonts w:ascii="Times New Roman" w:hAnsi="Times New Roman" w:eastAsia="宋体" w:cs="Times New Roman"/>
      <w:i/>
      <w:iCs/>
      <w:szCs w:val="24"/>
    </w:rPr>
  </w:style>
  <w:style w:type="paragraph" w:styleId="1067">
    <w:name w:val="Plain Text"/>
    <w:basedOn w:val="1042"/>
    <w:link w:val="1110"/>
    <w:uiPriority w:val="0"/>
    <w:qFormat/>
    <w:rPr>
      <w:rFonts w:ascii="宋体" w:hAnsi="Courier New" w:eastAsia="宋体" w:cs="Courier New"/>
      <w:szCs w:val="21"/>
    </w:rPr>
  </w:style>
  <w:style w:type="paragraph" w:styleId="1068">
    <w:name w:val="toc 8"/>
    <w:basedOn w:val="1042"/>
    <w:next w:val="1042"/>
    <w:uiPriority w:val="0"/>
    <w:semiHidden/>
    <w:qFormat/>
    <w:pPr>
      <w:ind w:left="1470"/>
      <w:jc w:val="left"/>
    </w:pPr>
    <w:rPr>
      <w:rFonts w:ascii="Times New Roman" w:hAnsi="Times New Roman" w:eastAsia="宋体" w:cs="Times New Roman"/>
      <w:szCs w:val="21"/>
    </w:rPr>
  </w:style>
  <w:style w:type="paragraph" w:styleId="1069">
    <w:name w:val="Date"/>
    <w:basedOn w:val="1042"/>
    <w:next w:val="1042"/>
    <w:link w:val="1111"/>
    <w:uiPriority w:val="0"/>
    <w:qFormat/>
    <w:rPr>
      <w:rFonts w:ascii="Times New Roman" w:hAnsi="Times New Roman" w:eastAsia="宋体" w:cs="Times New Roman"/>
      <w:sz w:val="24"/>
      <w:szCs w:val="24"/>
    </w:rPr>
  </w:style>
  <w:style w:type="paragraph" w:styleId="1070">
    <w:name w:val="Body Text Indent 2"/>
    <w:basedOn w:val="1042"/>
    <w:link w:val="1112"/>
    <w:uiPriority w:val="0"/>
    <w:qFormat/>
    <w:pPr>
      <w:ind w:left="630" w:firstLine="645"/>
    </w:pPr>
    <w:rPr>
      <w:rFonts w:ascii="Arial" w:hAnsi="Arial" w:eastAsia="仿宋_GB2312" w:cs="Arial"/>
      <w:sz w:val="32"/>
      <w:szCs w:val="32"/>
    </w:rPr>
  </w:style>
  <w:style w:type="paragraph" w:styleId="1071">
    <w:name w:val="Balloon Text"/>
    <w:basedOn w:val="1042"/>
    <w:link w:val="1113"/>
    <w:uiPriority w:val="0"/>
    <w:semiHidden/>
    <w:qFormat/>
    <w:rPr>
      <w:rFonts w:ascii="Times New Roman" w:hAnsi="Times New Roman" w:eastAsia="宋体" w:cs="Times New Roman"/>
      <w:sz w:val="18"/>
      <w:szCs w:val="18"/>
    </w:rPr>
  </w:style>
  <w:style w:type="paragraph" w:styleId="1072">
    <w:name w:val="Footer"/>
    <w:basedOn w:val="1042"/>
    <w:link w:val="1114"/>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1073">
    <w:name w:val="Header"/>
    <w:basedOn w:val="1042"/>
    <w:link w:val="111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1074">
    <w:name w:val="toc 1"/>
    <w:basedOn w:val="1042"/>
    <w:next w:val="104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75">
    <w:name w:val="toc 4"/>
    <w:basedOn w:val="1042"/>
    <w:next w:val="1042"/>
    <w:uiPriority w:val="0"/>
    <w:semiHidden/>
    <w:qFormat/>
    <w:pPr>
      <w:ind w:left="630"/>
      <w:jc w:val="left"/>
    </w:pPr>
    <w:rPr>
      <w:rFonts w:ascii="Times New Roman" w:hAnsi="Times New Roman" w:eastAsia="宋体" w:cs="Times New Roman"/>
      <w:szCs w:val="21"/>
    </w:rPr>
  </w:style>
  <w:style w:type="paragraph" w:styleId="1076">
    <w:name w:val="List"/>
    <w:basedOn w:val="1042"/>
    <w:uiPriority w:val="0"/>
    <w:qFormat/>
    <w:pPr>
      <w:ind w:left="200" w:hanging="200"/>
    </w:pPr>
    <w:rPr>
      <w:rFonts w:ascii="Times New Roman" w:hAnsi="Times New Roman" w:eastAsia="宋体" w:cs="Times New Roman"/>
      <w:szCs w:val="21"/>
    </w:rPr>
  </w:style>
  <w:style w:type="paragraph" w:styleId="1077">
    <w:name w:val="toc 6"/>
    <w:basedOn w:val="1042"/>
    <w:next w:val="1042"/>
    <w:uiPriority w:val="0"/>
    <w:semiHidden/>
    <w:qFormat/>
    <w:pPr>
      <w:ind w:left="1050"/>
      <w:jc w:val="left"/>
    </w:pPr>
    <w:rPr>
      <w:rFonts w:ascii="Times New Roman" w:hAnsi="Times New Roman" w:eastAsia="宋体" w:cs="Times New Roman"/>
      <w:szCs w:val="21"/>
    </w:rPr>
  </w:style>
  <w:style w:type="paragraph" w:styleId="1078">
    <w:name w:val="Body Text Indent 3"/>
    <w:basedOn w:val="1042"/>
    <w:link w:val="1116"/>
    <w:uiPriority w:val="0"/>
    <w:qFormat/>
    <w:pPr>
      <w:ind w:left="645" w:firstLine="645"/>
    </w:pPr>
    <w:rPr>
      <w:rFonts w:ascii="Arial" w:hAnsi="Arial" w:eastAsia="仿宋_GB2312" w:cs="Arial"/>
      <w:color w:val="ffff00"/>
      <w:sz w:val="32"/>
      <w:szCs w:val="32"/>
    </w:rPr>
  </w:style>
  <w:style w:type="paragraph" w:styleId="1079">
    <w:name w:val="table of figures"/>
    <w:basedOn w:val="1042"/>
    <w:next w:val="1042"/>
    <w:uiPriority w:val="0"/>
    <w:semiHidden/>
    <w:qFormat/>
    <w:pPr>
      <w:ind w:left="840" w:hanging="420"/>
    </w:pPr>
    <w:rPr>
      <w:rFonts w:ascii="Times New Roman" w:hAnsi="Times New Roman" w:eastAsia="宋体" w:cs="Times New Roman"/>
      <w:szCs w:val="21"/>
    </w:rPr>
  </w:style>
  <w:style w:type="paragraph" w:styleId="1080">
    <w:name w:val="toc 2"/>
    <w:basedOn w:val="1042"/>
    <w:next w:val="1042"/>
    <w:uiPriority w:val="0"/>
    <w:semiHidden/>
    <w:qFormat/>
    <w:pPr>
      <w:ind w:left="210"/>
      <w:jc w:val="left"/>
    </w:pPr>
    <w:rPr>
      <w:rFonts w:ascii="Times New Roman" w:hAnsi="Times New Roman" w:eastAsia="宋体" w:cs="Times New Roman"/>
      <w:smallCaps/>
      <w:szCs w:val="24"/>
    </w:rPr>
  </w:style>
  <w:style w:type="paragraph" w:styleId="1081">
    <w:name w:val="toc 9"/>
    <w:basedOn w:val="1042"/>
    <w:next w:val="1042"/>
    <w:uiPriority w:val="0"/>
    <w:semiHidden/>
    <w:qFormat/>
    <w:pPr>
      <w:ind w:left="1680"/>
      <w:jc w:val="left"/>
    </w:pPr>
    <w:rPr>
      <w:rFonts w:ascii="Times New Roman" w:hAnsi="Times New Roman" w:eastAsia="宋体" w:cs="Times New Roman"/>
      <w:szCs w:val="21"/>
    </w:rPr>
  </w:style>
  <w:style w:type="paragraph" w:styleId="1082">
    <w:name w:val="Body Text 2"/>
    <w:basedOn w:val="1042"/>
    <w:link w:val="1117"/>
    <w:uiPriority w:val="0"/>
    <w:qFormat/>
    <w:pPr>
      <w:jc w:val="center"/>
      <w:widowControl/>
    </w:pPr>
    <w:rPr>
      <w:rFonts w:ascii="楷体_GB2312" w:hAnsi="Times New Roman" w:eastAsia="楷体_GB2312" w:cs="Times New Roman"/>
      <w:sz w:val="28"/>
      <w:szCs w:val="28"/>
    </w:rPr>
  </w:style>
  <w:style w:type="paragraph" w:styleId="1083">
    <w:name w:val="Normal (Web)"/>
    <w:basedOn w:val="1042"/>
    <w:uiPriority w:val="99"/>
    <w:qFormat/>
    <w:pPr>
      <w:jc w:val="left"/>
      <w:spacing w:before="100" w:beforeAutospacing="1" w:after="100" w:afterAutospacing="1"/>
      <w:widowControl/>
    </w:pPr>
    <w:rPr>
      <w:rFonts w:ascii="宋体" w:hAnsi="宋体" w:eastAsia="宋体" w:cs="宋体"/>
      <w:sz w:val="24"/>
      <w:szCs w:val="24"/>
    </w:rPr>
  </w:style>
  <w:style w:type="paragraph" w:styleId="1084">
    <w:name w:val="index 1"/>
    <w:basedOn w:val="1042"/>
    <w:next w:val="1042"/>
    <w:uiPriority w:val="0"/>
    <w:semiHidden/>
    <w:qFormat/>
    <w:pPr>
      <w:spacing w:line="240" w:lineRule="atLeast"/>
    </w:pPr>
    <w:rPr>
      <w:rFonts w:ascii="Times New Roman" w:hAnsi="Times New Roman" w:eastAsia="宋体" w:cs="Times New Roman"/>
      <w:b/>
      <w:bCs/>
      <w:szCs w:val="21"/>
    </w:rPr>
  </w:style>
  <w:style w:type="paragraph" w:styleId="1085">
    <w:name w:val="annotation subject"/>
    <w:basedOn w:val="1060"/>
    <w:next w:val="1060"/>
    <w:link w:val="1118"/>
    <w:uiPriority w:val="0"/>
    <w:semiHidden/>
    <w:qFormat/>
    <w:rPr>
      <w:rFonts w:ascii="Times New Roman" w:hAnsi="Times New Roman" w:eastAsia="宋体" w:cs="Times New Roman"/>
      <w:b/>
      <w:bCs/>
      <w:szCs w:val="21"/>
    </w:rPr>
  </w:style>
  <w:style w:type="paragraph" w:styleId="1086">
    <w:name w:val="Body Text First Indent"/>
    <w:basedOn w:val="1062"/>
    <w:link w:val="1119"/>
    <w:uiPriority w:val="0"/>
    <w:qFormat/>
    <w:pPr>
      <w:ind w:firstLine="200"/>
      <w:spacing w:line="360" w:lineRule="auto"/>
    </w:pPr>
    <w:rPr>
      <w:rFonts w:ascii="仿宋_GB2312" w:hAnsi="Times New Roman" w:eastAsia="仿宋_GB2312" w:cs="Times New Roman"/>
      <w:sz w:val="30"/>
      <w:szCs w:val="30"/>
    </w:rPr>
  </w:style>
  <w:style w:type="paragraph" w:styleId="1087">
    <w:name w:val="Body Text First Indent 2"/>
    <w:basedOn w:val="1063"/>
    <w:link w:val="1120"/>
    <w:uiPriority w:val="0"/>
    <w:qFormat/>
    <w:pPr>
      <w:ind w:left="0" w:firstLine="420"/>
      <w:spacing w:after="0" w:line="360" w:lineRule="auto"/>
    </w:pPr>
    <w:rPr>
      <w:rFonts w:ascii="宋体" w:hAnsi="宋体" w:eastAsia="宋体" w:cs="Times New Roman"/>
      <w:szCs w:val="20"/>
    </w:rPr>
  </w:style>
  <w:style w:type="table" w:styleId="1088">
    <w:name w:val="Table Grid"/>
    <w:basedOn w:val="1053"/>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9">
    <w:name w:val="Strong"/>
    <w:uiPriority w:val="0"/>
    <w:qFormat/>
    <w:rPr>
      <w:b/>
      <w:bCs/>
    </w:rPr>
  </w:style>
  <w:style w:type="character" w:styleId="1090">
    <w:name w:val="page number"/>
    <w:uiPriority w:val="0"/>
    <w:qFormat/>
  </w:style>
  <w:style w:type="character" w:styleId="1091">
    <w:name w:val="FollowedHyperlink"/>
    <w:uiPriority w:val="0"/>
    <w:qFormat/>
    <w:rPr>
      <w:color w:val="800080"/>
      <w:u w:val="single"/>
    </w:rPr>
  </w:style>
  <w:style w:type="character" w:styleId="1092">
    <w:name w:val="Emphasis"/>
    <w:uiPriority w:val="0"/>
    <w:qFormat/>
    <w:rPr>
      <w:i/>
    </w:rPr>
  </w:style>
  <w:style w:type="character" w:styleId="1093">
    <w:name w:val="Hyperlink"/>
    <w:uiPriority w:val="0"/>
    <w:qFormat/>
    <w:rPr>
      <w:color w:val="0000ff"/>
      <w:u w:val="single"/>
    </w:rPr>
  </w:style>
  <w:style w:type="character" w:styleId="1094">
    <w:name w:val="annotation reference"/>
    <w:uiPriority w:val="0"/>
    <w:semiHidden/>
    <w:qFormat/>
    <w:rPr>
      <w:sz w:val="21"/>
      <w:szCs w:val="21"/>
    </w:rPr>
  </w:style>
  <w:style w:type="character" w:styleId="1095" w:customStyle="1">
    <w:name w:val="标题 1 Char"/>
    <w:link w:val="1043"/>
    <w:uiPriority w:val="0"/>
    <w:qFormat/>
    <w:rPr>
      <w:rFonts w:ascii="楷体_GB2312" w:hAnsi="Times New Roman" w:eastAsia="楷体_GB2312" w:cs="Times New Roman"/>
      <w:sz w:val="28"/>
      <w:szCs w:val="28"/>
    </w:rPr>
  </w:style>
  <w:style w:type="character" w:styleId="1096" w:customStyle="1">
    <w:name w:val="标题 2 Char"/>
    <w:link w:val="1044"/>
    <w:uiPriority w:val="0"/>
    <w:qFormat/>
    <w:rPr>
      <w:rFonts w:ascii="Arial" w:hAnsi="Arial" w:eastAsia="幼圆" w:cs="Arial"/>
      <w:b/>
      <w:bCs/>
      <w:sz w:val="44"/>
      <w:szCs w:val="44"/>
    </w:rPr>
  </w:style>
  <w:style w:type="character" w:styleId="1097" w:customStyle="1">
    <w:name w:val="正文缩进 Char"/>
    <w:link w:val="1056"/>
    <w:uiPriority w:val="0"/>
    <w:qFormat/>
    <w:rPr>
      <w:szCs w:val="21"/>
    </w:rPr>
  </w:style>
  <w:style w:type="character" w:styleId="1098" w:customStyle="1">
    <w:name w:val="标题 3 Char"/>
    <w:link w:val="1045"/>
    <w:uiPriority w:val="0"/>
    <w:qFormat/>
    <w:rPr>
      <w:rFonts w:ascii="Times New Roman" w:hAnsi="Times New Roman" w:eastAsia="宋体" w:cs="Times New Roman"/>
      <w:b/>
      <w:bCs/>
      <w:sz w:val="32"/>
      <w:szCs w:val="32"/>
    </w:rPr>
  </w:style>
  <w:style w:type="character" w:styleId="1099" w:customStyle="1">
    <w:name w:val="标题 4 Char"/>
    <w:link w:val="1046"/>
    <w:uiPriority w:val="0"/>
    <w:qFormat/>
    <w:rPr>
      <w:rFonts w:ascii="Arial" w:hAnsi="Arial" w:eastAsia="黑体" w:cs="Arial"/>
      <w:b/>
      <w:bCs/>
      <w:sz w:val="28"/>
      <w:szCs w:val="28"/>
    </w:rPr>
  </w:style>
  <w:style w:type="character" w:styleId="1100" w:customStyle="1">
    <w:name w:val="标题 5 Char"/>
    <w:link w:val="1047"/>
    <w:uiPriority w:val="0"/>
    <w:qFormat/>
    <w:rPr>
      <w:rFonts w:ascii="宋体" w:hAnsi="Times New Roman" w:eastAsia="宋体" w:cs="Times New Roman"/>
      <w:color w:val="000000"/>
      <w:sz w:val="28"/>
      <w:szCs w:val="28"/>
    </w:rPr>
  </w:style>
  <w:style w:type="character" w:styleId="1101" w:customStyle="1">
    <w:name w:val="标题 6 Char"/>
    <w:link w:val="1048"/>
    <w:uiPriority w:val="0"/>
    <w:qFormat/>
    <w:rPr>
      <w:rFonts w:ascii="Arial" w:hAnsi="Arial" w:eastAsia="黑体" w:cs="Times New Roman"/>
      <w:b/>
      <w:bCs/>
      <w:sz w:val="24"/>
      <w:szCs w:val="24"/>
    </w:rPr>
  </w:style>
  <w:style w:type="character" w:styleId="1102" w:customStyle="1">
    <w:name w:val="标题 7 Char"/>
    <w:link w:val="1049"/>
    <w:uiPriority w:val="0"/>
    <w:qFormat/>
    <w:rPr>
      <w:rFonts w:ascii="Times New Roman" w:hAnsi="Times New Roman" w:eastAsia="宋体" w:cs="Times New Roman"/>
      <w:b/>
      <w:bCs/>
      <w:sz w:val="24"/>
      <w:szCs w:val="24"/>
    </w:rPr>
  </w:style>
  <w:style w:type="character" w:styleId="1103" w:customStyle="1">
    <w:name w:val="标题 8 Char"/>
    <w:link w:val="1050"/>
    <w:uiPriority w:val="0"/>
    <w:qFormat/>
    <w:rPr>
      <w:rFonts w:ascii="Arial" w:hAnsi="Arial" w:eastAsia="黑体" w:cs="Times New Roman"/>
      <w:sz w:val="24"/>
      <w:szCs w:val="24"/>
    </w:rPr>
  </w:style>
  <w:style w:type="character" w:styleId="1104" w:customStyle="1">
    <w:name w:val="标题 9 Char"/>
    <w:link w:val="1051"/>
    <w:uiPriority w:val="0"/>
    <w:qFormat/>
    <w:rPr>
      <w:rFonts w:ascii="Arial" w:hAnsi="Arial" w:eastAsia="黑体" w:cs="Times New Roman"/>
      <w:szCs w:val="21"/>
    </w:rPr>
  </w:style>
  <w:style w:type="character" w:styleId="1105" w:customStyle="1">
    <w:name w:val="文档结构图 Char"/>
    <w:link w:val="1059"/>
    <w:uiPriority w:val="0"/>
    <w:semiHidden/>
    <w:qFormat/>
    <w:rPr>
      <w:rFonts w:ascii="Times New Roman" w:hAnsi="Times New Roman" w:eastAsia="宋体" w:cs="Times New Roman"/>
      <w:szCs w:val="21"/>
      <w:shd w:val="clear" w:color="auto" w:fill="000080"/>
    </w:rPr>
  </w:style>
  <w:style w:type="character" w:styleId="1106" w:customStyle="1">
    <w:name w:val="批注文字 Char"/>
    <w:link w:val="1060"/>
    <w:uiPriority w:val="99"/>
    <w:semiHidden/>
    <w:qFormat/>
  </w:style>
  <w:style w:type="character" w:styleId="1107" w:customStyle="1">
    <w:name w:val="正文文本 3 Char"/>
    <w:link w:val="1061"/>
    <w:uiPriority w:val="0"/>
    <w:qFormat/>
    <w:rPr>
      <w:rFonts w:ascii="仿宋_GB2312" w:hAnsi="Arial" w:eastAsia="仿宋_GB2312" w:cs="Times New Roman"/>
      <w:sz w:val="32"/>
      <w:szCs w:val="32"/>
    </w:rPr>
  </w:style>
  <w:style w:type="character" w:styleId="1108" w:customStyle="1">
    <w:name w:val="正文文本 Char"/>
    <w:link w:val="1062"/>
    <w:uiPriority w:val="0"/>
    <w:qFormat/>
    <w:rPr>
      <w:rFonts w:ascii="楷体_GB2312" w:hAnsi="Arial" w:eastAsia="楷体_GB2312" w:cs="Times New Roman"/>
      <w:sz w:val="28"/>
      <w:szCs w:val="28"/>
    </w:rPr>
  </w:style>
  <w:style w:type="character" w:styleId="1109" w:customStyle="1">
    <w:name w:val="正文文本缩进 Char"/>
    <w:link w:val="1063"/>
    <w:uiPriority w:val="99"/>
    <w:semiHidden/>
    <w:qFormat/>
  </w:style>
  <w:style w:type="character" w:styleId="1110" w:customStyle="1">
    <w:name w:val="纯文本 Char"/>
    <w:link w:val="1067"/>
    <w:uiPriority w:val="0"/>
    <w:qFormat/>
    <w:rPr>
      <w:rFonts w:ascii="宋体" w:hAnsi="Courier New" w:eastAsia="宋体" w:cs="Courier New"/>
      <w:szCs w:val="21"/>
    </w:rPr>
  </w:style>
  <w:style w:type="character" w:styleId="1111" w:customStyle="1">
    <w:name w:val="日期 Char"/>
    <w:link w:val="1069"/>
    <w:uiPriority w:val="0"/>
    <w:qFormat/>
    <w:rPr>
      <w:rFonts w:ascii="Times New Roman" w:hAnsi="Times New Roman" w:eastAsia="宋体" w:cs="Times New Roman"/>
      <w:sz w:val="24"/>
      <w:szCs w:val="24"/>
    </w:rPr>
  </w:style>
  <w:style w:type="character" w:styleId="1112" w:customStyle="1">
    <w:name w:val="正文文本缩进 2 Char"/>
    <w:link w:val="1070"/>
    <w:uiPriority w:val="0"/>
    <w:qFormat/>
    <w:rPr>
      <w:rFonts w:ascii="Arial" w:hAnsi="Arial" w:eastAsia="仿宋_GB2312" w:cs="Arial"/>
      <w:sz w:val="32"/>
      <w:szCs w:val="32"/>
    </w:rPr>
  </w:style>
  <w:style w:type="character" w:styleId="1113" w:customStyle="1">
    <w:name w:val="批注框文本 Char"/>
    <w:link w:val="1071"/>
    <w:uiPriority w:val="0"/>
    <w:semiHidden/>
    <w:qFormat/>
    <w:rPr>
      <w:rFonts w:ascii="Times New Roman" w:hAnsi="Times New Roman" w:eastAsia="宋体" w:cs="Times New Roman"/>
      <w:sz w:val="18"/>
      <w:szCs w:val="18"/>
    </w:rPr>
  </w:style>
  <w:style w:type="character" w:styleId="1114" w:customStyle="1">
    <w:name w:val="页脚 Char"/>
    <w:link w:val="1072"/>
    <w:uiPriority w:val="99"/>
    <w:qFormat/>
    <w:rPr>
      <w:rFonts w:ascii="Times New Roman" w:hAnsi="Times New Roman" w:eastAsia="宋体" w:cs="Times New Roman"/>
      <w:sz w:val="18"/>
      <w:szCs w:val="18"/>
    </w:rPr>
  </w:style>
  <w:style w:type="character" w:styleId="1115" w:customStyle="1">
    <w:name w:val="页眉 Char"/>
    <w:link w:val="1073"/>
    <w:uiPriority w:val="0"/>
    <w:qFormat/>
    <w:rPr>
      <w:rFonts w:ascii="Times New Roman" w:hAnsi="Times New Roman" w:eastAsia="宋体" w:cs="Times New Roman"/>
      <w:sz w:val="18"/>
      <w:szCs w:val="18"/>
    </w:rPr>
  </w:style>
  <w:style w:type="character" w:styleId="1116" w:customStyle="1">
    <w:name w:val="正文文本缩进 3 Char"/>
    <w:link w:val="1078"/>
    <w:uiPriority w:val="0"/>
    <w:qFormat/>
    <w:rPr>
      <w:rFonts w:ascii="Arial" w:hAnsi="Arial" w:eastAsia="仿宋_GB2312" w:cs="Arial"/>
      <w:color w:val="ffff00"/>
      <w:sz w:val="32"/>
      <w:szCs w:val="32"/>
    </w:rPr>
  </w:style>
  <w:style w:type="character" w:styleId="1117" w:customStyle="1">
    <w:name w:val="正文文本 2 Char"/>
    <w:link w:val="1082"/>
    <w:uiPriority w:val="0"/>
    <w:qFormat/>
    <w:rPr>
      <w:rFonts w:ascii="楷体_GB2312" w:hAnsi="Times New Roman" w:eastAsia="楷体_GB2312" w:cs="Times New Roman"/>
      <w:sz w:val="28"/>
      <w:szCs w:val="28"/>
    </w:rPr>
  </w:style>
  <w:style w:type="character" w:styleId="1118" w:customStyle="1">
    <w:name w:val="批注主题 Char"/>
    <w:link w:val="1085"/>
    <w:uiPriority w:val="0"/>
    <w:semiHidden/>
    <w:qFormat/>
    <w:rPr>
      <w:rFonts w:ascii="Times New Roman" w:hAnsi="Times New Roman" w:eastAsia="宋体" w:cs="Times New Roman"/>
      <w:b/>
      <w:bCs/>
      <w:szCs w:val="21"/>
    </w:rPr>
  </w:style>
  <w:style w:type="character" w:styleId="1119" w:customStyle="1">
    <w:name w:val="正文首行缩进 Char"/>
    <w:link w:val="1086"/>
    <w:uiPriority w:val="0"/>
    <w:qFormat/>
    <w:rPr>
      <w:rFonts w:ascii="仿宋_GB2312" w:hAnsi="Times New Roman" w:eastAsia="仿宋_GB2312" w:cs="Times New Roman"/>
      <w:sz w:val="30"/>
      <w:szCs w:val="30"/>
    </w:rPr>
  </w:style>
  <w:style w:type="character" w:styleId="1120" w:customStyle="1">
    <w:name w:val="正文首行缩进 2 Char"/>
    <w:link w:val="1087"/>
    <w:uiPriority w:val="0"/>
    <w:qFormat/>
    <w:rPr>
      <w:rFonts w:ascii="宋体" w:hAnsi="宋体" w:eastAsia="宋体" w:cs="Times New Roman"/>
      <w:szCs w:val="20"/>
    </w:rPr>
  </w:style>
  <w:style w:type="character" w:styleId="1121" w:customStyle="1">
    <w:name w:val="font5 Char"/>
    <w:uiPriority w:val="0"/>
    <w:qFormat/>
    <w:rPr>
      <w:rFonts w:ascii="宋体" w:hAnsi="宋体" w:eastAsia="宋体"/>
      <w:sz w:val="28"/>
      <w:szCs w:val="28"/>
      <w:lang w:val="en-US" w:eastAsia="zh-CN" w:bidi="ar-SA"/>
    </w:rPr>
  </w:style>
  <w:style w:type="character" w:styleId="1122" w:customStyle="1">
    <w:name w:val="二级目录 Char"/>
    <w:link w:val="1123"/>
    <w:uiPriority w:val="0"/>
    <w:qFormat/>
    <w:rPr>
      <w:b/>
      <w:sz w:val="30"/>
      <w:szCs w:val="28"/>
    </w:rPr>
  </w:style>
  <w:style w:type="paragraph" w:styleId="1123" w:customStyle="1">
    <w:name w:val="二级目录"/>
    <w:next w:val="1042"/>
    <w:link w:val="1122"/>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124" w:customStyle="1">
    <w:name w:val="列出段落 Char"/>
    <w:link w:val="1125"/>
    <w:uiPriority w:val="0"/>
    <w:qFormat/>
    <w:rPr>
      <w:rFonts w:ascii="Calibri" w:hAnsi="Calibri"/>
      <w:sz w:val="24"/>
      <w:szCs w:val="24"/>
      <w:lang w:eastAsia="en-US" w:bidi="en-US"/>
    </w:rPr>
  </w:style>
  <w:style w:type="paragraph" w:styleId="1125" w:customStyle="1">
    <w:name w:val="列出段落1"/>
    <w:basedOn w:val="1042"/>
    <w:link w:val="1124"/>
    <w:uiPriority w:val="0"/>
    <w:qFormat/>
    <w:pPr>
      <w:contextualSpacing/>
      <w:ind w:left="720"/>
      <w:jc w:val="left"/>
      <w:widowControl/>
    </w:pPr>
    <w:rPr>
      <w:rFonts w:ascii="Calibri" w:hAnsi="Calibri"/>
      <w:sz w:val="24"/>
      <w:szCs w:val="24"/>
      <w:lang w:eastAsia="en-US" w:bidi="en-US"/>
    </w:rPr>
  </w:style>
  <w:style w:type="paragraph" w:styleId="1126" w:customStyle="1">
    <w:name w:val="Body Text(ch)"/>
    <w:basedOn w:val="1042"/>
    <w:next w:val="1062"/>
    <w:uiPriority w:val="0"/>
    <w:qFormat/>
    <w:pPr>
      <w:spacing w:after="120"/>
    </w:pPr>
    <w:rPr>
      <w:rFonts w:ascii="宋体" w:hAnsi="Arial" w:eastAsia="宋体" w:cs="Times New Roman"/>
      <w:bCs/>
      <w:iCs/>
      <w:szCs w:val="24"/>
    </w:rPr>
  </w:style>
  <w:style w:type="paragraph" w:styleId="1127" w:customStyle="1">
    <w:name w:val="xl27"/>
    <w:basedOn w:val="10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128" w:customStyle="1">
    <w:name w:val="xl26"/>
    <w:basedOn w:val="10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1129" w:customStyle="1">
    <w:name w:val="Char"/>
    <w:basedOn w:val="1042"/>
    <w:uiPriority w:val="0"/>
    <w:qFormat/>
    <w:pPr>
      <w:ind w:firstLine="200"/>
      <w:tabs>
        <w:tab w:val="left" w:pos="360" w:leader="none"/>
      </w:tabs>
    </w:pPr>
    <w:rPr>
      <w:rFonts w:ascii="Times New Roman" w:hAnsi="Times New Roman" w:eastAsia="宋体" w:cs="Times New Roman"/>
      <w:sz w:val="28"/>
      <w:szCs w:val="30"/>
    </w:rPr>
  </w:style>
  <w:style w:type="paragraph" w:styleId="1130" w:customStyle="1">
    <w:name w:val=" Char"/>
    <w:basedOn w:val="1059"/>
    <w:uiPriority w:val="0"/>
    <w:qFormat/>
    <w:rPr>
      <w:rFonts w:ascii="Tahoma" w:hAnsi="Tahoma"/>
      <w:sz w:val="24"/>
      <w:szCs w:val="24"/>
    </w:rPr>
  </w:style>
  <w:style w:type="paragraph" w:styleId="1131" w:customStyle="1">
    <w:name w:val="普通正文"/>
    <w:basedOn w:val="1042"/>
    <w:uiPriority w:val="0"/>
    <w:qFormat/>
    <w:pPr>
      <w:ind w:firstLine="480"/>
      <w:jc w:val="left"/>
      <w:spacing w:before="120" w:after="120" w:line="360" w:lineRule="auto"/>
    </w:pPr>
    <w:rPr>
      <w:rFonts w:ascii="Arial" w:hAnsi="Arial" w:eastAsia="宋体" w:cs="Times New Roman"/>
      <w:sz w:val="24"/>
      <w:szCs w:val="24"/>
    </w:rPr>
  </w:style>
  <w:style w:type="paragraph" w:styleId="1132" w:customStyle="1">
    <w:name w:val="table_lines"/>
    <w:basedOn w:val="1042"/>
    <w:uiPriority w:val="0"/>
    <w:qFormat/>
    <w:pPr>
      <w:jc w:val="left"/>
      <w:widowControl/>
    </w:pPr>
    <w:rPr>
      <w:rFonts w:ascii="Times New Roman" w:hAnsi="Times New Roman" w:eastAsia="宋体" w:cs="Times New Roman"/>
      <w:sz w:val="20"/>
      <w:szCs w:val="20"/>
      <w:lang w:val="de-DE" w:eastAsia="de-DE"/>
    </w:rPr>
  </w:style>
  <w:style w:type="paragraph" w:styleId="113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34" w:customStyle="1">
    <w:name w:val="font7"/>
    <w:basedOn w:val="104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35" w:customStyle="1">
    <w:name w:val=" Char Char Char Char"/>
    <w:basedOn w:val="1059"/>
    <w:uiPriority w:val="0"/>
    <w:qFormat/>
    <w:pPr>
      <w:spacing w:line="360" w:lineRule="auto"/>
    </w:pPr>
    <w:rPr>
      <w:rFonts w:ascii="Tahoma" w:hAnsi="Tahoma"/>
      <w:sz w:val="24"/>
      <w:szCs w:val="24"/>
    </w:rPr>
  </w:style>
  <w:style w:type="paragraph" w:styleId="1136">
    <w:name w:val="List Paragraph"/>
    <w:basedOn w:val="1042"/>
    <w:next w:val="1042"/>
    <w:uiPriority w:val="0"/>
    <w:qFormat/>
    <w:pPr>
      <w:contextualSpacing/>
      <w:ind w:left="720"/>
      <w:jc w:val="left"/>
      <w:widowControl/>
    </w:pPr>
    <w:rPr>
      <w:rFonts w:ascii="Calibri" w:hAnsi="Calibri" w:eastAsia="宋体" w:cs="Times New Roman"/>
      <w:sz w:val="24"/>
      <w:szCs w:val="24"/>
      <w:lang w:eastAsia="en-US" w:bidi="en-US"/>
    </w:rPr>
  </w:style>
  <w:style w:type="paragraph" w:styleId="1137" w:customStyle="1">
    <w:name w:val="4"/>
    <w:basedOn w:val="1042"/>
    <w:next w:val="1078"/>
    <w:uiPriority w:val="0"/>
    <w:qFormat/>
    <w:pPr>
      <w:ind w:firstLine="420"/>
      <w:spacing w:line="360" w:lineRule="auto"/>
    </w:pPr>
    <w:rPr>
      <w:rFonts w:ascii="Times New Roman" w:hAnsi="Times New Roman" w:eastAsia="宋体" w:cs="Times New Roman"/>
      <w:color w:val="ff0000"/>
      <w:sz w:val="24"/>
      <w:szCs w:val="24"/>
    </w:rPr>
  </w:style>
  <w:style w:type="paragraph" w:styleId="1138" w:customStyle="1">
    <w:name w:val="普通 (Web)"/>
    <w:basedOn w:val="1042"/>
    <w:uiPriority w:val="0"/>
    <w:qFormat/>
    <w:pPr>
      <w:jc w:val="left"/>
      <w:spacing w:before="100" w:beforeAutospacing="1" w:after="100" w:afterAutospacing="1"/>
      <w:widowControl/>
    </w:pPr>
    <w:rPr>
      <w:rFonts w:ascii="宋体" w:hAnsi="宋体" w:eastAsia="宋体" w:cs="Times New Roman"/>
      <w:sz w:val="24"/>
      <w:szCs w:val="24"/>
    </w:rPr>
  </w:style>
  <w:style w:type="paragraph" w:styleId="1139" w:customStyle="1">
    <w:name w:val=" Char Char Char Char Char Char Char Char Char Char"/>
    <w:basedOn w:val="1042"/>
    <w:uiPriority w:val="0"/>
    <w:qFormat/>
    <w:pPr>
      <w:spacing w:line="360" w:lineRule="auto"/>
    </w:pPr>
    <w:rPr>
      <w:rFonts w:ascii="Times New Roman" w:hAnsi="Times New Roman" w:eastAsia="宋体" w:cs="Times New Roman"/>
      <w:sz w:val="24"/>
      <w:szCs w:val="20"/>
    </w:rPr>
  </w:style>
  <w:style w:type="paragraph" w:styleId="1140" w:customStyle="1">
    <w:name w:val="样式1"/>
    <w:basedOn w:val="1042"/>
    <w:uiPriority w:val="0"/>
    <w:qFormat/>
    <w:pPr>
      <w:numPr>
        <w:ilvl w:val="0"/>
        <w:numId w:val="3"/>
      </w:numPr>
    </w:pPr>
    <w:rPr>
      <w:rFonts w:ascii="宋体" w:hAnsi="宋体" w:eastAsia="宋体" w:cs="Times New Roman"/>
      <w:szCs w:val="21"/>
    </w:rPr>
  </w:style>
  <w:style w:type="paragraph" w:styleId="1141" w:customStyle="1">
    <w:name w:val="font6"/>
    <w:basedOn w:val="104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42" w:customStyle="1">
    <w:name w:val="xl25"/>
    <w:basedOn w:val="10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43" w:customStyle="1">
    <w:name w:val="图标"/>
    <w:basedOn w:val="1042"/>
    <w:next w:val="104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44" w:customStyle="1">
    <w:name w:val="标题3"/>
    <w:basedOn w:val="1042"/>
    <w:next w:val="1042"/>
    <w:uiPriority w:val="0"/>
    <w:qFormat/>
    <w:pPr>
      <w:ind w:firstLine="624"/>
      <w:spacing w:line="590" w:lineRule="atLeast"/>
    </w:pPr>
    <w:rPr>
      <w:rFonts w:ascii="方正黑体_GBK" w:hAnsi="Times New Roman" w:eastAsia="方正黑体_GBK" w:cs="Times New Roman"/>
      <w:sz w:val="32"/>
      <w:szCs w:val="32"/>
    </w:rPr>
  </w:style>
  <w:style w:type="paragraph" w:styleId="1145" w:customStyle="1">
    <w:name w:val="xl24"/>
    <w:basedOn w:val="10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146" w:customStyle="1">
    <w:name w:val="xl29"/>
    <w:basedOn w:val="1042"/>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147" w:customStyle="1">
    <w:name w:val="Char Char Char Char Char Char Char Char"/>
    <w:basedOn w:val="1042"/>
    <w:uiPriority w:val="0"/>
    <w:qFormat/>
    <w:pPr>
      <w:jc w:val="left"/>
      <w:spacing w:after="160" w:line="240" w:lineRule="exact"/>
      <w:widowControl/>
    </w:pPr>
    <w:rPr>
      <w:rFonts w:ascii="Verdana" w:hAnsi="Verdana" w:eastAsia="宋体" w:cs="Times New Roman"/>
      <w:sz w:val="20"/>
      <w:szCs w:val="20"/>
      <w:lang w:eastAsia="en-US"/>
    </w:rPr>
  </w:style>
  <w:style w:type="paragraph" w:styleId="1148" w:customStyle="1">
    <w:name w:val="xl28"/>
    <w:basedOn w:val="10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149" w:customStyle="1">
    <w:name w:val=" Char Char Char Char Char Char Char Char"/>
    <w:basedOn w:val="1042"/>
    <w:uiPriority w:val="0"/>
    <w:qFormat/>
    <w:pPr>
      <w:jc w:val="left"/>
      <w:spacing w:after="160" w:line="240" w:lineRule="exact"/>
      <w:widowControl/>
    </w:pPr>
    <w:rPr>
      <w:rFonts w:ascii="Verdana" w:hAnsi="Verdana" w:eastAsia="宋体" w:cs="Times New Roman"/>
      <w:sz w:val="20"/>
      <w:szCs w:val="20"/>
      <w:lang w:eastAsia="en-US"/>
    </w:rPr>
  </w:style>
  <w:style w:type="paragraph" w:styleId="1150" w:customStyle="1">
    <w:name w:val="xl30"/>
    <w:basedOn w:val="104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51" w:customStyle="1">
    <w:name w:val="Char Char Char Char"/>
    <w:basedOn w:val="1059"/>
    <w:uiPriority w:val="0"/>
    <w:qFormat/>
    <w:pPr>
      <w:spacing w:line="360" w:lineRule="auto"/>
    </w:pPr>
    <w:rPr>
      <w:rFonts w:ascii="Tahoma" w:hAnsi="Tahoma"/>
      <w:sz w:val="24"/>
      <w:szCs w:val="24"/>
    </w:rPr>
  </w:style>
  <w:style w:type="paragraph" w:styleId="1152" w:customStyle="1">
    <w:name w:val="table_1stline"/>
    <w:basedOn w:val="1042"/>
    <w:uiPriority w:val="0"/>
    <w:qFormat/>
    <w:pPr>
      <w:jc w:val="left"/>
      <w:spacing w:before="120"/>
      <w:widowControl/>
    </w:pPr>
    <w:rPr>
      <w:rFonts w:ascii="Times New Roman" w:hAnsi="Times New Roman" w:eastAsia="宋体" w:cs="Times New Roman"/>
      <w:bCs/>
      <w:sz w:val="20"/>
      <w:szCs w:val="20"/>
      <w:lang w:val="de-DE" w:eastAsia="de-DE"/>
    </w:rPr>
  </w:style>
  <w:style w:type="paragraph" w:styleId="1153" w:customStyle="1">
    <w:name w:val="font5"/>
    <w:basedOn w:val="104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54" w:customStyle="1">
    <w:name w:val="标题1"/>
    <w:basedOn w:val="1042"/>
    <w:next w:val="104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55" w:customStyle="1">
    <w:name w:val="_Style 110"/>
    <w:uiPriority w:val="99"/>
    <w:semiHidden/>
    <w:qFormat/>
    <w:rPr>
      <w:rFonts w:ascii="Times New Roman" w:hAnsi="Times New Roman" w:eastAsia="宋体" w:cs="Times New Roman"/>
      <w:sz w:val="21"/>
      <w:szCs w:val="21"/>
      <w:lang w:val="en-US" w:eastAsia="zh-CN" w:bidi="ar-SA"/>
    </w:rPr>
  </w:style>
  <w:style w:type="paragraph" w:styleId="1156">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15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table" w:styleId="1158" w:customStyle="1">
    <w:name w:val="Table Normal"/>
    <w:uiPriority w:val="0"/>
    <w:unhideWhenUsed/>
    <w:qFormat/>
    <w:tblPr>
      <w:tblCellMar>
        <w:left w:w="0" w:type="dxa"/>
        <w:top w:w="0" w:type="dxa"/>
        <w:right w:w="0" w:type="dxa"/>
        <w:bottom w:w="0" w:type="dxa"/>
      </w:tblCellMar>
    </w:tblPr>
  </w:style>
  <w:style w:type="paragraph" w:styleId="1159" w:customStyle="1">
    <w:name w:val="Table Text"/>
    <w:basedOn w:val="1042"/>
    <w:uiPriority w:val="0"/>
    <w:semiHidden/>
    <w:qFormat/>
    <w:rPr>
      <w:rFonts w:ascii="宋体" w:hAnsi="宋体" w:cs="宋体"/>
      <w:szCs w:val="21"/>
      <w:lang w:eastAsia="en-US"/>
    </w:rPr>
  </w:style>
  <w:style w:type="paragraph" w:styleId="1160" w:customStyle="1">
    <w:name w:val="正文首行缩进 21"/>
    <w:basedOn w:val="1161"/>
    <w:uiPriority w:val="99"/>
    <w:unhideWhenUsed/>
    <w:qFormat/>
    <w:pPr>
      <w:ind w:firstLine="420"/>
    </w:pPr>
  </w:style>
  <w:style w:type="paragraph" w:styleId="1161" w:customStyle="1">
    <w:name w:val="正文文本缩进1"/>
    <w:basedOn w:val="1042"/>
    <w:next w:val="1162"/>
    <w:uiPriority w:val="99"/>
    <w:qFormat/>
    <w:pPr>
      <w:ind w:firstLine="576"/>
    </w:pPr>
    <w:rPr>
      <w:b/>
      <w:sz w:val="30"/>
      <w:szCs w:val="20"/>
    </w:rPr>
  </w:style>
  <w:style w:type="paragraph" w:styleId="1162" w:customStyle="1">
    <w:name w:val="寄信人地址1"/>
    <w:basedOn w:val="1042"/>
    <w:uiPriority w:val="99"/>
    <w:unhideWhenUsed/>
    <w:qFormat/>
    <w:rPr>
      <w:rFonts w:hint="eastAsia" w:ascii="Arial" w:hAnsi="Arial"/>
      <w:sz w:val="24"/>
    </w:rPr>
  </w:style>
  <w:style w:type="numbering" w:styleId="11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王琦</cp:lastModifiedBy>
  <cp:revision>18</cp:revision>
  <dcterms:created xsi:type="dcterms:W3CDTF">2023-03-16T02:13:00Z</dcterms:created>
  <dcterms:modified xsi:type="dcterms:W3CDTF">2026-08-17T01:16:17Z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eyJoZGlkIjoiZWYwYWM4YzEzMGI2NDA3OGYzMzgzZmYwNjI3ODI4OTIiLCJ1c2VySWQiOiIxNjI3Mjc2NzgyIn0=</vt:lpwstr>
  </property>
  <property fmtid="{D5CDD505-2E9C-101B-9397-08002B2CF9AE}" pid="3" name="KSOProductBuildVer">
    <vt:lpwstr>2052-12.1.0.28043</vt:lpwstr>
  </property>
  <property fmtid="{D5CDD505-2E9C-101B-9397-08002B2CF9AE}" pid="4" name="ICV">
    <vt:lpwstr>9421FF932ABE410497AD8C7616C118D7_13</vt:lpwstr>
  </property>
</Properties>
</file>