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1098"/>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1098"/>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b w:val="0"/>
          <w:bCs w:val="0"/>
          <w:color w:val="auto"/>
          <w:sz w:val="32"/>
          <w:szCs w:val="24"/>
          <w:highlight w:val="none"/>
          <w:lang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JSZC-320300-JSZG-G2026-0039</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center"/>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2026年市管道路空洞及桥梁结构检测-道路空洞探测</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徐州市市政管理中心</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1967865</wp:posOffset>
                </wp:positionH>
                <wp:positionV relativeFrom="page">
                  <wp:posOffset>5944870</wp:posOffset>
                </wp:positionV>
                <wp:extent cx="1217295" cy="826135"/>
                <wp:effectExtent l="0" t="0" r="1905" b="12065"/>
                <wp:wrapNone/>
                <wp:docPr id="8"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1775714904280"/>
                        <pic:cNvPicPr>
                          <a:picLocks noChangeAspect="1"/>
                        </pic:cNvPicPr>
                        <pic:nvPr/>
                      </pic:nvPicPr>
                      <pic:blipFill>
                        <a:blip r:embed="rId20"/>
                        <a:stretch/>
                      </pic:blipFill>
                      <pic:spPr bwMode="auto">
                        <a:xfrm>
                          <a:off x="0" y="0"/>
                          <a:ext cx="1217295" cy="826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54.9pt;mso-position-horizontal:absolute;mso-position-vertical-relative:page;margin-top:468.1pt;mso-position-vertical:absolute;width:95.8pt;height:65.0pt;mso-wrap-distance-left:9.0pt;mso-wrap-distance-top:0.0pt;mso-wrap-distance-right:9.0pt;mso-wrap-distance-bottom:0.0pt;" stroked="false">
                <v:path textboxrect="0,0,0,0"/>
                <v:imagedata r:id="rId20"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996"/>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七</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2026年市管道路空洞及桥梁结构检测-道路空洞探测</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18"/>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2"/>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eastAsia="宋体" w:cs="宋体"/>
          <w:color w:val="auto"/>
          <w:sz w:val="28"/>
          <w:szCs w:val="22"/>
          <w:highlight w:val="none"/>
          <w:u w:val="single"/>
        </w:rPr>
        <w:t xml:space="preserve">2026年市管道路空洞及桥梁结构检测-道路空洞探测</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eastAsia="宋体" w:cs="宋体"/>
          <w:color w:val="auto"/>
          <w:sz w:val="28"/>
          <w:szCs w:val="22"/>
          <w:highlight w:val="none"/>
          <w:u w:val="none"/>
        </w:rPr>
        <w:t xml:space="preserve">2026年市管道路空洞及桥梁结构检测-道路空洞探测</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JSZC-320300-JSZG-G2026-0039</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978"/>
        <w:ind w:firstLine="28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978"/>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7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97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97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7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978"/>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519" w:lineRule="atLeast"/>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（一）投标截止时间：</w:t>
      </w:r>
      <w:r>
        <w:rPr>
          <w:rFonts w:hint="eastAsia" w:ascii="宋体" w:hAnsi="宋体" w:eastAsia="宋体" w:cs="宋体"/>
          <w:color w:val="auto"/>
          <w:sz w:val="28"/>
          <w:szCs w:val="22"/>
          <w:highlight w:val="none"/>
          <w:lang w:eastAsia="zh-CN"/>
        </w:rPr>
        <w:t xml:space="preserve">2026年</w:t>
      </w:r>
      <w:r>
        <w:rPr>
          <w:rFonts w:hint="eastAsia" w:ascii="宋体" w:hAnsi="宋体" w:cs="宋体"/>
          <w:color w:val="auto"/>
          <w:sz w:val="28"/>
          <w:szCs w:val="22"/>
          <w:highlight w:val="none"/>
          <w:lang w:val="en-US" w:eastAsia="zh-CN"/>
        </w:rPr>
        <w:t xml:space="preserve">8月13日</w:t>
      </w:r>
      <w:r>
        <w:rPr>
          <w:rFonts w:hint="eastAsia" w:ascii="宋体" w:hAnsi="宋体" w:eastAsia="宋体" w:cs="宋体"/>
          <w:color w:val="auto"/>
          <w:sz w:val="28"/>
          <w:szCs w:val="22"/>
          <w:highlight w:val="none"/>
        </w:rPr>
        <w:t xml:space="preserve">北京时间</w:t>
      </w:r>
      <w:r>
        <w:rPr>
          <w:rFonts w:hint="eastAsia" w:ascii="宋体" w:hAnsi="宋体" w:eastAsia="宋体" w:cs="宋体"/>
          <w:color w:val="auto"/>
          <w:sz w:val="28"/>
          <w:szCs w:val="22"/>
          <w:highlight w:val="none"/>
          <w:lang w:val="en-US" w:eastAsia="zh-CN"/>
        </w:rPr>
        <w:t xml:space="preserve">09</w:t>
      </w: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3</w:t>
      </w:r>
      <w:r>
        <w:rPr>
          <w:rFonts w:hint="eastAsia" w:ascii="宋体" w:hAnsi="宋体" w:eastAsia="宋体" w:cs="宋体"/>
          <w:color w:val="auto"/>
          <w:sz w:val="28"/>
          <w:szCs w:val="22"/>
          <w:highlight w:val="none"/>
        </w:rPr>
        <w:t xml:space="preserve">0。</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（二）开标时间：</w:t>
      </w:r>
      <w:r>
        <w:rPr>
          <w:rFonts w:hint="eastAsia" w:ascii="宋体" w:hAnsi="宋体" w:eastAsia="宋体" w:cs="宋体"/>
          <w:color w:val="auto"/>
          <w:sz w:val="28"/>
          <w:szCs w:val="22"/>
          <w:highlight w:val="none"/>
          <w:lang w:eastAsia="zh-CN"/>
        </w:rPr>
        <w:t xml:space="preserve">2026年</w:t>
      </w:r>
      <w:r>
        <w:rPr>
          <w:rFonts w:hint="eastAsia" w:ascii="宋体" w:hAnsi="宋体" w:cs="宋体"/>
          <w:color w:val="auto"/>
          <w:sz w:val="28"/>
          <w:szCs w:val="22"/>
          <w:highlight w:val="none"/>
          <w:lang w:val="en-US" w:eastAsia="zh-CN"/>
        </w:rPr>
        <w:t xml:space="preserve">8月13日</w:t>
      </w:r>
      <w:r>
        <w:rPr>
          <w:rFonts w:hint="eastAsia" w:ascii="宋体" w:hAnsi="宋体" w:eastAsia="宋体" w:cs="宋体"/>
          <w:color w:val="auto"/>
          <w:sz w:val="28"/>
          <w:szCs w:val="22"/>
          <w:highlight w:val="none"/>
        </w:rPr>
        <w:t xml:space="preserve">北京时间</w:t>
      </w:r>
      <w:r>
        <w:rPr>
          <w:rFonts w:hint="eastAsia" w:ascii="宋体" w:hAnsi="宋体" w:eastAsia="宋体" w:cs="宋体"/>
          <w:color w:val="auto"/>
          <w:sz w:val="28"/>
          <w:szCs w:val="22"/>
          <w:highlight w:val="none"/>
          <w:lang w:val="en-US" w:eastAsia="zh-CN"/>
        </w:rPr>
        <w:t xml:space="preserve">09</w:t>
      </w: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3</w:t>
      </w:r>
      <w:r>
        <w:rPr>
          <w:rFonts w:hint="eastAsia" w:ascii="宋体" w:hAnsi="宋体" w:eastAsia="宋体" w:cs="宋体"/>
          <w:color w:val="auto"/>
          <w:sz w:val="28"/>
          <w:szCs w:val="22"/>
          <w:highlight w:val="none"/>
        </w:rPr>
        <w:t xml:space="preserve">0。</w:t>
      </w:r>
      <w:r/>
    </w:p>
    <w:p>
      <w:pPr>
        <w:ind w:firstLine="3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（一）名称：徐州市市政管理中心</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cs="宋体"/>
          <w:color w:val="auto"/>
          <w:sz w:val="28"/>
          <w:szCs w:val="22"/>
          <w:highlight w:val="none"/>
          <w:lang w:val="en-US" w:eastAsia="zh-CN"/>
        </w:rPr>
        <w:t xml:space="preserve">徐州市</w:t>
      </w:r>
      <w:r>
        <w:rPr>
          <w:rFonts w:hint="eastAsia" w:ascii="宋体" w:hAnsi="宋体" w:cs="宋体"/>
          <w:color w:val="auto"/>
          <w:sz w:val="28"/>
          <w:szCs w:val="22"/>
          <w:highlight w:val="none"/>
          <w:lang w:eastAsia="zh-CN"/>
        </w:rPr>
        <w:t xml:space="preserve">黄河东路43号</w:t>
      </w:r>
      <w:r/>
    </w:p>
    <w:p>
      <w:pPr>
        <w:ind w:firstLine="300"/>
        <w:keepLines w:val="0"/>
        <w:keepNext w:val="0"/>
        <w:pageBreakBefore w:val="0"/>
        <w:spacing w:line="336"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阮玉良</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：0516-83750710</w:t>
      </w:r>
      <w:r/>
    </w:p>
    <w:p>
      <w:pPr>
        <w:ind w:firstLine="300"/>
        <w:keepLines w:val="0"/>
        <w:keepNext w:val="0"/>
        <w:pageBreakBefore w:val="0"/>
        <w:spacing w:line="336"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36"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36"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w:t>
      </w:r>
      <w:r/>
      <w:r>
        <w:rPr>
          <w:rFonts w:hint="eastAsia"/>
          <w:color w:val="auto"/>
          <w:highlight w:val="none"/>
        </w:rPr>
        <w:br w:type="page" w:clear="all"/>
      </w:r>
      <w:r/>
      <w:r>
        <w:rPr>
          <w:rFonts w:hint="default" w:ascii="宋体" w:hAnsi="宋体" w:eastAsia="宋体" w:cs="宋体"/>
          <w:color w:val="auto"/>
          <w:sz w:val="28"/>
          <w:szCs w:val="22"/>
          <w:highlight w:val="none"/>
          <w:lang w:val="en-US" w:eastAsia="zh-CN"/>
        </w:rPr>
      </w:r>
    </w:p>
    <w:p>
      <w:pPr>
        <w:pStyle w:val="932"/>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highlight w:val="none"/>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1064"/>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1.投标报价低于全部通过符合性审查供应商投标报价平均值</w:t>
      </w:r>
      <w:r>
        <w:rPr>
          <w:rFonts w:hint="eastAsia" w:ascii="宋体" w:hAnsi="宋体" w:eastAsia="宋体" w:cs="宋体"/>
          <w:b/>
          <w:bCs/>
          <w:color w:val="auto"/>
          <w:sz w:val="28"/>
          <w:szCs w:val="28"/>
          <w:highlight w:val="none"/>
        </w:rPr>
        <w:t xml:space="preserve">50%的</w:t>
      </w:r>
      <w:r>
        <w:rPr>
          <w:rFonts w:hint="eastAsia" w:ascii="宋体" w:hAnsi="宋体" w:eastAsia="宋体" w:cs="宋体"/>
          <w:color w:val="auto"/>
          <w:sz w:val="28"/>
          <w:szCs w:val="28"/>
          <w:highlight w:val="none"/>
        </w:rPr>
        <w:t xml:space="preserve">，即投标报价&lt;全部通过符合性审查供应商投标报价平均值</w:t>
      </w:r>
      <w:r>
        <w:rPr>
          <w:rFonts w:hint="eastAsia" w:ascii="宋体" w:hAnsi="宋体" w:eastAsia="宋体" w:cs="宋体"/>
          <w:b/>
          <w:bCs/>
          <w:color w:val="auto"/>
          <w:sz w:val="28"/>
          <w:szCs w:val="28"/>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2.投标报价低于通过符合性审查的次低报价供应商投标报价</w:t>
      </w:r>
      <w:r>
        <w:rPr>
          <w:rFonts w:hint="eastAsia" w:ascii="宋体" w:hAnsi="宋体" w:eastAsia="宋体" w:cs="宋体"/>
          <w:b/>
          <w:bCs/>
          <w:color w:val="auto"/>
          <w:sz w:val="28"/>
          <w:szCs w:val="28"/>
          <w:highlight w:val="none"/>
        </w:rPr>
        <w:t xml:space="preserve">50%的</w:t>
      </w:r>
      <w:r>
        <w:rPr>
          <w:rFonts w:hint="eastAsia" w:ascii="宋体" w:hAnsi="宋体" w:eastAsia="宋体" w:cs="宋体"/>
          <w:color w:val="auto"/>
          <w:sz w:val="28"/>
          <w:szCs w:val="28"/>
          <w:highlight w:val="none"/>
        </w:rPr>
        <w:t xml:space="preserve">，即投标报价&lt;通过符合性审查的次低报价供应商投标报价</w:t>
      </w:r>
      <w:r>
        <w:rPr>
          <w:rFonts w:hint="eastAsia" w:ascii="宋体" w:hAnsi="宋体" w:eastAsia="宋体" w:cs="宋体"/>
          <w:b/>
          <w:bCs/>
          <w:color w:val="auto"/>
          <w:sz w:val="28"/>
          <w:szCs w:val="28"/>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3.投标报价低于采购项目最高限价（未设定最高限价的采购项目，以采购项目预算金额作为最高限价）</w:t>
      </w:r>
      <w:r>
        <w:rPr>
          <w:rFonts w:hint="eastAsia" w:ascii="宋体" w:hAnsi="宋体" w:eastAsia="宋体" w:cs="宋体"/>
          <w:b/>
          <w:bCs/>
          <w:color w:val="auto"/>
          <w:sz w:val="28"/>
          <w:szCs w:val="28"/>
          <w:highlight w:val="none"/>
          <w:lang w:val="en-US" w:eastAsia="zh-CN"/>
        </w:rPr>
        <w:t xml:space="preserve">50</w:t>
      </w:r>
      <w:r>
        <w:rPr>
          <w:rFonts w:hint="eastAsia" w:ascii="宋体" w:hAnsi="宋体" w:eastAsia="宋体" w:cs="宋体"/>
          <w:b/>
          <w:bCs/>
          <w:color w:val="auto"/>
          <w:sz w:val="28"/>
          <w:szCs w:val="28"/>
          <w:highlight w:val="none"/>
        </w:rPr>
        <w:t xml:space="preserve">%的，</w:t>
      </w:r>
      <w:r>
        <w:rPr>
          <w:rFonts w:hint="eastAsia" w:ascii="宋体" w:hAnsi="宋体" w:eastAsia="宋体" w:cs="宋体"/>
          <w:color w:val="auto"/>
          <w:sz w:val="28"/>
          <w:szCs w:val="28"/>
          <w:highlight w:val="none"/>
        </w:rPr>
        <w:t xml:space="preserve">即投标报价&lt;采购项目最高限价</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50</w:t>
      </w:r>
      <w:r>
        <w:rPr>
          <w:rFonts w:hint="eastAsia" w:ascii="宋体" w:hAnsi="宋体" w:eastAsia="宋体" w:cs="宋体"/>
          <w:b/>
          <w:bCs/>
          <w:color w:val="auto"/>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highlight w:val="none"/>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jc w:val="center"/>
        <w:spacing w:line="720" w:lineRule="atLeast"/>
        <w:rPr>
          <w:rStyle w:val="1002"/>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1002"/>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942"/>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徐州市市政管理中心</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w:t>
            </w:r>
            <w:r>
              <w:rPr>
                <w:rFonts w:hint="eastAsia" w:ascii="宋体" w:hAnsi="宋体" w:cs="宋体"/>
                <w:b/>
                <w:bCs/>
                <w:color w:val="auto"/>
                <w:sz w:val="24"/>
                <w:szCs w:val="24"/>
                <w:highlight w:val="none"/>
                <w:lang w:val="en-US" w:eastAsia="zh-CN"/>
              </w:rPr>
              <w:t xml:space="preserve">服务</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二、落实政府采购政策需满足的资格要求：本此项目</w:t>
            </w:r>
            <w:r>
              <w:rPr>
                <w:rFonts w:hint="eastAsia" w:ascii="宋体" w:hAnsi="宋体" w:cs="宋体"/>
                <w:b/>
                <w:bCs/>
                <w:color w:val="auto"/>
                <w:sz w:val="24"/>
                <w:szCs w:val="24"/>
                <w:highlight w:val="none"/>
                <w:lang w:val="en-US" w:eastAsia="zh-CN"/>
              </w:rPr>
              <w:t xml:space="preserve">属于专门面向中小微企业采购的项目</w:t>
            </w:r>
            <w:r>
              <w:rPr>
                <w:rFonts w:hint="eastAsia" w:ascii="宋体" w:hAnsi="宋体" w:cs="宋体"/>
                <w:color w:val="auto"/>
                <w:sz w:val="24"/>
                <w:szCs w:val="24"/>
                <w:highlight w:val="none"/>
                <w:lang w:val="en-US" w:eastAsia="zh-CN"/>
              </w:rPr>
              <w:t xml:space="preserve">，供应商应为中小微企业、监狱企业、残疾人福利性单位。</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三、本项目的特定资格要求：</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投标人具有</w:t>
            </w:r>
            <w:r>
              <w:rPr>
                <w:rFonts w:hint="eastAsia" w:ascii="宋体" w:hAnsi="宋体" w:eastAsia="宋体" w:cs="宋体"/>
                <w:i w:val="0"/>
                <w:iCs w:val="0"/>
                <w:caps w:val="0"/>
                <w:strike w:val="0"/>
                <w:color w:val="auto"/>
                <w:spacing w:val="0"/>
                <w:sz w:val="24"/>
                <w:szCs w:val="24"/>
                <w:highlight w:val="none"/>
                <w:u w:val="none"/>
                <w:shd w:val="clear" w:color="auto" w:fill="ffffff"/>
              </w:rPr>
              <w:t xml:space="preserve">行业主管部门颁发有效的</w:t>
            </w:r>
            <w:r>
              <w:rPr>
                <w:rFonts w:hint="eastAsia" w:ascii="宋体" w:hAnsi="宋体" w:cs="宋体"/>
                <w:strike w:val="0"/>
                <w:color w:val="auto"/>
                <w:sz w:val="24"/>
                <w:szCs w:val="24"/>
                <w:highlight w:val="none"/>
                <w:u w:val="none"/>
                <w:lang w:val="en-US" w:eastAsia="zh-CN"/>
              </w:rPr>
              <w:t xml:space="preserve">工程勘察专业类岩土工程乙级及以上资质，或工程勘察综合类甲级资质。</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4、</w:t>
            </w:r>
            <w:r>
              <w:rPr>
                <w:rFonts w:hint="eastAsia" w:ascii="宋体" w:hAnsi="宋体" w:eastAsia="宋体" w:cs="宋体"/>
                <w:color w:val="auto"/>
                <w:sz w:val="24"/>
                <w:szCs w:val="24"/>
                <w:highlight w:val="none"/>
              </w:rPr>
              <w:t xml:space="preserve">查询及使用供应商信用记录：</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⑴由采购人查询信用信息。</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⑵查询渠道包括：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③“信用江苏”网（www.jscredit.gov.cn）；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④“诚信徐州”网（www.xuzhoucredit.gov.cn）。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⑶截止时点（查询环节）：开标后资格审查结束前。</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⑷信用信息查询记录和证据留存的具体方式：网页截屏打印，与其他采购文件一并保存。</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⑸信用信息的使用规则：</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w:t>
            </w:r>
            <w:r>
              <w:rPr>
                <w:rFonts w:hint="eastAsia" w:asciiTheme="minorEastAsia" w:hAnsiTheme="minorEastAsia" w:cstheme="minorEastAsia"/>
                <w:color w:val="auto"/>
                <w:sz w:val="24"/>
                <w:szCs w:val="24"/>
                <w:highlight w:val="none"/>
                <w:lang w:val="en-US" w:eastAsia="zh-CN"/>
              </w:rPr>
              <w:t xml:space="preserve">招标人</w:t>
            </w:r>
            <w:r>
              <w:rPr>
                <w:rFonts w:hint="eastAsia" w:asciiTheme="minorEastAsia" w:hAnsiTheme="minorEastAsia" w:eastAsiaTheme="minorEastAsia" w:cstheme="minorEastAsia"/>
                <w:color w:val="auto"/>
                <w:sz w:val="24"/>
                <w:szCs w:val="24"/>
                <w:highlight w:val="none"/>
              </w:rPr>
              <w:t xml:space="preserve">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32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spacing w:line="346"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w:t>
            </w:r>
            <w:r>
              <w:rPr>
                <w:rFonts w:hint="eastAsia" w:ascii="宋体" w:hAnsi="宋体" w:cs="宋体"/>
                <w:b w:val="0"/>
                <w:bCs w:val="0"/>
                <w:color w:val="auto"/>
                <w:sz w:val="24"/>
                <w:szCs w:val="24"/>
                <w:highlight w:val="none"/>
                <w:lang w:val="en-US" w:eastAsia="zh-CN"/>
              </w:rPr>
              <w:t xml:space="preserve">必需的设备和专业技术能力的证明材料</w:t>
            </w:r>
            <w:r>
              <w:rPr>
                <w:rFonts w:hint="eastAsia" w:asciiTheme="minorEastAsia" w:hAnsiTheme="minorEastAsia" w:eastAsiaTheme="minorEastAsia" w:cstheme="minorEastAsia"/>
                <w:b w:val="0"/>
                <w:bCs w:val="0"/>
                <w:color w:val="auto"/>
                <w:sz w:val="24"/>
                <w:szCs w:val="24"/>
                <w:highlight w:val="none"/>
              </w:rPr>
              <w:t xml:space="preserve">。即投标文件中提供：</w:t>
            </w:r>
            <w:r>
              <w:rPr>
                <w:rFonts w:hint="eastAsia" w:ascii="宋体" w:hAnsi="宋体" w:cs="宋体"/>
                <w:b w:val="0"/>
                <w:bCs w:val="0"/>
                <w:color w:val="000000" w:themeColor="text1"/>
                <w:sz w:val="24"/>
                <w:szCs w:val="24"/>
                <w:highlight w:val="none"/>
                <w14:textFill>
                  <w14:solidFill>
                    <w14:schemeClr w14:val="tx1"/>
                  </w14:solidFill>
                </w14:textFill>
              </w:rPr>
              <w:t xml:space="preserve">《具备履行合同所必需的设备和专业技术能力的书面声明》（加盖电子签章，格式见招标文件第七章《投标文件相关格式》）；</w:t>
            </w:r>
            <w:r/>
          </w:p>
          <w:p>
            <w:pPr>
              <w:ind w:right="0"/>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（六）投标人《中小企业声明函》（加盖电子签章，格式见招标文件第七章《投标文件相关格式》）</w:t>
            </w:r>
            <w:r>
              <w:rPr>
                <w:rFonts w:hint="eastAsia" w:ascii="宋体" w:hAnsi="宋体" w:cs="宋体"/>
                <w:b/>
                <w:bCs/>
                <w:color w:val="000000" w:themeColor="text1"/>
                <w:sz w:val="24"/>
                <w:szCs w:val="24"/>
                <w:highlight w:val="none"/>
                <w14:textFill>
                  <w14:solidFill>
                    <w14:schemeClr w14:val="tx1"/>
                  </w14:solidFill>
                </w14:textFill>
              </w:rPr>
              <w:t xml:space="preserve">（请填写完整，必须提供）</w:t>
            </w:r>
            <w:r>
              <w:rPr>
                <w:rFonts w:hint="eastAsia" w:ascii="宋体" w:hAnsi="宋体" w:cs="宋体"/>
                <w:b w:val="0"/>
                <w:bCs w:val="0"/>
                <w:color w:val="000000" w:themeColor="text1"/>
                <w:sz w:val="24"/>
                <w:szCs w:val="24"/>
                <w:highlight w:val="none"/>
                <w14:textFill>
                  <w14:solidFill>
                    <w14:schemeClr w14:val="tx1"/>
                  </w14:solidFill>
                </w14:textFill>
              </w:rPr>
              <w:t xml:space="preserve">。查询渠道参考工业和信息化部发布的中小企业规模自测小程序。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注：中小企业（含中型、小型、微型企业，下同），应当同时符合以下条件：</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　 ① 符合中小企业划分标准；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小型、微型企业提供中型企业制造的货物的，视同为中型企业。</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）安置的残疾人占本单位在职职工人数的比例不低于25%（含25%），并且安置的残疾人人数不少于10人（含10人）；</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）依法与安置的每位残疾人签订了一年以上（含一年）的劳动合同或服务协议；</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right="28" w:firstLine="482"/>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right="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（七）本项目特定资格要求，提供以下证书原件扫描件：</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投标人具有</w:t>
            </w:r>
            <w:r>
              <w:rPr>
                <w:rFonts w:hint="eastAsia" w:ascii="宋体" w:hAnsi="宋体" w:eastAsia="宋体" w:cs="宋体"/>
                <w:i w:val="0"/>
                <w:iCs w:val="0"/>
                <w:caps w:val="0"/>
                <w:strike w:val="0"/>
                <w:color w:val="auto"/>
                <w:spacing w:val="0"/>
                <w:sz w:val="24"/>
                <w:szCs w:val="24"/>
                <w:highlight w:val="none"/>
                <w:u w:val="none"/>
                <w:shd w:val="clear" w:color="auto" w:fill="ffffff"/>
              </w:rPr>
              <w:t xml:space="preserve">行业主管部门颁发有效的</w:t>
            </w:r>
            <w:r>
              <w:rPr>
                <w:rFonts w:hint="eastAsia" w:ascii="宋体" w:hAnsi="宋体" w:cs="宋体"/>
                <w:strike w:val="0"/>
                <w:color w:val="auto"/>
                <w:sz w:val="24"/>
                <w:szCs w:val="24"/>
                <w:highlight w:val="none"/>
                <w:u w:val="none"/>
                <w:lang w:val="en-US" w:eastAsia="zh-CN"/>
              </w:rPr>
              <w:t xml:space="preserve">工程勘察专业类岩土工程乙级及以上资质，或工程勘察综合类甲级资质。</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firstLine="482"/>
              <w:jc w:val="left"/>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（一）技术部分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要求见招标文件第四章《评标标准》、第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章《采购需求》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ind w:right="28"/>
              <w:jc w:val="both"/>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rPr>
                <w:rFonts w:hint="eastAsia" w:ascii="宋体" w:hAnsi="宋体" w:cs="宋体"/>
                <w:bCs/>
                <w:color w:val="auto"/>
                <w:sz w:val="24"/>
                <w:szCs w:val="24"/>
                <w:highlight w:val="none"/>
                <w:lang w:val="en-US" w:eastAsia="zh-CN"/>
              </w:rPr>
              <w:t xml:space="preserve">无。</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pStyle w:val="950"/>
              <w:ind w:left="0" w:right="0" w:firstLine="480"/>
              <w:keepLines w:val="0"/>
              <w:keepNext w:val="0"/>
              <w:pageBreakBefore w:val="0"/>
              <w:spacing w:after="0"/>
              <w:widowControl w:val="off"/>
              <w:rPr>
                <w:rFonts w:hint="eastAsia"/>
                <w:highlight w:val="none"/>
              </w:rPr>
            </w:pPr>
            <w:r>
              <w:rPr>
                <w:rFonts w:hint="eastAsia" w:ascii="宋体" w:hAnsi="宋体" w:eastAsia="宋体" w:cs="宋体"/>
                <w:sz w:val="24"/>
                <w:szCs w:val="24"/>
                <w:highlight w:val="none"/>
              </w:rPr>
              <w:t xml:space="preserve">3、线下纸质投标文件：中标人领取中标通知书时须向代理机构提交纸质胶装投标文件一正</w:t>
            </w:r>
            <w:r>
              <w:rPr>
                <w:rFonts w:hint="eastAsia" w:ascii="宋体" w:hAnsi="宋体" w:cs="宋体"/>
                <w:sz w:val="24"/>
                <w:szCs w:val="24"/>
                <w:highlight w:val="none"/>
                <w:lang w:val="en-US" w:eastAsia="zh-CN"/>
              </w:rPr>
              <w:t xml:space="preserve">贰</w:t>
            </w:r>
            <w:r>
              <w:rPr>
                <w:rFonts w:hint="eastAsia" w:ascii="宋体" w:hAnsi="宋体" w:eastAsia="宋体" w:cs="宋体"/>
                <w:sz w:val="24"/>
                <w:szCs w:val="24"/>
                <w:highlight w:val="none"/>
              </w:rPr>
              <w:t xml:space="preserve">副，后期招标人如有需要中标人仍需免费提供。</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采购预算为</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本项目不接受超过采购预算的报价。</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w:t>
            </w:r>
            <w:r>
              <w:rPr>
                <w:rFonts w:hint="eastAsia" w:ascii="宋体" w:hAnsi="宋体" w:eastAsia="宋体" w:cs="宋体"/>
                <w:color w:val="auto"/>
                <w:sz w:val="24"/>
                <w:szCs w:val="24"/>
                <w:highlight w:val="none"/>
                <w:lang w:val="zh-CN"/>
              </w:rPr>
              <w:t xml:space="preserve">包括但不限于人工、材料、机械、</w:t>
            </w:r>
            <w:r>
              <w:rPr>
                <w:rFonts w:hint="eastAsia" w:ascii="宋体" w:hAnsi="宋体" w:eastAsia="宋体" w:cs="宋体"/>
                <w:color w:val="auto"/>
                <w:sz w:val="24"/>
                <w:szCs w:val="24"/>
                <w:highlight w:val="none"/>
              </w:rPr>
              <w:t xml:space="preserve">工具设备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差旅、采样、检测、</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zh-CN"/>
              </w:rPr>
              <w:t xml:space="preserve">、利润、税金</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政策性文件规定及合同包含的所有风险、责任等各项应有费用。</w:t>
            </w: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989"/>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1、投标文件提交时间：2026年8月13日北京时间9:30前。</w:t>
            </w:r>
            <w:r/>
          </w:p>
          <w:p>
            <w:pPr>
              <w:pStyle w:val="989"/>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2、投标截止时间：2026年8月13日北京时间9:30。</w:t>
            </w:r>
            <w:r/>
          </w:p>
          <w:p>
            <w:pPr>
              <w:ind w:left="0" w:firstLine="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8月13日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商务部分得分由高到低顺序排列。投标报价且商务得分相同的，按技术方案和项目实施方案得分由高到低顺序排列。</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合同价款的3%，提交形式：以金融机构、担保机构出具的保函等非现金形式提交。退还：缺陷责任期满且无质量问题，无息返还</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认为采购文件、采购过程和中标、成交结果使自己的权益受到损害的，可以在知道或者应知其权益受到损害之日起七个工作日内，以书面形式向采购人或采购代理机构提出质疑。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李秀玲；</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highlight w:val="none"/>
                <w:lang w:eastAsia="zh-CN"/>
              </w:rPr>
              <w:t xml:space="preserve">本</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lef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本章附件：招标代理服务收费标准</w:t>
      </w:r>
      <w:r/>
    </w:p>
    <w:p>
      <w:pPr>
        <w:numPr>
          <w:ilvl w:val="0"/>
          <w:numId w:val="0"/>
        </w:numPr>
        <w:ind w:firstLine="560"/>
        <w:keepLines w:val="0"/>
        <w:keepNext w:val="0"/>
        <w:pageBreakBefore w:val="0"/>
        <w:spacing w:line="360" w:lineRule="auto"/>
        <w:widowControl w:val="off"/>
        <w:rPr>
          <w:rFonts w:hint="eastAsia" w:ascii="宋体" w:hAnsi="宋体"/>
          <w:color w:val="auto"/>
          <w:sz w:val="28"/>
          <w:highlight w:val="none"/>
        </w:rPr>
      </w:pPr>
      <w:r>
        <w:rPr>
          <w:rFonts w:hint="eastAsia" w:ascii="宋体" w:hAnsi="宋体"/>
          <w:color w:val="auto"/>
          <w:sz w:val="28"/>
          <w:highlight w:val="none"/>
        </w:rPr>
      </w:r>
      <w:r/>
    </w:p>
    <w:p>
      <w:pPr>
        <w:numPr>
          <w:ilvl w:val="0"/>
          <w:numId w:val="0"/>
        </w:numPr>
        <w:ind w:firstLine="560"/>
        <w:keepLines w:val="0"/>
        <w:keepNext w:val="0"/>
        <w:pageBreakBefore w:val="0"/>
        <w:spacing w:line="360" w:lineRule="auto"/>
        <w:widowControl w:val="off"/>
        <w:rPr>
          <w:rFonts w:hint="default" w:ascii="宋体" w:hAnsi="宋体"/>
          <w:color w:val="auto"/>
          <w:sz w:val="28"/>
          <w:highlight w:val="none"/>
          <w:lang w:val="en-US"/>
        </w:rPr>
      </w:pPr>
      <w:r>
        <w:rPr>
          <w:rFonts w:hint="eastAsia" w:ascii="宋体" w:hAnsi="宋体"/>
          <w:color w:val="auto"/>
          <w:sz w:val="28"/>
          <w:highlight w:val="none"/>
        </w:rPr>
        <w:t xml:space="preserve">本项目招标代理</w:t>
      </w:r>
      <w:r>
        <w:rPr>
          <w:rFonts w:hint="eastAsia" w:ascii="宋体" w:hAnsi="宋体"/>
          <w:color w:val="auto"/>
          <w:sz w:val="28"/>
          <w:highlight w:val="none"/>
          <w:lang w:val="en-US" w:eastAsia="zh-CN"/>
        </w:rPr>
        <w:t xml:space="preserve">服务</w:t>
      </w:r>
      <w:r>
        <w:rPr>
          <w:rFonts w:hint="eastAsia" w:ascii="宋体" w:hAnsi="宋体"/>
          <w:color w:val="auto"/>
          <w:sz w:val="28"/>
          <w:highlight w:val="none"/>
        </w:rPr>
        <w:t xml:space="preserve">通过苏服采公开招标选取。招标代理费由招标人按照双方委托协议自行约定标准支付。</w:t>
      </w:r>
      <w:r/>
    </w:p>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pStyle w:val="932"/>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pStyle w:val="988"/>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本章说明：本项目采用综合评分法。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技术部分得分取所有评委的平均值，保留小数点后二位）。</w:t>
      </w:r>
      <w:r/>
    </w:p>
    <w:tbl>
      <w:tblPr>
        <w:tblStyle w:val="942"/>
        <w:tblW w:w="97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140"/>
        <w:gridCol w:w="7525"/>
      </w:tblGrid>
      <w:tr>
        <w:trPr>
          <w:jc w:val="center"/>
          <w:trHeight w:val="567"/>
        </w:trPr>
        <w:tc>
          <w:tcPr>
            <w:gridSpan w:val="2"/>
            <w:tcW w:w="2262" w:type="dxa"/>
            <w:vAlign w:val="center"/>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525" w:type="dxa"/>
            <w:vAlign w:val="center"/>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W w:w="1122" w:type="dxa"/>
            <w:vAlign w:val="center"/>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1140" w:type="dxa"/>
            <w:vAlign w:val="center"/>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0"/>
              <w:jc w:val="left"/>
              <w:keepLines w:val="0"/>
              <w:keepNext w:val="0"/>
              <w:pageBreakBefore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投标报价得分=(评标基准价/投标报价)×</w:t>
            </w:r>
            <w:r>
              <w:rPr>
                <w:rFonts w:hint="eastAsia" w:ascii="仿宋" w:hAnsi="仿宋" w:eastAsia="仿宋" w:cs="仿宋"/>
                <w:color w:val="auto"/>
                <w:sz w:val="24"/>
                <w:szCs w:val="24"/>
                <w:highlight w:val="none"/>
                <w:lang w:val="en-US" w:eastAsia="zh-CN"/>
              </w:rPr>
              <w:t xml:space="preserve">15</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得分四舍五入保留小数点后2位。</w:t>
            </w:r>
            <w:r/>
          </w:p>
        </w:tc>
      </w:tr>
      <w:tr>
        <w:trPr>
          <w:cantSplit/>
          <w:jc w:val="center"/>
          <w:trHeight w:val="1920"/>
        </w:trPr>
        <w:tc>
          <w:tcPr>
            <w:tcW w:w="1122" w:type="dxa"/>
            <w:vAlign w:val="center"/>
            <w:vMerge w:val="restart"/>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部分</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(20分)</w:t>
            </w:r>
            <w:r/>
          </w:p>
        </w:tc>
        <w:tc>
          <w:tcPr>
            <w:tcW w:w="1140"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项目组成员</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(7分)</w:t>
            </w:r>
            <w:r/>
          </w:p>
        </w:tc>
        <w:tc>
          <w:tcPr>
            <w:tcW w:w="7525" w:type="dxa"/>
            <w:vAlign w:val="top"/>
            <w:textDirection w:val="lrTb"/>
            <w:noWrap w:val="false"/>
          </w:tcPr>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同时</w:t>
            </w:r>
            <w:r>
              <w:rPr>
                <w:rFonts w:hint="eastAsia" w:ascii="仿宋" w:hAnsi="仿宋" w:eastAsia="仿宋" w:cs="仿宋"/>
                <w:color w:val="auto"/>
                <w:sz w:val="24"/>
                <w:szCs w:val="24"/>
                <w:highlight w:val="none"/>
              </w:rPr>
              <w:t xml:space="preserve">具备</w:t>
            </w:r>
            <w:r>
              <w:rPr>
                <w:rFonts w:hint="eastAsia" w:ascii="仿宋" w:hAnsi="仿宋" w:eastAsia="仿宋" w:cs="仿宋"/>
                <w:color w:val="auto"/>
                <w:sz w:val="24"/>
                <w:szCs w:val="24"/>
                <w:highlight w:val="none"/>
                <w:lang w:eastAsia="zh-CN"/>
              </w:rPr>
              <w:t xml:space="preserve">高级工程师（含）以上技术职称，</w:t>
            </w:r>
            <w:r>
              <w:rPr>
                <w:rFonts w:hint="eastAsia" w:ascii="仿宋" w:hAnsi="仿宋" w:eastAsia="仿宋" w:cs="仿宋"/>
                <w:color w:val="auto"/>
                <w:sz w:val="24"/>
                <w:szCs w:val="24"/>
                <w:highlight w:val="none"/>
                <w:lang w:val="en-US" w:eastAsia="zh-CN"/>
              </w:rPr>
              <w:t xml:space="preserve">并持有</w:t>
            </w:r>
            <w:r>
              <w:rPr>
                <w:rFonts w:hint="eastAsia" w:ascii="仿宋" w:hAnsi="仿宋" w:eastAsia="仿宋" w:cs="仿宋"/>
                <w:color w:val="auto"/>
                <w:sz w:val="24"/>
                <w:szCs w:val="24"/>
                <w:highlight w:val="none"/>
              </w:rPr>
              <w:t xml:space="preserve">行政主管部门核发的工程试验检测师（市政工程或道路工程）资格证书</w:t>
            </w:r>
            <w:r>
              <w:rPr>
                <w:rFonts w:hint="eastAsia" w:ascii="仿宋" w:hAnsi="仿宋" w:eastAsia="仿宋" w:cs="仿宋"/>
                <w:color w:val="auto"/>
                <w:sz w:val="24"/>
                <w:szCs w:val="24"/>
                <w:highlight w:val="none"/>
                <w:lang w:val="en-US" w:eastAsia="zh-CN"/>
              </w:rPr>
              <w:t xml:space="preserve">的得4分。</w:t>
            </w:r>
            <w:r/>
          </w:p>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2、拟投入的项目组成员（不含项目负责人）具有行政主管部门核发的工程试验检测师(市政工程或道路工程）资格证书，并取得中级（含中级）以上职称的，每有一个得1分，本项最高得3分。</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1.投标文件中提供人员名单、证书原件扫描件。</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3.投标文件中提供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bCs/>
                <w:color w:val="auto"/>
                <w:spacing w:val="-2"/>
                <w:sz w:val="24"/>
                <w:szCs w:val="24"/>
                <w:highlight w:val="none"/>
              </w:rPr>
              <w:t xml:space="preserve">提供证明材料不完整或未提供的不得分。</w:t>
            </w:r>
            <w:r/>
          </w:p>
        </w:tc>
      </w:tr>
      <w:tr>
        <w:trPr>
          <w:cantSplit/>
          <w:jc w:val="center"/>
          <w:trHeight w:val="1085"/>
        </w:trPr>
        <w:tc>
          <w:tcPr>
            <w:tcW w:w="1122"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140"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设备配置</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1、满足采购需求仪器设备配置要求外，投标人每增加1台车载式探地雷达设备加2分，本项最高4分。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2、满足采购需求仪器设备配置要求外，投标人每增加1台便携式手推探地雷达设备加2分，本项最高2分。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需要在相应表格中填报且提供相应证明材料，自有设备须提供发票和有效期内的检定证书；租赁设备须提供租赁合同，同时提供出租方的设备购置发票、有效期内的检定证书；如投标人承诺中标后购置或租赁的，投标文件中须提供承诺，格式自拟。不提供或提供资料不全的不得分。</w:t>
            </w:r>
            <w:r/>
          </w:p>
        </w:tc>
      </w:tr>
      <w:tr>
        <w:trPr>
          <w:cantSplit/>
          <w:jc w:val="center"/>
          <w:trHeight w:val="739"/>
        </w:trPr>
        <w:tc>
          <w:tcPr>
            <w:tcW w:w="1122" w:type="dxa"/>
            <w:vAlign w:val="center"/>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含）以来承担过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项目的，每提供一份业绩得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pStyle w:val="996"/>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时间为准，投标文件中提供业绩证明材料</w:t>
            </w:r>
            <w:r>
              <w:rPr>
                <w:rFonts w:hint="eastAsia" w:ascii="仿宋" w:hAnsi="仿宋" w:eastAsia="仿宋" w:cs="仿宋"/>
                <w:b/>
                <w:bCs/>
                <w:color w:val="auto"/>
                <w:sz w:val="24"/>
                <w:szCs w:val="24"/>
                <w:highlight w:val="none"/>
                <w:lang w:eastAsia="zh-CN" w:bidi="hi-IN"/>
              </w:rPr>
              <w:t xml:space="preserve">(能够清晰反应合同首页、建设内容、合同签字页等）</w:t>
            </w:r>
            <w:r>
              <w:rPr>
                <w:rFonts w:hint="eastAsia" w:ascii="仿宋" w:hAnsi="仿宋" w:eastAsia="仿宋" w:cs="仿宋"/>
                <w:b/>
                <w:bCs/>
                <w:color w:val="auto"/>
                <w:sz w:val="24"/>
                <w:szCs w:val="24"/>
                <w:highlight w:val="none"/>
                <w:lang w:bidi="hi-IN"/>
              </w:rPr>
              <w:t xml:space="preserve">原件扫描件，否则不得分。</w:t>
            </w:r>
            <w:r/>
          </w:p>
        </w:tc>
      </w:tr>
      <w:tr>
        <w:trPr>
          <w:cantSplit/>
          <w:jc w:val="center"/>
          <w:trHeight w:val="567"/>
        </w:trPr>
        <w:tc>
          <w:tcPr>
            <w:tcW w:w="1122" w:type="dxa"/>
            <w:vAlign w:val="center"/>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ind w:left="4" w:firstLine="0"/>
              <w:jc w:val="left"/>
              <w:keepLines w:val="0"/>
              <w:keepNext w:val="0"/>
              <w:pageBreakBefore w:val="0"/>
              <w:spacing w:before="19"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企业资信</w:t>
            </w:r>
            <w:r/>
          </w:p>
          <w:p>
            <w:pPr>
              <w:ind w:left="4" w:firstLine="0"/>
              <w:jc w:val="left"/>
              <w:keepLines w:val="0"/>
              <w:keepNext w:val="0"/>
              <w:pageBreakBefore w:val="0"/>
              <w:spacing w:before="19"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(3分)</w:t>
            </w:r>
            <w:r/>
          </w:p>
        </w:tc>
        <w:tc>
          <w:tcPr>
            <w:tcW w:w="7525" w:type="dxa"/>
            <w:vAlign w:val="top"/>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具有有效的质量管理体系、环境管理体系、职业健康安全管理体系认证证书，</w:t>
            </w:r>
            <w:r>
              <w:rPr>
                <w:rFonts w:hint="eastAsia" w:ascii="仿宋" w:hAnsi="仿宋" w:eastAsia="仿宋" w:cs="仿宋"/>
                <w:color w:val="auto"/>
                <w:sz w:val="24"/>
                <w:szCs w:val="24"/>
                <w:highlight w:val="none"/>
                <w:lang w:val="en-US" w:eastAsia="zh-CN"/>
              </w:rPr>
              <w:t xml:space="preserve">每具有一项得1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最高得3分。</w:t>
            </w:r>
            <w:r/>
          </w:p>
          <w:p>
            <w:pPr>
              <w:pStyle w:val="996"/>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rPr>
              <w:t xml:space="preserve">注：投标文件中提供证书原件扫描件和国家市场监督管理总局全国认证认可信息公共服务平台(http://cx.cnca.cn/CertECloud/index/index/page）或国家认证认可监督管理委员会官网(https://www.cnca.gov.cn/ ）查询截图，否则不得分。</w:t>
            </w:r>
            <w:r/>
          </w:p>
        </w:tc>
      </w:tr>
      <w:tr>
        <w:trPr>
          <w:cantSplit/>
          <w:jc w:val="center"/>
          <w:trHeight w:val="567"/>
        </w:trPr>
        <w:tc>
          <w:tcPr>
            <w:tcW w:w="1122" w:type="dxa"/>
            <w:vAlign w:val="center"/>
            <w:vMerge w:val="restart"/>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探测技术方案</w:t>
            </w:r>
            <w:r>
              <w:rPr>
                <w:rFonts w:hint="eastAsia" w:ascii="仿宋" w:hAnsi="仿宋" w:eastAsia="仿宋" w:cs="仿宋"/>
                <w:color w:val="auto"/>
                <w:sz w:val="24"/>
                <w:szCs w:val="24"/>
                <w:highlight w:val="none"/>
                <w:lang w:val="en-US" w:eastAsia="zh-CN"/>
              </w:rPr>
              <w:t xml:space="preserve">(21分)</w:t>
            </w:r>
            <w:r/>
          </w:p>
        </w:tc>
        <w:tc>
          <w:tcPr>
            <w:tcW w:w="7525"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探测技术方案(含新技术检测处理方案），技术方案应能够充分体现项目的实际需求，根据检测工作的环境特点、内容、程序、方法、检测手段、检测资料及分析报告，对形成最终报告的全面性、针对性、可行性等方面进行评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22" w:type="dxa"/>
            <w:vAlign w:val="top"/>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项目实施方案</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依据投标人投标文件中的项目实施方案，实施方案需包含实施过程中的质量管理、时间进度安排等，对项目实施方案内容的全面性、针对性、可行性进行评价。</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22" w:type="dxa"/>
            <w:vAlign w:val="top"/>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安全保密措施(7分)</w:t>
            </w:r>
            <w:r/>
          </w:p>
        </w:tc>
        <w:tc>
          <w:tcPr>
            <w:tcW w:w="7525"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根据投标人投标文件中的安全措施，包含安全责任制度、数据生产安全控制措施、应急预案及数据资料保密制度等内容的全面性、针对性、可行性进行综合评价，</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内容完整、</w:t>
            </w:r>
            <w:r>
              <w:rPr>
                <w:rFonts w:hint="eastAsia" w:ascii="仿宋" w:hAnsi="仿宋" w:eastAsia="仿宋" w:cs="仿宋"/>
                <w:color w:val="auto"/>
                <w:sz w:val="24"/>
                <w:szCs w:val="24"/>
                <w:highlight w:val="none"/>
                <w:lang w:eastAsia="zh-CN"/>
              </w:rPr>
              <w:t xml:space="preserve">全面具体详实、针对性</w:t>
            </w:r>
            <w:r>
              <w:rPr>
                <w:rFonts w:hint="eastAsia" w:ascii="仿宋" w:hAnsi="仿宋" w:eastAsia="仿宋" w:cs="仿宋"/>
                <w:color w:val="auto"/>
                <w:sz w:val="24"/>
                <w:szCs w:val="24"/>
                <w:highlight w:val="none"/>
                <w:lang w:val="en-US" w:eastAsia="zh-CN"/>
              </w:rPr>
              <w:t xml:space="preserve">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内容基本完整、针对性较强的得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内容一般、基本可行的得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内容不全面有缺陷的得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无内容的得0分；</w:t>
            </w:r>
            <w:r/>
          </w:p>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最低得0分</w:t>
            </w:r>
            <w:r>
              <w:rPr>
                <w:rFonts w:hint="eastAsia" w:ascii="仿宋" w:hAnsi="仿宋" w:eastAsia="仿宋" w:cs="仿宋"/>
                <w:color w:val="auto"/>
                <w:sz w:val="24"/>
                <w:szCs w:val="24"/>
                <w:highlight w:val="none"/>
                <w:lang w:eastAsia="zh-CN"/>
              </w:rPr>
              <w:t xml:space="preserve">。</w:t>
            </w:r>
            <w:r/>
          </w:p>
        </w:tc>
      </w:tr>
      <w:tr>
        <w:trPr>
          <w:cantSplit/>
          <w:jc w:val="center"/>
          <w:trHeight w:val="567"/>
        </w:trPr>
        <w:tc>
          <w:tcPr>
            <w:tcW w:w="1122" w:type="dxa"/>
            <w:vAlign w:val="top"/>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合理化建议</w:t>
            </w:r>
            <w:r/>
          </w:p>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根据投标人投标文件中的合理化建议，对项目的重点、难点分析，提出创新、创优等合理化建议，根据建议的可行性、实用性等进行综合评价，对内容的全面性、针对性进行综合评价。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bookmarkStart w:id="2" w:name="OLE_LINK17"/>
            <w:r>
              <w:rPr>
                <w:rFonts w:hint="eastAsia" w:ascii="仿宋" w:hAnsi="仿宋" w:eastAsia="仿宋" w:cs="仿宋"/>
                <w:color w:val="auto"/>
                <w:sz w:val="24"/>
                <w:szCs w:val="24"/>
                <w:highlight w:val="none"/>
                <w:lang w:val="en-US" w:eastAsia="zh-CN" w:bidi="ar-SA"/>
              </w:rPr>
              <w:t xml:space="preserve">本项最高得6分，最低得0分。</w:t>
            </w:r>
            <w:bookmarkEnd w:id="2"/>
            <w:r/>
            <w:r/>
          </w:p>
        </w:tc>
      </w:tr>
      <w:tr>
        <w:trPr>
          <w:cantSplit/>
          <w:jc w:val="center"/>
          <w:trHeight w:val="567"/>
        </w:trPr>
        <w:tc>
          <w:tcPr>
            <w:tcW w:w="1122" w:type="dxa"/>
            <w:vAlign w:val="top"/>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4"/>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售后服务和培训</w:t>
            </w:r>
            <w:r/>
          </w:p>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1、在项目实施过程中和项目完成后为采购人提供有关售后服务的措施，根据方案可行、培训服务多方面进行综合评定，对内容的全面性、针对性进行综合评价，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本项最高得4分，最低得0分。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2、本项目满足采购需求提供1年质保期外，每增加一年免费售后服务得1分，最高得1分。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val="en-US" w:eastAsia="zh-CN" w:bidi="ar-SA"/>
              </w:rPr>
              <w:t xml:space="preserve">3、本项目满足采购需求检测道路长度(含售后服务期内要求的检测长度）外，投标人承诺每免费增加1公里加0.5分，最高得1分。</w:t>
            </w:r>
            <w:r/>
          </w:p>
        </w:tc>
      </w:tr>
      <w:tr>
        <w:trPr>
          <w:cantSplit/>
          <w:jc w:val="center"/>
          <w:trHeight w:val="567"/>
        </w:trPr>
        <w:tc>
          <w:tcPr>
            <w:tcW w:w="1122" w:type="dxa"/>
            <w:vAlign w:val="top"/>
            <w:vMerge w:val="continue"/>
            <w:textDirection w:val="lrTb"/>
            <w:noWrap w:val="false"/>
          </w:tcPr>
          <w:p>
            <w:pPr>
              <w:pStyle w:val="981"/>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4"/>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应急保障方案(6分)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对投标文件中应急响应时间、应急机构、组织流程是否健全可行，是否有重大或突发事件应急保障措施等方面进行综合评定，对内容的全面性、针对性、可行性进行综合评价。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内容完整、全面具体详实、针对性、可行性强得6分；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内容基本完整、针对性、可行性较强的得5分；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pStyle w:val="958"/>
              <w:ind w:firstLine="0"/>
              <w:jc w:val="left"/>
              <w:keepLines w:val="0"/>
              <w:keepNext w:val="0"/>
              <w:pageBreakBefore w:val="0"/>
              <w:spacing w:line="240" w:lineRule="auto"/>
              <w:rPr>
                <w:rFonts w:hint="eastAsia"/>
                <w:color w:val="auto"/>
                <w:sz w:val="24"/>
                <w:szCs w:val="24"/>
                <w:highlight w:val="none"/>
              </w:rPr>
            </w:pPr>
            <w:r>
              <w:rPr>
                <w:rFonts w:hint="eastAsia" w:ascii="仿宋" w:hAnsi="仿宋" w:eastAsia="仿宋" w:cs="仿宋"/>
                <w:color w:val="auto"/>
                <w:sz w:val="24"/>
                <w:szCs w:val="24"/>
                <w:highlight w:val="none"/>
                <w:lang w:val="en-US" w:eastAsia="zh-CN" w:bidi="ar-SA"/>
              </w:rPr>
              <w:t xml:space="preserve">本项最高得6分，最低得0分。</w:t>
            </w:r>
            <w:r/>
          </w:p>
        </w:tc>
      </w:tr>
    </w:tbl>
    <w:p>
      <w:pPr>
        <w:pStyle w:val="98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89"/>
        <w:rPr>
          <w:rFonts w:hint="eastAsia"/>
          <w:highlight w:val="none"/>
        </w:rPr>
      </w:pPr>
      <w:r>
        <w:rPr>
          <w:rFonts w:hint="eastAsia"/>
          <w:highlight w:val="none"/>
        </w:rPr>
      </w:r>
      <w:r/>
    </w:p>
    <w:p>
      <w:pPr>
        <w:pStyle w:val="932"/>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center"/>
        <w:rPr>
          <w:rFonts w:hint="default" w:asciiTheme="minorEastAsia" w:hAnsiTheme="minorEastAsia" w:eastAsiaTheme="minorEastAsia" w:cstheme="minorEastAsia"/>
          <w:b/>
          <w:color w:val="auto"/>
          <w:szCs w:val="36"/>
          <w:highlight w:val="none"/>
          <w:lang w:val="en-US"/>
        </w:rPr>
        <w:outlineLvl w:val="9"/>
      </w:pPr>
      <w:r>
        <w:rPr>
          <w:rFonts w:hint="default" w:asciiTheme="minorEastAsia" w:hAnsiTheme="minorEastAsia" w:eastAsiaTheme="minorEastAsia" w:cstheme="minorEastAsia"/>
          <w:b/>
          <w:color w:val="auto"/>
          <w:szCs w:val="36"/>
          <w:highlight w:val="none"/>
          <w:lang w:val="en-US"/>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ind w:left="0"/>
        <w:jc w:val="left"/>
        <w:spacing w:line="480" w:lineRule="auto"/>
        <w:rPr>
          <w:rFonts w:hint="eastAsia" w:eastAsia="宋体" w:asciiTheme="minorEastAsia" w:hAnsiTheme="minorEastAsia" w:cstheme="minorEastAsia"/>
          <w:b/>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rPr>
        <w:t xml:space="preserve">项目编号：</w:t>
      </w:r>
      <w:r>
        <w:rPr>
          <w:rFonts w:hint="eastAsia" w:asciiTheme="minorEastAsia" w:hAnsiTheme="minorEastAsia" w:cstheme="minorEastAsia"/>
          <w:b/>
          <w:color w:val="auto"/>
          <w:sz w:val="28"/>
          <w:szCs w:val="28"/>
          <w:highlight w:val="none"/>
          <w:lang w:eastAsia="zh-CN"/>
        </w:rPr>
        <w:t xml:space="preserve">JSZC-320300-JSZG-G2026-0039</w:t>
      </w:r>
      <w:r/>
    </w:p>
    <w:p>
      <w:pPr>
        <w:ind w:left="0"/>
        <w:jc w:val="left"/>
        <w:spacing w:line="480" w:lineRule="auto"/>
        <w:rPr>
          <w:rFonts w:hint="default" w:asciiTheme="minorEastAsia" w:hAnsi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rPr>
        <w:t xml:space="preserve">项目名称：</w:t>
      </w:r>
      <w:r>
        <w:rPr>
          <w:rFonts w:hint="eastAsia" w:asciiTheme="minorEastAsia" w:hAnsiTheme="minorEastAsia" w:cstheme="minorEastAsia"/>
          <w:b/>
          <w:color w:val="auto"/>
          <w:sz w:val="28"/>
          <w:szCs w:val="28"/>
          <w:highlight w:val="none"/>
          <w:lang w:eastAsia="zh-CN"/>
        </w:rPr>
        <w:t xml:space="preserve">2026年市管道路空洞及桥梁结构检测</w:t>
      </w:r>
      <w:r>
        <w:rPr>
          <w:rFonts w:hint="eastAsia" w:asciiTheme="minorEastAsia" w:hAnsiTheme="minorEastAsia" w:cstheme="minorEastAsia"/>
          <w:b/>
          <w:color w:val="auto"/>
          <w:sz w:val="28"/>
          <w:szCs w:val="28"/>
          <w:highlight w:val="none"/>
          <w:lang w:val="en-US" w:eastAsia="zh-CN"/>
        </w:rPr>
        <w:t xml:space="preserve">-道路空洞探测</w:t>
      </w:r>
      <w:r/>
    </w:p>
    <w:p>
      <w:pPr>
        <w:ind w:left="0"/>
        <w:jc w:val="left"/>
        <w:spacing w:line="48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采购单位：</w:t>
      </w:r>
      <w:r>
        <w:rPr>
          <w:rFonts w:hint="eastAsia" w:asciiTheme="minorEastAsia" w:hAnsiTheme="minorEastAsia" w:eastAsiaTheme="minorEastAsia" w:cstheme="minorEastAsia"/>
          <w:b/>
          <w:color w:val="auto"/>
          <w:sz w:val="28"/>
          <w:szCs w:val="28"/>
          <w:highlight w:val="none"/>
          <w:lang w:eastAsia="zh-CN"/>
        </w:rPr>
        <w:t xml:space="preserve">徐州市市政管理中心</w:t>
      </w:r>
      <w:r/>
    </w:p>
    <w:p>
      <w:pPr>
        <w:ind w:left="0"/>
        <w:jc w:val="left"/>
        <w:spacing w:line="48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中标供应商（乙方）：</w:t>
      </w:r>
      <w:r/>
    </w:p>
    <w:p>
      <w:pPr>
        <w:ind w:left="0"/>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28"/>
          <w:szCs w:val="28"/>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950"/>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50"/>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950"/>
        <w:ind w:left="0" w:right="0"/>
        <w:spacing w:after="0" w:line="360" w:lineRule="auto"/>
        <w:rPr>
          <w:rFonts w:hint="eastAsia" w:asciiTheme="minorEastAsia" w:hAnsiTheme="minorEastAsia" w:eastAsiaTheme="minorEastAsia" w:cstheme="minorEastAsia"/>
          <w:b/>
          <w:color w:val="auto"/>
          <w:sz w:val="24"/>
          <w:highlight w:val="none"/>
        </w:rPr>
        <w:sectPr>
          <w:headerReference w:type="default" r:id="rId10"/>
          <w:footerReference w:type="default" r:id="rId13"/>
          <w:footnotePr/>
          <w:endnotePr/>
          <w:type w:val="nextPage"/>
          <w:pgSz w:w="11906" w:h="16838" w:orient="portrait"/>
          <w:pgMar w:top="1440" w:right="1417" w:bottom="1440"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88"/>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徐州市市政管理中心</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以下</w:t>
      </w:r>
      <w:r>
        <w:rPr>
          <w:rFonts w:hint="eastAsia" w:ascii="仿宋" w:hAnsi="仿宋" w:eastAsia="仿宋" w:cs="仿宋"/>
          <w:bCs/>
          <w:color w:val="auto"/>
          <w:sz w:val="24"/>
          <w:szCs w:val="24"/>
          <w:highlight w:val="none"/>
        </w:rPr>
        <w:t xml:space="preserve">简称甲方）</w:t>
      </w:r>
      <w:r/>
    </w:p>
    <w:p>
      <w:pPr>
        <w:pStyle w:val="988"/>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下简称乙方）</w:t>
      </w:r>
      <w:r/>
    </w:p>
    <w:p>
      <w:pPr>
        <w:pStyle w:val="988"/>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依照《中华人民共和国民法典》《中华人民共和国政府采购法》《中华人民共和国政府采购法实施条例》及其他有关法律、法规</w:t>
      </w:r>
      <w:r>
        <w:rPr>
          <w:rFonts w:hint="eastAsia" w:ascii="仿宋" w:hAnsi="仿宋" w:eastAsia="仿宋" w:cs="仿宋"/>
          <w:color w:val="auto"/>
          <w:sz w:val="24"/>
          <w:szCs w:val="24"/>
          <w:highlight w:val="none"/>
          <w:lang w:val="en-US" w:eastAsia="zh-CN"/>
        </w:rPr>
        <w:t xml:space="preserve">规定及</w:t>
      </w:r>
      <w:r>
        <w:rPr>
          <w:rFonts w:hint="eastAsia" w:ascii="仿宋" w:hAnsi="仿宋" w:eastAsia="仿宋" w:cs="仿宋"/>
          <w:color w:val="auto"/>
          <w:sz w:val="24"/>
          <w:szCs w:val="24"/>
          <w:highlight w:val="none"/>
        </w:rPr>
        <w:t xml:space="preserve">本项目采购文件</w:t>
      </w:r>
      <w:r>
        <w:rPr>
          <w:rFonts w:hint="eastAsia" w:ascii="仿宋" w:hAnsi="仿宋" w:eastAsia="仿宋" w:cs="仿宋"/>
          <w:color w:val="auto"/>
          <w:sz w:val="24"/>
          <w:szCs w:val="24"/>
          <w:highlight w:val="none"/>
          <w:lang w:val="en-US" w:eastAsia="zh-CN"/>
        </w:rPr>
        <w:t xml:space="preserve">和成交结果</w:t>
      </w:r>
      <w:r>
        <w:rPr>
          <w:rFonts w:hint="eastAsia" w:ascii="仿宋" w:hAnsi="仿宋" w:eastAsia="仿宋" w:cs="仿宋"/>
          <w:color w:val="auto"/>
          <w:sz w:val="24"/>
          <w:szCs w:val="24"/>
          <w:highlight w:val="none"/>
        </w:rPr>
        <w:t xml:space="preserve">，结合本项目的具体情况，遵循平等、自愿、公平和诚实信用的原则，双方经协商一致，订立本合同，共同遵守。</w:t>
      </w:r>
      <w:r/>
    </w:p>
    <w:p>
      <w:pPr>
        <w:pStyle w:val="988"/>
        <w:ind w:firstLine="420"/>
        <w:jc w:val="left"/>
        <w:keepLines w:val="0"/>
        <w:keepNext w:val="0"/>
        <w:pageBreakBefore w:val="0"/>
        <w:spacing w:line="360" w:lineRule="auto"/>
        <w:rPr>
          <w:rFonts w:hint="eastAsia"/>
          <w:highlight w:val="none"/>
        </w:rPr>
      </w:pPr>
      <w:r>
        <w:rPr>
          <w:rFonts w:hint="eastAsia" w:ascii="仿宋" w:hAnsi="仿宋" w:eastAsia="仿宋" w:cs="仿宋"/>
          <w:color w:val="auto"/>
          <w:sz w:val="24"/>
          <w:szCs w:val="24"/>
          <w:highlight w:val="none"/>
        </w:rPr>
        <w:t xml:space="preserve">本项目的招标文件、乙方投标文件共同构成本合同整体，互为补充、具有同等合同效力。</w:t>
      </w:r>
      <w:r/>
    </w:p>
    <w:p>
      <w:pPr>
        <w:pStyle w:val="988"/>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rPr>
        <w:t xml:space="preserve">一、</w:t>
      </w:r>
      <w:r>
        <w:rPr>
          <w:rFonts w:hint="eastAsia" w:ascii="仿宋" w:hAnsi="仿宋" w:eastAsia="仿宋" w:cs="仿宋"/>
          <w:b/>
          <w:color w:val="auto"/>
          <w:sz w:val="24"/>
          <w:szCs w:val="24"/>
          <w:highlight w:val="none"/>
        </w:rPr>
        <w:t xml:space="preserve">项目概况</w:t>
      </w:r>
      <w:r/>
    </w:p>
    <w:p>
      <w:pPr>
        <w:pStyle w:val="988"/>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b w:val="0"/>
          <w:bCs w:val="0"/>
          <w:color w:val="auto"/>
          <w:sz w:val="24"/>
          <w:szCs w:val="24"/>
          <w:highlight w:val="none"/>
          <w:lang w:eastAsia="zh-CN"/>
        </w:rPr>
        <w:t xml:space="preserve">JSZC-320300-JSZG-G2026-0039</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道路空洞探测</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项目主要内容：</w:t>
      </w:r>
      <w:r/>
    </w:p>
    <w:p>
      <w:pPr>
        <w:ind w:firstLine="480"/>
        <w:jc w:val="left"/>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近几年随着城市道路建设不断加速，雨污分流施工、地铁施工、地块开发及管线改迁、顶管作业、管网箱涵、廊道等工程施工作业，以及地下取水沉降、流沙、富水等因素严重影响道路基础承载力，为防止汛期道路塌陷问题扩大频发，结合上述因素，</w:t>
      </w:r>
      <w:r>
        <w:rPr>
          <w:rFonts w:hint="eastAsia" w:ascii="仿宋" w:hAnsi="仿宋" w:eastAsia="仿宋" w:cs="仿宋"/>
          <w:b w:val="0"/>
          <w:bCs/>
          <w:color w:val="auto"/>
          <w:sz w:val="24"/>
          <w:szCs w:val="24"/>
          <w:highlight w:val="none"/>
          <w:lang w:val="en-US" w:eastAsia="zh-CN"/>
        </w:rPr>
        <w:t xml:space="preserve">对市管道路部位认真梳理，合理区分轻</w:t>
      </w:r>
      <w:r>
        <w:rPr>
          <w:rFonts w:hint="eastAsia" w:ascii="仿宋" w:hAnsi="仿宋" w:eastAsia="仿宋" w:cs="仿宋"/>
          <w:bCs/>
          <w:color w:val="auto"/>
          <w:sz w:val="24"/>
          <w:szCs w:val="24"/>
          <w:highlight w:val="none"/>
          <w:lang w:val="en-US" w:eastAsia="zh-CN"/>
        </w:rPr>
        <w:t xml:space="preserve">重缓急，高效开展空洞探测工作，尽早发现、尽早处置，确保市民的出行安全。</w:t>
      </w:r>
      <w:r/>
    </w:p>
    <w:p>
      <w:pPr>
        <w:pStyle w:val="983"/>
        <w:ind w:left="0" w:firstLine="480"/>
        <w:jc w:val="left"/>
        <w:keepLines w:val="0"/>
        <w:keepNext w:val="0"/>
        <w:pageBreakBefore w:val="0"/>
        <w:spacing w:line="360" w:lineRule="auto"/>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en-US" w:eastAsia="zh-CN"/>
        </w:rPr>
        <w:t xml:space="preserve">本项目主要</w:t>
      </w:r>
      <w:r>
        <w:rPr>
          <w:rFonts w:hint="eastAsia" w:ascii="仿宋" w:hAnsi="仿宋" w:eastAsia="仿宋" w:cs="仿宋"/>
          <w:bCs/>
          <w:color w:val="auto"/>
          <w:sz w:val="24"/>
          <w:szCs w:val="24"/>
          <w:highlight w:val="none"/>
          <w:lang w:val="zh-CN"/>
        </w:rPr>
        <w:t xml:space="preserve">开展城市道路塌陷的隐患排查，对城市道路地面风险较大区域进行空洞检测</w:t>
      </w:r>
      <w:r>
        <w:rPr>
          <w:rFonts w:hint="eastAsia" w:ascii="仿宋" w:hAnsi="仿宋" w:eastAsia="仿宋" w:cs="仿宋"/>
          <w:bCs/>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完成道路塌陷隐患排查评估，并根据评估报告情况制定道路空洞检测计划。</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4、服务质量：合格，同时须符合现行最新的国家有关标准、规范及其他适用于本项目的技术标准、规范。</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5、服务期限：自合同签订生效起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color w:val="auto"/>
          <w:sz w:val="24"/>
          <w:szCs w:val="24"/>
          <w:highlight w:val="none"/>
        </w:rPr>
        <w:t xml:space="preserve">。成果文件评审通过后，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负责提供</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1年后续相关服务（定期复测、应急检测及地下隐患管理服务）。</w:t>
      </w:r>
      <w:r/>
    </w:p>
    <w:p>
      <w:pPr>
        <w:pStyle w:val="98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lang w:val="en-US" w:eastAsia="zh-CN" w:bidi="ar-SA"/>
        </w:rPr>
        <w:t xml:space="preserve">2026年计划实施空洞检测道路清单</w:t>
      </w:r>
      <w:r/>
    </w:p>
    <w:tbl>
      <w:tblPr>
        <w:tblStyle w:val="942"/>
        <w:tblW w:w="993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840"/>
        <w:gridCol w:w="833"/>
        <w:gridCol w:w="788"/>
        <w:gridCol w:w="1065"/>
        <w:gridCol w:w="900"/>
        <w:gridCol w:w="1770"/>
        <w:gridCol w:w="3150"/>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管理所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计划检测路段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计划检测长度(米)</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淮海西路至湖北路段2025年水务局雨污水工程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迎宾大道至长安路段2025年水务局雨污水工程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二环西路至纺织东路段2025年水务局雨污水工程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解放南路至湖东路段2025年水务局雨污水工程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3323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局部下沉，尤其是桃花源路至大彭路段车行道、人行道</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前三年已检测，但靠近故黄河流沙区域，且近几年有排水开挖或非开挖管道施工，存在安全隐患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前三年已检测，近三年有排水开挖或非开挖管道施工，且近年西安南路至中山南路发生过多次空洞塌陷，存在安全隐患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七里沟立交下行通道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七里沟果品市场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通道内东侧车行道下沉，雨季铁路下方两侧辅道人行道向外冒水可能存在空洞</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前三年已检测，近三年有排水开挖或非开挖管道施工，且淮塔南门人行道近年发生过塌陷，泰安路向南至公交站台段西侧人行道下沉，金山东路至矿大西门红绿灯发生车行道下沉，存在安全隐患</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矿大南路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东侧非机动车道下沉</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近三年排水沟槽施工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铜山界碑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泉山所合计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26700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4693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3318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三八河南岸</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奎河巷-1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23181</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陶然水岸小区对面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中山北路立交桥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九龙湖西路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29800</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none" w:color="000000" w:sz="4" w:space="0"/>
              <w:left w:val="single" w:color="000000" w:sz="4" w:space="0"/>
              <w:bottom w:val="single" w:color="000000" w:sz="4" w:space="0"/>
              <w:right w:val="single" w:color="000000" w:sz="4" w:space="0"/>
            </w:tcBorders>
            <w:tcW w:w="4111"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79681</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备注：1、项目实施阶段，甲方可根据实际情况对检测路段进行调整，但总量保持不变。</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售后服务期限内，若出现其他需要检测的路段，12公里内乙方应提供免费检测。</w:t>
      </w:r>
      <w:r/>
    </w:p>
    <w:p>
      <w:pPr>
        <w:pStyle w:val="950"/>
        <w:numPr>
          <w:ilvl w:val="0"/>
          <w:numId w:val="0"/>
        </w:numPr>
        <w:ind w:right="6"/>
        <w:rPr>
          <w:rFonts w:hint="default" w:eastAsia="仿宋"/>
          <w:color w:val="auto"/>
          <w:highlight w:val="none"/>
          <w:lang w:val="en-US" w:eastAsia="zh-CN"/>
        </w:rPr>
      </w:pPr>
      <w:r>
        <w:rPr>
          <w:rFonts w:hint="eastAsia"/>
          <w:color w:val="auto"/>
          <w:highlight w:val="none"/>
          <w:lang w:val="en-US" w:eastAsia="zh-CN"/>
        </w:rPr>
        <w:t xml:space="preserve">  </w:t>
      </w:r>
      <w:r>
        <w:rPr>
          <w:rFonts w:hint="eastAsia" w:ascii="仿宋" w:hAnsi="仿宋" w:eastAsia="仿宋" w:cs="仿宋"/>
          <w:color w:val="auto"/>
          <w:sz w:val="22"/>
          <w:szCs w:val="22"/>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3、本采购包预留13.3公里为不确定路段，乙方按采购人要求实施检测。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、检测内容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1、探测道路下方5m内基础中是否存在影响道路安全使用的隐蔽性不良地质体，具体为空洞、脱空、富水区、土体松散区等，并确定位置、大小及埋深。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2、对其他异常情况进行检测。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3、形成检测结果（判明检测道路存在的土体疏松、富水区、脱空、空洞等缺陷情况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结合现场钻孔等其他有效验证手段，查明地下病害体的具体位置、平面分布、几何尺寸（面积、埋深和净高）等详细信息</w:t>
      </w:r>
      <w:r>
        <w:rPr>
          <w:rFonts w:hint="eastAsia" w:ascii="仿宋" w:hAnsi="仿宋" w:eastAsia="仿宋" w:cs="仿宋"/>
          <w:color w:val="auto"/>
          <w:sz w:val="24"/>
          <w:szCs w:val="24"/>
          <w:highlight w:val="none"/>
          <w:lang w:eastAsia="zh-CN"/>
        </w:rPr>
        <w:t xml:space="preserve">，对形成原因进行初步分析）</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4、分析现存隐患可能产生的影响程度，提出相应的处理和维修方案，以便采购商可以采取有效处理措施消除安全隐患，确保道路安全运行。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必须对所探测道路进行多测线、全面覆盖检测（包括车行道、非机动车道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等），测线之间要有必要的重叠。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对探测结果负责。向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提供完整的检测报告、全部的雷达探测原始数据和相应的配套程序（便于打开雷达探测数据）。在探测期间对可疑雷达异常进行确认。</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6、每公里道路检测含道路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断面内的所有车行道、非机动车道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断面内所有检测费用。例如某道路2公里长，含4个机动车道、2个慢车道，</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则每公里道路检测费综合单价含4个机动车道、2个慢车道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的检测所发生的所有费用。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、项目要求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（一）基本要求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1、采用车载三维雷达全覆盖、二维雷达局部检测及其他综合物探手段相结合的工作模式，测线布置应覆盖整个检测区域，进行全面覆盖、无盲区检测，确保不遗漏任何一处风险源。</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2、检测过程中，若发现脱空和空洞等风险等级高的病害体，应采用多种频率雷达天线连续测试，必要时采用多种方法综合探测，并将验证资料及时上报采购人，配合</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或相关单位进行现场警示和处置。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3、以逐条道路列表形式描述所检测出的各类病害的属性、平面位置、埋深、大小等情况，对病害严重区域配以影像资料。</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4、逐条道路的道路平面简图，在图上标明各类病害所在位置。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5、对各类病害进行初步成因分析并提出处理方法建议。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6、形成所有核定检测区域的测线布置图及雷达图谱。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7、对检测数据进行整理分析，并出具检测报告。对检测报告中，疑似空洞目标经钻探验证的准确率要达到95%以上。</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确保检测报告的真实性、可靠性，凡已进行过检测的路段若在合同期内无明显外力作用情况下出现空洞、脱空、塌陷等情况，该路段检测费用不予结算，若发生事故，发包单位视情节严重可予以终止合同、索赔等方式进行处罚。</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1、能探测到的道路地面以下土体病害一般具有下列基本条件：</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A、土体病害的几何尺寸与其埋藏深度或探测距离之比不应小于1/5；</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B、土体病害对激发的异常场应能够从干扰背景中分辨出来。</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2、投入的仪器设备应满足性能稳定、检测结果准确、能适应各种工况作业环境的要求。仪器设备应定期进行检查、校准和保养。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3、相关检测方法应满足国家及行业相关规范要求，同时完成的技术成果应符合行业技术标准。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车载地质雷达法检测时，检测系统应配置高精度的实时定位装置，以便异常点的现场定位。对探测到的异常点，应采用多种天线频率（80MHz~600MHz）的雷达进行详查，必要时叠加面波等物探方法进行综合探测，验证或核实探测结果。</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空洞、脱空等风险等级高的病害体，均应进行钻探等多种验证手段；疏松病害体的验证数量，不应少于总数的20%，且不应少于3处；验证结果与检测结果不一致时，应对原始数据、现场复测数据进行重新解译、识别。</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6、在实施方案中，应详尽描述具体的实施过程，包括数据采集、处理分析、验证过程及检测成果等。</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服务期内，如</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发现病害体的风险等级较高，或地下病害有发展趋势时，须立即通知</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，并配合完成病害处置。</w:t>
      </w:r>
      <w:r/>
    </w:p>
    <w:p>
      <w:pPr>
        <w:ind w:left="0" w:firstLine="480"/>
        <w:keepLines w:val="0"/>
        <w:keepNext w:val="0"/>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8、服务期内，乙方需对复水、疏松、空洞、脱空等病害体进行跟踪检测，检测频次为3月/次。 此项费用列入综合单价中，不再另行增加。</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服务期内，</w:t>
      </w:r>
      <w:r>
        <w:rPr>
          <w:rFonts w:hint="eastAsia" w:ascii="仿宋" w:hAnsi="仿宋" w:eastAsia="仿宋" w:cs="仿宋"/>
          <w:color w:val="auto"/>
          <w:sz w:val="24"/>
          <w:szCs w:val="24"/>
          <w:highlight w:val="none"/>
          <w:lang w:val="en-US" w:eastAsia="zh-CN"/>
        </w:rPr>
        <w:t xml:space="preserve">乙方应根据甲方要求，在暴雨过</w:t>
      </w:r>
      <w:r>
        <w:rPr>
          <w:rFonts w:hint="eastAsia" w:ascii="仿宋" w:hAnsi="仿宋" w:eastAsia="仿宋" w:cs="仿宋"/>
          <w:color w:val="auto"/>
          <w:sz w:val="24"/>
          <w:szCs w:val="24"/>
          <w:highlight w:val="none"/>
        </w:rPr>
        <w:t xml:space="preserve">后、应急抢险完成后，对雨污水等管线周边、抢险周边的道路进行重点复测。如遇特殊、排险等紧急情况，需按</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要求完成紧急路段的检测，</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应无条件配合，不增加项目费用</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服务期内，所辖道路桥梁临近区域内有大型土方、沟槽、顶管作业、深井挖掘、供排水管及热力管网爆裂等有可能影响损害道路桥梁结构安全的部位，乙方应无条件免费根据甲方通知制定专项检测方案，实施重点部位动态监测措施，出具检测结果，为追究肇事者责任及时提供依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11、乙方应具备24小时工作能力，应急检测须在1小时内到达现场，在2小时内提供检测成果，保证各项资源投入的及时性、检测工作的高效性，以及结果的准确性。保障资源配置高效、合理，保障有力。</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（三）检测依据及标准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实施本项目必须按照国家的</w:t>
      </w:r>
      <w:r>
        <w:rPr>
          <w:rFonts w:hint="eastAsia" w:ascii="仿宋" w:hAnsi="仿宋" w:eastAsia="仿宋" w:cs="仿宋"/>
          <w:color w:val="auto"/>
          <w:sz w:val="24"/>
          <w:szCs w:val="24"/>
          <w:highlight w:val="none"/>
          <w:lang w:val="en-US" w:eastAsia="zh-CN"/>
        </w:rPr>
        <w:t xml:space="preserve">现行最新的</w:t>
      </w:r>
      <w:r>
        <w:rPr>
          <w:rFonts w:hint="eastAsia" w:ascii="仿宋" w:hAnsi="仿宋" w:eastAsia="仿宋" w:cs="仿宋"/>
          <w:color w:val="auto"/>
          <w:sz w:val="24"/>
          <w:szCs w:val="24"/>
          <w:highlight w:val="none"/>
        </w:rPr>
        <w:t xml:space="preserve">标准规范和投标文件的要求，凡未涉及的技术参数、标准和要求，按下列相关标准及要求执行：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1）《城镇地下空间探测与检测应用技术标准》（T/CMEA8-2020）；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2）《道路塌陷隐患雷达检测技术导则》（RISN-TG024-2016）；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3）《城市工程地球物理探测标准》（CJJ/T 7-2017）；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4）《城镇道路养护技术规范》（CJJ 36-2016）；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5）《城市地下管线探测技术规程》（CJJ 61-2017）；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6）《城市工程管线综合规划规范》（GB50289-2016）；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7）《城市测量规范》（CJJ/T8-2011）；</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8）《全球定位系统(GPS)测量规范》（GB/T18314-2016）；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9）《工程测量标准》（GB 50026-2020）；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10）《道路塌陷隐患雷达检测技术规范》（T/CMEA 2-2018）；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11）《市政工程计量规范》(GB50857-2013)；</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12）《城市地下病害体综合探测与风险评估技术标准》（JGJ/T437-2018）；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13）其他相关的现行最新强制性标准和技术规范、规程。</w:t>
      </w:r>
      <w:r/>
    </w:p>
    <w:p>
      <w:pPr>
        <w:ind w:firstLine="482"/>
        <w:jc w:val="left"/>
        <w:keepLines w:val="0"/>
        <w:keepNext w:val="0"/>
        <w:pageBreakBefore w:val="0"/>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、乙方应向甲方提交合格的报告、成果、文件：</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1、合格的检测报告、图件和全部雷达图谱；</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2、其中全部成果纸质文件4套(图件和雷达图谱等应彩色打印)、电子文件1套；</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3、知识产权：本项目检测成果知识产权全部属于甲方所有。</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注：合格的检测报告是指检测内容完整，检测数据客观、真实、准确，检测结论明确的检测报告。</w:t>
      </w:r>
      <w:r/>
    </w:p>
    <w:p>
      <w:pPr>
        <w:ind w:firstLine="482"/>
        <w:jc w:val="left"/>
        <w:keepLines w:val="0"/>
        <w:keepNext w:val="0"/>
        <w:pageBreakBefore w:val="0"/>
        <w:spacing w:line="360" w:lineRule="auto"/>
        <w:widowControl w:val="off"/>
        <w:rPr>
          <w:rStyle w:val="990"/>
          <w:rFonts w:hint="eastAsia" w:ascii="仿宋" w:hAnsi="仿宋" w:eastAsia="仿宋" w:cs="仿宋"/>
          <w:color w:val="auto"/>
          <w:sz w:val="24"/>
          <w:szCs w:val="24"/>
          <w:highlight w:val="none"/>
          <w:lang w:val="en-US" w:eastAsia="zh-CN"/>
        </w:rPr>
      </w:pPr>
      <w:r>
        <w:rPr>
          <w:rStyle w:val="990"/>
          <w:rFonts w:hint="eastAsia" w:ascii="仿宋" w:hAnsi="仿宋" w:eastAsia="仿宋" w:cs="仿宋"/>
          <w:b/>
          <w:bCs w:val="0"/>
          <w:color w:val="auto"/>
          <w:sz w:val="24"/>
          <w:szCs w:val="24"/>
          <w:highlight w:val="none"/>
          <w:lang w:val="en-US"/>
        </w:rPr>
        <w:t xml:space="preserve">五、</w:t>
      </w:r>
      <w:r>
        <w:rPr>
          <w:rStyle w:val="990"/>
          <w:rFonts w:hint="eastAsia" w:ascii="仿宋" w:hAnsi="仿宋" w:eastAsia="仿宋" w:cs="仿宋"/>
          <w:b/>
          <w:bCs w:val="0"/>
          <w:color w:val="auto"/>
          <w:sz w:val="24"/>
          <w:szCs w:val="24"/>
          <w:highlight w:val="none"/>
        </w:rPr>
        <w:t xml:space="preserve">合同金额</w:t>
      </w:r>
      <w:r/>
    </w:p>
    <w:p>
      <w:pPr>
        <w:ind w:firstLine="480"/>
        <w:jc w:val="left"/>
        <w:keepLines w:val="0"/>
        <w:keepNext w:val="0"/>
        <w:pageBreakBefore w:val="0"/>
        <w:spacing w:line="360" w:lineRule="auto"/>
        <w:widowControl w:val="off"/>
        <w:rPr>
          <w:rStyle w:val="990"/>
          <w:rFonts w:hint="eastAsia" w:ascii="仿宋" w:hAnsi="仿宋" w:eastAsia="仿宋" w:cs="仿宋"/>
          <w:color w:val="auto"/>
          <w:sz w:val="24"/>
          <w:szCs w:val="24"/>
          <w:highlight w:val="none"/>
        </w:rPr>
      </w:pPr>
      <w:r>
        <w:rPr>
          <w:rStyle w:val="990"/>
          <w:rFonts w:hint="eastAsia" w:ascii="仿宋" w:hAnsi="仿宋" w:eastAsia="仿宋" w:cs="仿宋"/>
          <w:color w:val="auto"/>
          <w:sz w:val="24"/>
          <w:szCs w:val="24"/>
          <w:highlight w:val="none"/>
        </w:rPr>
        <w:t xml:space="preserve">合同总金额为人民币：（小写）</w:t>
      </w:r>
      <w:r>
        <w:rPr>
          <w:rStyle w:val="990"/>
          <w:rFonts w:hint="eastAsia" w:ascii="仿宋" w:hAnsi="仿宋" w:eastAsia="仿宋" w:cs="仿宋"/>
          <w:color w:val="auto"/>
          <w:sz w:val="24"/>
          <w:szCs w:val="24"/>
          <w:highlight w:val="none"/>
          <w:u w:val="single"/>
        </w:rPr>
        <w:t xml:space="preserve">            </w:t>
      </w:r>
      <w:r>
        <w:rPr>
          <w:rStyle w:val="990"/>
          <w:rFonts w:hint="eastAsia" w:ascii="仿宋" w:hAnsi="仿宋" w:eastAsia="仿宋" w:cs="仿宋"/>
          <w:color w:val="auto"/>
          <w:sz w:val="24"/>
          <w:szCs w:val="24"/>
          <w:highlight w:val="none"/>
        </w:rPr>
        <w:t xml:space="preserve">元，大写：</w:t>
      </w:r>
      <w:r>
        <w:rPr>
          <w:rStyle w:val="990"/>
          <w:rFonts w:hint="eastAsia" w:ascii="仿宋" w:hAnsi="仿宋" w:eastAsia="仿宋" w:cs="仿宋"/>
          <w:color w:val="auto"/>
          <w:sz w:val="24"/>
          <w:szCs w:val="24"/>
          <w:highlight w:val="none"/>
          <w:u w:val="single"/>
        </w:rPr>
        <w:t xml:space="preserve">             </w:t>
      </w:r>
      <w:r>
        <w:rPr>
          <w:rStyle w:val="990"/>
          <w:rFonts w:hint="eastAsia" w:ascii="仿宋" w:hAnsi="仿宋" w:eastAsia="仿宋" w:cs="仿宋"/>
          <w:color w:val="auto"/>
          <w:sz w:val="24"/>
          <w:szCs w:val="24"/>
          <w:highlight w:val="none"/>
        </w:rPr>
        <w:t xml:space="preserve">元。 </w:t>
      </w:r>
      <w:r/>
    </w:p>
    <w:p>
      <w:pPr>
        <w:ind w:firstLine="48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本合同为全费用固定综合单价，综合单价一次性包干。</w:t>
      </w:r>
      <w:r>
        <w:rPr>
          <w:rFonts w:hint="eastAsia" w:ascii="仿宋" w:hAnsi="仿宋" w:eastAsia="仿宋" w:cs="仿宋"/>
          <w:color w:val="auto"/>
          <w:sz w:val="24"/>
          <w:szCs w:val="24"/>
          <w:highlight w:val="none"/>
        </w:rPr>
        <w:t xml:space="preserve">包括为完成本项目检测所需的所有费用（如材料费、人工费、机械费、风险费、措施费、管理费、利润、税金，包含道路平整、施钻岩层、机械进退场、野外作业租赁办公、施工水电、住宿场所、地下管线探测、工程检测全部报告和资料等），本合同虽未提及但乙方为完成本项目中必须支付的与本项目相关的其他费用，均已含在综合单价中，不论各项费用有无涨落，均不再调整，其他因素不得作为调整该总价的依据</w:t>
      </w:r>
      <w:r>
        <w:rPr>
          <w:rFonts w:hint="eastAsia" w:ascii="仿宋" w:hAnsi="仿宋" w:eastAsia="仿宋" w:cs="仿宋"/>
          <w:b w:val="0"/>
          <w:bCs/>
          <w:color w:val="auto"/>
          <w:sz w:val="24"/>
          <w:szCs w:val="24"/>
          <w:highlight w:val="none"/>
          <w:lang w:val="en-US" w:eastAsia="zh-CN"/>
        </w:rPr>
        <w:t xml:space="preserve">。</w:t>
      </w:r>
      <w:r/>
    </w:p>
    <w:p>
      <w:pPr>
        <w:pStyle w:val="988"/>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售后服务</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1、检测工作完成后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质保期（免费售后），质保期间检测单位对已经进行修复的点位区域与对仍存在一定隐患区域应按</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要求开展免费复查检测服务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每季度不少于一次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，及时了解道路地下隐患的发展情况。</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对全部开展过检测的道路应进行持续观测和监测，及时排查可能存在或出现的安全隐患，切实保障道路安全。质保期服务不另收费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质保期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免费售后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内，如乙方不能及时响应甲方要求</w:t>
      </w:r>
      <w:r>
        <w:rPr>
          <w:rFonts w:hint="eastAsia" w:ascii="仿宋" w:hAnsi="仿宋" w:eastAsia="仿宋" w:cs="仿宋"/>
          <w:color w:val="auto"/>
          <w:sz w:val="24"/>
          <w:szCs w:val="24"/>
          <w:highlight w:val="none"/>
        </w:rPr>
        <w:t xml:space="preserve">开展免费复查检测服务</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甲方有权委托第三方进行检测，产生的费用由乙方承担</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全面准确的探测发现地下存在的各类隐患情况，因乙方原因地下隐患未检出、检测的病害类型、危险程度、病害位置等信息存在较大偏差或在质保期未履行复测、观测、监测责任，影响道路安全的，乙方负全部责任。</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3、在合同有效期内，如乙方发现已形成隐患的土体病害等情况，须以电话、书面报告等形式立即通知甲方，并配合采购人完成病害处置。</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4、乙方完成检测工作后成立后续服务组在提交规定的检测成果时开始对甲方就检测结果提出的质疑进行解答或复测，复测不另行支付费用。</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5、乙方在质保期内应作出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rPr>
          <w:rFonts w:hint="eastAsia" w:ascii="仿宋" w:hAnsi="仿宋" w:eastAsia="仿宋" w:cs="仿宋"/>
          <w:color w:val="auto"/>
          <w:sz w:val="24"/>
          <w:szCs w:val="24"/>
          <w:highlight w:val="none"/>
          <w:lang w:val="en-US" w:eastAsia="zh-CN"/>
        </w:rPr>
        <w:t xml:space="preserve">。</w:t>
      </w:r>
      <w:r/>
    </w:p>
    <w:p>
      <w:pPr>
        <w:pStyle w:val="988"/>
        <w:ind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、合同款的支付</w:t>
      </w:r>
      <w:r>
        <w:rPr>
          <w:rFonts w:hint="eastAsia" w:ascii="仿宋" w:hAnsi="仿宋" w:eastAsia="仿宋" w:cs="仿宋"/>
          <w:color w:val="auto"/>
          <w:sz w:val="24"/>
          <w:szCs w:val="24"/>
          <w:highlight w:val="none"/>
        </w:rPr>
        <w:t xml:space="preserve"> </w:t>
      </w:r>
      <w:r/>
    </w:p>
    <w:p>
      <w:pPr>
        <w:pStyle w:val="988"/>
        <w:ind w:firstLine="480"/>
        <w:keepLines w:val="0"/>
        <w:keepNext w:val="0"/>
        <w:pageBreakBefore w:val="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shd w:val="clear" w:color="auto" w:fill="auto"/>
        </w:rPr>
        <w:t xml:space="preserve">（一）</w:t>
      </w:r>
      <w:r>
        <w:rPr>
          <w:rFonts w:hint="eastAsia" w:ascii="仿宋" w:hAnsi="仿宋" w:eastAsia="仿宋" w:cs="仿宋"/>
          <w:bCs/>
          <w:color w:val="auto"/>
          <w:sz w:val="24"/>
          <w:szCs w:val="24"/>
          <w:highlight w:val="none"/>
        </w:rPr>
        <w:t xml:space="preserve">本合同金额，经双方协商一致，选择以下第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种付款方式：</w:t>
      </w:r>
      <w:bookmarkStart w:id="3" w:name="_Toc5088"/>
      <w:r/>
      <w:r/>
    </w:p>
    <w:p>
      <w:pPr>
        <w:ind w:firstLine="482"/>
        <w:keepLines w:val="0"/>
        <w:keepNext w:val="0"/>
        <w:pageBreakBefore w:val="0"/>
        <w:spacing w:line="360" w:lineRule="auto"/>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shd w:val="clear" w:color="auto" w:fill="auto"/>
        </w:rPr>
        <w:t xml:space="preserve">付款方式（提交预付款保函的）</w:t>
      </w:r>
      <w:r/>
    </w:p>
    <w:p>
      <w:pPr>
        <w:ind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合同价款的百分之四十(40%)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作为预付款，在合同签订生效且乙方向甲方出具等额预付款保函，甲方自收到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为合同总价的40%）后</w:t>
      </w:r>
      <w:r>
        <w:rPr>
          <w:rFonts w:hint="eastAsia" w:ascii="仿宋" w:hAnsi="仿宋" w:eastAsia="仿宋" w:cs="仿宋"/>
          <w:color w:val="auto"/>
          <w:sz w:val="24"/>
          <w:szCs w:val="24"/>
          <w:highlight w:val="none"/>
          <w:lang w:val="en-US" w:eastAsia="zh-CN"/>
        </w:rPr>
        <w:t xml:space="preserve">10个工作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内，甲方根据实际工作量，支付至结算价的百分之百(100%)，由甲方办理政府采购资金结算手续，经审核后支付给乙方</w:t>
      </w:r>
      <w:r>
        <w:rPr>
          <w:rFonts w:hint="eastAsia" w:ascii="仿宋" w:hAnsi="仿宋" w:eastAsia="仿宋" w:cs="仿宋"/>
          <w:bCs/>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乙方需提交的支付文件包括：</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乙方出具的全额正式发票</w:t>
      </w:r>
      <w:r>
        <w:rPr>
          <w:rFonts w:hint="eastAsia" w:ascii="仿宋" w:hAnsi="仿宋" w:eastAsia="仿宋" w:cs="仿宋"/>
          <w:bCs/>
          <w:color w:val="auto"/>
          <w:sz w:val="24"/>
          <w:szCs w:val="24"/>
          <w:highlight w:val="none"/>
          <w:shd w:val="clear" w:color="auto" w:fill="auto"/>
        </w:rPr>
        <w:t xml:space="preserve">。</w:t>
      </w:r>
      <w:r/>
    </w:p>
    <w:p>
      <w:pPr>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shd w:val="clear" w:color="auto" w:fill="auto"/>
          <w:lang w:val="en-US" w:eastAsia="zh-CN"/>
        </w:rPr>
        <w:t xml:space="preserve">2、</w:t>
      </w:r>
      <w:r>
        <w:rPr>
          <w:rFonts w:hint="eastAsia" w:ascii="仿宋" w:hAnsi="仿宋" w:eastAsia="仿宋" w:cs="仿宋"/>
          <w:b/>
          <w:bCs w:val="0"/>
          <w:color w:val="auto"/>
          <w:sz w:val="24"/>
          <w:szCs w:val="24"/>
          <w:highlight w:val="none"/>
          <w:shd w:val="clear" w:color="auto" w:fill="auto"/>
        </w:rPr>
        <w:t xml:space="preserve">付款方式（不提交预付款保函的）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合同价款的百分之三十(30%)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0%）后</w:t>
      </w:r>
      <w:r>
        <w:rPr>
          <w:rFonts w:hint="eastAsia" w:ascii="仿宋" w:hAnsi="仿宋" w:eastAsia="仿宋" w:cs="仿宋"/>
          <w:color w:val="auto"/>
          <w:sz w:val="24"/>
          <w:szCs w:val="24"/>
          <w:highlight w:val="none"/>
          <w:lang w:val="en-US" w:eastAsia="zh-CN"/>
        </w:rPr>
        <w:t xml:space="preserve">14个工作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color w:val="auto"/>
          <w:sz w:val="24"/>
          <w:szCs w:val="24"/>
          <w:highlight w:val="none"/>
        </w:rPr>
        <w:t xml:space="preserve">。</w:t>
      </w:r>
      <w:r/>
    </w:p>
    <w:p>
      <w:pPr>
        <w:pStyle w:val="988"/>
        <w:numPr>
          <w:ilvl w:val="0"/>
          <w:numId w:val="2"/>
        </w:numPr>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rPr>
        <w:t xml:space="preserve">以上各阶段付款，甲方有权在付款中扣除涉及乙方的所有违约金、赔偿金及乙方依据合同所应承担的其他费用。以上实际付款进度以财政拨款进度为准。</w:t>
      </w:r>
      <w:r>
        <w:rPr>
          <w:rFonts w:hint="eastAsia" w:ascii="仿宋" w:hAnsi="仿宋" w:eastAsia="仿宋" w:cs="仿宋"/>
          <w:color w:val="auto"/>
          <w:sz w:val="24"/>
          <w:szCs w:val="24"/>
          <w:highlight w:val="none"/>
        </w:rPr>
        <w:t xml:space="preserve">支付程序遵循发包人财务付款程序支付</w:t>
      </w:r>
      <w:r>
        <w:rPr>
          <w:rFonts w:hint="eastAsia" w:ascii="仿宋" w:hAnsi="仿宋" w:eastAsia="仿宋" w:cs="仿宋"/>
          <w:color w:val="auto"/>
          <w:sz w:val="24"/>
          <w:szCs w:val="24"/>
          <w:highlight w:val="none"/>
          <w:lang w:eastAsia="zh-CN"/>
        </w:rPr>
        <w:t xml:space="preserve">。</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bookmarkStart w:id="4" w:name="OLE_LINK21"/>
      <w:r/>
      <w:bookmarkStart w:id="5" w:name="OLE_LINK23"/>
      <w:r>
        <w:rPr>
          <w:rFonts w:hint="eastAsia" w:ascii="仿宋" w:hAnsi="仿宋" w:eastAsia="仿宋" w:cs="仿宋"/>
          <w:b/>
          <w:bCs/>
          <w:color w:val="auto"/>
          <w:sz w:val="24"/>
          <w:szCs w:val="24"/>
          <w:highlight w:val="none"/>
          <w:u w:val="single"/>
        </w:rPr>
        <w:t xml:space="preserve">其他约定：</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firstLine="482"/>
        <w:keepLines w:val="0"/>
        <w:keepNext w:val="0"/>
        <w:pageBreakBefore w:val="0"/>
        <w:spacing w:line="360" w:lineRule="auto"/>
        <w:widowControl/>
        <w:rPr>
          <w:rFonts w:hint="eastAsia"/>
          <w:color w:val="auto"/>
          <w:highlight w:val="none"/>
          <w:lang w:val="en-US" w:eastAsia="zh-CN"/>
        </w:rPr>
      </w:pPr>
      <w:r>
        <w:rPr>
          <w:rFonts w:hint="eastAsia" w:ascii="仿宋" w:hAnsi="仿宋" w:eastAsia="仿宋" w:cs="仿宋"/>
          <w:b/>
          <w:bCs/>
          <w:color w:val="auto"/>
          <w:sz w:val="24"/>
          <w:szCs w:val="24"/>
          <w:highlight w:val="none"/>
          <w:u w:val="single"/>
          <w:lang w:val="en-US" w:eastAsia="zh-CN"/>
        </w:rPr>
        <w:t xml:space="preserve">3.根据发包人考核结果按得分比例扣除相应月份的费用，发包人从工程款中直接扣除</w:t>
      </w:r>
      <w:r>
        <w:rPr>
          <w:rFonts w:hint="eastAsia" w:ascii="仿宋" w:hAnsi="仿宋" w:eastAsia="仿宋" w:cs="仿宋"/>
          <w:b/>
          <w:bCs/>
          <w:color w:val="auto"/>
          <w:sz w:val="24"/>
          <w:szCs w:val="24"/>
          <w:highlight w:val="none"/>
          <w:u w:val="single"/>
        </w:rPr>
        <w:t xml:space="preserve">。</w:t>
      </w:r>
      <w:bookmarkEnd w:id="4"/>
      <w:r/>
      <w:bookmarkEnd w:id="5"/>
      <w:r/>
      <w:r/>
    </w:p>
    <w:p>
      <w:pPr>
        <w:pStyle w:val="988"/>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（三）甲方</w:t>
      </w:r>
      <w:r>
        <w:rPr>
          <w:rFonts w:hint="eastAsia" w:ascii="仿宋" w:hAnsi="仿宋" w:eastAsia="仿宋" w:cs="仿宋"/>
          <w:bCs/>
          <w:color w:val="auto"/>
          <w:sz w:val="24"/>
          <w:szCs w:val="24"/>
          <w:highlight w:val="none"/>
          <w:shd w:val="clear" w:color="auto" w:fill="auto"/>
        </w:rPr>
        <w:t xml:space="preserve">不支付</w:t>
      </w:r>
      <w:r>
        <w:rPr>
          <w:rFonts w:hint="eastAsia" w:ascii="仿宋" w:hAnsi="仿宋" w:eastAsia="仿宋" w:cs="仿宋"/>
          <w:bCs/>
          <w:color w:val="auto"/>
          <w:sz w:val="24"/>
          <w:szCs w:val="24"/>
          <w:highlight w:val="none"/>
          <w:shd w:val="clear" w:color="auto" w:fill="auto"/>
          <w:lang w:val="en-US" w:eastAsia="zh-CN"/>
        </w:rPr>
        <w:t xml:space="preserve">合同价</w:t>
      </w:r>
      <w:r>
        <w:rPr>
          <w:rFonts w:hint="eastAsia" w:ascii="仿宋" w:hAnsi="仿宋" w:eastAsia="仿宋" w:cs="仿宋"/>
          <w:bCs/>
          <w:color w:val="auto"/>
          <w:sz w:val="24"/>
          <w:szCs w:val="24"/>
          <w:highlight w:val="none"/>
          <w:shd w:val="clear" w:color="auto" w:fill="auto"/>
        </w:rPr>
        <w:t xml:space="preserve">以外的任何费用。</w:t>
      </w:r>
      <w:bookmarkEnd w:id="3"/>
      <w:r/>
      <w:r/>
    </w:p>
    <w:p>
      <w:pPr>
        <w:pStyle w:val="988"/>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甲方支付给乙方任何费用前，乙方需提供符合甲方要求的增值税发票。</w:t>
      </w:r>
      <w:r/>
    </w:p>
    <w:p>
      <w:pPr>
        <w:pStyle w:val="988"/>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合同约定的乙方账户：</w:t>
      </w:r>
      <w:r/>
    </w:p>
    <w:p>
      <w:pPr>
        <w:pStyle w:val="988"/>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开户银行：</w:t>
      </w:r>
      <w:r/>
    </w:p>
    <w:p>
      <w:pPr>
        <w:pStyle w:val="988"/>
        <w:ind w:firstLine="480"/>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银行帐号：</w:t>
      </w:r>
      <w:r/>
    </w:p>
    <w:p>
      <w:pPr>
        <w:pStyle w:val="988"/>
        <w:ind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、甲乙双方的责任与义务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（一）甲方责任与义务</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1、甲方向乙方提供开展乙方工作所需要的，经有关资质部门认可的，非本合同责任范围内产生的原始资料、文件等，并对其可靠性负责。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2、在乙方人员进入现场时，甲方应对乙方及有关的协调工作提供必要的协助，但不免除乙方根据本合同规定应负的责任。</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3、甲方对乙方在工作过程中提出的有关问题应及时认真解答，对关键性的阶段成果应及时组织相关专家评议定案，及时做好文件的审查报批工作。</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4、如乙方的工作进度严重滞后或工作质量严重低劣，</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严重影响到本项目的后续工作或整体工作计划，甲方有权对乙方的工作内容或工作范围进行调整。</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、甲方不提供为开展本合同工作所需的设施和物品，所有为展开本合同工作所需的设施和物品，包括现场办公、生活用房、交通等均需乙方自行负责。</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（二）乙方责任与义务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1、乙方必须根据有关技术</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、技术规范、规程等进行试验检测工作，并接受甲方及相关主管部门对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工作的审查，按审查意见进行整改。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2、当甲方认为需调用乙方</w:t>
      </w:r>
      <w:r>
        <w:rPr>
          <w:rFonts w:hint="eastAsia" w:ascii="仿宋" w:hAnsi="仿宋" w:eastAsia="仿宋" w:cs="仿宋"/>
          <w:color w:val="auto"/>
          <w:sz w:val="24"/>
          <w:szCs w:val="24"/>
          <w:highlight w:val="none"/>
          <w:lang w:val="en-US" w:eastAsia="zh-CN"/>
        </w:rPr>
        <w:t xml:space="preserve">检测成果</w:t>
      </w:r>
      <w:r>
        <w:rPr>
          <w:rFonts w:hint="eastAsia" w:ascii="仿宋" w:hAnsi="仿宋" w:eastAsia="仿宋" w:cs="仿宋"/>
          <w:color w:val="auto"/>
          <w:sz w:val="24"/>
          <w:szCs w:val="24"/>
          <w:highlight w:val="none"/>
        </w:rPr>
        <w:t xml:space="preserve">时，乙方必须及时提供。甲方及甲方委托的咨询审查单位、相关主管部门对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报告的审查，并不免除乙方的义务。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积极配合甲方进行各项工作，按甲方规定的时间提供检测报告。乙方应按照国家有关规范和标准做好试验检测质量管理工作，建立健全检测工作的质量保证体系，加强检测全过程的质量控制，建立完善的质量检测、复核、审核、会签和批准制度，明确各阶段的责任人，并对本项目的质量负责。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4、乙方交付资料及文件后，乙方应该根据甲方需要免费提供有关技术咨询与沟通。对于因乙方检测错误造成重大质量事故</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，乙方应承担所有经济赔偿及法律责任。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rPr>
          <w:rFonts w:hint="eastAsia" w:ascii="仿宋" w:hAnsi="仿宋" w:eastAsia="仿宋" w:cs="仿宋"/>
          <w:color w:val="auto"/>
          <w:sz w:val="24"/>
          <w:szCs w:val="24"/>
          <w:highlight w:val="none"/>
        </w:rPr>
        <w:t xml:space="preserve">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6、乙方按本合同规定内容、时间及份数向甲方交付</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乙方应遵守安全文明施工原则，</w:t>
      </w:r>
      <w:r>
        <w:rPr>
          <w:rFonts w:hint="eastAsia" w:ascii="仿宋" w:hAnsi="仿宋" w:eastAsia="仿宋" w:cs="仿宋"/>
          <w:color w:val="auto"/>
          <w:sz w:val="24"/>
          <w:szCs w:val="24"/>
          <w:highlight w:val="none"/>
        </w:rPr>
        <w:t xml:space="preserve">乙方人员在现场检测过程中，如果发生意外人身伤亡、财务或其他事故及损失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以及因项目实施对第三人造成妨害带来的所有影响、损失</w:t>
      </w:r>
      <w:r>
        <w:rPr>
          <w:rFonts w:hint="eastAsia" w:ascii="仿宋" w:hAnsi="仿宋" w:eastAsia="仿宋" w:cs="仿宋"/>
          <w:color w:val="auto"/>
          <w:sz w:val="24"/>
          <w:szCs w:val="24"/>
          <w:highlight w:val="none"/>
        </w:rPr>
        <w:t xml:space="preserve">，由乙方承担责任，与甲方无关。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及其他相关费用由成交投标人自行承担</w:t>
      </w:r>
      <w:r>
        <w:rPr>
          <w:rFonts w:hint="eastAsia" w:ascii="仿宋" w:hAnsi="仿宋" w:eastAsia="仿宋" w:cs="仿宋"/>
          <w:color w:val="auto"/>
          <w:sz w:val="24"/>
          <w:szCs w:val="24"/>
          <w:highlight w:val="none"/>
        </w:rPr>
        <w:t xml:space="preserve">。</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9、为保证检测成果的全面性和真实性，在检测过程中，甲方将安排人员进行随机抽查、复核并对重点地段和重点区域进行现场复测，乙方在报价中包含与此工作相关的费用，复测费用不再另行支付。</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b w:val="0"/>
          <w:bCs/>
          <w:color w:val="auto"/>
          <w:sz w:val="24"/>
          <w:szCs w:val="24"/>
          <w:highlight w:val="none"/>
          <w:lang w:val="zh-CN" w:eastAsia="en-US"/>
        </w:rPr>
        <w:t xml:space="preserve">知识产权和技术秘密：</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应保证提供服务涉及的知识产权和技术秘密是合法取得，并享有完整的知识产权，不会因采购方的使用而而被责令停止使用、追偿或要求赔偿损失。如出现此情况，</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有权向</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追回所支付的全部服务费用，并要求</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承担所有经济损失和法律责任，包含但不限于侵犯专利权、商标权或工业设计权的起诉、行动、行政程序索赔、请求等以及需方为此而产生的损失和损害、费用和支出（包括律师费）。</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11、乙方不得将项目检测任务转包，或者未经甲方同意私自分包。</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12、乙方必须维护项目服务成果，不得转让给第三方重复；如果乙方违反保密</w:t>
      </w:r>
      <w:r>
        <w:rPr>
          <w:rFonts w:hint="eastAsia" w:ascii="仿宋" w:hAnsi="仿宋" w:eastAsia="仿宋" w:cs="仿宋"/>
          <w:b w:val="0"/>
          <w:bCs/>
          <w:color w:val="auto"/>
          <w:sz w:val="24"/>
          <w:szCs w:val="24"/>
          <w:highlight w:val="none"/>
          <w:lang w:eastAsia="zh-CN"/>
        </w:rPr>
        <w:t xml:space="preserve">及知识产权（版权）的</w:t>
      </w:r>
      <w:r>
        <w:rPr>
          <w:rFonts w:hint="eastAsia" w:ascii="仿宋" w:hAnsi="仿宋" w:eastAsia="仿宋" w:cs="仿宋"/>
          <w:b w:val="0"/>
          <w:bCs/>
          <w:color w:val="auto"/>
          <w:sz w:val="24"/>
          <w:szCs w:val="24"/>
          <w:highlight w:val="none"/>
          <w:lang w:val="en-US" w:eastAsia="zh-CN"/>
        </w:rPr>
        <w:t xml:space="preserve">约定，甲方有权向乙方追回所支付的全部服务费用，并有权要求乙方向甲方支付合同价款的30%的违约金，同时乙方应承担全部经济损失和法律责任。</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en-US" w:eastAsia="zh-CN"/>
        </w:rPr>
        <w:t xml:space="preserve">13、在现场工作的乙方人员，应遵守甲方的安全保卫及其他有关的规章制度，承担其资料保密义务。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p>
    <w:p>
      <w:pPr>
        <w:pStyle w:val="950"/>
        <w:ind w:left="0" w:right="0" w:firstLine="480"/>
        <w:keepLines w:val="0"/>
        <w:keepNext w:val="0"/>
        <w:pageBreakBefore w:val="0"/>
        <w:spacing w:after="0"/>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14、检测作业期间，因检测活动引发的全部安全责任及由此造成的一切人身、财产损失，均由中标人独立承担，中标人须为其检测作业购买足额保险。招标人对此不承担任何形式的责任。</w:t>
      </w:r>
      <w:r/>
    </w:p>
    <w:p>
      <w:pPr>
        <w:ind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、检测成果必须符合下列要求：</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1、检测工作必须严格执行国家基本建设程序、工程建设标准强制性条文及有关国家法律、法规、规范、标准、规程和合同的要求。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2、检测工作依据的基本资料应完整、准确、可靠，并符合系统运行安全的要求。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3、所完成的检测报告应符合国家有关规定和现行其它质量检测标准规范并通过政府和主管部门的审查，其涉及的相关费用由乙方承担。</w:t>
      </w:r>
      <w:r/>
    </w:p>
    <w:p>
      <w:pPr>
        <w:ind w:firstLine="480"/>
        <w:jc w:val="left"/>
        <w:keepLines w:val="0"/>
        <w:keepNext w:val="0"/>
        <w:pageBreakBefore w:val="0"/>
        <w:spacing w:line="360" w:lineRule="auto"/>
        <w:widowControl w:val="off"/>
        <w:rPr>
          <w:rFonts w:hint="eastAsia" w:ascii="仿宋" w:hAnsi="仿宋" w:eastAsia="仿宋" w:cs="仿宋"/>
          <w:b w:val="0"/>
          <w:bCs/>
          <w:color w:val="ff0000"/>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4、每个质量检测阶段，乙方提出的勘探、测量、实验要求必须满足国家有关规范、标准的要求，并应提交甲方认可。</w:t>
      </w:r>
      <w:r/>
    </w:p>
    <w:p>
      <w:pPr>
        <w:pStyle w:val="988"/>
        <w:ind w:firstLine="56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十</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bCs/>
          <w:color w:val="auto"/>
          <w:sz w:val="24"/>
          <w:szCs w:val="24"/>
          <w:highlight w:val="none"/>
        </w:rPr>
        <w:t xml:space="preserve">人员保证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文件中承诺的人员投入工作，并在检测过程中保持人员的相对稳定。</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2、如果乙方人员不能胜任工作、渎职等，甲方有权以书面形式提出更换要求，乙方应立即派出具有同等资历的人员替换。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3、乙方的工作进度没有达到乙方</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中承诺的进度计划时，甲方有权提出要求增加人员，乙方应立即安排，其费用被认为已含再合同价格之中。</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4、乙方负责定期向甲方报告工作进展情况。</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项目负责人：姓名</w:t>
      </w:r>
      <w:r>
        <w:rPr>
          <w:rFonts w:hint="eastAsia" w:ascii="仿宋" w:hAnsi="仿宋" w:eastAsia="仿宋" w:cs="仿宋"/>
          <w:color w:val="auto"/>
          <w:sz w:val="24"/>
          <w:szCs w:val="24"/>
          <w:highlight w:val="none"/>
          <w:u w:val="single"/>
        </w:rPr>
        <w:t xml:space="preserve">            </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乙方项目负责人：姓名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技术负责人：姓名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88"/>
        <w:ind w:firstLine="56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十一</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color w:val="auto"/>
          <w:sz w:val="24"/>
          <w:szCs w:val="24"/>
          <w:highlight w:val="none"/>
        </w:rPr>
        <w:t xml:space="preserve">违约与赔偿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因此给甲方造成的损失超过违约金的，乙方另行赔偿。</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一旦发现本项目存在借用资质承包的情况，甲方有权立即解除合同，并有权向乙方追回已支付的全部服务费，同时乙方应按照合同总金额的30%承担违约责任，因此给甲方造成的损失超过违约金的，乙方另行赔偿。</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、乙方未能按期提交报告的（甲方同意延长期限的除外），则每延期一天按合同价款的千分之二向甲方支付违约金。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应全面准确的探测发现地下存在的各类隐患情况，因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原因地下隐患未检出、检测的病害类型、危险程度、病害位置等信息存在较大偏差或在质保期未履行复测、观测、监测责任，影响道路安全的，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包含赔偿损失、法律相关的责任等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按合同价款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 向甲方支付违约金</w:t>
      </w:r>
      <w:r>
        <w:rPr>
          <w:rFonts w:hint="eastAsia" w:ascii="仿宋" w:hAnsi="仿宋" w:eastAsia="仿宋" w:cs="仿宋"/>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未全面履行服务职责、检测数据不真实、作业流程不规范、未及时配合甲方开展监管以及隐患处置、应急保障工作的，乙方向甲方支付合同金额的10%的违约金。甲方有权要求乙方限期整改，拒不整改或整改后仍不符合要求的，甲方有权解除合同。</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、乙方对检测资料及文件出现的遗漏或错误负责修改或补充，并免收检测费。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、—旦发生违约，所有违约金、赔偿金在乙方</w:t>
      </w:r>
      <w:r>
        <w:rPr>
          <w:rFonts w:hint="eastAsia" w:ascii="仿宋" w:hAnsi="仿宋" w:eastAsia="仿宋" w:cs="仿宋"/>
          <w:color w:val="auto"/>
          <w:sz w:val="24"/>
          <w:szCs w:val="24"/>
          <w:highlight w:val="none"/>
          <w:lang w:val="en-US" w:eastAsia="zh-CN"/>
        </w:rPr>
        <w:t xml:space="preserve">合同款</w:t>
      </w:r>
      <w:r>
        <w:rPr>
          <w:rFonts w:hint="eastAsia" w:ascii="仿宋" w:hAnsi="仿宋" w:eastAsia="仿宋" w:cs="仿宋"/>
          <w:color w:val="auto"/>
          <w:sz w:val="24"/>
          <w:szCs w:val="24"/>
          <w:highlight w:val="none"/>
        </w:rPr>
        <w:t xml:space="preserve">中扣除。</w:t>
      </w:r>
      <w:r/>
    </w:p>
    <w:p>
      <w:pPr>
        <w:pStyle w:val="988"/>
        <w:ind w:firstLine="482"/>
        <w:jc w:val="left"/>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十二</w:t>
      </w:r>
      <w:r>
        <w:rPr>
          <w:rFonts w:hint="eastAsia" w:ascii="仿宋" w:hAnsi="仿宋" w:eastAsia="仿宋" w:cs="仿宋"/>
          <w:b/>
          <w:color w:val="auto"/>
          <w:sz w:val="24"/>
          <w:szCs w:val="24"/>
          <w:highlight w:val="none"/>
        </w:rPr>
        <w:t xml:space="preserve">、合同的生效、变更与终止</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1、合同书自双方签字盖章后所有合同文件生效。乙方工作的内容、开始和完成时间按照合同书的规定执行。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2、由于不可抗力等因素，导致服务增加和时间延续；</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2.1乙方应将此情况与可能产生的影响尽快通知甲方，并采取合理措施使损失减至最低。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2.2乙方应妥善保存详细原始记录，甲方与乙方协商后相应的延长乙方的工作期限。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2.3由于不可抗力等因素乙方无法履行合同的，乙方可以提出终止合同，并于</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天内以书面形式通知甲方。待甲方书面确认后方可终止合同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甲方根据乙方实际完成的工作量向乙方服务费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如因乙方原因迟延通知或者擅自终止合同的，乙方应承担由此给甲方带来的一切损失和法律责任。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2.4不可抗力：</w:t>
      </w:r>
      <w:r>
        <w:rPr>
          <w:rFonts w:hint="eastAsia" w:ascii="仿宋" w:hAnsi="仿宋" w:eastAsia="仿宋" w:cs="仿宋"/>
          <w:color w:val="auto"/>
          <w:sz w:val="24"/>
          <w:szCs w:val="24"/>
          <w:highlight w:val="none"/>
        </w:rPr>
        <w:t xml:space="preserve">指各方在订立合同时不可预见，在项目实施过程中不可避免发生并不能克服的自然灾害和社会性突发事件，如地震、海啸、瘟疫、水灾、骚乱、暴动、战争和合同条款约定的其他情形</w:t>
      </w:r>
      <w:r>
        <w:rPr>
          <w:rFonts w:hint="eastAsia" w:ascii="仿宋" w:hAnsi="仿宋" w:eastAsia="仿宋" w:cs="仿宋"/>
          <w:color w:val="auto"/>
          <w:sz w:val="24"/>
          <w:szCs w:val="24"/>
          <w:highlight w:val="none"/>
          <w:lang w:eastAsia="zh-CN"/>
        </w:rPr>
        <w:t xml:space="preserve">。</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3、变更除合同另有规定外，乙方应提</w:t>
      </w:r>
      <w:r>
        <w:rPr>
          <w:rFonts w:hint="eastAsia" w:ascii="仿宋" w:hAnsi="仿宋" w:eastAsia="仿宋" w:cs="仿宋"/>
          <w:color w:val="auto"/>
          <w:sz w:val="24"/>
          <w:szCs w:val="24"/>
          <w:highlight w:val="none"/>
          <w:lang w:val="en-US" w:eastAsia="zh-CN"/>
        </w:rPr>
        <w:t xml:space="preserve">交成果文件</w:t>
      </w:r>
      <w:r>
        <w:rPr>
          <w:rFonts w:hint="eastAsia" w:ascii="仿宋" w:hAnsi="仿宋" w:eastAsia="仿宋" w:cs="仿宋"/>
          <w:color w:val="auto"/>
          <w:sz w:val="24"/>
          <w:szCs w:val="24"/>
          <w:highlight w:val="none"/>
        </w:rPr>
        <w:t xml:space="preserve">，此类</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的准备、提交和变更应视已含入报价中，甲方不再另行支付费用。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4、推迟与终止 </w:t>
      </w:r>
      <w:r/>
    </w:p>
    <w:p>
      <w:pPr>
        <w:pStyle w:val="988"/>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甲方可以在至少</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天内以书面通知暂停全部或部分工作或终止本合同，一旦收到此类通知，乙方应立即安排停止计划并将费用减至最小。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认为乙方无正当理由而未履行本合同规定的责任与义务时，应书面通知乙方，并说明理由。乙方应在10日内书面回复。逾期不回复视为乙方承认乙方无正当理由而未履行本合同规定的责任与义务，甲方有权在乙方回复期满后向乙方发出终止合同通知，自乙方收到通知之日时合同终止。 </w:t>
      </w:r>
      <w:r/>
    </w:p>
    <w:p>
      <w:pPr>
        <w:pStyle w:val="981"/>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4.3 合同终止不影响权利和责任，不</w:t>
      </w:r>
      <w:r>
        <w:rPr>
          <w:rFonts w:hint="eastAsia" w:ascii="仿宋" w:hAnsi="仿宋" w:eastAsia="仿宋" w:cs="仿宋"/>
          <w:b w:val="0"/>
          <w:bCs w:val="0"/>
          <w:color w:val="auto"/>
          <w:sz w:val="24"/>
          <w:szCs w:val="24"/>
          <w:highlight w:val="none"/>
        </w:rPr>
        <w:t xml:space="preserve">论何种原因，本合同的终止，不应损害和影响各方应有的权利、索赔要求和应负的责任。</w:t>
      </w:r>
      <w:r/>
    </w:p>
    <w:p>
      <w:pPr>
        <w:pStyle w:val="988"/>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、其它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1、法律和法规本合同必须服从国家现行法律和法规，对合同的解释应以国家现行法律和法规为准。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2、转包和分包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禁止乙方将本合同规定的探测任务转包。</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没有甲方的同意，乙方不能将检测工作的任何部分分包。即使得到了甲方的同意，也不能解除乙方根据合同规定应承担的全部责任和义务，乙方应对其分包人的工作负全部责任。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版权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拥有其检测成果的版权。甲方有权为本合同之目的使用或复制此类文件，事先不需要取得乙方的认可。甲方对所提供的资料以及执行本合同产生的成果拥有版权，未经甲方许可，乙方不得复制、出版或用于其他商业目的。</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利益的冲突除合同另有规定外，乙方及其雇员不应接受本合同规定以外的与本项目有关的利益和报酬。</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争议的解决方法</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2.5.1</w:t>
      </w:r>
      <w:r>
        <w:rPr>
          <w:rFonts w:hint="eastAsia" w:ascii="仿宋" w:hAnsi="仿宋" w:eastAsia="仿宋" w:cs="仿宋"/>
          <w:color w:val="auto"/>
          <w:sz w:val="24"/>
          <w:szCs w:val="24"/>
          <w:highlight w:val="none"/>
        </w:rPr>
        <w:t xml:space="preserve">本合同生效起，如任何一方违约，守约方为维护权益向违约方的律师费、公证费、鉴定费、保全费和诉讼费等一切费用由违约方承担</w:t>
      </w:r>
      <w:r>
        <w:rPr>
          <w:rFonts w:hint="eastAsia" w:ascii="仿宋" w:hAnsi="仿宋" w:eastAsia="仿宋" w:cs="仿宋"/>
          <w:color w:val="auto"/>
          <w:sz w:val="24"/>
          <w:szCs w:val="24"/>
          <w:highlight w:val="none"/>
          <w:lang w:eastAsia="zh-CN"/>
        </w:rPr>
        <w:t xml:space="preserve">。</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因履行本合同引起的或与本合同有关的争议，甲、乙双方应首先通过友好协商解决；如果协商不能解决争议，甲乙双方同意采取下列两种方式的第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种方式解决争议：</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（1）向甲方所在地有管辖权的人民法院提起诉讼。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（2）向徐州仲裁委员会按其仲裁规则申请仲裁。 </w:t>
      </w:r>
      <w:r/>
    </w:p>
    <w:p>
      <w:pPr>
        <w:pStyle w:val="988"/>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、合同生效：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1、乙方应诚实信用，严格按照招标文件要求和投标承诺履行合同，不向甲方进行商业贿赂或者提供不正当利益。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2、合同经双方法定代表人或授权代表签字并加盖单位公章后生效。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3、本合同未尽事宜，遵照《民法典》有关条文执行。 </w:t>
      </w:r>
      <w:r/>
    </w:p>
    <w:p>
      <w:pPr>
        <w:pStyle w:val="988"/>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4、本合同正本一式</w:t>
      </w:r>
      <w:r>
        <w:rPr>
          <w:rFonts w:hint="eastAsia" w:ascii="仿宋" w:hAnsi="仿宋" w:eastAsia="仿宋" w:cs="仿宋"/>
          <w:color w:val="auto"/>
          <w:sz w:val="24"/>
          <w:szCs w:val="24"/>
          <w:highlight w:val="none"/>
          <w:u w:val="single"/>
        </w:rPr>
        <w:t xml:space="preserve"> 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份，具有同等法律效力，甲方、乙方各执</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份。</w:t>
      </w:r>
      <w:r/>
    </w:p>
    <w:p>
      <w:pPr>
        <w:rPr>
          <w:rStyle w:val="990"/>
          <w:rFonts w:hint="eastAsia" w:ascii="仿宋" w:hAnsi="仿宋" w:eastAsia="仿宋" w:cs="仿宋"/>
          <w:b/>
          <w:bCs/>
          <w:color w:val="auto"/>
          <w:spacing w:val="6"/>
          <w:sz w:val="24"/>
          <w:szCs w:val="24"/>
          <w:highlight w:val="none"/>
          <w:lang w:val="en-US"/>
        </w:rPr>
      </w:pPr>
      <w:r>
        <w:rPr>
          <w:rStyle w:val="990"/>
          <w:rFonts w:hint="eastAsia" w:ascii="仿宋" w:hAnsi="仿宋" w:eastAsia="仿宋" w:cs="仿宋"/>
          <w:b/>
          <w:bCs/>
          <w:color w:val="auto"/>
          <w:spacing w:val="6"/>
          <w:sz w:val="24"/>
          <w:szCs w:val="24"/>
          <w:highlight w:val="none"/>
          <w:lang w:val="en-US"/>
        </w:rPr>
        <w:br w:type="page" w:clear="all"/>
      </w:r>
      <w:r/>
    </w:p>
    <w:p>
      <w:pPr>
        <w:ind w:firstLine="506"/>
        <w:jc w:val="center"/>
        <w:keepLines w:val="0"/>
        <w:keepNext w:val="0"/>
        <w:pageBreakBefore w:val="0"/>
        <w:spacing w:line="360" w:lineRule="auto"/>
        <w:widowControl w:val="off"/>
        <w:rPr>
          <w:rStyle w:val="990"/>
          <w:rFonts w:hint="default" w:ascii="仿宋" w:hAnsi="仿宋" w:eastAsia="仿宋" w:cs="仿宋"/>
          <w:b/>
          <w:bCs/>
          <w:color w:val="auto"/>
          <w:spacing w:val="6"/>
          <w:sz w:val="24"/>
          <w:szCs w:val="24"/>
          <w:highlight w:val="none"/>
          <w:lang w:val="en-US"/>
        </w:rPr>
      </w:pPr>
      <w:r>
        <w:rPr>
          <w:rStyle w:val="990"/>
          <w:rFonts w:hint="eastAsia" w:ascii="仿宋" w:hAnsi="仿宋" w:eastAsia="仿宋" w:cs="仿宋"/>
          <w:b/>
          <w:bCs/>
          <w:color w:val="auto"/>
          <w:spacing w:val="6"/>
          <w:sz w:val="24"/>
          <w:szCs w:val="24"/>
          <w:highlight w:val="none"/>
          <w:lang w:val="en-US"/>
        </w:rPr>
        <w:t xml:space="preserve">------------</w:t>
      </w:r>
      <w:r>
        <w:rPr>
          <w:rStyle w:val="990"/>
          <w:rFonts w:hint="eastAsia" w:ascii="仿宋" w:hAnsi="仿宋" w:eastAsia="仿宋" w:cs="仿宋"/>
          <w:b/>
          <w:bCs/>
          <w:color w:val="auto"/>
          <w:spacing w:val="6"/>
          <w:sz w:val="24"/>
          <w:szCs w:val="24"/>
          <w:highlight w:val="none"/>
        </w:rPr>
        <w:t xml:space="preserve">以下无正文</w:t>
      </w:r>
      <w:r>
        <w:rPr>
          <w:rStyle w:val="990"/>
          <w:rFonts w:hint="eastAsia" w:ascii="仿宋" w:hAnsi="仿宋" w:eastAsia="仿宋" w:cs="仿宋"/>
          <w:b/>
          <w:bCs/>
          <w:color w:val="auto"/>
          <w:spacing w:val="6"/>
          <w:sz w:val="24"/>
          <w:szCs w:val="24"/>
          <w:highlight w:val="none"/>
          <w:lang w:val="en-US"/>
        </w:rPr>
        <w:t xml:space="preserve">-------------</w:t>
      </w:r>
      <w:r/>
    </w:p>
    <w:p>
      <w:pPr>
        <w:jc w:val="center"/>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-----------------签字盖章页-----------------</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甲方（盖章）：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联系电话：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乙方（盖章）：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0"/>
          <w:rFonts w:hint="eastAsia" w:ascii="仿宋" w:hAnsi="仿宋" w:eastAsia="仿宋" w:cs="仿宋"/>
          <w:color w:val="auto"/>
          <w:spacing w:val="6"/>
          <w:sz w:val="24"/>
          <w:szCs w:val="24"/>
          <w:highlight w:val="none"/>
        </w:rPr>
      </w:pPr>
      <w:r>
        <w:rPr>
          <w:rStyle w:val="990"/>
          <w:rFonts w:hint="eastAsia" w:ascii="仿宋" w:hAnsi="仿宋" w:eastAsia="仿宋" w:cs="仿宋"/>
          <w:color w:val="auto"/>
          <w:spacing w:val="6"/>
          <w:sz w:val="24"/>
          <w:szCs w:val="24"/>
          <w:highlight w:val="none"/>
        </w:rPr>
        <w:t xml:space="preserve">联系电话：</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帐    号：  </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37"/>
        <w:keepLines w:val="0"/>
        <w:keepNext w:val="0"/>
        <w:pageBreakBefore w:val="0"/>
        <w:spacing w:line="360" w:lineRule="auto"/>
        <w:rPr>
          <w:rFonts w:hint="eastAsia" w:ascii="仿宋" w:hAnsi="仿宋" w:eastAsia="仿宋" w:cs="仿宋"/>
          <w:color w:val="auto"/>
          <w:sz w:val="24"/>
          <w:szCs w:val="24"/>
          <w:highlight w:val="none"/>
        </w:rPr>
        <w:sectPr>
          <w:footerReference w:type="default" r:id="rId14"/>
          <w:footnotePr/>
          <w:endnotePr/>
          <w:type w:val="nextPage"/>
          <w:pgSz w:w="11906" w:h="16838" w:orient="portrait"/>
          <w:pgMar w:top="1440" w:right="1417" w:bottom="1440" w:left="1417" w:header="851" w:footer="992" w:gutter="0"/>
          <w:cols w:num="1" w:sep="0" w:space="0" w:equalWidth="1"/>
          <w:docGrid w:linePitch="360"/>
        </w:sectPr>
      </w:pPr>
      <w:r>
        <w:rPr>
          <w:rFonts w:hint="eastAsia" w:ascii="仿宋" w:hAnsi="仿宋" w:eastAsia="仿宋" w:cs="仿宋"/>
          <w:color w:val="auto"/>
          <w:sz w:val="24"/>
          <w:szCs w:val="24"/>
          <w:highlight w:val="none"/>
        </w:rPr>
      </w:r>
      <w:r/>
    </w:p>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 xml:space="preserve">桥梁与空洞检测业务考核扣分标准</w:t>
      </w:r>
      <w:r/>
    </w:p>
    <w:tbl>
      <w:tblPr>
        <w:tblStyle w:val="970"/>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7458"/>
      </w:tblGrid>
      <w:tr>
        <w:trPr>
          <w:jc w:val="center"/>
          <w:trHeight w:val="23"/>
        </w:trPr>
        <w:tc>
          <w:tcPr>
            <w:tcW w:w="1564"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32"/>
                <w:szCs w:val="32"/>
                <w:highlight w:val="none"/>
                <w:vertAlign w:val="baseline"/>
                <w:lang w:val="en-US" w:eastAsia="zh-CN"/>
              </w:rPr>
            </w:pPr>
            <w:r>
              <w:rPr>
                <w:rFonts w:hint="eastAsia" w:ascii="黑体" w:hAnsi="黑体" w:eastAsia="黑体" w:cs="黑体"/>
                <w:b w:val="0"/>
                <w:bCs w:val="0"/>
                <w:color w:val="auto"/>
                <w:sz w:val="32"/>
                <w:szCs w:val="32"/>
                <w:highlight w:val="none"/>
                <w:vertAlign w:val="baseline"/>
                <w:lang w:val="en-US" w:eastAsia="zh-CN"/>
              </w:rPr>
              <w:t xml:space="preserve">分类</w:t>
            </w:r>
            <w:r/>
          </w:p>
        </w:tc>
        <w:tc>
          <w:tcPr>
            <w:tcW w:w="7458"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32"/>
                <w:szCs w:val="32"/>
                <w:highlight w:val="none"/>
                <w:vertAlign w:val="baseline"/>
                <w:lang w:val="en-US" w:eastAsia="zh-CN"/>
              </w:rPr>
            </w:pPr>
            <w:r>
              <w:rPr>
                <w:rFonts w:hint="eastAsia" w:ascii="黑体" w:hAnsi="黑体" w:eastAsia="黑体" w:cs="黑体"/>
                <w:b w:val="0"/>
                <w:bCs w:val="0"/>
                <w:color w:val="auto"/>
                <w:sz w:val="32"/>
                <w:szCs w:val="32"/>
                <w:highlight w:val="none"/>
                <w:vertAlign w:val="baseline"/>
                <w:lang w:val="en-US" w:eastAsia="zh-CN"/>
              </w:rPr>
              <w:t xml:space="preserve">扣分标准</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default"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现场检测</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rPr>
              <w:t xml:space="preserve">（30分）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vertAlign w:val="baseline"/>
                <w:lang w:val="en-US" w:eastAsia="zh-CN"/>
              </w:rPr>
              <w:t xml:space="preserve">现场检测到场人员少于合同约定的，每人次扣5分。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bidi="ar-SA"/>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检测人员未穿反光马甲</w:t>
            </w:r>
            <w:r>
              <w:rPr>
                <w:rStyle w:val="1070"/>
                <w:rFonts w:hint="eastAsia" w:ascii="仿宋_GB2312" w:hAnsi="仿宋_GB2312" w:eastAsia="仿宋_GB2312" w:cs="仿宋_GB2312"/>
                <w:b w:val="0"/>
                <w:bCs w:val="0"/>
                <w:color w:val="auto"/>
                <w:sz w:val="28"/>
                <w:szCs w:val="28"/>
                <w:highlight w:val="none"/>
                <w:lang w:val="en-US" w:eastAsia="zh-CN" w:bidi="ar"/>
              </w:rPr>
              <w:t xml:space="preserve">的，每人次扣5分。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bidi="ar-SA"/>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检测现场安全设施不到位或设置不规范的，每次扣5分</w:t>
            </w:r>
            <w:r>
              <w:rPr>
                <w:rFonts w:hint="eastAsia" w:ascii="仿宋_GB2312" w:hAnsi="仿宋_GB2312" w:eastAsia="仿宋_GB2312" w:cs="仿宋_GB2312"/>
                <w:b w:val="0"/>
                <w:bCs w:val="0"/>
                <w:color w:val="auto"/>
                <w:sz w:val="28"/>
                <w:szCs w:val="28"/>
                <w:highlight w:val="none"/>
                <w:vertAlign w:val="baseline"/>
                <w:lang w:val="en-US" w:eastAsia="zh-CN"/>
              </w:rPr>
              <w:t xml:space="preserve">；发生责任事故的，每次扣10分。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shd w:val="clear" w:color="auto" w:fill="auto"/>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rPr>
              <w:t xml:space="preserve">由于准备不充分，人员、车辆、设备、仪器等未能及时到场，导致检测工作无法正常开展的，每次扣10分。</w:t>
            </w:r>
            <w:r/>
          </w:p>
        </w:tc>
      </w:tr>
      <w:tr>
        <w:trPr>
          <w:jc w:val="center"/>
          <w:trHeight w:val="366"/>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rPr>
              <w:t xml:space="preserve">未经管理单位同意，擅自外委检测项目的，每次扣</w:t>
            </w:r>
            <w:r>
              <w:rPr>
                <w:rFonts w:hint="eastAsia" w:ascii="仿宋_GB2312" w:hAnsi="仿宋_GB2312" w:eastAsia="仿宋_GB2312" w:cs="仿宋_GB2312"/>
                <w:b w:val="0"/>
                <w:bCs w:val="0"/>
                <w:color w:val="auto"/>
                <w:sz w:val="28"/>
                <w:szCs w:val="28"/>
                <w:highlight w:val="none"/>
                <w:lang w:val="en-US" w:eastAsia="zh-CN"/>
              </w:rPr>
              <w:t xml:space="preserve">10</w:t>
            </w:r>
            <w:r>
              <w:rPr>
                <w:rFonts w:hint="eastAsia" w:ascii="仿宋_GB2312" w:hAnsi="仿宋_GB2312" w:eastAsia="仿宋_GB2312" w:cs="仿宋_GB2312"/>
                <w:b w:val="0"/>
                <w:bCs w:val="0"/>
                <w:color w:val="auto"/>
                <w:sz w:val="28"/>
                <w:szCs w:val="28"/>
                <w:highlight w:val="none"/>
              </w:rPr>
              <w:t xml:space="preserve">分</w:t>
            </w:r>
            <w:r>
              <w:rPr>
                <w:rFonts w:hint="eastAsia" w:ascii="仿宋_GB2312" w:hAnsi="仿宋_GB2312" w:eastAsia="仿宋_GB2312" w:cs="仿宋_GB2312"/>
                <w:b w:val="0"/>
                <w:bCs w:val="0"/>
                <w:color w:val="auto"/>
                <w:sz w:val="28"/>
                <w:szCs w:val="28"/>
                <w:highlight w:val="none"/>
                <w:lang w:eastAsia="zh-CN"/>
              </w:rPr>
              <w:t xml:space="preserve">。</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 xml:space="preserve">检测成果</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（30分）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未按规定时限出具检测报告的，每次扣5分。</w:t>
            </w:r>
            <w:r/>
          </w:p>
        </w:tc>
      </w:tr>
      <w:tr>
        <w:trPr>
          <w:jc w:val="center"/>
          <w:trHeight w:val="570"/>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检测报告数据错误或失真、检测结果不能真实反映设施状况的，每处扣5分。</w:t>
            </w:r>
            <w:r/>
          </w:p>
        </w:tc>
      </w:tr>
      <w:tr>
        <w:trPr>
          <w:jc w:val="center"/>
          <w:trHeight w:val="684"/>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工作响应</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（20分）</w:t>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通讯不畅，无法联系项目负责人的，每次扣5分；不按要求参加管理单位组织会议的，每次扣10分。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管理单位安排工作，不落实的，每次扣10分。</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default"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其它</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（20分）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8"/>
                <w:szCs w:val="28"/>
                <w:highlight w:val="none"/>
                <w:u w:val="none"/>
                <w:lang w:val="en-US" w:eastAsia="zh-CN" w:bidi="ar"/>
              </w:rPr>
            </w:pPr>
            <w:r>
              <w:rPr>
                <w:rFonts w:hint="eastAsia" w:ascii="仿宋_GB2312" w:hAnsi="仿宋_GB2312" w:eastAsia="仿宋_GB2312" w:cs="仿宋_GB2312"/>
                <w:b w:val="0"/>
                <w:bCs w:val="0"/>
                <w:color w:val="auto"/>
                <w:sz w:val="28"/>
                <w:szCs w:val="28"/>
                <w:highlight w:val="none"/>
                <w:vertAlign w:val="baseline"/>
                <w:lang w:val="en-US" w:eastAsia="zh-CN"/>
              </w:rPr>
              <w:t xml:space="preserve">发生第三方有责投诉，一经查实的，每次扣5分。</w:t>
            </w:r>
            <w:r/>
          </w:p>
        </w:tc>
      </w:tr>
      <w:tr>
        <w:trPr>
          <w:jc w:val="center"/>
          <w:trHeight w:val="652"/>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8"/>
                <w:szCs w:val="28"/>
                <w:highlight w:val="none"/>
                <w:u w:val="none"/>
                <w:lang w:val="en-US" w:eastAsia="zh-CN" w:bidi="ar"/>
              </w:rPr>
            </w:pPr>
            <w:r>
              <w:rPr>
                <w:rFonts w:hint="eastAsia" w:ascii="仿宋_GB2312" w:hAnsi="仿宋_GB2312" w:eastAsia="仿宋_GB2312" w:cs="仿宋_GB2312"/>
                <w:b w:val="0"/>
                <w:bCs w:val="0"/>
                <w:color w:val="auto"/>
                <w:sz w:val="28"/>
                <w:szCs w:val="28"/>
                <w:highlight w:val="none"/>
                <w:vertAlign w:val="baseline"/>
                <w:lang w:val="en-US" w:eastAsia="zh-CN"/>
              </w:rPr>
              <w:t xml:space="preserve">未经授权，擅自接受媒体采访或对外披露检测结果的，每次扣10分。</w:t>
            </w:r>
            <w:r/>
          </w:p>
        </w:tc>
      </w:tr>
    </w:tbl>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sectPr>
          <w:footerReference w:type="default" r:id="rId15"/>
          <w:footnotePr/>
          <w:endnotePr/>
          <w:type w:val="nextPage"/>
          <w:pgSz w:w="11906" w:h="16838" w:orient="portrait"/>
          <w:pgMar w:top="1440" w:right="1417" w:bottom="1440" w:left="1417" w:header="851" w:footer="992" w:gutter="0"/>
          <w:cols w:num="1" w:sep="0" w:space="0" w:equalWidth="1"/>
          <w:docGrid w:linePitch="360"/>
        </w:sectPr>
      </w:pPr>
      <w:r>
        <w:rPr>
          <w:rFonts w:hint="eastAsia" w:ascii="黑体" w:hAnsi="黑体" w:eastAsia="黑体" w:cs="黑体"/>
          <w:b w:val="0"/>
          <w:bCs/>
          <w:color w:val="auto"/>
          <w:sz w:val="32"/>
          <w:szCs w:val="32"/>
          <w:highlight w:val="none"/>
          <w:lang w:val="en-US" w:eastAsia="zh-CN"/>
        </w:rPr>
      </w:r>
      <w:r/>
    </w:p>
    <w:p>
      <w:pPr>
        <w:jc w:val="both"/>
        <w:keepLines w:val="0"/>
        <w:keepNext w:val="0"/>
        <w:pageBreakBefore w:val="0"/>
        <w:spacing w:line="578" w:lineRule="exact"/>
        <w:widowControl w:val="off"/>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 xml:space="preserve">附件2：</w:t>
      </w:r>
      <w:r/>
    </w:p>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 xml:space="preserve">桥梁与空洞检测业务考核表</w:t>
      </w:r>
      <w:r/>
    </w:p>
    <w:tbl>
      <w:tblPr>
        <w:tblStyle w:val="970"/>
        <w:tblW w:w="14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5355"/>
        <w:gridCol w:w="975"/>
        <w:gridCol w:w="870"/>
        <w:gridCol w:w="4222"/>
        <w:gridCol w:w="1000"/>
      </w:tblGrid>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考核部门</w:t>
            </w:r>
            <w:r/>
          </w:p>
        </w:tc>
        <w:tc>
          <w:tcPr>
            <w:tcW w:w="535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184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检测单位</w:t>
            </w:r>
            <w:r/>
          </w:p>
        </w:tc>
        <w:tc>
          <w:tcPr>
            <w:gridSpan w:val="2"/>
            <w:tcW w:w="522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考核周期</w:t>
            </w:r>
            <w:r/>
          </w:p>
        </w:tc>
        <w:tc>
          <w:tcPr>
            <w:tcW w:w="535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bidi="ar-SA"/>
              </w:rPr>
            </w:pPr>
            <w:r>
              <w:rPr>
                <w:rFonts w:hint="eastAsia" w:ascii="仿宋_GB2312" w:hAnsi="仿宋_GB2312" w:eastAsia="仿宋_GB2312" w:cs="仿宋_GB2312"/>
                <w:color w:val="auto"/>
                <w:sz w:val="28"/>
                <w:szCs w:val="28"/>
                <w:highlight w:val="none"/>
                <w:vertAlign w:val="baseline"/>
                <w:lang w:val="en-US" w:eastAsia="zh-CN"/>
              </w:rPr>
              <w:t xml:space="preserve">年  月  日—    年  月  日</w:t>
            </w:r>
            <w:r/>
          </w:p>
        </w:tc>
        <w:tc>
          <w:tcPr>
            <w:gridSpan w:val="2"/>
            <w:tcW w:w="184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累计扣分</w:t>
            </w:r>
            <w:r/>
          </w:p>
        </w:tc>
        <w:tc>
          <w:tcPr>
            <w:gridSpan w:val="2"/>
            <w:tcW w:w="522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日期</w:t>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扣分事由</w:t>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扣分依据</w:t>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分值</w:t>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bl>
    <w:p>
      <w:pPr>
        <w:ind w:firstLine="280"/>
        <w:jc w:val="both"/>
        <w:keepLines w:val="0"/>
        <w:keepNext w:val="0"/>
        <w:pageBreakBefore w:val="0"/>
        <w:spacing w:line="578" w:lineRule="exact"/>
        <w:widowControl w:val="off"/>
        <w:rPr>
          <w:rFonts w:hint="default" w:ascii="方正仿宋_GB2312" w:hAnsi="方正仿宋_GB2312" w:eastAsia="方正仿宋_GB2312" w:cs="方正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 xml:space="preserve">考核人：           考核部门负责人：             分管领导：           检测单位签收人：</w:t>
      </w:r>
      <w:r/>
    </w:p>
    <w:p>
      <w:pPr>
        <w:pStyle w:val="950"/>
        <w:rPr>
          <w:rFonts w:hint="eastAsia" w:ascii="仿宋" w:hAnsi="仿宋" w:eastAsia="仿宋" w:cs="仿宋"/>
          <w:color w:val="auto"/>
          <w:sz w:val="24"/>
          <w:szCs w:val="24"/>
          <w:highlight w:val="none"/>
        </w:rPr>
        <w:sectPr>
          <w:footerReference w:type="default" r:id="rId16"/>
          <w:footnotePr/>
          <w:endnotePr/>
          <w:type w:val="nextPage"/>
          <w:pgSz w:w="16838" w:h="11906" w:orient="landscape"/>
          <w:pgMar w:top="1417" w:right="1440" w:bottom="1417" w:left="1440" w:header="851" w:footer="992" w:gutter="0"/>
          <w:cols w:num="1" w:sep="0" w:space="0" w:equalWidth="1"/>
          <w:docGrid w:linePitch="360"/>
        </w:sectPr>
      </w:pPr>
      <w:r>
        <w:rPr>
          <w:rFonts w:hint="eastAsia" w:ascii="仿宋" w:hAnsi="仿宋" w:eastAsia="仿宋" w:cs="仿宋"/>
          <w:color w:val="auto"/>
          <w:sz w:val="24"/>
          <w:szCs w:val="24"/>
          <w:highlight w:val="none"/>
        </w:rPr>
      </w:r>
      <w:r/>
    </w:p>
    <w:p>
      <w:pPr>
        <w:ind w:left="0" w:firstLine="0"/>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pStyle w:val="932"/>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6" w:name="_Toc322457054"/>
      <w:r/>
      <w:bookmarkEnd w:id="6"/>
      <w:r/>
      <w:bookmarkStart w:id="7" w:name="_Toc324452802"/>
      <w:r/>
      <w:bookmarkEnd w:id="7"/>
      <w:r/>
      <w:r/>
    </w:p>
    <w:p>
      <w:pPr>
        <w:ind w:left="482" w:hanging="482"/>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bookmarkStart w:id="8" w:name="OLE_LINK11"/>
      <w:r>
        <w:rPr>
          <w:rFonts w:hint="eastAsia" w:ascii="仿宋" w:hAnsi="仿宋" w:eastAsia="仿宋" w:cs="仿宋"/>
          <w:b/>
          <w:color w:val="auto"/>
          <w:sz w:val="24"/>
          <w:szCs w:val="24"/>
          <w:highlight w:val="none"/>
        </w:rPr>
        <w:t xml:space="preserve">一、项目基本情况</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2026年市管道路空洞及桥梁结构检测-道路空洞探测</w:t>
      </w:r>
      <w:r/>
    </w:p>
    <w:p>
      <w:pPr>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2、服务地点：徐州市。</w:t>
      </w:r>
      <w:r/>
    </w:p>
    <w:p>
      <w:pPr>
        <w:ind w:firstLine="480"/>
        <w:keepLines w:val="0"/>
        <w:keepNext w:val="0"/>
        <w:pageBreakBefore w:val="0"/>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质量要求：合格，同时须符合现行最新的国家有关标准、规范及其他适用于本项目的技术标准、规范。</w:t>
      </w:r>
      <w:r/>
    </w:p>
    <w:p>
      <w:pPr>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二、预算金额 </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本项目采购预算</w:t>
      </w:r>
      <w:r>
        <w:rPr>
          <w:rFonts w:hint="eastAsia" w:ascii="仿宋" w:hAnsi="仿宋" w:eastAsia="仿宋" w:cs="仿宋"/>
          <w:b/>
          <w:bCs w:val="0"/>
          <w:color w:val="auto"/>
          <w:sz w:val="24"/>
          <w:szCs w:val="24"/>
          <w:highlight w:val="none"/>
          <w:lang w:val="en-US" w:eastAsia="zh-CN"/>
        </w:rPr>
        <w:t xml:space="preserve">总</w:t>
      </w:r>
      <w:r>
        <w:rPr>
          <w:rFonts w:hint="eastAsia" w:ascii="仿宋" w:hAnsi="仿宋" w:eastAsia="仿宋" w:cs="仿宋"/>
          <w:b/>
          <w:bCs w:val="0"/>
          <w:color w:val="auto"/>
          <w:sz w:val="24"/>
          <w:szCs w:val="24"/>
          <w:highlight w:val="none"/>
        </w:rPr>
        <w:t xml:space="preserve">金额</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lang w:eastAsia="zh-CN"/>
        </w:rPr>
        <w:t xml:space="preserve">万元，</w:t>
      </w:r>
      <w:r>
        <w:rPr>
          <w:rFonts w:hint="eastAsia" w:ascii="仿宋" w:hAnsi="仿宋" w:eastAsia="仿宋" w:cs="仿宋"/>
          <w:b/>
          <w:bCs w:val="0"/>
          <w:color w:val="auto"/>
          <w:sz w:val="24"/>
          <w:szCs w:val="24"/>
          <w:highlight w:val="none"/>
        </w:rPr>
        <w:t xml:space="preserve">本项目不接受超过采购预算的报价。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包括但不限于人工、材料、机械、工具设备、差旅、采样、检测、培训、验收、售后服务、利润、税金等政策性文件规定及合同包含的所有风险、责任等各项应有费用。投标人应充分了解该项目的</w:t>
      </w:r>
      <w:bookmarkStart w:id="11" w:name="_GoBack"/>
      <w:r/>
      <w:bookmarkEnd w:id="11"/>
      <w:r>
        <w:rPr>
          <w:rFonts w:hint="eastAsia" w:ascii="仿宋" w:hAnsi="仿宋" w:eastAsia="仿宋" w:cs="仿宋"/>
          <w:color w:val="auto"/>
          <w:sz w:val="24"/>
          <w:szCs w:val="24"/>
          <w:highlight w:val="none"/>
        </w:rPr>
        <w:t xml:space="preserve">总体情况、各类市场风险以及影响投标报价的其他要素风险。采购人不再支付报价以外的任何费用</w:t>
      </w:r>
      <w:r>
        <w:rPr>
          <w:rFonts w:hint="eastAsia" w:ascii="仿宋" w:hAnsi="仿宋" w:eastAsia="仿宋" w:cs="仿宋"/>
          <w:color w:val="auto"/>
          <w:sz w:val="24"/>
          <w:szCs w:val="24"/>
          <w:highlight w:val="none"/>
          <w:lang w:val="zh-CN"/>
        </w:rPr>
        <w:t xml:space="preserve">。</w:t>
      </w:r>
      <w:r/>
    </w:p>
    <w:p>
      <w:pPr>
        <w:numPr>
          <w:ilvl w:val="0"/>
          <w:numId w:val="0"/>
        </w:numPr>
        <w:ind w:left="241" w:firstLine="482"/>
        <w:keepLines w:val="0"/>
        <w:keepNext w:val="0"/>
        <w:pageBreakBefore w:val="0"/>
        <w:spacing w:line="360" w:lineRule="auto"/>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项目</w:t>
      </w:r>
      <w:r>
        <w:rPr>
          <w:rFonts w:hint="eastAsia" w:ascii="仿宋" w:hAnsi="仿宋" w:eastAsia="仿宋" w:cs="仿宋"/>
          <w:b/>
          <w:color w:val="auto"/>
          <w:sz w:val="24"/>
          <w:szCs w:val="24"/>
          <w:highlight w:val="none"/>
          <w:lang w:val="en-US" w:eastAsia="zh-CN"/>
        </w:rPr>
        <w:t xml:space="preserve">主要内容</w:t>
      </w:r>
      <w:bookmarkEnd w:id="8"/>
      <w:r/>
      <w:r/>
    </w:p>
    <w:p>
      <w:pPr>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近几年随着城市道路建设不断加速，雨污分流施工、地铁施工、地块开发及管线改迁、顶管作业、管网箱涵、廊道等工程施工作业，以及地下取水沉降、流沙、富水等因素严重影响道路基础承载力，为防止汛期道路塌陷问题扩大频发，结合上述因素，</w:t>
      </w:r>
      <w:r>
        <w:rPr>
          <w:rFonts w:hint="eastAsia" w:ascii="仿宋" w:hAnsi="仿宋" w:eastAsia="仿宋" w:cs="仿宋"/>
          <w:b/>
          <w:bCs w:val="0"/>
          <w:color w:val="auto"/>
          <w:sz w:val="24"/>
          <w:szCs w:val="24"/>
          <w:highlight w:val="none"/>
          <w:lang w:val="en-US" w:eastAsia="zh-CN"/>
        </w:rPr>
        <w:t xml:space="preserve">对市管道路及地铁沿线重点部位认真梳理</w:t>
      </w:r>
      <w:r>
        <w:rPr>
          <w:rFonts w:hint="eastAsia" w:ascii="仿宋" w:hAnsi="仿宋" w:eastAsia="仿宋" w:cs="仿宋"/>
          <w:bCs/>
          <w:color w:val="auto"/>
          <w:sz w:val="24"/>
          <w:szCs w:val="24"/>
          <w:highlight w:val="none"/>
          <w:lang w:val="en-US" w:eastAsia="zh-CN"/>
        </w:rPr>
        <w:t xml:space="preserve">，合理区分轻重缓急，高效开展空洞探测工作，尽早发现、尽早处置，确保市民的出行安全。</w:t>
      </w:r>
      <w:r/>
    </w:p>
    <w:p>
      <w:pPr>
        <w:pStyle w:val="983"/>
        <w:ind w:left="0" w:firstLine="480"/>
        <w:keepLines w:val="0"/>
        <w:keepNext w:val="0"/>
        <w:pageBreakBefore w:val="0"/>
        <w:spacing w:line="360" w:lineRule="auto"/>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en-US" w:eastAsia="zh-CN"/>
        </w:rPr>
        <w:t xml:space="preserve">本项目主要</w:t>
      </w:r>
      <w:r>
        <w:rPr>
          <w:rFonts w:hint="eastAsia" w:ascii="仿宋" w:hAnsi="仿宋" w:eastAsia="仿宋" w:cs="仿宋"/>
          <w:bCs/>
          <w:color w:val="auto"/>
          <w:sz w:val="24"/>
          <w:szCs w:val="24"/>
          <w:highlight w:val="none"/>
          <w:lang w:val="zh-CN"/>
        </w:rPr>
        <w:t xml:space="preserve">开展城市道路塌陷的隐患排查，对城市道路地面风险较大区域进行空洞检测</w:t>
      </w:r>
      <w:r>
        <w:rPr>
          <w:rFonts w:hint="eastAsia" w:ascii="仿宋" w:hAnsi="仿宋" w:eastAsia="仿宋" w:cs="仿宋"/>
          <w:bCs/>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完成道路塌陷隐患排查评估，并根据评估报告情况制定道路空洞检测计划。</w:t>
      </w:r>
      <w:r/>
    </w:p>
    <w:p>
      <w:pPr>
        <w:pStyle w:val="983"/>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服务期限：</w:t>
      </w:r>
      <w:r>
        <w:rPr>
          <w:rFonts w:hint="eastAsia" w:ascii="仿宋" w:hAnsi="仿宋" w:eastAsia="仿宋" w:cs="仿宋"/>
          <w:color w:val="auto"/>
          <w:sz w:val="24"/>
          <w:szCs w:val="24"/>
          <w:highlight w:val="none"/>
        </w:rPr>
        <w:t xml:space="preserve">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bCs/>
          <w:color w:val="auto"/>
          <w:sz w:val="24"/>
          <w:szCs w:val="24"/>
          <w:highlight w:val="none"/>
          <w:lang w:val="en-US" w:eastAsia="zh-CN"/>
        </w:rPr>
        <w:t xml:space="preserve">。成果文件评审通过后，中标投标人负责提供至少1年后续相关服务（定期复测、应急检测及地下隐患管理平台服务）</w:t>
      </w:r>
      <w:r/>
    </w:p>
    <w:p>
      <w:pPr>
        <w:numPr>
          <w:ilvl w:val="0"/>
          <w:numId w:val="0"/>
        </w:numPr>
        <w:ind w:left="241" w:firstLine="48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lang w:val="en-US" w:eastAsia="zh-CN" w:bidi="ar-SA"/>
        </w:rPr>
        <w:t xml:space="preserve">2026年计划实施空洞检测道路清单</w:t>
      </w:r>
      <w:r/>
    </w:p>
    <w:tbl>
      <w:tblPr>
        <w:tblStyle w:val="942"/>
        <w:tblW w:w="98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840"/>
        <w:gridCol w:w="833"/>
        <w:gridCol w:w="945"/>
        <w:gridCol w:w="1020"/>
        <w:gridCol w:w="900"/>
        <w:gridCol w:w="2340"/>
        <w:gridCol w:w="2370"/>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管理所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计划检测路段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计划检测长度(米)</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restart"/>
            <w:textDirection w:val="lrTb"/>
            <w:noWrap w:val="false"/>
          </w:tcPr>
          <w:p>
            <w:pPr>
              <w:pStyle w:val="988"/>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起点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终点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continue"/>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淮海西路至湖北路段2025年水务局雨污水工程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迎宾大道至长安路段2025年水务局雨污水工程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二环西路至纺织东路段2025年水务局雨污水工程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解放南路至湖东路段2025年水务局雨污水工程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3323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局部下沉，尤其是桃花源路至大彭路段车行道、人行道</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前三年已检测，但靠近故黄河流沙区域，且近几年有排水开挖或非开挖管道施工，存在安全隐患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前三年已检测，近三年有排水开挖或非开挖管道施工，且近年西安南路至中山南路发生过多次空洞塌陷，存在安全隐患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七里沟立交下行通道</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七里沟果品市场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通道内东侧车行道下沉，雨季铁路下方两侧辅道人行道向外冒水可能存在空洞</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前三年已检测，近三年有排水开挖或非开挖管道施工，且淮塔南门人行道近年发生过塌陷，泰安路向南至公交站台段西侧人行道下沉，金山东路至矿大西门红绿灯发生车行道下沉，存在安全隐患</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矿大南路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东侧非机动车道下沉</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近三年排水沟槽施工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铜山界碑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泉山所合计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26700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4693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3318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三八河南岸</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奎河巷-1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23181</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陶然水岸小区对面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中山北路立交桥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九龙湖西路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29800</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none" w:color="000000" w:sz="4" w:space="0"/>
              <w:left w:val="single" w:color="000000" w:sz="4" w:space="0"/>
              <w:bottom w:val="single" w:color="000000" w:sz="4" w:space="0"/>
              <w:right w:val="single" w:color="000000" w:sz="4" w:space="0"/>
            </w:tcBorders>
            <w:tcW w:w="4223"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79681</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88"/>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left="0" w:firstLine="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备注：1、项目实施阶段，采购人可根据实际情况对检测路段进行调整，但总量保持不变。</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highlight w:val="none"/>
          <w:lang w:val="en-US" w:eastAsia="zh-CN"/>
        </w:rPr>
        <w:t xml:space="preserve">售后服务期限内，若出现其他需要检测的路段，12公里内中标投标人应提供免费检测。</w:t>
      </w:r>
      <w:r/>
    </w:p>
    <w:p>
      <w:pPr>
        <w:pStyle w:val="950"/>
        <w:numPr>
          <w:ilvl w:val="0"/>
          <w:numId w:val="0"/>
        </w:numPr>
        <w:ind w:right="6"/>
        <w:rPr>
          <w:rFonts w:hint="default" w:eastAsia="仿宋"/>
          <w:color w:val="auto"/>
          <w:highlight w:val="none"/>
          <w:lang w:val="en-US" w:eastAsia="zh-CN"/>
        </w:rPr>
      </w:pPr>
      <w:r>
        <w:rPr>
          <w:rFonts w:hint="eastAsia"/>
          <w:color w:val="auto"/>
          <w:highlight w:val="none"/>
          <w:lang w:val="en-US" w:eastAsia="zh-CN"/>
        </w:rPr>
        <w:t xml:space="preserve">  </w:t>
      </w:r>
      <w:r>
        <w:rPr>
          <w:rFonts w:hint="eastAsia" w:ascii="仿宋" w:hAnsi="仿宋" w:eastAsia="仿宋" w:cs="仿宋"/>
          <w:color w:val="auto"/>
          <w:sz w:val="22"/>
          <w:szCs w:val="22"/>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3、本采购包预留13.3公里为不确定路段，中标投标人按采购人要求实施检测。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、检测内容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1、探测道路下方5m内基础中是否存在影响道路安全使用的隐蔽性不良地质体，具体为空洞、脱空、富水区、土体松散区等，并确定位置、大小及埋深。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2、对其他异常情况进行检测。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3、形成检测结果（判明检测道路存在的土体疏松、富水区、脱空、空洞等缺陷情况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结合现场钻孔等其他有效验证手段，查明地下病害体的具体位置、平面分布、几何尺寸（面积、埋深和净高）等详细信息</w:t>
      </w:r>
      <w:r>
        <w:rPr>
          <w:rFonts w:hint="eastAsia" w:ascii="仿宋" w:hAnsi="仿宋" w:eastAsia="仿宋" w:cs="仿宋"/>
          <w:color w:val="auto"/>
          <w:sz w:val="24"/>
          <w:szCs w:val="24"/>
          <w:highlight w:val="none"/>
          <w:lang w:eastAsia="zh-CN"/>
        </w:rPr>
        <w:t xml:space="preserve">，对形成原因进行初步分析）</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4、分析现存隐患可能产生的影响程度，提出相应的处理和维修方案，以便采购商可以采取有效处理措施消除安全隐患，确保道路安全运行。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中标投标人</w:t>
      </w:r>
      <w:r>
        <w:rPr>
          <w:rFonts w:hint="eastAsia" w:ascii="仿宋" w:hAnsi="仿宋" w:eastAsia="仿宋" w:cs="仿宋"/>
          <w:color w:val="auto"/>
          <w:sz w:val="24"/>
          <w:szCs w:val="24"/>
          <w:highlight w:val="none"/>
        </w:rPr>
        <w:t xml:space="preserve">必须对所探测道路进行多测线、全面覆盖检测（包括车行道、非机动车道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等），测线之间要有必要的重叠。</w:t>
      </w:r>
      <w:r>
        <w:rPr>
          <w:rFonts w:hint="eastAsia" w:ascii="仿宋" w:hAnsi="仿宋" w:eastAsia="仿宋" w:cs="仿宋"/>
          <w:color w:val="auto"/>
          <w:sz w:val="24"/>
          <w:szCs w:val="24"/>
          <w:highlight w:val="none"/>
          <w:lang w:val="en-US" w:eastAsia="zh-CN"/>
        </w:rPr>
        <w:t xml:space="preserve">中标投标人</w:t>
      </w:r>
      <w:r>
        <w:rPr>
          <w:rFonts w:hint="eastAsia" w:ascii="仿宋" w:hAnsi="仿宋" w:eastAsia="仿宋" w:cs="仿宋"/>
          <w:color w:val="auto"/>
          <w:sz w:val="24"/>
          <w:szCs w:val="24"/>
          <w:highlight w:val="none"/>
        </w:rPr>
        <w:t xml:space="preserve">对探测结果负责。还需向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提供完整的检测报告、全部的雷达探测原始数据和相应的配套程序（便于打开雷达探测数据）。在探测期间对可疑雷达异常进行确认。</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6、每公里道路检测含道路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断面内的所有车行道、非机动车道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断面内所有检测费用。例如某道路2公里长，含4个机动车道、2个慢车道，</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则每公里道路检测费综合单价含4个机动车道、2个慢车道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的检测所发生的所有费用。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、项目要求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（一）基本要求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1、采用车载三维雷达全覆盖、二维雷达局部检测及其他综合物探手段相结合的工作模式，测线布置应覆盖整个检测区域，进行全面覆盖、无盲区检测，确保不遗漏任何一处风险源。</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2、检测过程中，若发现脱空和空洞等风险等级高的病害体，应采用多种频率雷达天线连续测试，必要时采用多种方法综合探测，并将验证资料及时上报采购人，配合采购人或相关单位进行现场警示和处置。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3、以逐条道路列表形式描述所检测出的各类病害的属性、平面位置、埋深、大小等情况，对病害严重区域配以影像资料。</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4、逐条道路的道路平面简图，在图上标明各类病害所在位置。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5、对各类病害进行初步成因分析并提出处理方法建议。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6、形成所有核定检测区域的测线布置图及雷达图谱。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7、对检测数据进行整理分析，并出具检测报告。对检测报告中，疑似空洞目标经钻探验证的准确率要达到95%以上。</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检测单位应确保检测报告的真实性、可靠性，凡已进行过检测的路段若在合同期内无明显外力作用情况下出现空洞、脱空、塌陷等情况，该路段检测费用不予结算，若发生事故，发包单位视情节严重可予以终止合同、索赔等方式进行处罚。</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1、能探测到的道路地面以下土体病害一般具有下列基本条件：</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A、土体病害的几何尺寸与其埋藏深度或探测距离之比不应小于1/5；</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B、土体病害对激发的异常场应能够从干扰背景中分辨出来。</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bookmarkStart w:id="9" w:name="_Hlk100418171"/>
      <w:r>
        <w:rPr>
          <w:rFonts w:hint="eastAsia" w:ascii="仿宋" w:hAnsi="仿宋" w:eastAsia="仿宋" w:cs="仿宋"/>
          <w:color w:val="auto"/>
          <w:sz w:val="24"/>
          <w:szCs w:val="24"/>
          <w:highlight w:val="none"/>
          <w:lang w:val="en-US" w:eastAsia="zh-CN"/>
        </w:rPr>
        <w:t xml:space="preserve">2、投入的仪器设备应满足性能稳定、检测结果准确、能适应各种工况作业环境的要求。仪器设备应定期进行检查、校准和保养。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3、相关检测方法应满足国家及行业相关规范要求，同时完成的技术成果应符合行业技术标准。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车载地质雷达法检测时，检测系统应配置高精度的实时定位装置，以便异常点的现场定位。对探测到的异常点，应采用多种天线频率（80MHz~600MHz）的雷达进行详查，必要时叠加面波等物探方法进行综合探测，验证或核实探测结果。</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空洞、脱空等风险等级高的病害体，均应进行钻探等多种验证手段；疏松病害体的验证数量，不应少于总数的20%，且不应少于3处；验证结果与检测结果不一致时，应对原始数据、现场复测数据进行重新解译、识别。</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6、在实施方案中，应详尽描述具体的实施过程，包括数据采集、处理分析、验证过程及检测成果等。</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7、在服务期内，对复水、疏松、空洞、脱空等病害体进行跟踪检测，检测频次为3月/次。 </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8、投标人应具备24小时工作能力，应急检测须在1小时内到达现场，在2小时内提供检测成果，保证各项资源投入的及时性、检测工作的高效性，以及结果的准确性。保障资源配置高效、合理，保障有力。</w:t>
      </w:r>
      <w:bookmarkEnd w:id="9"/>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（三）检测依据及标准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实施本项目必须按照国家的</w:t>
      </w:r>
      <w:r>
        <w:rPr>
          <w:rFonts w:hint="eastAsia" w:ascii="仿宋" w:hAnsi="仿宋" w:eastAsia="仿宋" w:cs="仿宋"/>
          <w:color w:val="auto"/>
          <w:sz w:val="24"/>
          <w:szCs w:val="24"/>
          <w:highlight w:val="none"/>
          <w:lang w:val="en-US" w:eastAsia="zh-CN"/>
        </w:rPr>
        <w:t xml:space="preserve">现行最新的</w:t>
      </w:r>
      <w:r>
        <w:rPr>
          <w:rFonts w:hint="eastAsia" w:ascii="仿宋" w:hAnsi="仿宋" w:eastAsia="仿宋" w:cs="仿宋"/>
          <w:color w:val="auto"/>
          <w:sz w:val="24"/>
          <w:szCs w:val="24"/>
          <w:highlight w:val="none"/>
        </w:rPr>
        <w:t xml:space="preserve">标准规范和投标文件的要求，凡未涉及的技术参数、标准和要求，按下列相关标准及要求执行：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1）《城镇地下空间探测与检测应用技术标准》（T/CMEA8-2020）；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2）《道路塌陷隐患雷达检测技术导则》（RISN-TG024-2016）；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3）《城市工程地球物理探测标准》（CJJ/T 7-2017）；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4）《城镇道路养护技术规范》（CJJ 36-2016）；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5）《城市地下管线探测技术规程》（CJJ 61-2017）；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6）《城市工程管线综合规划规范》（GB50289-2016）；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7）《城市测量规范》（CJJ/T8-2011）；</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8）《全球定位系统(GPS)测量规范》（GB/T18314-2016）；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9）《工程测量标准》（GB 50026-2020）；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10）《道路塌陷隐患雷达检测技术规范》（T/CMEA 2-2018）；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11）《市政工程计量规范》(GB50857-2013)；</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12）《城市地下病害体综合探测与风险评估技术标准》（JGJ/T437-2018）；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13）其他相关的现行最新强制性标准和技术规范、规程。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七</w:t>
      </w:r>
      <w:r>
        <w:rPr>
          <w:rFonts w:hint="eastAsia" w:ascii="仿宋" w:hAnsi="仿宋" w:eastAsia="仿宋" w:cs="仿宋"/>
          <w:b/>
          <w:bCs/>
          <w:color w:val="auto"/>
          <w:sz w:val="24"/>
          <w:szCs w:val="24"/>
          <w:highlight w:val="none"/>
        </w:rPr>
        <w:t xml:space="preserve">、人员</w:t>
      </w:r>
      <w:r>
        <w:rPr>
          <w:rFonts w:hint="eastAsia" w:ascii="仿宋" w:hAnsi="仿宋" w:eastAsia="仿宋" w:cs="仿宋"/>
          <w:b/>
          <w:bCs/>
          <w:color w:val="auto"/>
          <w:sz w:val="24"/>
          <w:szCs w:val="24"/>
          <w:highlight w:val="none"/>
          <w:lang w:val="en-US" w:eastAsia="zh-CN"/>
        </w:rPr>
        <w:t xml:space="preserve">及设备配备</w:t>
      </w:r>
      <w:r>
        <w:rPr>
          <w:rFonts w:hint="eastAsia" w:ascii="仿宋" w:hAnsi="仿宋" w:eastAsia="仿宋" w:cs="仿宋"/>
          <w:b/>
          <w:bCs/>
          <w:color w:val="auto"/>
          <w:sz w:val="24"/>
          <w:szCs w:val="24"/>
          <w:highlight w:val="none"/>
        </w:rPr>
        <w:t xml:space="preserve">要求</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1、所有检测组成人员必须为</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本单位在职人员； </w:t>
      </w:r>
      <w:r/>
    </w:p>
    <w:p>
      <w:pPr>
        <w:ind w:left="0" w:firstLine="480"/>
        <w:jc w:val="left"/>
        <w:keepLines w:val="0"/>
        <w:keepNext w:val="0"/>
        <w:pageBreakBefore w:val="0"/>
        <w:spacing w:line="360" w:lineRule="auto"/>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投标人应具备完成本项目相应能力的人员。</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仪器设备配置要求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投入</w:t>
      </w:r>
      <w:r>
        <w:rPr>
          <w:rFonts w:hint="eastAsia" w:ascii="仿宋" w:hAnsi="仿宋" w:eastAsia="仿宋" w:cs="仿宋"/>
          <w:color w:val="auto"/>
          <w:sz w:val="24"/>
          <w:szCs w:val="24"/>
          <w:highlight w:val="none"/>
        </w:rPr>
        <w:t xml:space="preserve">检测使用的车</w:t>
      </w:r>
      <w:r>
        <w:rPr>
          <w:rFonts w:hint="eastAsia" w:ascii="仿宋" w:hAnsi="仿宋" w:eastAsia="仿宋" w:cs="仿宋"/>
          <w:color w:val="auto"/>
          <w:sz w:val="24"/>
          <w:szCs w:val="24"/>
          <w:highlight w:val="none"/>
          <w:lang w:val="en-US" w:eastAsia="zh-CN"/>
        </w:rPr>
        <w:t xml:space="preserve">载</w:t>
      </w:r>
      <w:r>
        <w:rPr>
          <w:rFonts w:hint="eastAsia" w:ascii="仿宋" w:hAnsi="仿宋" w:eastAsia="仿宋" w:cs="仿宋"/>
          <w:color w:val="auto"/>
          <w:sz w:val="24"/>
          <w:szCs w:val="24"/>
          <w:highlight w:val="none"/>
        </w:rPr>
        <w:t xml:space="preserve">式探地</w:t>
      </w:r>
      <w:r>
        <w:rPr>
          <w:rFonts w:hint="eastAsia" w:ascii="仿宋" w:hAnsi="仿宋" w:eastAsia="仿宋" w:cs="仿宋"/>
          <w:color w:val="auto"/>
          <w:sz w:val="24"/>
          <w:szCs w:val="24"/>
          <w:highlight w:val="none"/>
          <w:lang w:val="en-US" w:eastAsia="zh-CN"/>
        </w:rPr>
        <w:t xml:space="preserve">雷</w:t>
      </w:r>
      <w:r>
        <w:rPr>
          <w:rFonts w:hint="eastAsia" w:ascii="仿宋" w:hAnsi="仿宋" w:eastAsia="仿宋" w:cs="仿宋"/>
          <w:color w:val="auto"/>
          <w:sz w:val="24"/>
          <w:szCs w:val="24"/>
          <w:highlight w:val="none"/>
        </w:rPr>
        <w:t xml:space="preserve">达设备不少于</w:t>
      </w:r>
      <w:r>
        <w:rPr>
          <w:rFonts w:hint="eastAsia" w:ascii="仿宋" w:hAnsi="仿宋" w:eastAsia="仿宋" w:cs="仿宋"/>
          <w:color w:val="auto"/>
          <w:sz w:val="24"/>
          <w:szCs w:val="24"/>
          <w:highlight w:val="none"/>
          <w:lang w:val="en-US" w:eastAsia="zh-CN"/>
        </w:rPr>
        <w:t xml:space="preserve">1台，</w:t>
      </w:r>
      <w:r>
        <w:rPr>
          <w:rFonts w:hint="eastAsia" w:ascii="仿宋" w:hAnsi="仿宋" w:eastAsia="仿宋" w:cs="仿宋"/>
          <w:color w:val="auto"/>
          <w:sz w:val="24"/>
          <w:szCs w:val="24"/>
          <w:highlight w:val="none"/>
        </w:rPr>
        <w:t xml:space="preserve">便携式手</w:t>
      </w:r>
      <w:r>
        <w:rPr>
          <w:rFonts w:hint="eastAsia" w:ascii="仿宋" w:hAnsi="仿宋" w:eastAsia="仿宋" w:cs="仿宋"/>
          <w:color w:val="auto"/>
          <w:sz w:val="24"/>
          <w:szCs w:val="24"/>
          <w:highlight w:val="none"/>
          <w:lang w:val="en-US" w:eastAsia="zh-CN"/>
        </w:rPr>
        <w:t xml:space="preserve">推</w:t>
      </w:r>
      <w:r>
        <w:rPr>
          <w:rFonts w:hint="eastAsia" w:ascii="仿宋" w:hAnsi="仿宋" w:eastAsia="仿宋" w:cs="仿宋"/>
          <w:color w:val="auto"/>
          <w:sz w:val="24"/>
          <w:szCs w:val="24"/>
          <w:highlight w:val="none"/>
        </w:rPr>
        <w:t xml:space="preserve">探地</w:t>
      </w:r>
      <w:r>
        <w:rPr>
          <w:rFonts w:hint="eastAsia" w:ascii="仿宋" w:hAnsi="仿宋" w:eastAsia="仿宋" w:cs="仿宋"/>
          <w:color w:val="auto"/>
          <w:sz w:val="24"/>
          <w:szCs w:val="24"/>
          <w:highlight w:val="none"/>
          <w:lang w:val="en-US" w:eastAsia="zh-CN"/>
        </w:rPr>
        <w:t xml:space="preserve">雷</w:t>
      </w:r>
      <w:r>
        <w:rPr>
          <w:rFonts w:hint="eastAsia" w:ascii="仿宋" w:hAnsi="仿宋" w:eastAsia="仿宋" w:cs="仿宋"/>
          <w:color w:val="auto"/>
          <w:sz w:val="24"/>
          <w:szCs w:val="24"/>
          <w:highlight w:val="none"/>
        </w:rPr>
        <w:t xml:space="preserve">达设备不少于</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台。并且应根据项目实际工作情况及业主需求，在规范规定要求下提供相关必要其他检测设备。</w:t>
      </w:r>
      <w:r>
        <w:rPr>
          <w:rFonts w:hint="eastAsia" w:ascii="仿宋" w:hAnsi="仿宋" w:eastAsia="仿宋" w:cs="仿宋"/>
          <w:color w:val="auto"/>
          <w:sz w:val="24"/>
          <w:szCs w:val="24"/>
          <w:highlight w:val="none"/>
          <w:lang w:eastAsia="zh-CN"/>
        </w:rPr>
        <w:t xml:space="preserve">（检测过程中使用的探地雷达及其他仪器设备的性能和技术指标须满足现行行业规范标准要求。）</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、检测人员应具有良好的职业道德和严谨的工作作风，需按照采购方的检测安排和具体要求进行检测。 </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、驻场的检测组人员须经采购单位确认，未经采购单位书面批准不得随意调换检测人员在服务期内不得擅自更换。如需更换，应提前 10 个日历天以书面形式通知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，必须经</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同意后方可更换。更换后的人员资质、阅历及经验，不得低于更换前。检测负责人和技术负责人如有不尽其职或虚名挂靠，</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有权要求撤换，直至要求终止合同，由此造成的责任由检测单位负责。</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成交单位应配备足够精度的车载式检测设备与手推式检测设备。 </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、服务期及检测进度要求</w:t>
      </w:r>
      <w:r/>
    </w:p>
    <w:p>
      <w:pPr>
        <w:ind w:left="0"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服务期</w:t>
      </w:r>
      <w:r>
        <w:rPr>
          <w:rFonts w:hint="eastAsia" w:ascii="仿宋" w:hAnsi="仿宋" w:eastAsia="仿宋" w:cs="仿宋"/>
          <w:color w:val="auto"/>
          <w:sz w:val="24"/>
          <w:szCs w:val="24"/>
          <w:highlight w:val="none"/>
        </w:rPr>
        <w:t xml:space="preserve">：自合同签订生效起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color w:val="auto"/>
          <w:sz w:val="24"/>
          <w:szCs w:val="24"/>
          <w:highlight w:val="none"/>
        </w:rPr>
        <w:t xml:space="preserve">。成果文件评审通过后，中标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负责提供</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1年后续相关服务（定期复测、应急检测及地下隐患管理平台服务）。</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（1）在服务期内，如成交人发现病害体的风险等级较高，或地下病害有发展趋势时，须立即通知招标人，并配合完成病害处置。</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（2）在服务期内，成交人需在汛期前后、应急抢险完成后，对雨污水等管线周边、抢险周边的道路进行重点复测。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所有人员必须长期驻场，须承诺在接到招标人指令后1小时内到达现场开始工作。如累计出现三次或以上延迟服务现象，则招标人有权对中标单位进行处罚。</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备注：如遇特殊、排险等紧急情况，需按采购人要求完成紧急路段的检测，如需优先检测、增加人员、设备或提前完成检测工作，</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应无条件配合，不增加项目费用。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、报价要求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编制报价范围为道路探测评估的所有费用，包括完成探测工作所做的夜间施工、设备租赁、交通安全维护设施及钻探验证等辅助工作费用，采购人不提供辅助工作，不再支付其他与道路探测相关其他费用。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2、本项目的响应报价采用全费用综合固定单价方式(即完成本次全部内容检测人工费、检测设备设施费、组织及技术措施项目费、其他项目费、规费、税金及一定的风险费)。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3、道路探测综合单价为</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在进行探测时每公里道路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断面内所有检测所需支付的各项金额的总和(含成本、利润、复测等所有费用)。每公里检测费综合单价包括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w:t>
      </w:r>
      <w:r>
        <w:rPr>
          <w:rFonts w:hint="eastAsia" w:ascii="仿宋" w:hAnsi="仿宋" w:eastAsia="仿宋" w:cs="仿宋"/>
          <w:b/>
          <w:bCs/>
          <w:color w:val="auto"/>
          <w:sz w:val="24"/>
          <w:szCs w:val="24"/>
          <w:highlight w:val="none"/>
        </w:rPr>
        <w:t xml:space="preserve">。例如某道路2公里长，含4个机动车道、2个慢车道、2个人行道，则每公里道路检测费综合单价含4个机动车道、2个慢车道、2个人行道的检测所发生的所有费用。</w:t>
      </w:r>
      <w:r>
        <w:rPr>
          <w:rFonts w:hint="eastAsia" w:ascii="仿宋" w:hAnsi="仿宋" w:eastAsia="仿宋" w:cs="仿宋"/>
          <w:color w:val="auto"/>
          <w:sz w:val="24"/>
          <w:szCs w:val="24"/>
          <w:highlight w:val="none"/>
        </w:rPr>
        <w:t xml:space="preserve">不因所探测道路覆盖的车行道、非机动车道等数量的变化而调整综合单价。</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4、本项目综合单价一次性包干。各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编制投标文件时应对检测期间可能出现的检测施工环境和市场的变化等可能影响造价的因素及其它经济风险，作出正确的评估，综合考虑报价，成交后不予调整。</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5、本项目合同按实结算，即根据实际检测道路雷达探测长度乘以检测综合单价。如实际检测道路长度未增加，因道路断面变化、重点区域加密检测等原因而增加了测线长度，原则上不增加费用。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及其他相关费用由中标投标人自行承担</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7、为保证检测报告的全面性和真实性，在检测过程中，采购人将安排人员进行随机抽查、复核并对重点地段和重点区域进行现场复测，</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在报价中包含与此工作相关的费用，复测费用不再另行支付。</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、报告、成果、文件（包含但不限于以下部分） </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bookmarkStart w:id="10" w:name="_Hlk100481430"/>
      <w:r>
        <w:rPr>
          <w:rFonts w:hint="eastAsia" w:ascii="仿宋" w:hAnsi="仿宋" w:eastAsia="仿宋" w:cs="仿宋"/>
          <w:b w:val="0"/>
          <w:bCs w:val="0"/>
          <w:color w:val="auto"/>
          <w:sz w:val="24"/>
          <w:szCs w:val="24"/>
          <w:highlight w:val="none"/>
        </w:rPr>
        <w:t xml:space="preserve">1、文字报告</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b w:val="0"/>
          <w:bCs w:val="0"/>
          <w:color w:val="auto"/>
          <w:sz w:val="24"/>
          <w:szCs w:val="24"/>
          <w:highlight w:val="none"/>
          <w:lang w:eastAsia="zh-CN"/>
        </w:rPr>
        <w:t xml:space="preserve">投标人</w:t>
      </w:r>
      <w:r>
        <w:rPr>
          <w:rFonts w:hint="eastAsia" w:ascii="仿宋" w:hAnsi="仿宋" w:eastAsia="仿宋" w:cs="仿宋"/>
          <w:b w:val="0"/>
          <w:bCs w:val="0"/>
          <w:color w:val="auto"/>
          <w:sz w:val="24"/>
          <w:szCs w:val="24"/>
          <w:highlight w:val="none"/>
        </w:rPr>
        <w:t xml:space="preserve">最终提供文字报告包括但不限于下列内容：</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（1）工作概况：实施周期、检测方法、执行标准、工作成果、分析建议等。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（2）工程概况：探测目的、内容和范围，技术要求、完成的工作量等；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（3）工作依据：采用技术规范、规程及相关文件；</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（4）区域场地条件：地理环境、地形地貌、水文特征、区域地层、现场环境情况等；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（5）工作流程与方法：工作流程、检测方法、仪器设备与参数、测线布置、坐标定位、病害复核、验证方法等；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（6）数据处理与解译：信号识别、数据整理、数据处理、分析和解译等；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（7）地下病害体风险评定：评定方法、指标、结果和统计等；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（8）检测成果与分析：病害体验证情况、成因分析等；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（9）病害处置：处置情况与分析等；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（10）结论与建议。</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2．图件成果</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投标人最终提供成果图件包括但不限于下列内容:</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（1）检测道路分布示意图</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（2）测线布置示意图</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（3）地下病害信息统计表</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（4）地下病害信息卡</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（5）地下病害分布示意图</w:t>
      </w:r>
      <w:bookmarkEnd w:id="10"/>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（6）病害体验证影像资料</w:t>
      </w:r>
      <w:r/>
    </w:p>
    <w:p>
      <w:pPr>
        <w:ind w:left="0" w:firstLine="480"/>
        <w:keepLines w:val="0"/>
        <w:keepNext w:val="0"/>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3、知识产权：本项目检测成果知识产权全部属于采购人所有。</w:t>
      </w:r>
      <w:r/>
    </w:p>
    <w:p>
      <w:pPr>
        <w:ind w:left="0" w:firstLine="482"/>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、售后服务</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售后及质保服务要求：</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按照以下方式向采购人进行信息反馈及提供后续技术服务：</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1、检测工作完成后</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应提供至少一年的质保期（免费售后），质保期间检测单位对已经进行修复的点位区域与对仍存在一定隐患区域应按采购人要求开展免费复查检测服务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每季度不少于一次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，及时了解道路地下隐患的发展情况。</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对全部开展过检测的道路应进行持续观测和监测，及时排查可能存在或出现的安全隐患，切实保障道路安全。质保期服务不另收费。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应全面准确的探测发现地下存在的各类隐患情况，因</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原因地下隐患未检出、检测的病害类型、危险程度、病害位置等信息存在较大偏差或在质保期未履行复测、观测、监测责任，影响道路安全的，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包含赔偿损失、违约金及法律相关的责任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发现已形成隐患的土体病害等情况，须以电话</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书面报告等形式立即通知采购人，并配合采购人完成病害处置。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完成检测工作后成立后续服务组在提交规定的检测成果时开始对采购人就检测结果提出的质疑进行解答或复测，复测不另行支付费用。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在一年质保期内应作出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、安全文明检测要求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1、承包人必须做好作业现场的安全措施，确保公共安全和作业人员安全，并按照相关规定为各类劳务作业人员购买保险。作业期间，因乙方原因造成人身伤亡、财产损失，乙方必须承担相关责任和赔偿相应损失</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2、在现场检测工作开展前必须由项目负责人组织检测方面的安全知识培训，并对参加检测人员进行安全技术交底</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有车辆通行的道路等场地上进行管线调查和探地雷达检测时，应采用以下安全措施：道路检测需安排专人负责疏导交通；所有检测人员必须穿戴反光安全服；车载检测时，汽车行进速度不得超过探地雷达正常采集速度，同时在探地雷达天线的后方安全距离内需有一辆安全防护车同时跟进；车载检测时，所有参与测试的工作车均贴安全反光条、打开车辆示宽灯、打开安装的 LED 箭头灯，进行警示。</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4、项目实施期间，</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应按照采购人要求每周上报项目实施情况，具体格式在项目实施前由采购人提供。</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意事项：投标时要求制定实际可行的检测方案，方案应包括：工作内容、检测范围及工期要求；检测区域工程环境条件、地下管线等情况和分析；检测依据、现场工作的安排及工作量估算；仪器、设备、材料、车辆、安全防护等配备情况；施工组织及工作进度计划；作业质量保证措施；拟提交的成果资料内；项目存在的重点难点及对策。</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、安全生产要求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1、建立、健全安全生产责任制；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2、组织制定本项目安全生产规章制度和操作规程；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3、保障本项目安全生产投入的有效实施；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4、督促、检查本项目的安全生产工作，及时消除生产安全事故隐患；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5、组织制定并实施本项目的生产安全事故应急救援预案；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6、及时、如实报告生产安全事故；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7、组织制定并实施本项目安全生产教育和培训计划。</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8、事故责任自负。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、项目质量标准、质量保证及质量控制要求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1、项目质量及技术标准执行国家规定标准。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2、试验检测人需要具有科学的质量管理体系，提交描述各阶段的质量保证标准及措施的资料。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3、试验检测人需要对本项目投入足够的试验检测人员，试验检测人员必须经过必要的与其承担任务相适应的教育、培训、并有相应的技术知识和经验。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4、试验检测人应配备足够的试验检测仪器设备。试验检测仪器设备必须在检定/校准有效期内,并在检定/校准有效期满后应进行检定/校准。各计量试验检测仪器设备都必须严格按要求有明显的标志。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5、试验检测报告需要严格进行内部三级审核制度：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试验检测工作人员要熟悉并严格按照试验检测规程和方法，做好试验检测工作，同时做好数据记录；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各试验检测工作校核者应掌握试验检测规程和技术，检查数据与原始记录符合，事实符合，严格按照规范进行；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报告审核者保证程序合法，报告有效。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6、本项目试验检测的质量不符合要求或质量不合格者，采购人有权要求试验检测人停工和返工，返工费用由试验检测人承担，工期不予顺延。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、项目现场检测管理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1、试验检测人需要严格按照已经确认的方案组织实施，并应接受采购人对项目质量、工期、安全、文明检测、环保及检测纪律的管制。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2、在投标文件中承诺并经选定的项目负责人及相应资格的专业技术、管理人员，在项目实施过程中应依时到场，未经采购人同意，试验检测人不得擅自调离或撤换。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验检测人在项目进行期间，须严格遵守当地政府职能部门的各项规章制度，由于管理不善，导致政府职能部门的罚款和停工整改，所发生的费用与损失由试验检测人自行承担，且采购人保留暂缓支付项目款的权利，以确保文明检测有效实行。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、其他要求：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1、提交的探测方案文件应响应本次项目的各项要求，按采购人规定时间报送检测方案。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2、投标报价：全费用固定综合单价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完成本项目检测所需的所有费用，包括但不限于以下费用，材料费、人工费、机械费、风险费、措施费、管理费、利润、税金、包含道路平整、施钻岩层、机械进退场、野外作业租赁办公、施工水电、住宿场所、地下管线探测、工程检测全部报告和资料等，本项目要求虽未提及但</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为完成本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中必须支付的与本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相关的其他费用，均已含在综合包干总价中，不论各项费用有无涨落，均不再调整，其他因素不得作为调整该总价的依据。采购人不再支付总价之外的任何费用。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3、其他要求见招标文件附件（拟签订的合同文本）</w:t>
      </w:r>
      <w:r/>
    </w:p>
    <w:p>
      <w:pPr>
        <w:ind w:right="0" w:firstLine="480"/>
        <w:pageBreakBefore w:val="0"/>
        <w:spacing w:line="360" w:lineRule="auto"/>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rPr>
          <w:rFonts w:hint="eastAsia"/>
          <w:color w:val="auto"/>
          <w:highlight w:val="none"/>
        </w:rPr>
      </w:pPr>
      <w:r>
        <w:rPr>
          <w:rFonts w:hint="eastAsia"/>
          <w:color w:val="auto"/>
          <w:highlight w:val="none"/>
        </w:rPr>
        <w:br w:type="page" w:clear="all"/>
      </w:r>
      <w:r/>
    </w:p>
    <w:p>
      <w:pPr>
        <w:pStyle w:val="932"/>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pStyle w:val="981"/>
        <w:jc w:val="center"/>
        <w:keepLines w:val="0"/>
        <w:keepNext w:val="0"/>
        <w:pageBreakBefore w:val="0"/>
        <w:spacing w:line="360" w:lineRule="auto"/>
        <w:widowControl w:val="off"/>
        <w:rPr>
          <w:rFonts w:hint="eastAsia" w:ascii="仿宋" w:hAnsi="仿宋" w:eastAsia="仿宋" w:cs="仿宋"/>
          <w:bCs/>
          <w:color w:val="auto"/>
          <w:sz w:val="28"/>
          <w:szCs w:val="28"/>
          <w:highlight w:val="none"/>
        </w:rPr>
      </w:pPr>
      <w:r>
        <w:rPr>
          <w:rStyle w:val="1072"/>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本章仅提供投标文件中的部分文件格式，不应被理解为包含了投标文件所需的全部资料）</w:t>
      </w:r>
      <w:r/>
    </w:p>
    <w:p>
      <w:pPr>
        <w:jc w:val="center"/>
        <w:keepLines w:val="0"/>
        <w:keepNext w:val="0"/>
        <w:pageBreakBefore w:val="0"/>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keepLines w:val="0"/>
        <w:keepNext w:val="0"/>
        <w:pageBreakBefore w:val="0"/>
        <w:spacing w:line="360" w:lineRule="auto"/>
        <w:rPr>
          <w:rFonts w:hint="eastAsia" w:ascii="仿宋" w:hAnsi="仿宋" w:eastAsia="仿宋" w:cs="仿宋"/>
          <w:bCs/>
          <w:color w:val="auto"/>
          <w:sz w:val="44"/>
          <w:szCs w:val="44"/>
          <w:highlight w:val="none"/>
          <w:lang w:eastAsia="zh-CN"/>
        </w:rPr>
      </w:pPr>
      <w:r>
        <w:rPr>
          <w:rFonts w:hint="eastAsia" w:ascii="仿宋" w:hAnsi="仿宋" w:eastAsia="仿宋" w:cs="仿宋"/>
          <w:bCs/>
          <w:color w:val="auto"/>
          <w:sz w:val="44"/>
          <w:szCs w:val="44"/>
          <w:highlight w:val="none"/>
          <w:lang w:eastAsia="zh-CN"/>
        </w:rPr>
        <w:t xml:space="preserve">2026年市管道路空洞及桥梁结构检测-道路空洞探测</w:t>
      </w:r>
      <w:r/>
    </w:p>
    <w:p>
      <w:pP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999"/>
        <w:ind w:firstLine="560"/>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Cs/>
          <w:color w:val="auto"/>
          <w:sz w:val="36"/>
          <w:szCs w:val="36"/>
          <w:highlight w:val="none"/>
        </w:rPr>
        <w:t xml:space="preserve">投标文件</w:t>
      </w:r>
      <w:r/>
    </w:p>
    <w:p>
      <w:pPr>
        <w:jc w:val="cente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jc w:val="center"/>
        <w:keepLines w:val="0"/>
        <w:keepNext w:val="0"/>
        <w:pageBreakBefore w:val="0"/>
        <w:spacing w:line="360" w:lineRule="auto"/>
        <w:rPr>
          <w:rFonts w:hint="default" w:ascii="仿宋" w:hAnsi="仿宋" w:eastAsia="仿宋" w:cs="仿宋"/>
          <w:b/>
          <w:color w:val="auto"/>
          <w:sz w:val="36"/>
          <w:szCs w:val="36"/>
          <w:highlight w:val="none"/>
          <w:lang w:val="en-US" w:eastAsia="zh-CN"/>
        </w:rPr>
      </w:pPr>
      <w:r>
        <w:rPr>
          <w:rFonts w:hint="default" w:ascii="仿宋" w:hAnsi="仿宋" w:eastAsia="仿宋" w:cs="仿宋"/>
          <w:b/>
          <w:color w:val="auto"/>
          <w:sz w:val="36"/>
          <w:szCs w:val="36"/>
          <w:highlight w:val="none"/>
          <w:lang w:val="en-US" w:eastAsia="zh-CN"/>
        </w:rPr>
      </w:r>
      <w:r/>
    </w:p>
    <w:p>
      <w:pPr>
        <w:jc w:val="center"/>
        <w:keepLines w:val="0"/>
        <w:keepNext w:val="0"/>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投标人：</w:t>
      </w:r>
      <w:r>
        <w:rPr>
          <w:rFonts w:hint="eastAsia" w:ascii="仿宋" w:hAnsi="仿宋" w:eastAsia="仿宋" w:cs="仿宋"/>
          <w:color w:val="auto"/>
          <w:sz w:val="36"/>
          <w:szCs w:val="36"/>
          <w:highlight w:val="none"/>
          <w:u w:val="single"/>
        </w:rPr>
        <w:t xml:space="preserve">（名称打印并盖法人公章）</w:t>
      </w:r>
      <w:r/>
    </w:p>
    <w:p>
      <w:pPr>
        <w:jc w:val="center"/>
        <w:keepLines w:val="0"/>
        <w:keepNext w:val="0"/>
        <w:pageBreakBefore w:val="0"/>
        <w:spacing w:line="360" w:lineRule="auto"/>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法定代表人或其委托代理人：</w:t>
      </w:r>
      <w:r>
        <w:rPr>
          <w:rFonts w:hint="eastAsia" w:ascii="仿宋" w:hAnsi="仿宋" w:eastAsia="仿宋" w:cs="仿宋"/>
          <w:color w:val="auto"/>
          <w:sz w:val="36"/>
          <w:szCs w:val="36"/>
          <w:highlight w:val="none"/>
          <w:u w:val="single"/>
        </w:rPr>
        <w:t xml:space="preserve">（签字或盖章）</w:t>
      </w:r>
      <w:r/>
    </w:p>
    <w:p>
      <w:pPr>
        <w:jc w:val="center"/>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月</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日</w:t>
      </w:r>
      <w:r/>
    </w:p>
    <w:p>
      <w:pPr>
        <w:jc w:val="left"/>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9"/>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99"/>
        <w:ind w:firstLine="56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keepLines w:val="0"/>
        <w:keepNext w:val="0"/>
        <w:pageBreakBefore w:val="0"/>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 录</w:t>
      </w:r>
      <w:r/>
    </w:p>
    <w:p>
      <w:pPr>
        <w:ind w:left="0" w:firstLine="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 投标函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 开标一览表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 分项价格表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4．偏离表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5. 法定代表人授权书</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6. 中小企业声明函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7. 残疾人福利性单位声明函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8. 投标人参加政府采购活动前3年内在经营活动中没有重大违法记录的书面声明</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9. 具备履行合同所必需的设备和专业技术能力的书面声明（附证明材料复印件）</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10.预付款保函支付条款模</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11.项目组成员名单</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12.拟投入设备清单</w:t>
      </w:r>
      <w:r/>
    </w:p>
    <w:p>
      <w:pPr>
        <w:ind w:left="641" w:firstLine="0"/>
        <w:keepLines w:val="0"/>
        <w:keepNext w:val="0"/>
        <w:pageBreakBefore w:val="0"/>
        <w:spacing w:line="360" w:lineRule="auto"/>
        <w:widowControl w:val="off"/>
        <w:rPr>
          <w:rFonts w:hint="default" w:ascii="仿宋" w:hAnsi="仿宋" w:eastAsia="仿宋" w:cs="仿宋"/>
          <w:color w:val="auto"/>
          <w:sz w:val="32"/>
          <w:szCs w:val="32"/>
          <w:highlight w:val="none"/>
          <w:lang w:val="en-US" w:eastAsia="zh-CN"/>
        </w:rPr>
        <w:sectPr>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2"/>
          <w:szCs w:val="32"/>
          <w:highlight w:val="none"/>
          <w:lang w:val="en-US" w:eastAsia="zh-CN"/>
        </w:rPr>
        <w:t xml:space="preserve">13.设立实验室承诺书</w:t>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徐州市市政管理中心</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right="0" w:firstLine="560"/>
        <w:keepLines w:val="0"/>
        <w:keepNext w:val="0"/>
        <w:pageBreakBefore w:val="0"/>
        <w:spacing w:line="360" w:lineRule="auto"/>
        <w:widowControl w:val="o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ind w:right="0" w:firstLine="56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tbl>
      <w:tblPr>
        <w:tblStyle w:val="942"/>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ind w:left="0" w:firstLine="0"/>
              <w:jc w:val="both"/>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2026年市管道路空洞及桥梁结构检测-道路空洞探测</w:t>
            </w:r>
            <w:r/>
          </w:p>
        </w:tc>
        <w:tc>
          <w:tcPr>
            <w:tcMar>
              <w:left w:w="108" w:type="dxa"/>
              <w:top w:w="0" w:type="dxa"/>
              <w:right w:w="108" w:type="dxa"/>
              <w:bottom w:w="0" w:type="dxa"/>
            </w:tcMar>
            <w:tcW w:w="2119" w:type="dxa"/>
            <w:vAlign w:val="center"/>
            <w:textDirection w:val="lrTb"/>
            <w:noWrap w:val="false"/>
          </w:tcPr>
          <w:p>
            <w:pPr>
              <w:ind w:left="0" w:firstLine="0"/>
              <w:jc w:val="both"/>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978"/>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8"/>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      </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货币单位：人民币元</w:t>
      </w:r>
      <w:r/>
    </w:p>
    <w:p>
      <w:pP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241"/>
        <w:ind w:left="0"/>
        <w:jc w:val="cente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32"/>
          <w:szCs w:val="32"/>
          <w:highlight w:val="none"/>
        </w:rPr>
        <w:t xml:space="preserve">（格式自拟）</w:t>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940"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940"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投标人：（盖电子签章）</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投标人法定代表人或授权代表：（签字或电子签章）</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说明：</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2.享受政府采购支持政策的残疾人福利性单位应满足的条件以《关于促进残疾人就业政府采购政策的通知》（财库〔2017〕141号）的规定为准。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注：</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①如果不提供详细分项报价的，将视为没有实质性响应招标文件。</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②投标人对以上数据的真实性负责。</w:t>
      </w:r>
      <w:r/>
    </w:p>
    <w:p>
      <w:pPr>
        <w:ind w:firstLine="211"/>
        <w:keepLines w:val="0"/>
        <w:keepNext w:val="0"/>
        <w:pageBreakBefore w:val="0"/>
        <w:spacing w:line="360" w:lineRule="auto"/>
        <w:rPr>
          <w:rFonts w:hint="eastAsia" w:ascii="仿宋" w:hAnsi="仿宋" w:eastAsia="仿宋" w:cs="仿宋"/>
          <w:b/>
          <w:i/>
          <w:color w:val="auto"/>
          <w:sz w:val="24"/>
          <w:szCs w:val="24"/>
          <w:highlight w:val="none"/>
        </w:rPr>
      </w:pPr>
      <w:r>
        <w:rPr>
          <w:rFonts w:hint="eastAsia" w:ascii="仿宋" w:hAnsi="仿宋" w:eastAsia="仿宋" w:cs="仿宋"/>
          <w:b/>
          <w:i/>
          <w:color w:val="auto"/>
          <w:sz w:val="24"/>
          <w:szCs w:val="24"/>
          <w:highlight w:val="none"/>
          <w:lang w:val="en-US" w:eastAsia="zh-CN"/>
        </w:rPr>
        <w:t xml:space="preserve">采购人或采购代理机构</w:t>
      </w:r>
      <w:r>
        <w:rPr>
          <w:rFonts w:hint="eastAsia" w:ascii="仿宋" w:hAnsi="仿宋" w:eastAsia="仿宋" w:cs="仿宋"/>
          <w:b/>
          <w:i/>
          <w:color w:val="auto"/>
          <w:sz w:val="24"/>
          <w:szCs w:val="24"/>
          <w:highlight w:val="none"/>
        </w:rPr>
        <w:t xml:space="preserve">有权将以上内容进行公示。</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942"/>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8"/>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950"/>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958"/>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88"/>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8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8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8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8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88"/>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88"/>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8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8"/>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88"/>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88"/>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8"/>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keepLines w:val="0"/>
        <w:keepNext w:val="0"/>
        <w:pageBreakBefore w:val="0"/>
        <w:spacing w:line="360" w:lineRule="auto"/>
        <w:rPr>
          <w:rStyle w:val="1072"/>
          <w:rFonts w:hint="eastAsia" w:ascii="仿宋" w:hAnsi="仿宋" w:eastAsia="仿宋" w:cs="仿宋"/>
          <w:color w:val="auto"/>
          <w:sz w:val="24"/>
          <w:szCs w:val="24"/>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徐州市市政管理中心</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2026年市管道路空洞及桥梁结构检测-道路空洞探测</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1、（标的名称），属于（技术服务业）； 承建（承接）企业为（企业名称），从业人员</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 （</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中型企业、</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小型企业、</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b/>
          <w:bCs/>
          <w:color w:val="ff0000"/>
          <w:sz w:val="32"/>
          <w:szCs w:val="32"/>
          <w:highlight w:val="none"/>
        </w:rPr>
        <w:t xml:space="preserve">请填空！</w:t>
      </w:r>
      <w:r>
        <w:rPr>
          <w:rFonts w:hint="eastAsia" w:ascii="宋体" w:hAnsi="宋体" w:cs="宋体"/>
          <w:b/>
          <w:bCs/>
          <w:color w:val="ff0000"/>
          <w:sz w:val="32"/>
          <w:szCs w:val="32"/>
          <w:highlight w:val="none"/>
          <w:lang w:val="en-US" w:eastAsia="zh-CN"/>
        </w:rPr>
        <w:t xml:space="preserve">)</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注：本采购项目属于</w:t>
      </w:r>
      <w:r>
        <w:rPr>
          <w:rFonts w:hint="eastAsia" w:ascii="宋体" w:hAnsi="宋体" w:eastAsia="宋体" w:cs="宋体"/>
          <w:color w:val="auto"/>
          <w:sz w:val="28"/>
          <w:szCs w:val="28"/>
          <w:highlight w:val="none"/>
          <w:u w:val="single"/>
        </w:rPr>
        <w:t xml:space="preserve">“技术服务业”</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备注：从业人员、营业收入、资产总额填报上一年度数据，无上一年度数据的新成立企业可不填报。</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9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9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94"/>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9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9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21"/>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3.5pt;height:29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2026年市管道路空洞及桥梁结构检测-道路空洞探测</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JSZC-320300-JSZG-G2026-0039</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1088"/>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7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firstLine="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numPr>
          <w:ilvl w:val="0"/>
          <w:numId w:val="0"/>
        </w:numPr>
        <w:ind w:left="0" w:firstLine="746"/>
        <w:jc w:val="both"/>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bidi="ar-SA"/>
        </w:rPr>
        <w:t xml:space="preserve">十</w:t>
      </w:r>
      <w:r>
        <w:rPr>
          <w:rFonts w:hint="eastAsia" w:ascii="宋体" w:hAnsi="宋体" w:cs="宋体"/>
          <w:b/>
          <w:color w:val="auto"/>
          <w:sz w:val="28"/>
          <w:szCs w:val="28"/>
          <w:highlight w:val="none"/>
          <w:lang w:val="en-US" w:eastAsia="zh-CN" w:bidi="ar-SA"/>
        </w:rPr>
        <w:t xml:space="preserve">一</w:t>
      </w:r>
      <w:r>
        <w:rPr>
          <w:rFonts w:hint="eastAsia" w:ascii="宋体" w:hAnsi="宋体" w:eastAsia="宋体" w:cs="宋体"/>
          <w:b/>
          <w:color w:val="auto"/>
          <w:sz w:val="28"/>
          <w:szCs w:val="28"/>
          <w:highlight w:val="none"/>
          <w:lang w:val="en-US" w:eastAsia="zh-CN" w:bidi="ar-SA"/>
        </w:rPr>
        <w:t xml:space="preserve">、</w:t>
      </w:r>
      <w:r>
        <w:rPr>
          <w:rFonts w:hint="eastAsia" w:ascii="宋体" w:hAnsi="宋体" w:cs="宋体"/>
          <w:b/>
          <w:color w:val="auto"/>
          <w:sz w:val="28"/>
          <w:szCs w:val="28"/>
          <w:highlight w:val="none"/>
          <w:lang w:val="en-US" w:eastAsia="zh-CN" w:bidi="ar-SA"/>
        </w:rPr>
        <w:t xml:space="preserve">项目组成员</w:t>
      </w:r>
      <w:r>
        <w:rPr>
          <w:rFonts w:hint="eastAsia" w:ascii="宋体" w:hAnsi="宋体" w:cs="宋体"/>
          <w:b/>
          <w:color w:val="auto"/>
          <w:sz w:val="28"/>
          <w:szCs w:val="28"/>
          <w:highlight w:val="none"/>
          <w:lang w:val="en-US" w:eastAsia="zh-CN"/>
        </w:rPr>
        <w:t xml:space="preserve">名单</w:t>
      </w:r>
      <w:r>
        <w:rPr>
          <w:sz w:val="28"/>
          <w:szCs w:val="28"/>
        </w:rP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pStyle w:val="950"/>
        <w:numPr>
          <w:ilvl w:val="0"/>
          <w:numId w:val="0"/>
        </w:numPr>
        <w:ind w:right="0" w:firstLine="560"/>
        <w:keepLines w:val="0"/>
        <w:keepNext w:val="0"/>
        <w:pageBreakBefore w:val="0"/>
        <w:spacing w:after="0"/>
        <w:widowControl w:val="off"/>
        <w:rPr>
          <w:rFonts w:hint="default" w:ascii="宋体" w:hAnsi="宋体" w:cs="宋体"/>
          <w:bCs/>
          <w:color w:val="auto"/>
          <w:sz w:val="28"/>
          <w:szCs w:val="28"/>
          <w:highlight w:val="none"/>
          <w:u w:val="single"/>
          <w:lang w:val="en-US"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253"/>
        <w:gridCol w:w="795"/>
        <w:gridCol w:w="1860"/>
        <w:gridCol w:w="1458"/>
        <w:gridCol w:w="1872"/>
        <w:gridCol w:w="862"/>
      </w:tblGrid>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序号</w:t>
            </w:r>
            <w:r/>
          </w:p>
        </w:tc>
        <w:tc>
          <w:tcPr>
            <w:tcW w:w="1253"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人员姓名</w:t>
            </w:r>
            <w:r/>
          </w:p>
        </w:tc>
        <w:tc>
          <w:tcPr>
            <w:tcW w:w="795"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年龄</w:t>
            </w:r>
            <w:r/>
          </w:p>
        </w:tc>
        <w:tc>
          <w:tcPr>
            <w:tcW w:w="1860"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职称</w:t>
            </w:r>
            <w:r/>
          </w:p>
        </w:tc>
        <w:tc>
          <w:tcPr>
            <w:tcW w:w="1458"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资格证书</w:t>
            </w:r>
            <w:r/>
          </w:p>
        </w:tc>
        <w:tc>
          <w:tcPr>
            <w:tcW w:w="1872"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资格证书编号及颁发部门</w:t>
            </w:r>
            <w:r/>
          </w:p>
        </w:tc>
        <w:tc>
          <w:tcPr>
            <w:tcW w:w="862"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备注</w:t>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2</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3</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4</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5</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6</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7</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8</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9</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10</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11</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12</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13</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14</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bl>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right="6"/>
        <w:keepLines w:val="0"/>
        <w:keepNext w:val="0"/>
        <w:pageBreakBefore w:val="0"/>
        <w:spacing w:line="312"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职称证书、资格证书及开标时间前六个月内任意1个月投标人为以上人员缴纳的社保证明扫描件。</w:t>
      </w:r>
      <w:r/>
    </w:p>
    <w:p>
      <w:pPr>
        <w:spacing w:line="30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50"/>
        <w:ind w:left="0" w:firstLine="0"/>
        <w:rPr>
          <w:rFonts w:hint="eastAsia" w:eastAsia="宋体"/>
          <w:highlight w:val="none"/>
          <w:lang w:val="en-US" w:eastAsia="zh-CN"/>
        </w:rPr>
      </w:pPr>
      <w:r>
        <w:rPr>
          <w:rFonts w:hint="eastAsia"/>
          <w:b/>
          <w:bCs/>
          <w:highlight w:val="none"/>
          <w:lang w:val="en-US" w:eastAsia="zh-CN"/>
        </w:rPr>
        <w:t xml:space="preserve">十二、</w:t>
      </w:r>
      <w:r>
        <w:rPr>
          <w:rFonts w:hint="eastAsia" w:ascii="仿宋" w:hAnsi="仿宋" w:eastAsia="仿宋" w:cs="仿宋"/>
          <w:b/>
          <w:bCs/>
          <w:color w:val="auto"/>
          <w:sz w:val="32"/>
          <w:szCs w:val="32"/>
          <w:highlight w:val="none"/>
          <w:lang w:val="en-US" w:eastAsia="zh-CN"/>
        </w:rPr>
        <w:t xml:space="preserve">拟投入设备清单</w:t>
      </w: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pStyle w:val="950"/>
        <w:numPr>
          <w:ilvl w:val="0"/>
          <w:numId w:val="0"/>
        </w:numPr>
        <w:ind w:right="0" w:firstLine="560"/>
        <w:keepLines w:val="0"/>
        <w:keepNext w:val="0"/>
        <w:pageBreakBefore w:val="0"/>
        <w:spacing w:after="0"/>
        <w:widowControl w:val="off"/>
        <w:rPr>
          <w:rFonts w:hint="eastAsia" w:ascii="宋体" w:hAnsi="宋体" w:cs="宋体"/>
          <w:bCs/>
          <w:color w:val="auto"/>
          <w:sz w:val="28"/>
          <w:szCs w:val="28"/>
          <w:highlight w:val="none"/>
          <w:u w:val="single"/>
          <w:lang w:val="en-US"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tbl>
      <w:tblPr>
        <w:tblStyle w:val="9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814"/>
        <w:gridCol w:w="2685"/>
        <w:gridCol w:w="2726"/>
        <w:gridCol w:w="1115"/>
      </w:tblGrid>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序号</w:t>
            </w:r>
            <w:r/>
          </w:p>
        </w:tc>
        <w:tc>
          <w:tcPr>
            <w:tcW w:w="1814" w:type="dxa"/>
            <w:textDirection w:val="lrTb"/>
            <w:noWrap w:val="false"/>
          </w:tcPr>
          <w:p>
            <w:pPr>
              <w:pStyle w:val="950"/>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设备名称及规格型号</w:t>
            </w:r>
            <w:r/>
          </w:p>
        </w:tc>
        <w:tc>
          <w:tcPr>
            <w:tcW w:w="2685" w:type="dxa"/>
            <w:textDirection w:val="lrTb"/>
            <w:noWrap w:val="false"/>
          </w:tcPr>
          <w:p>
            <w:pPr>
              <w:pStyle w:val="950"/>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提供形式（自有/租赁/承诺购买/承诺租赁）</w:t>
            </w:r>
            <w:r/>
          </w:p>
        </w:tc>
        <w:tc>
          <w:tcPr>
            <w:tcW w:w="2726" w:type="dxa"/>
            <w:textDirection w:val="lrTb"/>
            <w:noWrap w:val="false"/>
          </w:tcPr>
          <w:p>
            <w:pPr>
              <w:pStyle w:val="950"/>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证明材料/承诺函所在页码</w:t>
            </w:r>
            <w:r/>
          </w:p>
        </w:tc>
        <w:tc>
          <w:tcPr>
            <w:tcW w:w="1115" w:type="dxa"/>
            <w:textDirection w:val="lrTb"/>
            <w:noWrap w:val="false"/>
          </w:tcPr>
          <w:p>
            <w:pPr>
              <w:pStyle w:val="950"/>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其他</w:t>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2</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3</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4</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5</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6</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7</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8</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9</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10</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11</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12</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13</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14</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15</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16</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0"/>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w:t>
            </w:r>
            <w:r/>
          </w:p>
        </w:tc>
        <w:tc>
          <w:tcPr>
            <w:tcW w:w="1814"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0"/>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bl>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0" w:firstLine="0"/>
        <w:spacing w:line="30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投标人可根据实际需要增加填报信息，但不应少于以上内容。</w:t>
      </w:r>
      <w:r/>
    </w:p>
    <w:p>
      <w:pPr>
        <w:ind w:left="0" w:firstLine="0"/>
        <w:spacing w:line="30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left="0" w:firstLine="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950"/>
        <w:ind w:left="0" w:firstLine="0"/>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left="0" w:firstLine="0"/>
        <w:rPr>
          <w:rFonts w:hint="default" w:ascii="仿宋" w:hAnsi="仿宋" w:eastAsia="仿宋" w:cs="仿宋"/>
          <w:b/>
          <w:bCs/>
          <w:color w:val="auto"/>
          <w:sz w:val="32"/>
          <w:szCs w:val="32"/>
          <w:highlight w:val="none"/>
          <w:lang w:val="en-US" w:eastAsia="zh-CN"/>
        </w:rPr>
      </w:pPr>
      <w:r>
        <w:rPr>
          <w:rFonts w:hint="default" w:ascii="仿宋" w:hAnsi="仿宋" w:eastAsia="仿宋" w:cs="仿宋"/>
          <w:b/>
          <w:bCs/>
          <w:color w:val="auto"/>
          <w:sz w:val="32"/>
          <w:szCs w:val="32"/>
          <w:highlight w:val="none"/>
          <w:lang w:val="en-US" w:eastAsia="zh-CN"/>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方正仿宋_GB2312">
    <w:panose1 w:val="020B05030202020202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68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t xml:space="preserve">第 </w:t>
                          </w:r>
                          <w:r>
                            <w:fldChar w:fldCharType="begin"/>
                          </w:r>
                          <w:r>
                            <w:instrText xml:space="preserve"> PAGE  \* MERGEFORMAT </w:instrText>
                          </w:r>
                          <w:r>
                            <w:fldChar w:fldCharType="separate"/>
                          </w:r>
                          <w:r>
                            <w:t xml:space="preserve">116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t xml:space="preserve">第 </w:t>
                    </w:r>
                    <w:r>
                      <w:fldChar w:fldCharType="begin"/>
                    </w:r>
                    <w:r>
                      <w:instrText xml:space="preserve"> PAGE  \* MERGEFORMAT </w:instrText>
                    </w:r>
                    <w:r>
                      <w:fldChar w:fldCharType="separate"/>
                    </w:r>
                    <w:r>
                      <w:t xml:space="preserve">116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Bdr>
        <w:bottom w:val="single" w:color="000000" w:sz="4" w:space="0"/>
      </w:pBdr>
    </w:pPr>
    <w:r>
      <w:rPr>
        <w:rFonts w:hint="eastAsia"/>
      </w:rPr>
      <w:t xml:space="preserve">2026年市管道路空洞及桥梁结构检测-道路空洞探测招标文件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2026年市管道路空洞及桥梁结构检测</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link w:val="1234"/>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932">
    <w:name w:val="Heading 1"/>
    <w:basedOn w:val="931"/>
    <w:next w:val="931"/>
    <w:link w:val="1002"/>
    <w:uiPriority w:val="9"/>
    <w:qFormat/>
    <w:pPr>
      <w:jc w:val="center"/>
      <w:keepLines/>
      <w:keepNext/>
      <w:spacing w:before="100" w:after="100" w:line="240" w:lineRule="auto"/>
      <w:outlineLvl w:val="0"/>
    </w:pPr>
    <w:rPr>
      <w:rFonts w:ascii="Arial" w:hAnsi="Arial" w:cs="Arial"/>
      <w:b/>
      <w:szCs w:val="40"/>
    </w:rPr>
  </w:style>
  <w:style w:type="paragraph" w:styleId="933">
    <w:name w:val="Heading 2"/>
    <w:basedOn w:val="931"/>
    <w:next w:val="931"/>
    <w:link w:val="1003"/>
    <w:uiPriority w:val="9"/>
    <w:unhideWhenUsed/>
    <w:qFormat/>
    <w:pPr>
      <w:keepLines/>
      <w:keepNext/>
      <w:spacing w:before="360" w:after="200"/>
      <w:outlineLvl w:val="1"/>
    </w:pPr>
    <w:rPr>
      <w:rFonts w:ascii="Arial" w:hAnsi="Arial" w:eastAsia="Arial" w:cs="Arial"/>
      <w:sz w:val="34"/>
    </w:rPr>
  </w:style>
  <w:style w:type="paragraph" w:styleId="934">
    <w:name w:val="Heading 3"/>
    <w:basedOn w:val="931"/>
    <w:next w:val="931"/>
    <w:link w:val="1004"/>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31"/>
    <w:next w:val="931"/>
    <w:link w:val="1005"/>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31"/>
    <w:next w:val="931"/>
    <w:link w:val="1006"/>
    <w:uiPriority w:val="9"/>
    <w:unhideWhenUsed/>
    <w:qFormat/>
    <w:pPr>
      <w:keepLines/>
      <w:keepNext/>
      <w:spacing w:before="320" w:after="200"/>
      <w:outlineLvl w:val="4"/>
    </w:pPr>
    <w:rPr>
      <w:rFonts w:ascii="Arial" w:hAnsi="Arial" w:eastAsia="Arial" w:cs="Arial"/>
      <w:b/>
      <w:bCs/>
      <w:sz w:val="24"/>
      <w:szCs w:val="24"/>
    </w:rPr>
  </w:style>
  <w:style w:type="paragraph" w:styleId="937">
    <w:name w:val="Heading 6"/>
    <w:basedOn w:val="931"/>
    <w:next w:val="931"/>
    <w:link w:val="1007"/>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1008"/>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1009"/>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1010"/>
    <w:uiPriority w:val="9"/>
    <w:unhideWhenUsed/>
    <w:qFormat/>
    <w:pPr>
      <w:keepLines/>
      <w:keepNext/>
      <w:spacing w:before="320" w:after="200"/>
      <w:outlineLvl w:val="8"/>
    </w:pPr>
    <w:rPr>
      <w:rFonts w:ascii="Arial" w:hAnsi="Arial" w:eastAsia="Arial" w:cs="Arial"/>
      <w:i/>
      <w:iCs/>
      <w:sz w:val="21"/>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toc 7"/>
    <w:basedOn w:val="931"/>
    <w:next w:val="931"/>
    <w:uiPriority w:val="39"/>
    <w:unhideWhenUsed/>
    <w:qFormat/>
    <w:pPr>
      <w:ind w:left="1701" w:right="0" w:firstLine="0"/>
      <w:spacing w:after="57"/>
    </w:pPr>
  </w:style>
  <w:style w:type="paragraph" w:styleId="944">
    <w:name w:val="Normal Indent"/>
    <w:basedOn w:val="931"/>
    <w:uiPriority w:val="0"/>
    <w:qFormat/>
    <w:pPr>
      <w:ind w:firstLine="420"/>
    </w:pPr>
  </w:style>
  <w:style w:type="paragraph" w:styleId="945">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6">
    <w:name w:val="index 5"/>
    <w:basedOn w:val="931"/>
    <w:next w:val="931"/>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947">
    <w:name w:val="annotation text"/>
    <w:basedOn w:val="931"/>
    <w:uiPriority w:val="99"/>
    <w:semiHidden/>
    <w:unhideWhenUsed/>
    <w:qFormat/>
    <w:pPr>
      <w:jc w:val="left"/>
    </w:pPr>
  </w:style>
  <w:style w:type="paragraph" w:styleId="948">
    <w:name w:val="Body Text"/>
    <w:basedOn w:val="931"/>
    <w:next w:val="949"/>
    <w:uiPriority w:val="0"/>
    <w:qFormat/>
    <w:rPr>
      <w:rFonts w:ascii="楷体_GB2312" w:hAnsi="Arial" w:eastAsia="楷体_GB2312"/>
      <w:sz w:val="28"/>
      <w:szCs w:val="28"/>
    </w:rPr>
  </w:style>
  <w:style w:type="paragraph" w:styleId="949">
    <w:name w:val="Quote"/>
    <w:basedOn w:val="931"/>
    <w:next w:val="931"/>
    <w:link w:val="1015"/>
    <w:uiPriority w:val="29"/>
    <w:qFormat/>
    <w:pPr>
      <w:ind w:left="720" w:right="720"/>
    </w:pPr>
    <w:rPr>
      <w:i/>
    </w:rPr>
  </w:style>
  <w:style w:type="paragraph" w:styleId="950">
    <w:name w:val="Block Text"/>
    <w:basedOn w:val="931"/>
    <w:uiPriority w:val="99"/>
    <w:unhideWhenUsed/>
    <w:qFormat/>
    <w:pPr>
      <w:ind w:left="1440" w:right="1440"/>
      <w:spacing w:after="120"/>
    </w:pPr>
  </w:style>
  <w:style w:type="paragraph" w:styleId="951">
    <w:name w:val="toc 5"/>
    <w:basedOn w:val="931"/>
    <w:next w:val="931"/>
    <w:uiPriority w:val="39"/>
    <w:unhideWhenUsed/>
    <w:qFormat/>
    <w:pPr>
      <w:ind w:left="1134" w:right="0" w:firstLine="0"/>
      <w:spacing w:after="57"/>
    </w:pPr>
  </w:style>
  <w:style w:type="paragraph" w:styleId="952">
    <w:name w:val="toc 3"/>
    <w:basedOn w:val="931"/>
    <w:next w:val="931"/>
    <w:uiPriority w:val="39"/>
    <w:unhideWhenUsed/>
    <w:qFormat/>
    <w:pPr>
      <w:ind w:left="567" w:right="0" w:firstLine="0"/>
      <w:spacing w:after="57"/>
    </w:pPr>
  </w:style>
  <w:style w:type="paragraph" w:styleId="953">
    <w:name w:val="Plain Text"/>
    <w:basedOn w:val="931"/>
    <w:uiPriority w:val="0"/>
    <w:qFormat/>
    <w:rPr>
      <w:rFonts w:ascii="宋体" w:hAnsi="宋体"/>
    </w:rPr>
  </w:style>
  <w:style w:type="paragraph" w:styleId="954">
    <w:name w:val="toc 8"/>
    <w:basedOn w:val="931"/>
    <w:next w:val="931"/>
    <w:uiPriority w:val="39"/>
    <w:unhideWhenUsed/>
    <w:qFormat/>
    <w:pPr>
      <w:ind w:left="1984" w:right="0" w:firstLine="0"/>
      <w:spacing w:after="57"/>
    </w:pPr>
  </w:style>
  <w:style w:type="paragraph" w:styleId="955">
    <w:name w:val="endnote text"/>
    <w:basedOn w:val="931"/>
    <w:link w:val="1021"/>
    <w:uiPriority w:val="99"/>
    <w:semiHidden/>
    <w:unhideWhenUsed/>
    <w:qFormat/>
    <w:pPr>
      <w:spacing w:after="0" w:line="240" w:lineRule="auto"/>
    </w:pPr>
    <w:rPr>
      <w:sz w:val="20"/>
    </w:rPr>
  </w:style>
  <w:style w:type="paragraph" w:styleId="956">
    <w:name w:val="Footer"/>
    <w:basedOn w:val="931"/>
    <w:link w:val="1019"/>
    <w:uiPriority w:val="99"/>
    <w:unhideWhenUsed/>
    <w:qFormat/>
    <w:pPr>
      <w:spacing w:after="0" w:line="240" w:lineRule="auto"/>
      <w:tabs>
        <w:tab w:val="center" w:pos="7143" w:leader="none"/>
        <w:tab w:val="right" w:pos="14287" w:leader="none"/>
      </w:tabs>
    </w:pPr>
  </w:style>
  <w:style w:type="paragraph" w:styleId="957">
    <w:name w:val="Header"/>
    <w:basedOn w:val="931"/>
    <w:link w:val="1018"/>
    <w:uiPriority w:val="99"/>
    <w:unhideWhenUsed/>
    <w:qFormat/>
    <w:pPr>
      <w:spacing w:after="0" w:line="240" w:lineRule="auto"/>
      <w:tabs>
        <w:tab w:val="center" w:pos="7143" w:leader="none"/>
        <w:tab w:val="right" w:pos="14287" w:leader="none"/>
      </w:tabs>
    </w:pPr>
  </w:style>
  <w:style w:type="paragraph" w:styleId="958">
    <w:name w:val="toc 1"/>
    <w:basedOn w:val="931"/>
    <w:next w:val="931"/>
    <w:uiPriority w:val="39"/>
    <w:unhideWhenUsed/>
    <w:qFormat/>
    <w:pPr>
      <w:ind w:left="0" w:right="0" w:firstLine="0"/>
      <w:spacing w:after="57"/>
    </w:pPr>
  </w:style>
  <w:style w:type="paragraph" w:styleId="959">
    <w:name w:val="toc 4"/>
    <w:basedOn w:val="931"/>
    <w:next w:val="931"/>
    <w:uiPriority w:val="39"/>
    <w:unhideWhenUsed/>
    <w:qFormat/>
    <w:pPr>
      <w:ind w:left="850" w:right="0" w:firstLine="0"/>
      <w:spacing w:after="57"/>
    </w:pPr>
  </w:style>
  <w:style w:type="paragraph" w:styleId="960">
    <w:name w:val="Subtitle"/>
    <w:basedOn w:val="931"/>
    <w:next w:val="931"/>
    <w:link w:val="1014"/>
    <w:uiPriority w:val="11"/>
    <w:qFormat/>
    <w:pPr>
      <w:spacing w:before="200" w:after="200"/>
    </w:pPr>
    <w:rPr>
      <w:sz w:val="24"/>
      <w:szCs w:val="24"/>
    </w:rPr>
  </w:style>
  <w:style w:type="paragraph" w:styleId="961">
    <w:name w:val="footnote text"/>
    <w:basedOn w:val="931"/>
    <w:next w:val="946"/>
    <w:link w:val="1020"/>
    <w:uiPriority w:val="99"/>
    <w:semiHidden/>
    <w:unhideWhenUsed/>
    <w:qFormat/>
    <w:pPr>
      <w:spacing w:after="40" w:line="240" w:lineRule="auto"/>
    </w:pPr>
    <w:rPr>
      <w:sz w:val="18"/>
    </w:rPr>
  </w:style>
  <w:style w:type="paragraph" w:styleId="962">
    <w:name w:val="toc 6"/>
    <w:basedOn w:val="931"/>
    <w:next w:val="931"/>
    <w:uiPriority w:val="39"/>
    <w:unhideWhenUsed/>
    <w:qFormat/>
    <w:pPr>
      <w:ind w:left="1417" w:right="0" w:firstLine="0"/>
      <w:spacing w:after="57"/>
    </w:pPr>
  </w:style>
  <w:style w:type="paragraph" w:styleId="963">
    <w:name w:val="Body Text Indent 3"/>
    <w:basedOn w:val="931"/>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964">
    <w:name w:val="table of figures"/>
    <w:basedOn w:val="931"/>
    <w:next w:val="931"/>
    <w:uiPriority w:val="99"/>
    <w:unhideWhenUsed/>
    <w:qFormat/>
    <w:pPr>
      <w:spacing w:after="0" w:afterAutospacing="0"/>
    </w:pPr>
  </w:style>
  <w:style w:type="paragraph" w:styleId="965">
    <w:name w:val="toc 2"/>
    <w:basedOn w:val="931"/>
    <w:next w:val="931"/>
    <w:uiPriority w:val="39"/>
    <w:unhideWhenUsed/>
    <w:qFormat/>
    <w:pPr>
      <w:ind w:left="283" w:right="0" w:firstLine="0"/>
      <w:spacing w:after="57"/>
    </w:pPr>
  </w:style>
  <w:style w:type="paragraph" w:styleId="966">
    <w:name w:val="toc 9"/>
    <w:basedOn w:val="931"/>
    <w:next w:val="931"/>
    <w:uiPriority w:val="39"/>
    <w:unhideWhenUsed/>
    <w:qFormat/>
    <w:pPr>
      <w:ind w:left="2268" w:right="0" w:firstLine="0"/>
      <w:spacing w:after="57"/>
    </w:pPr>
  </w:style>
  <w:style w:type="paragraph" w:styleId="967">
    <w:name w:val="Normal (Web)"/>
    <w:basedOn w:val="931"/>
    <w:uiPriority w:val="0"/>
    <w:qFormat/>
    <w:pPr>
      <w:ind w:left="0" w:right="0"/>
      <w:jc w:val="left"/>
      <w:spacing w:before="0" w:beforeAutospacing="1" w:after="0" w:afterAutospacing="1"/>
    </w:pPr>
    <w:rPr>
      <w:sz w:val="24"/>
      <w:lang w:val="en-US" w:eastAsia="zh-CN" w:bidi="ar"/>
    </w:rPr>
  </w:style>
  <w:style w:type="paragraph" w:styleId="968">
    <w:name w:val="Title"/>
    <w:basedOn w:val="931"/>
    <w:next w:val="931"/>
    <w:link w:val="1013"/>
    <w:uiPriority w:val="10"/>
    <w:qFormat/>
    <w:pPr>
      <w:contextualSpacing/>
      <w:spacing w:before="300" w:after="200"/>
    </w:pPr>
    <w:rPr>
      <w:sz w:val="48"/>
      <w:szCs w:val="48"/>
    </w:rPr>
  </w:style>
  <w:style w:type="paragraph" w:styleId="969">
    <w:name w:val="Body Text First Indent 2"/>
    <w:next w:val="963"/>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9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41"/>
    <w:uiPriority w:val="0"/>
    <w:qFormat/>
    <w:rPr>
      <w:b/>
    </w:rPr>
  </w:style>
  <w:style w:type="character" w:styleId="972">
    <w:name w:val="endnote reference"/>
    <w:uiPriority w:val="99"/>
    <w:semiHidden/>
    <w:unhideWhenUsed/>
    <w:qFormat/>
    <w:rPr>
      <w:vertAlign w:val="superscript"/>
    </w:rPr>
  </w:style>
  <w:style w:type="character" w:styleId="973">
    <w:name w:val="page number"/>
    <w:uiPriority w:val="0"/>
    <w:qFormat/>
  </w:style>
  <w:style w:type="character" w:styleId="974">
    <w:name w:val="Emphasis"/>
    <w:basedOn w:val="941"/>
    <w:uiPriority w:val="20"/>
    <w:qFormat/>
    <w:rPr>
      <w:i/>
    </w:rPr>
  </w:style>
  <w:style w:type="character" w:styleId="975">
    <w:name w:val="Hyperlink"/>
    <w:uiPriority w:val="99"/>
    <w:unhideWhenUsed/>
    <w:qFormat/>
    <w:rPr>
      <w:color w:val="0000ff" w:themeColor="hyperlink"/>
      <w:u w:val="single"/>
      <w14:textFill>
        <w14:solidFill>
          <w14:schemeClr w14:val="hlink"/>
        </w14:solidFill>
      </w14:textFill>
    </w:rPr>
  </w:style>
  <w:style w:type="character" w:styleId="976">
    <w:name w:val="footnote reference"/>
    <w:uiPriority w:val="99"/>
    <w:unhideWhenUsed/>
    <w:qFormat/>
    <w:rPr>
      <w:vertAlign w:val="superscript"/>
    </w:rPr>
  </w:style>
  <w:style w:type="character" w:styleId="977" w:customStyle="1">
    <w:name w:val="NormalCharacter"/>
    <w:link w:val="978"/>
    <w:uiPriority w:val="0"/>
    <w:semiHidden/>
    <w:qFormat/>
    <w:rPr>
      <w:rFonts w:ascii="宋体" w:hAnsi="Calibri" w:eastAsia="宋体" w:cs="Times New Roman"/>
      <w:sz w:val="24"/>
      <w:szCs w:val="20"/>
    </w:rPr>
  </w:style>
  <w:style w:type="paragraph" w:styleId="978" w:customStyle="1">
    <w:name w:val="正文1"/>
    <w:basedOn w:val="979"/>
    <w:next w:val="980"/>
    <w:link w:val="977"/>
    <w:uiPriority w:val="0"/>
    <w:qFormat/>
    <w:pPr>
      <w:jc w:val="left"/>
      <w:spacing w:line="360" w:lineRule="atLeast"/>
    </w:pPr>
    <w:rPr>
      <w:rFonts w:ascii="宋体" w:hAnsi="Calibri" w:eastAsia="宋体" w:cs="Times New Roman"/>
      <w:sz w:val="24"/>
      <w:szCs w:val="20"/>
    </w:rPr>
  </w:style>
  <w:style w:type="paragraph" w:styleId="979" w:customStyle="1">
    <w:name w:val="正文111"/>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正文文本1"/>
    <w:basedOn w:val="981"/>
    <w:next w:val="983"/>
    <w:uiPriority w:val="99"/>
    <w:qFormat/>
    <w:pPr>
      <w:spacing w:after="120"/>
    </w:pPr>
    <w:rPr>
      <w:rFonts w:ascii="Calibri" w:hAnsi="Calibri"/>
    </w:rPr>
  </w:style>
  <w:style w:type="paragraph" w:styleId="981" w:customStyle="1">
    <w:name w:val="正文11"/>
    <w:next w:val="982"/>
    <w:link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目录 11"/>
    <w:basedOn w:val="978"/>
    <w:next w:val="981"/>
    <w:uiPriority w:val="0"/>
    <w:qFormat/>
    <w:pPr>
      <w:jc w:val="left"/>
      <w:spacing w:after="100" w:line="259" w:lineRule="auto"/>
      <w:widowControl/>
    </w:pPr>
    <w:rPr>
      <w:rFonts w:ascii="Calibri" w:hAnsi="Calibri"/>
      <w:sz w:val="22"/>
      <w:szCs w:val="22"/>
    </w:rPr>
  </w:style>
  <w:style w:type="paragraph" w:styleId="983" w:customStyle="1">
    <w:name w:val="一级条标题"/>
    <w:basedOn w:val="984"/>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next w:val="9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5" w:customStyle="1">
    <w:name w:val="段"/>
    <w:basedOn w:val="986"/>
    <w:next w:val="931"/>
    <w:uiPriority w:val="0"/>
    <w:qFormat/>
    <w:pPr>
      <w:ind w:firstLine="200"/>
      <w:widowControl/>
    </w:pPr>
    <w:rPr>
      <w:sz w:val="20"/>
    </w:rPr>
  </w:style>
  <w:style w:type="paragraph" w:styleId="986" w:customStyle="1">
    <w:name w:val="正文13"/>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目录 111"/>
    <w:basedOn w:val="931"/>
    <w:next w:val="988"/>
    <w:uiPriority w:val="39"/>
    <w:unhideWhenUsed/>
    <w:qFormat/>
    <w:pPr>
      <w:ind w:left="0" w:right="0" w:firstLine="0"/>
      <w:spacing w:after="57"/>
    </w:pPr>
  </w:style>
  <w:style w:type="paragraph" w:styleId="988" w:customStyle="1">
    <w:name w:val="正文12"/>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标题 21"/>
    <w:basedOn w:val="979"/>
    <w:next w:val="988"/>
    <w:uiPriority w:val="0"/>
    <w:qFormat/>
    <w:pPr>
      <w:jc w:val="left"/>
      <w:keepLines/>
      <w:keepNext/>
      <w:spacing w:before="50"/>
      <w:tabs>
        <w:tab w:val="left" w:pos="0" w:leader="none"/>
      </w:tabs>
    </w:pPr>
    <w:rPr>
      <w:rFonts w:ascii="Arial" w:hAnsi="Arial" w:eastAsia="黑体"/>
      <w:sz w:val="32"/>
      <w:szCs w:val="20"/>
    </w:rPr>
  </w:style>
  <w:style w:type="character" w:styleId="990" w:customStyle="1">
    <w:name w:val="NormalCharacter11"/>
    <w:link w:val="981"/>
    <w:uiPriority w:val="0"/>
    <w:semiHidden/>
    <w:qFormat/>
    <w:rPr>
      <w:rFonts w:hint="default" w:ascii="Times New Roman" w:hAnsi="Times New Roman" w:eastAsia="宋体" w:cs="Times New Roman"/>
      <w:sz w:val="21"/>
      <w:szCs w:val="24"/>
      <w:lang w:val="en-US" w:eastAsia="zh-CN" w:bidi="ar-SA"/>
    </w:rPr>
  </w:style>
  <w:style w:type="paragraph" w:styleId="991" w:customStyle="1">
    <w:name w:val="文本块11"/>
    <w:basedOn w:val="988"/>
    <w:uiPriority w:val="0"/>
    <w:qFormat/>
    <w:pPr>
      <w:ind w:left="1440" w:right="1440"/>
      <w:spacing w:after="120"/>
    </w:pPr>
  </w:style>
  <w:style w:type="paragraph" w:styleId="992" w:customStyle="1">
    <w:name w:val="脚注文本1"/>
    <w:basedOn w:val="978"/>
    <w:next w:val="993"/>
    <w:uiPriority w:val="0"/>
    <w:qFormat/>
    <w:rPr>
      <w:rFonts w:eastAsia="Times New Roman"/>
      <w:sz w:val="18"/>
      <w:szCs w:val="18"/>
    </w:rPr>
  </w:style>
  <w:style w:type="paragraph" w:styleId="993" w:customStyle="1">
    <w:name w:val="索引 51"/>
    <w:basedOn w:val="978"/>
    <w:next w:val="978"/>
    <w:uiPriority w:val="0"/>
    <w:qFormat/>
    <w:pPr>
      <w:ind w:left="798"/>
    </w:pPr>
    <w:rPr>
      <w:rFonts w:ascii="Calibri" w:hAnsi="Calibri"/>
    </w:rPr>
  </w:style>
  <w:style w:type="paragraph" w:styleId="994" w:customStyle="1">
    <w:name w:val="正文文本缩进1"/>
    <w:basedOn w:val="931"/>
    <w:next w:val="995"/>
    <w:uiPriority w:val="0"/>
    <w:qFormat/>
    <w:pPr>
      <w:ind w:left="420"/>
      <w:spacing w:after="120"/>
    </w:pPr>
    <w:rPr>
      <w:rFonts w:ascii="Calibri" w:hAnsi="Calibri"/>
    </w:rPr>
  </w:style>
  <w:style w:type="paragraph" w:styleId="995" w:customStyle="1">
    <w:name w:val="寄信人地址1"/>
    <w:basedOn w:val="981"/>
    <w:uiPriority w:val="0"/>
    <w:qFormat/>
    <w:rPr>
      <w:rFonts w:ascii="Arial" w:hAnsi="Arial"/>
    </w:rPr>
  </w:style>
  <w:style w:type="paragraph" w:styleId="996" w:customStyle="1">
    <w:name w:val="文本块1"/>
    <w:basedOn w:val="931"/>
    <w:uiPriority w:val="99"/>
    <w:unhideWhenUsed/>
    <w:qFormat/>
    <w:pPr>
      <w:ind w:left="1440" w:right="1440"/>
      <w:spacing w:after="120"/>
    </w:pPr>
  </w:style>
  <w:style w:type="paragraph" w:styleId="997" w:customStyle="1">
    <w:name w:val="标题 41"/>
    <w:basedOn w:val="988"/>
    <w:next w:val="981"/>
    <w:link w:val="1044"/>
    <w:uiPriority w:val="9"/>
    <w:qFormat/>
    <w:pPr>
      <w:keepLines/>
      <w:keepNext/>
      <w:spacing w:before="320" w:after="200"/>
      <w:outlineLvl w:val="3"/>
    </w:pPr>
    <w:rPr>
      <w:rFonts w:ascii="Arial" w:hAnsi="Arial" w:eastAsia="Arial" w:cs="Arial"/>
      <w:b/>
      <w:bCs/>
      <w:sz w:val="26"/>
      <w:szCs w:val="26"/>
    </w:rPr>
  </w:style>
  <w:style w:type="paragraph" w:styleId="998" w:customStyle="1">
    <w:name w:val="脚注文本11"/>
    <w:basedOn w:val="931"/>
    <w:next w:val="993"/>
    <w:link w:val="1060"/>
    <w:uiPriority w:val="99"/>
    <w:unhideWhenUsed/>
    <w:qFormat/>
    <w:pPr>
      <w:spacing w:after="40" w:line="240" w:lineRule="auto"/>
    </w:pPr>
    <w:rPr>
      <w:sz w:val="18"/>
    </w:rPr>
  </w:style>
  <w:style w:type="paragraph" w:styleId="999" w:customStyle="1">
    <w:name w:val="文本块111"/>
    <w:basedOn w:val="931"/>
    <w:uiPriority w:val="99"/>
    <w:qFormat/>
    <w:pPr>
      <w:ind w:left="420" w:right="33"/>
      <w:jc w:val="left"/>
    </w:pPr>
    <w:rPr>
      <w:sz w:val="24"/>
      <w:szCs w:val="20"/>
    </w:rPr>
  </w:style>
  <w:style w:type="paragraph" w:styleId="1000" w:customStyle="1">
    <w:name w:val="信息标题1"/>
    <w:basedOn w:val="931"/>
    <w:next w:val="100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1" w:customStyle="1">
    <w:name w:val="正文文本12"/>
    <w:basedOn w:val="931"/>
    <w:next w:val="931"/>
    <w:uiPriority w:val="99"/>
    <w:qFormat/>
    <w:pPr>
      <w:spacing w:after="120"/>
    </w:pPr>
  </w:style>
  <w:style w:type="character" w:styleId="1002" w:customStyle="1">
    <w:name w:val="Heading 1 Char"/>
    <w:link w:val="932"/>
    <w:uiPriority w:val="9"/>
    <w:qFormat/>
    <w:rPr>
      <w:rFonts w:ascii="Arial" w:hAnsi="Arial" w:eastAsia="宋体" w:cs="Arial"/>
      <w:b/>
      <w:sz w:val="28"/>
      <w:szCs w:val="40"/>
    </w:rPr>
  </w:style>
  <w:style w:type="character" w:styleId="1003" w:customStyle="1">
    <w:name w:val="Heading 2 Char"/>
    <w:link w:val="933"/>
    <w:uiPriority w:val="9"/>
    <w:qFormat/>
    <w:rPr>
      <w:rFonts w:ascii="Arial" w:hAnsi="Arial" w:eastAsia="Arial" w:cs="Arial"/>
      <w:sz w:val="34"/>
    </w:rPr>
  </w:style>
  <w:style w:type="character" w:styleId="1004" w:customStyle="1">
    <w:name w:val="Heading 3 Char"/>
    <w:link w:val="934"/>
    <w:uiPriority w:val="9"/>
    <w:qFormat/>
    <w:rPr>
      <w:rFonts w:ascii="Arial" w:hAnsi="Arial" w:eastAsia="Arial" w:cs="Arial"/>
      <w:sz w:val="30"/>
      <w:szCs w:val="30"/>
    </w:rPr>
  </w:style>
  <w:style w:type="character" w:styleId="1005" w:customStyle="1">
    <w:name w:val="Heading 4 Char"/>
    <w:link w:val="935"/>
    <w:uiPriority w:val="9"/>
    <w:qFormat/>
    <w:rPr>
      <w:rFonts w:ascii="Arial" w:hAnsi="Arial" w:eastAsia="Arial" w:cs="Arial"/>
      <w:b/>
      <w:bCs/>
      <w:sz w:val="26"/>
      <w:szCs w:val="26"/>
    </w:rPr>
  </w:style>
  <w:style w:type="character" w:styleId="1006" w:customStyle="1">
    <w:name w:val="Heading 5 Char"/>
    <w:link w:val="936"/>
    <w:uiPriority w:val="9"/>
    <w:qFormat/>
    <w:rPr>
      <w:rFonts w:ascii="Arial" w:hAnsi="Arial" w:eastAsia="Arial" w:cs="Arial"/>
      <w:b/>
      <w:bCs/>
      <w:sz w:val="24"/>
      <w:szCs w:val="24"/>
    </w:rPr>
  </w:style>
  <w:style w:type="character" w:styleId="1007" w:customStyle="1">
    <w:name w:val="Heading 6 Char"/>
    <w:link w:val="937"/>
    <w:uiPriority w:val="9"/>
    <w:qFormat/>
    <w:rPr>
      <w:rFonts w:ascii="Arial" w:hAnsi="Arial" w:eastAsia="Arial" w:cs="Arial"/>
      <w:b/>
      <w:bCs/>
      <w:sz w:val="22"/>
      <w:szCs w:val="22"/>
    </w:rPr>
  </w:style>
  <w:style w:type="character" w:styleId="1008" w:customStyle="1">
    <w:name w:val="Heading 7 Char"/>
    <w:link w:val="938"/>
    <w:uiPriority w:val="9"/>
    <w:qFormat/>
    <w:rPr>
      <w:rFonts w:ascii="Arial" w:hAnsi="Arial" w:eastAsia="Arial" w:cs="Arial"/>
      <w:b/>
      <w:bCs/>
      <w:i/>
      <w:iCs/>
      <w:sz w:val="22"/>
      <w:szCs w:val="22"/>
    </w:rPr>
  </w:style>
  <w:style w:type="character" w:styleId="1009" w:customStyle="1">
    <w:name w:val="Heading 8 Char"/>
    <w:link w:val="939"/>
    <w:uiPriority w:val="9"/>
    <w:qFormat/>
    <w:rPr>
      <w:rFonts w:ascii="Arial" w:hAnsi="Arial" w:eastAsia="Arial" w:cs="Arial"/>
      <w:i/>
      <w:iCs/>
      <w:sz w:val="22"/>
      <w:szCs w:val="22"/>
    </w:rPr>
  </w:style>
  <w:style w:type="character" w:styleId="1010" w:customStyle="1">
    <w:name w:val="Heading 9 Char"/>
    <w:link w:val="940"/>
    <w:uiPriority w:val="9"/>
    <w:qFormat/>
    <w:rPr>
      <w:rFonts w:ascii="Arial" w:hAnsi="Arial" w:eastAsia="Arial" w:cs="Arial"/>
      <w:i/>
      <w:iCs/>
      <w:sz w:val="21"/>
      <w:szCs w:val="21"/>
    </w:rPr>
  </w:style>
  <w:style w:type="paragraph" w:styleId="1011">
    <w:name w:val="List Paragraph"/>
    <w:basedOn w:val="931"/>
    <w:uiPriority w:val="34"/>
    <w:qFormat/>
    <w:pPr>
      <w:contextualSpacing/>
      <w:ind w:left="720"/>
    </w:pPr>
  </w:style>
  <w:style w:type="paragraph" w:styleId="1012">
    <w:name w:val="No Spacing"/>
    <w:uiPriority w:val="1"/>
    <w:qFormat/>
    <w:pPr>
      <w:spacing w:before="0" w:after="0" w:line="240" w:lineRule="auto"/>
    </w:pPr>
    <w:rPr>
      <w:rFonts w:hint="default" w:ascii="Times New Roman" w:hAnsi="Times New Roman" w:eastAsia="宋体" w:cs="Times New Roman"/>
    </w:rPr>
  </w:style>
  <w:style w:type="character" w:styleId="1013" w:customStyle="1">
    <w:name w:val="Title Char"/>
    <w:link w:val="968"/>
    <w:uiPriority w:val="10"/>
    <w:qFormat/>
    <w:rPr>
      <w:sz w:val="48"/>
      <w:szCs w:val="48"/>
    </w:rPr>
  </w:style>
  <w:style w:type="character" w:styleId="1014" w:customStyle="1">
    <w:name w:val="Subtitle Char"/>
    <w:link w:val="960"/>
    <w:uiPriority w:val="11"/>
    <w:qFormat/>
    <w:rPr>
      <w:sz w:val="24"/>
      <w:szCs w:val="24"/>
    </w:rPr>
  </w:style>
  <w:style w:type="character" w:styleId="1015" w:customStyle="1">
    <w:name w:val="Quote Char"/>
    <w:link w:val="949"/>
    <w:uiPriority w:val="29"/>
    <w:qFormat/>
    <w:rPr>
      <w:i/>
    </w:rPr>
  </w:style>
  <w:style w:type="paragraph" w:styleId="1016">
    <w:name w:val="Intense Quote"/>
    <w:basedOn w:val="931"/>
    <w:next w:val="931"/>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Header Char"/>
    <w:link w:val="957"/>
    <w:uiPriority w:val="99"/>
    <w:qFormat/>
  </w:style>
  <w:style w:type="character" w:styleId="1019" w:customStyle="1">
    <w:name w:val="Caption Char"/>
    <w:link w:val="956"/>
    <w:uiPriority w:val="99"/>
    <w:qFormat/>
  </w:style>
  <w:style w:type="character" w:styleId="1020" w:customStyle="1">
    <w:name w:val="Footnote Text Char"/>
    <w:link w:val="961"/>
    <w:uiPriority w:val="99"/>
    <w:qFormat/>
    <w:rPr>
      <w:sz w:val="18"/>
    </w:rPr>
  </w:style>
  <w:style w:type="character" w:styleId="1021" w:customStyle="1">
    <w:name w:val="Endnote Text Char"/>
    <w:link w:val="955"/>
    <w:uiPriority w:val="99"/>
    <w:qFormat/>
    <w:rPr>
      <w:sz w:val="20"/>
    </w:rPr>
  </w:style>
  <w:style w:type="paragraph" w:styleId="1022" w:customStyle="1">
    <w:name w:val="标题 111"/>
    <w:basedOn w:val="931"/>
    <w:next w:val="931"/>
    <w:link w:val="1054"/>
    <w:uiPriority w:val="9"/>
    <w:qFormat/>
    <w:pPr>
      <w:keepLines/>
      <w:keepNext/>
      <w:spacing w:before="480" w:after="200"/>
      <w:outlineLvl w:val="0"/>
    </w:pPr>
    <w:rPr>
      <w:rFonts w:ascii="Arial" w:hAnsi="Arial" w:eastAsia="Arial" w:cs="Arial"/>
      <w:sz w:val="40"/>
      <w:szCs w:val="40"/>
    </w:rPr>
  </w:style>
  <w:style w:type="paragraph" w:styleId="1023" w:customStyle="1">
    <w:name w:val="标题 211"/>
    <w:basedOn w:val="931"/>
    <w:next w:val="931"/>
    <w:link w:val="1043"/>
    <w:uiPriority w:val="9"/>
    <w:qFormat/>
    <w:pPr>
      <w:keepLines/>
      <w:keepNext/>
      <w:spacing w:before="360" w:after="200"/>
      <w:outlineLvl w:val="1"/>
    </w:pPr>
    <w:rPr>
      <w:rFonts w:ascii="Arial" w:hAnsi="Arial" w:eastAsia="Arial" w:cs="Arial"/>
      <w:sz w:val="34"/>
    </w:rPr>
  </w:style>
  <w:style w:type="paragraph" w:styleId="1024" w:customStyle="1">
    <w:name w:val="标题 31"/>
    <w:basedOn w:val="931"/>
    <w:next w:val="931"/>
    <w:link w:val="1038"/>
    <w:uiPriority w:val="9"/>
    <w:qFormat/>
    <w:pPr>
      <w:keepLines/>
      <w:keepNext/>
      <w:spacing w:before="320" w:after="200"/>
      <w:outlineLvl w:val="2"/>
    </w:pPr>
    <w:rPr>
      <w:rFonts w:ascii="Arial" w:hAnsi="Arial" w:eastAsia="Arial" w:cs="Arial"/>
      <w:sz w:val="30"/>
      <w:szCs w:val="30"/>
    </w:rPr>
  </w:style>
  <w:style w:type="paragraph" w:styleId="1025" w:customStyle="1">
    <w:name w:val="标题 51"/>
    <w:basedOn w:val="931"/>
    <w:next w:val="931"/>
    <w:link w:val="1048"/>
    <w:uiPriority w:val="9"/>
    <w:qFormat/>
    <w:pPr>
      <w:keepLines/>
      <w:keepNext/>
      <w:spacing w:before="320" w:after="200"/>
      <w:outlineLvl w:val="4"/>
    </w:pPr>
    <w:rPr>
      <w:rFonts w:ascii="Arial" w:hAnsi="Arial" w:eastAsia="Arial" w:cs="Arial"/>
      <w:b/>
      <w:bCs/>
      <w:sz w:val="24"/>
      <w:szCs w:val="24"/>
    </w:rPr>
  </w:style>
  <w:style w:type="paragraph" w:styleId="1026" w:customStyle="1">
    <w:name w:val="标题 61"/>
    <w:basedOn w:val="931"/>
    <w:next w:val="931"/>
    <w:link w:val="1055"/>
    <w:uiPriority w:val="9"/>
    <w:qFormat/>
    <w:pPr>
      <w:keepLines/>
      <w:keepNext/>
      <w:spacing w:before="320" w:after="200"/>
      <w:outlineLvl w:val="5"/>
    </w:pPr>
    <w:rPr>
      <w:rFonts w:ascii="Arial" w:hAnsi="Arial" w:eastAsia="Arial" w:cs="Arial"/>
      <w:b/>
      <w:bCs/>
      <w:sz w:val="22"/>
      <w:szCs w:val="22"/>
    </w:rPr>
  </w:style>
  <w:style w:type="paragraph" w:styleId="1027" w:customStyle="1">
    <w:name w:val="标题 71"/>
    <w:basedOn w:val="931"/>
    <w:next w:val="931"/>
    <w:link w:val="1059"/>
    <w:uiPriority w:val="9"/>
    <w:qFormat/>
    <w:pPr>
      <w:keepLines/>
      <w:keepNext/>
      <w:spacing w:before="320" w:after="200"/>
      <w:outlineLvl w:val="6"/>
    </w:pPr>
    <w:rPr>
      <w:rFonts w:ascii="Arial" w:hAnsi="Arial" w:eastAsia="Arial" w:cs="Arial"/>
      <w:b/>
      <w:bCs/>
      <w:i/>
      <w:iCs/>
      <w:sz w:val="22"/>
      <w:szCs w:val="22"/>
    </w:rPr>
  </w:style>
  <w:style w:type="paragraph" w:styleId="1028" w:customStyle="1">
    <w:name w:val="标题 81"/>
    <w:basedOn w:val="931"/>
    <w:next w:val="931"/>
    <w:link w:val="1058"/>
    <w:uiPriority w:val="9"/>
    <w:qFormat/>
    <w:pPr>
      <w:keepLines/>
      <w:keepNext/>
      <w:spacing w:before="320" w:after="200"/>
      <w:outlineLvl w:val="7"/>
    </w:pPr>
    <w:rPr>
      <w:rFonts w:ascii="Arial" w:hAnsi="Arial" w:eastAsia="Arial" w:cs="Arial"/>
      <w:i/>
      <w:iCs/>
      <w:sz w:val="22"/>
      <w:szCs w:val="22"/>
    </w:rPr>
  </w:style>
  <w:style w:type="paragraph" w:styleId="1029" w:customStyle="1">
    <w:name w:val="标题 91"/>
    <w:basedOn w:val="931"/>
    <w:next w:val="931"/>
    <w:link w:val="1047"/>
    <w:uiPriority w:val="9"/>
    <w:qFormat/>
    <w:pPr>
      <w:keepLines/>
      <w:keepNext/>
      <w:spacing w:before="320" w:after="200"/>
      <w:outlineLvl w:val="8"/>
    </w:pPr>
    <w:rPr>
      <w:rFonts w:ascii="Arial" w:hAnsi="Arial" w:eastAsia="Arial" w:cs="Arial"/>
      <w:i/>
      <w:iCs/>
      <w:sz w:val="21"/>
      <w:szCs w:val="21"/>
    </w:rPr>
  </w:style>
  <w:style w:type="character" w:styleId="1030" w:customStyle="1">
    <w:name w:val="默认段落字体11"/>
    <w:link w:val="931"/>
    <w:uiPriority w:val="1"/>
    <w:unhideWhenUsed/>
    <w:qFormat/>
  </w:style>
  <w:style w:type="table" w:styleId="1031" w:customStyle="1">
    <w:name w:val="普通表格11"/>
    <w:uiPriority w:val="99"/>
    <w:unhideWhenUsed/>
    <w:qFormat/>
    <w:tblPr/>
  </w:style>
  <w:style w:type="character" w:styleId="1032" w:customStyle="1">
    <w:name w:val="脚注引用1"/>
    <w:link w:val="931"/>
    <w:uiPriority w:val="99"/>
    <w:unhideWhenUsed/>
    <w:qFormat/>
    <w:rPr>
      <w:vertAlign w:val="superscript"/>
    </w:rPr>
  </w:style>
  <w:style w:type="character" w:styleId="1033" w:customStyle="1">
    <w:name w:val="尾注引用1"/>
    <w:link w:val="931"/>
    <w:uiPriority w:val="99"/>
    <w:unhideWhenUsed/>
    <w:qFormat/>
    <w:rPr>
      <w:vertAlign w:val="superscript"/>
    </w:rPr>
  </w:style>
  <w:style w:type="character" w:styleId="1034" w:customStyle="1">
    <w:name w:val="超链接11"/>
    <w:link w:val="931"/>
    <w:uiPriority w:val="99"/>
    <w:unhideWhenUsed/>
    <w:qFormat/>
    <w:rPr>
      <w:color w:val="0000ff"/>
      <w:u w:val="single"/>
    </w:rPr>
  </w:style>
  <w:style w:type="character" w:styleId="1035" w:customStyle="1">
    <w:name w:val="Footer Char"/>
    <w:uiPriority w:val="99"/>
    <w:qFormat/>
  </w:style>
  <w:style w:type="character" w:styleId="1036" w:customStyle="1">
    <w:name w:val="批注框文本 字符"/>
    <w:link w:val="1037"/>
    <w:uiPriority w:val="0"/>
    <w:qFormat/>
    <w:rPr>
      <w:rFonts w:ascii="Times New Roman" w:hAnsi="Times New Roman" w:eastAsia="宋体" w:cs="Times New Roman"/>
      <w:sz w:val="18"/>
      <w:szCs w:val="18"/>
    </w:rPr>
  </w:style>
  <w:style w:type="paragraph" w:styleId="1037" w:customStyle="1">
    <w:name w:val="批注框文本1"/>
    <w:basedOn w:val="931"/>
    <w:link w:val="1036"/>
    <w:uiPriority w:val="0"/>
    <w:qFormat/>
    <w:rPr>
      <w:sz w:val="18"/>
      <w:szCs w:val="18"/>
    </w:rPr>
  </w:style>
  <w:style w:type="character" w:styleId="1038" w:customStyle="1">
    <w:name w:val="标题 3 字符"/>
    <w:link w:val="1024"/>
    <w:uiPriority w:val="9"/>
    <w:qFormat/>
    <w:rPr>
      <w:rFonts w:ascii="Arial" w:hAnsi="Arial" w:eastAsia="Arial" w:cs="Arial"/>
      <w:sz w:val="30"/>
      <w:szCs w:val="30"/>
    </w:rPr>
  </w:style>
  <w:style w:type="character" w:styleId="1039" w:customStyle="1">
    <w:name w:val="标题 字符"/>
    <w:link w:val="1040"/>
    <w:uiPriority w:val="10"/>
    <w:qFormat/>
    <w:rPr>
      <w:sz w:val="48"/>
      <w:szCs w:val="48"/>
    </w:rPr>
  </w:style>
  <w:style w:type="paragraph" w:styleId="1040" w:customStyle="1">
    <w:name w:val="标题1"/>
    <w:basedOn w:val="931"/>
    <w:next w:val="931"/>
    <w:link w:val="1039"/>
    <w:uiPriority w:val="10"/>
    <w:qFormat/>
    <w:pPr>
      <w:contextualSpacing/>
      <w:spacing w:before="300" w:after="200"/>
    </w:pPr>
    <w:rPr>
      <w:sz w:val="48"/>
      <w:szCs w:val="48"/>
    </w:rPr>
  </w:style>
  <w:style w:type="character" w:styleId="1041" w:customStyle="1">
    <w:name w:val="副标题 字符"/>
    <w:link w:val="1042"/>
    <w:uiPriority w:val="11"/>
    <w:qFormat/>
    <w:rPr>
      <w:sz w:val="24"/>
      <w:szCs w:val="24"/>
    </w:rPr>
  </w:style>
  <w:style w:type="paragraph" w:styleId="1042" w:customStyle="1">
    <w:name w:val="副标题1"/>
    <w:basedOn w:val="931"/>
    <w:next w:val="931"/>
    <w:link w:val="1041"/>
    <w:uiPriority w:val="11"/>
    <w:qFormat/>
    <w:pPr>
      <w:spacing w:before="200" w:after="200"/>
    </w:pPr>
    <w:rPr>
      <w:sz w:val="24"/>
      <w:szCs w:val="24"/>
    </w:rPr>
  </w:style>
  <w:style w:type="character" w:styleId="1043" w:customStyle="1">
    <w:name w:val="标题 2 字符"/>
    <w:link w:val="1023"/>
    <w:uiPriority w:val="9"/>
    <w:qFormat/>
    <w:rPr>
      <w:rFonts w:ascii="Arial" w:hAnsi="Arial" w:eastAsia="Arial" w:cs="Arial"/>
      <w:sz w:val="34"/>
    </w:rPr>
  </w:style>
  <w:style w:type="character" w:styleId="1044" w:customStyle="1">
    <w:name w:val="标题 4 字符"/>
    <w:link w:val="997"/>
    <w:uiPriority w:val="9"/>
    <w:qFormat/>
    <w:rPr>
      <w:rFonts w:ascii="Arial" w:hAnsi="Arial" w:eastAsia="Arial" w:cs="Arial"/>
      <w:b/>
      <w:bCs/>
      <w:sz w:val="26"/>
      <w:szCs w:val="26"/>
    </w:rPr>
  </w:style>
  <w:style w:type="character" w:styleId="1045" w:customStyle="1">
    <w:name w:val="页眉 字符"/>
    <w:link w:val="1046"/>
    <w:uiPriority w:val="99"/>
    <w:qFormat/>
  </w:style>
  <w:style w:type="paragraph" w:styleId="1046" w:customStyle="1">
    <w:name w:val="页眉11"/>
    <w:basedOn w:val="931"/>
    <w:link w:val="1045"/>
    <w:uiPriority w:val="99"/>
    <w:unhideWhenUsed/>
    <w:qFormat/>
    <w:pPr>
      <w:spacing w:after="0" w:line="240" w:lineRule="auto"/>
      <w:tabs>
        <w:tab w:val="center" w:pos="7143" w:leader="none"/>
        <w:tab w:val="right" w:pos="14287" w:leader="none"/>
      </w:tabs>
    </w:pPr>
  </w:style>
  <w:style w:type="character" w:styleId="1047" w:customStyle="1">
    <w:name w:val="标题 9 字符"/>
    <w:link w:val="1029"/>
    <w:uiPriority w:val="9"/>
    <w:qFormat/>
    <w:rPr>
      <w:rFonts w:ascii="Arial" w:hAnsi="Arial" w:eastAsia="Arial" w:cs="Arial"/>
      <w:i/>
      <w:iCs/>
      <w:sz w:val="21"/>
      <w:szCs w:val="21"/>
    </w:rPr>
  </w:style>
  <w:style w:type="character" w:styleId="1048" w:customStyle="1">
    <w:name w:val="标题 5 字符"/>
    <w:link w:val="1025"/>
    <w:uiPriority w:val="9"/>
    <w:qFormat/>
    <w:rPr>
      <w:rFonts w:ascii="Arial" w:hAnsi="Arial" w:eastAsia="Arial" w:cs="Arial"/>
      <w:b/>
      <w:bCs/>
      <w:sz w:val="24"/>
      <w:szCs w:val="24"/>
    </w:rPr>
  </w:style>
  <w:style w:type="character" w:styleId="1049" w:customStyle="1">
    <w:name w:val="font121"/>
    <w:link w:val="931"/>
    <w:uiPriority w:val="0"/>
    <w:qFormat/>
    <w:rPr>
      <w:rFonts w:hint="eastAsia" w:ascii="宋体" w:hAnsi="宋体" w:eastAsia="宋体" w:cs="宋体"/>
      <w:color w:val="000000"/>
      <w:sz w:val="18"/>
      <w:szCs w:val="18"/>
      <w:u w:val="none"/>
    </w:rPr>
  </w:style>
  <w:style w:type="character" w:styleId="1050" w:customStyle="1">
    <w:name w:val="明显引用 字符"/>
    <w:link w:val="1051"/>
    <w:uiPriority w:val="30"/>
    <w:qFormat/>
    <w:rPr>
      <w:i/>
    </w:rPr>
  </w:style>
  <w:style w:type="paragraph" w:styleId="1051" w:customStyle="1">
    <w:name w:val="明显引用"/>
    <w:basedOn w:val="931"/>
    <w:next w:val="931"/>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2" w:customStyle="1">
    <w:name w:val="引用 字符"/>
    <w:link w:val="1053"/>
    <w:uiPriority w:val="29"/>
    <w:qFormat/>
    <w:rPr>
      <w:i/>
    </w:rPr>
  </w:style>
  <w:style w:type="paragraph" w:styleId="1053" w:customStyle="1">
    <w:name w:val="引用"/>
    <w:basedOn w:val="931"/>
    <w:next w:val="931"/>
    <w:link w:val="1052"/>
    <w:uiPriority w:val="29"/>
    <w:qFormat/>
    <w:pPr>
      <w:ind w:left="720" w:right="720"/>
    </w:pPr>
    <w:rPr>
      <w:i/>
    </w:rPr>
  </w:style>
  <w:style w:type="character" w:styleId="1054" w:customStyle="1">
    <w:name w:val="标题 1 字符"/>
    <w:link w:val="1022"/>
    <w:uiPriority w:val="9"/>
    <w:qFormat/>
    <w:rPr>
      <w:rFonts w:ascii="Arial" w:hAnsi="Arial" w:eastAsia="Arial" w:cs="Arial"/>
      <w:sz w:val="40"/>
      <w:szCs w:val="40"/>
    </w:rPr>
  </w:style>
  <w:style w:type="character" w:styleId="1055" w:customStyle="1">
    <w:name w:val="标题 6 字符"/>
    <w:link w:val="1026"/>
    <w:uiPriority w:val="9"/>
    <w:qFormat/>
    <w:rPr>
      <w:rFonts w:ascii="Arial" w:hAnsi="Arial" w:eastAsia="Arial" w:cs="Arial"/>
      <w:b/>
      <w:bCs/>
      <w:sz w:val="22"/>
      <w:szCs w:val="22"/>
    </w:rPr>
  </w:style>
  <w:style w:type="character" w:styleId="1056" w:customStyle="1">
    <w:name w:val="页脚 字符"/>
    <w:link w:val="1057"/>
    <w:uiPriority w:val="99"/>
    <w:qFormat/>
  </w:style>
  <w:style w:type="paragraph" w:styleId="1057" w:customStyle="1">
    <w:name w:val="页脚11"/>
    <w:basedOn w:val="931"/>
    <w:link w:val="1056"/>
    <w:uiPriority w:val="99"/>
    <w:unhideWhenUsed/>
    <w:qFormat/>
    <w:pPr>
      <w:spacing w:after="0" w:line="240" w:lineRule="auto"/>
      <w:tabs>
        <w:tab w:val="center" w:pos="7143" w:leader="none"/>
        <w:tab w:val="right" w:pos="14287" w:leader="none"/>
      </w:tabs>
    </w:pPr>
  </w:style>
  <w:style w:type="character" w:styleId="1058" w:customStyle="1">
    <w:name w:val="标题 8 字符"/>
    <w:link w:val="1028"/>
    <w:uiPriority w:val="9"/>
    <w:qFormat/>
    <w:rPr>
      <w:rFonts w:ascii="Arial" w:hAnsi="Arial" w:eastAsia="Arial" w:cs="Arial"/>
      <w:i/>
      <w:iCs/>
      <w:sz w:val="22"/>
      <w:szCs w:val="22"/>
    </w:rPr>
  </w:style>
  <w:style w:type="character" w:styleId="1059" w:customStyle="1">
    <w:name w:val="标题 7 字符"/>
    <w:link w:val="1027"/>
    <w:uiPriority w:val="9"/>
    <w:qFormat/>
    <w:rPr>
      <w:rFonts w:ascii="Arial" w:hAnsi="Arial" w:eastAsia="Arial" w:cs="Arial"/>
      <w:b/>
      <w:bCs/>
      <w:i/>
      <w:iCs/>
      <w:sz w:val="22"/>
      <w:szCs w:val="22"/>
    </w:rPr>
  </w:style>
  <w:style w:type="character" w:styleId="1060" w:customStyle="1">
    <w:name w:val="脚注文本 字符"/>
    <w:link w:val="998"/>
    <w:uiPriority w:val="99"/>
    <w:qFormat/>
    <w:rPr>
      <w:sz w:val="18"/>
    </w:rPr>
  </w:style>
  <w:style w:type="character" w:styleId="1061" w:customStyle="1">
    <w:name w:val="尾注文本 字符"/>
    <w:link w:val="1062"/>
    <w:uiPriority w:val="99"/>
    <w:qFormat/>
    <w:rPr>
      <w:sz w:val="20"/>
    </w:rPr>
  </w:style>
  <w:style w:type="paragraph" w:styleId="1062" w:customStyle="1">
    <w:name w:val="尾注文本1"/>
    <w:basedOn w:val="931"/>
    <w:link w:val="1061"/>
    <w:uiPriority w:val="99"/>
    <w:unhideWhenUsed/>
    <w:qFormat/>
    <w:pPr>
      <w:spacing w:after="0" w:line="240" w:lineRule="auto"/>
    </w:pPr>
    <w:rPr>
      <w:sz w:val="20"/>
    </w:rPr>
  </w:style>
  <w:style w:type="character" w:styleId="1063" w:customStyle="1">
    <w:name w:val="默认段落字体1"/>
    <w:link w:val="931"/>
    <w:uiPriority w:val="1"/>
    <w:unhideWhenUsed/>
    <w:qFormat/>
  </w:style>
  <w:style w:type="character" w:styleId="1064" w:customStyle="1">
    <w:name w:val="超链接1"/>
    <w:link w:val="931"/>
    <w:uiPriority w:val="99"/>
    <w:unhideWhenUsed/>
    <w:qFormat/>
    <w:rPr>
      <w:color w:val="0000ff"/>
      <w:u w:val="single"/>
    </w:rPr>
  </w:style>
  <w:style w:type="character" w:styleId="1065" w:customStyle="1">
    <w:name w:val="批注引用1"/>
    <w:link w:val="931"/>
    <w:uiPriority w:val="0"/>
    <w:qFormat/>
    <w:rPr>
      <w:sz w:val="21"/>
      <w:szCs w:val="21"/>
    </w:rPr>
  </w:style>
  <w:style w:type="character" w:styleId="1066" w:customStyle="1">
    <w:name w:val="批注文字 字符"/>
    <w:link w:val="1067"/>
    <w:uiPriority w:val="0"/>
    <w:qFormat/>
    <w:rPr>
      <w:rFonts w:ascii="Times New Roman" w:hAnsi="Times New Roman" w:eastAsia="宋体" w:cs="Times New Roman"/>
      <w:sz w:val="21"/>
      <w:szCs w:val="24"/>
    </w:rPr>
  </w:style>
  <w:style w:type="paragraph" w:styleId="1067" w:customStyle="1">
    <w:name w:val="批注文字1"/>
    <w:basedOn w:val="931"/>
    <w:link w:val="1066"/>
    <w:uiPriority w:val="0"/>
    <w:qFormat/>
    <w:pPr>
      <w:jc w:val="left"/>
    </w:pPr>
  </w:style>
  <w:style w:type="character" w:styleId="1068" w:customStyle="1">
    <w:name w:val="批注主题 字符"/>
    <w:link w:val="1069"/>
    <w:uiPriority w:val="0"/>
    <w:qFormat/>
    <w:rPr>
      <w:rFonts w:ascii="Times New Roman" w:hAnsi="Times New Roman" w:eastAsia="宋体" w:cs="Times New Roman"/>
      <w:b/>
      <w:bCs/>
      <w:sz w:val="21"/>
      <w:szCs w:val="24"/>
    </w:rPr>
  </w:style>
  <w:style w:type="paragraph" w:styleId="1069" w:customStyle="1">
    <w:name w:val="批注主题1"/>
    <w:basedOn w:val="1067"/>
    <w:next w:val="1067"/>
    <w:link w:val="1068"/>
    <w:uiPriority w:val="0"/>
    <w:qFormat/>
    <w:rPr>
      <w:b/>
      <w:bCs/>
    </w:rPr>
  </w:style>
  <w:style w:type="character" w:styleId="1070" w:customStyle="1">
    <w:name w:val="font11"/>
    <w:basedOn w:val="941"/>
    <w:link w:val="931"/>
    <w:uiPriority w:val="0"/>
    <w:qFormat/>
    <w:rPr>
      <w:rFonts w:hint="eastAsia" w:ascii="黑体" w:hAnsi="宋体" w:eastAsia="黑体" w:cs="黑体"/>
      <w:color w:val="000000"/>
      <w:sz w:val="18"/>
      <w:szCs w:val="18"/>
      <w:u w:val="none"/>
    </w:rPr>
  </w:style>
  <w:style w:type="character" w:styleId="1071" w:customStyle="1">
    <w:name w:val="wyg1"/>
    <w:link w:val="931"/>
    <w:uiPriority w:val="6"/>
    <w:qFormat/>
    <w:rPr>
      <w:color w:val="000000"/>
      <w:sz w:val="20"/>
      <w:szCs w:val="20"/>
      <w:u w:val="none"/>
    </w:rPr>
  </w:style>
  <w:style w:type="character" w:styleId="1072" w:customStyle="1">
    <w:name w:val="NormalCharacter1"/>
    <w:link w:val="931"/>
    <w:uiPriority w:val="0"/>
    <w:semiHidden/>
    <w:qFormat/>
    <w:rPr>
      <w:sz w:val="28"/>
      <w:lang w:val="en-US" w:eastAsia="zh-CN" w:bidi="ar-SA"/>
    </w:rPr>
  </w:style>
  <w:style w:type="character" w:styleId="1073" w:customStyle="1">
    <w:name w:val="font21"/>
    <w:link w:val="931"/>
    <w:uiPriority w:val="0"/>
    <w:qFormat/>
    <w:rPr>
      <w:rFonts w:hint="eastAsia" w:ascii="宋体" w:hAnsi="宋体" w:eastAsia="宋体" w:cs="宋体"/>
      <w:b/>
      <w:bCs/>
      <w:color w:val="000000"/>
      <w:sz w:val="28"/>
      <w:szCs w:val="28"/>
      <w:u w:val="none"/>
    </w:rPr>
  </w:style>
  <w:style w:type="character" w:styleId="1074" w:customStyle="1">
    <w:name w:val="font131"/>
    <w:link w:val="931"/>
    <w:uiPriority w:val="0"/>
    <w:qFormat/>
    <w:rPr>
      <w:rFonts w:hint="eastAsia" w:ascii="宋体" w:hAnsi="宋体" w:eastAsia="宋体" w:cs="宋体"/>
      <w:color w:val="000000"/>
      <w:sz w:val="20"/>
      <w:szCs w:val="20"/>
      <w:u w:val="none"/>
    </w:rPr>
  </w:style>
  <w:style w:type="character" w:styleId="1075" w:customStyle="1">
    <w:name w:val="font41"/>
    <w:link w:val="931"/>
    <w:uiPriority w:val="0"/>
    <w:qFormat/>
    <w:rPr>
      <w:rFonts w:ascii="Arial" w:hAnsi="Arial" w:cs="Arial"/>
      <w:color w:val="000000"/>
      <w:sz w:val="22"/>
      <w:szCs w:val="22"/>
      <w:u w:val="none"/>
    </w:rPr>
  </w:style>
  <w:style w:type="paragraph" w:styleId="1076" w:customStyle="1">
    <w:name w:val="题注1"/>
    <w:basedOn w:val="931"/>
    <w:next w:val="931"/>
    <w:uiPriority w:val="35"/>
    <w:qFormat/>
    <w:pPr>
      <w:spacing w:line="276" w:lineRule="auto"/>
    </w:pPr>
    <w:rPr>
      <w:b/>
      <w:bCs/>
      <w:color w:val="4f81bd"/>
      <w:sz w:val="18"/>
      <w:szCs w:val="18"/>
    </w:rPr>
  </w:style>
  <w:style w:type="paragraph" w:styleId="1077" w:customStyle="1">
    <w:name w:val="目录 91"/>
    <w:basedOn w:val="931"/>
    <w:next w:val="931"/>
    <w:uiPriority w:val="39"/>
    <w:unhideWhenUsed/>
    <w:qFormat/>
    <w:pPr>
      <w:ind w:left="2268" w:right="0" w:firstLine="0"/>
      <w:spacing w:after="57"/>
    </w:pPr>
  </w:style>
  <w:style w:type="paragraph" w:styleId="1078" w:customStyle="1">
    <w:name w:val="正文缩进11"/>
    <w:basedOn w:val="931"/>
    <w:uiPriority w:val="0"/>
    <w:unhideWhenUsed/>
    <w:qFormat/>
    <w:pPr>
      <w:ind w:firstLine="420"/>
    </w:pPr>
  </w:style>
  <w:style w:type="paragraph" w:styleId="1079" w:customStyle="1">
    <w:name w:val="目录 71"/>
    <w:basedOn w:val="931"/>
    <w:next w:val="931"/>
    <w:uiPriority w:val="39"/>
    <w:unhideWhenUsed/>
    <w:qFormat/>
    <w:pPr>
      <w:ind w:left="1701" w:right="0" w:firstLine="0"/>
      <w:spacing w:after="57"/>
    </w:pPr>
  </w:style>
  <w:style w:type="paragraph" w:styleId="1080" w:customStyle="1">
    <w:name w:val="图表目录1"/>
    <w:basedOn w:val="931"/>
    <w:next w:val="931"/>
    <w:uiPriority w:val="99"/>
    <w:unhideWhenUsed/>
    <w:qFormat/>
    <w:pPr>
      <w:spacing w:after="0" w:afterAutospacing="0"/>
    </w:pPr>
  </w:style>
  <w:style w:type="paragraph" w:styleId="1081" w:customStyle="1">
    <w:name w:val="目录 31"/>
    <w:basedOn w:val="931"/>
    <w:next w:val="931"/>
    <w:uiPriority w:val="39"/>
    <w:unhideWhenUsed/>
    <w:qFormat/>
    <w:pPr>
      <w:ind w:left="567" w:right="0" w:firstLine="0"/>
      <w:spacing w:after="57"/>
    </w:pPr>
  </w:style>
  <w:style w:type="paragraph" w:styleId="1082" w:customStyle="1">
    <w:name w:val="目录 61"/>
    <w:basedOn w:val="931"/>
    <w:next w:val="931"/>
    <w:uiPriority w:val="39"/>
    <w:unhideWhenUsed/>
    <w:qFormat/>
    <w:pPr>
      <w:ind w:left="1417" w:right="0" w:firstLine="0"/>
      <w:spacing w:after="57"/>
    </w:pPr>
  </w:style>
  <w:style w:type="paragraph" w:styleId="1083" w:customStyle="1">
    <w:name w:val="目录 41"/>
    <w:basedOn w:val="931"/>
    <w:next w:val="931"/>
    <w:uiPriority w:val="39"/>
    <w:unhideWhenUsed/>
    <w:qFormat/>
    <w:pPr>
      <w:ind w:left="850" w:right="0" w:firstLine="0"/>
      <w:spacing w:after="57"/>
    </w:pPr>
  </w:style>
  <w:style w:type="paragraph" w:styleId="1084" w:customStyle="1">
    <w:name w:val="正文缩进1"/>
    <w:basedOn w:val="931"/>
    <w:uiPriority w:val="0"/>
    <w:qFormat/>
    <w:pPr>
      <w:ind w:firstLine="420"/>
    </w:pPr>
  </w:style>
  <w:style w:type="paragraph" w:styleId="1085" w:customStyle="1">
    <w:name w:val="目录 21"/>
    <w:basedOn w:val="931"/>
    <w:next w:val="931"/>
    <w:uiPriority w:val="39"/>
    <w:unhideWhenUsed/>
    <w:qFormat/>
    <w:pPr>
      <w:ind w:left="283" w:right="0" w:firstLine="0"/>
      <w:spacing w:after="57"/>
    </w:pPr>
  </w:style>
  <w:style w:type="paragraph" w:styleId="1086" w:customStyle="1">
    <w:name w:val="目录 51"/>
    <w:basedOn w:val="931"/>
    <w:next w:val="931"/>
    <w:uiPriority w:val="39"/>
    <w:unhideWhenUsed/>
    <w:qFormat/>
    <w:pPr>
      <w:ind w:left="1134" w:right="0" w:firstLine="0"/>
      <w:spacing w:after="57"/>
    </w:pPr>
  </w:style>
  <w:style w:type="paragraph" w:styleId="1087" w:customStyle="1">
    <w:name w:val="目录 81"/>
    <w:basedOn w:val="931"/>
    <w:next w:val="931"/>
    <w:uiPriority w:val="39"/>
    <w:unhideWhenUsed/>
    <w:qFormat/>
    <w:pPr>
      <w:ind w:left="1984" w:right="0" w:firstLine="0"/>
      <w:spacing w:after="57"/>
    </w:pPr>
  </w:style>
  <w:style w:type="paragraph" w:styleId="1088" w:customStyle="1">
    <w:name w:val="普通(网站)1"/>
    <w:basedOn w:val="93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9" w:customStyle="1">
    <w:name w:val="列表段落"/>
    <w:basedOn w:val="931"/>
    <w:uiPriority w:val="34"/>
    <w:qFormat/>
    <w:pPr>
      <w:contextualSpacing/>
      <w:ind w:left="720"/>
    </w:pPr>
  </w:style>
  <w:style w:type="paragraph" w:styleId="1090" w:customStyle="1">
    <w:name w:val="TOC Heading"/>
    <w:uiPriority w:val="39"/>
    <w:unhideWhenUsed/>
    <w:qFormat/>
    <w:rPr>
      <w:rFonts w:hint="default" w:ascii="Calibri" w:hAnsi="Calibri" w:eastAsia="宋体" w:cs="Times New Roman"/>
      <w:lang w:val="en-US" w:eastAsia="zh-CN" w:bidi="ar-SA"/>
    </w:rPr>
  </w:style>
  <w:style w:type="paragraph" w:styleId="1091" w:customStyle="1">
    <w:name w:val="页眉1"/>
    <w:basedOn w:val="931"/>
    <w:uiPriority w:val="99"/>
    <w:qFormat/>
    <w:pPr>
      <w:jc w:val="center"/>
      <w:tabs>
        <w:tab w:val="center" w:pos="4153" w:leader="none"/>
        <w:tab w:val="right" w:pos="8306" w:leader="none"/>
      </w:tabs>
      <w:pBdr>
        <w:bottom w:val="single" w:color="000000" w:sz="6" w:space="1"/>
      </w:pBdr>
    </w:pPr>
    <w:rPr>
      <w:sz w:val="18"/>
      <w:szCs w:val="18"/>
    </w:rPr>
  </w:style>
  <w:style w:type="paragraph" w:styleId="1092" w:customStyle="1">
    <w:name w:val="无间隔"/>
    <w:uiPriority w:val="1"/>
    <w:qFormat/>
    <w:rPr>
      <w:rFonts w:hint="default" w:ascii="Calibri" w:hAnsi="Calibri" w:eastAsia="宋体" w:cs="Times New Roman"/>
      <w:lang w:val="en-US" w:eastAsia="zh-CN" w:bidi="ar-SA"/>
    </w:rPr>
  </w:style>
  <w:style w:type="paragraph" w:styleId="1093" w:customStyle="1">
    <w:name w:val="EnvelopeReturn1"/>
    <w:basedOn w:val="931"/>
    <w:uiPriority w:val="0"/>
    <w:qFormat/>
    <w:rPr>
      <w:rFonts w:ascii="Arial" w:hAnsi="Arial"/>
    </w:rPr>
  </w:style>
  <w:style w:type="paragraph" w:styleId="1094" w:customStyle="1">
    <w:name w:val="EnvelopeReturn11"/>
    <w:basedOn w:val="931"/>
    <w:uiPriority w:val="0"/>
    <w:qFormat/>
    <w:rPr>
      <w:rFonts w:ascii="Arial" w:hAnsi="Arial"/>
    </w:rPr>
  </w:style>
  <w:style w:type="paragraph" w:styleId="1095" w:customStyle="1">
    <w:name w:val="标题 11"/>
    <w:basedOn w:val="931"/>
    <w:next w:val="931"/>
    <w:uiPriority w:val="0"/>
    <w:qFormat/>
    <w:pPr>
      <w:jc w:val="center"/>
      <w:keepLines/>
      <w:keepNext/>
      <w:spacing w:line="578" w:lineRule="auto"/>
      <w:outlineLvl w:val="0"/>
    </w:pPr>
    <w:rPr>
      <w:rFonts w:eastAsia="新宋体"/>
      <w:b/>
      <w:bCs/>
      <w:sz w:val="30"/>
      <w:szCs w:val="44"/>
    </w:rPr>
  </w:style>
  <w:style w:type="paragraph" w:styleId="1096" w:customStyle="1">
    <w:name w:val="BodyTextIndent1"/>
    <w:basedOn w:val="931"/>
    <w:next w:val="1093"/>
    <w:uiPriority w:val="0"/>
    <w:qFormat/>
    <w:pPr>
      <w:ind w:left="420"/>
      <w:spacing w:after="120"/>
    </w:pPr>
  </w:style>
  <w:style w:type="paragraph" w:styleId="1097" w:customStyle="1">
    <w:name w:val="页脚1"/>
    <w:basedOn w:val="931"/>
    <w:uiPriority w:val="99"/>
    <w:qFormat/>
    <w:pPr>
      <w:jc w:val="left"/>
      <w:tabs>
        <w:tab w:val="center" w:pos="4153" w:leader="none"/>
        <w:tab w:val="right" w:pos="8306" w:leader="none"/>
      </w:tabs>
    </w:pPr>
    <w:rPr>
      <w:sz w:val="18"/>
      <w:szCs w:val="18"/>
    </w:rPr>
  </w:style>
  <w:style w:type="paragraph" w:styleId="1098" w:customStyle="1">
    <w:name w:val="正文缩进2"/>
    <w:basedOn w:val="931"/>
    <w:uiPriority w:val="0"/>
    <w:qFormat/>
    <w:pPr>
      <w:ind w:firstLine="420"/>
    </w:pPr>
  </w:style>
  <w:style w:type="paragraph" w:styleId="1099" w:customStyle="1">
    <w:name w:val="BodyTextIndent11"/>
    <w:basedOn w:val="931"/>
    <w:next w:val="1094"/>
    <w:uiPriority w:val="0"/>
    <w:qFormat/>
    <w:pPr>
      <w:ind w:left="420"/>
      <w:spacing w:after="120"/>
    </w:pPr>
  </w:style>
  <w:style w:type="paragraph" w:styleId="1100" w:customStyle="1">
    <w:name w:val="Body text|21"/>
    <w:basedOn w:val="93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1101" w:customStyle="1">
    <w:name w:val="Grid Table 4 - Accent 2"/>
    <w:uiPriority w:val="59"/>
    <w:qFormat/>
    <w:rPr>
      <w:lang w:val="en-US" w:eastAsia="zh-CN" w:bidi="ar-SA"/>
    </w:rPr>
    <w:tblPr/>
  </w:style>
  <w:style w:type="table" w:styleId="1102" w:customStyle="1">
    <w:name w:val="Lined - Accent 3"/>
    <w:uiPriority w:val="99"/>
    <w:qFormat/>
    <w:rPr>
      <w:color w:val="404040"/>
      <w:lang w:val="en-US" w:eastAsia="zh-CN" w:bidi="ar-SA"/>
    </w:rPr>
    <w:tblPr/>
  </w:style>
  <w:style w:type="table" w:styleId="1103" w:customStyle="1">
    <w:name w:val="网格型11"/>
    <w:uiPriority w:val="59"/>
    <w:qFormat/>
    <w:rPr>
      <w:lang w:val="en-US" w:eastAsia="zh-CN" w:bidi="ar-SA"/>
    </w:rPr>
    <w:tblPr/>
  </w:style>
  <w:style w:type="table" w:styleId="1104" w:customStyle="1">
    <w:name w:val="List Table 6 Colorful - Accent 1"/>
    <w:uiPriority w:val="99"/>
    <w:qFormat/>
    <w:rPr>
      <w:lang w:val="en-US" w:eastAsia="zh-CN" w:bidi="ar-SA"/>
    </w:rPr>
    <w:tblPr/>
  </w:style>
  <w:style w:type="table" w:styleId="1105" w:customStyle="1">
    <w:name w:val="Grid Table 2 - Accent 4"/>
    <w:uiPriority w:val="99"/>
    <w:qFormat/>
    <w:rPr>
      <w:lang w:val="en-US" w:eastAsia="zh-CN" w:bidi="ar-SA"/>
    </w:rPr>
    <w:tblPr/>
  </w:style>
  <w:style w:type="table" w:styleId="1106" w:customStyle="1">
    <w:name w:val="List Table 3 - Accent 5"/>
    <w:uiPriority w:val="99"/>
    <w:qFormat/>
    <w:rPr>
      <w:lang w:val="en-US" w:eastAsia="zh-CN" w:bidi="ar-SA"/>
    </w:rPr>
    <w:tblPr/>
  </w:style>
  <w:style w:type="table" w:styleId="1107" w:customStyle="1">
    <w:name w:val="普通表格1"/>
    <w:uiPriority w:val="99"/>
    <w:unhideWhenUsed/>
    <w:qFormat/>
    <w:rPr>
      <w:lang w:val="en-US" w:eastAsia="zh-CN" w:bidi="ar-SA"/>
    </w:rPr>
    <w:tblPr/>
  </w:style>
  <w:style w:type="table" w:styleId="1108" w:customStyle="1">
    <w:name w:val="List Table 3 - Accent 3"/>
    <w:uiPriority w:val="99"/>
    <w:qFormat/>
    <w:rPr>
      <w:lang w:val="en-US" w:eastAsia="zh-CN" w:bidi="ar-SA"/>
    </w:rPr>
    <w:tblPr/>
  </w:style>
  <w:style w:type="table" w:styleId="1109" w:customStyle="1">
    <w:name w:val="List Table 4 - Accent 2"/>
    <w:uiPriority w:val="99"/>
    <w:qFormat/>
    <w:rPr>
      <w:lang w:val="en-US" w:eastAsia="zh-CN" w:bidi="ar-SA"/>
    </w:rPr>
    <w:tblPr/>
  </w:style>
  <w:style w:type="table" w:styleId="1110" w:customStyle="1">
    <w:name w:val="List Table 6 Colorful - Accent 2"/>
    <w:uiPriority w:val="99"/>
    <w:qFormat/>
    <w:rPr>
      <w:lang w:val="en-US" w:eastAsia="zh-CN" w:bidi="ar-SA"/>
    </w:rPr>
    <w:tblPr/>
  </w:style>
  <w:style w:type="table" w:styleId="1111" w:customStyle="1">
    <w:name w:val="List Table 4 - Accent 4"/>
    <w:uiPriority w:val="99"/>
    <w:qFormat/>
    <w:rPr>
      <w:lang w:val="en-US" w:eastAsia="zh-CN" w:bidi="ar-SA"/>
    </w:rPr>
    <w:tblPr/>
  </w:style>
  <w:style w:type="table" w:styleId="1112" w:customStyle="1">
    <w:name w:val="List Table 5 Dark - Accent 3"/>
    <w:uiPriority w:val="99"/>
    <w:qFormat/>
    <w:rPr>
      <w:lang w:val="en-US" w:eastAsia="zh-CN" w:bidi="ar-SA"/>
    </w:rPr>
    <w:tblPr/>
  </w:style>
  <w:style w:type="table" w:styleId="1113" w:customStyle="1">
    <w:name w:val="List Table 2"/>
    <w:uiPriority w:val="99"/>
    <w:qFormat/>
    <w:rPr>
      <w:lang w:val="en-US" w:eastAsia="zh-CN" w:bidi="ar-SA"/>
    </w:rPr>
    <w:tblPr/>
  </w:style>
  <w:style w:type="table" w:styleId="1114" w:customStyle="1">
    <w:name w:val="List Table 5 Dark - Accent 1"/>
    <w:uiPriority w:val="99"/>
    <w:qFormat/>
    <w:rPr>
      <w:lang w:val="en-US" w:eastAsia="zh-CN" w:bidi="ar-SA"/>
    </w:rPr>
    <w:tblPr/>
  </w:style>
  <w:style w:type="table" w:styleId="1115" w:customStyle="1">
    <w:name w:val="Grid Table 7 Colorful - Accent 5"/>
    <w:uiPriority w:val="99"/>
    <w:qFormat/>
    <w:rPr>
      <w:lang w:val="en-US" w:eastAsia="zh-CN" w:bidi="ar-SA"/>
    </w:rPr>
    <w:tblPr/>
  </w:style>
  <w:style w:type="table" w:styleId="1116" w:customStyle="1">
    <w:name w:val="List Table 2 - Accent 5"/>
    <w:uiPriority w:val="99"/>
    <w:qFormat/>
    <w:rPr>
      <w:lang w:val="en-US" w:eastAsia="zh-CN" w:bidi="ar-SA"/>
    </w:rPr>
    <w:tblPr/>
  </w:style>
  <w:style w:type="table" w:styleId="1117" w:customStyle="1">
    <w:name w:val="List Table 5 Dark"/>
    <w:uiPriority w:val="99"/>
    <w:qFormat/>
    <w:rPr>
      <w:lang w:val="en-US" w:eastAsia="zh-CN" w:bidi="ar-SA"/>
    </w:rPr>
    <w:tblPr/>
  </w:style>
  <w:style w:type="table" w:styleId="1118" w:customStyle="1">
    <w:name w:val="List Table 1 Light - Accent 5"/>
    <w:uiPriority w:val="99"/>
    <w:qFormat/>
    <w:rPr>
      <w:lang w:val="en-US" w:eastAsia="zh-CN" w:bidi="ar-SA"/>
    </w:rPr>
    <w:tblPr/>
  </w:style>
  <w:style w:type="table" w:styleId="1119" w:customStyle="1">
    <w:name w:val="Grid Table 7 Colorful - Accent 3"/>
    <w:uiPriority w:val="99"/>
    <w:qFormat/>
    <w:rPr>
      <w:lang w:val="en-US" w:eastAsia="zh-CN" w:bidi="ar-SA"/>
    </w:rPr>
    <w:tblPr/>
  </w:style>
  <w:style w:type="table" w:styleId="1120" w:customStyle="1">
    <w:name w:val="List Table 3 - Accent 6"/>
    <w:uiPriority w:val="99"/>
    <w:qFormat/>
    <w:rPr>
      <w:lang w:val="en-US" w:eastAsia="zh-CN" w:bidi="ar-SA"/>
    </w:rPr>
    <w:tblPr/>
  </w:style>
  <w:style w:type="table" w:styleId="1121" w:customStyle="1">
    <w:name w:val="List Table 5 Dark - Accent 6"/>
    <w:uiPriority w:val="99"/>
    <w:qFormat/>
    <w:rPr>
      <w:lang w:val="en-US" w:eastAsia="zh-CN" w:bidi="ar-SA"/>
    </w:rPr>
    <w:tblPr/>
  </w:style>
  <w:style w:type="table" w:styleId="1122" w:customStyle="1">
    <w:name w:val="List Table 4 - Accent 3"/>
    <w:uiPriority w:val="99"/>
    <w:qFormat/>
    <w:rPr>
      <w:lang w:val="en-US" w:eastAsia="zh-CN" w:bidi="ar-SA"/>
    </w:rPr>
    <w:tblPr/>
  </w:style>
  <w:style w:type="table" w:styleId="1123" w:customStyle="1">
    <w:name w:val="List Table 5 Dark - Accent 2"/>
    <w:uiPriority w:val="99"/>
    <w:qFormat/>
    <w:rPr>
      <w:lang w:val="en-US" w:eastAsia="zh-CN" w:bidi="ar-SA"/>
    </w:rPr>
    <w:tblPr/>
  </w:style>
  <w:style w:type="table" w:styleId="1124" w:customStyle="1">
    <w:name w:val="List Table 2 - Accent 3"/>
    <w:uiPriority w:val="99"/>
    <w:qFormat/>
    <w:rPr>
      <w:lang w:val="en-US" w:eastAsia="zh-CN" w:bidi="ar-SA"/>
    </w:rPr>
    <w:tblPr/>
  </w:style>
  <w:style w:type="table" w:styleId="1125" w:customStyle="1">
    <w:name w:val="Grid Table 7 Colorful"/>
    <w:uiPriority w:val="99"/>
    <w:qFormat/>
    <w:rPr>
      <w:lang w:val="en-US" w:eastAsia="zh-CN" w:bidi="ar-SA"/>
    </w:rPr>
    <w:tblPr/>
  </w:style>
  <w:style w:type="table" w:styleId="1126" w:customStyle="1">
    <w:name w:val="List Table 4 - Accent 5"/>
    <w:uiPriority w:val="99"/>
    <w:qFormat/>
    <w:rPr>
      <w:lang w:val="en-US" w:eastAsia="zh-CN" w:bidi="ar-SA"/>
    </w:rPr>
    <w:tblPr/>
  </w:style>
  <w:style w:type="table" w:styleId="1127" w:customStyle="1">
    <w:name w:val="网格型1"/>
    <w:basedOn w:val="1107"/>
    <w:uiPriority w:val="39"/>
    <w:qFormat/>
    <w:tblPr/>
  </w:style>
  <w:style w:type="table" w:styleId="1128" w:customStyle="1">
    <w:name w:val="List Table 1 Light - Accent 4"/>
    <w:uiPriority w:val="99"/>
    <w:qFormat/>
    <w:rPr>
      <w:lang w:val="en-US" w:eastAsia="zh-CN" w:bidi="ar-SA"/>
    </w:rPr>
    <w:tblPr/>
  </w:style>
  <w:style w:type="table" w:styleId="1129" w:customStyle="1">
    <w:name w:val="List Table 6 Colorful - Accent 3"/>
    <w:uiPriority w:val="99"/>
    <w:qFormat/>
    <w:rPr>
      <w:lang w:val="en-US" w:eastAsia="zh-CN" w:bidi="ar-SA"/>
    </w:rPr>
    <w:tblPr/>
  </w:style>
  <w:style w:type="table" w:styleId="1130" w:customStyle="1">
    <w:name w:val="List Table 3 - Accent 2"/>
    <w:uiPriority w:val="99"/>
    <w:qFormat/>
    <w:rPr>
      <w:lang w:val="en-US" w:eastAsia="zh-CN" w:bidi="ar-SA"/>
    </w:rPr>
    <w:tblPr/>
  </w:style>
  <w:style w:type="table" w:styleId="1131" w:customStyle="1">
    <w:name w:val="List Table 1 Light"/>
    <w:uiPriority w:val="99"/>
    <w:qFormat/>
    <w:rPr>
      <w:lang w:val="en-US" w:eastAsia="zh-CN" w:bidi="ar-SA"/>
    </w:rPr>
    <w:tblPr/>
  </w:style>
  <w:style w:type="table" w:styleId="1132" w:customStyle="1">
    <w:name w:val="List Table 6 Colorful"/>
    <w:uiPriority w:val="99"/>
    <w:qFormat/>
    <w:rPr>
      <w:lang w:val="en-US" w:eastAsia="zh-CN" w:bidi="ar-SA"/>
    </w:rPr>
    <w:tblPr/>
  </w:style>
  <w:style w:type="table" w:styleId="1133" w:customStyle="1">
    <w:name w:val="Grid Table 7 Colorful - Accent 2"/>
    <w:uiPriority w:val="99"/>
    <w:qFormat/>
    <w:rPr>
      <w:lang w:val="en-US" w:eastAsia="zh-CN" w:bidi="ar-SA"/>
    </w:rPr>
    <w:tblPr/>
  </w:style>
  <w:style w:type="table" w:styleId="1134" w:customStyle="1">
    <w:name w:val="List Table 2 - Accent 4"/>
    <w:uiPriority w:val="99"/>
    <w:qFormat/>
    <w:rPr>
      <w:lang w:val="en-US" w:eastAsia="zh-CN" w:bidi="ar-SA"/>
    </w:rPr>
    <w:tblPr/>
  </w:style>
  <w:style w:type="table" w:styleId="1135" w:customStyle="1">
    <w:name w:val="Grid Table 6 Colorful - Accent 1"/>
    <w:uiPriority w:val="99"/>
    <w:qFormat/>
    <w:rPr>
      <w:lang w:val="en-US" w:eastAsia="zh-CN" w:bidi="ar-SA"/>
    </w:rPr>
    <w:tblPr/>
  </w:style>
  <w:style w:type="table" w:styleId="1136" w:customStyle="1">
    <w:name w:val="Grid Table 3 - Accent 2"/>
    <w:uiPriority w:val="99"/>
    <w:qFormat/>
    <w:rPr>
      <w:lang w:val="en-US" w:eastAsia="zh-CN" w:bidi="ar-SA"/>
    </w:rPr>
    <w:tblPr/>
  </w:style>
  <w:style w:type="table" w:styleId="1137" w:customStyle="1">
    <w:name w:val="Grid Table 5 Dark- Accent 4"/>
    <w:uiPriority w:val="99"/>
    <w:qFormat/>
    <w:rPr>
      <w:lang w:val="en-US" w:eastAsia="zh-CN" w:bidi="ar-SA"/>
    </w:rPr>
    <w:tblPr/>
  </w:style>
  <w:style w:type="table" w:styleId="1138" w:customStyle="1">
    <w:name w:val="List Table 7 Colorful - Accent 2"/>
    <w:uiPriority w:val="99"/>
    <w:qFormat/>
    <w:rPr>
      <w:lang w:val="en-US" w:eastAsia="zh-CN" w:bidi="ar-SA"/>
    </w:rPr>
    <w:tblPr/>
  </w:style>
  <w:style w:type="table" w:styleId="1139" w:customStyle="1">
    <w:name w:val="Grid Table 6 Colorful - Accent 4"/>
    <w:uiPriority w:val="99"/>
    <w:qFormat/>
    <w:rPr>
      <w:lang w:val="en-US" w:eastAsia="zh-CN" w:bidi="ar-SA"/>
    </w:rPr>
    <w:tblPr/>
  </w:style>
  <w:style w:type="table" w:styleId="1140" w:customStyle="1">
    <w:name w:val="List Table 3"/>
    <w:uiPriority w:val="99"/>
    <w:qFormat/>
    <w:rPr>
      <w:lang w:val="en-US" w:eastAsia="zh-CN" w:bidi="ar-SA"/>
    </w:rPr>
    <w:tblPr/>
  </w:style>
  <w:style w:type="table" w:styleId="1141" w:customStyle="1">
    <w:name w:val="Grid Table 2 - Accent 5"/>
    <w:uiPriority w:val="99"/>
    <w:qFormat/>
    <w:rPr>
      <w:lang w:val="en-US" w:eastAsia="zh-CN" w:bidi="ar-SA"/>
    </w:rPr>
    <w:tblPr/>
  </w:style>
  <w:style w:type="table" w:styleId="1142" w:customStyle="1">
    <w:name w:val="Grid Table 5 Dark - Accent 3"/>
    <w:uiPriority w:val="99"/>
    <w:qFormat/>
    <w:rPr>
      <w:lang w:val="en-US" w:eastAsia="zh-CN" w:bidi="ar-SA"/>
    </w:rPr>
    <w:tblPr/>
  </w:style>
  <w:style w:type="table" w:styleId="1143" w:customStyle="1">
    <w:name w:val="Grid Table 2"/>
    <w:uiPriority w:val="99"/>
    <w:qFormat/>
    <w:rPr>
      <w:lang w:val="en-US" w:eastAsia="zh-CN" w:bidi="ar-SA"/>
    </w:rPr>
    <w:tblPr/>
  </w:style>
  <w:style w:type="table" w:styleId="1144" w:customStyle="1">
    <w:name w:val="Lined - Accent 5"/>
    <w:uiPriority w:val="99"/>
    <w:qFormat/>
    <w:rPr>
      <w:color w:val="404040"/>
      <w:lang w:val="en-US" w:eastAsia="zh-CN" w:bidi="ar-SA"/>
    </w:rPr>
    <w:tblPr/>
  </w:style>
  <w:style w:type="table" w:styleId="1145" w:customStyle="1">
    <w:name w:val="Lined - Accent 4"/>
    <w:uiPriority w:val="99"/>
    <w:qFormat/>
    <w:rPr>
      <w:color w:val="404040"/>
      <w:lang w:val="en-US" w:eastAsia="zh-CN" w:bidi="ar-SA"/>
    </w:rPr>
    <w:tblPr/>
  </w:style>
  <w:style w:type="table" w:styleId="1146" w:customStyle="1">
    <w:name w:val="Plain Table 2"/>
    <w:uiPriority w:val="59"/>
    <w:qFormat/>
    <w:rPr>
      <w:lang w:val="en-US" w:eastAsia="zh-CN" w:bidi="ar-SA"/>
    </w:rPr>
    <w:tblPr/>
  </w:style>
  <w:style w:type="table" w:styleId="1147" w:customStyle="1">
    <w:name w:val="Bordered - Accent 6"/>
    <w:uiPriority w:val="99"/>
    <w:qFormat/>
    <w:rPr>
      <w:lang w:val="en-US" w:eastAsia="zh-CN" w:bidi="ar-SA"/>
    </w:rPr>
    <w:tblPr/>
  </w:style>
  <w:style w:type="table" w:styleId="1148" w:customStyle="1">
    <w:name w:val="Grid Table 3 - Accent 3"/>
    <w:uiPriority w:val="99"/>
    <w:qFormat/>
    <w:rPr>
      <w:lang w:val="en-US" w:eastAsia="zh-CN" w:bidi="ar-SA"/>
    </w:rPr>
    <w:tblPr/>
  </w:style>
  <w:style w:type="table" w:styleId="1149" w:customStyle="1">
    <w:name w:val="Table Grid Light"/>
    <w:uiPriority w:val="59"/>
    <w:qFormat/>
    <w:rPr>
      <w:lang w:val="en-US" w:eastAsia="zh-CN" w:bidi="ar-SA"/>
    </w:rPr>
    <w:tblPr/>
  </w:style>
  <w:style w:type="table" w:styleId="1150" w:customStyle="1">
    <w:name w:val="List Table 3 - Accent 4"/>
    <w:uiPriority w:val="99"/>
    <w:qFormat/>
    <w:rPr>
      <w:lang w:val="en-US" w:eastAsia="zh-CN" w:bidi="ar-SA"/>
    </w:rPr>
    <w:tblPr/>
  </w:style>
  <w:style w:type="table" w:styleId="1151" w:customStyle="1">
    <w:name w:val="List Table 7 Colorful - Accent 1"/>
    <w:uiPriority w:val="99"/>
    <w:qFormat/>
    <w:rPr>
      <w:lang w:val="en-US" w:eastAsia="zh-CN" w:bidi="ar-SA"/>
    </w:rPr>
    <w:tblPr/>
  </w:style>
  <w:style w:type="table" w:styleId="1152" w:customStyle="1">
    <w:name w:val="Grid Table 1 Light - Accent 1"/>
    <w:uiPriority w:val="99"/>
    <w:qFormat/>
    <w:rPr>
      <w:lang w:val="en-US" w:eastAsia="zh-CN" w:bidi="ar-SA"/>
    </w:rPr>
    <w:tblPr/>
  </w:style>
  <w:style w:type="table" w:styleId="1153" w:customStyle="1">
    <w:name w:val="Lined - Accent 1"/>
    <w:uiPriority w:val="99"/>
    <w:qFormat/>
    <w:rPr>
      <w:color w:val="404040"/>
      <w:lang w:val="en-US" w:eastAsia="zh-CN" w:bidi="ar-SA"/>
    </w:rPr>
    <w:tblPr/>
  </w:style>
  <w:style w:type="table" w:styleId="1154" w:customStyle="1">
    <w:name w:val="Grid Table 3 - Accent 6"/>
    <w:uiPriority w:val="99"/>
    <w:qFormat/>
    <w:rPr>
      <w:lang w:val="en-US" w:eastAsia="zh-CN" w:bidi="ar-SA"/>
    </w:rPr>
    <w:tblPr/>
  </w:style>
  <w:style w:type="table" w:styleId="1155" w:customStyle="1">
    <w:name w:val="Plain Table 3"/>
    <w:uiPriority w:val="99"/>
    <w:qFormat/>
    <w:rPr>
      <w:lang w:val="en-US" w:eastAsia="zh-CN" w:bidi="ar-SA"/>
    </w:rPr>
    <w:tblPr/>
  </w:style>
  <w:style w:type="table" w:styleId="1156" w:customStyle="1">
    <w:name w:val="Grid Table 4 - Accent 4"/>
    <w:uiPriority w:val="59"/>
    <w:qFormat/>
    <w:rPr>
      <w:lang w:val="en-US" w:eastAsia="zh-CN" w:bidi="ar-SA"/>
    </w:rPr>
    <w:tblPr/>
  </w:style>
  <w:style w:type="table" w:styleId="1157" w:customStyle="1">
    <w:name w:val="Grid Table 3 - Accent 5"/>
    <w:uiPriority w:val="99"/>
    <w:qFormat/>
    <w:rPr>
      <w:lang w:val="en-US" w:eastAsia="zh-CN" w:bidi="ar-SA"/>
    </w:rPr>
    <w:tblPr/>
  </w:style>
  <w:style w:type="table" w:styleId="1158" w:customStyle="1">
    <w:name w:val="Plain Table 1"/>
    <w:uiPriority w:val="59"/>
    <w:qFormat/>
    <w:rPr>
      <w:lang w:val="en-US" w:eastAsia="zh-CN" w:bidi="ar-SA"/>
    </w:rPr>
    <w:tblPr/>
  </w:style>
  <w:style w:type="table" w:styleId="1159" w:customStyle="1">
    <w:name w:val="Bordered - Accent 5"/>
    <w:uiPriority w:val="99"/>
    <w:qFormat/>
    <w:rPr>
      <w:lang w:val="en-US" w:eastAsia="zh-CN" w:bidi="ar-SA"/>
    </w:rPr>
    <w:tblPr/>
  </w:style>
  <w:style w:type="table" w:styleId="1160" w:customStyle="1">
    <w:name w:val="Grid Table 1 Light"/>
    <w:uiPriority w:val="99"/>
    <w:qFormat/>
    <w:rPr>
      <w:lang w:val="en-US" w:eastAsia="zh-CN" w:bidi="ar-SA"/>
    </w:rPr>
    <w:tblPr/>
  </w:style>
  <w:style w:type="table" w:styleId="1161" w:customStyle="1">
    <w:name w:val="Grid Table 6 Colorful - Accent 2"/>
    <w:uiPriority w:val="99"/>
    <w:qFormat/>
    <w:rPr>
      <w:lang w:val="en-US" w:eastAsia="zh-CN" w:bidi="ar-SA"/>
    </w:rPr>
    <w:tblPr/>
  </w:style>
  <w:style w:type="table" w:styleId="1162" w:customStyle="1">
    <w:name w:val="Grid Table 1 Light - Accent 4"/>
    <w:uiPriority w:val="99"/>
    <w:qFormat/>
    <w:rPr>
      <w:lang w:val="en-US" w:eastAsia="zh-CN" w:bidi="ar-SA"/>
    </w:rPr>
    <w:tblPr/>
  </w:style>
  <w:style w:type="table" w:styleId="1163" w:customStyle="1">
    <w:name w:val="Plain Table 4"/>
    <w:uiPriority w:val="99"/>
    <w:qFormat/>
    <w:rPr>
      <w:lang w:val="en-US" w:eastAsia="zh-CN" w:bidi="ar-SA"/>
    </w:rPr>
    <w:tblPr/>
  </w:style>
  <w:style w:type="table" w:styleId="1164" w:customStyle="1">
    <w:name w:val="Grid Table 4 - Accent 6"/>
    <w:uiPriority w:val="59"/>
    <w:qFormat/>
    <w:rPr>
      <w:lang w:val="en-US" w:eastAsia="zh-CN" w:bidi="ar-SA"/>
    </w:rPr>
    <w:tblPr/>
  </w:style>
  <w:style w:type="table" w:styleId="1165" w:customStyle="1">
    <w:name w:val="Grid Table 1 Light - Accent 3"/>
    <w:uiPriority w:val="99"/>
    <w:qFormat/>
    <w:rPr>
      <w:lang w:val="en-US" w:eastAsia="zh-CN" w:bidi="ar-SA"/>
    </w:rPr>
    <w:tblPr/>
  </w:style>
  <w:style w:type="table" w:styleId="1166" w:customStyle="1">
    <w:name w:val="Grid Table 1 Light - Accent 2"/>
    <w:uiPriority w:val="99"/>
    <w:qFormat/>
    <w:rPr>
      <w:lang w:val="en-US" w:eastAsia="zh-CN" w:bidi="ar-SA"/>
    </w:rPr>
    <w:tblPr/>
  </w:style>
  <w:style w:type="table" w:styleId="1167" w:customStyle="1">
    <w:name w:val="Grid Table 5 Dark- Accent 1"/>
    <w:uiPriority w:val="99"/>
    <w:qFormat/>
    <w:rPr>
      <w:lang w:val="en-US" w:eastAsia="zh-CN" w:bidi="ar-SA"/>
    </w:rPr>
    <w:tblPr/>
  </w:style>
  <w:style w:type="table" w:styleId="1168" w:customStyle="1">
    <w:name w:val="Grid Table 3 - Accent 1"/>
    <w:uiPriority w:val="99"/>
    <w:qFormat/>
    <w:rPr>
      <w:lang w:val="en-US" w:eastAsia="zh-CN" w:bidi="ar-SA"/>
    </w:rPr>
    <w:tblPr/>
  </w:style>
  <w:style w:type="table" w:styleId="1169" w:customStyle="1">
    <w:name w:val="Plain Table 5"/>
    <w:uiPriority w:val="99"/>
    <w:qFormat/>
    <w:rPr>
      <w:lang w:val="en-US" w:eastAsia="zh-CN" w:bidi="ar-SA"/>
    </w:rPr>
    <w:tblPr/>
  </w:style>
  <w:style w:type="table" w:styleId="1170" w:customStyle="1">
    <w:name w:val="Grid Table 4 - Accent 5"/>
    <w:uiPriority w:val="59"/>
    <w:qFormat/>
    <w:rPr>
      <w:lang w:val="en-US" w:eastAsia="zh-CN" w:bidi="ar-SA"/>
    </w:rPr>
    <w:tblPr/>
  </w:style>
  <w:style w:type="table" w:styleId="1171" w:customStyle="1">
    <w:name w:val="Grid Table 1 Light - Accent 5"/>
    <w:uiPriority w:val="99"/>
    <w:qFormat/>
    <w:rPr>
      <w:lang w:val="en-US" w:eastAsia="zh-CN" w:bidi="ar-SA"/>
    </w:rPr>
    <w:tblPr/>
  </w:style>
  <w:style w:type="table" w:styleId="1172" w:customStyle="1">
    <w:name w:val="List Table 7 Colorful - Accent 5"/>
    <w:uiPriority w:val="99"/>
    <w:qFormat/>
    <w:rPr>
      <w:lang w:val="en-US" w:eastAsia="zh-CN" w:bidi="ar-SA"/>
    </w:rPr>
    <w:tblPr/>
  </w:style>
  <w:style w:type="table" w:styleId="1173" w:customStyle="1">
    <w:name w:val="Grid Table 1 Light - Accent 6"/>
    <w:uiPriority w:val="99"/>
    <w:qFormat/>
    <w:rPr>
      <w:lang w:val="en-US" w:eastAsia="zh-CN" w:bidi="ar-SA"/>
    </w:rPr>
    <w:tblPr/>
  </w:style>
  <w:style w:type="table" w:styleId="1174" w:customStyle="1">
    <w:name w:val="Bordered &amp; Lined - Accent 5"/>
    <w:uiPriority w:val="99"/>
    <w:qFormat/>
    <w:rPr>
      <w:color w:val="404040"/>
      <w:lang w:val="en-US" w:eastAsia="zh-CN" w:bidi="ar-SA"/>
    </w:rPr>
    <w:tblPr/>
  </w:style>
  <w:style w:type="table" w:styleId="1175" w:customStyle="1">
    <w:name w:val="Lined - Accent"/>
    <w:uiPriority w:val="99"/>
    <w:qFormat/>
    <w:rPr>
      <w:color w:val="404040"/>
      <w:lang w:val="en-US" w:eastAsia="zh-CN" w:bidi="ar-SA"/>
    </w:rPr>
    <w:tblPr/>
  </w:style>
  <w:style w:type="table" w:styleId="1176" w:customStyle="1">
    <w:name w:val="Bordered &amp; Lined - Accent 4"/>
    <w:uiPriority w:val="99"/>
    <w:qFormat/>
    <w:rPr>
      <w:color w:val="404040"/>
      <w:lang w:val="en-US" w:eastAsia="zh-CN" w:bidi="ar-SA"/>
    </w:rPr>
    <w:tblPr/>
  </w:style>
  <w:style w:type="table" w:styleId="1177" w:customStyle="1">
    <w:name w:val="Grid Table 2 - Accent 1"/>
    <w:uiPriority w:val="99"/>
    <w:qFormat/>
    <w:rPr>
      <w:lang w:val="en-US" w:eastAsia="zh-CN" w:bidi="ar-SA"/>
    </w:rPr>
    <w:tblPr/>
  </w:style>
  <w:style w:type="table" w:styleId="1178" w:customStyle="1">
    <w:name w:val="List Table 5 Dark - Accent 5"/>
    <w:uiPriority w:val="99"/>
    <w:qFormat/>
    <w:rPr>
      <w:lang w:val="en-US" w:eastAsia="zh-CN" w:bidi="ar-SA"/>
    </w:rPr>
    <w:tblPr/>
  </w:style>
  <w:style w:type="table" w:styleId="1179" w:customStyle="1">
    <w:name w:val="List Table 7 Colorful - Accent 3"/>
    <w:uiPriority w:val="99"/>
    <w:qFormat/>
    <w:rPr>
      <w:lang w:val="en-US" w:eastAsia="zh-CN" w:bidi="ar-SA"/>
    </w:rPr>
    <w:tblPr/>
  </w:style>
  <w:style w:type="table" w:styleId="1180" w:customStyle="1">
    <w:name w:val="Bordered &amp; Lined - Accent 2"/>
    <w:uiPriority w:val="99"/>
    <w:qFormat/>
    <w:rPr>
      <w:color w:val="404040"/>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Grid Table 2 - Accent 2"/>
    <w:uiPriority w:val="99"/>
    <w:qFormat/>
    <w:rPr>
      <w:lang w:val="en-US" w:eastAsia="zh-CN" w:bidi="ar-SA"/>
    </w:rPr>
    <w:tblPr/>
  </w:style>
  <w:style w:type="table" w:styleId="1183" w:customStyle="1">
    <w:name w:val="Grid Table 6 Colorful - Accent 3"/>
    <w:uiPriority w:val="99"/>
    <w:qFormat/>
    <w:rPr>
      <w:lang w:val="en-US" w:eastAsia="zh-CN" w:bidi="ar-SA"/>
    </w:rPr>
    <w:tblPr/>
  </w:style>
  <w:style w:type="table" w:styleId="1184" w:customStyle="1">
    <w:name w:val="Grid Table 5 Dark - Accent 6"/>
    <w:uiPriority w:val="99"/>
    <w:qFormat/>
    <w:rPr>
      <w:lang w:val="en-US" w:eastAsia="zh-CN" w:bidi="ar-SA"/>
    </w:rPr>
    <w:tblPr/>
  </w:style>
  <w:style w:type="table" w:styleId="1185" w:customStyle="1">
    <w:name w:val="Grid Table 2 - Accent 3"/>
    <w:uiPriority w:val="99"/>
    <w:qFormat/>
    <w:rPr>
      <w:lang w:val="en-US" w:eastAsia="zh-CN" w:bidi="ar-SA"/>
    </w:rPr>
    <w:tblPr/>
  </w:style>
  <w:style w:type="table" w:styleId="1186" w:customStyle="1">
    <w:name w:val="Grid Table 5 Dark - Accent 2"/>
    <w:uiPriority w:val="99"/>
    <w:qFormat/>
    <w:rPr>
      <w:lang w:val="en-US" w:eastAsia="zh-CN" w:bidi="ar-SA"/>
    </w:rPr>
    <w:tblPr/>
  </w:style>
  <w:style w:type="table" w:styleId="1187" w:customStyle="1">
    <w:name w:val="Bordered &amp; Lined - Accent 3"/>
    <w:uiPriority w:val="99"/>
    <w:qFormat/>
    <w:rPr>
      <w:color w:val="404040"/>
      <w:lang w:val="en-US" w:eastAsia="zh-CN" w:bidi="ar-SA"/>
    </w:rPr>
    <w:tblPr/>
  </w:style>
  <w:style w:type="table" w:styleId="1188" w:customStyle="1">
    <w:name w:val="Grid Table 5 Dark - Accent 5"/>
    <w:uiPriority w:val="99"/>
    <w:qFormat/>
    <w:rPr>
      <w:lang w:val="en-US" w:eastAsia="zh-CN" w:bidi="ar-SA"/>
    </w:rPr>
    <w:tblPr/>
  </w:style>
  <w:style w:type="table" w:styleId="1189" w:customStyle="1">
    <w:name w:val="Grid Table 2 - Accent 6"/>
    <w:uiPriority w:val="99"/>
    <w:qFormat/>
    <w:rPr>
      <w:lang w:val="en-US" w:eastAsia="zh-CN" w:bidi="ar-SA"/>
    </w:rPr>
    <w:tblPr/>
  </w:style>
  <w:style w:type="table" w:styleId="1190" w:customStyle="1">
    <w:name w:val="Bordered &amp; Lined - Accent 1"/>
    <w:uiPriority w:val="99"/>
    <w:qFormat/>
    <w:rPr>
      <w:color w:val="404040"/>
      <w:lang w:val="en-US" w:eastAsia="zh-CN" w:bidi="ar-SA"/>
    </w:rPr>
    <w:tblPr/>
  </w:style>
  <w:style w:type="table" w:styleId="1191" w:customStyle="1">
    <w:name w:val="Bordered - Accent 3"/>
    <w:uiPriority w:val="99"/>
    <w:qFormat/>
    <w:rPr>
      <w:lang w:val="en-US" w:eastAsia="zh-CN" w:bidi="ar-SA"/>
    </w:rPr>
    <w:tblPr/>
  </w:style>
  <w:style w:type="table" w:styleId="1192" w:customStyle="1">
    <w:name w:val="Grid Table 4"/>
    <w:uiPriority w:val="59"/>
    <w:qFormat/>
    <w:rPr>
      <w:lang w:val="en-US" w:eastAsia="zh-CN" w:bidi="ar-SA"/>
    </w:rPr>
    <w:tblPr/>
  </w:style>
  <w:style w:type="table" w:styleId="1193" w:customStyle="1">
    <w:name w:val="Grid Table 3"/>
    <w:uiPriority w:val="99"/>
    <w:qFormat/>
    <w:rPr>
      <w:lang w:val="en-US" w:eastAsia="zh-CN" w:bidi="ar-SA"/>
    </w:rPr>
    <w:tblPr/>
  </w:style>
  <w:style w:type="table" w:styleId="1194" w:customStyle="1">
    <w:name w:val="Bordered &amp; Lined - Accent"/>
    <w:uiPriority w:val="99"/>
    <w:qFormat/>
    <w:rPr>
      <w:color w:val="404040"/>
      <w:lang w:val="en-US" w:eastAsia="zh-CN" w:bidi="ar-SA"/>
    </w:rPr>
    <w:tblPr/>
  </w:style>
  <w:style w:type="table" w:styleId="1195" w:customStyle="1">
    <w:name w:val="List Table 7 Colorful"/>
    <w:uiPriority w:val="99"/>
    <w:qFormat/>
    <w:rPr>
      <w:lang w:val="en-US" w:eastAsia="zh-CN" w:bidi="ar-SA"/>
    </w:rPr>
    <w:tblPr/>
  </w:style>
  <w:style w:type="table" w:styleId="1196" w:customStyle="1">
    <w:name w:val="Grid Table 6 Colorful"/>
    <w:uiPriority w:val="99"/>
    <w:qFormat/>
    <w:rPr>
      <w:lang w:val="en-US" w:eastAsia="zh-CN" w:bidi="ar-SA"/>
    </w:rPr>
    <w:tblPr/>
  </w:style>
  <w:style w:type="table" w:styleId="1197" w:customStyle="1">
    <w:name w:val="List Table 7 Colorful - Accent 6"/>
    <w:uiPriority w:val="99"/>
    <w:qFormat/>
    <w:rPr>
      <w:lang w:val="en-US" w:eastAsia="zh-CN" w:bidi="ar-SA"/>
    </w:rPr>
    <w:tblPr/>
  </w:style>
  <w:style w:type="table" w:styleId="1198" w:customStyle="1">
    <w:name w:val="Grid Table 4 - Accent 1"/>
    <w:uiPriority w:val="59"/>
    <w:qFormat/>
    <w:rPr>
      <w:lang w:val="en-US" w:eastAsia="zh-CN" w:bidi="ar-SA"/>
    </w:rPr>
    <w:tblPr/>
  </w:style>
  <w:style w:type="table" w:styleId="1199" w:customStyle="1">
    <w:name w:val="Bordered - Accent 1"/>
    <w:uiPriority w:val="99"/>
    <w:qFormat/>
    <w:rPr>
      <w:lang w:val="en-US" w:eastAsia="zh-CN" w:bidi="ar-SA"/>
    </w:rPr>
    <w:tblPr/>
  </w:style>
  <w:style w:type="table" w:styleId="1200" w:customStyle="1">
    <w:name w:val="Grid Table 5 Dark"/>
    <w:uiPriority w:val="99"/>
    <w:qFormat/>
    <w:rPr>
      <w:lang w:val="en-US" w:eastAsia="zh-CN" w:bidi="ar-SA"/>
    </w:rPr>
    <w:tblPr/>
  </w:style>
  <w:style w:type="table" w:styleId="1201" w:customStyle="1">
    <w:name w:val="Bordered - Accent 4"/>
    <w:uiPriority w:val="99"/>
    <w:qFormat/>
    <w:rPr>
      <w:lang w:val="en-US" w:eastAsia="zh-CN" w:bidi="ar-SA"/>
    </w:rPr>
    <w:tblPr/>
  </w:style>
  <w:style w:type="table" w:styleId="1202" w:customStyle="1">
    <w:name w:val="Grid Table 4 - Accent 3"/>
    <w:uiPriority w:val="59"/>
    <w:qFormat/>
    <w:rPr>
      <w:lang w:val="en-US" w:eastAsia="zh-CN" w:bidi="ar-SA"/>
    </w:rPr>
    <w:tblPr/>
  </w:style>
  <w:style w:type="table" w:styleId="1203" w:customStyle="1">
    <w:name w:val="Grid Table 3 - Accent 4"/>
    <w:uiPriority w:val="99"/>
    <w:qFormat/>
    <w:rPr>
      <w:lang w:val="en-US" w:eastAsia="zh-CN" w:bidi="ar-SA"/>
    </w:rPr>
    <w:tblPr/>
  </w:style>
  <w:style w:type="table" w:styleId="1204" w:customStyle="1">
    <w:name w:val="List Table 4 - Accent 6"/>
    <w:uiPriority w:val="99"/>
    <w:qFormat/>
    <w:rPr>
      <w:lang w:val="en-US" w:eastAsia="zh-CN" w:bidi="ar-SA"/>
    </w:rPr>
    <w:tblPr/>
  </w:style>
  <w:style w:type="table" w:styleId="1205" w:customStyle="1">
    <w:name w:val="Lined - Accent 2"/>
    <w:uiPriority w:val="99"/>
    <w:qFormat/>
    <w:rPr>
      <w:color w:val="404040"/>
      <w:lang w:val="en-US" w:eastAsia="zh-CN" w:bidi="ar-SA"/>
    </w:rPr>
    <w:tblPr/>
  </w:style>
  <w:style w:type="table" w:styleId="1206" w:customStyle="1">
    <w:name w:val="Grid Table 6 Colorful - Accent 5"/>
    <w:uiPriority w:val="99"/>
    <w:qFormat/>
    <w:rPr>
      <w:lang w:val="en-US" w:eastAsia="zh-CN" w:bidi="ar-SA"/>
    </w:rPr>
    <w:tblPr/>
  </w:style>
  <w:style w:type="table" w:styleId="1207" w:customStyle="1">
    <w:name w:val="List Table 5 Dark - Accent 4"/>
    <w:uiPriority w:val="99"/>
    <w:qFormat/>
    <w:rPr>
      <w:lang w:val="en-US" w:eastAsia="zh-CN" w:bidi="ar-SA"/>
    </w:rPr>
    <w:tblPr/>
  </w:style>
  <w:style w:type="table" w:styleId="1208" w:customStyle="1">
    <w:name w:val="Grid Table 6 Colorful - Accent 6"/>
    <w:uiPriority w:val="99"/>
    <w:qFormat/>
    <w:rPr>
      <w:lang w:val="en-US" w:eastAsia="zh-CN" w:bidi="ar-SA"/>
    </w:rPr>
    <w:tblPr/>
  </w:style>
  <w:style w:type="table" w:styleId="1209" w:customStyle="1">
    <w:name w:val="Bordered"/>
    <w:uiPriority w:val="99"/>
    <w:qFormat/>
    <w:rPr>
      <w:lang w:val="en-US" w:eastAsia="zh-CN" w:bidi="ar-SA"/>
    </w:rPr>
    <w:tblPr/>
  </w:style>
  <w:style w:type="table" w:styleId="1210" w:customStyle="1">
    <w:name w:val="Grid Table 7 Colorful - Accent 1"/>
    <w:uiPriority w:val="99"/>
    <w:qFormat/>
    <w:rPr>
      <w:lang w:val="en-US" w:eastAsia="zh-CN" w:bidi="ar-SA"/>
    </w:rPr>
    <w:tblPr/>
  </w:style>
  <w:style w:type="table" w:styleId="1211" w:customStyle="1">
    <w:name w:val="Bordered - Accent 2"/>
    <w:uiPriority w:val="99"/>
    <w:qFormat/>
    <w:rPr>
      <w:lang w:val="en-US" w:eastAsia="zh-CN" w:bidi="ar-SA"/>
    </w:rPr>
    <w:tblPr/>
  </w:style>
  <w:style w:type="table" w:styleId="1212" w:customStyle="1">
    <w:name w:val="List Table 6 Colorful - Accent 6"/>
    <w:uiPriority w:val="99"/>
    <w:qFormat/>
    <w:rPr>
      <w:lang w:val="en-US" w:eastAsia="zh-CN" w:bidi="ar-SA"/>
    </w:rPr>
    <w:tblPr/>
  </w:style>
  <w:style w:type="table" w:styleId="1213" w:customStyle="1">
    <w:name w:val="List Table 4"/>
    <w:uiPriority w:val="99"/>
    <w:qFormat/>
    <w:rPr>
      <w:lang w:val="en-US" w:eastAsia="zh-CN" w:bidi="ar-SA"/>
    </w:rPr>
    <w:tblPr/>
  </w:style>
  <w:style w:type="table" w:styleId="1214" w:customStyle="1">
    <w:name w:val="List Table 6 Colorful - Accent 5"/>
    <w:uiPriority w:val="99"/>
    <w:qFormat/>
    <w:rPr>
      <w:lang w:val="en-US" w:eastAsia="zh-CN" w:bidi="ar-SA"/>
    </w:rPr>
    <w:tblPr/>
  </w:style>
  <w:style w:type="table" w:styleId="1215" w:customStyle="1">
    <w:name w:val="List Table 2 - Accent 2"/>
    <w:uiPriority w:val="99"/>
    <w:qFormat/>
    <w:rPr>
      <w:lang w:val="en-US" w:eastAsia="zh-CN" w:bidi="ar-SA"/>
    </w:rPr>
    <w:tblPr/>
  </w:style>
  <w:style w:type="table" w:styleId="1216" w:customStyle="1">
    <w:name w:val="Grid Table 7 Colorful - Accent 4"/>
    <w:uiPriority w:val="99"/>
    <w:qFormat/>
    <w:rPr>
      <w:lang w:val="en-US" w:eastAsia="zh-CN" w:bidi="ar-SA"/>
    </w:rPr>
    <w:tblPr/>
  </w:style>
  <w:style w:type="table" w:styleId="1217" w:customStyle="1">
    <w:name w:val="List Table 1 Light - Accent 6"/>
    <w:uiPriority w:val="99"/>
    <w:qFormat/>
    <w:rPr>
      <w:lang w:val="en-US" w:eastAsia="zh-CN" w:bidi="ar-SA"/>
    </w:rPr>
    <w:tblPr/>
  </w:style>
  <w:style w:type="table" w:styleId="1218" w:customStyle="1">
    <w:name w:val="List Table 3 - Accent 1"/>
    <w:uiPriority w:val="99"/>
    <w:qFormat/>
    <w:rPr>
      <w:lang w:val="en-US" w:eastAsia="zh-CN" w:bidi="ar-SA"/>
    </w:rPr>
    <w:tblPr/>
  </w:style>
  <w:style w:type="table" w:styleId="1219" w:customStyle="1">
    <w:name w:val="List Table 2 - Accent 1"/>
    <w:uiPriority w:val="99"/>
    <w:qFormat/>
    <w:rPr>
      <w:lang w:val="en-US" w:eastAsia="zh-CN" w:bidi="ar-SA"/>
    </w:rPr>
    <w:tblPr/>
  </w:style>
  <w:style w:type="table" w:styleId="1220" w:customStyle="1">
    <w:name w:val="Grid Table 7 Colorful - Accent 6"/>
    <w:uiPriority w:val="99"/>
    <w:qFormat/>
    <w:rPr>
      <w:lang w:val="en-US" w:eastAsia="zh-CN" w:bidi="ar-SA"/>
    </w:rPr>
    <w:tblPr/>
  </w:style>
  <w:style w:type="table" w:styleId="1221" w:customStyle="1">
    <w:name w:val="List Table 2 - Accent 6"/>
    <w:uiPriority w:val="99"/>
    <w:qFormat/>
    <w:rPr>
      <w:lang w:val="en-US" w:eastAsia="zh-CN" w:bidi="ar-SA"/>
    </w:rPr>
    <w:tblPr/>
  </w:style>
  <w:style w:type="table" w:styleId="1222" w:customStyle="1">
    <w:name w:val="List Table 1 Light - Accent 1"/>
    <w:uiPriority w:val="99"/>
    <w:qFormat/>
    <w:rPr>
      <w:lang w:val="en-US" w:eastAsia="zh-CN" w:bidi="ar-SA"/>
    </w:rPr>
    <w:tblPr/>
  </w:style>
  <w:style w:type="table" w:styleId="1223" w:customStyle="1">
    <w:name w:val="List Table 6 Colorful - Accent 4"/>
    <w:uiPriority w:val="99"/>
    <w:qFormat/>
    <w:rPr>
      <w:lang w:val="en-US" w:eastAsia="zh-CN" w:bidi="ar-SA"/>
    </w:rPr>
    <w:tblPr/>
  </w:style>
  <w:style w:type="table" w:styleId="1224" w:customStyle="1">
    <w:name w:val="List Table 1 Light - Accent 2"/>
    <w:uiPriority w:val="99"/>
    <w:qFormat/>
    <w:rPr>
      <w:lang w:val="en-US" w:eastAsia="zh-CN" w:bidi="ar-SA"/>
    </w:rPr>
    <w:tblPr/>
  </w:style>
  <w:style w:type="table" w:styleId="1225" w:customStyle="1">
    <w:name w:val="List Table 7 Colorful - Accent 4"/>
    <w:uiPriority w:val="99"/>
    <w:qFormat/>
    <w:rPr>
      <w:lang w:val="en-US" w:eastAsia="zh-CN" w:bidi="ar-SA"/>
    </w:rPr>
    <w:tblPr/>
  </w:style>
  <w:style w:type="table" w:styleId="1226" w:customStyle="1">
    <w:name w:val="List Table 1 Light - Accent 3"/>
    <w:uiPriority w:val="99"/>
    <w:qFormat/>
    <w:rPr>
      <w:lang w:val="en-US" w:eastAsia="zh-CN" w:bidi="ar-SA"/>
    </w:rPr>
    <w:tblPr/>
  </w:style>
  <w:style w:type="table" w:styleId="1227" w:customStyle="1">
    <w:name w:val="List Table 4 - Accent 1"/>
    <w:uiPriority w:val="99"/>
    <w:qFormat/>
    <w:rPr>
      <w:lang w:val="en-US" w:eastAsia="zh-CN" w:bidi="ar-SA"/>
    </w:rPr>
    <w:tblPr/>
  </w:style>
  <w:style w:type="table" w:styleId="1228" w:customStyle="1">
    <w:name w:val="Lined - Accent 6"/>
    <w:uiPriority w:val="99"/>
    <w:qFormat/>
    <w:rPr>
      <w:color w:val="404040"/>
      <w:lang w:val="en-US" w:eastAsia="zh-CN" w:bidi="ar-SA"/>
    </w:rPr>
    <w:tblPr/>
  </w:style>
  <w:style w:type="paragraph" w:styleId="1229"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30" w:customStyle="1">
    <w:name w:val="正文文本11"/>
    <w:basedOn w:val="931"/>
    <w:next w:val="979"/>
    <w:uiPriority w:val="0"/>
    <w:qFormat/>
    <w:pPr>
      <w:spacing w:line="300" w:lineRule="auto"/>
    </w:pPr>
    <w:rPr>
      <w:rFonts w:eastAsia="微软简楷体"/>
      <w:sz w:val="30"/>
    </w:rPr>
  </w:style>
  <w:style w:type="character" w:styleId="1231" w:customStyle="1">
    <w:name w:val="15"/>
    <w:basedOn w:val="941"/>
    <w:uiPriority w:val="0"/>
    <w:qFormat/>
    <w:rPr>
      <w:rFonts w:hint="default" w:ascii="Times New Roman" w:hAnsi="Times New Roman" w:cs="Times New Roman"/>
      <w:sz w:val="21"/>
      <w:szCs w:val="21"/>
    </w:rPr>
  </w:style>
  <w:style w:type="character" w:styleId="1232" w:customStyle="1">
    <w:name w:val="16"/>
    <w:basedOn w:val="941"/>
    <w:uiPriority w:val="0"/>
    <w:qFormat/>
    <w:rPr>
      <w:rFonts w:hint="default" w:ascii="Times New Roman" w:hAnsi="Times New Roman" w:eastAsia="宋体" w:cs="Times New Roman"/>
      <w:sz w:val="21"/>
      <w:szCs w:val="21"/>
    </w:rPr>
  </w:style>
  <w:style w:type="character" w:styleId="1233" w:customStyle="1">
    <w:name w:val="页码1"/>
    <w:link w:val="931"/>
    <w:uiPriority w:val="0"/>
    <w:qFormat/>
  </w:style>
  <w:style w:type="character" w:styleId="1234" w:customStyle="1">
    <w:name w:val="font71"/>
    <w:basedOn w:val="1063"/>
    <w:link w:val="931"/>
    <w:uiPriority w:val="0"/>
    <w:qFormat/>
    <w:rPr>
      <w:rFonts w:hint="eastAsia" w:ascii="宋体" w:hAnsi="宋体" w:eastAsia="宋体" w:cs="宋体"/>
      <w:color w:val="ff0000"/>
      <w:sz w:val="24"/>
      <w:szCs w:val="24"/>
      <w:u w:val="none"/>
    </w:rPr>
  </w:style>
  <w:style w:type="character" w:styleId="1235" w:customStyle="1">
    <w:name w:val="font51"/>
    <w:basedOn w:val="941"/>
    <w:uiPriority w:val="0"/>
    <w:qFormat/>
    <w:rPr>
      <w:rFonts w:ascii="宋体" w:hAnsi="宋体" w:eastAsia="宋体" w:cs="宋体"/>
      <w:b/>
      <w:bCs/>
      <w:color w:val="000000"/>
      <w:sz w:val="28"/>
      <w:szCs w:val="28"/>
      <w:u w:val="none"/>
    </w:rPr>
  </w:style>
  <w:style w:type="character" w:styleId="1236" w:customStyle="1">
    <w:name w:val="font61"/>
    <w:basedOn w:val="941"/>
    <w:uiPriority w:val="0"/>
    <w:qFormat/>
    <w:rPr>
      <w:rFonts w:ascii="宋体" w:hAnsi="宋体" w:eastAsia="宋体" w:cs="宋体"/>
      <w:color w:val="000000"/>
      <w:sz w:val="28"/>
      <w:szCs w:val="28"/>
      <w:u w:val="none"/>
    </w:rPr>
  </w:style>
  <w:style w:type="paragraph" w:styleId="1237" w:customStyle="1">
    <w:name w:val="BlockQuote11"/>
    <w:basedOn w:val="931"/>
    <w:uiPriority w:val="0"/>
    <w:qFormat/>
    <w:pPr>
      <w:ind w:left="256" w:right="6" w:firstLine="624"/>
    </w:pPr>
    <w:rPr>
      <w:rFonts w:eastAsia="仿宋_GB2312"/>
      <w:sz w:val="28"/>
    </w:rPr>
  </w:style>
  <w:style w:type="paragraph" w:styleId="1238" w:customStyle="1">
    <w:name w:val="文本块12"/>
    <w:basedOn w:val="931"/>
    <w:uiPriority w:val="0"/>
    <w:qFormat/>
    <w:pPr>
      <w:ind w:left="420" w:right="33"/>
      <w:jc w:val="left"/>
    </w:pPr>
    <w:rPr>
      <w:sz w:val="24"/>
      <w:szCs w:val="20"/>
    </w:rPr>
  </w:style>
  <w:style w:type="paragraph" w:styleId="1239" w:customStyle="1">
    <w:name w:val="Heading #3|1"/>
    <w:basedOn w:val="931"/>
    <w:uiPriority w:val="0"/>
    <w:qFormat/>
    <w:pPr>
      <w:jc w:val="center"/>
      <w:spacing w:after="480" w:line="575" w:lineRule="exact"/>
      <w:shd w:val="clear" w:color="auto" w:fill="auto"/>
      <w:widowControl w:val="off"/>
      <w:outlineLvl w:val="2"/>
    </w:pPr>
    <w:rPr>
      <w:rFonts w:ascii="宋体" w:hAnsi="宋体" w:eastAsia="宋体" w:cs="宋体"/>
      <w:sz w:val="42"/>
      <w:szCs w:val="42"/>
      <w:u w:val="none"/>
      <w:shd w:val="clear" w:color="auto" w:fill="auto"/>
      <w:lang w:val="zh-TW" w:eastAsia="zh-TW" w:bidi="zh-TW"/>
    </w:rPr>
  </w:style>
  <w:style w:type="character" w:styleId="1240" w:customStyle="1">
    <w:name w:val="font31"/>
    <w:basedOn w:val="941"/>
    <w:uiPriority w:val="0"/>
    <w:qFormat/>
    <w:rPr>
      <w:rFonts w:hint="default" w:ascii="Times New Roman" w:hAnsi="Times New Roman" w:cs="Times New Roman"/>
      <w:color w:val="000000"/>
      <w:sz w:val="28"/>
      <w:szCs w:val="28"/>
      <w:u w:val="none"/>
    </w:rPr>
  </w:style>
  <w:style w:type="paragraph" w:styleId="1241" w:customStyle="1">
    <w:name w:val="正文文本缩进111"/>
    <w:basedOn w:val="931"/>
    <w:next w:val="1242"/>
    <w:uiPriority w:val="0"/>
    <w:qFormat/>
    <w:pPr>
      <w:ind w:left="420"/>
      <w:spacing w:after="120"/>
    </w:pPr>
  </w:style>
  <w:style w:type="paragraph" w:styleId="1242" w:customStyle="1">
    <w:name w:val="寄信人地址11"/>
    <w:basedOn w:val="931"/>
    <w:uiPriority w:val="0"/>
    <w:qFormat/>
    <w:rPr>
      <w:rFonts w:ascii="Arial" w:hAnsi="Arial"/>
    </w:rPr>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33</cp:revision>
  <dcterms:created xsi:type="dcterms:W3CDTF">2023-11-15T03:32:00Z</dcterms:created>
  <dcterms:modified xsi:type="dcterms:W3CDTF">2026-07-22T07:14:31Z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A09E9DA00CE54EA99D7E1C9DCBCBAE13_13</vt:lpwstr>
  </property>
  <property fmtid="{D5CDD505-2E9C-101B-9397-08002B2CF9AE}" pid="4" name="KSOTemplateDocerSaveRecord">
    <vt:lpwstr>eyJoZGlkIjoiYmEzNzFhZTM3OTlhY2VlMmFkMWYyNTBkOGVmZGVkMTYiLCJ1c2VySWQiOiIyNjM2NjI0MTMifQ==</vt:lpwstr>
  </property>
</Properties>
</file>