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多功能监护仪</w:t>
      </w:r>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JSZC-320903-SOHO-G2026-0041</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1802-264107371WWF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07</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7</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20</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28</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964"/>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976"/>
              <w:rFonts w:hint="eastAsia" w:ascii="仿宋" w:hAnsi="仿宋" w:eastAsia="仿宋" w:cs="宋体"/>
              <w:b/>
              <w:i w:val="0"/>
              <w:iCs w:val="0"/>
              <w:color w:val="auto"/>
              <w:sz w:val="24"/>
              <w:u w:val="none"/>
            </w:rPr>
            <w:t xml:space="preserve">第</w:t>
          </w:r>
          <w:r>
            <w:rPr>
              <w:rStyle w:val="976"/>
              <w:rFonts w:hint="eastAsia" w:ascii="仿宋" w:hAnsi="仿宋" w:eastAsia="仿宋" w:cs="宋体"/>
              <w:b/>
              <w:i w:val="0"/>
              <w:iCs w:val="0"/>
              <w:color w:val="auto"/>
              <w:sz w:val="24"/>
              <w:u w:val="none"/>
              <w:lang w:val="en-US" w:eastAsia="zh-CN"/>
            </w:rPr>
            <w:t xml:space="preserve">六</w:t>
          </w:r>
          <w:r>
            <w:rPr>
              <w:rStyle w:val="976"/>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bookmarkStart w:id="193" w:name="_GoBack"/>
      <w:r/>
      <w:bookmarkEnd w:id="193"/>
      <w:r/>
      <w:r/>
    </w:p>
    <w:p>
      <w:pPr>
        <w:jc w:val="left"/>
        <w:spacing w:line="276" w:lineRule="auto"/>
        <w:tabs>
          <w:tab w:val="left" w:pos="1180" w:leader="none"/>
          <w:tab w:val="center" w:pos="4536" w:leader="none"/>
        </w:tabs>
        <w:rPr>
          <w:rFonts w:ascii="仿宋" w:hAnsi="仿宋" w:eastAsia="仿宋" w:cs="宋体"/>
          <w:b/>
          <w:i w:val="0"/>
          <w:iCs w:val="0"/>
          <w:color w:val="auto"/>
          <w:sz w:val="32"/>
          <w:szCs w:val="32"/>
          <w:u w:val="none"/>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投标邀请</w:t>
      </w:r>
      <w:bookmarkEnd w:id="0"/>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受[盐城市第三人民医院]的委托，江苏苏豪创新科技集团有限公司就[</w:t>
      </w:r>
      <w:r>
        <w:rPr>
          <w:rFonts w:hint="eastAsia" w:ascii="仿宋" w:hAnsi="仿宋" w:eastAsia="仿宋"/>
          <w:i w:val="0"/>
          <w:iCs w:val="0"/>
          <w:color w:val="auto"/>
          <w:sz w:val="24"/>
          <w:u w:val="none"/>
          <w:lang w:eastAsia="zh-CN"/>
        </w:rPr>
        <w:t xml:space="preserve">多功能监护仪</w:t>
      </w:r>
      <w:r>
        <w:rPr>
          <w:rFonts w:hint="eastAsia" w:ascii="仿宋" w:hAnsi="仿宋" w:eastAsia="仿宋"/>
          <w:i w:val="0"/>
          <w:iCs w:val="0"/>
          <w:color w:val="auto"/>
          <w:sz w:val="24"/>
          <w:u w:val="none"/>
        </w:rPr>
        <w:t xml:space="preserve">采购项目][</w:t>
      </w:r>
      <w:r>
        <w:rPr>
          <w:rFonts w:hint="eastAsia" w:ascii="仿宋" w:hAnsi="仿宋" w:eastAsia="仿宋" w:cs="宋体"/>
          <w:i w:val="0"/>
          <w:iCs w:val="0"/>
          <w:color w:val="auto"/>
          <w:sz w:val="24"/>
          <w:u w:val="none"/>
        </w:rPr>
        <w:t xml:space="preserve">项目编号：</w:t>
      </w:r>
      <w:r>
        <w:rPr>
          <w:rFonts w:hint="eastAsia" w:ascii="仿宋" w:hAnsi="仿宋" w:eastAsia="仿宋" w:cs="宋体"/>
          <w:i w:val="0"/>
          <w:iCs w:val="0"/>
          <w:color w:val="auto"/>
          <w:sz w:val="24"/>
          <w:u w:val="none"/>
          <w:lang w:eastAsia="zh-CN"/>
        </w:rPr>
        <w:t xml:space="preserve">JSZC-320903-SOHO-G2026-0041</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1802-264107371WWF</w:t>
      </w:r>
      <w:r>
        <w:rPr>
          <w:rFonts w:hint="eastAsia" w:ascii="仿宋" w:hAnsi="仿宋" w:eastAsia="仿宋" w:cs="宋体"/>
          <w:i w:val="0"/>
          <w:iCs w:val="0"/>
          <w:color w:val="auto"/>
          <w:sz w:val="24"/>
          <w:u w:val="none"/>
        </w:rPr>
        <w:t xml:space="preserve">）</w:t>
      </w:r>
      <w:r>
        <w:rPr>
          <w:rFonts w:hint="eastAsia" w:ascii="仿宋" w:hAnsi="仿宋" w:eastAsia="仿宋"/>
          <w:i w:val="0"/>
          <w:iCs w:val="0"/>
          <w:color w:val="auto"/>
          <w:sz w:val="24"/>
          <w:u w:val="none"/>
        </w:rPr>
        <w:t xml:space="preserve">]进行公开招标采购，欢迎符合条件的供应商投标。</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多功能监护仪</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招标项目的潜在投标人应在“苏采云”系统内免费下载（投标人必须在苏采云系统中获取采购文件，方能参与政府采购项目）获取招标文件，并</w:t>
      </w:r>
      <w:r>
        <w:rPr>
          <w:rFonts w:hint="eastAsia" w:ascii="仿宋" w:hAnsi="仿宋" w:eastAsia="仿宋" w:cs="宋体"/>
          <w:i w:val="0"/>
          <w:iCs w:val="0"/>
          <w:color w:val="auto"/>
          <w:sz w:val="24"/>
          <w:u w:val="none"/>
          <w:lang w:eastAsia="zh-CN"/>
        </w:rPr>
        <w:t xml:space="preserve">2026年8月19日9时30分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196922452"/>
      <w:r/>
      <w:bookmarkStart w:id="2" w:name="_Toc35393790"/>
      <w:r/>
      <w:bookmarkStart w:id="3" w:name="_Toc28359002"/>
      <w:r/>
      <w:bookmarkStart w:id="4" w:name="_Toc35393621"/>
      <w:r/>
      <w:bookmarkStart w:id="5" w:name="_Toc28359079"/>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JSZC-320903-SOHO-G2026-0041</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1802-264107371WWF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多功能监护仪</w:t>
      </w:r>
      <w:r>
        <w:rPr>
          <w:rFonts w:hint="eastAsia" w:ascii="仿宋" w:hAnsi="仿宋" w:eastAsia="仿宋" w:cs="宋体"/>
          <w:i w:val="0"/>
          <w:iCs w:val="0"/>
          <w:color w:val="auto"/>
          <w:sz w:val="24"/>
          <w:u w:val="none"/>
        </w:rPr>
        <w:t xml:space="preserve">采购项目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140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140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48"/>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品目号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多功能监护仪</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台</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4</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80万元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lang w:val="en-US" w:eastAsia="zh-CN" w:bidi="ar"/>
              </w:rPr>
              <w:suppressLineNumbers w:val="0"/>
            </w:pPr>
            <w:r>
              <w:rPr>
                <w:rFonts w:hint="eastAsia" w:ascii="仿宋" w:hAnsi="仿宋" w:eastAsia="仿宋" w:cs="宋体"/>
                <w:i w:val="0"/>
                <w:iCs w:val="0"/>
                <w:color w:val="auto"/>
                <w:sz w:val="24"/>
                <w:u w:val="none"/>
                <w:lang w:val="en-US" w:eastAsia="zh-CN" w:bidi="ar"/>
              </w:rPr>
              <w:t xml:space="preserve">02</w:t>
            </w:r>
            <w:r/>
          </w:p>
        </w:tc>
        <w:tc>
          <w:tcPr>
            <w:shd w:val="clear" w:color="auto" w:fill="auto"/>
            <w:tcW w:w="242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bidi="ar"/>
              </w:rPr>
              <w:t xml:space="preserve">多功能监护仪</w:t>
            </w:r>
            <w:r/>
          </w:p>
        </w:tc>
        <w:tc>
          <w:tcPr>
            <w:shd w:val="clear" w:color="auto" w:fill="auto"/>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rPr>
              <w:t xml:space="preserve">台</w:t>
            </w:r>
            <w:r/>
          </w:p>
        </w:tc>
        <w:tc>
          <w:tcPr>
            <w:shd w:val="clear" w:color="auto" w:fill="auto"/>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val="en-US" w:eastAsia="zh-CN" w:bidi="ar"/>
              </w:rPr>
              <w:t xml:space="preserve">3</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60万元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hint="eastAsia" w:ascii="仿宋" w:hAnsi="仿宋" w:eastAsia="仿宋" w:cs="宋体"/>
          <w:bCs/>
          <w:i w:val="0"/>
          <w:iCs w:val="0"/>
          <w:color w:val="auto"/>
          <w:sz w:val="24"/>
          <w:u w:val="none"/>
          <w:lang w:eastAsia="zh-CN"/>
        </w:rPr>
      </w:pPr>
      <w:r>
        <w:rPr>
          <w:rFonts w:hint="eastAsia" w:ascii="仿宋" w:hAnsi="仿宋" w:eastAsia="仿宋" w:cs="宋体"/>
          <w:bCs/>
          <w:i w:val="0"/>
          <w:iCs w:val="0"/>
          <w:color w:val="auto"/>
          <w:sz w:val="24"/>
          <w:u w:val="none"/>
        </w:rPr>
        <w:t xml:space="preserve">6、</w:t>
      </w:r>
      <w:r>
        <w:rPr>
          <w:rFonts w:hint="eastAsia" w:ascii="仿宋" w:hAnsi="仿宋" w:eastAsia="仿宋" w:cs="宋体"/>
          <w:bCs/>
          <w:i w:val="0"/>
          <w:iCs w:val="0"/>
          <w:color w:val="auto"/>
          <w:sz w:val="24"/>
          <w:u w:val="none"/>
          <w:lang w:eastAsia="zh-CN"/>
        </w:rPr>
        <w:t xml:space="preserve">本项目不分包，投标人需对所有品目进行投标响应。</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8</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28359003"/>
      <w:r/>
      <w:bookmarkStart w:id="8" w:name="_Toc196922453"/>
      <w:r/>
      <w:bookmarkStart w:id="9" w:name="_Toc35393622"/>
      <w:r/>
      <w:bookmarkStart w:id="10" w:name="_Toc28359080"/>
      <w:r/>
      <w:bookmarkStart w:id="11" w:name="_Toc35393791"/>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35393623"/>
      <w:r/>
      <w:bookmarkStart w:id="13" w:name="_Toc196922454"/>
      <w:r/>
      <w:bookmarkStart w:id="14" w:name="_Toc28359004"/>
      <w:r/>
      <w:bookmarkStart w:id="15" w:name="_Toc35393792"/>
      <w:r/>
      <w:bookmarkStart w:id="16" w:name="_Toc28359081"/>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2026年8月19日9时30分</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bookmarkStart w:id="20" w:name="OLE_LINK10"/>
      <w:r>
        <w:rPr>
          <w:rFonts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2.方式：本项目采用网上注册登记方式。</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2.1 潜在供应商访问电子招标响应交易平台的网络地址和方法：</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2.2 潜在投标人访问“苏采云”系统方法：江苏省政府采购网首页-“苏采云”链接。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2.3 采购文件（后缀名为“.kedt”）、供应商操作手册及政府采购客户端 工具可通过“苏采云”系统相应链接进行下载。 </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2.4 采购代理机构将数据电文形式的采购文件加载至“苏采云”系统，供潜在供应商下载或者查阅。</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如潜在投标人未按上述要求操作，将自行承担所产生的风险。</w:t>
      </w:r>
      <w:r/>
    </w:p>
    <w:p>
      <w:pPr>
        <w:contextualSpacing/>
        <w:ind w:firstLine="480"/>
        <w:spacing w:line="500" w:lineRule="exact"/>
        <w:shd w:val="clear" w:color="ffffff" w:fill="ffffff"/>
        <w:rPr>
          <w:rFonts w:ascii="仿宋" w:hAnsi="仿宋" w:eastAsia="仿宋"/>
          <w:i w:val="0"/>
          <w:iCs w:val="0"/>
          <w:color w:val="auto"/>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3.有关本次招标的事项若存在变动或修改，敬请及时关注盐城市政府采购中心在“中国政府采购网”、“江苏政府采购网”、“盐城市政府采购网”发布的更正公告。</w:t>
      </w:r>
      <w:r/>
    </w:p>
    <w:p>
      <w:pPr>
        <w:contextualSpacing/>
        <w:ind w:firstLine="480"/>
        <w:spacing w:line="500" w:lineRule="exact"/>
        <w:shd w:val="clear" w:color="ffffff" w:fill="ffffff"/>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ascii="仿宋" w:hAnsi="仿宋" w:eastAsia="仿宋" w:cs="宋体"/>
          <w:i w:val="0"/>
          <w:iCs w:val="0"/>
          <w:color w:val="auto"/>
          <w:sz w:val="24"/>
          <w:u w:val="none"/>
        </w:rPr>
        <w:t xml:space="preserve">4.</w:t>
      </w:r>
      <w:bookmarkEnd w:id="20"/>
      <w:r>
        <w:rPr>
          <w:rFonts w:hint="eastAsia" w:ascii="仿宋" w:hAnsi="仿宋" w:eastAsia="仿宋" w:cs="宋体"/>
          <w:i w:val="0"/>
          <w:iCs w:val="0"/>
          <w:color w:val="auto"/>
          <w:sz w:val="24"/>
          <w:u w:val="none"/>
        </w:rPr>
        <w:t xml:space="preserve">本次招标不收取投标保证金，不收取履约保证金、不收取质量保证金。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1" w:name="_Toc196922458"/>
      <w:r>
        <w:rPr>
          <w:rFonts w:hint="eastAsia" w:ascii="仿宋" w:hAnsi="仿宋" w:eastAsia="仿宋" w:cs="宋体"/>
          <w:b/>
          <w:i w:val="0"/>
          <w:iCs w:val="0"/>
          <w:color w:val="auto"/>
          <w:sz w:val="24"/>
          <w:u w:val="none"/>
        </w:rPr>
        <w:t xml:space="preserve">七、对本次招标提出询问，请按以下方式联系</w:t>
      </w:r>
      <w:bookmarkEnd w:id="2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2" w:name="_Toc120614211"/>
      <w:r/>
      <w:bookmarkStart w:id="23" w:name="_Toc196922460"/>
      <w:r>
        <w:rPr>
          <w:rFonts w:hint="eastAsia" w:ascii="仿宋" w:hAnsi="仿宋" w:eastAsia="仿宋" w:cs="宋体"/>
          <w:b/>
          <w:i w:val="0"/>
          <w:iCs w:val="0"/>
          <w:color w:val="auto"/>
          <w:sz w:val="32"/>
          <w:szCs w:val="32"/>
          <w:u w:val="none"/>
        </w:rPr>
        <w:t xml:space="preserve">第二章  </w:t>
      </w:r>
      <w:bookmarkEnd w:id="22"/>
      <w:r/>
      <w:bookmarkStart w:id="24" w:name="_Toc120614213"/>
      <w:r/>
      <w:bookmarkStart w:id="25" w:name="_Toc20823274"/>
      <w:r/>
      <w:bookmarkStart w:id="26" w:name="_Toc16938518"/>
      <w:r/>
      <w:bookmarkStart w:id="27" w:name="_Toc513029202"/>
      <w:r>
        <w:rPr>
          <w:rFonts w:hint="eastAsia" w:ascii="仿宋" w:hAnsi="仿宋" w:eastAsia="仿宋" w:cs="宋体"/>
          <w:b/>
          <w:i w:val="0"/>
          <w:iCs w:val="0"/>
          <w:color w:val="auto"/>
          <w:sz w:val="32"/>
          <w:szCs w:val="32"/>
          <w:u w:val="none"/>
        </w:rPr>
        <w:t xml:space="preserve">投标人须知</w:t>
      </w:r>
      <w:bookmarkEnd w:id="23"/>
      <w:r/>
      <w:bookmarkEnd w:id="24"/>
      <w:r/>
      <w:bookmarkEnd w:id="25"/>
      <w:r/>
      <w:bookmarkEnd w:id="26"/>
      <w:r/>
      <w:bookmarkEnd w:id="27"/>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8" w:name="_Toc120614214"/>
      <w:r/>
      <w:bookmarkStart w:id="29" w:name="_Toc196922461"/>
      <w:r/>
      <w:bookmarkStart w:id="30" w:name="_Toc16938519"/>
      <w:r/>
      <w:bookmarkStart w:id="31" w:name="_Toc513029203"/>
      <w:r/>
      <w:bookmarkStart w:id="32" w:name="_Toc20823275"/>
      <w:r>
        <w:rPr>
          <w:rFonts w:hint="eastAsia" w:ascii="仿宋" w:hAnsi="仿宋" w:eastAsia="仿宋" w:cs="宋体"/>
          <w:b/>
          <w:bCs/>
          <w:i w:val="0"/>
          <w:iCs w:val="0"/>
          <w:color w:val="auto"/>
          <w:sz w:val="24"/>
          <w:u w:val="none"/>
        </w:rPr>
        <w:t xml:space="preserve">一、总则</w:t>
      </w:r>
      <w:bookmarkEnd w:id="28"/>
      <w:r/>
      <w:bookmarkEnd w:id="29"/>
      <w:r/>
      <w:bookmarkEnd w:id="30"/>
      <w:r/>
      <w:bookmarkEnd w:id="31"/>
      <w:r/>
      <w:bookmarkEnd w:id="32"/>
      <w:r/>
      <w:r/>
    </w:p>
    <w:p>
      <w:pPr>
        <w:ind w:firstLine="482"/>
        <w:spacing w:before="161" w:line="276" w:lineRule="auto"/>
        <w:rPr>
          <w:rFonts w:ascii="仿宋" w:hAnsi="仿宋" w:eastAsia="仿宋" w:cs="宋体"/>
          <w:b/>
          <w:bCs/>
          <w:i w:val="0"/>
          <w:iCs w:val="0"/>
          <w:color w:val="auto"/>
          <w:sz w:val="24"/>
          <w:u w:val="none"/>
        </w:rPr>
      </w:pPr>
      <w:r/>
      <w:bookmarkStart w:id="33" w:name="_Hlt16619475"/>
      <w:r/>
      <w:bookmarkEnd w:id="33"/>
      <w:r/>
      <w:bookmarkStart w:id="34" w:name="_Toc458694821"/>
      <w:r/>
      <w:bookmarkStart w:id="35" w:name="_Toc513029204"/>
      <w:r/>
      <w:bookmarkStart w:id="36" w:name="_Toc16938520"/>
      <w:r/>
      <w:bookmarkStart w:id="37" w:name="_Toc20823276"/>
      <w:r>
        <w:rPr>
          <w:rFonts w:hint="eastAsia" w:ascii="仿宋" w:hAnsi="仿宋" w:eastAsia="仿宋" w:cs="宋体"/>
          <w:b/>
          <w:bCs/>
          <w:i w:val="0"/>
          <w:iCs w:val="0"/>
          <w:color w:val="auto"/>
          <w:sz w:val="24"/>
          <w:u w:val="none"/>
        </w:rPr>
        <w:t xml:space="preserve">1</w:t>
      </w:r>
      <w:bookmarkEnd w:id="34"/>
      <w:r>
        <w:rPr>
          <w:rFonts w:hint="eastAsia" w:ascii="仿宋" w:hAnsi="仿宋" w:eastAsia="仿宋" w:cs="宋体"/>
          <w:b/>
          <w:bCs/>
          <w:i w:val="0"/>
          <w:iCs w:val="0"/>
          <w:color w:val="auto"/>
          <w:sz w:val="24"/>
          <w:u w:val="none"/>
        </w:rPr>
        <w:t xml:space="preserve">、招标方式</w:t>
      </w:r>
      <w:bookmarkEnd w:id="35"/>
      <w:r/>
      <w:bookmarkEnd w:id="36"/>
      <w:r/>
      <w:bookmarkEnd w:id="3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8" w:name="_Toc513029205"/>
      <w:r/>
      <w:bookmarkStart w:id="39" w:name="_Toc16938521"/>
      <w:r/>
      <w:bookmarkStart w:id="40" w:name="_Toc20823277"/>
      <w:r>
        <w:rPr>
          <w:rFonts w:hint="eastAsia" w:ascii="仿宋" w:hAnsi="仿宋" w:eastAsia="仿宋" w:cs="宋体"/>
          <w:b/>
          <w:bCs/>
          <w:i w:val="0"/>
          <w:iCs w:val="0"/>
          <w:color w:val="auto"/>
          <w:sz w:val="24"/>
          <w:u w:val="none"/>
        </w:rPr>
        <w:t xml:space="preserve">2、合格的投标人</w:t>
      </w:r>
      <w:bookmarkEnd w:id="38"/>
      <w:r/>
      <w:bookmarkEnd w:id="39"/>
      <w:r/>
      <w:bookmarkEnd w:id="4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1" w:name="_Toc16938522"/>
      <w:r/>
      <w:bookmarkStart w:id="42" w:name="_Toc513029206"/>
      <w:r/>
      <w:bookmarkStart w:id="43" w:name="_Toc20823278"/>
      <w:r>
        <w:rPr>
          <w:rFonts w:hint="eastAsia" w:ascii="仿宋" w:hAnsi="仿宋" w:eastAsia="仿宋" w:cs="宋体"/>
          <w:b/>
          <w:bCs/>
          <w:i w:val="0"/>
          <w:iCs w:val="0"/>
          <w:color w:val="auto"/>
          <w:sz w:val="24"/>
          <w:u w:val="none"/>
        </w:rPr>
        <w:t xml:space="preserve">3、适用法律</w:t>
      </w:r>
      <w:bookmarkEnd w:id="41"/>
      <w:r/>
      <w:bookmarkEnd w:id="42"/>
      <w:r/>
      <w:bookmarkEnd w:id="4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4" w:name="_Toc513029207"/>
      <w:r/>
      <w:bookmarkStart w:id="45" w:name="_Toc16938523"/>
      <w:r/>
      <w:bookmarkStart w:id="46" w:name="_Toc20823279"/>
      <w:r/>
      <w:bookmarkStart w:id="47" w:name="_Toc462564067"/>
      <w:r>
        <w:rPr>
          <w:rFonts w:hint="eastAsia" w:ascii="仿宋" w:hAnsi="仿宋" w:eastAsia="仿宋" w:cs="宋体"/>
          <w:b/>
          <w:bCs/>
          <w:i w:val="0"/>
          <w:iCs w:val="0"/>
          <w:color w:val="auto"/>
          <w:sz w:val="24"/>
          <w:u w:val="none"/>
        </w:rPr>
        <w:t xml:space="preserve">4、投标费用</w:t>
      </w:r>
      <w:bookmarkEnd w:id="44"/>
      <w:r/>
      <w:bookmarkEnd w:id="45"/>
      <w:r/>
      <w:bookmarkEnd w:id="46"/>
      <w:r/>
      <w:bookmarkEnd w:id="47"/>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8" w:name="_Toc513029209"/>
      <w:r/>
      <w:bookmarkStart w:id="49" w:name="_Toc16938525"/>
      <w:r/>
      <w:bookmarkStart w:id="50" w:name="_Toc120614215"/>
      <w:r/>
      <w:bookmarkStart w:id="51" w:name="_Toc20823281"/>
      <w:r/>
      <w:r/>
    </w:p>
    <w:p>
      <w:pPr>
        <w:spacing w:line="276" w:lineRule="auto"/>
        <w:rPr>
          <w:rFonts w:ascii="仿宋" w:hAnsi="仿宋" w:eastAsia="仿宋" w:cs="宋体"/>
          <w:b/>
          <w:bCs/>
          <w:i w:val="0"/>
          <w:iCs w:val="0"/>
          <w:color w:val="auto"/>
          <w:sz w:val="24"/>
          <w:u w:val="none"/>
        </w:rPr>
        <w:outlineLvl w:val="1"/>
      </w:pPr>
      <w:r/>
      <w:bookmarkStart w:id="52" w:name="_Toc196922462"/>
      <w:r>
        <w:rPr>
          <w:rFonts w:hint="eastAsia" w:ascii="仿宋" w:hAnsi="仿宋" w:eastAsia="仿宋" w:cs="宋体"/>
          <w:b/>
          <w:bCs/>
          <w:i w:val="0"/>
          <w:iCs w:val="0"/>
          <w:color w:val="auto"/>
          <w:sz w:val="24"/>
          <w:u w:val="none"/>
        </w:rPr>
        <w:t xml:space="preserve">二、招标文件</w:t>
      </w:r>
      <w:bookmarkEnd w:id="48"/>
      <w:r/>
      <w:bookmarkEnd w:id="49"/>
      <w:r/>
      <w:bookmarkEnd w:id="50"/>
      <w:r/>
      <w:bookmarkEnd w:id="51"/>
      <w:r/>
      <w:bookmarkEnd w:id="52"/>
      <w:r/>
      <w:r/>
    </w:p>
    <w:p>
      <w:pPr>
        <w:ind w:firstLine="482"/>
        <w:spacing w:before="161" w:line="276" w:lineRule="auto"/>
        <w:rPr>
          <w:rFonts w:ascii="仿宋" w:hAnsi="仿宋" w:eastAsia="仿宋" w:cs="宋体"/>
          <w:b/>
          <w:bCs/>
          <w:i w:val="0"/>
          <w:iCs w:val="0"/>
          <w:color w:val="auto"/>
          <w:sz w:val="24"/>
          <w:u w:val="none"/>
        </w:rPr>
      </w:pPr>
      <w:r/>
      <w:bookmarkStart w:id="53" w:name="_Toc513029210"/>
      <w:r/>
      <w:bookmarkStart w:id="54" w:name="_Toc16938526"/>
      <w:r/>
      <w:bookmarkStart w:id="55" w:name="_Toc20823282"/>
      <w:r>
        <w:rPr>
          <w:rFonts w:hint="eastAsia" w:ascii="仿宋" w:hAnsi="仿宋" w:eastAsia="仿宋" w:cs="宋体"/>
          <w:b/>
          <w:bCs/>
          <w:i w:val="0"/>
          <w:iCs w:val="0"/>
          <w:color w:val="auto"/>
          <w:sz w:val="24"/>
          <w:u w:val="none"/>
        </w:rPr>
        <w:t xml:space="preserve">6、招标文件构成</w:t>
      </w:r>
      <w:bookmarkEnd w:id="53"/>
      <w:r/>
      <w:bookmarkEnd w:id="54"/>
      <w:r/>
      <w:bookmarkEnd w:id="5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（1）投标邀请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6" w:name="_Toc16938527"/>
      <w:r/>
      <w:bookmarkStart w:id="57" w:name="_Toc20823283"/>
      <w:r/>
      <w:bookmarkStart w:id="58" w:name="_Toc513029211"/>
      <w:r/>
      <w:bookmarkStart w:id="59" w:name="_Toc462564070"/>
      <w:r>
        <w:rPr>
          <w:rFonts w:hint="eastAsia" w:ascii="仿宋" w:hAnsi="仿宋" w:eastAsia="仿宋" w:cs="宋体"/>
          <w:b/>
          <w:bCs/>
          <w:i w:val="0"/>
          <w:iCs w:val="0"/>
          <w:color w:val="auto"/>
          <w:sz w:val="24"/>
          <w:u w:val="none"/>
        </w:rPr>
        <w:t xml:space="preserve">7、招标文件的澄清</w:t>
      </w:r>
      <w:bookmarkEnd w:id="56"/>
      <w:r/>
      <w:bookmarkEnd w:id="57"/>
      <w:r/>
      <w:bookmarkEnd w:id="58"/>
      <w:r/>
      <w:bookmarkEnd w:id="5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60" w:name="_Toc20823284"/>
      <w:r/>
      <w:bookmarkStart w:id="61" w:name="_Toc513029212"/>
      <w:r/>
      <w:bookmarkStart w:id="62" w:name="_Toc16938528"/>
      <w:r/>
      <w:bookmarkStart w:id="63" w:name="_Toc462564071"/>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60"/>
      <w:r/>
      <w:bookmarkEnd w:id="61"/>
      <w:r/>
      <w:bookmarkEnd w:id="62"/>
      <w:r/>
      <w:bookmarkEnd w:id="6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4" w:name="_Toc16938529"/>
      <w:r/>
      <w:bookmarkStart w:id="65" w:name="_Toc196922463"/>
      <w:r/>
      <w:bookmarkStart w:id="66" w:name="_Toc20823285"/>
      <w:r/>
      <w:bookmarkStart w:id="67" w:name="_Toc513029213"/>
      <w:r/>
      <w:bookmarkStart w:id="68" w:name="_Toc462564072"/>
      <w:r/>
      <w:bookmarkStart w:id="69" w:name="_Toc120614216"/>
      <w:r>
        <w:rPr>
          <w:rFonts w:hint="eastAsia" w:ascii="仿宋" w:hAnsi="仿宋" w:eastAsia="仿宋" w:cs="宋体"/>
          <w:b/>
          <w:bCs/>
          <w:i w:val="0"/>
          <w:iCs w:val="0"/>
          <w:color w:val="auto"/>
          <w:sz w:val="24"/>
          <w:u w:val="none"/>
        </w:rPr>
        <w:t xml:space="preserve">三、投标文件的编制</w:t>
      </w:r>
      <w:bookmarkEnd w:id="64"/>
      <w:r/>
      <w:bookmarkEnd w:id="65"/>
      <w:r/>
      <w:bookmarkEnd w:id="66"/>
      <w:r/>
      <w:bookmarkEnd w:id="67"/>
      <w:r/>
      <w:bookmarkEnd w:id="68"/>
      <w:r/>
      <w:bookmarkEnd w:id="69"/>
      <w:r/>
      <w:r/>
    </w:p>
    <w:p>
      <w:pPr>
        <w:ind w:firstLine="482"/>
        <w:spacing w:before="161" w:line="276" w:lineRule="auto"/>
        <w:rPr>
          <w:rFonts w:ascii="仿宋" w:hAnsi="仿宋" w:eastAsia="仿宋" w:cs="宋体"/>
          <w:b/>
          <w:bCs/>
          <w:i w:val="0"/>
          <w:iCs w:val="0"/>
          <w:color w:val="auto"/>
          <w:sz w:val="24"/>
          <w:u w:val="none"/>
        </w:rPr>
      </w:pPr>
      <w:r/>
      <w:bookmarkStart w:id="70" w:name="_Toc16938530"/>
      <w:r/>
      <w:bookmarkStart w:id="71" w:name="_Toc462564073"/>
      <w:r/>
      <w:bookmarkStart w:id="72" w:name="_Toc513029214"/>
      <w:r/>
      <w:bookmarkStart w:id="73" w:name="_Toc20823286"/>
      <w:r>
        <w:rPr>
          <w:rFonts w:hint="eastAsia" w:ascii="仿宋" w:hAnsi="仿宋" w:eastAsia="仿宋" w:cs="宋体"/>
          <w:b/>
          <w:bCs/>
          <w:i w:val="0"/>
          <w:iCs w:val="0"/>
          <w:color w:val="auto"/>
          <w:sz w:val="24"/>
          <w:u w:val="none"/>
        </w:rPr>
        <w:t xml:space="preserve">9、投标文件的语言及度量衡单位</w:t>
      </w:r>
      <w:bookmarkEnd w:id="70"/>
      <w:r/>
      <w:bookmarkEnd w:id="71"/>
      <w:r/>
      <w:bookmarkEnd w:id="72"/>
      <w:r/>
      <w:bookmarkEnd w:id="73"/>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4" w:name="_Toc462564074"/>
      <w:r/>
      <w:bookmarkStart w:id="75" w:name="_Toc16938531"/>
      <w:r/>
      <w:bookmarkStart w:id="76" w:name="_Toc513029215"/>
      <w:r/>
      <w:bookmarkStart w:id="77" w:name="_Toc20823287"/>
      <w:r>
        <w:rPr>
          <w:rFonts w:hint="eastAsia" w:ascii="仿宋" w:hAnsi="仿宋" w:eastAsia="仿宋" w:cs="宋体"/>
          <w:b/>
          <w:bCs/>
          <w:i w:val="0"/>
          <w:iCs w:val="0"/>
          <w:color w:val="auto"/>
          <w:sz w:val="24"/>
          <w:u w:val="none"/>
        </w:rPr>
        <w:t xml:space="preserve">10、投标文件构成</w:t>
      </w:r>
      <w:bookmarkEnd w:id="74"/>
      <w:r/>
      <w:bookmarkEnd w:id="75"/>
      <w:r/>
      <w:bookmarkEnd w:id="76"/>
      <w:r/>
      <w:bookmarkEnd w:id="7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8" w:name="_Hlt26668975"/>
      <w:r/>
      <w:bookmarkEnd w:id="78"/>
      <w:r/>
      <w:bookmarkStart w:id="79" w:name="_Hlt26954838"/>
      <w:r/>
      <w:bookmarkEnd w:id="79"/>
      <w:r/>
      <w:bookmarkStart w:id="80" w:name="_Hlt26670360"/>
      <w:r/>
      <w:bookmarkEnd w:id="80"/>
      <w:r/>
      <w:bookmarkStart w:id="81" w:name="_Toc49090509"/>
      <w:r/>
      <w:bookmarkStart w:id="82" w:name="_Toc14577357"/>
      <w:r/>
      <w:bookmarkStart w:id="83" w:name="_Toc513029219"/>
      <w:r/>
      <w:bookmarkStart w:id="84" w:name="_Toc513029216"/>
      <w:r/>
      <w:bookmarkStart w:id="85" w:name="_Toc49090507"/>
      <w:r/>
      <w:bookmarkStart w:id="86" w:name="_Toc14577354"/>
      <w:r/>
      <w:bookmarkStart w:id="87" w:name="_Toc49090508"/>
      <w:r/>
      <w:bookmarkStart w:id="88" w:name="_Toc14577355"/>
      <w:r>
        <w:rPr>
          <w:rFonts w:hint="eastAsia" w:ascii="仿宋" w:hAnsi="仿宋" w:eastAsia="仿宋" w:cs="宋体"/>
          <w:b/>
          <w:bCs/>
          <w:i w:val="0"/>
          <w:iCs w:val="0"/>
          <w:color w:val="auto"/>
          <w:sz w:val="24"/>
          <w:u w:val="none"/>
        </w:rPr>
        <w:t xml:space="preserve">11、证明投标人及投标标的符合招标文件规定的文件</w:t>
      </w:r>
      <w:bookmarkEnd w:id="81"/>
      <w:r/>
      <w:bookmarkEnd w:id="82"/>
      <w:r/>
      <w:bookmarkEnd w:id="83"/>
      <w:r/>
      <w:bookmarkEnd w:id="84"/>
      <w:r/>
      <w:bookmarkEnd w:id="85"/>
      <w:r/>
      <w:bookmarkEnd w:id="8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7"/>
      <w:r/>
      <w:bookmarkEnd w:id="88"/>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9" w:name="_Hlt26954846"/>
      <w:r/>
      <w:bookmarkEnd w:id="89"/>
      <w:r/>
      <w:bookmarkStart w:id="90" w:name="_Hlt26670482"/>
      <w:r/>
      <w:bookmarkEnd w:id="90"/>
      <w:r/>
      <w:bookmarkStart w:id="91" w:name="_Hlt26954731"/>
      <w:r/>
      <w:bookmarkEnd w:id="91"/>
      <w:r/>
      <w:bookmarkStart w:id="92" w:name="_Hlt26670486"/>
      <w:r/>
      <w:bookmarkEnd w:id="92"/>
      <w:r/>
      <w:bookmarkStart w:id="93" w:name="_Hlt26954848"/>
      <w:r/>
      <w:bookmarkEnd w:id="93"/>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4" w:name="_Toc49090510"/>
      <w:r/>
      <w:bookmarkStart w:id="95" w:name="_Toc14577359"/>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4"/>
      <w:r/>
      <w:bookmarkEnd w:id="95"/>
      <w:r/>
      <w:r/>
    </w:p>
    <w:p>
      <w:pPr>
        <w:ind w:firstLine="482"/>
        <w:spacing w:before="161" w:line="276" w:lineRule="auto"/>
        <w:rPr>
          <w:rFonts w:ascii="仿宋" w:hAnsi="仿宋" w:eastAsia="仿宋" w:cs="宋体"/>
          <w:b/>
          <w:bCs/>
          <w:i w:val="0"/>
          <w:iCs w:val="0"/>
          <w:color w:val="auto"/>
          <w:sz w:val="24"/>
          <w:u w:val="none"/>
        </w:rPr>
      </w:pPr>
      <w:r/>
      <w:bookmarkStart w:id="96" w:name="_Toc14577360"/>
      <w:r/>
      <w:bookmarkStart w:id="97" w:name="_Toc49090511"/>
      <w:r>
        <w:rPr>
          <w:rFonts w:hint="eastAsia" w:ascii="仿宋" w:hAnsi="仿宋" w:eastAsia="仿宋" w:cs="宋体"/>
          <w:b/>
          <w:bCs/>
          <w:i w:val="0"/>
          <w:iCs w:val="0"/>
          <w:color w:val="auto"/>
          <w:sz w:val="24"/>
          <w:u w:val="none"/>
        </w:rPr>
        <w:t xml:space="preserve">16、投标有效期</w:t>
      </w:r>
      <w:bookmarkEnd w:id="96"/>
      <w:r/>
      <w:bookmarkEnd w:id="9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8" w:name="_Hlt26954739"/>
      <w:r/>
      <w:bookmarkEnd w:id="98"/>
      <w:r/>
      <w:bookmarkStart w:id="99" w:name="_Hlt26954852"/>
      <w:r/>
      <w:bookmarkEnd w:id="99"/>
      <w:r/>
      <w:bookmarkStart w:id="100" w:name="_Toc196922464"/>
      <w:r/>
      <w:bookmarkStart w:id="101" w:name="_Toc20823296"/>
      <w:r/>
      <w:bookmarkStart w:id="102" w:name="_Toc513029224"/>
      <w:r/>
      <w:bookmarkStart w:id="103" w:name="_Toc120614217"/>
      <w:r/>
      <w:bookmarkStart w:id="104" w:name="_Toc16938540"/>
      <w:r>
        <w:rPr>
          <w:rFonts w:hint="eastAsia" w:ascii="仿宋" w:hAnsi="仿宋" w:eastAsia="仿宋" w:cs="宋体"/>
          <w:b/>
          <w:bCs/>
          <w:i w:val="0"/>
          <w:iCs w:val="0"/>
          <w:color w:val="auto"/>
          <w:sz w:val="24"/>
          <w:u w:val="none"/>
        </w:rPr>
        <w:t xml:space="preserve">四、投标文件的递交</w:t>
      </w:r>
      <w:bookmarkEnd w:id="100"/>
      <w:r/>
      <w:bookmarkEnd w:id="101"/>
      <w:r/>
      <w:bookmarkEnd w:id="102"/>
      <w:r/>
      <w:bookmarkEnd w:id="103"/>
      <w:r/>
      <w:bookmarkEnd w:id="104"/>
      <w:r/>
      <w:r/>
    </w:p>
    <w:p>
      <w:pPr>
        <w:ind w:firstLine="482"/>
        <w:spacing w:before="161" w:line="276" w:lineRule="auto"/>
        <w:rPr>
          <w:rFonts w:ascii="仿宋" w:hAnsi="仿宋" w:eastAsia="仿宋" w:cs="宋体"/>
          <w:b/>
          <w:bCs/>
          <w:i w:val="0"/>
          <w:iCs w:val="0"/>
          <w:color w:val="auto"/>
          <w:sz w:val="24"/>
          <w:u w:val="none"/>
        </w:rPr>
      </w:pPr>
      <w:r/>
      <w:bookmarkStart w:id="105" w:name="_Toc462564084"/>
      <w:r/>
      <w:bookmarkStart w:id="106" w:name="_Toc513029225"/>
      <w:r/>
      <w:bookmarkStart w:id="107" w:name="_Toc16938541"/>
      <w:r/>
      <w:bookmarkStart w:id="108" w:name="_Toc20823297"/>
      <w:r>
        <w:rPr>
          <w:rFonts w:hint="eastAsia" w:ascii="仿宋" w:hAnsi="仿宋" w:eastAsia="仿宋" w:cs="宋体"/>
          <w:b/>
          <w:bCs/>
          <w:i w:val="0"/>
          <w:iCs w:val="0"/>
          <w:color w:val="auto"/>
          <w:sz w:val="24"/>
          <w:u w:val="none"/>
        </w:rPr>
        <w:t xml:space="preserve">18、电子投标文件</w:t>
      </w:r>
      <w:bookmarkEnd w:id="105"/>
      <w:r/>
      <w:bookmarkEnd w:id="106"/>
      <w:r/>
      <w:bookmarkEnd w:id="107"/>
      <w:r/>
      <w:bookmarkEnd w:id="108"/>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9" w:name="_Toc513029226"/>
      <w:r/>
      <w:bookmarkStart w:id="110" w:name="_Toc16938542"/>
      <w:r/>
      <w:bookmarkStart w:id="111" w:name="_Toc20823298"/>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9"/>
      <w:r/>
      <w:bookmarkEnd w:id="110"/>
      <w:r/>
      <w:bookmarkEnd w:id="111"/>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2" w:name="_Toc513029227"/>
      <w:r/>
      <w:bookmarkStart w:id="113" w:name="_Toc20823299"/>
      <w:r/>
      <w:bookmarkStart w:id="114" w:name="_Toc16938543"/>
      <w:r>
        <w:rPr>
          <w:rFonts w:hint="eastAsia" w:ascii="仿宋" w:hAnsi="仿宋" w:eastAsia="仿宋" w:cs="宋体"/>
          <w:b/>
          <w:bCs/>
          <w:i w:val="0"/>
          <w:iCs w:val="0"/>
          <w:color w:val="auto"/>
          <w:sz w:val="24"/>
          <w:u w:val="none"/>
        </w:rPr>
        <w:t xml:space="preserve">20、投标文件</w:t>
      </w:r>
      <w:bookmarkEnd w:id="112"/>
      <w:r/>
      <w:bookmarkEnd w:id="113"/>
      <w:r/>
      <w:bookmarkEnd w:id="114"/>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5" w:name="_Toc513029228"/>
      <w:r/>
      <w:bookmarkStart w:id="116" w:name="_Toc16938544"/>
      <w:r/>
      <w:bookmarkStart w:id="117" w:name="_Toc20823300"/>
      <w:r>
        <w:rPr>
          <w:rFonts w:hint="eastAsia" w:ascii="仿宋" w:hAnsi="仿宋" w:eastAsia="仿宋" w:cs="宋体"/>
          <w:b/>
          <w:bCs/>
          <w:i w:val="0"/>
          <w:iCs w:val="0"/>
          <w:color w:val="auto"/>
          <w:sz w:val="24"/>
          <w:u w:val="none"/>
        </w:rPr>
        <w:t xml:space="preserve">21、投标文件的撤回和修改</w:t>
      </w:r>
      <w:bookmarkEnd w:id="115"/>
      <w:r/>
      <w:bookmarkEnd w:id="116"/>
      <w:r/>
      <w:bookmarkEnd w:id="11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8" w:name="_Toc16938545"/>
      <w:r/>
      <w:bookmarkStart w:id="119" w:name="_Toc120614218"/>
      <w:r/>
      <w:bookmarkStart w:id="120" w:name="_Toc20823301"/>
      <w:r/>
      <w:bookmarkStart w:id="121" w:name="_Toc513029229"/>
      <w:r/>
      <w:r/>
    </w:p>
    <w:p>
      <w:pPr>
        <w:spacing w:line="276" w:lineRule="auto"/>
        <w:rPr>
          <w:rFonts w:ascii="仿宋" w:hAnsi="仿宋" w:eastAsia="仿宋" w:cs="宋体"/>
          <w:b/>
          <w:bCs/>
          <w:i w:val="0"/>
          <w:iCs w:val="0"/>
          <w:color w:val="auto"/>
          <w:sz w:val="24"/>
          <w:u w:val="none"/>
        </w:rPr>
        <w:outlineLvl w:val="1"/>
      </w:pPr>
      <w:r/>
      <w:bookmarkStart w:id="122" w:name="_Toc196922465"/>
      <w:r>
        <w:rPr>
          <w:rFonts w:hint="eastAsia" w:ascii="仿宋" w:hAnsi="仿宋" w:eastAsia="仿宋" w:cs="宋体"/>
          <w:b/>
          <w:bCs/>
          <w:i w:val="0"/>
          <w:iCs w:val="0"/>
          <w:color w:val="auto"/>
          <w:sz w:val="24"/>
          <w:u w:val="none"/>
        </w:rPr>
        <w:t xml:space="preserve">五、开标与评标</w:t>
      </w:r>
      <w:bookmarkEnd w:id="118"/>
      <w:r/>
      <w:bookmarkEnd w:id="119"/>
      <w:r/>
      <w:bookmarkEnd w:id="120"/>
      <w:r/>
      <w:bookmarkEnd w:id="121"/>
      <w:r/>
      <w:bookmarkEnd w:id="122"/>
      <w:r/>
      <w:r/>
    </w:p>
    <w:p>
      <w:pPr>
        <w:ind w:firstLine="482"/>
        <w:spacing w:before="161" w:line="276" w:lineRule="auto"/>
        <w:rPr>
          <w:rFonts w:ascii="仿宋" w:hAnsi="仿宋" w:eastAsia="仿宋" w:cs="宋体"/>
          <w:b/>
          <w:bCs/>
          <w:i w:val="0"/>
          <w:iCs w:val="0"/>
          <w:color w:val="auto"/>
          <w:sz w:val="24"/>
          <w:u w:val="none"/>
        </w:rPr>
      </w:pPr>
      <w:r/>
      <w:bookmarkStart w:id="123" w:name="_Toc16938546"/>
      <w:r/>
      <w:bookmarkStart w:id="124" w:name="_Toc20823302"/>
      <w:r/>
      <w:bookmarkStart w:id="125" w:name="_Toc513029230"/>
      <w:r>
        <w:rPr>
          <w:rFonts w:hint="eastAsia" w:ascii="仿宋" w:hAnsi="仿宋" w:eastAsia="仿宋" w:cs="宋体"/>
          <w:b/>
          <w:bCs/>
          <w:i w:val="0"/>
          <w:iCs w:val="0"/>
          <w:color w:val="auto"/>
          <w:sz w:val="24"/>
          <w:u w:val="none"/>
        </w:rPr>
        <w:t xml:space="preserve">22、开标</w:t>
      </w:r>
      <w:bookmarkEnd w:id="123"/>
      <w:r/>
      <w:bookmarkEnd w:id="124"/>
      <w:r/>
      <w:bookmarkEnd w:id="125"/>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2</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2</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6" w:name="_Toc20823303"/>
      <w:r/>
      <w:bookmarkStart w:id="127" w:name="_Toc16938547"/>
      <w:r/>
      <w:bookmarkStart w:id="128" w:name="_Toc513029231"/>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6"/>
      <w:r/>
      <w:bookmarkEnd w:id="127"/>
      <w:r/>
      <w:bookmarkEnd w:id="128"/>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9" w:name="_Toc16938548"/>
      <w:r/>
      <w:bookmarkStart w:id="130" w:name="_Toc20823304"/>
      <w:r/>
      <w:bookmarkStart w:id="131" w:name="_Toc513029232"/>
      <w:r>
        <w:rPr>
          <w:rFonts w:hint="eastAsia" w:ascii="仿宋" w:hAnsi="仿宋" w:eastAsia="仿宋" w:cs="宋体"/>
          <w:b/>
          <w:bCs/>
          <w:i w:val="0"/>
          <w:iCs w:val="0"/>
          <w:color w:val="auto"/>
          <w:sz w:val="24"/>
          <w:u w:val="none"/>
        </w:rPr>
        <w:t xml:space="preserve">25．投标文件的澄清</w:t>
      </w:r>
      <w:bookmarkEnd w:id="129"/>
      <w:r/>
      <w:bookmarkEnd w:id="130"/>
      <w:r/>
      <w:bookmarkEnd w:id="131"/>
      <w:r/>
      <w:r/>
    </w:p>
    <w:p>
      <w:pPr>
        <w:ind w:firstLine="480"/>
        <w:spacing w:line="276" w:lineRule="auto"/>
        <w:rPr>
          <w:rFonts w:ascii="仿宋" w:hAnsi="仿宋" w:eastAsia="仿宋"/>
          <w:i w:val="0"/>
          <w:iCs w:val="0"/>
          <w:color w:val="auto"/>
          <w:sz w:val="24"/>
          <w:u w:val="none"/>
        </w:rPr>
      </w:pPr>
      <w:r/>
      <w:bookmarkStart w:id="132" w:name="_Toc513029233"/>
      <w:r/>
      <w:bookmarkStart w:id="133" w:name="_Toc20823305"/>
      <w:r/>
      <w:bookmarkStart w:id="134" w:name="_Toc16938549"/>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2"/>
      <w:r/>
      <w:bookmarkEnd w:id="133"/>
      <w:r/>
      <w:bookmarkEnd w:id="134"/>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5" w:name="_Toc513029234"/>
      <w:r/>
      <w:bookmarkStart w:id="136" w:name="_Toc20823306"/>
      <w:r/>
      <w:bookmarkStart w:id="137" w:name="_Toc16938550"/>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5"/>
      <w:r/>
      <w:bookmarkEnd w:id="136"/>
      <w:r/>
      <w:bookmarkEnd w:id="137"/>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8" w:name="_Toc513029235"/>
      <w:r/>
      <w:bookmarkStart w:id="139" w:name="_Toc20823307"/>
      <w:r/>
      <w:bookmarkStart w:id="140" w:name="_Toc16938551"/>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26.1.11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26.3.1如出现投标截止时间结束后参加投标的供应商或者在评标期间对招标文件做出实质响应的供应商不足三家情况，按政府采购相关规定执行。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bookmarkStart w:id="141" w:name="_Toc120614219"/>
      <w:r/>
      <w:r/>
    </w:p>
    <w:p>
      <w:pPr>
        <w:spacing w:line="276" w:lineRule="auto"/>
        <w:rPr>
          <w:rFonts w:ascii="仿宋" w:hAnsi="仿宋" w:eastAsia="仿宋" w:cs="宋体"/>
          <w:b/>
          <w:bCs/>
          <w:i w:val="0"/>
          <w:iCs w:val="0"/>
          <w:color w:val="auto"/>
          <w:sz w:val="24"/>
          <w:u w:val="none"/>
        </w:rPr>
        <w:outlineLvl w:val="1"/>
      </w:pPr>
      <w:r/>
      <w:bookmarkStart w:id="142" w:name="_Toc196922466"/>
      <w:r>
        <w:rPr>
          <w:rFonts w:hint="eastAsia" w:ascii="仿宋" w:hAnsi="仿宋" w:eastAsia="仿宋" w:cs="宋体"/>
          <w:b/>
          <w:bCs/>
          <w:i w:val="0"/>
          <w:iCs w:val="0"/>
          <w:color w:val="auto"/>
          <w:sz w:val="24"/>
          <w:u w:val="none"/>
        </w:rPr>
        <w:t xml:space="preserve">六、</w:t>
      </w:r>
      <w:bookmarkEnd w:id="138"/>
      <w:r/>
      <w:bookmarkEnd w:id="139"/>
      <w:r/>
      <w:bookmarkEnd w:id="140"/>
      <w:r>
        <w:rPr>
          <w:rFonts w:hint="eastAsia" w:ascii="仿宋" w:hAnsi="仿宋" w:eastAsia="仿宋" w:cs="宋体"/>
          <w:b/>
          <w:bCs/>
          <w:i w:val="0"/>
          <w:iCs w:val="0"/>
          <w:color w:val="auto"/>
          <w:sz w:val="24"/>
          <w:u w:val="none"/>
        </w:rPr>
        <w:t xml:space="preserve">定标</w:t>
      </w:r>
      <w:bookmarkEnd w:id="141"/>
      <w:r/>
      <w:bookmarkEnd w:id="142"/>
      <w:r/>
      <w:r/>
    </w:p>
    <w:p>
      <w:pPr>
        <w:ind w:firstLine="482"/>
        <w:spacing w:before="161" w:line="276" w:lineRule="auto"/>
        <w:rPr>
          <w:rFonts w:ascii="仿宋" w:hAnsi="仿宋" w:eastAsia="仿宋" w:cs="宋体"/>
          <w:b/>
          <w:bCs/>
          <w:i w:val="0"/>
          <w:iCs w:val="0"/>
          <w:color w:val="auto"/>
          <w:sz w:val="24"/>
          <w:u w:val="none"/>
        </w:rPr>
      </w:pPr>
      <w:r/>
      <w:bookmarkStart w:id="143" w:name="_Toc513029238"/>
      <w:r/>
      <w:bookmarkStart w:id="144" w:name="_Toc20823310"/>
      <w:r/>
      <w:bookmarkStart w:id="145" w:name="_Toc16938554"/>
      <w:r>
        <w:rPr>
          <w:rFonts w:hint="eastAsia" w:ascii="仿宋" w:hAnsi="仿宋" w:eastAsia="仿宋" w:cs="宋体"/>
          <w:b/>
          <w:bCs/>
          <w:i w:val="0"/>
          <w:iCs w:val="0"/>
          <w:color w:val="auto"/>
          <w:sz w:val="24"/>
          <w:u w:val="none"/>
        </w:rPr>
        <w:t xml:space="preserve">28、</w:t>
      </w:r>
      <w:bookmarkEnd w:id="143"/>
      <w:r>
        <w:rPr>
          <w:rFonts w:hint="eastAsia" w:ascii="仿宋" w:hAnsi="仿宋" w:eastAsia="仿宋" w:cs="宋体"/>
          <w:b/>
          <w:bCs/>
          <w:i w:val="0"/>
          <w:iCs w:val="0"/>
          <w:color w:val="auto"/>
          <w:sz w:val="24"/>
          <w:u w:val="none"/>
        </w:rPr>
        <w:t xml:space="preserve">确定</w:t>
      </w:r>
      <w:bookmarkEnd w:id="144"/>
      <w:r/>
      <w:bookmarkEnd w:id="145"/>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6"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6"/>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采购代理机构质疑接收接收人：王慧，联系地址：南京市雨花台区软件大道21号C座110室，联系电话：025-52875825。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7" w:name="_Toc120614220"/>
      <w:r/>
      <w:bookmarkStart w:id="148" w:name="_Toc20823308"/>
      <w:r/>
      <w:bookmarkStart w:id="149" w:name="_Toc513029236"/>
      <w:r/>
      <w:bookmarkStart w:id="150" w:name="_Toc16938552"/>
      <w:r/>
      <w:r/>
    </w:p>
    <w:p>
      <w:pPr>
        <w:ind w:firstLine="482"/>
        <w:spacing w:line="276" w:lineRule="auto"/>
        <w:rPr>
          <w:rFonts w:ascii="仿宋" w:hAnsi="仿宋" w:eastAsia="仿宋" w:cs="宋体"/>
          <w:b/>
          <w:bCs/>
          <w:i w:val="0"/>
          <w:iCs w:val="0"/>
          <w:color w:val="auto"/>
          <w:sz w:val="24"/>
          <w:u w:val="none"/>
        </w:rPr>
        <w:outlineLvl w:val="1"/>
      </w:pPr>
      <w:r/>
      <w:bookmarkStart w:id="151" w:name="_Toc196922467"/>
      <w:r>
        <w:rPr>
          <w:rFonts w:hint="eastAsia" w:ascii="仿宋" w:hAnsi="仿宋" w:eastAsia="仿宋" w:cs="宋体"/>
          <w:b/>
          <w:bCs/>
          <w:i w:val="0"/>
          <w:iCs w:val="0"/>
          <w:color w:val="auto"/>
          <w:sz w:val="24"/>
          <w:u w:val="none"/>
        </w:rPr>
        <w:t xml:space="preserve">七、授予合同</w:t>
      </w:r>
      <w:bookmarkEnd w:id="147"/>
      <w:r/>
      <w:bookmarkEnd w:id="151"/>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33.政府采购政策功能落实</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8"/>
      <w:r/>
      <w:bookmarkEnd w:id="149"/>
      <w:r/>
      <w:bookmarkEnd w:id="150"/>
      <w:r/>
      <w:r/>
    </w:p>
    <w:p>
      <w:pPr>
        <w:jc w:val="left"/>
        <w:widowControl/>
        <w:rPr>
          <w:i w:val="0"/>
          <w:iCs w:val="0"/>
          <w:color w:val="auto"/>
          <w:u w:val="none"/>
        </w:rPr>
      </w:pPr>
      <w:r/>
      <w:bookmarkStart w:id="152"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2"/>
      <w:r/>
      <w:r/>
    </w:p>
    <w:p>
      <w:pPr>
        <w:pStyle w:val="968"/>
        <w:ind w:firstLine="723"/>
        <w:jc w:val="center"/>
        <w:spacing w:line="360" w:lineRule="exact"/>
        <w:rPr>
          <w:b/>
          <w:bCs/>
          <w:i w:val="0"/>
          <w:iCs w:val="0"/>
          <w:color w:val="auto"/>
          <w:sz w:val="36"/>
          <w:szCs w:val="36"/>
          <w:u w:val="none"/>
        </w:rPr>
      </w:pPr>
      <w:r>
        <w:rPr>
          <w:rFonts w:hint="eastAsia"/>
          <w:b/>
          <w:bCs/>
          <w:i w:val="0"/>
          <w:iCs w:val="0"/>
          <w:color w:val="auto"/>
          <w:sz w:val="36"/>
          <w:szCs w:val="36"/>
          <w:u w:val="none"/>
        </w:rPr>
        <w:t xml:space="preserve">购  销  </w:t>
      </w:r>
      <w:r>
        <w:rPr>
          <w:b/>
          <w:bCs/>
          <w:i w:val="0"/>
          <w:iCs w:val="0"/>
          <w:color w:val="auto"/>
          <w:sz w:val="36"/>
          <w:szCs w:val="36"/>
          <w:u w:val="none"/>
        </w:rPr>
        <w:t xml:space="preserve">合</w:t>
      </w:r>
      <w:r>
        <w:rPr>
          <w:rFonts w:hint="eastAsia"/>
          <w:b/>
          <w:bCs/>
          <w:i w:val="0"/>
          <w:iCs w:val="0"/>
          <w:color w:val="auto"/>
          <w:sz w:val="36"/>
          <w:szCs w:val="36"/>
          <w:u w:val="none"/>
        </w:rPr>
        <w:t xml:space="preserve">  </w:t>
      </w:r>
      <w:r>
        <w:rPr>
          <w:b/>
          <w:bCs/>
          <w:i w:val="0"/>
          <w:iCs w:val="0"/>
          <w:color w:val="auto"/>
          <w:sz w:val="36"/>
          <w:szCs w:val="36"/>
          <w:u w:val="none"/>
        </w:rPr>
        <w:t xml:space="preserve">同</w:t>
      </w:r>
      <w:r/>
    </w:p>
    <w:p>
      <w:pPr>
        <w:pStyle w:val="968"/>
        <w:ind w:firstLine="540"/>
        <w:jc w:val="both"/>
        <w:spacing w:line="360" w:lineRule="exact"/>
        <w:rPr>
          <w:b/>
          <w:i w:val="0"/>
          <w:iCs w:val="0"/>
          <w:color w:val="auto"/>
          <w:u w:val="none"/>
        </w:rPr>
      </w:pPr>
      <w:r>
        <w:rPr>
          <w:rFonts w:hint="eastAsia"/>
          <w:b/>
          <w:i w:val="0"/>
          <w:iCs w:val="0"/>
          <w:color w:val="auto"/>
          <w:u w:val="none"/>
        </w:rPr>
        <w:t xml:space="preserve">签订地点：      盐    城           </w:t>
      </w:r>
      <w:r>
        <w:rPr>
          <w:b/>
          <w:i w:val="0"/>
          <w:iCs w:val="0"/>
          <w:color w:val="auto"/>
          <w:u w:val="none"/>
        </w:rPr>
        <w:t xml:space="preserve">　　合同编号：</w:t>
      </w:r>
      <w:r>
        <w:rPr>
          <w:rFonts w:hint="eastAsia"/>
          <w:b/>
          <w:i w:val="0"/>
          <w:iCs w:val="0"/>
          <w:color w:val="auto"/>
          <w:u w:val="none"/>
        </w:rPr>
        <w:t xml:space="preserve">                    </w:t>
      </w:r>
      <w:r/>
    </w:p>
    <w:p>
      <w:pPr>
        <w:pStyle w:val="968"/>
        <w:ind w:firstLine="482"/>
        <w:spacing w:line="360" w:lineRule="exact"/>
        <w:rPr>
          <w:i w:val="0"/>
          <w:iCs w:val="0"/>
          <w:color w:val="auto"/>
          <w:u w:val="none"/>
        </w:rPr>
      </w:pPr>
      <w:r>
        <w:rPr>
          <w:rFonts w:hint="eastAsia"/>
          <w:b/>
          <w:i w:val="0"/>
          <w:iCs w:val="0"/>
          <w:color w:val="auto"/>
          <w:u w:val="none"/>
        </w:rPr>
        <w:t xml:space="preserve">购货单位</w:t>
      </w:r>
      <w:r>
        <w:rPr>
          <w:rFonts w:hint="eastAsia"/>
          <w:i w:val="0"/>
          <w:iCs w:val="0"/>
          <w:color w:val="auto"/>
          <w:u w:val="none"/>
        </w:rPr>
        <w:t xml:space="preserve">：盐城市第三人民医院                  （以下简称甲方）（盖章）  </w:t>
      </w:r>
      <w:r/>
    </w:p>
    <w:p>
      <w:pPr>
        <w:pStyle w:val="968"/>
        <w:ind w:firstLine="482"/>
        <w:spacing w:line="360" w:lineRule="exact"/>
        <w:rPr>
          <w:i w:val="0"/>
          <w:iCs w:val="0"/>
          <w:color w:val="auto"/>
          <w:u w:val="none"/>
        </w:rPr>
      </w:pPr>
      <w:r>
        <w:rPr>
          <w:rFonts w:hint="eastAsia"/>
          <w:b/>
          <w:i w:val="0"/>
          <w:iCs w:val="0"/>
          <w:color w:val="auto"/>
          <w:u w:val="none"/>
        </w:rPr>
        <w:t xml:space="preserve">供货单位</w:t>
      </w:r>
      <w:r>
        <w:rPr>
          <w:rFonts w:hint="eastAsia"/>
          <w:i w:val="0"/>
          <w:iCs w:val="0"/>
          <w:color w:val="auto"/>
          <w:u w:val="none"/>
        </w:rPr>
        <w:t xml:space="preserve">：                                    （以下简称乙方）（盖章）</w:t>
      </w:r>
      <w:r/>
    </w:p>
    <w:p>
      <w:pPr>
        <w:pStyle w:val="968"/>
        <w:spacing w:before="0" w:beforeAutospacing="0" w:after="0" w:afterAutospacing="0" w:line="360" w:lineRule="exact"/>
        <w:rPr>
          <w:i w:val="0"/>
          <w:iCs w:val="0"/>
          <w:color w:val="auto"/>
          <w:sz w:val="21"/>
          <w:szCs w:val="21"/>
          <w:u w:val="none"/>
        </w:rPr>
      </w:pPr>
      <w:r>
        <w:rPr>
          <w:i w:val="0"/>
          <w:iCs w:val="0"/>
          <w:color w:val="auto"/>
          <w:sz w:val="21"/>
          <w:szCs w:val="21"/>
          <w:u w:val="none"/>
        </w:rPr>
        <w:t xml:space="preserve">　　</w:t>
      </w:r>
      <w:r>
        <w:rPr>
          <w:rFonts w:hint="eastAsia" w:ascii="???" w:hAnsi="???"/>
          <w:i w:val="0"/>
          <w:iCs w:val="0"/>
          <w:color w:val="auto"/>
          <w:sz w:val="21"/>
          <w:szCs w:val="21"/>
          <w:u w:val="none"/>
        </w:rPr>
        <w:t xml:space="preserve">根据《中华人民共和国民法典》，经双方协商，本着平等互利、协商一致的原则，签订本同：</w:t>
      </w:r>
      <w:r>
        <w:rPr>
          <w:i w:val="0"/>
          <w:iCs w:val="0"/>
          <w:color w:val="auto"/>
          <w:sz w:val="21"/>
          <w:szCs w:val="21"/>
          <w:u w:val="none"/>
        </w:rPr>
        <w:t xml:space="preserve"> </w:t>
      </w:r>
      <w:r/>
    </w:p>
    <w:p>
      <w:pPr>
        <w:ind w:firstLine="420"/>
        <w:spacing w:line="360" w:lineRule="exact"/>
        <w:rPr>
          <w:rStyle w:val="1066"/>
          <w:b/>
          <w:i w:val="0"/>
          <w:iCs w:val="0"/>
          <w:color w:val="auto"/>
          <w:szCs w:val="21"/>
          <w:u w:val="none"/>
        </w:rPr>
      </w:pPr>
      <w:r>
        <w:rPr>
          <w:rStyle w:val="1066"/>
          <w:b/>
          <w:i w:val="0"/>
          <w:iCs w:val="0"/>
          <w:color w:val="auto"/>
          <w:szCs w:val="21"/>
          <w:u w:val="none"/>
        </w:rPr>
        <w:t xml:space="preserve">第一条</w:t>
      </w:r>
      <w:r>
        <w:rPr>
          <w:rStyle w:val="1066"/>
          <w:rFonts w:hint="eastAsia"/>
          <w:b/>
          <w:i w:val="0"/>
          <w:iCs w:val="0"/>
          <w:color w:val="auto"/>
          <w:szCs w:val="21"/>
          <w:u w:val="none"/>
        </w:rPr>
        <w:t xml:space="preserve"> 商品的名称</w:t>
      </w:r>
      <w:r>
        <w:rPr>
          <w:rStyle w:val="1066"/>
          <w:b/>
          <w:i w:val="0"/>
          <w:iCs w:val="0"/>
          <w:color w:val="auto"/>
          <w:szCs w:val="21"/>
          <w:u w:val="none"/>
        </w:rPr>
        <w:t xml:space="preserve">、</w:t>
      </w:r>
      <w:r>
        <w:rPr>
          <w:rStyle w:val="1066"/>
          <w:rFonts w:hint="eastAsia"/>
          <w:b/>
          <w:i w:val="0"/>
          <w:iCs w:val="0"/>
          <w:color w:val="auto"/>
          <w:szCs w:val="21"/>
          <w:u w:val="none"/>
        </w:rPr>
        <w:t xml:space="preserve">种类、规格、</w:t>
      </w:r>
      <w:r>
        <w:rPr>
          <w:rStyle w:val="1066"/>
          <w:b/>
          <w:i w:val="0"/>
          <w:iCs w:val="0"/>
          <w:color w:val="auto"/>
          <w:szCs w:val="21"/>
          <w:u w:val="none"/>
        </w:rPr>
        <w:t xml:space="preserve">数量</w:t>
      </w:r>
      <w:r>
        <w:rPr>
          <w:rStyle w:val="1066"/>
          <w:rFonts w:hint="eastAsia"/>
          <w:b/>
          <w:i w:val="0"/>
          <w:iCs w:val="0"/>
          <w:color w:val="auto"/>
          <w:szCs w:val="21"/>
          <w:u w:val="none"/>
        </w:rPr>
        <w:t xml:space="preserve">及</w:t>
      </w:r>
      <w:r>
        <w:rPr>
          <w:rStyle w:val="1066"/>
          <w:b/>
          <w:i w:val="0"/>
          <w:iCs w:val="0"/>
          <w:color w:val="auto"/>
          <w:szCs w:val="21"/>
          <w:u w:val="none"/>
        </w:rPr>
        <w:t xml:space="preserve">价款</w:t>
      </w:r>
      <w:r/>
    </w:p>
    <w:tbl>
      <w:tblPr>
        <w:tblStyle w:val="948"/>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Style w:val="1066"/>
                <w:rFonts w:hint="eastAsia"/>
                <w:i w:val="0"/>
                <w:iCs w:val="0"/>
                <w:color w:val="auto"/>
                <w:sz w:val="24"/>
                <w:u w:val="none"/>
              </w:rPr>
              <w:t xml:space="preserve">商品</w:t>
            </w:r>
            <w:r>
              <w:rPr>
                <w:rFonts w:hint="default"/>
                <w:i w:val="0"/>
                <w:iCs w:val="0"/>
                <w:color w:val="auto"/>
                <w:sz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单价</w:t>
            </w:r>
            <w:r>
              <w:rPr>
                <w:rFonts w:hint="eastAsia"/>
                <w:i w:val="0"/>
                <w:iCs w:val="0"/>
                <w:color w:val="auto"/>
                <w:sz w:val="24"/>
                <w:u w:val="none"/>
              </w:rPr>
              <w:t xml:space="preserve">（元）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default" w:ascii="宋体" w:hAnsi="宋体"/>
                <w:i w:val="0"/>
                <w:iCs w:val="0"/>
                <w:color w:val="auto"/>
                <w:sz w:val="24"/>
                <w:u w:val="none"/>
              </w:rPr>
              <w:suppressLineNumbers w:val="0"/>
            </w:pPr>
            <w:r>
              <w:rPr>
                <w:rFonts w:hint="default"/>
                <w:i w:val="0"/>
                <w:iCs w:val="0"/>
                <w:color w:val="auto"/>
                <w:sz w:val="24"/>
                <w:u w:val="none"/>
              </w:rPr>
              <w:t xml:space="preserve">金额</w:t>
            </w:r>
            <w:r>
              <w:rPr>
                <w:rFonts w:hint="eastAsia"/>
                <w:i w:val="0"/>
                <w:iCs w:val="0"/>
                <w:color w:val="auto"/>
                <w:sz w:val="24"/>
                <w:u w:val="none"/>
              </w:rPr>
              <w:t xml:space="preserve">（元）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default"/>
                <w:i w:val="0"/>
                <w:iCs w:val="0"/>
                <w:color w:val="auto"/>
                <w:sz w:val="24"/>
                <w:u w:val="none"/>
              </w:rPr>
              <w:suppressLineNumbers w:val="0"/>
            </w:pPr>
            <w:r>
              <w:rPr>
                <w:rFonts w:hint="default"/>
                <w:i w:val="0"/>
                <w:iCs w:val="0"/>
                <w:color w:val="auto"/>
                <w:sz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default"/>
                <w:i w:val="0"/>
                <w:iCs w:val="0"/>
                <w:color w:val="auto"/>
                <w:sz w:val="24"/>
                <w:u w:val="none"/>
              </w:rPr>
              <w:suppressLineNumbers w:val="0"/>
            </w:pPr>
            <w:r>
              <w:rPr>
                <w:rFonts w:hint="eastAsia"/>
                <w:i w:val="0"/>
                <w:iCs w:val="0"/>
                <w:color w:val="auto"/>
                <w:sz w:val="24"/>
                <w:u w:val="none"/>
              </w:rPr>
              <w:t xml:space="preserve">合计人民币金额：¥   元                   （大写）： </w:t>
            </w:r>
            <w:r/>
          </w:p>
        </w:tc>
      </w:tr>
    </w:tbl>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968"/>
        <w:ind w:firstLine="21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备注：详见配置清单</w:t>
      </w:r>
      <w:r/>
    </w:p>
    <w:p>
      <w:pPr>
        <w:pStyle w:val="968"/>
        <w:ind w:firstLine="422"/>
        <w:spacing w:before="0" w:beforeAutospacing="0" w:after="0" w:afterAutospacing="0" w:line="360" w:lineRule="exact"/>
        <w:rPr>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二</w:t>
      </w:r>
      <w:r>
        <w:rPr>
          <w:b/>
          <w:i w:val="0"/>
          <w:iCs w:val="0"/>
          <w:color w:val="auto"/>
          <w:sz w:val="21"/>
          <w:szCs w:val="21"/>
          <w:u w:val="none"/>
        </w:rPr>
        <w:t xml:space="preserve">条</w:t>
      </w:r>
      <w:r>
        <w:rPr>
          <w:rFonts w:hint="eastAsia"/>
          <w:b/>
          <w:i w:val="0"/>
          <w:iCs w:val="0"/>
          <w:color w:val="auto"/>
          <w:sz w:val="21"/>
          <w:szCs w:val="21"/>
          <w:u w:val="none"/>
        </w:rPr>
        <w:t xml:space="preserve"> </w:t>
      </w:r>
      <w:r>
        <w:rPr>
          <w:b/>
          <w:i w:val="0"/>
          <w:iCs w:val="0"/>
          <w:color w:val="auto"/>
          <w:sz w:val="21"/>
          <w:szCs w:val="21"/>
          <w:u w:val="none"/>
        </w:rPr>
        <w:t xml:space="preserve">交货方式 </w:t>
      </w:r>
      <w:r/>
    </w:p>
    <w:p>
      <w:pPr>
        <w:ind w:firstLine="420"/>
        <w:spacing w:line="360" w:lineRule="exact"/>
        <w:rPr>
          <w:i w:val="0"/>
          <w:iCs w:val="0"/>
          <w:color w:val="auto"/>
          <w:szCs w:val="21"/>
          <w:u w:val="none"/>
        </w:rPr>
      </w:pPr>
      <w:r>
        <w:rPr>
          <w:rFonts w:hint="eastAsia"/>
          <w:i w:val="0"/>
          <w:iCs w:val="0"/>
          <w:color w:val="auto"/>
          <w:szCs w:val="21"/>
          <w:u w:val="none"/>
        </w:rPr>
        <w:t xml:space="preserve">1、</w:t>
      </w:r>
      <w:r>
        <w:rPr>
          <w:i w:val="0"/>
          <w:iCs w:val="0"/>
          <w:color w:val="auto"/>
          <w:szCs w:val="21"/>
          <w:u w:val="none"/>
        </w:rPr>
        <w:t xml:space="preserve">交货时间：</w:t>
      </w:r>
      <w:r>
        <w:rPr>
          <w:b/>
          <w:bCs/>
          <w:i w:val="0"/>
          <w:iCs w:val="0"/>
          <w:color w:val="auto"/>
          <w:szCs w:val="21"/>
          <w:u w:val="none"/>
        </w:rPr>
        <w:t xml:space="preserve"> </w:t>
      </w:r>
      <w:r>
        <w:rPr>
          <w:i w:val="0"/>
          <w:iCs w:val="0"/>
          <w:color w:val="auto"/>
          <w:szCs w:val="21"/>
          <w:u w:val="none"/>
        </w:rPr>
        <w:t xml:space="preserve"> </w:t>
      </w:r>
      <w:bookmarkStart w:id="153" w:name="OLE_LINK3"/>
      <w:r>
        <w:rPr>
          <w:rFonts w:hint="eastAsia"/>
          <w:i w:val="0"/>
          <w:iCs w:val="0"/>
          <w:color w:val="auto"/>
          <w:szCs w:val="21"/>
          <w:u w:val="none"/>
        </w:rPr>
        <w:t xml:space="preserve">自甲方通知之日起  </w:t>
      </w:r>
      <w:r>
        <w:rPr>
          <w:i w:val="0"/>
          <w:iCs w:val="0"/>
          <w:color w:val="auto"/>
          <w:szCs w:val="21"/>
          <w:u w:val="none"/>
        </w:rPr>
        <w:t xml:space="preserve"> </w:t>
      </w:r>
      <w:r>
        <w:rPr>
          <w:rFonts w:hint="eastAsia"/>
          <w:i w:val="0"/>
          <w:iCs w:val="0"/>
          <w:color w:val="auto"/>
          <w:szCs w:val="21"/>
          <w:u w:val="none"/>
        </w:rPr>
        <w:t xml:space="preserve">   天内</w:t>
      </w:r>
      <w:bookmarkEnd w:id="153"/>
      <w:r>
        <w:rPr>
          <w:i w:val="0"/>
          <w:iCs w:val="0"/>
          <w:color w:val="auto"/>
          <w:szCs w:val="21"/>
          <w:u w:val="none"/>
        </w:rPr>
        <w:t xml:space="preserve">。</w:t>
      </w:r>
      <w:r/>
    </w:p>
    <w:p>
      <w:pPr>
        <w:ind w:firstLine="420"/>
        <w:spacing w:line="360" w:lineRule="exact"/>
        <w:rPr>
          <w:i w:val="0"/>
          <w:iCs w:val="0"/>
          <w:color w:val="auto"/>
          <w:szCs w:val="21"/>
          <w:u w:val="none"/>
        </w:rPr>
      </w:pPr>
      <w:r>
        <w:rPr>
          <w:rFonts w:hint="eastAsia" w:ascii="宋体" w:hAnsi="宋体"/>
          <w:i w:val="0"/>
          <w:iCs w:val="0"/>
          <w:color w:val="auto"/>
          <w:szCs w:val="21"/>
          <w:u w:val="none"/>
        </w:rPr>
        <w:t xml:space="preserve">2</w:t>
      </w:r>
      <w:r>
        <w:rPr>
          <w:rFonts w:hint="eastAsia"/>
          <w:i w:val="0"/>
          <w:iCs w:val="0"/>
          <w:color w:val="auto"/>
          <w:szCs w:val="21"/>
          <w:u w:val="none"/>
        </w:rPr>
        <w:t xml:space="preserve">、乙方</w:t>
      </w:r>
      <w:r>
        <w:rPr>
          <w:rFonts w:hint="eastAsia" w:ascii="???" w:hAnsi="???"/>
          <w:i w:val="0"/>
          <w:iCs w:val="0"/>
          <w:color w:val="auto"/>
          <w:szCs w:val="21"/>
          <w:u w:val="none"/>
        </w:rPr>
        <w:t xml:space="preserve">负责将设备安全运至甲方指定地点，经甲方验收交付之前设备的毁损、灭失风险及运输费用由乙方承担。</w:t>
      </w:r>
      <w:r>
        <w:rPr>
          <w:rFonts w:hint="eastAsia"/>
          <w:i w:val="0"/>
          <w:iCs w:val="0"/>
          <w:color w:val="auto"/>
          <w:szCs w:val="21"/>
          <w:u w:val="none"/>
        </w:rPr>
        <w:t xml:space="preserve">乙方负责产品的包装，包装应确保货物安全，装卸、运输方便，由此产生的费用由乙方承担。</w:t>
      </w:r>
      <w:r/>
    </w:p>
    <w:p>
      <w:pPr>
        <w:ind w:left="420"/>
        <w:spacing w:line="360" w:lineRule="exact"/>
        <w:rPr>
          <w:b/>
          <w:i w:val="0"/>
          <w:iCs w:val="0"/>
          <w:color w:val="auto"/>
          <w:szCs w:val="21"/>
          <w:u w:val="none"/>
        </w:rPr>
      </w:pPr>
      <w:r>
        <w:rPr>
          <w:b/>
          <w:i w:val="0"/>
          <w:iCs w:val="0"/>
          <w:color w:val="auto"/>
          <w:szCs w:val="21"/>
          <w:u w:val="none"/>
        </w:rPr>
        <w:t xml:space="preserve">第</w:t>
      </w:r>
      <w:r>
        <w:rPr>
          <w:rFonts w:hint="eastAsia"/>
          <w:b/>
          <w:i w:val="0"/>
          <w:iCs w:val="0"/>
          <w:color w:val="auto"/>
          <w:szCs w:val="21"/>
          <w:u w:val="none"/>
        </w:rPr>
        <w:t xml:space="preserve">三</w:t>
      </w:r>
      <w:r>
        <w:rPr>
          <w:b/>
          <w:i w:val="0"/>
          <w:iCs w:val="0"/>
          <w:color w:val="auto"/>
          <w:szCs w:val="21"/>
          <w:u w:val="none"/>
        </w:rPr>
        <w:t xml:space="preserve">条</w:t>
      </w:r>
      <w:r>
        <w:rPr>
          <w:rFonts w:hint="eastAsia"/>
          <w:b/>
          <w:i w:val="0"/>
          <w:iCs w:val="0"/>
          <w:color w:val="auto"/>
          <w:szCs w:val="21"/>
          <w:u w:val="none"/>
        </w:rPr>
        <w:t xml:space="preserve"> 售后质量保证、安全和服务承诺</w:t>
      </w:r>
      <w:r/>
    </w:p>
    <w:p>
      <w:pPr>
        <w:ind w:firstLine="420"/>
        <w:spacing w:line="360" w:lineRule="exact"/>
        <w:rPr>
          <w:rStyle w:val="1067"/>
          <w:rFonts w:hint="eastAsia"/>
          <w:i w:val="0"/>
          <w:iCs w:val="0"/>
          <w:color w:val="auto"/>
          <w:u w:val="none"/>
        </w:rPr>
      </w:pPr>
      <w:r>
        <w:rPr>
          <w:rFonts w:hint="eastAsia"/>
          <w:i w:val="0"/>
          <w:iCs w:val="0"/>
          <w:color w:val="auto"/>
          <w:szCs w:val="21"/>
          <w:u w:val="none"/>
        </w:rPr>
        <w:t xml:space="preserve">1、乙方</w:t>
      </w:r>
      <w:r>
        <w:rPr>
          <w:rStyle w:val="1067"/>
          <w:rFonts w:hint="eastAsia"/>
          <w:i w:val="0"/>
          <w:iCs w:val="0"/>
          <w:color w:val="auto"/>
          <w:u w:val="none"/>
        </w:rPr>
        <w:t xml:space="preserve">保证所售出货物符合国家规定的质量、包装等要求。</w:t>
      </w:r>
      <w:r/>
    </w:p>
    <w:p>
      <w:pPr>
        <w:ind w:firstLine="420"/>
        <w:spacing w:line="360" w:lineRule="exact"/>
        <w:rPr>
          <w:rStyle w:val="1067"/>
          <w:rFonts w:hint="eastAsia"/>
          <w:i w:val="0"/>
          <w:iCs w:val="0"/>
          <w:color w:val="auto"/>
          <w:u w:val="none"/>
        </w:rPr>
      </w:pPr>
      <w:r>
        <w:rPr>
          <w:rStyle w:val="1067"/>
          <w:rFonts w:hint="eastAsia"/>
          <w:i w:val="0"/>
          <w:iCs w:val="0"/>
          <w:color w:val="auto"/>
          <w:u w:val="none"/>
        </w:rPr>
        <w:t xml:space="preserve">2、除另有约定外，合同范围的商品，应由乙方直接供应，不得转让他人供应。</w:t>
      </w:r>
      <w:r/>
    </w:p>
    <w:p>
      <w:pPr>
        <w:ind w:firstLine="420"/>
        <w:spacing w:line="360" w:lineRule="exact"/>
        <w:rPr>
          <w:rStyle w:val="1067"/>
          <w:rFonts w:hint="eastAsia"/>
          <w:i w:val="0"/>
          <w:iCs w:val="0"/>
          <w:color w:val="auto"/>
          <w:u w:val="none"/>
        </w:rPr>
      </w:pPr>
      <w:r>
        <w:rPr>
          <w:rStyle w:val="1067"/>
          <w:rFonts w:hint="eastAsia"/>
          <w:i w:val="0"/>
          <w:iCs w:val="0"/>
          <w:color w:val="auto"/>
          <w:u w:val="none"/>
        </w:rPr>
        <w:t xml:space="preserve">3、产品的保修期</w:t>
      </w:r>
      <w:r>
        <w:rPr>
          <w:rFonts w:hint="eastAsia"/>
          <w:i w:val="0"/>
          <w:iCs w:val="0"/>
          <w:color w:val="auto"/>
          <w:szCs w:val="21"/>
          <w:u w:val="none"/>
        </w:rPr>
        <w:t xml:space="preserve">（以验收合格日算起）       年，保修期内免费维修。保修期满后，维修只收取维修配</w:t>
      </w:r>
      <w:r>
        <w:rPr>
          <w:rStyle w:val="1067"/>
          <w:rFonts w:hint="eastAsia"/>
          <w:i w:val="0"/>
          <w:iCs w:val="0"/>
          <w:color w:val="auto"/>
          <w:u w:val="none"/>
        </w:rPr>
        <w:t xml:space="preserve">件的成本费。</w:t>
      </w:r>
      <w:r/>
    </w:p>
    <w:p>
      <w:pPr>
        <w:ind w:firstLine="437"/>
        <w:spacing w:line="360" w:lineRule="exact"/>
        <w:rPr>
          <w:rStyle w:val="1067"/>
          <w:rFonts w:hint="eastAsia"/>
          <w:i w:val="0"/>
          <w:iCs w:val="0"/>
          <w:color w:val="auto"/>
          <w:u w:val="none"/>
        </w:rPr>
      </w:pPr>
      <w:r>
        <w:rPr>
          <w:rStyle w:val="1067"/>
          <w:rFonts w:hint="eastAsia"/>
          <w:i w:val="0"/>
          <w:iCs w:val="0"/>
          <w:color w:val="auto"/>
          <w:u w:val="none"/>
        </w:rPr>
        <w:t xml:space="preserve">4、售后服务响应时间：   24小时   </w:t>
      </w:r>
      <w:r/>
    </w:p>
    <w:p>
      <w:pPr>
        <w:ind w:firstLine="437"/>
        <w:spacing w:line="360" w:lineRule="exact"/>
        <w:rPr>
          <w:rStyle w:val="1067"/>
          <w:rFonts w:hint="eastAsia"/>
          <w:i w:val="0"/>
          <w:iCs w:val="0"/>
          <w:color w:val="auto"/>
          <w:u w:val="none"/>
        </w:rPr>
      </w:pPr>
      <w:r>
        <w:rPr>
          <w:rStyle w:val="1067"/>
          <w:rFonts w:hint="eastAsia"/>
          <w:i w:val="0"/>
          <w:iCs w:val="0"/>
          <w:color w:val="auto"/>
          <w:u w:val="none"/>
        </w:rPr>
        <w:t xml:space="preserve">5、其 他  承 诺：      /        </w:t>
      </w:r>
      <w:r/>
    </w:p>
    <w:p>
      <w:pPr>
        <w:pStyle w:val="968"/>
        <w:ind w:firstLine="422"/>
        <w:spacing w:before="0" w:beforeAutospacing="0" w:after="0" w:afterAutospacing="0" w:line="360" w:lineRule="exact"/>
        <w:rPr>
          <w:rStyle w:val="1066"/>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四</w:t>
      </w:r>
      <w:r>
        <w:rPr>
          <w:b/>
          <w:i w:val="0"/>
          <w:iCs w:val="0"/>
          <w:color w:val="auto"/>
          <w:sz w:val="21"/>
          <w:szCs w:val="21"/>
          <w:u w:val="none"/>
        </w:rPr>
        <w:t xml:space="preserve">条</w:t>
      </w:r>
      <w:r>
        <w:rPr>
          <w:rFonts w:hint="eastAsia"/>
          <w:b/>
          <w:i w:val="0"/>
          <w:iCs w:val="0"/>
          <w:color w:val="auto"/>
          <w:sz w:val="21"/>
          <w:szCs w:val="21"/>
          <w:u w:val="none"/>
        </w:rPr>
        <w:t xml:space="preserve"> </w:t>
      </w:r>
      <w:r>
        <w:rPr>
          <w:rStyle w:val="1066"/>
          <w:rFonts w:hint="eastAsia"/>
          <w:b/>
          <w:i w:val="0"/>
          <w:iCs w:val="0"/>
          <w:color w:val="auto"/>
          <w:sz w:val="21"/>
          <w:szCs w:val="21"/>
          <w:u w:val="none"/>
        </w:rPr>
        <w:t xml:space="preserve">验收与</w:t>
      </w:r>
      <w:r>
        <w:rPr>
          <w:rStyle w:val="1066"/>
          <w:b/>
          <w:i w:val="0"/>
          <w:iCs w:val="0"/>
          <w:color w:val="auto"/>
          <w:sz w:val="21"/>
          <w:szCs w:val="21"/>
          <w:u w:val="none"/>
        </w:rPr>
        <w:t xml:space="preserve">安装</w:t>
      </w:r>
      <w:r/>
    </w:p>
    <w:p>
      <w:pPr>
        <w:pStyle w:val="968"/>
        <w:ind w:firstLine="420"/>
        <w:spacing w:before="0" w:beforeAutospacing="0" w:after="0" w:afterAutospacing="0" w:line="360" w:lineRule="exact"/>
        <w:rPr>
          <w:i w:val="0"/>
          <w:iCs w:val="0"/>
          <w:color w:val="auto"/>
          <w:sz w:val="21"/>
          <w:szCs w:val="21"/>
          <w:u w:val="none"/>
        </w:rPr>
      </w:pPr>
      <w:r>
        <w:rPr>
          <w:rFonts w:hint="eastAsia" w:ascii="Times New Roman" w:hAnsi="Times New Roman"/>
          <w:i w:val="0"/>
          <w:iCs w:val="0"/>
          <w:color w:val="auto"/>
          <w:sz w:val="21"/>
          <w:szCs w:val="21"/>
          <w:u w:val="none"/>
        </w:rPr>
        <w:t xml:space="preserve">需要安装的设</w:t>
      </w:r>
      <w:r>
        <w:rPr>
          <w:rFonts w:hint="eastAsia"/>
          <w:i w:val="0"/>
          <w:iCs w:val="0"/>
          <w:color w:val="auto"/>
          <w:sz w:val="21"/>
          <w:szCs w:val="21"/>
          <w:u w:val="none"/>
        </w:rPr>
        <w:t xml:space="preserve">备，由乙方负责设备的安装和调试工作。设备正常运行后由乙方会同甲方的采购、设备及使用部门按规定的标准共同组织验收。不需安装的设备由甲方组织验收。</w:t>
      </w:r>
      <w:r/>
    </w:p>
    <w:p>
      <w:pPr>
        <w:ind w:firstLine="422"/>
        <w:spacing w:line="360" w:lineRule="exact"/>
        <w:rPr>
          <w:b/>
          <w:i w:val="0"/>
          <w:iCs w:val="0"/>
          <w:color w:val="auto"/>
          <w:szCs w:val="21"/>
          <w:u w:val="none"/>
        </w:rPr>
      </w:pPr>
      <w:r>
        <w:rPr>
          <w:b/>
          <w:i w:val="0"/>
          <w:iCs w:val="0"/>
          <w:color w:val="auto"/>
          <w:szCs w:val="21"/>
          <w:u w:val="none"/>
        </w:rPr>
        <w:t xml:space="preserve">第</w:t>
      </w:r>
      <w:r>
        <w:rPr>
          <w:rFonts w:hint="eastAsia"/>
          <w:b/>
          <w:i w:val="0"/>
          <w:iCs w:val="0"/>
          <w:color w:val="auto"/>
          <w:szCs w:val="21"/>
          <w:u w:val="none"/>
        </w:rPr>
        <w:t xml:space="preserve">五</w:t>
      </w:r>
      <w:r>
        <w:rPr>
          <w:b/>
          <w:i w:val="0"/>
          <w:iCs w:val="0"/>
          <w:color w:val="auto"/>
          <w:szCs w:val="21"/>
          <w:u w:val="none"/>
        </w:rPr>
        <w:t xml:space="preserve">条</w:t>
      </w:r>
      <w:r>
        <w:rPr>
          <w:rFonts w:hint="eastAsia"/>
          <w:b/>
          <w:i w:val="0"/>
          <w:iCs w:val="0"/>
          <w:color w:val="auto"/>
          <w:szCs w:val="21"/>
          <w:u w:val="none"/>
        </w:rPr>
        <w:t xml:space="preserve"> 货款的结算</w:t>
      </w:r>
      <w:r/>
    </w:p>
    <w:p>
      <w:pPr>
        <w:ind w:firstLine="420"/>
        <w:spacing w:line="360" w:lineRule="exact"/>
        <w:rPr>
          <w:i w:val="0"/>
          <w:iCs w:val="0"/>
          <w:color w:val="auto"/>
          <w:szCs w:val="21"/>
          <w:u w:val="none"/>
        </w:rPr>
      </w:pPr>
      <w:r/>
      <w:bookmarkStart w:id="154" w:name="OLE_LINK4"/>
      <w:r>
        <w:rPr>
          <w:rFonts w:hint="eastAsia"/>
          <w:i w:val="0"/>
          <w:iCs w:val="0"/>
          <w:color w:val="auto"/>
          <w:szCs w:val="21"/>
          <w:u w:val="none"/>
        </w:rPr>
        <w:t xml:space="preserve">1、合同签订后，甲方支付合同金额的</w:t>
      </w:r>
      <w:r>
        <w:rPr>
          <w:i w:val="0"/>
          <w:iCs w:val="0"/>
          <w:color w:val="auto"/>
          <w:szCs w:val="21"/>
          <w:u w:val="none"/>
        </w:rPr>
        <w:t xml:space="preserve">       </w:t>
      </w:r>
      <w:r>
        <w:rPr>
          <w:rFonts w:hint="eastAsia"/>
          <w:i w:val="0"/>
          <w:iCs w:val="0"/>
          <w:color w:val="auto"/>
          <w:szCs w:val="21"/>
          <w:u w:val="none"/>
        </w:rPr>
        <w:t xml:space="preserve">作为预付款。</w:t>
      </w:r>
      <w:r/>
    </w:p>
    <w:p>
      <w:pPr>
        <w:ind w:firstLine="420"/>
        <w:spacing w:line="360" w:lineRule="exact"/>
        <w:rPr>
          <w:i w:val="0"/>
          <w:iCs w:val="0"/>
          <w:color w:val="auto"/>
          <w:szCs w:val="21"/>
          <w:u w:val="none"/>
        </w:rPr>
      </w:pPr>
      <w:r>
        <w:rPr>
          <w:i w:val="0"/>
          <w:iCs w:val="0"/>
          <w:color w:val="auto"/>
          <w:szCs w:val="21"/>
          <w:u w:val="none"/>
        </w:rPr>
        <w:t xml:space="preserve">2</w:t>
      </w:r>
      <w:r>
        <w:rPr>
          <w:rFonts w:hint="eastAsia"/>
          <w:i w:val="0"/>
          <w:iCs w:val="0"/>
          <w:color w:val="auto"/>
          <w:szCs w:val="21"/>
          <w:u w:val="none"/>
        </w:rPr>
        <w:t xml:space="preserve">、货物验收合格后，临床使用3个月内，甲方支付至合同金额的90％，其余的10％尾款，货物验收合格满12个月后付清。</w:t>
      </w:r>
      <w:r/>
    </w:p>
    <w:p>
      <w:pPr>
        <w:pStyle w:val="968"/>
        <w:ind w:firstLine="420"/>
        <w:spacing w:before="0" w:beforeAutospacing="0" w:after="0" w:afterAutospacing="0" w:line="360" w:lineRule="exact"/>
        <w:rPr>
          <w:i w:val="0"/>
          <w:iCs w:val="0"/>
          <w:color w:val="auto"/>
          <w:sz w:val="21"/>
          <w:szCs w:val="21"/>
          <w:u w:val="none"/>
        </w:rPr>
      </w:pPr>
      <w:r>
        <w:rPr>
          <w:i w:val="0"/>
          <w:iCs w:val="0"/>
          <w:color w:val="auto"/>
          <w:sz w:val="21"/>
          <w:szCs w:val="21"/>
          <w:u w:val="none"/>
        </w:rPr>
        <w:t xml:space="preserve">3</w:t>
      </w:r>
      <w:r>
        <w:rPr>
          <w:rFonts w:hint="eastAsia"/>
          <w:i w:val="0"/>
          <w:iCs w:val="0"/>
          <w:color w:val="auto"/>
          <w:sz w:val="21"/>
          <w:szCs w:val="21"/>
          <w:u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rPr>
          <w:i w:val="0"/>
          <w:iCs w:val="0"/>
          <w:color w:val="auto"/>
          <w:sz w:val="21"/>
          <w:szCs w:val="21"/>
          <w:u w:val="none"/>
        </w:rPr>
        <w:t xml:space="preserve">　</w:t>
      </w:r>
      <w:bookmarkEnd w:id="154"/>
      <w:r/>
      <w:r/>
    </w:p>
    <w:p>
      <w:pPr>
        <w:pStyle w:val="968"/>
        <w:ind w:firstLine="422"/>
        <w:spacing w:before="0" w:beforeAutospacing="0" w:after="0" w:afterAutospacing="0" w:line="360" w:lineRule="exact"/>
        <w:rPr>
          <w:b/>
          <w:i w:val="0"/>
          <w:iCs w:val="0"/>
          <w:color w:val="auto"/>
          <w:sz w:val="21"/>
          <w:szCs w:val="21"/>
          <w:u w:val="none"/>
        </w:rPr>
      </w:pPr>
      <w:r>
        <w:rPr>
          <w:rFonts w:hint="eastAsia"/>
          <w:b/>
          <w:i w:val="0"/>
          <w:iCs w:val="0"/>
          <w:color w:val="auto"/>
          <w:sz w:val="21"/>
          <w:szCs w:val="21"/>
          <w:u w:val="none"/>
        </w:rPr>
        <w:t xml:space="preserve">第六条 对产品提出异议的时间和办法</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2、乙方在接到甲方书面异议后，应在10日内（另有规定或当事人另行商定期限者除外）负责处理，否则，即视为默认甲方提出的异议和处理意见。</w:t>
      </w:r>
      <w:r/>
    </w:p>
    <w:p>
      <w:pPr>
        <w:pStyle w:val="968"/>
        <w:spacing w:before="0" w:beforeAutospacing="0" w:after="0" w:afterAutospacing="0" w:line="360" w:lineRule="exact"/>
        <w:rPr>
          <w:b/>
          <w:i w:val="0"/>
          <w:iCs w:val="0"/>
          <w:color w:val="auto"/>
          <w:sz w:val="21"/>
          <w:szCs w:val="21"/>
          <w:u w:val="none"/>
        </w:rPr>
      </w:pPr>
      <w:r>
        <w:rPr>
          <w:i w:val="0"/>
          <w:iCs w:val="0"/>
          <w:color w:val="auto"/>
          <w:sz w:val="21"/>
          <w:szCs w:val="21"/>
          <w:u w:val="none"/>
        </w:rPr>
        <w:t xml:space="preserve">　　</w:t>
      </w:r>
      <w:r>
        <w:rPr>
          <w:b/>
          <w:i w:val="0"/>
          <w:iCs w:val="0"/>
          <w:color w:val="auto"/>
          <w:sz w:val="21"/>
          <w:szCs w:val="21"/>
          <w:u w:val="none"/>
        </w:rPr>
        <w:t xml:space="preserve">第</w:t>
      </w:r>
      <w:r>
        <w:rPr>
          <w:rFonts w:hint="eastAsia"/>
          <w:b/>
          <w:i w:val="0"/>
          <w:iCs w:val="0"/>
          <w:color w:val="auto"/>
          <w:sz w:val="21"/>
          <w:szCs w:val="21"/>
          <w:u w:val="none"/>
        </w:rPr>
        <w:t xml:space="preserve">七</w:t>
      </w:r>
      <w:r>
        <w:rPr>
          <w:b/>
          <w:i w:val="0"/>
          <w:iCs w:val="0"/>
          <w:color w:val="auto"/>
          <w:sz w:val="21"/>
          <w:szCs w:val="21"/>
          <w:u w:val="none"/>
        </w:rPr>
        <w:t xml:space="preserve">条</w:t>
      </w:r>
      <w:r>
        <w:rPr>
          <w:rFonts w:hint="eastAsia"/>
          <w:b/>
          <w:i w:val="0"/>
          <w:iCs w:val="0"/>
          <w:color w:val="auto"/>
          <w:sz w:val="21"/>
          <w:szCs w:val="21"/>
          <w:u w:val="none"/>
        </w:rPr>
        <w:t xml:space="preserve"> </w:t>
      </w:r>
      <w:r>
        <w:rPr>
          <w:b/>
          <w:i w:val="0"/>
          <w:iCs w:val="0"/>
          <w:color w:val="auto"/>
          <w:sz w:val="21"/>
          <w:szCs w:val="21"/>
          <w:u w:val="none"/>
        </w:rPr>
        <w:t xml:space="preserve">违约责任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w:t>
      </w:r>
      <w:r>
        <w:rPr>
          <w:i w:val="0"/>
          <w:iCs w:val="0"/>
          <w:color w:val="auto"/>
          <w:sz w:val="21"/>
          <w:szCs w:val="21"/>
          <w:u w:val="none"/>
        </w:rPr>
        <w:t xml:space="preserve">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w:t>
      </w:r>
      <w:r>
        <w:rPr>
          <w:i w:val="0"/>
          <w:iCs w:val="0"/>
          <w:color w:val="auto"/>
          <w:sz w:val="21"/>
          <w:szCs w:val="21"/>
          <w:u w:val="none"/>
        </w:rPr>
        <w:t xml:space="preserve">所</w:t>
      </w:r>
      <w:r>
        <w:rPr>
          <w:rFonts w:hint="eastAsia"/>
          <w:i w:val="0"/>
          <w:iCs w:val="0"/>
          <w:color w:val="auto"/>
          <w:sz w:val="21"/>
          <w:szCs w:val="21"/>
          <w:u w:val="none"/>
        </w:rPr>
        <w:t xml:space="preserve">交产品品种、型号、规格、花色质量</w:t>
      </w:r>
      <w:r>
        <w:rPr>
          <w:i w:val="0"/>
          <w:iCs w:val="0"/>
          <w:color w:val="auto"/>
          <w:sz w:val="21"/>
          <w:szCs w:val="21"/>
          <w:u w:val="none"/>
        </w:rPr>
        <w:t xml:space="preserve">不</w:t>
      </w:r>
      <w:r>
        <w:rPr>
          <w:rFonts w:hint="eastAsia"/>
          <w:i w:val="0"/>
          <w:iCs w:val="0"/>
          <w:color w:val="auto"/>
          <w:sz w:val="21"/>
          <w:szCs w:val="21"/>
          <w:u w:val="none"/>
        </w:rPr>
        <w:t xml:space="preserve">符合合同规定的</w:t>
      </w:r>
      <w:r>
        <w:rPr>
          <w:i w:val="0"/>
          <w:iCs w:val="0"/>
          <w:color w:val="auto"/>
          <w:sz w:val="21"/>
          <w:szCs w:val="21"/>
          <w:u w:val="none"/>
        </w:rPr>
        <w:t xml:space="preserve">，</w:t>
      </w:r>
      <w:r>
        <w:rPr>
          <w:rFonts w:hint="eastAsia"/>
          <w:i w:val="0"/>
          <w:iCs w:val="0"/>
          <w:color w:val="auto"/>
          <w:sz w:val="21"/>
          <w:szCs w:val="21"/>
          <w:u w:val="none"/>
        </w:rPr>
        <w:t xml:space="preserve">甲方</w:t>
      </w:r>
      <w:r>
        <w:rPr>
          <w:i w:val="0"/>
          <w:iCs w:val="0"/>
          <w:color w:val="auto"/>
          <w:sz w:val="21"/>
          <w:szCs w:val="21"/>
          <w:u w:val="none"/>
        </w:rPr>
        <w:t xml:space="preserve">有权拒绝付款，因此所发生的一切费用损失，由</w:t>
      </w:r>
      <w:r>
        <w:rPr>
          <w:rFonts w:hint="eastAsia"/>
          <w:i w:val="0"/>
          <w:iCs w:val="0"/>
          <w:color w:val="auto"/>
          <w:sz w:val="21"/>
          <w:szCs w:val="21"/>
          <w:u w:val="none"/>
        </w:rPr>
        <w:t xml:space="preserve">乙方</w:t>
      </w:r>
      <w:r>
        <w:rPr>
          <w:i w:val="0"/>
          <w:iCs w:val="0"/>
          <w:color w:val="auto"/>
          <w:sz w:val="21"/>
          <w:szCs w:val="21"/>
          <w:u w:val="none"/>
        </w:rPr>
        <w:t xml:space="preserve">负责。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4、甲方未按合同规定的时间和要求提供相应的技术资料等，交货日期得以顺延。</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968"/>
        <w:ind w:firstLine="422"/>
        <w:spacing w:before="0" w:beforeAutospacing="0" w:after="0" w:afterAutospacing="0" w:line="360" w:lineRule="exact"/>
        <w:rPr>
          <w:b/>
          <w:i w:val="0"/>
          <w:iCs w:val="0"/>
          <w:color w:val="auto"/>
          <w:sz w:val="21"/>
          <w:szCs w:val="21"/>
          <w:u w:val="none"/>
        </w:rPr>
      </w:pPr>
      <w:r>
        <w:rPr>
          <w:b/>
          <w:i w:val="0"/>
          <w:iCs w:val="0"/>
          <w:color w:val="auto"/>
          <w:sz w:val="21"/>
          <w:szCs w:val="21"/>
          <w:u w:val="none"/>
        </w:rPr>
        <w:t xml:space="preserve">第</w:t>
      </w:r>
      <w:r>
        <w:rPr>
          <w:rFonts w:hint="eastAsia"/>
          <w:b/>
          <w:i w:val="0"/>
          <w:iCs w:val="0"/>
          <w:color w:val="auto"/>
          <w:sz w:val="21"/>
          <w:szCs w:val="21"/>
          <w:u w:val="none"/>
        </w:rPr>
        <w:t xml:space="preserve">八</w:t>
      </w:r>
      <w:r>
        <w:rPr>
          <w:b/>
          <w:i w:val="0"/>
          <w:iCs w:val="0"/>
          <w:color w:val="auto"/>
          <w:sz w:val="21"/>
          <w:szCs w:val="21"/>
          <w:u w:val="none"/>
        </w:rPr>
        <w:t xml:space="preserve">条</w:t>
      </w:r>
      <w:r>
        <w:rPr>
          <w:rFonts w:hint="eastAsia"/>
          <w:b/>
          <w:i w:val="0"/>
          <w:iCs w:val="0"/>
          <w:color w:val="auto"/>
          <w:sz w:val="21"/>
          <w:szCs w:val="21"/>
          <w:u w:val="none"/>
        </w:rPr>
        <w:t xml:space="preserve"> 履约保证金</w:t>
      </w:r>
      <w:r/>
    </w:p>
    <w:p>
      <w:pPr>
        <w:pStyle w:val="968"/>
        <w:ind w:firstLine="420"/>
        <w:spacing w:before="0" w:beforeAutospacing="0" w:after="0" w:afterAutospacing="0" w:line="360" w:lineRule="exact"/>
        <w:rPr>
          <w:i w:val="0"/>
          <w:iCs w:val="0"/>
          <w:color w:val="auto"/>
          <w:sz w:val="21"/>
          <w:szCs w:val="21"/>
          <w:u w:val="none"/>
        </w:rPr>
      </w:pPr>
      <w:r/>
      <w:bookmarkStart w:id="155" w:name="OLE_LINK5"/>
      <w:r>
        <w:rPr>
          <w:rFonts w:hint="eastAsia"/>
          <w:i w:val="0"/>
          <w:iCs w:val="0"/>
          <w:color w:val="auto"/>
          <w:sz w:val="21"/>
          <w:szCs w:val="21"/>
          <w:u w:val="none"/>
        </w:rPr>
        <w:t xml:space="preserve">1、是否需要缴纳履约保证金：</w:t>
      </w:r>
      <w:bookmarkStart w:id="156" w:name="OLE_LINK1"/>
      <w:r>
        <w:rPr>
          <w:rFonts w:hint="eastAsia"/>
          <w:i w:val="0"/>
          <w:iCs w:val="0"/>
          <w:color w:val="auto"/>
          <w:sz w:val="21"/>
          <w:szCs w:val="21"/>
          <w:u w:val="none"/>
        </w:rPr>
        <w:t xml:space="preserve"> 否 </w:t>
      </w:r>
      <w:bookmarkEnd w:id="156"/>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2、如需缴纳履约保证金的，按下列条款执行：</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2.1乙方缴纳人民币  /  元作为本合同的履约保证金。待设备安装验收合格后，无息退还履约保证金。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2.2乙方自主选择以支票、汇票、本票或者金融机构、担保机构出具的保函、电子履约保函（保险）等非现金形式提交履约保证金。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2.4履约保证金的退还：</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2.4.1方式：无息退还至供应商缴纳履约保证金的账户。如为保函，在到期时自行失效。</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2.4.2时间：验收合格且采购人收到发票后30日内。</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2.4.3条件：按合同要求全部履约完成并经采购人验收合格，且采购人收到中标人出具的发票。</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2.4.4不予退还情形：</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除不可抗力情况外，供应商出现下列情形之一的，其履约保证金，招标人将视情节决定不予退还或部分不予退还。</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（1）乙方无正当理由拒绝签订合同的，或者在签订合同时向甲方提出附加条件或者更改合同实质性内容要求的；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（2）乙方不履行与采购人订立的合同的；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（3）乙方所供货物或服务不符合招标文件规定要求的；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（4）乙方采取欺骗、弄虚作假方式投标的或与其它供应商串通投标的；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（5）乙方将合同内容转包、违法分包的；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（6）乙方故意捏造事实或伪造证明材料，进行虚假恶意投诉或反映的。</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2.5逾期退还的违约责任：甲方逾期无故未退还履约保证金的，按中国人民银行同期贷款基准利率上浮20%后的利率支付超期资金占用费，但因供应商自身原因导致无法及时退还的除外。</w:t>
      </w:r>
      <w:bookmarkEnd w:id="155"/>
      <w:r/>
      <w:r/>
    </w:p>
    <w:p>
      <w:pPr>
        <w:pStyle w:val="968"/>
        <w:ind w:firstLine="422"/>
        <w:spacing w:before="0" w:beforeAutospacing="0" w:after="0" w:afterAutospacing="0" w:line="360" w:lineRule="exact"/>
        <w:rPr>
          <w:b/>
          <w:i w:val="0"/>
          <w:iCs w:val="0"/>
          <w:color w:val="auto"/>
          <w:sz w:val="21"/>
          <w:szCs w:val="21"/>
          <w:u w:val="none"/>
        </w:rPr>
      </w:pPr>
      <w:r>
        <w:rPr>
          <w:rFonts w:hint="eastAsia"/>
          <w:b/>
          <w:i w:val="0"/>
          <w:iCs w:val="0"/>
          <w:color w:val="auto"/>
          <w:sz w:val="21"/>
          <w:szCs w:val="21"/>
          <w:u w:val="none"/>
        </w:rPr>
        <w:t xml:space="preserve">第九条 其他</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1、</w:t>
      </w:r>
      <w:r>
        <w:rPr>
          <w:i w:val="0"/>
          <w:iCs w:val="0"/>
          <w:color w:val="auto"/>
          <w:sz w:val="21"/>
          <w:szCs w:val="21"/>
          <w:u w:val="none"/>
        </w:rPr>
        <w:t xml:space="preserve">当事人一方因不可抗力</w:t>
      </w:r>
      <w:r>
        <w:rPr>
          <w:rFonts w:hint="eastAsia"/>
          <w:i w:val="0"/>
          <w:iCs w:val="0"/>
          <w:color w:val="auto"/>
          <w:sz w:val="21"/>
          <w:szCs w:val="21"/>
          <w:u w:val="none"/>
        </w:rPr>
        <w:t xml:space="preserve">的原因</w:t>
      </w:r>
      <w:r>
        <w:rPr>
          <w:i w:val="0"/>
          <w:iCs w:val="0"/>
          <w:color w:val="auto"/>
          <w:sz w:val="21"/>
          <w:szCs w:val="21"/>
          <w:u w:val="none"/>
        </w:rPr>
        <w:t xml:space="preserve">不能履行合同时，应当及时通知对方，并在合理期限内提供有关机构出具的证明，可以全部或部分免除该方当事人的</w:t>
      </w:r>
      <w:r>
        <w:rPr>
          <w:rFonts w:hint="eastAsia"/>
          <w:i w:val="0"/>
          <w:iCs w:val="0"/>
          <w:color w:val="auto"/>
          <w:sz w:val="21"/>
          <w:szCs w:val="21"/>
          <w:u w:val="none"/>
        </w:rPr>
        <w:t xml:space="preserve">违约</w:t>
      </w:r>
      <w:r>
        <w:rPr>
          <w:i w:val="0"/>
          <w:iCs w:val="0"/>
          <w:color w:val="auto"/>
          <w:sz w:val="21"/>
          <w:szCs w:val="21"/>
          <w:u w:val="none"/>
        </w:rPr>
        <w:t xml:space="preserve">责任。 </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2、</w:t>
      </w:r>
      <w:r>
        <w:rPr>
          <w:i w:val="0"/>
          <w:iCs w:val="0"/>
          <w:color w:val="auto"/>
          <w:sz w:val="21"/>
          <w:szCs w:val="21"/>
          <w:u w:val="none"/>
        </w:rPr>
        <w:t xml:space="preserve">本合同在</w:t>
      </w:r>
      <w:r>
        <w:rPr>
          <w:rFonts w:hint="eastAsia"/>
          <w:i w:val="0"/>
          <w:iCs w:val="0"/>
          <w:color w:val="auto"/>
          <w:sz w:val="21"/>
          <w:szCs w:val="21"/>
          <w:u w:val="none"/>
        </w:rPr>
        <w:t xml:space="preserve">履行</w:t>
      </w:r>
      <w:r>
        <w:rPr>
          <w:i w:val="0"/>
          <w:iCs w:val="0"/>
          <w:color w:val="auto"/>
          <w:sz w:val="21"/>
          <w:szCs w:val="21"/>
          <w:u w:val="none"/>
        </w:rPr>
        <w:t xml:space="preserve">中发生</w:t>
      </w:r>
      <w:r>
        <w:rPr>
          <w:rFonts w:hint="eastAsia"/>
          <w:i w:val="0"/>
          <w:iCs w:val="0"/>
          <w:color w:val="auto"/>
          <w:sz w:val="21"/>
          <w:szCs w:val="21"/>
          <w:u w:val="none"/>
        </w:rPr>
        <w:t xml:space="preserve">争议</w:t>
      </w:r>
      <w:r>
        <w:rPr>
          <w:i w:val="0"/>
          <w:iCs w:val="0"/>
          <w:color w:val="auto"/>
          <w:sz w:val="21"/>
          <w:szCs w:val="21"/>
          <w:u w:val="none"/>
        </w:rPr>
        <w:t xml:space="preserve">，</w:t>
      </w:r>
      <w:r>
        <w:rPr>
          <w:rFonts w:hint="eastAsia"/>
          <w:i w:val="0"/>
          <w:iCs w:val="0"/>
          <w:color w:val="auto"/>
          <w:sz w:val="21"/>
          <w:szCs w:val="21"/>
          <w:u w:val="none"/>
        </w:rPr>
        <w:t xml:space="preserve">由当事人双方协商解决，</w:t>
      </w:r>
      <w:r>
        <w:rPr>
          <w:i w:val="0"/>
          <w:iCs w:val="0"/>
          <w:color w:val="auto"/>
          <w:sz w:val="21"/>
          <w:szCs w:val="21"/>
          <w:u w:val="none"/>
        </w:rPr>
        <w:t xml:space="preserve">协商</w:t>
      </w:r>
      <w:r>
        <w:rPr>
          <w:rFonts w:hint="eastAsia"/>
          <w:i w:val="0"/>
          <w:iCs w:val="0"/>
          <w:color w:val="auto"/>
          <w:sz w:val="21"/>
          <w:szCs w:val="21"/>
          <w:u w:val="none"/>
        </w:rPr>
        <w:t xml:space="preserve">不成时，可申请向甲方所在地</w:t>
      </w:r>
      <w:r>
        <w:rPr>
          <w:i w:val="0"/>
          <w:iCs w:val="0"/>
          <w:color w:val="auto"/>
          <w:sz w:val="21"/>
          <w:szCs w:val="21"/>
          <w:u w:val="none"/>
        </w:rPr>
        <w:t xml:space="preserve">人民法院提出诉讼。</w:t>
      </w:r>
      <w:r>
        <w:rPr>
          <w:rFonts w:hint="eastAsia"/>
          <w:i w:val="0"/>
          <w:iCs w:val="0"/>
          <w:color w:val="auto"/>
          <w:sz w:val="21"/>
          <w:szCs w:val="21"/>
          <w:u w:val="none"/>
        </w:rPr>
        <w:t xml:space="preserve">违约方需承担守约方支出的包括但不限于诉讼费、律师费、鉴定费、差旅费、保全担保费等在内的一切费用。</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3、本合同自双方签字盖章之日起生效。本合同未尽事宜，须经双方共同协商，作出补充规定，其补充规定与本合同有同等法律效力。</w:t>
      </w:r>
      <w:r/>
    </w:p>
    <w:p>
      <w:pPr>
        <w:pStyle w:val="968"/>
        <w:ind w:firstLine="420"/>
        <w:spacing w:before="0" w:beforeAutospacing="0" w:after="0" w:afterAutospacing="0" w:line="360" w:lineRule="exact"/>
        <w:rPr>
          <w:i w:val="0"/>
          <w:iCs w:val="0"/>
          <w:color w:val="auto"/>
          <w:sz w:val="21"/>
          <w:szCs w:val="21"/>
          <w:u w:val="none"/>
        </w:rPr>
      </w:pPr>
      <w:r>
        <w:rPr>
          <w:rFonts w:hint="eastAsia"/>
          <w:i w:val="0"/>
          <w:iCs w:val="0"/>
          <w:color w:val="auto"/>
          <w:sz w:val="21"/>
          <w:szCs w:val="21"/>
          <w:u w:val="none"/>
        </w:rPr>
        <w:t xml:space="preserve">4、本合同一式四份，甲方三份，乙方一份。</w:t>
      </w:r>
      <w:r/>
    </w:p>
    <w:p>
      <w:pPr>
        <w:pStyle w:val="968"/>
        <w:ind w:firstLine="420"/>
        <w:spacing w:before="0" w:beforeAutospacing="0" w:after="161" w:afterAutospacing="0" w:line="360" w:lineRule="exact"/>
        <w:rPr>
          <w:i w:val="0"/>
          <w:iCs w:val="0"/>
          <w:color w:val="auto"/>
          <w:szCs w:val="21"/>
          <w:u w:val="none"/>
        </w:rPr>
      </w:pPr>
      <w:r>
        <w:rPr>
          <w:rFonts w:hint="eastAsia"/>
          <w:i w:val="0"/>
          <w:iCs w:val="0"/>
          <w:color w:val="auto"/>
          <w:sz w:val="21"/>
          <w:szCs w:val="21"/>
          <w:u w:val="none"/>
        </w:rPr>
        <w:t xml:space="preserve">附件： </w:t>
      </w:r>
      <w:r/>
    </w:p>
    <w:p>
      <w:pPr>
        <w:ind w:firstLine="420"/>
        <w:spacing w:line="240" w:lineRule="auto"/>
        <w:rPr>
          <w:i w:val="0"/>
          <w:iCs w:val="0"/>
          <w:color w:val="auto"/>
          <w:szCs w:val="21"/>
          <w:u w:val="none"/>
        </w:rPr>
      </w:pPr>
      <w:r>
        <w:rPr>
          <w:rFonts w:hint="eastAsia"/>
          <w:i w:val="0"/>
          <w:iCs w:val="0"/>
          <w:color w:val="auto"/>
          <w:szCs w:val="21"/>
          <w:u w:val="none"/>
        </w:rPr>
        <w:t xml:space="preserve">购货单位</w:t>
      </w:r>
      <w:r>
        <w:rPr>
          <w:i w:val="0"/>
          <w:iCs w:val="0"/>
          <w:color w:val="auto"/>
          <w:szCs w:val="21"/>
          <w:u w:val="none"/>
        </w:rPr>
        <w:t xml:space="preserve">：</w:t>
      </w:r>
      <w:r>
        <w:rPr>
          <w:rFonts w:hint="eastAsia"/>
          <w:i w:val="0"/>
          <w:iCs w:val="0"/>
          <w:color w:val="auto"/>
          <w:szCs w:val="21"/>
          <w:u w:val="none"/>
        </w:rPr>
        <w:t xml:space="preserve">盐城市第三人民医院</w:t>
      </w:r>
      <w:r>
        <w:rPr>
          <w:i w:val="0"/>
          <w:iCs w:val="0"/>
          <w:color w:val="auto"/>
          <w:szCs w:val="21"/>
          <w:u w:val="none"/>
        </w:rPr>
        <w:t xml:space="preserve">（盖章）</w:t>
      </w:r>
      <w:r>
        <w:rPr>
          <w:rFonts w:hint="eastAsia"/>
          <w:i w:val="0"/>
          <w:iCs w:val="0"/>
          <w:color w:val="auto"/>
          <w:szCs w:val="21"/>
          <w:u w:val="none"/>
        </w:rPr>
        <w:t xml:space="preserve">      供货单位：</w:t>
      </w:r>
      <w:r>
        <w:rPr>
          <w:rFonts w:hint="eastAsia"/>
          <w:i w:val="0"/>
          <w:iCs w:val="0"/>
          <w:color w:val="auto"/>
          <w:spacing w:val="-2"/>
          <w:u w:val="none"/>
        </w:rPr>
        <w:t xml:space="preserve">                         （</w:t>
      </w:r>
      <w:r>
        <w:rPr>
          <w:i w:val="0"/>
          <w:iCs w:val="0"/>
          <w:color w:val="auto"/>
          <w:spacing w:val="-2"/>
          <w:szCs w:val="21"/>
          <w:u w:val="none"/>
        </w:rPr>
        <w:t xml:space="preserve">盖章</w:t>
      </w:r>
      <w:r>
        <w:rPr>
          <w:rFonts w:hint="eastAsia"/>
          <w:i w:val="0"/>
          <w:iCs w:val="0"/>
          <w:color w:val="auto"/>
          <w:spacing w:val="-2"/>
          <w:szCs w:val="21"/>
          <w:u w:val="none"/>
        </w:rPr>
        <w:t xml:space="preserve">）</w:t>
      </w:r>
      <w:r/>
    </w:p>
    <w:p>
      <w:pPr>
        <w:ind w:firstLine="420"/>
        <w:spacing w:line="240" w:lineRule="auto"/>
        <w:rPr>
          <w:i w:val="0"/>
          <w:iCs w:val="0"/>
          <w:color w:val="auto"/>
          <w:szCs w:val="21"/>
          <w:u w:val="none"/>
        </w:rPr>
      </w:pP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t xml:space="preserve">法定代表人：</w:t>
      </w:r>
      <w:r>
        <w:rPr>
          <w:b/>
          <w:bCs/>
          <w:i w:val="0"/>
          <w:iCs w:val="0"/>
          <w:color w:val="auto"/>
          <w:szCs w:val="21"/>
          <w:u w:val="none"/>
        </w:rPr>
        <w:t xml:space="preserve">  </w:t>
      </w:r>
      <w:r>
        <w:rPr>
          <w:i w:val="0"/>
          <w:iCs w:val="0"/>
          <w:color w:val="auto"/>
          <w:szCs w:val="21"/>
          <w:u w:val="none"/>
        </w:rPr>
        <w:t xml:space="preserve"> </w:t>
      </w:r>
      <w:r>
        <w:rPr>
          <w:rFonts w:hint="eastAsia"/>
          <w:i w:val="0"/>
          <w:iCs w:val="0"/>
          <w:color w:val="auto"/>
          <w:szCs w:val="21"/>
          <w:u w:val="none"/>
        </w:rPr>
        <w:t xml:space="preserve">                    </w:t>
      </w:r>
      <w:r>
        <w:rPr>
          <w:i w:val="0"/>
          <w:iCs w:val="0"/>
          <w:color w:val="auto"/>
          <w:szCs w:val="21"/>
          <w:u w:val="none"/>
        </w:rPr>
        <w:t xml:space="preserve">　</w:t>
      </w:r>
      <w:r>
        <w:rPr>
          <w:rFonts w:hint="eastAsia"/>
          <w:i w:val="0"/>
          <w:iCs w:val="0"/>
          <w:color w:val="auto"/>
          <w:szCs w:val="21"/>
          <w:u w:val="none"/>
        </w:rPr>
        <w:t xml:space="preserve">    </w:t>
      </w:r>
      <w:r>
        <w:rPr>
          <w:i w:val="0"/>
          <w:iCs w:val="0"/>
          <w:color w:val="auto"/>
          <w:szCs w:val="21"/>
          <w:u w:val="none"/>
        </w:rPr>
        <w:t xml:space="preserve">法定代表人： </w:t>
      </w: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rFonts w:hint="eastAsia"/>
          <w:i w:val="0"/>
          <w:iCs w:val="0"/>
          <w:color w:val="auto"/>
          <w:szCs w:val="21"/>
          <w:u w:val="none"/>
        </w:rPr>
        <w:t xml:space="preserve">委托代表人：                            委托代表人：                              </w:t>
      </w:r>
      <w:r/>
    </w:p>
    <w:p>
      <w:pPr>
        <w:ind w:firstLine="420"/>
        <w:spacing w:line="240" w:lineRule="auto"/>
        <w:rPr>
          <w:i w:val="0"/>
          <w:iCs w:val="0"/>
          <w:color w:val="auto"/>
          <w:szCs w:val="21"/>
          <w:u w:val="none"/>
        </w:rPr>
      </w:pPr>
      <w:r>
        <w:rPr>
          <w:i w:val="0"/>
          <w:iCs w:val="0"/>
          <w:color w:val="auto"/>
          <w:szCs w:val="21"/>
          <w:u w:val="none"/>
        </w:rPr>
      </w:r>
      <w:r/>
    </w:p>
    <w:p>
      <w:pPr>
        <w:ind w:left="6090" w:hanging="5670"/>
        <w:spacing w:line="240" w:lineRule="auto"/>
        <w:rPr>
          <w:i w:val="0"/>
          <w:iCs w:val="0"/>
          <w:color w:val="auto"/>
          <w:szCs w:val="21"/>
          <w:u w:val="none"/>
        </w:rPr>
      </w:pPr>
      <w:r>
        <w:rPr>
          <w:rFonts w:hint="eastAsia"/>
          <w:i w:val="0"/>
          <w:iCs w:val="0"/>
          <w:color w:val="auto"/>
          <w:szCs w:val="21"/>
          <w:u w:val="none"/>
        </w:rPr>
        <w:t xml:space="preserve">地     址：                             地     址：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rFonts w:hint="eastAsia"/>
          <w:i w:val="0"/>
          <w:iCs w:val="0"/>
          <w:color w:val="auto"/>
          <w:szCs w:val="21"/>
          <w:u w:val="none"/>
        </w:rPr>
        <w:t xml:space="preserve">电     话：                             电     话：          </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i w:val="0"/>
          <w:iCs w:val="0"/>
          <w:color w:val="auto"/>
          <w:szCs w:val="21"/>
          <w:u w:val="none"/>
        </w:rPr>
      </w:pPr>
      <w:r>
        <w:rPr>
          <w:i w:val="0"/>
          <w:iCs w:val="0"/>
          <w:color w:val="auto"/>
          <w:szCs w:val="21"/>
          <w:u w:val="none"/>
        </w:rPr>
        <w:t xml:space="preserve">开户银行</w:t>
      </w:r>
      <w:r>
        <w:rPr>
          <w:rFonts w:hint="eastAsia"/>
          <w:i w:val="0"/>
          <w:iCs w:val="0"/>
          <w:color w:val="auto"/>
          <w:szCs w:val="21"/>
          <w:u w:val="none"/>
        </w:rPr>
        <w:t xml:space="preserve">：</w:t>
      </w:r>
      <w:bookmarkStart w:id="157" w:name="OLE_LINK2"/>
      <w:r>
        <w:rPr>
          <w:rFonts w:hint="eastAsia"/>
          <w:i w:val="0"/>
          <w:iCs w:val="0"/>
          <w:color w:val="auto"/>
          <w:szCs w:val="21"/>
          <w:u w:val="none"/>
        </w:rPr>
        <w:t xml:space="preserve">建行</w:t>
      </w:r>
      <w:bookmarkEnd w:id="157"/>
      <w:r>
        <w:rPr>
          <w:rFonts w:hint="eastAsia"/>
          <w:i w:val="0"/>
          <w:iCs w:val="0"/>
          <w:color w:val="auto"/>
          <w:szCs w:val="21"/>
          <w:u w:val="none"/>
        </w:rPr>
        <w:t xml:space="preserve">解放路支行                </w:t>
      </w:r>
      <w:r>
        <w:rPr>
          <w:i w:val="0"/>
          <w:iCs w:val="0"/>
          <w:color w:val="auto"/>
          <w:szCs w:val="21"/>
          <w:u w:val="none"/>
        </w:rPr>
        <w:t xml:space="preserve">开户银行</w:t>
      </w:r>
      <w:r>
        <w:rPr>
          <w:rFonts w:hint="eastAsia"/>
          <w:i w:val="0"/>
          <w:iCs w:val="0"/>
          <w:color w:val="auto"/>
          <w:szCs w:val="21"/>
          <w:u w:val="none"/>
        </w:rPr>
        <w:t xml:space="preserve">：                     </w:t>
      </w:r>
      <w:r/>
    </w:p>
    <w:p>
      <w:pPr>
        <w:ind w:firstLine="420"/>
        <w:spacing w:line="240" w:lineRule="auto"/>
        <w:rPr>
          <w:i w:val="0"/>
          <w:iCs w:val="0"/>
          <w:color w:val="auto"/>
          <w:szCs w:val="21"/>
          <w:u w:val="none"/>
        </w:rPr>
      </w:pPr>
      <w:r>
        <w:rPr>
          <w:i w:val="0"/>
          <w:iCs w:val="0"/>
          <w:color w:val="auto"/>
          <w:szCs w:val="21"/>
          <w:u w:val="none"/>
        </w:rPr>
      </w:r>
      <w:r/>
    </w:p>
    <w:p>
      <w:pPr>
        <w:ind w:left="840" w:hanging="420"/>
        <w:spacing w:line="240" w:lineRule="auto"/>
        <w:tabs>
          <w:tab w:val="left" w:pos="4500" w:leader="none"/>
          <w:tab w:val="left" w:pos="4860" w:leader="none"/>
        </w:tabs>
        <w:rPr>
          <w:i w:val="0"/>
          <w:iCs w:val="0"/>
          <w:color w:val="auto"/>
          <w:szCs w:val="21"/>
          <w:u w:val="none"/>
        </w:rPr>
      </w:pPr>
      <w:r>
        <w:rPr>
          <w:rFonts w:hint="eastAsia"/>
          <w:i w:val="0"/>
          <w:iCs w:val="0"/>
          <w:color w:val="auto"/>
          <w:szCs w:val="21"/>
          <w:u w:val="none"/>
        </w:rPr>
        <w:t xml:space="preserve">统一信用代码：12320928468248845G       </w:t>
      </w:r>
      <w:r>
        <w:rPr>
          <w:rFonts w:hint="eastAsia"/>
          <w:i w:val="0"/>
          <w:iCs w:val="0"/>
          <w:color w:val="auto"/>
          <w:szCs w:val="21"/>
          <w:u w:val="none"/>
          <w:lang w:val="en-US" w:eastAsia="zh-CN"/>
        </w:rPr>
        <w:t xml:space="preserve"> </w:t>
      </w:r>
      <w:r>
        <w:rPr>
          <w:rFonts w:hint="eastAsia"/>
          <w:i w:val="0"/>
          <w:iCs w:val="0"/>
          <w:color w:val="auto"/>
          <w:szCs w:val="21"/>
          <w:u w:val="none"/>
        </w:rPr>
        <w:t xml:space="preserve">统一信用代码： </w:t>
      </w:r>
      <w:r/>
    </w:p>
    <w:p>
      <w:pPr>
        <w:ind w:left="840" w:hanging="420"/>
        <w:spacing w:line="240" w:lineRule="auto"/>
        <w:tabs>
          <w:tab w:val="left" w:pos="4500" w:leader="none"/>
          <w:tab w:val="left" w:pos="4860" w:leader="none"/>
        </w:tabs>
        <w:rPr>
          <w:i w:val="0"/>
          <w:iCs w:val="0"/>
          <w:color w:val="auto"/>
          <w:szCs w:val="21"/>
          <w:u w:val="none"/>
        </w:rPr>
      </w:pPr>
      <w:r>
        <w:rPr>
          <w:i w:val="0"/>
          <w:iCs w:val="0"/>
          <w:color w:val="auto"/>
          <w:szCs w:val="21"/>
          <w:u w:val="none"/>
        </w:rPr>
      </w:r>
      <w:r/>
    </w:p>
    <w:p>
      <w:pPr>
        <w:ind w:left="840" w:hanging="420"/>
        <w:spacing w:line="240" w:lineRule="auto"/>
        <w:tabs>
          <w:tab w:val="left" w:pos="4500" w:leader="none"/>
          <w:tab w:val="left" w:pos="4860" w:leader="none"/>
        </w:tabs>
        <w:rPr>
          <w:i w:val="0"/>
          <w:iCs w:val="0"/>
          <w:color w:val="auto"/>
          <w:szCs w:val="21"/>
          <w:u w:val="none"/>
        </w:rPr>
      </w:pPr>
      <w:r>
        <w:rPr>
          <w:i w:val="0"/>
          <w:iCs w:val="0"/>
          <w:color w:val="auto"/>
          <w:szCs w:val="21"/>
          <w:u w:val="none"/>
        </w:rPr>
        <w:t xml:space="preserve">帐</w:t>
      </w:r>
      <w:r>
        <w:rPr>
          <w:rFonts w:hint="eastAsia"/>
          <w:i w:val="0"/>
          <w:iCs w:val="0"/>
          <w:color w:val="auto"/>
          <w:szCs w:val="21"/>
          <w:u w:val="none"/>
        </w:rPr>
        <w:t xml:space="preserve">    </w:t>
      </w:r>
      <w:r>
        <w:rPr>
          <w:i w:val="0"/>
          <w:iCs w:val="0"/>
          <w:color w:val="auto"/>
          <w:szCs w:val="21"/>
          <w:u w:val="none"/>
        </w:rPr>
        <w:t xml:space="preserve">号：</w:t>
      </w:r>
      <w:r>
        <w:rPr>
          <w:rFonts w:hint="eastAsia"/>
          <w:i w:val="0"/>
          <w:iCs w:val="0"/>
          <w:color w:val="auto"/>
          <w:szCs w:val="21"/>
          <w:u w:val="none"/>
        </w:rPr>
        <w:t xml:space="preserve">32001735036051462504          </w:t>
      </w:r>
      <w:r>
        <w:rPr>
          <w:i w:val="0"/>
          <w:iCs w:val="0"/>
          <w:color w:val="auto"/>
          <w:szCs w:val="21"/>
          <w:u w:val="none"/>
        </w:rPr>
        <w:t xml:space="preserve">帐</w:t>
      </w:r>
      <w:r>
        <w:rPr>
          <w:rFonts w:hint="eastAsia"/>
          <w:i w:val="0"/>
          <w:iCs w:val="0"/>
          <w:color w:val="auto"/>
          <w:szCs w:val="21"/>
          <w:u w:val="none"/>
        </w:rPr>
        <w:t xml:space="preserve">     </w:t>
      </w:r>
      <w:r>
        <w:rPr>
          <w:i w:val="0"/>
          <w:iCs w:val="0"/>
          <w:color w:val="auto"/>
          <w:szCs w:val="21"/>
          <w:u w:val="none"/>
        </w:rPr>
        <w:t xml:space="preserve">号：</w:t>
      </w:r>
      <w:r/>
    </w:p>
    <w:p>
      <w:pPr>
        <w:ind w:firstLine="420"/>
        <w:spacing w:line="240" w:lineRule="auto"/>
        <w:rPr>
          <w:i w:val="0"/>
          <w:iCs w:val="0"/>
          <w:color w:val="auto"/>
          <w:szCs w:val="21"/>
          <w:u w:val="none"/>
        </w:rPr>
      </w:pPr>
      <w:r>
        <w:rPr>
          <w:i w:val="0"/>
          <w:iCs w:val="0"/>
          <w:color w:val="auto"/>
          <w:szCs w:val="21"/>
          <w:u w:val="none"/>
        </w:rPr>
      </w:r>
      <w:r/>
    </w:p>
    <w:p>
      <w:pPr>
        <w:ind w:firstLine="420"/>
        <w:spacing w:line="240" w:lineRule="auto"/>
        <w:rPr>
          <w:rFonts w:cs="宋体" w:asciiTheme="minorEastAsia" w:hAnsiTheme="minorEastAsia"/>
          <w:i w:val="0"/>
          <w:iCs w:val="0"/>
          <w:color w:val="auto"/>
          <w:sz w:val="24"/>
          <w:u w:val="none"/>
        </w:rPr>
      </w:pPr>
      <w:r>
        <w:rPr>
          <w:rFonts w:hint="eastAsia"/>
          <w:i w:val="0"/>
          <w:iCs w:val="0"/>
          <w:color w:val="auto"/>
          <w:szCs w:val="21"/>
          <w:u w:val="none"/>
        </w:rPr>
        <w:t xml:space="preserve">日    期：                              日     期：</w:t>
      </w:r>
      <w:r>
        <w:rPr>
          <w:rFonts w:hint="eastAsia"/>
          <w:i w:val="0"/>
          <w:iCs w:val="0"/>
          <w:color w:val="auto"/>
          <w:u w:val="none"/>
        </w:rPr>
        <w:t xml:space="preserve"> </w:t>
      </w:r>
      <w:r/>
    </w:p>
    <w:p>
      <w:pPr>
        <w:jc w:val="left"/>
        <w:spacing w:line="276" w:lineRule="auto"/>
        <w:rPr>
          <w:rFonts w:ascii="仿宋" w:hAnsi="仿宋" w:eastAsia="仿宋" w:cs="宋体"/>
          <w:i w:val="0"/>
          <w:iCs w:val="0"/>
          <w:color w:val="auto"/>
          <w:szCs w:val="21"/>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ascii="仿宋" w:hAnsi="仿宋" w:eastAsia="仿宋"/>
          <w:i w:val="0"/>
          <w:iCs w:val="0"/>
          <w:color w:val="auto"/>
          <w:sz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8" w:name="_Toc196922469"/>
      <w:r>
        <w:rPr>
          <w:rFonts w:hint="eastAsia" w:ascii="仿宋" w:hAnsi="仿宋" w:eastAsia="仿宋" w:cs="宋体"/>
          <w:b/>
          <w:i w:val="0"/>
          <w:iCs w:val="0"/>
          <w:color w:val="auto"/>
          <w:sz w:val="32"/>
          <w:szCs w:val="32"/>
          <w:u w:val="none"/>
        </w:rPr>
        <w:t xml:space="preserve">第四章  采购需求</w:t>
      </w:r>
      <w:bookmarkEnd w:id="158"/>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9" w:name="_Toc196922470"/>
      <w:r>
        <w:rPr>
          <w:rFonts w:hint="eastAsia" w:ascii="仿宋" w:hAnsi="仿宋" w:eastAsia="仿宋" w:cs="宋体"/>
          <w:b/>
          <w:i w:val="0"/>
          <w:iCs w:val="0"/>
          <w:color w:val="auto"/>
          <w:sz w:val="24"/>
          <w:szCs w:val="24"/>
          <w:u w:val="none"/>
          <w:lang w:val="en-US" w:eastAsia="zh-CN" w:bidi="ar-SA"/>
        </w:rPr>
        <w:t xml:space="preserve">一、采购清单</w:t>
      </w:r>
      <w:bookmarkEnd w:id="159"/>
      <w:r/>
      <w:r/>
    </w:p>
    <w:tbl>
      <w:tblPr>
        <w:tblStyle w:val="948"/>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品目号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多功能监护仪</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台</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4</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80万元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lang w:val="en-US" w:eastAsia="zh-CN" w:bidi="ar"/>
              </w:rPr>
              <w:suppressLineNumbers w:val="0"/>
            </w:pPr>
            <w:r>
              <w:rPr>
                <w:rFonts w:hint="eastAsia" w:ascii="仿宋" w:hAnsi="仿宋" w:eastAsia="仿宋" w:cs="宋体"/>
                <w:i w:val="0"/>
                <w:iCs w:val="0"/>
                <w:color w:val="auto"/>
                <w:sz w:val="24"/>
                <w:u w:val="none"/>
                <w:lang w:val="en-US" w:eastAsia="zh-CN" w:bidi="ar"/>
              </w:rPr>
              <w:t xml:space="preserve">02</w:t>
            </w:r>
            <w:r/>
          </w:p>
        </w:tc>
        <w:tc>
          <w:tcPr>
            <w:shd w:val="clear" w:color="auto" w:fill="auto"/>
            <w:tcW w:w="242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bidi="ar"/>
              </w:rPr>
              <w:t xml:space="preserve">多功能监护仪</w:t>
            </w:r>
            <w:r/>
          </w:p>
        </w:tc>
        <w:tc>
          <w:tcPr>
            <w:shd w:val="clear" w:color="auto" w:fill="auto"/>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eastAsia="zh-CN"/>
              </w:rPr>
              <w:t xml:space="preserve">台</w:t>
            </w:r>
            <w:r/>
          </w:p>
        </w:tc>
        <w:tc>
          <w:tcPr>
            <w:shd w:val="clear" w:color="auto" w:fill="auto"/>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u w:val="none"/>
                <w:lang w:val="en-US" w:eastAsia="zh-CN" w:bidi="ar-SA"/>
              </w:rPr>
              <w:suppressLineNumbers w:val="0"/>
            </w:pPr>
            <w:r>
              <w:rPr>
                <w:rFonts w:hint="eastAsia" w:ascii="仿宋" w:hAnsi="仿宋" w:eastAsia="仿宋" w:cs="宋体"/>
                <w:i w:val="0"/>
                <w:iCs w:val="0"/>
                <w:color w:val="auto"/>
                <w:sz w:val="24"/>
                <w:u w:val="none"/>
                <w:lang w:val="en-US" w:eastAsia="zh-CN" w:bidi="ar"/>
              </w:rPr>
              <w:t xml:space="preserve">3</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60万元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pStyle w:val="1042"/>
        <w:ind w:firstLine="482"/>
        <w:keepLines w:val="0"/>
        <w:keepNext w:val="0"/>
        <w:pageBreakBefore w:val="0"/>
        <w:widowControl w:val="off"/>
        <w:rPr>
          <w:rFonts w:ascii="仿宋" w:hAnsi="仿宋" w:eastAsia="仿宋"/>
          <w:i w:val="0"/>
          <w:iCs w:val="0"/>
          <w:color w:val="auto"/>
          <w:u w:val="none"/>
        </w:rPr>
      </w:pPr>
      <w:r/>
      <w:bookmarkStart w:id="160" w:name="_Toc196922471"/>
      <w:r>
        <w:rPr>
          <w:rFonts w:hint="eastAsia" w:ascii="仿宋" w:hAnsi="仿宋" w:eastAsia="仿宋"/>
          <w:i w:val="0"/>
          <w:iCs w:val="0"/>
          <w:color w:val="auto"/>
          <w:u w:val="none"/>
        </w:rPr>
        <w:t xml:space="preserve">二、技术要求</w:t>
      </w:r>
      <w:bookmarkEnd w:id="160"/>
      <w:r>
        <w:rPr>
          <w:rFonts w:hint="eastAsia" w:ascii="仿宋" w:hAnsi="仿宋" w:eastAsia="仿宋"/>
          <w:i w:val="0"/>
          <w:iCs w:val="0"/>
          <w:color w:val="auto"/>
          <w:u w:val="none"/>
        </w:rPr>
        <w:t xml:space="preserve">    </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bookmarkStart w:id="161" w:name="_Toc196922473"/>
      <w:r>
        <w:rPr>
          <w:rFonts w:hint="eastAsia" w:ascii="仿宋" w:hAnsi="仿宋" w:eastAsia="仿宋" w:cs="宋体"/>
          <w:b/>
          <w:i w:val="0"/>
          <w:iCs w:val="0"/>
          <w:color w:val="auto"/>
          <w:sz w:val="24"/>
          <w:szCs w:val="24"/>
          <w:u w:val="none"/>
          <w:lang w:val="en-US" w:eastAsia="zh-CN" w:bidi="ar-SA"/>
        </w:rPr>
        <w:t xml:space="preserve">品目一：</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 模块化插件式床边监护仪，主机、显示屏和插件槽一体化设计，主机模块插槽数≥6个。</w:t>
      </w:r>
      <w:r>
        <w:rPr>
          <w:rFonts w:hint="eastAsia" w:ascii="仿宋" w:hAnsi="仿宋" w:eastAsia="仿宋" w:cs="仿宋"/>
          <w:b/>
          <w:bCs w:val="0"/>
          <w:i w:val="0"/>
          <w:iCs w:val="0"/>
          <w:color w:val="auto"/>
          <w:sz w:val="24"/>
          <w:szCs w:val="24"/>
          <w:u w:val="none"/>
          <w:lang w:val="en-US" w:eastAsia="zh-CN"/>
        </w:rPr>
        <w:t xml:space="preserve">（提</w:t>
      </w:r>
      <w:r>
        <w:rPr>
          <w:rFonts w:hint="eastAsia" w:ascii="仿宋" w:hAnsi="仿宋" w:eastAsia="仿宋" w:cs="仿宋"/>
          <w:b/>
          <w:bCs w:val="0"/>
          <w:i w:val="0"/>
          <w:iCs w:val="0"/>
          <w:color w:val="auto"/>
          <w:sz w:val="24"/>
          <w:szCs w:val="24"/>
          <w:u w:val="none"/>
          <w:lang w:val="en-US" w:eastAsia="zh-CN" w:bidi="ar-SA"/>
        </w:rPr>
        <w:t xml:space="preserve">供说明书或彩页等证明</w:t>
      </w:r>
      <w:r>
        <w:rPr>
          <w:rFonts w:hint="eastAsia" w:ascii="仿宋" w:hAnsi="仿宋" w:eastAsia="仿宋" w:cs="仿宋"/>
          <w:b/>
          <w:bCs w:val="0"/>
          <w:i w:val="0"/>
          <w:iCs w:val="0"/>
          <w:color w:val="auto"/>
          <w:sz w:val="24"/>
          <w:szCs w:val="24"/>
          <w:u w:val="none"/>
          <w:lang w:val="en-US" w:eastAsia="zh-CN"/>
        </w:rPr>
        <w:t xml:space="preserve">材料）</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★2.2 ≥18英寸彩色电容触摸屏，高分辨率≥1920×1080像素，≥10通道显示，显示屏亮度自动调节，屏幕支持手势滑动操作，支持穿戴医用防护手套操作。</w:t>
      </w:r>
      <w:r>
        <w:rPr>
          <w:rFonts w:hint="eastAsia" w:ascii="仿宋" w:hAnsi="仿宋" w:eastAsia="仿宋" w:cs="仿宋"/>
          <w:b/>
          <w:bCs w:val="0"/>
          <w:i w:val="0"/>
          <w:iCs w:val="0"/>
          <w:color w:val="auto"/>
          <w:sz w:val="24"/>
          <w:szCs w:val="24"/>
          <w:u w:val="none"/>
          <w:lang w:val="en-US" w:eastAsia="zh-CN"/>
        </w:rPr>
        <w:t xml:space="preserve">（提</w:t>
      </w:r>
      <w:r>
        <w:rPr>
          <w:rFonts w:hint="eastAsia" w:ascii="仿宋" w:hAnsi="仿宋" w:eastAsia="仿宋" w:cs="仿宋"/>
          <w:b/>
          <w:bCs w:val="0"/>
          <w:i w:val="0"/>
          <w:iCs w:val="0"/>
          <w:color w:val="auto"/>
          <w:sz w:val="24"/>
          <w:szCs w:val="24"/>
          <w:u w:val="none"/>
          <w:lang w:val="en-US" w:eastAsia="zh-CN" w:bidi="ar-SA"/>
        </w:rPr>
        <w:t xml:space="preserve">供说明书或彩页等证明</w:t>
      </w:r>
      <w:r>
        <w:rPr>
          <w:rFonts w:hint="eastAsia" w:ascii="仿宋" w:hAnsi="仿宋" w:eastAsia="仿宋" w:cs="仿宋"/>
          <w:b/>
          <w:bCs w:val="0"/>
          <w:i w:val="0"/>
          <w:iCs w:val="0"/>
          <w:color w:val="auto"/>
          <w:sz w:val="24"/>
          <w:szCs w:val="24"/>
          <w:u w:val="none"/>
          <w:lang w:val="en-US" w:eastAsia="zh-CN"/>
        </w:rPr>
        <w:t xml:space="preserve">材料）</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2.3 配置≥4个USB接口，支持连接鼠标、键盘、条码扫描枪和遥控器等USB设备。</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2.4 基本功能模块支持心电，呼吸，心率，无创血压，血氧饱和度，脉搏。</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2.5 支持双通道体温和双通道有创血压的同时监测。</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2.6 支持室上性心动过速和SVCs/min等室上性心律失常分析。</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2.7 心电支持≥3个分析导联实时动态同步分析，并非多个导联波形同屏显示及12导联静息分析。</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2.8 支持升级与红外耳温计的配对使用，使用红外耳温计测量病人耳温后，将测量结果上传至本监护仪。</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2.9 支持RR呼吸率测量，测量范围：1～200rpm。</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2.10 NIBP 成人病人类型收缩压测量：25～290mmHg。</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2.11 无创血压提供手动、自动间隔、连续、序列、整点五种测量模式。</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2.12 可具备微创连续血流动力学监测模块，非无创电阻抗法，可采用PiCCO或类似技术，实现CCO连续心排量、SVV每搏变异量等血液动力学监测参数。</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2.13 标配基本功能模块（转运模块）支持升级从监护仪拔出后作为一个独立的监护仪支持病人的无缝转移，插入监护仪模块插槽作为主机模块，具有独立操作显示屏，屏幕尺寸≥5英寸。</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2.14转运模块可以实现插入监护仪主机的任意插槽。</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2.15 具备EtCO2监测模块、BIS模块、</w:t>
      </w:r>
      <w:r>
        <w:rPr>
          <w:rFonts w:hint="eastAsia" w:ascii="仿宋" w:hAnsi="仿宋" w:eastAsia="仿宋" w:cs="仿宋"/>
          <w:i w:val="0"/>
          <w:iCs w:val="0"/>
          <w:color w:val="auto"/>
          <w:sz w:val="24"/>
          <w:szCs w:val="24"/>
          <w:highlight w:val="none"/>
          <w:u w:val="none"/>
          <w:lang w:val="en-US" w:eastAsia="zh-CN"/>
        </w:rPr>
        <w:t xml:space="preserve">RM监测模块、PiCCO监测模块</w:t>
      </w:r>
      <w:r>
        <w:rPr>
          <w:rFonts w:hint="eastAsia" w:ascii="仿宋" w:hAnsi="仿宋" w:eastAsia="仿宋" w:cs="仿宋"/>
          <w:bCs/>
          <w:i w:val="0"/>
          <w:iCs w:val="0"/>
          <w:color w:val="auto"/>
          <w:sz w:val="24"/>
          <w:szCs w:val="24"/>
          <w:u w:val="none"/>
          <w:lang w:val="en-US" w:eastAsia="zh-CN"/>
        </w:rPr>
        <w:t xml:space="preserve">，模块可在同品牌监护仪中通用，可插入监护仪主机任意插槽。</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2.16 支持根据病人的参数趋势变化，自动推送推荐报警限。</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2.17 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Aldrete复苏评分，满足临床对病人复苏拔管的评估。</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eastAsia="zh-CN"/>
        </w:rPr>
      </w:pPr>
      <w:r>
        <w:rPr>
          <w:rFonts w:hint="eastAsia" w:ascii="仿宋" w:hAnsi="仿宋" w:eastAsia="仿宋" w:cs="仿宋"/>
          <w:bCs/>
          <w:i w:val="0"/>
          <w:iCs w:val="0"/>
          <w:color w:val="auto"/>
          <w:sz w:val="24"/>
          <w:szCs w:val="24"/>
          <w:u w:val="none"/>
          <w:lang w:val="en-US" w:eastAsia="zh-CN"/>
        </w:rPr>
        <w:t xml:space="preserve">2.18 具备</w:t>
      </w:r>
      <w:r>
        <w:rPr>
          <w:rFonts w:hint="eastAsia" w:ascii="仿宋" w:hAnsi="仿宋" w:eastAsia="仿宋" w:cs="仿宋"/>
          <w:bCs/>
          <w:i w:val="0"/>
          <w:iCs w:val="0"/>
          <w:color w:val="auto"/>
          <w:sz w:val="24"/>
          <w:szCs w:val="24"/>
          <w:u w:val="none"/>
        </w:rPr>
        <w:t xml:space="preserve">血流动力学软件工具，显示完整血流动力学参数，并以图形化界面显示病人心脏收缩力，外周血管阻力等状态，提供电子化血流动力学实验记录，重点参数蛛网图显示评估病人相关参数变化</w:t>
      </w:r>
      <w:r>
        <w:rPr>
          <w:rFonts w:hint="eastAsia" w:ascii="仿宋" w:hAnsi="仿宋" w:eastAsia="仿宋" w:cs="仿宋"/>
          <w:bCs/>
          <w:i w:val="0"/>
          <w:iCs w:val="0"/>
          <w:color w:val="auto"/>
          <w:sz w:val="24"/>
          <w:szCs w:val="24"/>
          <w:u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2.19 支持≥800条事件回顾，每条报警事件至少能够存储32秒三道相关波形，以及报警触发时所有测量参数值。</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i w:val="0"/>
          <w:iCs w:val="0"/>
          <w:color w:val="auto"/>
          <w:sz w:val="24"/>
          <w:szCs w:val="24"/>
          <w:u w:val="none"/>
          <w:lang w:val="en-US" w:eastAsia="zh-CN"/>
        </w:rPr>
        <w:t xml:space="preserve">2.20主要配置</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1、监护仪（含电池、双有创、双体温）                4台</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2、旁流CO2模块及连接管路和传感器                  4套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3、PICCO模块及连接导线和传感器                     1套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4、BIS模块及连接导线和传感器                       2套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5、转运监护仪                                      4套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6、RM模块及导线和传感器                            1套</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t xml:space="preserve">品目二：</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 模块化插件式床边监护仪，主机、显示屏和插件槽一体化设计，主机模块插槽数≥6个。</w:t>
      </w:r>
      <w:r>
        <w:rPr>
          <w:rFonts w:hint="eastAsia" w:ascii="仿宋" w:hAnsi="仿宋" w:eastAsia="仿宋" w:cs="仿宋"/>
          <w:b/>
          <w:bCs w:val="0"/>
          <w:i w:val="0"/>
          <w:iCs w:val="0"/>
          <w:color w:val="auto"/>
          <w:sz w:val="24"/>
          <w:szCs w:val="24"/>
          <w:u w:val="none"/>
          <w:lang w:val="en-US" w:eastAsia="zh-CN"/>
        </w:rPr>
        <w:t xml:space="preserve">（提</w:t>
      </w:r>
      <w:r>
        <w:rPr>
          <w:rFonts w:hint="eastAsia" w:ascii="仿宋" w:hAnsi="仿宋" w:eastAsia="仿宋" w:cs="仿宋"/>
          <w:b/>
          <w:bCs w:val="0"/>
          <w:i w:val="0"/>
          <w:iCs w:val="0"/>
          <w:color w:val="auto"/>
          <w:sz w:val="24"/>
          <w:szCs w:val="24"/>
          <w:u w:val="none"/>
          <w:lang w:val="en-US" w:eastAsia="zh-CN" w:bidi="ar-SA"/>
        </w:rPr>
        <w:t xml:space="preserve">供说明书或彩页等证明</w:t>
      </w:r>
      <w:r>
        <w:rPr>
          <w:rFonts w:hint="eastAsia" w:ascii="仿宋" w:hAnsi="仿宋" w:eastAsia="仿宋" w:cs="仿宋"/>
          <w:b/>
          <w:bCs w:val="0"/>
          <w:i w:val="0"/>
          <w:iCs w:val="0"/>
          <w:color w:val="auto"/>
          <w:sz w:val="24"/>
          <w:szCs w:val="24"/>
          <w:u w:val="none"/>
          <w:lang w:val="en-US" w:eastAsia="zh-CN"/>
        </w:rPr>
        <w:t xml:space="preserve">材料）</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★3.2 ≥15英寸彩色电容触摸屏，高分辨率≥1920×1080像素，≥10通道显示，显示屏亮度自动调节，屏幕支持手势滑动操作，支持穿戴医用防护手套操作。</w:t>
      </w:r>
      <w:r>
        <w:rPr>
          <w:rFonts w:hint="eastAsia" w:ascii="仿宋" w:hAnsi="仿宋" w:eastAsia="仿宋" w:cs="仿宋"/>
          <w:b/>
          <w:bCs w:val="0"/>
          <w:i w:val="0"/>
          <w:iCs w:val="0"/>
          <w:color w:val="auto"/>
          <w:sz w:val="24"/>
          <w:szCs w:val="24"/>
          <w:u w:val="none"/>
          <w:lang w:val="en-US" w:eastAsia="zh-CN"/>
        </w:rPr>
        <w:t xml:space="preserve">（提</w:t>
      </w:r>
      <w:r>
        <w:rPr>
          <w:rFonts w:hint="eastAsia" w:ascii="仿宋" w:hAnsi="仿宋" w:eastAsia="仿宋" w:cs="仿宋"/>
          <w:b/>
          <w:bCs w:val="0"/>
          <w:i w:val="0"/>
          <w:iCs w:val="0"/>
          <w:color w:val="auto"/>
          <w:sz w:val="24"/>
          <w:szCs w:val="24"/>
          <w:u w:val="none"/>
          <w:lang w:val="en-US" w:eastAsia="zh-CN" w:bidi="ar-SA"/>
        </w:rPr>
        <w:t xml:space="preserve">供说明书或彩页等证明</w:t>
      </w:r>
      <w:r>
        <w:rPr>
          <w:rFonts w:hint="eastAsia" w:ascii="仿宋" w:hAnsi="仿宋" w:eastAsia="仿宋" w:cs="仿宋"/>
          <w:b/>
          <w:bCs w:val="0"/>
          <w:i w:val="0"/>
          <w:iCs w:val="0"/>
          <w:color w:val="auto"/>
          <w:sz w:val="24"/>
          <w:szCs w:val="24"/>
          <w:u w:val="none"/>
          <w:lang w:val="en-US" w:eastAsia="zh-CN"/>
        </w:rPr>
        <w:t xml:space="preserve">材料）</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3.3 配置≥4个USB接口，支持连接鼠标、键盘、条码扫描枪和遥控器等USB设备。</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3.4 基本功能模块支持心电，呼吸，心率，无创血压，血氧饱和度，脉搏。</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3.5 支持双通道体温和双通道有创血压的同时监测。</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3.6 支持室上性心动过速和SVCs/min等室上性心律失常分析。</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3.7 心电支持≥3个分析导联实时动态同步分析，并非多个导联波形同屏显示及12导联静息分析。</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3.8 支持升级与红外耳温计的配对使用，使用红外耳温计测量病人耳温后，将测量结果上传至本监护仪。</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3.9 支持RR呼吸率测量，测量范围：1～200rpm。</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3.10 NIBP 成人病人类型收缩压测量：25～290mmHg。</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3.11 无创血压提供手动、自动间隔、连续、序列、整点五种测量模式。</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3.12 可具备微创连续血流动力学监测模块，非无创电阻抗法，可采用PiCCO或类似技术，实现CCO连续心排量、SVV每搏变异量等血液动力学监测参数。</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3.13 标配基本功能模块（转运模块）支持升级从监护仪拔出后作为一个独立的监护仪支持病人的无缝转移，插入监护仪模块插槽作为主机模块，具有独立操作显示屏，屏幕尺寸≥5英寸。</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
          <w:bCs w:val="0"/>
          <w:i w:val="0"/>
          <w:iCs w:val="0"/>
          <w:color w:val="auto"/>
          <w:sz w:val="24"/>
          <w:szCs w:val="24"/>
          <w:u w:val="none"/>
          <w:lang w:val="en-US" w:eastAsia="zh-CN"/>
        </w:rPr>
      </w:pPr>
      <w:r>
        <w:rPr>
          <w:rFonts w:hint="eastAsia" w:ascii="仿宋" w:hAnsi="仿宋" w:eastAsia="仿宋" w:cs="仿宋"/>
          <w:bCs/>
          <w:i w:val="0"/>
          <w:iCs w:val="0"/>
          <w:color w:val="auto"/>
          <w:sz w:val="24"/>
          <w:szCs w:val="24"/>
          <w:u w:val="none"/>
        </w:rPr>
        <w:t xml:space="preserve">▲</w:t>
      </w:r>
      <w:r>
        <w:rPr>
          <w:rFonts w:hint="eastAsia" w:ascii="仿宋" w:hAnsi="仿宋" w:eastAsia="仿宋" w:cs="仿宋"/>
          <w:bCs/>
          <w:i w:val="0"/>
          <w:iCs w:val="0"/>
          <w:color w:val="auto"/>
          <w:sz w:val="24"/>
          <w:szCs w:val="24"/>
          <w:u w:val="none"/>
          <w:lang w:val="en-US" w:eastAsia="zh-CN"/>
        </w:rPr>
        <w:t xml:space="preserve">3.14转运模块可以实现插入监护仪主机的任意插槽。</w:t>
      </w:r>
      <w:r>
        <w:rPr>
          <w:rFonts w:hint="eastAsia" w:ascii="仿宋" w:hAnsi="仿宋" w:eastAsia="仿宋" w:cs="仿宋"/>
          <w:b/>
          <w:bCs w:val="0"/>
          <w:i w:val="0"/>
          <w:iCs w:val="0"/>
          <w:color w:val="auto"/>
          <w:sz w:val="24"/>
          <w:szCs w:val="24"/>
          <w:u w:val="none"/>
          <w:lang w:val="en-US" w:eastAsia="zh-CN"/>
        </w:rPr>
        <w:t xml:space="preserve">（提供说明书或彩页等证明文件）</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3.15 具备EtCO2监测模块、BIS模块，模块可在同品牌监护仪中通用，可插入监护仪主机任意插槽。</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3.16 支持根据病人的参数趋势变化，自动推送推荐报警限。</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3.17 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Aldrete复苏评分，满足临床对病人复苏拔管的评估。</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eastAsia="zh-CN"/>
        </w:rPr>
      </w:pPr>
      <w:r>
        <w:rPr>
          <w:rFonts w:hint="eastAsia" w:ascii="仿宋" w:hAnsi="仿宋" w:eastAsia="仿宋" w:cs="仿宋"/>
          <w:bCs/>
          <w:i w:val="0"/>
          <w:iCs w:val="0"/>
          <w:color w:val="auto"/>
          <w:sz w:val="24"/>
          <w:szCs w:val="24"/>
          <w:u w:val="none"/>
          <w:lang w:val="en-US" w:eastAsia="zh-CN"/>
        </w:rPr>
        <w:t xml:space="preserve">3.18 具备</w:t>
      </w:r>
      <w:r>
        <w:rPr>
          <w:rFonts w:hint="eastAsia" w:ascii="仿宋" w:hAnsi="仿宋" w:eastAsia="仿宋" w:cs="仿宋"/>
          <w:bCs/>
          <w:i w:val="0"/>
          <w:iCs w:val="0"/>
          <w:color w:val="auto"/>
          <w:sz w:val="24"/>
          <w:szCs w:val="24"/>
          <w:u w:val="none"/>
        </w:rPr>
        <w:t xml:space="preserve">血流动力学软件工具，显示完整血流动力学参数，并以图形化界面显示病人心脏收缩力，外周血管阻力等状态，提供电子化血流动力学实验记录，重点参数蛛网图显示评估病人相关参数变化</w:t>
      </w:r>
      <w:r>
        <w:rPr>
          <w:rFonts w:hint="eastAsia" w:ascii="仿宋" w:hAnsi="仿宋" w:eastAsia="仿宋" w:cs="仿宋"/>
          <w:bCs/>
          <w:i w:val="0"/>
          <w:iCs w:val="0"/>
          <w:color w:val="auto"/>
          <w:sz w:val="24"/>
          <w:szCs w:val="24"/>
          <w:u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3.19 支持≥800条事件回顾，每条报警事件至少能够存储32秒三道相关波形，以及报警触发时所有测量参数值。</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i w:val="0"/>
          <w:iCs w:val="0"/>
          <w:color w:val="auto"/>
          <w:sz w:val="24"/>
          <w:szCs w:val="24"/>
          <w:u w:val="none"/>
          <w:lang w:val="en-US" w:eastAsia="zh-CN"/>
        </w:rPr>
        <w:t xml:space="preserve">3.20主要配置</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1、监护仪（含电池、双有创、双体温）              3台</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2、旁流CO2模块及连接管路和传感器                3套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3、BIS模块及连接导线和传感器                    3套</w:t>
      </w:r>
      <w:r/>
    </w:p>
    <w:p>
      <w:pPr>
        <w:ind w:firstLine="480"/>
        <w:keepLines w:val="0"/>
        <w:keepNext w:val="0"/>
        <w:pageBreakBefore w:val="0"/>
        <w:spacing w:line="400" w:lineRule="exact"/>
        <w:widowControl w:val="off"/>
        <w:rPr>
          <w:rFonts w:hint="eastAsia" w:ascii="仿宋" w:hAnsi="仿宋" w:eastAsia="仿宋" w:cs="仿宋"/>
          <w:b w:val="0"/>
          <w:bCs/>
          <w:i w:val="0"/>
          <w:iCs w:val="0"/>
          <w:color w:val="auto"/>
          <w:sz w:val="24"/>
          <w:szCs w:val="24"/>
          <w:u w:val="none"/>
          <w:lang w:val="en-US" w:eastAsia="zh-CN"/>
        </w:rPr>
      </w:pPr>
      <w:r>
        <w:rPr>
          <w:rFonts w:hint="eastAsia" w:ascii="仿宋" w:hAnsi="仿宋" w:eastAsia="仿宋" w:cs="仿宋"/>
          <w:b w:val="0"/>
          <w:bCs/>
          <w:i w:val="0"/>
          <w:iCs w:val="0"/>
          <w:color w:val="auto"/>
          <w:sz w:val="24"/>
          <w:szCs w:val="24"/>
          <w:u w:val="none"/>
          <w:lang w:val="en-US" w:eastAsia="zh-CN"/>
        </w:rPr>
        <w:t xml:space="preserve">4、转运监护仪                                    3套</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2.交货地点：根据采购人要求送达指定地点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3.付款方式：货物验收合格后，临床使用3个月内，采购人支付合同金额的90％，其余的10％尾款，货物验收合格满12个月后付清。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注:以上付款均不计任何利息和相关费用，付款一律通过银行结转。每次付款前乙方均需提交符合甲方要求的增值税发票。</w:t>
      </w:r>
      <w:r/>
    </w:p>
    <w:p>
      <w:pPr>
        <w:ind w:firstLine="480"/>
        <w:keepLines w:val="0"/>
        <w:keepNext w:val="0"/>
        <w:pageBreakBefore w:val="0"/>
        <w:spacing w:line="276" w:lineRule="auto"/>
        <w:widowControl w:val="off"/>
        <w:rPr>
          <w:rFonts w:ascii="仿宋" w:hAnsi="仿宋" w:eastAsia="仿宋"/>
          <w:b/>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提供免费保修期3年。</w:t>
      </w:r>
      <w:bookmarkStart w:id="162" w:name="OLE_LINK26"/>
      <w:r>
        <w:rPr>
          <w:rFonts w:hint="eastAsia" w:ascii="仿宋" w:hAnsi="仿宋" w:eastAsia="仿宋" w:cs="仿宋"/>
          <w:b w:val="0"/>
          <w:bCs/>
          <w:i w:val="0"/>
          <w:iCs w:val="0"/>
          <w:color w:val="auto"/>
          <w:sz w:val="24"/>
          <w:u w:val="none"/>
          <w:lang w:val="en-US" w:eastAsia="zh-CN"/>
        </w:rPr>
        <w:t xml:space="preserve">（</w:t>
      </w:r>
      <w:bookmarkEnd w:id="162"/>
      <w:r>
        <w:rPr>
          <w:rFonts w:hint="eastAsia" w:ascii="仿宋" w:hAnsi="仿宋" w:eastAsia="仿宋" w:cs="仿宋"/>
          <w:b/>
          <w:bCs/>
          <w:i w:val="0"/>
          <w:iCs w:val="0"/>
          <w:color w:val="auto"/>
          <w:sz w:val="24"/>
          <w:u w:val="none"/>
          <w:lang w:val="en-US" w:eastAsia="zh-CN"/>
        </w:rPr>
        <w:t xml:space="preserve">投标人提供承诺函，承诺内容须包含由原厂或其授权的售后服务机构提供质量保证及售后服务以保障医院未来的正常使用。承诺函加盖投标人公章</w:t>
      </w:r>
      <w:r>
        <w:rPr>
          <w:rFonts w:hint="eastAsia" w:ascii="仿宋" w:hAnsi="仿宋" w:eastAsia="仿宋" w:cs="仿宋"/>
          <w:b w:val="0"/>
          <w:bCs w:val="0"/>
          <w:i w:val="0"/>
          <w:iCs w:val="0"/>
          <w:color w:val="auto"/>
          <w:sz w:val="24"/>
          <w:u w:val="none"/>
          <w:lang w:val="en-US" w:eastAsia="zh-CN"/>
        </w:rPr>
        <w:t xml:space="preserve">）</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065"/>
        <w:ind w:firstLine="482"/>
        <w:keepLines w:val="0"/>
        <w:keepNext w:val="0"/>
        <w:pageBreakBefore w:val="0"/>
        <w:spacing w:line="276" w:lineRule="auto"/>
        <w:widowControl w:val="off"/>
        <w:rPr>
          <w:rFonts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注：上述商务需求1-6条为实质性要求，需在采购需求响应及偏离表中逐条响应具体内容，且不允许负偏离，否则视为无效投标。</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t xml:space="preserve">7</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投标人需具备丰富的所投产品设备承接经验，确保本项目的顺利实施，具有承担过与本项目类似的业绩合同。</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pPr>
      <w:r>
        <w:rPr>
          <w:rFonts w:ascii="仿宋" w:hAnsi="仿宋" w:eastAsia="仿宋"/>
          <w:i w:val="0"/>
          <w:iCs w:val="0"/>
          <w:color w:val="auto"/>
          <w:u w:val="none"/>
        </w:rPr>
        <w:t xml:space="preserve">8</w:t>
      </w:r>
      <w:r>
        <w:rPr>
          <w:rFonts w:hint="eastAsia" w:ascii="仿宋" w:hAnsi="仿宋" w:eastAsia="仿宋"/>
          <w:i w:val="0"/>
          <w:iCs w:val="0"/>
          <w:color w:val="auto"/>
          <w:u w:val="none"/>
        </w:rPr>
        <w:t xml:space="preserve">项目实施方案：投标人可根据本项目需求提供项目实施方案，方案至少包括设备供货时间进度计划及其进度保证措施、安装、调试、验收，方案的贯彻应能满足本项目需求。</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9</w:t>
      </w:r>
      <w:r>
        <w:rPr>
          <w:rFonts w:hint="eastAsia" w:ascii="仿宋" w:hAnsi="仿宋" w:eastAsia="仿宋"/>
          <w:i w:val="0"/>
          <w:iCs w:val="0"/>
          <w:color w:val="auto"/>
          <w:u w:val="none"/>
        </w:rPr>
        <w:t xml:space="preserve">.售后服务方案：投标人针对本项目提供售后服务方案，方案至少包括服务体系、服务响应时间，回访巡检方案、故障解决措施、技术人员保障、质保期满后备品配件价格、各服务网点地点及人员配置、维修网点设置地点及人员配置，方案的贯彻应能满足本项目需求。</w:t>
      </w:r>
      <w:r/>
    </w:p>
    <w:p>
      <w:pPr>
        <w:pStyle w:val="1027"/>
        <w:ind w:firstLine="480"/>
        <w:jc w:val="both"/>
        <w:keepLines w:val="0"/>
        <w:keepNext w:val="0"/>
        <w:pageBreakBefore w:val="0"/>
        <w:spacing w:line="276" w:lineRule="auto"/>
        <w:widowControl w:val="off"/>
        <w:rPr>
          <w:rFonts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t xml:space="preserve">1</w:t>
      </w:r>
      <w:r>
        <w:rPr>
          <w:rFonts w:hint="eastAsia" w:ascii="仿宋" w:hAnsi="仿宋" w:eastAsia="仿宋"/>
          <w:i w:val="0"/>
          <w:iCs w:val="0"/>
          <w:color w:val="auto"/>
          <w:u w:val="none"/>
          <w:lang w:val="en-US" w:eastAsia="zh-CN"/>
        </w:rPr>
        <w:t xml:space="preserve">0</w:t>
      </w:r>
      <w:r>
        <w:rPr>
          <w:rFonts w:hint="eastAsia" w:ascii="仿宋" w:hAnsi="仿宋" w:eastAsia="仿宋"/>
          <w:i w:val="0"/>
          <w:iCs w:val="0"/>
          <w:color w:val="auto"/>
          <w:u w:val="none"/>
        </w:rPr>
        <w:t xml:space="preserve">.应急保障方案：投标人针对本项目提供应急保障预案，方案至少包自然灾害等突发不可预见的紧急情况，方案的贯彻应能满足本项目需求。</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ascii="仿宋" w:hAnsi="仿宋" w:eastAsia="仿宋"/>
          <w:i w:val="0"/>
          <w:iCs w:val="0"/>
          <w:color w:val="auto"/>
          <w:u w:val="none"/>
        </w:rPr>
        <w:t xml:space="preserve">1</w:t>
      </w:r>
      <w:r>
        <w:rPr>
          <w:rFonts w:hint="eastAsia" w:ascii="仿宋" w:hAnsi="仿宋" w:eastAsia="仿宋"/>
          <w:i w:val="0"/>
          <w:iCs w:val="0"/>
          <w:color w:val="auto"/>
          <w:u w:val="none"/>
          <w:lang w:val="en-US" w:eastAsia="zh-CN"/>
        </w:rPr>
        <w:t xml:space="preserve">1</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项目培训方案：投标人针对本项目提供项目培训方案，方案至少包括培训的技术人员安排、培训频率、培训内容，方案的贯彻应能满足本项目需求。</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12</w:t>
      </w:r>
      <w:r>
        <w:rPr>
          <w:rFonts w:hint="eastAsia" w:ascii="仿宋" w:hAnsi="仿宋" w:eastAsia="仿宋"/>
          <w:i w:val="0"/>
          <w:iCs w:val="0"/>
          <w:color w:val="auto"/>
          <w:u w:val="none"/>
        </w:rPr>
        <w:t xml:space="preserve">、投标产品为节能产品的优先。</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lang w:val="en-US" w:eastAsia="zh-CN"/>
        </w:rPr>
        <w:t xml:space="preserve">13</w:t>
      </w:r>
      <w:r>
        <w:rPr>
          <w:rFonts w:hint="eastAsia" w:ascii="仿宋" w:hAnsi="仿宋" w:eastAsia="仿宋"/>
          <w:i w:val="0"/>
          <w:iCs w:val="0"/>
          <w:color w:val="auto"/>
          <w:u w:val="none"/>
        </w:rPr>
        <w:t xml:space="preserve">、投标产品为环境标志产品的优先。</w:t>
      </w:r>
      <w:r/>
    </w:p>
    <w:p>
      <w:pPr>
        <w:pStyle w:val="1027"/>
        <w:ind w:firstLine="480"/>
        <w:jc w:val="both"/>
        <w:keepLines w:val="0"/>
        <w:keepNext w:val="0"/>
        <w:pageBreakBefore w:val="0"/>
        <w:spacing w:line="276" w:lineRule="auto"/>
        <w:widowControl w:val="off"/>
        <w:rPr>
          <w:rFonts w:hint="eastAsia" w:ascii="仿宋" w:hAnsi="仿宋" w:eastAsia="仿宋"/>
          <w:i w:val="0"/>
          <w:iCs w:val="0"/>
          <w:color w:val="auto"/>
          <w:u w:val="none"/>
        </w:rPr>
        <w:framePr w:hSpace="180" w:wrap="around" w:vAnchor="text" w:hAnchor="text" w:y="1"/>
      </w:pPr>
      <w:r>
        <w:rPr>
          <w:rFonts w:hint="eastAsia" w:ascii="仿宋" w:hAnsi="仿宋" w:eastAsia="仿宋"/>
          <w:i w:val="0"/>
          <w:iCs w:val="0"/>
          <w:color w:val="auto"/>
          <w:u w:val="none"/>
        </w:rPr>
      </w:r>
      <w:r/>
    </w:p>
    <w:p>
      <w:pPr>
        <w:pStyle w:val="1042"/>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1"/>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多功能监护仪</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rPr>
        <w:t xml:space="preserve">2.1</w:t>
      </w: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ind w:firstLine="420"/>
        <w:spacing w:before="161" w:line="85" w:lineRule="atLeast"/>
        <w:rPr>
          <w:rFonts w:ascii="仿宋" w:hAnsi="仿宋" w:eastAsia="仿宋" w:cs="楷体"/>
          <w:i w:val="0"/>
          <w:iCs w:val="0"/>
          <w:color w:val="auto"/>
          <w:sz w:val="24"/>
          <w:u w:val="none"/>
        </w:rPr>
        <w:pBdr>
          <w:top w:val="none" w:color="000000" w:sz="0" w:space="0"/>
          <w:left w:val="none" w:color="000000" w:sz="0" w:space="0"/>
          <w:bottom w:val="none" w:color="000000" w:sz="0" w:space="0"/>
          <w:right w:val="none" w:color="000000" w:sz="0" w:space="0"/>
        </w:pBdr>
      </w:pPr>
      <w:r>
        <w:rPr>
          <w:rFonts w:ascii="仿宋" w:hAnsi="仿宋" w:eastAsia="仿宋" w:cs="楷体"/>
          <w:i w:val="0"/>
          <w:iCs w:val="0"/>
          <w:color w:val="auto"/>
          <w:sz w:val="24"/>
          <w:u w:val="none"/>
        </w:rPr>
        <w:t xml:space="preserve">2.2</w:t>
      </w:r>
      <w:r>
        <w:rPr>
          <w:rFonts w:hint="eastAsia" w:ascii="仿宋" w:hAnsi="仿宋" w:eastAsia="仿宋" w:cs="楷体"/>
          <w:i w:val="0"/>
          <w:iCs w:val="0"/>
          <w:color w:val="auto"/>
          <w:sz w:val="24"/>
          <w:u w:val="none"/>
        </w:rPr>
        <w:t xml:space="preserve">投标文件里对质保期在前后表述不一致时，评审时按最低的质保期计算。如因此导致废标的，投标人自行承担责任。</w:t>
      </w:r>
      <w:r/>
    </w:p>
    <w:p>
      <w:pPr>
        <w:widowControl/>
        <w:rPr>
          <w:rFonts w:cs="楷体" w:asciiTheme="minorEastAsia" w:hAnsiTheme="minorEastAsia" w:eastAsiaTheme="minorEastAsia"/>
          <w:b/>
          <w:i w:val="0"/>
          <w:iCs w:val="0"/>
          <w:color w:val="auto"/>
          <w:sz w:val="32"/>
          <w:szCs w:val="20"/>
          <w:u w:val="none"/>
        </w:rPr>
      </w:pPr>
      <w:r>
        <w:rPr>
          <w:rFonts w:cs="楷体" w:asciiTheme="minorEastAsia" w:hAnsiTheme="minorEastAsia" w:eastAsiaTheme="minorEastAsia"/>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63" w:name="_Toc196922474"/>
      <w:r>
        <w:rPr>
          <w:rFonts w:hint="eastAsia" w:ascii="仿宋" w:hAnsi="仿宋" w:eastAsia="仿宋" w:cs="宋体"/>
          <w:b/>
          <w:i w:val="0"/>
          <w:iCs w:val="0"/>
          <w:color w:val="auto"/>
          <w:sz w:val="32"/>
          <w:szCs w:val="32"/>
          <w:u w:val="none"/>
        </w:rPr>
        <w:t xml:space="preserve">第五章  评标方法与评标标准</w:t>
      </w:r>
      <w:bookmarkEnd w:id="163"/>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968"/>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065"/>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68"/>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4" w:name="_Toc196922476"/>
      <w:r>
        <w:rPr>
          <w:rFonts w:hint="eastAsia" w:ascii="仿宋" w:hAnsi="仿宋" w:eastAsia="仿宋"/>
          <w:b/>
          <w:i w:val="0"/>
          <w:iCs w:val="0"/>
          <w:color w:val="auto"/>
          <w:sz w:val="24"/>
          <w:u w:val="none"/>
        </w:rPr>
        <w:t xml:space="preserve">二、评标方法与评标标准</w:t>
      </w:r>
      <w:bookmarkEnd w:id="164"/>
      <w:r/>
      <w:r/>
    </w:p>
    <w:tbl>
      <w:tblPr>
        <w:tblStyle w:val="948"/>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2.评标基准价=评标总价中的最低总价。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pStyle w:val="1056"/>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采购需求&gt;中技术参数和要求的，得4</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rPr>
                <w:rFonts w:hint="eastAsia" w:eastAsia="仿宋"/>
                <w:i w:val="0"/>
                <w:iCs w:val="0"/>
                <w:color w:val="auto"/>
                <w:u w:val="none"/>
                <w:lang w:eastAsia="zh-CN"/>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“技术参数”</w:t>
            </w:r>
            <w:r>
              <w:rPr>
                <w:rFonts w:hint="eastAsia" w:ascii="仿宋" w:hAnsi="仿宋" w:eastAsia="仿宋" w:cs="宋体"/>
                <w:i w:val="0"/>
                <w:iCs w:val="0"/>
                <w:color w:val="auto"/>
                <w:sz w:val="24"/>
                <w:u w:val="none"/>
              </w:rPr>
              <w:t xml:space="preserve">带</w:t>
            </w:r>
            <w:r>
              <w:rPr>
                <w:rFonts w:hint="eastAsia" w:ascii="宋体" w:hAnsi="宋体" w:eastAsia="宋体" w:cs="宋体"/>
                <w:i w:val="0"/>
                <w:iCs w:val="0"/>
                <w:color w:val="auto"/>
                <w:spacing w:val="-4"/>
                <w:sz w:val="24"/>
                <w:u w:val="none"/>
              </w:rPr>
              <w:t xml:space="preserve">★</w:t>
            </w:r>
            <w:r>
              <w:rPr>
                <w:rFonts w:hint="eastAsia" w:ascii="仿宋" w:hAnsi="仿宋" w:eastAsia="仿宋" w:cs="宋体"/>
                <w:bCs/>
                <w:i w:val="0"/>
                <w:iCs w:val="0"/>
                <w:color w:val="auto"/>
                <w:sz w:val="24"/>
                <w:u w:val="none"/>
              </w:rPr>
              <w:t xml:space="preserve">的条款为</w:t>
            </w:r>
            <w:r>
              <w:rPr>
                <w:rFonts w:hint="eastAsia" w:ascii="仿宋" w:hAnsi="仿宋" w:eastAsia="仿宋" w:cs="宋体"/>
                <w:bCs/>
                <w:i w:val="0"/>
                <w:iCs w:val="0"/>
                <w:color w:val="auto"/>
                <w:sz w:val="24"/>
                <w:u w:val="none"/>
                <w:lang w:eastAsia="zh-CN"/>
              </w:rPr>
              <w:t xml:space="preserve">关键</w:t>
            </w:r>
            <w:r>
              <w:rPr>
                <w:rFonts w:hint="eastAsia" w:ascii="仿宋" w:hAnsi="仿宋" w:eastAsia="仿宋" w:cs="宋体"/>
                <w:bCs/>
                <w:i w:val="0"/>
                <w:iCs w:val="0"/>
                <w:color w:val="auto"/>
                <w:sz w:val="24"/>
                <w:u w:val="none"/>
              </w:rPr>
              <w:t xml:space="preserve">条款</w:t>
            </w:r>
            <w:r>
              <w:rPr>
                <w:rFonts w:hint="eastAsia" w:ascii="仿宋" w:hAnsi="仿宋" w:eastAsia="仿宋" w:cs="宋体"/>
                <w:bCs/>
                <w:i w:val="0"/>
                <w:iCs w:val="0"/>
                <w:color w:val="auto"/>
                <w:sz w:val="24"/>
                <w:u w:val="none"/>
                <w:lang w:eastAsia="zh-CN"/>
              </w:rPr>
              <w:t xml:space="preserve">，不允许负偏离。</w:t>
            </w:r>
            <w:r/>
          </w:p>
          <w:p>
            <w:pPr>
              <w:ind w:left="0" w:right="0"/>
              <w:keepLines w:val="0"/>
              <w:keepNext w:val="0"/>
              <w:spacing w:before="0" w:beforeAutospacing="0" w:after="0" w:afterAutospacing="0"/>
              <w:rPr>
                <w:rFonts w:hint="default" w:ascii="仿宋" w:hAnsi="仿宋" w:eastAsia="仿宋" w:cs="宋体"/>
                <w:i w:val="0"/>
                <w:iCs w:val="0"/>
                <w:color w:val="auto"/>
                <w:sz w:val="24"/>
                <w:u w:val="none"/>
              </w:rPr>
              <w:suppressLineNumbers w:val="0"/>
            </w:pPr>
            <w:r>
              <w:rPr>
                <w:rFonts w:hint="eastAsia" w:ascii="仿宋" w:hAnsi="仿宋" w:eastAsia="仿宋" w:cs="Calibri"/>
                <w:bCs/>
                <w:i w:val="0"/>
                <w:iCs w:val="0"/>
                <w:color w:val="auto"/>
                <w:sz w:val="24"/>
                <w:u w:val="none"/>
                <w:lang w:eastAsia="zh-CN"/>
              </w:rPr>
              <w:t xml:space="preserve">②</w:t>
            </w:r>
            <w:r>
              <w:rPr>
                <w:rFonts w:hint="eastAsia" w:ascii="仿宋" w:hAnsi="仿宋" w:eastAsia="仿宋" w:cs="宋体"/>
                <w:bCs/>
                <w:i w:val="0"/>
                <w:iCs w:val="0"/>
                <w:color w:val="auto"/>
                <w:sz w:val="24"/>
                <w:u w:val="none"/>
              </w:rPr>
              <w:t xml:space="preserve">“技术参数”</w:t>
            </w:r>
            <w:r>
              <w:rPr>
                <w:rFonts w:hint="eastAsia" w:ascii="仿宋" w:hAnsi="仿宋" w:eastAsia="仿宋" w:cs="宋体"/>
                <w:i w:val="0"/>
                <w:iCs w:val="0"/>
                <w:color w:val="auto"/>
                <w:sz w:val="24"/>
                <w:u w:val="none"/>
              </w:rPr>
              <w:t xml:space="preserve">带</w:t>
            </w:r>
            <w:r>
              <w:rPr>
                <w:rFonts w:hint="eastAsia" w:ascii="仿宋" w:hAnsi="仿宋" w:eastAsia="仿宋" w:cs="宋体"/>
                <w:i w:val="0"/>
                <w:iCs w:val="0"/>
                <w:color w:val="auto"/>
                <w:spacing w:val="-4"/>
                <w:sz w:val="24"/>
                <w:u w:val="none"/>
              </w:rPr>
              <w:t xml:space="preserve">▲</w:t>
            </w:r>
            <w:r>
              <w:rPr>
                <w:rFonts w:hint="eastAsia" w:ascii="仿宋" w:hAnsi="仿宋" w:eastAsia="仿宋" w:cs="宋体"/>
                <w:bCs/>
                <w:i w:val="0"/>
                <w:iCs w:val="0"/>
                <w:color w:val="auto"/>
                <w:sz w:val="24"/>
                <w:u w:val="none"/>
              </w:rPr>
              <w:t xml:space="preserve">的条款为重要条款（</w:t>
            </w: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条），每有一项不满足（负偏离）的扣</w:t>
            </w:r>
            <w:r>
              <w:rPr>
                <w:rFonts w:hint="eastAsia" w:ascii="仿宋" w:hAnsi="仿宋" w:eastAsia="仿宋" w:cs="宋体"/>
                <w:bCs/>
                <w:i w:val="0"/>
                <w:iCs w:val="0"/>
                <w:color w:val="auto"/>
                <w:sz w:val="24"/>
                <w:u w:val="none"/>
                <w:lang w:val="en-US" w:eastAsia="zh-CN"/>
              </w:rPr>
              <w:t xml:space="preserve">2.5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rPr>
                <w:rFonts w:hint="default" w:ascii="仿宋" w:hAnsi="仿宋" w:eastAsia="仿宋" w:cs="Calibri"/>
                <w:bCs/>
                <w:i w:val="0"/>
                <w:iCs w:val="0"/>
                <w:color w:val="auto"/>
                <w:sz w:val="24"/>
                <w:u w:val="none"/>
              </w:rPr>
              <w:suppressLineNumbers w:val="0"/>
            </w:pPr>
            <w:r>
              <w:rPr>
                <w:rFonts w:hint="eastAsia" w:ascii="仿宋" w:hAnsi="仿宋" w:eastAsia="仿宋" w:cs="Calibri"/>
                <w:bCs/>
                <w:i w:val="0"/>
                <w:iCs w:val="0"/>
                <w:color w:val="auto"/>
                <w:sz w:val="24"/>
                <w:u w:val="none"/>
                <w:lang w:eastAsia="zh-CN"/>
              </w:rPr>
              <w:t xml:space="preserve">③</w:t>
            </w:r>
            <w:r>
              <w:rPr>
                <w:rFonts w:hint="eastAsia" w:ascii="仿宋" w:hAnsi="仿宋" w:eastAsia="仿宋" w:cs="Calibri"/>
                <w:bCs/>
                <w:i w:val="0"/>
                <w:iCs w:val="0"/>
                <w:color w:val="auto"/>
                <w:sz w:val="24"/>
                <w:u w:val="none"/>
              </w:rPr>
              <w:t xml:space="preserve">“技术参数”中的其它条款（</w:t>
            </w:r>
            <w:r>
              <w:rPr>
                <w:rFonts w:hint="eastAsia" w:ascii="仿宋" w:hAnsi="仿宋" w:eastAsia="仿宋" w:cs="Calibri"/>
                <w:bCs/>
                <w:i w:val="0"/>
                <w:iCs w:val="0"/>
                <w:color w:val="auto"/>
                <w:sz w:val="24"/>
                <w:u w:val="none"/>
                <w:lang w:val="en-US" w:eastAsia="zh-CN"/>
              </w:rPr>
              <w:t xml:space="preserve">28</w:t>
            </w:r>
            <w:r>
              <w:rPr>
                <w:rFonts w:hint="eastAsia" w:ascii="仿宋" w:hAnsi="仿宋" w:eastAsia="仿宋" w:cs="Calibri"/>
                <w:bCs/>
                <w:i w:val="0"/>
                <w:iCs w:val="0"/>
                <w:color w:val="auto"/>
                <w:sz w:val="24"/>
                <w:u w:val="none"/>
              </w:rPr>
              <w:t xml:space="preserve">条），每有一项不满足（负偏离）的扣</w:t>
            </w:r>
            <w:r>
              <w:rPr>
                <w:rFonts w:hint="eastAsia" w:ascii="仿宋" w:hAnsi="仿宋" w:eastAsia="仿宋" w:cs="Calibri"/>
                <w:bCs/>
                <w:i w:val="0"/>
                <w:iCs w:val="0"/>
                <w:color w:val="auto"/>
                <w:sz w:val="24"/>
                <w:u w:val="none"/>
                <w:lang w:val="en-US" w:eastAsia="zh-CN"/>
              </w:rPr>
              <w:t xml:space="preserve">1</w:t>
            </w:r>
            <w:r>
              <w:rPr>
                <w:rFonts w:hint="eastAsia" w:ascii="仿宋" w:hAnsi="仿宋" w:eastAsia="仿宋" w:cs="Calibri"/>
                <w:bCs/>
                <w:i w:val="0"/>
                <w:iCs w:val="0"/>
                <w:color w:val="auto"/>
                <w:sz w:val="24"/>
                <w:u w:val="none"/>
              </w:rPr>
              <w:t xml:space="preserve">分，扣完为止。</w:t>
            </w:r>
            <w:r/>
          </w:p>
          <w:p>
            <w:pPr>
              <w:pStyle w:val="1056"/>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pStyle w:val="1056"/>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（1）以上“技术参数”响应情况均须在投标文件《技术参数响应偏离表》中逐条表述清楚，如表述不清，则按不满足（负偏离）处理。</w:t>
            </w:r>
            <w:r/>
          </w:p>
          <w:p>
            <w:pPr>
              <w:pStyle w:val="1056"/>
              <w:numPr>
                <w:ilvl w:val="0"/>
                <w:numId w:val="5"/>
              </w:numPr>
              <w:ind w:left="0" w:right="0"/>
              <w:keepLines w:val="0"/>
              <w:keepNext w:val="0"/>
              <w:spacing w:before="0" w:beforeAutospacing="0" w:after="0" w:afterAutospacing="0" w:line="240" w:lineRule="auto"/>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“技术参数”中带</w:t>
            </w:r>
            <w:r>
              <w:rPr>
                <w:rFonts w:hint="eastAsia" w:ascii="宋体" w:hAnsi="宋体" w:eastAsia="宋体" w:cs="宋体"/>
                <w:bCs/>
                <w:i w:val="0"/>
                <w:iCs w:val="0"/>
                <w:color w:val="auto"/>
                <w:sz w:val="24"/>
                <w:u w:val="none"/>
              </w:rPr>
              <w:t xml:space="preserve">★</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的条款，需提供技术证明材料，证明材料包括但不限于公开发行的产品彩页（需加盖投标人公章）、产品说明书（需加盖投标人公章）或第三方检测机构出具的检测报告、加盖制造商公章的产品说明等，未提供或提供的不符合要求的，视为负偏离。</w:t>
            </w:r>
            <w:r>
              <w:rPr>
                <w:rFonts w:hint="eastAsia" w:ascii="仿宋" w:hAnsi="仿宋" w:eastAsia="仿宋" w:cs="宋体"/>
                <w:bCs/>
                <w:i w:val="0"/>
                <w:iCs w:val="0"/>
                <w:color w:val="auto"/>
                <w:sz w:val="24"/>
                <w:u w:val="none"/>
                <w:lang w:val="en-US" w:eastAsia="zh-CN"/>
              </w:rPr>
              <w:t xml:space="preserve">如采购需求技术要求中对证明材料有具体要求，则以具体要求为准。</w:t>
            </w:r>
            <w:r/>
          </w:p>
          <w:p>
            <w:pPr>
              <w:pStyle w:val="1056"/>
              <w:ind w:left="0" w:right="0"/>
              <w:keepLines w:val="0"/>
              <w:keepNext w:val="0"/>
              <w:spacing w:before="0" w:beforeAutospacing="0" w:after="0" w:afterAutospacing="0" w:line="240" w:lineRule="auto"/>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rPr>
              <w:t xml:space="preserve">（3）《技术参数响应偏离表》中的内容须是投标人投标产品的真实反映，投标人在投标时不得虚假响应和虚假承诺。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43</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履约能力</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年1月1日（含）以来(以合同签订时间为准)，承担过与本项目所投产品同类产品的业绩合同，每提供一个得1分，本项最高得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44"/>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项目实施方案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根据投标人提供的项目实施方案进行评分，方案至少包括设备供货时间进度计划及其进度保证措施、安装、调试、验收，方案优于本项目需求的得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售后服务方案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售后服务方案优于本项目需求的得5分；售后服务方案满足本项目需求的得3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5分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应急保障方案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根据投标人提供的针对本项目的应急保障预案进行评分，方案至少包自然灾害等突发不可预见的紧急情况，应急保障方案优于本项目需求的得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项目培训方案</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根据投标人提供的项目培训方案进行评分，方案至少包括培训的技术人员安排、培训频率、培训内容，培训方案优于本项目需求的得</w:t>
            </w: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分；方案满足本项目需求的得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分；方案不满足或不提供不得分。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default" w:ascii="仿宋" w:hAnsi="仿宋" w:eastAsia="仿宋" w:cs="宋体"/>
                <w:bCs/>
                <w:i w:val="0"/>
                <w:iCs w:val="0"/>
                <w:color w:val="auto"/>
                <w:sz w:val="24"/>
                <w:u w:val="none"/>
              </w:rPr>
              <w:t xml:space="preserve">供应商提供的方案能全部响应要求，提出更为细致、有针对性、切实可行、要求之外且和本项目实施相关的内容的，可视为优于；方案能响应要求的可视为满足；方案对于要求的响应不完全或者</w:t>
            </w:r>
            <w:r>
              <w:rPr>
                <w:rFonts w:hint="eastAsia" w:ascii="仿宋" w:hAnsi="仿宋" w:eastAsia="仿宋" w:cs="宋体"/>
                <w:bCs/>
                <w:i w:val="0"/>
                <w:iCs w:val="0"/>
                <w:color w:val="auto"/>
                <w:sz w:val="24"/>
                <w:u w:val="none"/>
                <w:lang w:val="en-US" w:eastAsia="zh-CN"/>
              </w:rPr>
              <w:t xml:space="preserve">负</w:t>
            </w:r>
            <w:r>
              <w:rPr>
                <w:rFonts w:hint="default" w:ascii="仿宋" w:hAnsi="仿宋" w:eastAsia="仿宋" w:cs="宋体"/>
                <w:bCs/>
                <w:i w:val="0"/>
                <w:iCs w:val="0"/>
                <w:color w:val="auto"/>
                <w:sz w:val="24"/>
                <w:u w:val="none"/>
              </w:rPr>
              <w:t xml:space="preserve">偏离要求的，视为不满足。具体由评审委员会评审。</w:t>
            </w:r>
            <w:r/>
          </w:p>
        </w:tc>
        <w:tc>
          <w:tcPr>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5</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国家政策导向</w:t>
            </w:r>
            <w:r/>
          </w:p>
        </w:tc>
        <w:tc>
          <w:tcPr>
            <w:tcW w:w="7115"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1、</w:t>
            </w:r>
            <w:r>
              <w:rPr>
                <w:rFonts w:hint="eastAsia" w:ascii="仿宋" w:hAnsi="仿宋" w:eastAsia="仿宋" w:cs="仿宋"/>
                <w:i w:val="0"/>
                <w:iCs w:val="0"/>
                <w:color w:val="auto"/>
                <w:sz w:val="24"/>
                <w:szCs w:val="24"/>
                <w:u w:val="none"/>
                <w:lang w:val="en-US" w:eastAsia="zh-CN" w:bidi="ar"/>
              </w:rPr>
              <w:t xml:space="preserve">投标产品属于财政部、国家发展改革委公布的“节能产品品目清单”范围内的，供应商提供国家确定的认证机构出具的、处于有效期之内的该节能产品认证证书</w:t>
            </w:r>
            <w:r>
              <w:rPr>
                <w:rFonts w:hint="eastAsia" w:ascii="仿宋" w:hAnsi="仿宋" w:eastAsia="仿宋" w:cs="仿宋"/>
                <w:bCs/>
                <w:i w:val="0"/>
                <w:iCs w:val="0"/>
                <w:color w:val="auto"/>
                <w:sz w:val="24"/>
                <w:szCs w:val="24"/>
                <w:u w:val="none"/>
                <w:lang w:val="en-US" w:eastAsia="zh-CN" w:bidi="ar"/>
              </w:rPr>
              <w:t xml:space="preserve">扫描件的</w:t>
            </w:r>
            <w:r>
              <w:rPr>
                <w:rFonts w:hint="eastAsia" w:ascii="仿宋" w:hAnsi="仿宋" w:eastAsia="仿宋" w:cs="仿宋"/>
                <w:i w:val="0"/>
                <w:iCs w:val="0"/>
                <w:color w:val="auto"/>
                <w:sz w:val="24"/>
                <w:szCs w:val="24"/>
                <w:u w:val="none"/>
                <w:lang w:val="en-US" w:eastAsia="zh-CN" w:bidi="ar"/>
              </w:rPr>
              <w:t xml:space="preserve">，有1个得0.5分，最多得1分。如投标产品均属于政府强制采购节能产品品目清单范围内，本项不得分。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2、</w:t>
            </w:r>
            <w:r>
              <w:rPr>
                <w:rFonts w:hint="eastAsia" w:ascii="仿宋" w:hAnsi="仿宋" w:eastAsia="仿宋" w:cs="仿宋"/>
                <w:i w:val="0"/>
                <w:iCs w:val="0"/>
                <w:color w:val="auto"/>
                <w:sz w:val="24"/>
                <w:szCs w:val="24"/>
                <w:u w:val="none"/>
                <w:lang w:val="en-US" w:eastAsia="zh-CN" w:bidi="ar"/>
              </w:rPr>
              <w:t xml:space="preserve">投标产品属于财政部、生态环境部公布的“环境标志产品品目清单”范围内的，供应商提供国家确定的认证机构出具的、处于有效期内的该环保产品认证证书</w:t>
            </w:r>
            <w:r>
              <w:rPr>
                <w:rFonts w:hint="eastAsia" w:ascii="仿宋" w:hAnsi="仿宋" w:eastAsia="仿宋" w:cs="仿宋"/>
                <w:bCs/>
                <w:i w:val="0"/>
                <w:iCs w:val="0"/>
                <w:color w:val="auto"/>
                <w:sz w:val="24"/>
                <w:szCs w:val="24"/>
                <w:u w:val="none"/>
                <w:lang w:val="en-US" w:eastAsia="zh-CN" w:bidi="ar"/>
              </w:rPr>
              <w:t xml:space="preserve">扫描件的</w:t>
            </w:r>
            <w:r>
              <w:rPr>
                <w:rFonts w:hint="eastAsia" w:ascii="仿宋" w:hAnsi="仿宋" w:eastAsia="仿宋" w:cs="仿宋"/>
                <w:i w:val="0"/>
                <w:iCs w:val="0"/>
                <w:color w:val="auto"/>
                <w:sz w:val="24"/>
                <w:szCs w:val="24"/>
                <w:u w:val="none"/>
                <w:lang w:val="en-US" w:eastAsia="zh-CN" w:bidi="ar"/>
              </w:rPr>
              <w:t xml:space="preserve">，有1个得0.5分，最多得1分。</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w:t>
            </w:r>
            <w:r/>
          </w:p>
        </w:tc>
      </w:tr>
    </w:tbl>
    <w:p>
      <w:pPr>
        <w:rPr>
          <w:i w:val="0"/>
          <w:iCs w:val="0"/>
          <w:color w:val="auto"/>
          <w:u w:val="none"/>
        </w:rPr>
      </w:pPr>
      <w:r>
        <w:rPr>
          <w:i w:val="0"/>
          <w:iCs w:val="0"/>
          <w:color w:val="auto"/>
          <w:u w:val="none"/>
        </w:rPr>
      </w:r>
      <w:r/>
    </w:p>
    <w:p>
      <w:pPr>
        <w:ind w:firstLine="482"/>
        <w:jc w:val="left"/>
        <w:spacing w:line="276" w:lineRule="auto"/>
        <w:rPr>
          <w:rFonts w:ascii="仿宋" w:hAnsi="仿宋" w:eastAsia="仿宋"/>
          <w:b/>
          <w:i w:val="0"/>
          <w:iCs w:val="0"/>
          <w:color w:val="auto"/>
          <w:sz w:val="24"/>
          <w:u w:val="none"/>
        </w:rPr>
        <w:outlineLvl w:val="1"/>
      </w:pPr>
      <w:r/>
      <w:bookmarkStart w:id="165" w:name="_Toc196922477"/>
      <w:r>
        <w:rPr>
          <w:rFonts w:hint="eastAsia" w:ascii="仿宋" w:hAnsi="仿宋" w:eastAsia="仿宋"/>
          <w:b/>
          <w:i w:val="0"/>
          <w:iCs w:val="0"/>
          <w:color w:val="auto"/>
          <w:sz w:val="24"/>
          <w:u w:val="none"/>
        </w:rPr>
        <w:t xml:space="preserve">三、符合性审查内容</w:t>
      </w:r>
      <w:bookmarkEnd w:id="165"/>
      <w:r/>
      <w:r/>
    </w:p>
    <w:p>
      <w:pPr>
        <w:pStyle w:val="1030"/>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1030"/>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投标文件没有重大负偏离，所谓重大负偏离是指投标人所投标的范围、质量、数量、付款方式、质保期和交货期限、合同文本等明显不能满足招标文件的要求。重大负偏离的认定须经评标委员会三分之二以上同意商务要求不接受任何一项的负偏离或者不满足，允许正偏离；</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6" w:name="_Toc196922478"/>
      <w:r>
        <w:rPr>
          <w:rFonts w:hint="eastAsia" w:ascii="仿宋" w:hAnsi="仿宋" w:eastAsia="仿宋" w:cs="宋体"/>
          <w:b/>
          <w:i w:val="0"/>
          <w:iCs w:val="0"/>
          <w:color w:val="auto"/>
          <w:sz w:val="72"/>
          <w:szCs w:val="72"/>
          <w:u w:val="none"/>
        </w:rPr>
        <w:t xml:space="preserve">投 标 文 件</w:t>
      </w:r>
      <w:bookmarkEnd w:id="166"/>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972"/>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多功能监护仪</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JSZC-320903-SOHO-G2026-0041</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1802-264107371WWF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7" w:name="_Toc196922479"/>
      <w:r>
        <w:rPr>
          <w:rFonts w:hint="eastAsia" w:ascii="仿宋" w:hAnsi="仿宋" w:eastAsia="仿宋"/>
          <w:b/>
          <w:bCs/>
          <w:i w:val="0"/>
          <w:iCs w:val="0"/>
          <w:color w:val="auto"/>
          <w:sz w:val="32"/>
          <w:szCs w:val="32"/>
          <w:u w:val="none"/>
        </w:rPr>
        <w:t xml:space="preserve">投标文件目录</w:t>
      </w:r>
      <w:bookmarkEnd w:id="167"/>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九、小微企业声明函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8"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8"/>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9"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9"/>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资产负债表和利润表）或由会计师事务所出具的近两年中任意一个年度的审计报告和所附已审财务报告扫描件或投标截止时间前六个月内银行出具的资信证明；</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0"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70"/>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1"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1"/>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JSZC-320903-SOHO-G2026-0041</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1802-264107371WWF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多功能监护仪</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2"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2"/>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val="0"/>
          <w:bCs/>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3" w:name="_Toc196922485"/>
      <w:r>
        <w:rPr>
          <w:rFonts w:hint="eastAsia" w:ascii="仿宋" w:hAnsi="仿宋" w:eastAsia="仿宋" w:cs="宋体"/>
          <w:b/>
          <w:i w:val="0"/>
          <w:iCs w:val="0"/>
          <w:color w:val="auto"/>
          <w:sz w:val="28"/>
          <w:szCs w:val="28"/>
          <w:u w:val="none"/>
        </w:rPr>
        <w:t xml:space="preserve">六、本项目特定资格要求的证明文件</w:t>
      </w:r>
      <w:bookmarkEnd w:id="173"/>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4" w:name="_Toc196922486"/>
      <w:r>
        <w:rPr>
          <w:rFonts w:hint="eastAsia" w:ascii="仿宋" w:hAnsi="仿宋" w:eastAsia="仿宋" w:cs="宋体"/>
          <w:i w:val="0"/>
          <w:iCs w:val="0"/>
          <w:color w:val="auto"/>
          <w:sz w:val="32"/>
          <w:szCs w:val="32"/>
          <w:u w:val="none"/>
        </w:rPr>
        <w:t xml:space="preserve">七（1）</w:t>
      </w:r>
      <w:bookmarkEnd w:id="174"/>
      <w:r>
        <w:rPr>
          <w:rFonts w:hint="eastAsia" w:ascii="仿宋" w:hAnsi="仿宋" w:eastAsia="仿宋" w:cs="宋体"/>
          <w:i w:val="0"/>
          <w:iCs w:val="0"/>
          <w:color w:val="auto"/>
          <w:sz w:val="32"/>
          <w:szCs w:val="32"/>
          <w:u w:val="none"/>
        </w:rPr>
        <w:t xml:space="preserve">法定代表人身份证明</w:t>
      </w:r>
      <w:r/>
    </w:p>
    <w:p>
      <w:pPr>
        <w:pStyle w:val="95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53"/>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5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53"/>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53"/>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53"/>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53"/>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53"/>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53"/>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53"/>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5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53"/>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53"/>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53"/>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4"/>
          <w:u w:val="none"/>
        </w:rPr>
        <w:t xml:space="preserve">（公章）</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4"/>
          <w:u w:val="none"/>
        </w:rPr>
        <w:t xml:space="preserve">（签字或盖章）</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4"/>
          <w:u w:val="none"/>
        </w:rPr>
        <w:t xml:space="preserve">（签字）</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4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4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3"/>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67"/>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2.若投标文件中签字之处均为法定代表人本人签署，则可不提供本《授权委托书》，但须提供《法定代表人身份证明》。</w:t>
      </w:r>
      <w:r/>
    </w:p>
    <w:p>
      <w:pPr>
        <w:pStyle w:val="967"/>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5" w:name="_Toc196922487"/>
      <w:r>
        <w:rPr>
          <w:rFonts w:hint="eastAsia" w:ascii="仿宋" w:hAnsi="仿宋" w:eastAsia="仿宋" w:cs="宋体"/>
          <w:i w:val="0"/>
          <w:iCs w:val="0"/>
          <w:color w:val="auto"/>
          <w:sz w:val="32"/>
          <w:szCs w:val="32"/>
          <w:u w:val="none"/>
        </w:rPr>
        <w:t xml:space="preserve">八、投标函</w:t>
      </w:r>
      <w:bookmarkEnd w:id="175"/>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JSZC-320903-SOHO-G2026-0041</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1802-264107371WWF</w:t>
      </w:r>
      <w:r>
        <w:rPr>
          <w:rFonts w:hint="eastAsia" w:ascii="仿宋" w:hAnsi="仿宋" w:eastAsia="仿宋"/>
          <w:i w:val="0"/>
          <w:iCs w:val="0"/>
          <w:color w:val="auto"/>
          <w:sz w:val="24"/>
          <w:szCs w:val="21"/>
          <w:u w:val="none"/>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据此函，__________签字人兹宣布同意如下：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2.我们完全理解贵方不一定将合同授予最低报价的投标人。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6"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6"/>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（加盖CA电子公章）</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7" w:name="_Toc196922489"/>
      <w:r>
        <w:rPr>
          <w:rFonts w:hint="eastAsia" w:ascii="仿宋" w:hAnsi="仿宋" w:eastAsia="仿宋" w:cs="宋体"/>
          <w:i w:val="0"/>
          <w:iCs w:val="0"/>
          <w:color w:val="auto"/>
          <w:sz w:val="32"/>
          <w:szCs w:val="32"/>
          <w:u w:val="none"/>
        </w:rPr>
        <w:t xml:space="preserve">残疾人福利性单位声明函（如适用）</w:t>
      </w:r>
      <w:bookmarkEnd w:id="177"/>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（加盖CA电子公章）</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0"/>
      <w:r>
        <w:rPr>
          <w:rFonts w:hint="eastAsia" w:ascii="仿宋" w:hAnsi="仿宋" w:eastAsia="仿宋" w:cs="宋体"/>
          <w:i w:val="0"/>
          <w:iCs w:val="0"/>
          <w:color w:val="auto"/>
          <w:sz w:val="32"/>
          <w:szCs w:val="32"/>
          <w:u w:val="none"/>
        </w:rPr>
        <w:t xml:space="preserve">投标分项报价表</w:t>
      </w:r>
      <w:bookmarkEnd w:id="178"/>
      <w:r/>
      <w:r/>
    </w:p>
    <w:tbl>
      <w:tblPr>
        <w:tblStyle w:val="948"/>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交付期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968"/>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ascii="仿宋" w:hAnsi="仿宋" w:eastAsia="仿宋"/>
          <w:i w:val="0"/>
          <w:iCs w:val="0"/>
          <w:color w:val="auto"/>
          <w:sz w:val="24"/>
          <w:u w:val="none"/>
        </w:rPr>
      </w:pPr>
      <w:r>
        <w:rPr>
          <w:rFonts w:hint="eastAsia" w:ascii="仿宋" w:hAnsi="仿宋" w:eastAsia="仿宋"/>
          <w:i w:val="0"/>
          <w:iCs w:val="0"/>
          <w:color w:val="auto"/>
          <w:sz w:val="24"/>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1"/>
      <w:r>
        <w:rPr>
          <w:rFonts w:hint="eastAsia" w:ascii="仿宋" w:hAnsi="仿宋" w:eastAsia="仿宋" w:cs="宋体"/>
          <w:i w:val="0"/>
          <w:iCs w:val="0"/>
          <w:color w:val="auto"/>
          <w:sz w:val="32"/>
          <w:szCs w:val="32"/>
          <w:u w:val="none"/>
        </w:rPr>
        <w:t xml:space="preserve">配置清单</w:t>
      </w:r>
      <w:bookmarkEnd w:id="179"/>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2"/>
      <w:r>
        <w:rPr>
          <w:rFonts w:hint="eastAsia" w:ascii="仿宋" w:hAnsi="仿宋" w:eastAsia="仿宋" w:cs="宋体"/>
          <w:i w:val="0"/>
          <w:iCs w:val="0"/>
          <w:color w:val="auto"/>
          <w:sz w:val="32"/>
          <w:szCs w:val="32"/>
          <w:u w:val="none"/>
        </w:rPr>
        <w:t xml:space="preserve">主要配件、易损易耗件报价明细表</w:t>
      </w:r>
      <w:bookmarkEnd w:id="180"/>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48"/>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1"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1"/>
      <w:r/>
      <w:r/>
    </w:p>
    <w:tbl>
      <w:tblPr>
        <w:tblStyle w:val="94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7"/>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1.投标人需对招标文件技术要求中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7"/>
        </w:numPr>
        <w:spacing w:line="276" w:lineRule="auto"/>
        <w:rPr>
          <w:rFonts w:hint="eastAsia" w:ascii="仿宋" w:hAnsi="仿宋" w:eastAsia="仿宋" w:cs="宋体"/>
          <w:b/>
          <w:bCs/>
          <w:i w:val="0"/>
          <w:iCs w:val="0"/>
          <w:color w:val="auto"/>
          <w:szCs w:val="21"/>
          <w:u w:val="none"/>
          <w:lang w:val="en-US"/>
        </w:rPr>
      </w:pPr>
      <w:r>
        <w:rPr>
          <w:rFonts w:hint="eastAsia" w:ascii="仿宋" w:hAnsi="仿宋" w:eastAsia="仿宋" w:cs="宋体"/>
          <w:b/>
          <w:bCs/>
          <w:i w:val="0"/>
          <w:iCs w:val="0"/>
          <w:color w:val="auto"/>
          <w:szCs w:val="21"/>
          <w:u w:val="none"/>
          <w:lang w:val="en-US" w:eastAsia="zh-CN"/>
        </w:rPr>
        <w:t xml:space="preserve">投标人需对招标文件技术要求中加▲号条款提供佐证材料。</w:t>
      </w:r>
      <w:r/>
    </w:p>
    <w:p>
      <w:pPr>
        <w:numPr>
          <w:ilvl w:val="0"/>
          <w:numId w:val="7"/>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cs="宋体"/>
          <w:i w:val="0"/>
          <w:iCs w:val="0"/>
          <w:color w:val="auto"/>
          <w:sz w:val="32"/>
          <w:szCs w:val="32"/>
          <w:u w:val="none"/>
        </w:rPr>
      </w:pPr>
      <w:r/>
      <w:bookmarkStart w:id="182" w:name="_Hlt26955054"/>
      <w:r/>
      <w:bookmarkEnd w:id="182"/>
      <w:r>
        <w:rPr>
          <w:rFonts w:hint="eastAsia" w:ascii="仿宋" w:hAnsi="仿宋" w:eastAsia="仿宋" w:cs="宋体"/>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3"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3"/>
      <w:r/>
      <w:r/>
    </w:p>
    <w:tbl>
      <w:tblPr>
        <w:tblStyle w:val="94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i w:val="0"/>
          <w:iCs w:val="0"/>
          <w:color w:val="auto"/>
          <w:sz w:val="30"/>
          <w:szCs w:val="21"/>
          <w:u w:val="none"/>
        </w:rPr>
      </w:pPr>
      <w:r>
        <w:rPr>
          <w:rFonts w:ascii="仿宋" w:hAnsi="仿宋" w:eastAsia="仿宋"/>
          <w:i w:val="0"/>
          <w:iCs w:val="0"/>
          <w:color w:val="auto"/>
          <w:sz w:val="30"/>
          <w:szCs w:val="21"/>
          <w:u w:val="none"/>
        </w:rPr>
      </w:r>
      <w:r/>
    </w:p>
    <w:p>
      <w:pPr>
        <w:jc w:val="left"/>
        <w:spacing w:line="276" w:lineRule="auto"/>
        <w:widowControl/>
        <w:rPr>
          <w:rFonts w:ascii="仿宋" w:hAnsi="仿宋" w:eastAsia="仿宋"/>
          <w:i w:val="0"/>
          <w:iCs w:val="0"/>
          <w:color w:val="auto"/>
          <w:sz w:val="24"/>
          <w:szCs w:val="21"/>
          <w:u w:val="none"/>
        </w:rPr>
      </w:pPr>
      <w:r/>
      <w:bookmarkStart w:id="184" w:name="_Hlt26609389"/>
      <w:r/>
      <w:bookmarkEnd w:id="184"/>
      <w:r/>
      <w:bookmarkStart w:id="185" w:name="_Hlt26671374"/>
      <w:r/>
      <w:bookmarkEnd w:id="185"/>
      <w:r/>
      <w:bookmarkStart w:id="186" w:name="_Hlt26955066"/>
      <w:r/>
      <w:bookmarkEnd w:id="186"/>
      <w:r/>
      <w:bookmarkStart w:id="187" w:name="_Toc462564146"/>
      <w:r>
        <w:rPr>
          <w:rFonts w:ascii="仿宋" w:hAnsi="仿宋" w:eastAsia="仿宋"/>
          <w:i w:val="0"/>
          <w:iCs w:val="0"/>
          <w:color w:val="auto"/>
          <w:sz w:val="24"/>
          <w:szCs w:val="21"/>
          <w:u w:val="none"/>
        </w:rPr>
        <w:br w:type="page" w:clear="all"/>
      </w:r>
      <w:bookmarkEnd w:id="187"/>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88" w:name="_格式2__法定代表人授权书"/>
      <w:r/>
      <w:bookmarkEnd w:id="188"/>
      <w:r/>
      <w:bookmarkStart w:id="189" w:name="_Toc196922495"/>
      <w:r>
        <w:rPr>
          <w:rFonts w:hint="eastAsia" w:ascii="仿宋" w:hAnsi="仿宋" w:eastAsia="仿宋" w:cs="宋体"/>
          <w:i w:val="0"/>
          <w:iCs w:val="0"/>
          <w:color w:val="auto"/>
          <w:sz w:val="32"/>
          <w:szCs w:val="32"/>
          <w:u w:val="none"/>
        </w:rPr>
        <w:t xml:space="preserve">开标一览表</w:t>
      </w:r>
      <w:bookmarkEnd w:id="18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6"/>
      <w:r>
        <w:rPr>
          <w:rFonts w:hint="eastAsia" w:ascii="仿宋" w:hAnsi="仿宋" w:eastAsia="仿宋" w:cs="宋体"/>
          <w:i w:val="0"/>
          <w:iCs w:val="0"/>
          <w:color w:val="auto"/>
          <w:sz w:val="32"/>
          <w:szCs w:val="32"/>
          <w:u w:val="none"/>
        </w:rPr>
        <w:t xml:space="preserve">项目实施方案</w:t>
      </w:r>
      <w:bookmarkEnd w:id="190"/>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b/>
          <w:bCs/>
          <w:i w:val="0"/>
          <w:iCs w:val="0"/>
          <w:color w:val="auto"/>
          <w:sz w:val="24"/>
          <w:u w:val="none"/>
        </w:rPr>
        <w:t xml:space="preserve">法定代表人签名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4"/>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p>
    <w:p>
      <w:pPr>
        <w:jc w:val="left"/>
        <w:widowControl/>
        <w:rPr>
          <w:rFonts w:ascii="仿宋" w:hAnsi="仿宋" w:eastAsia="仿宋" w:cs="宋体"/>
          <w:i w:val="0"/>
          <w:iCs w:val="0"/>
          <w:color w:val="auto"/>
          <w:sz w:val="24"/>
          <w:u w:val="none"/>
        </w:rPr>
      </w:pPr>
      <w:r>
        <w:rPr>
          <w:rFonts w:ascii="仿宋" w:hAnsi="仿宋" w:eastAsia="仿宋" w:cs="宋体"/>
          <w:i w:val="0"/>
          <w:iCs w:val="0"/>
          <w:color w:val="auto"/>
          <w:sz w:val="24"/>
          <w:u w:val="none"/>
        </w:rPr>
        <w:br w:type="page" w:clear="all"/>
      </w:r>
      <w:r/>
    </w:p>
    <w:p>
      <w:pPr>
        <w:numPr>
          <w:ilvl w:val="0"/>
          <w:numId w:val="6"/>
        </w:numPr>
        <w:ind w:firstLine="321"/>
        <w:jc w:val="center"/>
        <w:spacing w:line="276" w:lineRule="auto"/>
        <w:rPr>
          <w:rFonts w:ascii="仿宋" w:hAnsi="仿宋" w:eastAsia="仿宋" w:cs="宋体"/>
          <w:i w:val="0"/>
          <w:iCs w:val="0"/>
          <w:color w:val="auto"/>
          <w:sz w:val="32"/>
          <w:szCs w:val="32"/>
          <w:u w:val="none"/>
        </w:rPr>
        <w:outlineLvl w:val="1"/>
      </w:pPr>
      <w:r/>
      <w:bookmarkStart w:id="191" w:name="_Toc196922498"/>
      <w:r>
        <w:rPr>
          <w:rFonts w:hint="eastAsia" w:ascii="仿宋" w:hAnsi="仿宋" w:eastAsia="仿宋" w:cs="宋体"/>
          <w:i w:val="0"/>
          <w:iCs w:val="0"/>
          <w:color w:val="auto"/>
          <w:sz w:val="32"/>
          <w:szCs w:val="32"/>
          <w:u w:val="none"/>
        </w:rPr>
        <w:t xml:space="preserve">投标人认为需要提供的其它资料</w:t>
      </w:r>
      <w:bookmarkEnd w:id="191"/>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96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968"/>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4"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8"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975"/>
          <w:rFonts w:hint="default" w:ascii="方正魏碑_GBK" w:hAnsi="方正魏碑_GBK" w:eastAsia="方正魏碑_GBK" w:cs="方正魏碑_GBK"/>
          <w:i w:val="0"/>
          <w:iCs w:val="0"/>
          <w:color w:val="auto"/>
          <w:u w:val="none"/>
          <w:shd w:val="clear" w:color="auto" w:fill="ffffff"/>
          <w:lang w:eastAsia="zh-CN"/>
        </w:rPr>
        <w:t xml:space="preserve">（厂名）</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97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975"/>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975"/>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0"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3"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4"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975"/>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975"/>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975"/>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2</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975"/>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975"/>
          <w:rFonts w:hint="default" w:ascii="方正魏碑_GBK" w:hAnsi="方正魏碑_GBK" w:eastAsia="方正魏碑_GBK" w:cs="方正魏碑_GBK"/>
          <w:i w:val="0"/>
          <w:iCs w:val="0"/>
          <w:color w:val="auto"/>
          <w:u w:val="none"/>
          <w:shd w:val="clear" w:color="auto" w:fill="ffffff"/>
          <w:lang w:val="en-US"/>
        </w:rPr>
        <w:t xml:space="preserve">1</w:t>
      </w:r>
      <w:r>
        <w:rPr>
          <w:rStyle w:val="975"/>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975"/>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968"/>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968"/>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968"/>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2.</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968"/>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2"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2"/>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签字(签章)：                   公章：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rFonts w:hint="eastAsia"/>
      </w:rPr>
      <w:t xml:space="preserve">第</w:t>
    </w:r>
    <w:r>
      <w:fldChar w:fldCharType="begin"/>
    </w:r>
    <w:r>
      <w:rPr>
        <w:rStyle w:val="974"/>
      </w:rPr>
      <w:instrText xml:space="preserve"> PAGE </w:instrText>
    </w:r>
    <w:r>
      <w:fldChar w:fldCharType="separate"/>
    </w:r>
    <w:r>
      <w:rPr>
        <w:rStyle w:val="974"/>
      </w:rPr>
      <w:t xml:space="preserve">23</w:t>
    </w:r>
    <w:r>
      <w:fldChar w:fldCharType="end"/>
    </w:r>
    <w:r>
      <w:rPr>
        <w:rStyle w:val="974"/>
        <w:rFonts w:hint="eastAsia"/>
      </w:rPr>
      <w:t xml:space="preserve">页，共</w:t>
    </w:r>
    <w:r>
      <w:fldChar w:fldCharType="begin"/>
    </w:r>
    <w:r>
      <w:rPr>
        <w:rStyle w:val="974"/>
      </w:rPr>
      <w:instrText xml:space="preserve"> NUMPAGES </w:instrText>
    </w:r>
    <w:r>
      <w:fldChar w:fldCharType="separate"/>
    </w:r>
    <w:r>
      <w:rPr>
        <w:rStyle w:val="974"/>
      </w:rPr>
      <w:t xml:space="preserve">62</w:t>
    </w:r>
    <w:r>
      <w:fldChar w:fldCharType="end"/>
    </w:r>
    <w:r>
      <w:rPr>
        <w:rStyle w:val="974"/>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rFonts w:hint="eastAsia"/>
      </w:rPr>
      <w:t xml:space="preserve">第</w:t>
    </w:r>
    <w:r>
      <w:fldChar w:fldCharType="begin"/>
    </w:r>
    <w:r>
      <w:rPr>
        <w:rStyle w:val="974"/>
      </w:rPr>
      <w:instrText xml:space="preserve"> PAGE </w:instrText>
    </w:r>
    <w:r>
      <w:fldChar w:fldCharType="separate"/>
    </w:r>
    <w:r>
      <w:rPr>
        <w:rStyle w:val="974"/>
      </w:rPr>
      <w:t xml:space="preserve">39</w:t>
    </w:r>
    <w:r>
      <w:fldChar w:fldCharType="end"/>
    </w:r>
    <w:r>
      <w:rPr>
        <w:rStyle w:val="974"/>
        <w:rFonts w:hint="eastAsia"/>
      </w:rPr>
      <w:t xml:space="preserve">页，共</w:t>
    </w:r>
    <w:r>
      <w:fldChar w:fldCharType="begin"/>
    </w:r>
    <w:r>
      <w:rPr>
        <w:rStyle w:val="974"/>
      </w:rPr>
      <w:instrText xml:space="preserve"> NUMPAGES </w:instrText>
    </w:r>
    <w:r>
      <w:fldChar w:fldCharType="separate"/>
    </w:r>
    <w:r>
      <w:rPr>
        <w:rStyle w:val="974"/>
      </w:rPr>
      <w:t xml:space="preserve">62</w:t>
    </w:r>
    <w:r>
      <w:fldChar w:fldCharType="end"/>
    </w:r>
    <w:r>
      <w:rPr>
        <w:rStyle w:val="97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rFonts w:hint="eastAsia" w:eastAsia="华文行楷"/>
        <w:sz w:val="24"/>
      </w:rPr>
      <w:t xml:space="preserve">江苏海事大厦智能化系统招标文件</w:t>
    </w:r>
    <w:r/>
  </w:p>
  <w:p>
    <w:pPr>
      <w:pStyle w:val="96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多功能监护仪</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7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4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2"/>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43"/>
      <w:isLgl w:val="false"/>
      <w:suff w:val="tab"/>
      <w:lvlText w:val="%1.%2."/>
      <w:lvlJc w:val="left"/>
      <w:pPr>
        <w:ind w:left="747" w:hanging="567"/>
        <w:tabs>
          <w:tab w:val="left" w:pos="747" w:leader="none"/>
        </w:tabs>
      </w:pPr>
      <w:rPr>
        <w:rFonts w:cs="Times New Roman"/>
      </w:rPr>
    </w:lvl>
    <w:lvl w:ilvl="2">
      <w:start w:val="1"/>
      <w:numFmt w:val="decimal"/>
      <w:pStyle w:val="94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6"/>
  </w:num>
  <w:num w:numId="3">
    <w:abstractNumId w:val="2"/>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7"/>
    <w:link w:val="942"/>
    <w:uiPriority w:val="9"/>
    <w:rPr>
      <w:rFonts w:ascii="Arial" w:hAnsi="Arial" w:eastAsia="Arial" w:cs="Arial"/>
      <w:sz w:val="40"/>
      <w:szCs w:val="40"/>
    </w:rPr>
  </w:style>
  <w:style w:type="character" w:styleId="780">
    <w:name w:val="Heading 2 Char"/>
    <w:basedOn w:val="947"/>
    <w:link w:val="943"/>
    <w:uiPriority w:val="9"/>
    <w:rPr>
      <w:rFonts w:ascii="Arial" w:hAnsi="Arial" w:eastAsia="Arial" w:cs="Arial"/>
      <w:sz w:val="34"/>
    </w:rPr>
  </w:style>
  <w:style w:type="character" w:styleId="781">
    <w:name w:val="Heading 3 Char"/>
    <w:basedOn w:val="947"/>
    <w:link w:val="944"/>
    <w:uiPriority w:val="9"/>
    <w:rPr>
      <w:rFonts w:ascii="Arial" w:hAnsi="Arial" w:eastAsia="Arial" w:cs="Arial"/>
      <w:sz w:val="30"/>
      <w:szCs w:val="30"/>
    </w:rPr>
  </w:style>
  <w:style w:type="character" w:styleId="782">
    <w:name w:val="Heading 4 Char"/>
    <w:basedOn w:val="947"/>
    <w:link w:val="945"/>
    <w:uiPriority w:val="9"/>
    <w:rPr>
      <w:rFonts w:ascii="Arial" w:hAnsi="Arial" w:eastAsia="Arial" w:cs="Arial"/>
      <w:b/>
      <w:bCs/>
      <w:sz w:val="26"/>
      <w:szCs w:val="26"/>
    </w:rPr>
  </w:style>
  <w:style w:type="character" w:styleId="783">
    <w:name w:val="Heading 5 Char"/>
    <w:basedOn w:val="947"/>
    <w:link w:val="946"/>
    <w:uiPriority w:val="9"/>
    <w:rPr>
      <w:rFonts w:ascii="Arial" w:hAnsi="Arial" w:eastAsia="Arial" w:cs="Arial"/>
      <w:b/>
      <w:bCs/>
      <w:sz w:val="24"/>
      <w:szCs w:val="24"/>
    </w:rPr>
  </w:style>
  <w:style w:type="paragraph" w:styleId="784">
    <w:name w:val="Heading 6"/>
    <w:basedOn w:val="941"/>
    <w:next w:val="941"/>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47"/>
    <w:link w:val="784"/>
    <w:uiPriority w:val="9"/>
    <w:rPr>
      <w:rFonts w:ascii="Arial" w:hAnsi="Arial" w:eastAsia="Arial" w:cs="Arial"/>
      <w:b/>
      <w:bCs/>
      <w:sz w:val="22"/>
      <w:szCs w:val="22"/>
    </w:rPr>
  </w:style>
  <w:style w:type="paragraph" w:styleId="786">
    <w:name w:val="Heading 7"/>
    <w:basedOn w:val="941"/>
    <w:next w:val="941"/>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7"/>
    <w:link w:val="786"/>
    <w:uiPriority w:val="9"/>
    <w:rPr>
      <w:rFonts w:ascii="Arial" w:hAnsi="Arial" w:eastAsia="Arial" w:cs="Arial"/>
      <w:b/>
      <w:bCs/>
      <w:i/>
      <w:iCs/>
      <w:sz w:val="22"/>
      <w:szCs w:val="22"/>
    </w:rPr>
  </w:style>
  <w:style w:type="paragraph" w:styleId="788">
    <w:name w:val="Heading 8"/>
    <w:basedOn w:val="941"/>
    <w:next w:val="941"/>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7"/>
    <w:link w:val="788"/>
    <w:uiPriority w:val="9"/>
    <w:rPr>
      <w:rFonts w:ascii="Arial" w:hAnsi="Arial" w:eastAsia="Arial" w:cs="Arial"/>
      <w:i/>
      <w:iCs/>
      <w:sz w:val="22"/>
      <w:szCs w:val="22"/>
    </w:rPr>
  </w:style>
  <w:style w:type="paragraph" w:styleId="790">
    <w:name w:val="Heading 9"/>
    <w:basedOn w:val="941"/>
    <w:next w:val="941"/>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7"/>
    <w:link w:val="790"/>
    <w:uiPriority w:val="9"/>
    <w:rPr>
      <w:rFonts w:ascii="Arial" w:hAnsi="Arial" w:eastAsia="Arial" w:cs="Arial"/>
      <w:i/>
      <w:iCs/>
      <w:sz w:val="21"/>
      <w:szCs w:val="21"/>
    </w:rPr>
  </w:style>
  <w:style w:type="character" w:styleId="792">
    <w:name w:val="Title Char"/>
    <w:basedOn w:val="947"/>
    <w:link w:val="969"/>
    <w:uiPriority w:val="10"/>
    <w:rPr>
      <w:sz w:val="48"/>
      <w:szCs w:val="48"/>
    </w:rPr>
  </w:style>
  <w:style w:type="paragraph" w:styleId="793">
    <w:name w:val="Subtitle"/>
    <w:basedOn w:val="941"/>
    <w:next w:val="941"/>
    <w:link w:val="794"/>
    <w:uiPriority w:val="11"/>
    <w:qFormat/>
    <w:pPr>
      <w:spacing w:before="200" w:after="200"/>
    </w:pPr>
    <w:rPr>
      <w:sz w:val="24"/>
      <w:szCs w:val="24"/>
    </w:rPr>
  </w:style>
  <w:style w:type="character" w:styleId="794">
    <w:name w:val="Subtitle Char"/>
    <w:basedOn w:val="947"/>
    <w:link w:val="793"/>
    <w:uiPriority w:val="11"/>
    <w:rPr>
      <w:sz w:val="24"/>
      <w:szCs w:val="24"/>
    </w:rPr>
  </w:style>
  <w:style w:type="paragraph" w:styleId="795">
    <w:name w:val="Quote"/>
    <w:basedOn w:val="941"/>
    <w:next w:val="941"/>
    <w:link w:val="796"/>
    <w:uiPriority w:val="29"/>
    <w:qFormat/>
    <w:pPr>
      <w:ind w:left="720" w:right="720"/>
    </w:pPr>
    <w:rPr>
      <w:i/>
    </w:rPr>
  </w:style>
  <w:style w:type="character" w:styleId="796">
    <w:name w:val="Quote Char"/>
    <w:link w:val="795"/>
    <w:uiPriority w:val="29"/>
    <w:rPr>
      <w:i/>
    </w:rPr>
  </w:style>
  <w:style w:type="paragraph" w:styleId="797">
    <w:name w:val="Intense Quote"/>
    <w:basedOn w:val="941"/>
    <w:next w:val="941"/>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7"/>
    <w:link w:val="963"/>
    <w:uiPriority w:val="99"/>
  </w:style>
  <w:style w:type="character" w:styleId="800">
    <w:name w:val="Footer Char"/>
    <w:basedOn w:val="947"/>
    <w:link w:val="962"/>
    <w:uiPriority w:val="99"/>
  </w:style>
  <w:style w:type="paragraph" w:styleId="801">
    <w:name w:val="Caption"/>
    <w:basedOn w:val="941"/>
    <w:next w:val="941"/>
    <w:uiPriority w:val="35"/>
    <w:semiHidden/>
    <w:unhideWhenUsed/>
    <w:qFormat/>
    <w:pPr>
      <w:spacing w:line="276" w:lineRule="auto"/>
    </w:pPr>
    <w:rPr>
      <w:b/>
      <w:bCs/>
      <w:color w:val="4f81bd" w:themeColor="accent1"/>
      <w:sz w:val="18"/>
      <w:szCs w:val="18"/>
    </w:rPr>
  </w:style>
  <w:style w:type="character" w:styleId="802">
    <w:name w:val="Caption Char"/>
    <w:basedOn w:val="801"/>
    <w:link w:val="962"/>
    <w:uiPriority w:val="99"/>
  </w:style>
  <w:style w:type="table" w:styleId="803">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7">
    <w:name w:val="footnote text"/>
    <w:basedOn w:val="941"/>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basedOn w:val="947"/>
    <w:uiPriority w:val="99"/>
    <w:unhideWhenUsed/>
    <w:rPr>
      <w:vertAlign w:val="superscript"/>
    </w:rPr>
  </w:style>
  <w:style w:type="paragraph" w:styleId="930">
    <w:name w:val="endnote text"/>
    <w:basedOn w:val="941"/>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7"/>
    <w:uiPriority w:val="99"/>
    <w:semiHidden/>
    <w:unhideWhenUsed/>
    <w:rPr>
      <w:vertAlign w:val="superscript"/>
    </w:r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2">
    <w:name w:val="Heading 1"/>
    <w:basedOn w:val="941"/>
    <w:next w:val="941"/>
    <w:link w:val="982"/>
    <w:uiPriority w:val="99"/>
    <w:qFormat/>
    <w:pPr>
      <w:numPr>
        <w:ilvl w:val="0"/>
        <w:numId w:val="1"/>
      </w:numPr>
      <w:keepNext/>
      <w:outlineLvl w:val="0"/>
    </w:pPr>
    <w:rPr>
      <w:rFonts w:eastAsia="黑体"/>
      <w:b/>
      <w:sz w:val="28"/>
      <w:szCs w:val="20"/>
    </w:rPr>
  </w:style>
  <w:style w:type="paragraph" w:styleId="943">
    <w:name w:val="Heading 2"/>
    <w:basedOn w:val="941"/>
    <w:next w:val="941"/>
    <w:link w:val="98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44">
    <w:name w:val="Heading 3"/>
    <w:basedOn w:val="941"/>
    <w:next w:val="949"/>
    <w:link w:val="984"/>
    <w:uiPriority w:val="99"/>
    <w:qFormat/>
    <w:pPr>
      <w:numPr>
        <w:ilvl w:val="2"/>
        <w:numId w:val="2"/>
      </w:numPr>
      <w:jc w:val="center"/>
      <w:keepNext/>
      <w:spacing w:line="400" w:lineRule="exact"/>
      <w:outlineLvl w:val="2"/>
    </w:pPr>
    <w:rPr>
      <w:rFonts w:ascii="仿宋_GB2312" w:eastAsia="仿宋_GB2312"/>
      <w:sz w:val="32"/>
      <w:szCs w:val="20"/>
    </w:rPr>
  </w:style>
  <w:style w:type="paragraph" w:styleId="945">
    <w:name w:val="Heading 4"/>
    <w:basedOn w:val="941"/>
    <w:next w:val="941"/>
    <w:link w:val="985"/>
    <w:uiPriority w:val="99"/>
    <w:qFormat/>
    <w:pPr>
      <w:keepLines/>
      <w:keepNext/>
      <w:spacing w:before="280" w:after="290" w:line="376" w:lineRule="auto"/>
      <w:outlineLvl w:val="3"/>
    </w:pPr>
    <w:rPr>
      <w:rFonts w:ascii="Cambria" w:hAnsi="Cambria"/>
      <w:b/>
      <w:bCs/>
      <w:sz w:val="28"/>
      <w:szCs w:val="28"/>
    </w:rPr>
  </w:style>
  <w:style w:type="paragraph" w:styleId="946">
    <w:name w:val="Heading 5"/>
    <w:basedOn w:val="941"/>
    <w:next w:val="941"/>
    <w:link w:val="986"/>
    <w:uiPriority w:val="99"/>
    <w:qFormat/>
    <w:pPr>
      <w:keepLines/>
      <w:keepNext/>
      <w:spacing w:before="280" w:after="290" w:line="376" w:lineRule="auto"/>
      <w:outlineLvl w:val="4"/>
    </w:pPr>
    <w:rPr>
      <w:b/>
      <w:bCs/>
      <w:sz w:val="28"/>
      <w:szCs w:val="28"/>
    </w:rPr>
  </w:style>
  <w:style w:type="character" w:styleId="947" w:default="1">
    <w:name w:val="Default Paragraph Font"/>
    <w:uiPriority w:val="1"/>
    <w:semiHidden/>
    <w:unhideWhenUsed/>
    <w:qFormat/>
  </w:style>
  <w:style w:type="table" w:styleId="9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9">
    <w:name w:val="Normal Indent"/>
    <w:basedOn w:val="941"/>
    <w:uiPriority w:val="99"/>
    <w:qFormat/>
    <w:pPr>
      <w:ind w:firstLine="420"/>
      <w:jc w:val="left"/>
      <w:widowControl/>
    </w:pPr>
    <w:rPr>
      <w:sz w:val="20"/>
      <w:szCs w:val="20"/>
    </w:rPr>
  </w:style>
  <w:style w:type="paragraph" w:styleId="950">
    <w:name w:val="toa heading"/>
    <w:basedOn w:val="941"/>
    <w:next w:val="941"/>
    <w:uiPriority w:val="99"/>
    <w:unhideWhenUsed/>
    <w:qFormat/>
    <w:pPr>
      <w:spacing w:before="120"/>
    </w:pPr>
    <w:rPr>
      <w:rFonts w:ascii="Cambria" w:hAnsi="Cambria"/>
      <w:sz w:val="24"/>
      <w:szCs w:val="21"/>
    </w:rPr>
  </w:style>
  <w:style w:type="paragraph" w:styleId="951">
    <w:name w:val="annotation text"/>
    <w:basedOn w:val="941"/>
    <w:link w:val="1053"/>
    <w:uiPriority w:val="99"/>
    <w:unhideWhenUsed/>
    <w:qFormat/>
    <w:pPr>
      <w:jc w:val="left"/>
    </w:pPr>
  </w:style>
  <w:style w:type="paragraph" w:styleId="952">
    <w:name w:val="Body Text 3"/>
    <w:basedOn w:val="941"/>
    <w:link w:val="988"/>
    <w:uiPriority w:val="99"/>
    <w:qFormat/>
    <w:pPr>
      <w:jc w:val="left"/>
      <w:spacing w:line="300" w:lineRule="auto"/>
      <w:widowControl/>
    </w:pPr>
    <w:rPr>
      <w:sz w:val="16"/>
      <w:szCs w:val="16"/>
    </w:rPr>
  </w:style>
  <w:style w:type="paragraph" w:styleId="953">
    <w:name w:val="Body Text"/>
    <w:basedOn w:val="941"/>
    <w:link w:val="1000"/>
    <w:uiPriority w:val="99"/>
    <w:qFormat/>
    <w:pPr>
      <w:spacing w:after="120"/>
    </w:pPr>
    <w:rPr>
      <w:sz w:val="24"/>
    </w:rPr>
  </w:style>
  <w:style w:type="paragraph" w:styleId="954">
    <w:name w:val="Body Text Indent"/>
    <w:basedOn w:val="941"/>
    <w:link w:val="992"/>
    <w:uiPriority w:val="99"/>
    <w:qFormat/>
    <w:pPr>
      <w:ind w:firstLine="420"/>
    </w:pPr>
    <w:rPr>
      <w:sz w:val="24"/>
      <w:shd w:val="pct10" w:color="auto" w:fill="ffffff"/>
    </w:rPr>
  </w:style>
  <w:style w:type="paragraph" w:styleId="955">
    <w:name w:val="Block Text"/>
    <w:basedOn w:val="941"/>
    <w:uiPriority w:val="99"/>
    <w:qFormat/>
    <w:pPr>
      <w:ind w:left="113" w:right="113"/>
      <w:jc w:val="center"/>
    </w:pPr>
    <w:rPr>
      <w:b/>
      <w:bCs/>
      <w:sz w:val="18"/>
      <w:szCs w:val="20"/>
    </w:rPr>
  </w:style>
  <w:style w:type="paragraph" w:styleId="956">
    <w:name w:val="index 4"/>
    <w:basedOn w:val="941"/>
    <w:next w:val="941"/>
    <w:uiPriority w:val="99"/>
    <w:unhideWhenUsed/>
    <w:qFormat/>
    <w:pPr>
      <w:ind w:left="600"/>
    </w:pPr>
    <w:rPr>
      <w:rFonts w:asciiTheme="minorHAnsi" w:hAnsiTheme="minorHAnsi" w:eastAsiaTheme="minorEastAsia" w:cstheme="minorBidi"/>
      <w:szCs w:val="22"/>
    </w:rPr>
  </w:style>
  <w:style w:type="paragraph" w:styleId="957">
    <w:name w:val="toc 3"/>
    <w:basedOn w:val="941"/>
    <w:next w:val="941"/>
    <w:uiPriority w:val="39"/>
    <w:qFormat/>
    <w:pPr>
      <w:ind w:left="840"/>
    </w:pPr>
  </w:style>
  <w:style w:type="paragraph" w:styleId="958">
    <w:name w:val="Plain Text"/>
    <w:basedOn w:val="941"/>
    <w:link w:val="987"/>
    <w:uiPriority w:val="0"/>
    <w:qFormat/>
    <w:rPr>
      <w:rFonts w:ascii="宋体" w:hAnsi="Courier New"/>
      <w:szCs w:val="21"/>
    </w:rPr>
  </w:style>
  <w:style w:type="paragraph" w:styleId="959">
    <w:name w:val="Date"/>
    <w:basedOn w:val="941"/>
    <w:next w:val="941"/>
    <w:link w:val="999"/>
    <w:uiPriority w:val="99"/>
    <w:qFormat/>
    <w:pPr>
      <w:ind w:left="100"/>
    </w:pPr>
    <w:rPr>
      <w:sz w:val="24"/>
    </w:rPr>
  </w:style>
  <w:style w:type="paragraph" w:styleId="960">
    <w:name w:val="Body Text Indent 2"/>
    <w:basedOn w:val="941"/>
    <w:link w:val="994"/>
    <w:uiPriority w:val="99"/>
    <w:qFormat/>
    <w:pPr>
      <w:ind w:left="420"/>
      <w:spacing w:after="120" w:line="480" w:lineRule="auto"/>
    </w:pPr>
    <w:rPr>
      <w:sz w:val="24"/>
    </w:rPr>
  </w:style>
  <w:style w:type="paragraph" w:styleId="961">
    <w:name w:val="Balloon Text"/>
    <w:basedOn w:val="941"/>
    <w:link w:val="1028"/>
    <w:uiPriority w:val="99"/>
    <w:qFormat/>
    <w:rPr>
      <w:sz w:val="18"/>
      <w:szCs w:val="18"/>
    </w:rPr>
  </w:style>
  <w:style w:type="paragraph" w:styleId="962">
    <w:name w:val="Footer"/>
    <w:basedOn w:val="941"/>
    <w:link w:val="989"/>
    <w:uiPriority w:val="0"/>
    <w:qFormat/>
    <w:pPr>
      <w:jc w:val="left"/>
      <w:widowControl/>
      <w:tabs>
        <w:tab w:val="center" w:pos="4153" w:leader="none"/>
        <w:tab w:val="right" w:pos="8306" w:leader="none"/>
      </w:tabs>
    </w:pPr>
    <w:rPr>
      <w:sz w:val="18"/>
      <w:szCs w:val="18"/>
    </w:rPr>
  </w:style>
  <w:style w:type="paragraph" w:styleId="963">
    <w:name w:val="Header"/>
    <w:basedOn w:val="941"/>
    <w:link w:val="99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64">
    <w:name w:val="toc 1"/>
    <w:basedOn w:val="941"/>
    <w:next w:val="941"/>
    <w:uiPriority w:val="39"/>
    <w:qFormat/>
  </w:style>
  <w:style w:type="paragraph" w:styleId="965">
    <w:name w:val="Body Text Indent 3"/>
    <w:basedOn w:val="941"/>
    <w:link w:val="996"/>
    <w:uiPriority w:val="99"/>
    <w:qFormat/>
    <w:pPr>
      <w:ind w:firstLine="412"/>
    </w:pPr>
    <w:rPr>
      <w:sz w:val="16"/>
      <w:szCs w:val="16"/>
    </w:rPr>
  </w:style>
  <w:style w:type="paragraph" w:styleId="966">
    <w:name w:val="toc 2"/>
    <w:basedOn w:val="941"/>
    <w:next w:val="941"/>
    <w:uiPriority w:val="39"/>
    <w:qFormat/>
    <w:pPr>
      <w:ind w:left="420"/>
    </w:pPr>
  </w:style>
  <w:style w:type="paragraph" w:styleId="967">
    <w:name w:val="Body Text 2"/>
    <w:basedOn w:val="941"/>
    <w:link w:val="1063"/>
    <w:uiPriority w:val="0"/>
    <w:qFormat/>
    <w:pPr>
      <w:spacing w:after="120" w:line="480" w:lineRule="auto"/>
    </w:pPr>
    <w:rPr>
      <w:rFonts w:ascii="Calibri" w:hAnsi="Calibri"/>
    </w:rPr>
  </w:style>
  <w:style w:type="paragraph" w:styleId="968">
    <w:name w:val="Normal (Web)"/>
    <w:basedOn w:val="941"/>
    <w:uiPriority w:val="0"/>
    <w:unhideWhenUsed/>
    <w:qFormat/>
    <w:pPr>
      <w:jc w:val="left"/>
      <w:spacing w:before="100" w:beforeAutospacing="1" w:after="100" w:afterAutospacing="1"/>
      <w:widowControl/>
    </w:pPr>
    <w:rPr>
      <w:rFonts w:ascii="宋体" w:hAnsi="宋体" w:cs="宋体"/>
      <w:sz w:val="24"/>
    </w:rPr>
  </w:style>
  <w:style w:type="paragraph" w:styleId="969">
    <w:name w:val="Title"/>
    <w:basedOn w:val="941"/>
    <w:next w:val="941"/>
    <w:link w:val="1062"/>
    <w:uiPriority w:val="0"/>
    <w:qFormat/>
    <w:pPr>
      <w:jc w:val="center"/>
      <w:spacing w:before="240" w:after="60"/>
      <w:outlineLvl w:val="0"/>
    </w:pPr>
    <w:rPr>
      <w:rFonts w:asciiTheme="majorHAnsi" w:hAnsiTheme="majorHAnsi" w:eastAsiaTheme="majorEastAsia" w:cstheme="majorBidi"/>
      <w:b/>
      <w:bCs/>
      <w:sz w:val="32"/>
      <w:szCs w:val="32"/>
    </w:rPr>
  </w:style>
  <w:style w:type="paragraph" w:styleId="970">
    <w:name w:val="annotation subject"/>
    <w:basedOn w:val="951"/>
    <w:next w:val="951"/>
    <w:link w:val="1054"/>
    <w:uiPriority w:val="99"/>
    <w:semiHidden/>
    <w:unhideWhenUsed/>
    <w:qFormat/>
    <w:rPr>
      <w:b/>
      <w:bCs/>
    </w:rPr>
  </w:style>
  <w:style w:type="paragraph" w:styleId="971">
    <w:name w:val="Body Text First Indent"/>
    <w:basedOn w:val="953"/>
    <w:link w:val="1068"/>
    <w:uiPriority w:val="99"/>
    <w:semiHidden/>
    <w:unhideWhenUsed/>
    <w:qFormat/>
    <w:pPr>
      <w:ind w:firstLine="420"/>
    </w:pPr>
    <w:rPr>
      <w:sz w:val="21"/>
    </w:rPr>
  </w:style>
  <w:style w:type="table" w:styleId="972">
    <w:name w:val="Table Grid"/>
    <w:basedOn w:val="9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name w:val="Strong"/>
    <w:uiPriority w:val="0"/>
    <w:qFormat/>
    <w:rPr>
      <w:b/>
      <w:bCs/>
    </w:rPr>
  </w:style>
  <w:style w:type="character" w:styleId="974">
    <w:name w:val="page number"/>
    <w:basedOn w:val="947"/>
    <w:uiPriority w:val="0"/>
    <w:qFormat/>
    <w:rPr>
      <w:rFonts w:cs="Times New Roman"/>
    </w:rPr>
  </w:style>
  <w:style w:type="character" w:styleId="975">
    <w:name w:val="Emphasis"/>
    <w:basedOn w:val="947"/>
    <w:uiPriority w:val="0"/>
    <w:qFormat/>
    <w:rPr>
      <w:i/>
    </w:rPr>
  </w:style>
  <w:style w:type="character" w:styleId="976">
    <w:name w:val="Hyperlink"/>
    <w:uiPriority w:val="99"/>
    <w:unhideWhenUsed/>
    <w:qFormat/>
    <w:rPr>
      <w:color w:val="0000ff"/>
      <w:u w:val="single"/>
    </w:rPr>
  </w:style>
  <w:style w:type="character" w:styleId="977">
    <w:name w:val="annotation reference"/>
    <w:basedOn w:val="947"/>
    <w:uiPriority w:val="99"/>
    <w:semiHidden/>
    <w:unhideWhenUsed/>
    <w:qFormat/>
    <w:rPr>
      <w:sz w:val="21"/>
      <w:szCs w:val="21"/>
    </w:rPr>
  </w:style>
  <w:style w:type="paragraph" w:styleId="978" w:customStyle="1">
    <w:name w:val="索引 41"/>
    <w:basedOn w:val="941"/>
    <w:next w:val="941"/>
    <w:uiPriority w:val="99"/>
    <w:qFormat/>
    <w:pPr>
      <w:ind w:left="600"/>
    </w:pPr>
    <w:rPr>
      <w:szCs w:val="20"/>
    </w:rPr>
  </w:style>
  <w:style w:type="paragraph" w:styleId="979" w:customStyle="1">
    <w:name w:val="一级条标题"/>
    <w:basedOn w:val="980"/>
    <w:next w:val="981"/>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80" w:customStyle="1">
    <w:name w:val="章标题"/>
    <w:next w:val="9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1" w:customStyle="1">
    <w:name w:val="段"/>
    <w:basedOn w:val="941"/>
    <w:next w:val="941"/>
    <w:uiPriority w:val="0"/>
    <w:qFormat/>
    <w:pPr>
      <w:ind w:firstLine="200"/>
      <w:widowControl/>
    </w:pPr>
    <w:rPr>
      <w:rFonts w:hint="eastAsia" w:ascii="宋体"/>
      <w:szCs w:val="20"/>
    </w:rPr>
  </w:style>
  <w:style w:type="character" w:styleId="982" w:customStyle="1">
    <w:name w:val="标题 1 字符"/>
    <w:link w:val="942"/>
    <w:uiPriority w:val="99"/>
    <w:qFormat/>
    <w:rPr>
      <w:rFonts w:eastAsia="黑体"/>
      <w:b/>
      <w:sz w:val="28"/>
    </w:rPr>
  </w:style>
  <w:style w:type="character" w:styleId="983" w:customStyle="1">
    <w:name w:val="标题 2 字符"/>
    <w:link w:val="943"/>
    <w:uiPriority w:val="99"/>
    <w:qFormat/>
    <w:rPr>
      <w:rFonts w:ascii="Arial" w:hAnsi="Arial" w:eastAsia="黑体"/>
      <w:sz w:val="24"/>
    </w:rPr>
  </w:style>
  <w:style w:type="character" w:styleId="984" w:customStyle="1">
    <w:name w:val="标题 3 字符"/>
    <w:link w:val="944"/>
    <w:uiPriority w:val="99"/>
    <w:qFormat/>
    <w:rPr>
      <w:rFonts w:ascii="仿宋_GB2312" w:eastAsia="仿宋_GB2312"/>
      <w:sz w:val="32"/>
    </w:rPr>
  </w:style>
  <w:style w:type="character" w:styleId="985" w:customStyle="1">
    <w:name w:val="标题 4 字符"/>
    <w:link w:val="945"/>
    <w:uiPriority w:val="99"/>
    <w:semiHidden/>
    <w:qFormat/>
    <w:rPr>
      <w:rFonts w:ascii="Cambria" w:hAnsi="Cambria" w:eastAsia="宋体" w:cs="Times New Roman"/>
      <w:b/>
      <w:bCs/>
      <w:sz w:val="28"/>
      <w:szCs w:val="28"/>
    </w:rPr>
  </w:style>
  <w:style w:type="character" w:styleId="986" w:customStyle="1">
    <w:name w:val="标题 5 字符"/>
    <w:link w:val="946"/>
    <w:uiPriority w:val="99"/>
    <w:semiHidden/>
    <w:qFormat/>
    <w:rPr>
      <w:rFonts w:cs="Times New Roman"/>
      <w:b/>
      <w:bCs/>
      <w:sz w:val="28"/>
      <w:szCs w:val="28"/>
    </w:rPr>
  </w:style>
  <w:style w:type="character" w:styleId="987" w:customStyle="1">
    <w:name w:val="纯文本 字符"/>
    <w:link w:val="958"/>
    <w:uiPriority w:val="0"/>
    <w:qFormat/>
    <w:rPr>
      <w:rFonts w:ascii="宋体" w:hAnsi="Courier New" w:eastAsia="宋体" w:cs="Times New Roman"/>
      <w:sz w:val="21"/>
      <w:szCs w:val="21"/>
      <w:lang w:val="en-US" w:eastAsia="zh-CN" w:bidi="ar-SA"/>
    </w:rPr>
  </w:style>
  <w:style w:type="character" w:styleId="988" w:customStyle="1">
    <w:name w:val="正文文本 3 字符"/>
    <w:link w:val="952"/>
    <w:uiPriority w:val="99"/>
    <w:semiHidden/>
    <w:qFormat/>
    <w:rPr>
      <w:rFonts w:cs="Times New Roman"/>
      <w:sz w:val="16"/>
      <w:szCs w:val="16"/>
    </w:rPr>
  </w:style>
  <w:style w:type="character" w:styleId="989" w:customStyle="1">
    <w:name w:val="页脚 字符"/>
    <w:link w:val="962"/>
    <w:uiPriority w:val="99"/>
    <w:qFormat/>
    <w:rPr>
      <w:rFonts w:cs="Times New Roman"/>
      <w:sz w:val="18"/>
      <w:szCs w:val="18"/>
    </w:rPr>
  </w:style>
  <w:style w:type="character" w:styleId="990" w:customStyle="1">
    <w:name w:val="页眉 字符"/>
    <w:link w:val="963"/>
    <w:uiPriority w:val="99"/>
    <w:semiHidden/>
    <w:qFormat/>
    <w:rPr>
      <w:rFonts w:cs="Times New Roman"/>
      <w:sz w:val="18"/>
      <w:szCs w:val="18"/>
    </w:rPr>
  </w:style>
  <w:style w:type="character" w:styleId="991" w:customStyle="1">
    <w:name w:val="px121"/>
    <w:uiPriority w:val="99"/>
    <w:qFormat/>
    <w:rPr>
      <w:rFonts w:cs="Times New Roman"/>
      <w:spacing w:val="312"/>
    </w:rPr>
  </w:style>
  <w:style w:type="character" w:styleId="992" w:customStyle="1">
    <w:name w:val="正文文本缩进 字符"/>
    <w:link w:val="954"/>
    <w:uiPriority w:val="99"/>
    <w:semiHidden/>
    <w:qFormat/>
    <w:rPr>
      <w:rFonts w:cs="Times New Roman"/>
      <w:sz w:val="24"/>
      <w:szCs w:val="24"/>
    </w:rPr>
  </w:style>
  <w:style w:type="paragraph" w:styleId="993" w:customStyle="1">
    <w:name w:val="表格文字"/>
    <w:basedOn w:val="941"/>
    <w:uiPriority w:val="99"/>
    <w:qFormat/>
    <w:pPr>
      <w:spacing w:before="120"/>
    </w:pPr>
    <w:rPr>
      <w:rFonts w:ascii="Arial Narrow" w:hAnsi="Arial Narrow" w:eastAsia="仿宋_GB2312"/>
      <w:sz w:val="24"/>
      <w:szCs w:val="20"/>
    </w:rPr>
  </w:style>
  <w:style w:type="character" w:styleId="994" w:customStyle="1">
    <w:name w:val="正文文本缩进 2 字符"/>
    <w:link w:val="960"/>
    <w:uiPriority w:val="99"/>
    <w:semiHidden/>
    <w:qFormat/>
    <w:rPr>
      <w:rFonts w:cs="Times New Roman"/>
      <w:sz w:val="24"/>
      <w:szCs w:val="24"/>
    </w:rPr>
  </w:style>
  <w:style w:type="character" w:styleId="995" w:customStyle="1">
    <w:name w:val="Char Char3"/>
    <w:uiPriority w:val="99"/>
    <w:qFormat/>
    <w:rPr>
      <w:rFonts w:ascii="宋体" w:hAnsi="Courier New" w:eastAsia="宋体" w:cs="Times New Roman"/>
      <w:sz w:val="21"/>
      <w:szCs w:val="21"/>
      <w:lang w:val="en-US" w:eastAsia="zh-CN" w:bidi="ar-SA"/>
    </w:rPr>
  </w:style>
  <w:style w:type="character" w:styleId="996" w:customStyle="1">
    <w:name w:val="正文文本缩进 3 字符"/>
    <w:link w:val="965"/>
    <w:uiPriority w:val="99"/>
    <w:semiHidden/>
    <w:qFormat/>
    <w:rPr>
      <w:rFonts w:cs="Times New Roman"/>
      <w:sz w:val="16"/>
      <w:szCs w:val="16"/>
    </w:rPr>
  </w:style>
  <w:style w:type="paragraph" w:styleId="997" w:customStyle="1">
    <w:name w:val="Char1"/>
    <w:basedOn w:val="941"/>
    <w:uiPriority w:val="99"/>
    <w:qFormat/>
    <w:rPr>
      <w:sz w:val="24"/>
    </w:rPr>
  </w:style>
  <w:style w:type="paragraph" w:styleId="998" w:customStyle="1">
    <w:name w:val="样式 标4 + 段前: 0.5 行1"/>
    <w:basedOn w:val="941"/>
    <w:uiPriority w:val="99"/>
    <w:qFormat/>
    <w:pPr>
      <w:tabs>
        <w:tab w:val="left" w:pos="1260" w:leader="none"/>
      </w:tabs>
      <w:outlineLvl w:val="3"/>
    </w:pPr>
    <w:rPr>
      <w:rFonts w:ascii="Arial Narrow" w:hAnsi="Arial Narrow" w:eastAsia="仿宋_GB2312" w:cs="宋体"/>
      <w:sz w:val="28"/>
      <w:szCs w:val="20"/>
    </w:rPr>
  </w:style>
  <w:style w:type="character" w:styleId="999" w:customStyle="1">
    <w:name w:val="日期 字符"/>
    <w:link w:val="959"/>
    <w:uiPriority w:val="99"/>
    <w:semiHidden/>
    <w:qFormat/>
    <w:rPr>
      <w:rFonts w:cs="Times New Roman"/>
      <w:sz w:val="24"/>
      <w:szCs w:val="24"/>
    </w:rPr>
  </w:style>
  <w:style w:type="character" w:styleId="1000" w:customStyle="1">
    <w:name w:val="正文文本 字符"/>
    <w:link w:val="953"/>
    <w:uiPriority w:val="99"/>
    <w:semiHidden/>
    <w:qFormat/>
    <w:rPr>
      <w:rFonts w:cs="Times New Roman"/>
      <w:sz w:val="24"/>
      <w:szCs w:val="24"/>
    </w:rPr>
  </w:style>
  <w:style w:type="paragraph" w:styleId="1001" w:customStyle="1">
    <w:name w:val="报告正文"/>
    <w:basedOn w:val="941"/>
    <w:uiPriority w:val="99"/>
    <w:qFormat/>
    <w:pPr>
      <w:ind w:firstLine="567"/>
    </w:pPr>
    <w:rPr>
      <w:rFonts w:ascii="Arial Narrow" w:hAnsi="Arial Narrow" w:eastAsia="仿宋_GB2312"/>
      <w:sz w:val="28"/>
      <w:szCs w:val="20"/>
    </w:rPr>
  </w:style>
  <w:style w:type="paragraph" w:styleId="1002">
    <w:name w:val="List Paragraph"/>
    <w:basedOn w:val="941"/>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03" w:customStyle="1">
    <w:name w:val="List Paragraph1"/>
    <w:basedOn w:val="941"/>
    <w:uiPriority w:val="99"/>
    <w:qFormat/>
    <w:pPr>
      <w:ind w:firstLine="420"/>
    </w:pPr>
    <w:rPr>
      <w:rFonts w:ascii="Calibri" w:hAnsi="Calibri"/>
      <w:szCs w:val="22"/>
    </w:rPr>
  </w:style>
  <w:style w:type="paragraph" w:styleId="1004" w:customStyle="1">
    <w:name w:val="列出段落1"/>
    <w:uiPriority w:val="99"/>
    <w:qFormat/>
    <w:pPr>
      <w:ind w:firstLine="420"/>
    </w:pPr>
    <w:rPr>
      <w:rFonts w:ascii="Times New Roman" w:hAnsi="Times New Roman" w:eastAsia="宋体" w:cs="Times New Roman"/>
      <w:lang w:val="en-US" w:eastAsia="zh-CN" w:bidi="ar-SA"/>
    </w:rPr>
  </w:style>
  <w:style w:type="paragraph" w:styleId="1005" w:customStyle="1">
    <w:name w:val="列出段落11"/>
    <w:uiPriority w:val="99"/>
    <w:qFormat/>
    <w:pPr>
      <w:ind w:firstLine="420"/>
    </w:pPr>
    <w:rPr>
      <w:rFonts w:ascii="Times New Roman" w:hAnsi="Times New Roman" w:eastAsia="宋体" w:cs="Times New Roman"/>
      <w:lang w:val="en-US" w:eastAsia="zh-CN" w:bidi="ar-SA"/>
    </w:rPr>
  </w:style>
  <w:style w:type="paragraph" w:styleId="1006">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07" w:customStyle="1">
    <w:name w:val="CharAttribute2"/>
    <w:uiPriority w:val="99"/>
    <w:qFormat/>
    <w:rPr>
      <w:rFonts w:ascii="Times New Roman" w:eastAsia="宋体"/>
      <w:b/>
      <w:sz w:val="21"/>
    </w:rPr>
  </w:style>
  <w:style w:type="paragraph" w:styleId="1008" w:customStyle="1">
    <w:name w:val="Char"/>
    <w:basedOn w:val="941"/>
    <w:uiPriority w:val="99"/>
    <w:qFormat/>
    <w:rPr>
      <w:sz w:val="30"/>
    </w:rPr>
  </w:style>
  <w:style w:type="paragraph" w:styleId="1009"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10"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11"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12"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13"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14"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15" w:customStyle="1">
    <w:name w:val="CharAttribute4"/>
    <w:uiPriority w:val="99"/>
    <w:qFormat/>
    <w:rPr>
      <w:rFonts w:ascii="Arial Narrow" w:eastAsia="仿宋_GB2312"/>
      <w:sz w:val="21"/>
    </w:rPr>
  </w:style>
  <w:style w:type="character" w:styleId="1016" w:customStyle="1">
    <w:name w:val="CharAttribute7"/>
    <w:uiPriority w:val="99"/>
    <w:qFormat/>
    <w:rPr>
      <w:rFonts w:ascii="Times New Roman" w:eastAsia="宋体"/>
      <w:sz w:val="21"/>
    </w:rPr>
  </w:style>
  <w:style w:type="character" w:styleId="1017" w:customStyle="1">
    <w:name w:val="CharAttribute9"/>
    <w:uiPriority w:val="99"/>
    <w:qFormat/>
    <w:rPr>
      <w:rFonts w:ascii="Arial" w:eastAsia="宋体"/>
      <w:sz w:val="21"/>
    </w:rPr>
  </w:style>
  <w:style w:type="character" w:styleId="1018" w:customStyle="1">
    <w:name w:val="CharAttribute11"/>
    <w:uiPriority w:val="99"/>
    <w:qFormat/>
    <w:rPr>
      <w:rFonts w:ascii="长城大标宋体" w:eastAsia="Times New Roman"/>
      <w:sz w:val="21"/>
    </w:rPr>
  </w:style>
  <w:style w:type="character" w:styleId="1019" w:customStyle="1">
    <w:name w:val="CharAttribute12"/>
    <w:uiPriority w:val="99"/>
    <w:qFormat/>
    <w:rPr>
      <w:rFonts w:ascii="Arial Narrow" w:eastAsia="Times New Roman"/>
      <w:sz w:val="21"/>
    </w:rPr>
  </w:style>
  <w:style w:type="character" w:styleId="1020" w:customStyle="1">
    <w:name w:val="CharAttribute14"/>
    <w:uiPriority w:val="99"/>
    <w:qFormat/>
    <w:rPr>
      <w:rFonts w:ascii="仿宋_GB2312" w:eastAsia="仿宋_GB2312"/>
      <w:sz w:val="21"/>
    </w:rPr>
  </w:style>
  <w:style w:type="character" w:styleId="1021" w:customStyle="1">
    <w:name w:val="CharAttribute18"/>
    <w:uiPriority w:val="99"/>
    <w:qFormat/>
    <w:rPr>
      <w:rFonts w:ascii="仿宋_GB2312" w:eastAsia="仿宋_GB2312"/>
      <w:sz w:val="24"/>
    </w:rPr>
  </w:style>
  <w:style w:type="character" w:styleId="1022" w:customStyle="1">
    <w:name w:val="MAICO Bold Zchn"/>
    <w:link w:val="1023"/>
    <w:uiPriority w:val="99"/>
    <w:qFormat/>
    <w:rPr>
      <w:rFonts w:ascii="FrutBold" w:hAnsi="FrutBold" w:cs="Times New Roman"/>
      <w:sz w:val="28"/>
      <w:szCs w:val="28"/>
      <w:lang w:val="en-GB"/>
    </w:rPr>
  </w:style>
  <w:style w:type="paragraph" w:styleId="1023" w:customStyle="1">
    <w:name w:val="MAICO Bold"/>
    <w:basedOn w:val="941"/>
    <w:link w:val="102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4" w:customStyle="1">
    <w:name w:val="MAICO light Zchn"/>
    <w:link w:val="1025"/>
    <w:uiPriority w:val="99"/>
    <w:qFormat/>
    <w:rPr>
      <w:rFonts w:ascii="华文仿宋" w:hAnsi="华文仿宋" w:eastAsia="华文仿宋" w:cs="Times New Roman"/>
      <w:b/>
      <w:sz w:val="28"/>
      <w:szCs w:val="28"/>
      <w:lang w:val="en-GB"/>
    </w:rPr>
  </w:style>
  <w:style w:type="paragraph" w:styleId="1025" w:customStyle="1">
    <w:name w:val="MAICO light"/>
    <w:basedOn w:val="941"/>
    <w:link w:val="1024"/>
    <w:uiPriority w:val="99"/>
    <w:qFormat/>
    <w:pPr>
      <w:ind w:firstLine="561"/>
      <w:spacing w:line="360" w:lineRule="auto"/>
      <w:widowControl/>
    </w:pPr>
    <w:rPr>
      <w:rFonts w:ascii="华文仿宋" w:hAnsi="华文仿宋" w:eastAsia="华文仿宋"/>
      <w:b/>
      <w:sz w:val="28"/>
      <w:szCs w:val="28"/>
      <w:lang w:val="en-GB"/>
    </w:rPr>
  </w:style>
  <w:style w:type="paragraph" w:styleId="1026" w:customStyle="1">
    <w:name w:val="p22"/>
    <w:basedOn w:val="941"/>
    <w:uiPriority w:val="99"/>
    <w:qFormat/>
    <w:pPr>
      <w:ind w:left="720"/>
      <w:jc w:val="left"/>
      <w:spacing w:line="360" w:lineRule="auto"/>
      <w:widowControl/>
    </w:pPr>
    <w:rPr>
      <w:rFonts w:ascii="Verdana" w:hAnsi="Verdana" w:cs="宋体"/>
      <w:sz w:val="24"/>
    </w:rPr>
  </w:style>
  <w:style w:type="paragraph" w:styleId="1027"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28" w:customStyle="1">
    <w:name w:val="批注框文本 字符"/>
    <w:link w:val="961"/>
    <w:uiPriority w:val="99"/>
    <w:qFormat/>
    <w:rPr>
      <w:rFonts w:cs="Times New Roman"/>
      <w:sz w:val="18"/>
      <w:szCs w:val="18"/>
    </w:rPr>
  </w:style>
  <w:style w:type="paragraph" w:styleId="1029" w:customStyle="1">
    <w:name w:val="Char Char3 Char Char"/>
    <w:basedOn w:val="941"/>
    <w:uiPriority w:val="99"/>
    <w:qFormat/>
    <w:rPr>
      <w:rFonts w:ascii="Tahoma" w:hAnsi="Tahoma"/>
      <w:sz w:val="24"/>
      <w:szCs w:val="20"/>
    </w:rPr>
  </w:style>
  <w:style w:type="paragraph" w:styleId="1030"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31" w:customStyle="1">
    <w:name w:val="默认段落字体 Para Char Char Char Char"/>
    <w:basedOn w:val="941"/>
    <w:uiPriority w:val="99"/>
    <w:qFormat/>
    <w:rPr>
      <w:szCs w:val="21"/>
    </w:rPr>
  </w:style>
  <w:style w:type="paragraph" w:styleId="1032" w:customStyle="1">
    <w:name w:val="p0"/>
    <w:uiPriority w:val="0"/>
    <w:qFormat/>
    <w:rPr>
      <w:rFonts w:ascii="Times New Roman" w:hAnsi="Times New Roman" w:eastAsia="宋体" w:cs="Times New Roman"/>
      <w:szCs w:val="21"/>
      <w:lang w:val="en-US" w:eastAsia="zh-CN" w:bidi="ar-SA"/>
    </w:rPr>
  </w:style>
  <w:style w:type="character" w:styleId="1033" w:customStyle="1">
    <w:name w:val="mark"/>
    <w:basedOn w:val="947"/>
    <w:uiPriority w:val="0"/>
    <w:qFormat/>
  </w:style>
  <w:style w:type="paragraph" w:styleId="1034" w:customStyle="1">
    <w:name w:val="ITB-0"/>
    <w:basedOn w:val="941"/>
    <w:uiPriority w:val="0"/>
    <w:qFormat/>
    <w:pPr>
      <w:jc w:val="center"/>
    </w:pPr>
    <w:rPr>
      <w:b/>
      <w:sz w:val="32"/>
      <w:szCs w:val="20"/>
    </w:rPr>
  </w:style>
  <w:style w:type="character" w:styleId="1035" w:customStyle="1">
    <w:name w:val="bot_zi"/>
    <w:basedOn w:val="947"/>
    <w:uiPriority w:val="0"/>
    <w:qFormat/>
  </w:style>
  <w:style w:type="character" w:styleId="1036" w:customStyle="1">
    <w:name w:val="font31"/>
    <w:uiPriority w:val="0"/>
    <w:qFormat/>
    <w:rPr>
      <w:rFonts w:hint="eastAsia" w:ascii="宋体" w:hAnsi="宋体" w:eastAsia="宋体" w:cs="宋体"/>
      <w:color w:val="000000"/>
      <w:sz w:val="24"/>
      <w:szCs w:val="24"/>
      <w:u w:val="none"/>
    </w:rPr>
  </w:style>
  <w:style w:type="paragraph" w:styleId="1037" w:customStyle="1">
    <w:name w:val="s3"/>
    <w:basedOn w:val="941"/>
    <w:uiPriority w:val="0"/>
    <w:qFormat/>
    <w:pPr>
      <w:jc w:val="left"/>
      <w:spacing w:before="100" w:beforeAutospacing="1" w:after="100" w:afterAutospacing="1"/>
      <w:widowControl/>
    </w:pPr>
    <w:rPr>
      <w:rFonts w:ascii="宋体" w:hAnsi="宋体" w:cs="宋体"/>
      <w:sz w:val="24"/>
    </w:rPr>
  </w:style>
  <w:style w:type="paragraph" w:styleId="1038" w:customStyle="1">
    <w:name w:val="s7"/>
    <w:basedOn w:val="941"/>
    <w:uiPriority w:val="0"/>
    <w:qFormat/>
    <w:pPr>
      <w:jc w:val="left"/>
      <w:spacing w:before="100" w:beforeAutospacing="1" w:after="100" w:afterAutospacing="1"/>
      <w:widowControl/>
    </w:pPr>
    <w:rPr>
      <w:rFonts w:ascii="宋体" w:hAnsi="宋体" w:cs="宋体"/>
      <w:sz w:val="24"/>
    </w:rPr>
  </w:style>
  <w:style w:type="character" w:styleId="1039" w:customStyle="1">
    <w:name w:val="bumpedfont15"/>
    <w:basedOn w:val="947"/>
    <w:uiPriority w:val="0"/>
    <w:qFormat/>
  </w:style>
  <w:style w:type="character" w:styleId="1040" w:customStyle="1">
    <w:name w:val="bumpedfont20"/>
    <w:basedOn w:val="947"/>
    <w:uiPriority w:val="0"/>
    <w:qFormat/>
  </w:style>
  <w:style w:type="character" w:styleId="1041" w:customStyle="1">
    <w:name w:val="标题一级 Char"/>
    <w:link w:val="1042"/>
    <w:uiPriority w:val="0"/>
    <w:qFormat/>
    <w:rPr>
      <w:rFonts w:ascii="宋体" w:hAnsi="宋体" w:cs="宋体"/>
      <w:b/>
      <w:sz w:val="24"/>
      <w:szCs w:val="24"/>
    </w:rPr>
  </w:style>
  <w:style w:type="paragraph" w:styleId="1042" w:customStyle="1">
    <w:name w:val="标题一级"/>
    <w:basedOn w:val="941"/>
    <w:link w:val="1041"/>
    <w:uiPriority w:val="0"/>
    <w:qFormat/>
    <w:pPr>
      <w:spacing w:line="276" w:lineRule="auto"/>
      <w:outlineLvl w:val="2"/>
    </w:pPr>
    <w:rPr>
      <w:rFonts w:ascii="宋体" w:hAnsi="宋体" w:cs="宋体"/>
      <w:b/>
      <w:sz w:val="24"/>
    </w:rPr>
  </w:style>
  <w:style w:type="character" w:styleId="1043">
    <w:name w:val="Placeholder Text"/>
    <w:uiPriority w:val="99"/>
    <w:semiHidden/>
    <w:qFormat/>
    <w:rPr>
      <w:color w:val="808080"/>
    </w:rPr>
  </w:style>
  <w:style w:type="table" w:styleId="1044" w:customStyle="1">
    <w:name w:val="网格型1"/>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5" w:customStyle="1">
    <w:name w:val="标题二级"/>
    <w:basedOn w:val="941"/>
    <w:uiPriority w:val="0"/>
    <w:qFormat/>
    <w:rPr>
      <w:rFonts w:ascii="宋体" w:hAnsi="宋体"/>
      <w:szCs w:val="21"/>
    </w:rPr>
  </w:style>
  <w:style w:type="character" w:styleId="1046" w:customStyle="1">
    <w:name w:val="font01"/>
    <w:basedOn w:val="947"/>
    <w:uiPriority w:val="0"/>
    <w:qFormat/>
    <w:rPr>
      <w:rFonts w:hint="eastAsia" w:ascii="宋体" w:hAnsi="宋体" w:eastAsia="宋体" w:cs="宋体"/>
      <w:color w:val="000000"/>
      <w:sz w:val="22"/>
      <w:szCs w:val="22"/>
      <w:u w:val="none"/>
    </w:rPr>
  </w:style>
  <w:style w:type="character" w:styleId="1047" w:customStyle="1">
    <w:name w:val="font21"/>
    <w:basedOn w:val="947"/>
    <w:uiPriority w:val="0"/>
    <w:qFormat/>
    <w:rPr>
      <w:rFonts w:hint="eastAsia" w:ascii="宋体" w:hAnsi="宋体" w:eastAsia="宋体" w:cs="宋体"/>
      <w:color w:val="0000ff"/>
      <w:sz w:val="21"/>
      <w:szCs w:val="21"/>
      <w:u w:val="none"/>
    </w:rPr>
  </w:style>
  <w:style w:type="character" w:styleId="1048" w:customStyle="1">
    <w:name w:val="font11"/>
    <w:basedOn w:val="947"/>
    <w:uiPriority w:val="0"/>
    <w:qFormat/>
    <w:rPr>
      <w:rFonts w:hint="eastAsia" w:ascii="宋体" w:hAnsi="宋体" w:eastAsia="宋体" w:cs="宋体"/>
      <w:color w:val="000000"/>
      <w:sz w:val="21"/>
      <w:szCs w:val="21"/>
      <w:u w:val="none"/>
    </w:rPr>
  </w:style>
  <w:style w:type="character" w:styleId="1049" w:customStyle="1">
    <w:name w:val="font41"/>
    <w:basedOn w:val="947"/>
    <w:uiPriority w:val="0"/>
    <w:qFormat/>
    <w:rPr>
      <w:rFonts w:hint="eastAsia" w:ascii="宋体" w:hAnsi="宋体" w:eastAsia="宋体" w:cs="宋体"/>
      <w:color w:val="ff0000"/>
      <w:sz w:val="22"/>
      <w:szCs w:val="22"/>
      <w:u w:val="none"/>
    </w:rPr>
  </w:style>
  <w:style w:type="character" w:styleId="1050" w:customStyle="1">
    <w:name w:val="font61"/>
    <w:basedOn w:val="947"/>
    <w:uiPriority w:val="0"/>
    <w:qFormat/>
    <w:rPr>
      <w:rFonts w:hint="eastAsia" w:ascii="宋体" w:hAnsi="宋体" w:eastAsia="宋体" w:cs="宋体"/>
      <w:color w:val="000000"/>
      <w:sz w:val="24"/>
      <w:szCs w:val="24"/>
      <w:u w:val="none"/>
    </w:rPr>
  </w:style>
  <w:style w:type="character" w:styleId="1051" w:customStyle="1">
    <w:name w:val="font51"/>
    <w:basedOn w:val="947"/>
    <w:uiPriority w:val="0"/>
    <w:qFormat/>
    <w:rPr>
      <w:rFonts w:ascii="Calibri" w:hAnsi="Calibri" w:cs="Calibri"/>
      <w:color w:val="000000"/>
      <w:sz w:val="24"/>
      <w:szCs w:val="24"/>
      <w:u w:val="none"/>
    </w:rPr>
  </w:style>
  <w:style w:type="character" w:styleId="1052" w:customStyle="1">
    <w:name w:val="font71"/>
    <w:basedOn w:val="947"/>
    <w:uiPriority w:val="0"/>
    <w:qFormat/>
    <w:rPr>
      <w:rFonts w:hint="eastAsia" w:ascii="宋体" w:hAnsi="宋体" w:eastAsia="宋体" w:cs="宋体"/>
      <w:color w:val="000000"/>
      <w:sz w:val="18"/>
      <w:szCs w:val="18"/>
      <w:u w:val="none"/>
    </w:rPr>
  </w:style>
  <w:style w:type="character" w:styleId="1053" w:customStyle="1">
    <w:name w:val="批注文字 字符"/>
    <w:basedOn w:val="947"/>
    <w:link w:val="951"/>
    <w:uiPriority w:val="99"/>
    <w:qFormat/>
    <w:rPr>
      <w:sz w:val="21"/>
      <w:szCs w:val="24"/>
    </w:rPr>
  </w:style>
  <w:style w:type="character" w:styleId="1054" w:customStyle="1">
    <w:name w:val="批注主题 字符"/>
    <w:basedOn w:val="1053"/>
    <w:link w:val="970"/>
    <w:uiPriority w:val="99"/>
    <w:semiHidden/>
    <w:qFormat/>
    <w:rPr>
      <w:b/>
      <w:bCs/>
      <w:sz w:val="21"/>
      <w:szCs w:val="24"/>
    </w:rPr>
  </w:style>
  <w:style w:type="character" w:styleId="1055" w:customStyle="1">
    <w:name w:val="font81"/>
    <w:basedOn w:val="947"/>
    <w:uiPriority w:val="0"/>
    <w:qFormat/>
    <w:rPr>
      <w:rFonts w:hint="default" w:ascii="Calibri" w:hAnsi="Calibri" w:cs="Calibri"/>
      <w:color w:val="000000"/>
      <w:sz w:val="22"/>
      <w:szCs w:val="22"/>
      <w:u w:val="none"/>
    </w:rPr>
  </w:style>
  <w:style w:type="paragraph" w:styleId="1056" w:customStyle="1">
    <w:name w:val="正文文本1"/>
    <w:basedOn w:val="941"/>
    <w:next w:val="941"/>
    <w:uiPriority w:val="0"/>
    <w:qFormat/>
    <w:pPr>
      <w:spacing w:line="60" w:lineRule="auto"/>
    </w:pPr>
    <w:rPr>
      <w:rFonts w:ascii="仿宋_GB2312" w:eastAsia="仿宋_GB2312"/>
      <w:sz w:val="32"/>
    </w:rPr>
  </w:style>
  <w:style w:type="paragraph" w:styleId="1057"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1058" w:customStyle="1">
    <w:name w:val="页脚1"/>
    <w:basedOn w:val="941"/>
    <w:uiPriority w:val="0"/>
    <w:qFormat/>
    <w:pPr>
      <w:jc w:val="left"/>
      <w:tabs>
        <w:tab w:val="center" w:pos="4153" w:leader="none"/>
        <w:tab w:val="right" w:pos="8306" w:leader="none"/>
      </w:tabs>
    </w:pPr>
    <w:rPr>
      <w:sz w:val="18"/>
      <w:szCs w:val="18"/>
    </w:rPr>
  </w:style>
  <w:style w:type="character" w:styleId="1059" w:customStyle="1">
    <w:name w:val="页码1"/>
    <w:uiPriority w:val="0"/>
    <w:qFormat/>
    <w:rPr>
      <w:rFonts w:ascii="Times New Roman" w:hAnsi="Times New Roman" w:eastAsia="宋体" w:cs="Times New Roman"/>
      <w:sz w:val="21"/>
      <w:szCs w:val="24"/>
      <w:lang w:val="en-US" w:eastAsia="zh-CN" w:bidi="ar-SA"/>
    </w:rPr>
  </w:style>
  <w:style w:type="paragraph" w:styleId="1060" w:customStyle="1">
    <w:name w:val="_Style 1"/>
    <w:basedOn w:val="941"/>
    <w:uiPriority w:val="34"/>
    <w:qFormat/>
    <w:pPr>
      <w:ind w:firstLine="420"/>
    </w:pPr>
  </w:style>
  <w:style w:type="paragraph" w:styleId="106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62" w:customStyle="1">
    <w:name w:val="标题 字符"/>
    <w:link w:val="969"/>
    <w:uiPriority w:val="0"/>
    <w:qFormat/>
    <w:rPr>
      <w:rFonts w:asciiTheme="majorHAnsi" w:hAnsiTheme="majorHAnsi" w:eastAsiaTheme="majorEastAsia" w:cstheme="majorBidi"/>
      <w:b/>
      <w:bCs/>
      <w:sz w:val="32"/>
      <w:szCs w:val="32"/>
    </w:rPr>
  </w:style>
  <w:style w:type="character" w:styleId="1063" w:customStyle="1">
    <w:name w:val="正文文本 2 字符"/>
    <w:basedOn w:val="947"/>
    <w:link w:val="967"/>
    <w:uiPriority w:val="0"/>
    <w:qFormat/>
    <w:rPr>
      <w:rFonts w:cs="Times New Roman"/>
      <w:sz w:val="21"/>
      <w:szCs w:val="24"/>
    </w:rPr>
  </w:style>
  <w:style w:type="paragraph" w:styleId="1064" w:customStyle="1">
    <w:name w:val="正文文本缩进 21"/>
    <w:basedOn w:val="941"/>
    <w:uiPriority w:val="0"/>
    <w:qFormat/>
    <w:pPr>
      <w:ind w:firstLine="560"/>
      <w:spacing w:line="520" w:lineRule="exact"/>
    </w:pPr>
    <w:rPr>
      <w:rFonts w:ascii="楷体_GB2312" w:eastAsia="楷体_GB2312"/>
      <w:sz w:val="28"/>
      <w:szCs w:val="28"/>
    </w:rPr>
  </w:style>
  <w:style w:type="paragraph" w:styleId="1065" w:customStyle="1">
    <w:name w:val="普通正文"/>
    <w:basedOn w:val="941"/>
    <w:uiPriority w:val="0"/>
    <w:qFormat/>
    <w:pPr>
      <w:ind w:firstLine="480"/>
      <w:jc w:val="left"/>
      <w:spacing w:before="120" w:after="120" w:line="360" w:lineRule="auto"/>
    </w:pPr>
    <w:rPr>
      <w:rFonts w:ascii="宋体" w:hAnsi="宋体" w:cs="宋体"/>
      <w:b/>
      <w:sz w:val="30"/>
      <w:szCs w:val="30"/>
    </w:rPr>
  </w:style>
  <w:style w:type="character" w:styleId="1066" w:customStyle="1">
    <w:name w:val="wyg1"/>
    <w:uiPriority w:val="0"/>
    <w:qFormat/>
    <w:rPr>
      <w:color w:val="000000"/>
      <w:sz w:val="20"/>
      <w:szCs w:val="20"/>
      <w:u w:val="none"/>
    </w:rPr>
  </w:style>
  <w:style w:type="character" w:styleId="1067" w:customStyle="1">
    <w:name w:val="s141"/>
    <w:uiPriority w:val="0"/>
    <w:qFormat/>
    <w:rPr>
      <w:rFonts w:ascii="_x000B__x000C_" w:hAnsi="_x000B__x000C_"/>
      <w:sz w:val="21"/>
      <w:szCs w:val="21"/>
    </w:rPr>
  </w:style>
  <w:style w:type="character" w:styleId="1068" w:customStyle="1">
    <w:name w:val="正文首行缩进 字符"/>
    <w:basedOn w:val="1000"/>
    <w:link w:val="971"/>
    <w:uiPriority w:val="99"/>
    <w:semiHidden/>
    <w:qFormat/>
    <w:rPr>
      <w:rFonts w:ascii="Times New Roman" w:hAnsi="Times New Roman" w:cs="Times New Roman"/>
      <w:sz w:val="21"/>
      <w:szCs w:val="24"/>
    </w:rPr>
  </w:style>
  <w:style w:type="table" w:styleId="1069" w:customStyle="1">
    <w:name w:val="List Table 6 Colorful - Accent 2"/>
    <w:basedOn w:val="948"/>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070" w:customStyle="1">
    <w:name w:val="要点1"/>
    <w:basedOn w:val="947"/>
    <w:uiPriority w:val="0"/>
    <w:qFormat/>
    <w:rPr>
      <w:b/>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12</cp:revision>
  <dcterms:created xsi:type="dcterms:W3CDTF">2025-10-18T07:09:00Z</dcterms:created>
  <dcterms:modified xsi:type="dcterms:W3CDTF">2026-07-27T06:09:16Z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716FC03B6B7749A2903CFD92132BCB80_13</vt:lpwstr>
  </property>
  <property fmtid="{D5CDD505-2E9C-101B-9397-08002B2CF9AE}" pid="4" name="KSOTemplateDocerSaveRecord">
    <vt:lpwstr>eyJoZGlkIjoiNmRjMTg3ZjVkMjAxODI5YzAxMWEwNjQ0YmJlMTYwMjgiLCJ1c2VySWQiOiI1NTAwODM5MzUifQ==</vt:lpwstr>
  </property>
</Properties>
</file>