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hint="eastAsia" w:ascii="宋体" w:hAnsi="宋体" w:eastAsia="宋体" w:cs="宋体"/>
          <w:b/>
          <w:color w:val="auto"/>
          <w:sz w:val="72"/>
          <w:szCs w:val="72"/>
          <w:highlight w:val="none"/>
          <w:lang w:eastAsia="zh-CN"/>
        </w:rPr>
      </w:pPr>
      <w:r/>
      <w:bookmarkStart w:id="46" w:name="_GoBack"/>
      <w:r/>
      <w:bookmarkEnd w:id="46"/>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pStyle w:val="1104"/>
        <w:rPr>
          <w:color w:val="auto"/>
          <w:highlight w:val="none"/>
          <w:lang w:eastAsia="zh-CN"/>
        </w:rPr>
      </w:pPr>
      <w:r>
        <w:rPr>
          <w:color w:val="auto"/>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t xml:space="preserve"> </w:t>
      </w:r>
      <w:r/>
    </w:p>
    <w:p>
      <w:pPr>
        <w:ind w:firstLine="0"/>
        <w:jc w:val="both"/>
        <w:spacing w:line="240" w:lineRule="auto"/>
        <w:widowControl w:val="off"/>
        <w:tabs>
          <w:tab w:val="left" w:pos="7544" w:leader="none"/>
        </w:tabs>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号：JSZC-320205-WXSM-G2026-0015</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ab/>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3017" w:right="-139" w:hanging="3004"/>
        <w:jc w:val="both"/>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天一实验学校文景校区操场面层采购</w:t>
      </w:r>
      <w:r/>
    </w:p>
    <w:p>
      <w:pPr>
        <w:pStyle w:val="1104"/>
        <w:rPr>
          <w:color w:val="auto"/>
          <w:highlight w:val="none"/>
          <w:lang w:eastAsia="zh-CN"/>
        </w:rPr>
      </w:pPr>
      <w:r>
        <w:rPr>
          <w:color w:val="auto"/>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人：无锡锡东新城商务区开发建设管理中心</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构：无锡苏名建设咨询有限公司</w:t>
      </w:r>
      <w:r/>
    </w:p>
    <w:p>
      <w:pPr>
        <w:ind w:right="-28"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hint="eastAsia" w:ascii="宋体" w:hAnsi="宋体" w:cs="宋体"/>
          <w:b/>
          <w:bCs/>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lang w:val="en-US" w:eastAsia="zh-CN"/>
        </w:rPr>
      </w:r>
      <w:r>
        <w:rPr>
          <w:rFonts w:hint="eastAsia" w:ascii="宋体" w:hAnsi="宋体" w:cs="宋体"/>
          <w:b/>
          <w:color w:val="auto"/>
          <w:sz w:val="32"/>
          <w:szCs w:val="32"/>
          <w:highlight w:val="none"/>
          <w:lang w:eastAsia="zh-CN"/>
        </w:rPr>
        <w:t xml:space="preserve">月</w:t>
      </w:r>
      <w:r/>
    </w:p>
    <w:p>
      <w:pPr>
        <w:ind w:firstLine="0"/>
        <w:jc w:val="center"/>
        <w:spacing w:line="240" w:lineRule="auto"/>
        <w:widowControl w:val="off"/>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rPr>
          <w:rFonts w:ascii="宋体" w:hAnsi="宋体" w:cs="宋体"/>
          <w:b/>
          <w:bCs/>
          <w:color w:val="auto"/>
          <w:sz w:val="32"/>
          <w:szCs w:val="32"/>
          <w:highlight w:val="none"/>
          <w:lang w:eastAsia="zh-CN"/>
        </w:rPr>
      </w:r>
      <w:r/>
    </w:p>
    <w:p>
      <w:pPr>
        <w:ind w:firstLine="0"/>
        <w:jc w:val="center"/>
        <w:spacing w:line="240" w:lineRule="auto"/>
        <w:widowControl w:val="off"/>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rPr>
          <w:rFonts w:ascii="宋体" w:hAnsi="宋体" w:cs="宋体"/>
          <w:b/>
          <w:bCs/>
          <w:color w:val="auto"/>
          <w:sz w:val="32"/>
          <w:szCs w:val="32"/>
          <w:highlight w:val="none"/>
          <w:lang w:eastAsia="zh-CN"/>
        </w:rPr>
      </w:r>
      <w:r/>
    </w:p>
    <w:p>
      <w:pPr>
        <w:ind w:firstLine="0"/>
        <w:jc w:val="center"/>
        <w:spacing w:line="240" w:lineRule="auto"/>
        <w:widowControl w:val="off"/>
        <w:rPr>
          <w:rFonts w:ascii="宋体" w:hAnsi="宋体" w:cs="宋体"/>
          <w:b/>
          <w:bCs/>
          <w:color w:val="auto"/>
          <w:sz w:val="32"/>
          <w:szCs w:val="32"/>
          <w:highlight w:val="none"/>
          <w:lang w:eastAsia="zh-CN"/>
        </w:rPr>
      </w:pPr>
      <w:r>
        <w:rPr>
          <w:rFonts w:hint="eastAsia" w:ascii="宋体" w:hAnsi="宋体" w:cs="宋体"/>
          <w:b/>
          <w:color w:val="auto"/>
          <w:sz w:val="32"/>
          <w:szCs w:val="32"/>
          <w:highlight w:val="none"/>
          <w:lang w:eastAsia="zh-CN"/>
        </w:rPr>
      </w:r>
      <w:r>
        <w:rPr>
          <w:rFonts w:hint="eastAsia" w:ascii="宋体" w:hAnsi="宋体" w:cs="宋体"/>
          <w:b/>
          <w:color w:val="auto"/>
          <w:sz w:val="32"/>
          <w:szCs w:val="32"/>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sdt>
      <w:sdtPr>
        <w15:appearance w15:val="boundingBox"/>
        <w:id w:val="-1"/>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1132"/>
            <w:jc w:val="center"/>
            <w:rPr>
              <w:rFonts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1112"/>
            <w:rPr>
              <w:rFonts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1118"/>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1112"/>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1118"/>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 xml:space="preserve">6</w:t>
          </w:r>
          <w:r>
            <w:rPr>
              <w:color w:val="auto"/>
              <w:sz w:val="36"/>
              <w:szCs w:val="36"/>
              <w:highlight w:val="none"/>
            </w:rPr>
            <w:fldChar w:fldCharType="end"/>
          </w:r>
          <w:r>
            <w:rPr>
              <w:color w:val="auto"/>
              <w:sz w:val="36"/>
              <w:szCs w:val="36"/>
              <w:highlight w:val="none"/>
            </w:rPr>
            <w:fldChar w:fldCharType="end"/>
          </w:r>
          <w:r/>
        </w:p>
        <w:p>
          <w:pPr>
            <w:pStyle w:val="1112"/>
            <w:rPr>
              <w:rFonts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1118"/>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21</w:t>
          </w:r>
          <w:r>
            <w:rPr>
              <w:color w:val="auto"/>
              <w:sz w:val="36"/>
              <w:szCs w:val="36"/>
              <w:highlight w:val="none"/>
            </w:rPr>
            <w:fldChar w:fldCharType="end"/>
          </w:r>
          <w:r>
            <w:rPr>
              <w:color w:val="auto"/>
              <w:sz w:val="36"/>
              <w:szCs w:val="36"/>
              <w:highlight w:val="none"/>
            </w:rPr>
            <w:fldChar w:fldCharType="end"/>
          </w:r>
          <w:r/>
        </w:p>
        <w:p>
          <w:pPr>
            <w:pStyle w:val="1112"/>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1118"/>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_Toc161316667 \h </w:instrText>
          </w:r>
          <w:r>
            <w:rPr>
              <w:color w:val="auto"/>
              <w:sz w:val="36"/>
              <w:szCs w:val="36"/>
              <w:highlight w:val="none"/>
            </w:rPr>
            <w:fldChar w:fldCharType="separate"/>
          </w:r>
          <w:r>
            <w:rPr>
              <w:color w:val="auto"/>
              <w:sz w:val="36"/>
              <w:szCs w:val="36"/>
              <w:highlight w:val="none"/>
            </w:rPr>
            <w:t xml:space="preserve">31</w:t>
          </w:r>
          <w:r>
            <w:rPr>
              <w:color w:val="auto"/>
              <w:sz w:val="36"/>
              <w:szCs w:val="36"/>
              <w:highlight w:val="none"/>
            </w:rPr>
            <w:fldChar w:fldCharType="end"/>
          </w:r>
          <w:r>
            <w:rPr>
              <w:color w:val="auto"/>
              <w:sz w:val="36"/>
              <w:szCs w:val="36"/>
              <w:highlight w:val="none"/>
            </w:rPr>
            <w:fldChar w:fldCharType="end"/>
          </w:r>
          <w:r/>
        </w:p>
        <w:p>
          <w:pPr>
            <w:pStyle w:val="1112"/>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1118"/>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_Toc161316668 \h </w:instrText>
          </w:r>
          <w:r>
            <w:rPr>
              <w:color w:val="auto"/>
              <w:sz w:val="36"/>
              <w:szCs w:val="36"/>
              <w:highlight w:val="none"/>
            </w:rPr>
            <w:fldChar w:fldCharType="separate"/>
          </w:r>
          <w:r>
            <w:rPr>
              <w:color w:val="auto"/>
              <w:sz w:val="36"/>
              <w:szCs w:val="36"/>
              <w:highlight w:val="none"/>
            </w:rPr>
            <w:t xml:space="preserve">45</w:t>
          </w:r>
          <w:r>
            <w:rPr>
              <w:color w:val="auto"/>
              <w:sz w:val="36"/>
              <w:szCs w:val="36"/>
              <w:highlight w:val="none"/>
            </w:rPr>
            <w:fldChar w:fldCharType="end"/>
          </w:r>
          <w:r>
            <w:rPr>
              <w:color w:val="auto"/>
              <w:sz w:val="36"/>
              <w:szCs w:val="36"/>
              <w:highlight w:val="none"/>
            </w:rPr>
            <w:fldChar w:fldCharType="end"/>
          </w:r>
          <w:r/>
        </w:p>
        <w:p>
          <w:pPr>
            <w:pStyle w:val="1113"/>
            <w:ind w:left="480" w:firstLine="480"/>
            <w:tabs>
              <w:tab w:val="right" w:pos="8296" w:leader="dot"/>
            </w:tabs>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1118"/>
              <w:color w:val="auto"/>
              <w:sz w:val="36"/>
              <w:szCs w:val="36"/>
              <w:highlight w:val="none"/>
              <w:lang w:eastAsia="zh-CN"/>
            </w:rPr>
            <w:t xml:space="preserve">附件一：评分标准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_Toc161316669 \h </w:instrText>
          </w:r>
          <w:r>
            <w:rPr>
              <w:color w:val="auto"/>
              <w:sz w:val="36"/>
              <w:szCs w:val="36"/>
              <w:highlight w:val="none"/>
            </w:rPr>
            <w:fldChar w:fldCharType="separate"/>
          </w:r>
          <w:r>
            <w:rPr>
              <w:color w:val="auto"/>
              <w:sz w:val="36"/>
              <w:szCs w:val="36"/>
              <w:highlight w:val="none"/>
            </w:rPr>
            <w:t xml:space="preserve">45</w:t>
          </w:r>
          <w:r>
            <w:rPr>
              <w:color w:val="auto"/>
              <w:sz w:val="36"/>
              <w:szCs w:val="36"/>
              <w:highlight w:val="none"/>
            </w:rPr>
            <w:fldChar w:fldCharType="end"/>
          </w:r>
          <w:r>
            <w:rPr>
              <w:color w:val="auto"/>
              <w:sz w:val="36"/>
              <w:szCs w:val="36"/>
              <w:highlight w:val="none"/>
            </w:rPr>
            <w:fldChar w:fldCharType="end"/>
          </w:r>
          <w:r/>
        </w:p>
        <w:p>
          <w:pPr>
            <w:pStyle w:val="1113"/>
            <w:ind w:left="480" w:firstLine="480"/>
            <w:tabs>
              <w:tab w:val="right" w:pos="8296" w:leader="dot"/>
            </w:tabs>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1118"/>
              <w:color w:val="auto"/>
              <w:sz w:val="36"/>
              <w:szCs w:val="36"/>
              <w:highlight w:val="none"/>
              <w:lang w:eastAsia="zh-CN"/>
            </w:rPr>
            <w:t xml:space="preserve">附件二：投标文件格式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_Toc161316670 \h </w:instrText>
          </w:r>
          <w:r>
            <w:rPr>
              <w:color w:val="auto"/>
              <w:sz w:val="36"/>
              <w:szCs w:val="36"/>
              <w:highlight w:val="none"/>
            </w:rPr>
            <w:fldChar w:fldCharType="separate"/>
          </w:r>
          <w:r>
            <w:rPr>
              <w:color w:val="auto"/>
              <w:sz w:val="36"/>
              <w:szCs w:val="36"/>
              <w:highlight w:val="none"/>
            </w:rPr>
            <w:t xml:space="preserve">48</w:t>
          </w:r>
          <w:r>
            <w:rPr>
              <w:color w:val="auto"/>
              <w:sz w:val="36"/>
              <w:szCs w:val="36"/>
              <w:highlight w:val="none"/>
            </w:rPr>
            <w:fldChar w:fldCharType="end"/>
          </w:r>
          <w:r>
            <w:rPr>
              <w:color w:val="auto"/>
              <w:sz w:val="36"/>
              <w:szCs w:val="36"/>
              <w:highlight w:val="none"/>
            </w:rPr>
            <w:fldChar w:fldCharType="end"/>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pStyle w:val="1096"/>
        <w:spacing w:after="24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
          <w:bCs w:val="0"/>
          <w:color w:val="auto"/>
          <w:szCs w:val="24"/>
          <w:highlight w:val="none"/>
          <w:lang w:eastAsia="zh-CN"/>
        </w:rPr>
        <w:t xml:space="preserve">无锡苏名建设咨询有限公司</w:t>
      </w:r>
      <w:r>
        <w:rPr>
          <w:rFonts w:hint="eastAsia" w:ascii="宋体" w:hAnsi="宋体" w:cs="Times New Roman"/>
          <w:bCs/>
          <w:color w:val="auto"/>
          <w:szCs w:val="24"/>
          <w:highlight w:val="none"/>
          <w:lang w:eastAsia="zh-CN"/>
        </w:rPr>
        <w:t xml:space="preserve">受</w:t>
      </w:r>
      <w:r>
        <w:rPr>
          <w:rFonts w:hint="eastAsia" w:ascii="宋体" w:hAnsi="宋体" w:cs="宋体"/>
          <w:b/>
          <w:bCs/>
          <w:color w:val="auto"/>
          <w:szCs w:val="24"/>
          <w:highlight w:val="none"/>
          <w:lang w:eastAsia="zh-CN"/>
        </w:rPr>
        <w:t xml:space="preserve">无锡锡东新城商务区开发建设管理中心</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天一实验学校文景校区操场面层采购</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天一实验学校文景校区操场面层采购</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w:t>
      </w:r>
      <w:r>
        <w:rPr>
          <w:rFonts w:hint="default" w:ascii="宋体" w:hAnsi="宋体" w:cs="宋体"/>
          <w:color w:val="auto"/>
          <w:szCs w:val="24"/>
          <w:highlight w:val="none"/>
          <w:lang w:val="en-US" w:eastAsia="zh-CN"/>
        </w:rPr>
        <w:t xml:space="preserve">JSZC-320205-WXSM-G2026-0015</w:t>
      </w:r>
      <w:r>
        <w:rPr>
          <w:rFonts w:hint="eastAsia" w:ascii="宋体" w:hAnsi="宋体" w:cs="宋体"/>
          <w:color w:val="auto"/>
          <w:szCs w:val="24"/>
          <w:highlight w:val="none"/>
          <w:lang w:eastAsia="zh-CN"/>
        </w:rPr>
        <w:t xml:space="preserve"> </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b/>
          <w:color w:val="auto"/>
          <w:szCs w:val="24"/>
          <w:highlight w:val="none"/>
          <w:lang w:eastAsia="zh-CN"/>
        </w:rPr>
        <w:t xml:space="preserve">投标最高限价为</w:t>
      </w:r>
      <w:r>
        <w:rPr>
          <w:rFonts w:ascii="宋体" w:hAnsi="宋体" w:cs="宋体"/>
          <w:b/>
          <w:color w:val="auto"/>
          <w:szCs w:val="24"/>
          <w:highlight w:val="none"/>
          <w:lang w:eastAsia="zh-CN"/>
        </w:rPr>
        <w:t xml:space="preserve">14</w:t>
      </w:r>
      <w:r>
        <w:rPr>
          <w:rFonts w:hint="eastAsia" w:ascii="宋体" w:hAnsi="宋体" w:cs="宋体"/>
          <w:b/>
          <w:color w:val="auto"/>
          <w:szCs w:val="24"/>
          <w:highlight w:val="none"/>
          <w:lang w:val="en-US" w:eastAsia="zh-CN"/>
        </w:rPr>
        <w:t xml:space="preserve">6</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4.交付周期：</w:t>
      </w:r>
      <w:r>
        <w:rPr>
          <w:rFonts w:hint="eastAsia" w:ascii="宋体" w:hAnsi="宋体" w:cs="宋体"/>
          <w:color w:val="auto"/>
          <w:szCs w:val="24"/>
          <w:highlight w:val="none"/>
          <w:lang w:val="en-US" w:eastAsia="zh-CN"/>
        </w:rPr>
        <w:t xml:space="preserve">合同签订后30天内完成供货并验收合格（具体开始时间以采购人通知为准）</w:t>
      </w:r>
      <w:r>
        <w:rPr>
          <w:rFonts w:hint="eastAsia" w:ascii="宋体" w:hAnsi="宋体" w:cs="宋体"/>
          <w:color w:val="auto"/>
          <w:szCs w:val="24"/>
          <w:highlight w:val="none"/>
          <w:lang w:eastAsia="zh-CN"/>
        </w:rPr>
        <w:t xml:space="preserve">。</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无锡锡东新城商务区开发建设管理中心</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highlight w:val="none"/>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.本项目是否专门面向中小企业：是</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3.落实政府采购政策需满足的资格要求：供应商为中小微企业/监狱企业/残疾人福利企业；</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本项目的特定资格要求：无。 </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采购人、招标代理机构将以电话咨询、邮箱（956490275@qq.com）等方式开展线上不见面答疑服务。截至2026年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21</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10:00</w:t>
      </w:r>
      <w:r>
        <w:rPr>
          <w:rFonts w:hint="eastAsia" w:ascii="宋体" w:hAnsi="宋体" w:cs="Times New Roman"/>
          <w:color w:val="auto"/>
          <w:szCs w:val="24"/>
          <w:highlight w:val="none"/>
          <w:lang w:eastAsia="zh-CN"/>
        </w:rPr>
        <w:t xml:space="preserve">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color w:val="auto"/>
          <w:szCs w:val="24"/>
          <w:highlight w:val="none"/>
          <w:lang w:eastAsia="zh-CN"/>
        </w:rPr>
      </w:r>
      <w:r>
        <w:rPr>
          <w:rFonts w:hint="default" w:ascii="宋体" w:hAnsi="宋体" w:cs="宋体"/>
          <w:color w:val="auto"/>
          <w:szCs w:val="24"/>
          <w:highlight w:val="none"/>
          <w:lang w:val="en-US" w:eastAsia="zh-CN"/>
        </w:rPr>
        <w:t xml:space="preserve">JSZC-320205-WXSM-G2026-0015</w:t>
      </w:r>
      <w:r/>
      <w:r>
        <w:rPr>
          <w:rFonts w:hint="eastAsia" w:ascii="宋体" w:hAnsi="宋体" w:cs="Times New Roman"/>
          <w:color w:val="auto"/>
          <w:szCs w:val="24"/>
          <w:highlight w:val="none"/>
          <w:lang w:eastAsia="zh-CN"/>
        </w:rPr>
      </w:r>
      <w:r>
        <w:rPr>
          <w:rFonts w:hint="eastAsia" w:ascii="宋体" w:hAnsi="宋体" w:cs="Times New Roman"/>
          <w:color w:val="auto"/>
          <w:szCs w:val="24"/>
          <w:highlight w:val="none"/>
          <w:lang w:eastAsia="zh-CN"/>
        </w:rPr>
        <w:t xml:space="preserve">需澄清问题”， 并于答疑截止时间前邮箱（956490275@qq.com）给项目联系人。若未在法定时间内提出澄清，由此造成的损失及风险由供应商自行承担。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9:30</w:t>
      </w:r>
      <w:r>
        <w:rPr>
          <w:rFonts w:hint="eastAsia" w:ascii="宋体" w:hAnsi="宋体" w:cs="Times New Roman"/>
          <w:color w:val="auto"/>
          <w:szCs w:val="24"/>
          <w:highlight w:val="none"/>
          <w:lang w:eastAsia="zh-CN"/>
        </w:rPr>
        <w:t xml:space="preserve">，投标截止时间后的投标文件恕不接受。</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日</w:t>
      </w:r>
      <w:r>
        <w:rPr>
          <w:rFonts w:ascii="宋体" w:hAnsi="宋体" w:cs="Times New Roman"/>
          <w:color w:val="auto"/>
          <w:szCs w:val="24"/>
          <w:highlight w:val="none"/>
          <w:lang w:eastAsia="zh-CN"/>
        </w:rPr>
        <w:t xml:space="preserve"> 9:30</w:t>
      </w:r>
      <w:r>
        <w:rPr>
          <w:rFonts w:hint="eastAsia" w:ascii="宋体" w:hAnsi="宋体" w:cs="Times New Roman"/>
          <w:color w:val="auto"/>
          <w:szCs w:val="24"/>
          <w:highlight w:val="none"/>
          <w:lang w:eastAsia="zh-CN"/>
        </w:rPr>
        <w:t xml:space="preserve">。</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2楼</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1.采购人：无锡锡东新城商务区开发建设管理中心</w:t>
      </w:r>
      <w:r/>
    </w:p>
    <w:p>
      <w:pPr>
        <w:ind w:firstLine="480"/>
        <w:shd w:val="clear" w:color="auto" w:fill="ffffff"/>
        <w:tabs>
          <w:tab w:val="left" w:pos="5148" w:leader="none"/>
        </w:tabs>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采购人地址：无锡安镇东兴路198号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w:t>
      </w:r>
      <w:r>
        <w:rPr>
          <w:rFonts w:hint="eastAsia" w:ascii="宋体" w:hAnsi="宋体" w:cs="Times New Roman"/>
          <w:color w:val="auto"/>
          <w:szCs w:val="24"/>
          <w:highlight w:val="none"/>
          <w:lang w:val="en-US" w:eastAsia="zh-CN"/>
        </w:rPr>
        <w:t xml:space="preserve">董明杰</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联系方式：0510-88535066</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无锡苏名建设咨询有限公司</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联系地址：无锡市锡山区东亭街道东亭中路20-2-2501</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w:t>
      </w:r>
      <w:r>
        <w:rPr>
          <w:rFonts w:hint="eastAsia" w:ascii="宋体" w:hAnsi="宋体" w:cs="Times New Roman"/>
          <w:color w:val="auto"/>
          <w:szCs w:val="24"/>
          <w:highlight w:val="none"/>
          <w:lang w:val="en-US" w:eastAsia="zh-CN"/>
        </w:rPr>
        <w:t xml:space="preserve">乔晟</w:t>
      </w:r>
      <w:r/>
    </w:p>
    <w:p>
      <w:pPr>
        <w:ind w:firstLine="480"/>
        <w:shd w:val="clear" w:color="auto" w:fill="ffffff"/>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 xml:space="preserve">联系电话：</w:t>
      </w:r>
      <w:r>
        <w:rPr>
          <w:rFonts w:hint="eastAsia" w:ascii="宋体" w:hAnsi="宋体" w:cs="Times New Roman"/>
          <w:color w:val="auto"/>
          <w:szCs w:val="24"/>
          <w:highlight w:val="none"/>
          <w:lang w:val="en-US" w:eastAsia="zh-CN"/>
        </w:rPr>
        <w:t xml:space="preserve">18811997779</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1096"/>
        <w:spacing w:after="240"/>
        <w:rPr>
          <w:rFonts w:ascii="黑体" w:hAnsi="黑体"/>
          <w:color w:val="auto"/>
          <w:szCs w:val="36"/>
          <w:highlight w:val="none"/>
          <w:lang w:eastAsia="zh-CN"/>
        </w:rPr>
      </w:pPr>
      <w:r/>
      <w:bookmarkStart w:id="8" w:name="_Toc161316665"/>
      <w:r>
        <w:rPr>
          <w:color w:val="auto"/>
          <w:highlight w:val="none"/>
          <w:lang w:eastAsia="zh-CN"/>
        </w:rPr>
        <w:br w:type="page" w:clear="all"/>
      </w:r>
      <w:r>
        <w:rPr>
          <w:rFonts w:hint="eastAsia"/>
          <w:color w:val="auto"/>
          <w:highlight w:val="none"/>
          <w:lang w:eastAsia="zh-CN"/>
        </w:rPr>
        <w:t xml:space="preserve">二、供应商须知</w:t>
      </w:r>
      <w:bookmarkEnd w:id="8"/>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 xml:space="preserve">956490275</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供应商情况表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8.</w:t>
      </w:r>
      <w:r>
        <w:rPr>
          <w:rFonts w:hint="eastAsia" w:ascii="宋体" w:hAnsi="宋体" w:cs="宋体"/>
          <w:color w:val="auto"/>
          <w:highlight w:val="none"/>
          <w:lang w:eastAsia="zh-CN"/>
        </w:rPr>
        <w:t xml:space="preserve">供应商近年已完成类似业绩一览表</w:t>
      </w:r>
      <w:r>
        <w:rPr>
          <w:rFonts w:hint="eastAsia" w:ascii="宋体" w:hAnsi="宋体" w:cs="宋体"/>
          <w:b/>
          <w:bCs/>
          <w:color w:val="auto"/>
          <w:szCs w:val="24"/>
          <w:highlight w:val="none"/>
          <w:lang w:eastAsia="zh-CN"/>
        </w:rPr>
        <w:t xml:space="preserve">（格式见附件）</w:t>
      </w:r>
      <w:r>
        <w:rPr>
          <w:rFonts w:hint="eastAsia" w:ascii="宋体" w:hAnsi="宋体" w:cs="宋体"/>
          <w:color w:val="auto"/>
          <w:highlight w:val="none"/>
          <w:lang w:eastAsia="zh-CN"/>
        </w:rPr>
        <w:t xml:space="preserve"> </w:t>
      </w:r>
      <w:r/>
    </w:p>
    <w:p>
      <w:pPr>
        <w:ind w:firstLine="480"/>
        <w:shd w:val="clear" w:color="auto" w:fill="ffffff"/>
        <w:rPr>
          <w:rFonts w:ascii="宋体" w:hAnsi="宋体" w:cs="宋体"/>
          <w:color w:val="auto"/>
          <w:highlight w:val="none"/>
          <w:lang w:eastAsia="zh-CN"/>
        </w:rPr>
      </w:pPr>
      <w:r>
        <w:rPr>
          <w:rFonts w:hint="eastAsia" w:ascii="宋体" w:hAnsi="宋体" w:cs="宋体"/>
          <w:color w:val="auto"/>
          <w:szCs w:val="24"/>
          <w:highlight w:val="none"/>
          <w:lang w:eastAsia="zh-CN"/>
        </w:rPr>
        <w:t xml:space="preserve">9.</w:t>
      </w:r>
      <w:r>
        <w:rPr>
          <w:rFonts w:hint="eastAsia" w:ascii="宋体" w:hAnsi="宋体" w:cs="宋体"/>
          <w:color w:val="auto"/>
          <w:highlight w:val="none"/>
          <w:lang w:eastAsia="zh-CN"/>
        </w:rPr>
        <w:t xml:space="preserve">提供第三章</w:t>
      </w:r>
      <w:r>
        <w:rPr>
          <w:rFonts w:hint="eastAsia" w:ascii="宋体" w:hAnsi="宋体" w:cs="宋体"/>
          <w:color w:val="auto"/>
          <w:szCs w:val="24"/>
          <w:highlight w:val="none"/>
          <w:lang w:eastAsia="zh-CN"/>
        </w:rPr>
        <w:t xml:space="preserve">采购需求和技术有关要求中</w:t>
      </w:r>
      <w:r>
        <w:rPr>
          <w:rFonts w:hint="eastAsia" w:ascii="宋体" w:hAnsi="宋体" w:cs="宋体"/>
          <w:color w:val="auto"/>
          <w:highlight w:val="none"/>
          <w:lang w:eastAsia="zh-CN"/>
        </w:rPr>
        <w:t xml:space="preserve">需提供的相关证明材料</w:t>
      </w:r>
      <w:r/>
    </w:p>
    <w:p>
      <w:pPr>
        <w:ind w:firstLine="480"/>
        <w:shd w:val="clear" w:color="auto" w:fill="ffffff"/>
        <w:rPr>
          <w:rFonts w:ascii="宋体" w:hAnsi="宋体" w:cs="宋体"/>
          <w:color w:val="auto"/>
          <w:highlight w:val="none"/>
          <w:lang w:eastAsia="zh-CN"/>
        </w:rPr>
      </w:pPr>
      <w:r>
        <w:rPr>
          <w:rFonts w:hint="eastAsia" w:ascii="宋体" w:hAnsi="宋体" w:cs="宋体"/>
          <w:color w:val="auto"/>
          <w:highlight w:val="none"/>
          <w:lang w:eastAsia="zh-CN"/>
        </w:rPr>
        <w:t xml:space="preserve">10.</w:t>
      </w:r>
      <w:r>
        <w:rPr>
          <w:rFonts w:hint="eastAsia" w:ascii="宋体" w:hAnsi="宋体" w:cs="宋体"/>
          <w:color w:val="auto"/>
          <w:szCs w:val="24"/>
          <w:highlight w:val="none"/>
          <w:lang w:eastAsia="zh-CN"/>
        </w:rPr>
        <w:t xml:space="preserve">技术方案</w:t>
      </w:r>
      <w:r>
        <w:rPr>
          <w:rFonts w:hint="eastAsia" w:ascii="宋体" w:hAnsi="宋体" w:cs="宋体"/>
          <w:b/>
          <w:bCs/>
          <w:color w:val="auto"/>
          <w:szCs w:val="24"/>
          <w:highlight w:val="none"/>
          <w:lang w:eastAsia="zh-CN"/>
        </w:rPr>
        <w:t xml:space="preserve">（详见评分标准）</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highlight w:val="none"/>
          <w:lang w:eastAsia="zh-CN"/>
        </w:rPr>
        <w:t xml:space="preserve">11.</w:t>
      </w:r>
      <w:r>
        <w:rPr>
          <w:rFonts w:hint="eastAsia" w:ascii="宋体" w:hAnsi="宋体" w:cs="宋体"/>
          <w:color w:val="auto"/>
          <w:szCs w:val="24"/>
          <w:highlight w:val="none"/>
          <w:lang w:eastAsia="zh-CN"/>
        </w:rPr>
        <w:t xml:space="preserve">评分标准中对应的其他所需证明材料</w:t>
      </w:r>
      <w:r>
        <w:rPr>
          <w:rFonts w:hint="eastAsia" w:ascii="宋体" w:hAnsi="宋体" w:cs="宋体"/>
          <w:b/>
          <w:bCs/>
          <w:color w:val="auto"/>
          <w:szCs w:val="24"/>
          <w:highlight w:val="none"/>
          <w:lang w:eastAsia="zh-CN"/>
        </w:rPr>
        <w:t xml:space="preserve">（详见评分标准）</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12.</w:t>
      </w:r>
      <w:r>
        <w:rPr>
          <w:rFonts w:hint="eastAsia" w:ascii="宋体" w:hAnsi="宋体" w:cs="宋体"/>
          <w:color w:val="auto"/>
          <w:highlight w:val="none"/>
          <w:lang w:eastAsia="zh-CN"/>
        </w:rPr>
        <w:t xml:space="preserve">要求采购人提供的配合（</w:t>
      </w:r>
      <w:r>
        <w:rPr>
          <w:rFonts w:hint="eastAsia" w:ascii="宋体" w:hAnsi="宋体" w:cs="宋体"/>
          <w:b/>
          <w:bCs/>
          <w:color w:val="auto"/>
          <w:szCs w:val="24"/>
          <w:highlight w:val="none"/>
          <w:lang w:eastAsia="zh-CN"/>
        </w:rPr>
        <w:t xml:space="preserve">如有格式自拟并自行添加）</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
          <w:bCs/>
          <w:color w:val="auto"/>
          <w:szCs w:val="24"/>
          <w:highlight w:val="none"/>
          <w:lang w:eastAsia="zh-CN"/>
        </w:rPr>
        <w:t xml:space="preserve">13.</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ind w:firstLine="426"/>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424"/>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19.</w:t>
      </w:r>
      <w:r>
        <w:rPr>
          <w:rFonts w:hint="eastAsia" w:ascii="宋体" w:hAnsi="宋体" w:cs="Times New Roman"/>
          <w:color w:val="auto"/>
          <w:szCs w:val="24"/>
          <w:highlight w:val="none"/>
          <w:lang w:eastAsia="zh-CN"/>
        </w:rPr>
        <w:t xml:space="preserve">未通过符合性审查的；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22.投标文件内容不全或不符合招标文件中规定的其他实质性要求的；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23.未按要求提供第三章采购需求和技术有关要求中须提供的相关证明材料的；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24.投标系统中不同投标供应商的MAC地址一致或标书制作工具客户端标识码一致的；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color w:val="auto"/>
          <w:szCs w:val="24"/>
          <w:highlight w:val="none"/>
          <w:lang w:eastAsia="zh-CN"/>
        </w:rPr>
        <w:t xml:space="preserve">2026</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）评审过程中出现下列情形之一的，评标委员会应当启动异常低价投标（响应）审查程序：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的，即投标（响应）报价＜全部通过符合性审查供应商投标（响应）报价平均值×</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的，即投标（响应）报价＜通过符合性审查的次低报价供应商投标（响应）报价×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投标（响应）报价低于采购项目最高限价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的，即投标（响应）报价＜采购项目最高限价×</w:t>
      </w:r>
      <w:r>
        <w:rPr>
          <w:rFonts w:ascii="宋体" w:hAnsi="宋体" w:cs="Times New Roman"/>
          <w:color w:val="auto"/>
          <w:szCs w:val="24"/>
          <w:highlight w:val="none"/>
          <w:lang w:eastAsia="zh-CN"/>
        </w:rPr>
        <w:t xml:space="preserve">65%</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评审委员会基于专业判断，认为供应商报价过低，有可能影响产品质量或者不能诚信履约的其他情形。</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分钟（本项目约定为：</w:t>
      </w:r>
      <w:r>
        <w:rPr>
          <w:rFonts w:ascii="宋体" w:hAnsi="宋体" w:cs="Times New Roman"/>
          <w:color w:val="auto"/>
          <w:szCs w:val="24"/>
          <w:highlight w:val="none"/>
          <w:lang w:eastAsia="zh-CN"/>
        </w:rPr>
        <w:t xml:space="preserve">30</w:t>
      </w:r>
      <w:r>
        <w:rPr>
          <w:rFonts w:hint="eastAsia" w:ascii="宋体" w:hAnsi="宋体" w:cs="Times New Roman"/>
          <w:color w:val="auto"/>
          <w:szCs w:val="24"/>
          <w:highlight w:val="none"/>
          <w:lang w:eastAsia="zh-CN"/>
        </w:rPr>
        <w:t xml:space="preserve">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101"/>
        <w:tblW w:w="10519" w:type="dxa"/>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376"/>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本项目不接受联合投标；不允许分包、转包（详见“投标邀请函”－“供应商资格要求”之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B．符合性检查。评标委员会依据招标文件的规定，从投标文件的有效性、完整性和对招标文件的响应程度进行审查，以确定是否对招标文件的实质性要求作出响应。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1101"/>
        <w:tblW w:w="10543" w:type="dxa"/>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236"/>
      </w:tblGrid>
      <w:tr>
        <w:trPr>
          <w:trHeight w:val="535"/>
        </w:trPr>
        <w:tc>
          <w:tcPr>
            <w:tcW w:w="75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6236"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23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7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236"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62"/>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236"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6236"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供应商情况表</w:t>
            </w:r>
            <w:r/>
          </w:p>
        </w:tc>
        <w:tc>
          <w:tcPr>
            <w:tcW w:w="6236"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725"/>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供应商近年来已完成类似业绩一览表</w:t>
            </w:r>
            <w:r/>
          </w:p>
        </w:tc>
        <w:tc>
          <w:tcPr>
            <w:tcW w:w="6236"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6236"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23"/>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6236"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650"/>
        </w:trPr>
        <w:tc>
          <w:tcPr>
            <w:tcW w:w="751"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623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shd w:val="clear" w:color="auto" w:fill="ffffff"/>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投标供应商通过初审的，方可进入比较与评价程序，本项目采用综合评分法。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hd w:val="clear" w:color="auto" w:fill="ffffff"/>
        <w:rPr>
          <w:rFonts w:ascii="宋体" w:hAnsi="宋体" w:cs="Times New Roman"/>
          <w:color w:val="auto"/>
          <w:szCs w:val="24"/>
          <w:highlight w:val="none"/>
          <w:lang w:eastAsia="zh-CN"/>
        </w:rPr>
      </w:pPr>
      <w:r/>
      <w:bookmarkStart w:id="12"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eastAsia="zh-CN"/>
        </w:rPr>
        <w:t xml:space="preserve">1.</w:t>
      </w:r>
      <w:r>
        <w:rPr>
          <w:rFonts w:hint="eastAsia" w:ascii="宋体" w:hAnsi="宋体" w:cs="Times New Roman"/>
          <w:bCs w:val="0"/>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Times New Roman"/>
          <w:bCs w:val="0"/>
          <w:color w:val="auto"/>
          <w:szCs w:val="24"/>
          <w:highlight w:val="none"/>
          <w:lang w:eastAsia="zh-CN"/>
        </w:rPr>
        <w:t xml:space="preserve">代理机构</w:t>
      </w:r>
      <w:r>
        <w:rPr>
          <w:rFonts w:hint="eastAsia" w:ascii="宋体" w:hAnsi="宋体" w:cs="Times New Roman"/>
          <w:bCs w:val="0"/>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Times New Roman"/>
          <w:bCs w:val="0"/>
          <w:color w:val="auto"/>
          <w:szCs w:val="24"/>
          <w:highlight w:val="none"/>
          <w:lang w:eastAsia="zh-CN"/>
        </w:rPr>
        <w:t xml:space="preserve">.</w:t>
      </w:r>
      <w:r>
        <w:rPr>
          <w:rFonts w:hint="eastAsia" w:ascii="宋体" w:hAnsi="宋体" w:cs="Times New Roman"/>
          <w:bCs w:val="0"/>
          <w:color w:val="auto"/>
          <w:szCs w:val="24"/>
          <w:highlight w:val="none"/>
          <w:lang w:val="zh-CN" w:eastAsia="zh-CN"/>
        </w:rPr>
        <w:t xml:space="preserve">”条款的规定向采购人或</w:t>
      </w:r>
      <w:r>
        <w:rPr>
          <w:rFonts w:hint="eastAsia" w:ascii="宋体" w:hAnsi="宋体" w:cs="Times New Roman"/>
          <w:bCs w:val="0"/>
          <w:color w:val="auto"/>
          <w:szCs w:val="24"/>
          <w:highlight w:val="none"/>
          <w:lang w:eastAsia="zh-CN"/>
        </w:rPr>
        <w:t xml:space="preserve">代理机构</w:t>
      </w:r>
      <w:r>
        <w:rPr>
          <w:rFonts w:hint="eastAsia" w:ascii="宋体" w:hAnsi="宋体" w:cs="Times New Roman"/>
          <w:bCs w:val="0"/>
          <w:color w:val="auto"/>
          <w:szCs w:val="24"/>
          <w:highlight w:val="none"/>
          <w:lang w:val="zh-CN" w:eastAsia="zh-CN"/>
        </w:rPr>
        <w:t xml:space="preserve">提出质疑，上述应知其权益受到损害之日，是指：</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2.1对可以质疑的采购文件提出质疑的，为收到采购文件之日或者采购文件公告期限届满之日；</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2.2对采购过程提出质疑的，为各采购程序环节结束之日；</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2.3对中标或者成交结果提出质疑的，为中标或者成交结果公告期限届满之日。</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Times New Roman"/>
          <w:bCs w:val="0"/>
          <w:color w:val="auto"/>
          <w:szCs w:val="24"/>
          <w:highlight w:val="none"/>
          <w:lang w:eastAsia="zh-CN"/>
        </w:rPr>
        <w:t xml:space="preserve">代理机构</w:t>
      </w:r>
      <w:r>
        <w:rPr>
          <w:rFonts w:hint="eastAsia" w:ascii="宋体" w:hAnsi="宋体" w:cs="Times New Roman"/>
          <w:bCs w:val="0"/>
          <w:color w:val="auto"/>
          <w:szCs w:val="24"/>
          <w:highlight w:val="none"/>
          <w:lang w:val="zh-CN" w:eastAsia="zh-CN"/>
        </w:rPr>
        <w:t xml:space="preserve">、采购人将只对供应商第一次质疑作出答复。</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Times New Roman"/>
          <w:bCs w:val="0"/>
          <w:color w:val="auto"/>
          <w:szCs w:val="24"/>
          <w:highlight w:val="none"/>
          <w:lang w:eastAsia="zh-CN"/>
        </w:rPr>
        <w:t xml:space="preserve">代理机构</w:t>
      </w:r>
      <w:r>
        <w:rPr>
          <w:rFonts w:hint="eastAsia" w:ascii="宋体" w:hAnsi="宋体" w:cs="Times New Roman"/>
          <w:bCs w:val="0"/>
          <w:color w:val="auto"/>
          <w:szCs w:val="24"/>
          <w:highlight w:val="none"/>
          <w:lang w:val="zh-CN" w:eastAsia="zh-CN"/>
        </w:rPr>
        <w:t xml:space="preserve">提出，由</w:t>
      </w:r>
      <w:r>
        <w:rPr>
          <w:rFonts w:hint="eastAsia" w:ascii="宋体" w:hAnsi="宋体" w:cs="Times New Roman"/>
          <w:bCs w:val="0"/>
          <w:color w:val="auto"/>
          <w:szCs w:val="24"/>
          <w:highlight w:val="none"/>
          <w:lang w:eastAsia="zh-CN"/>
        </w:rPr>
        <w:t xml:space="preserve">代理机构</w:t>
      </w:r>
      <w:r>
        <w:rPr>
          <w:rFonts w:hint="eastAsia" w:ascii="宋体" w:hAnsi="宋体" w:cs="Times New Roman"/>
          <w:bCs w:val="0"/>
          <w:color w:val="auto"/>
          <w:szCs w:val="24"/>
          <w:highlight w:val="none"/>
          <w:lang w:val="zh-CN" w:eastAsia="zh-CN"/>
        </w:rPr>
        <w:t xml:space="preserve">负责答复。</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 w:val="0"/>
          <w:color w:val="auto"/>
          <w:szCs w:val="24"/>
          <w:highlight w:val="none"/>
          <w:lang w:val="zh-CN" w:eastAsia="zh-CN"/>
        </w:rPr>
        <w:t xml:space="preserve">采购人、代理机构只接收以纸质原件形式送达的质疑，质疑供应商可通过面交或邮寄方式送达（采购人和代理机构不接受未填写快递运单的快件）。</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 w:val="0"/>
          <w:color w:val="auto"/>
          <w:szCs w:val="24"/>
          <w:highlight w:val="none"/>
          <w:lang w:val="zh-CN" w:eastAsia="zh-CN"/>
        </w:rPr>
        <w:t xml:space="preserve">采购人、代理机构联系人、联系方式、通信地址见招标文件第一章。</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5.以下情形的质疑不予受理：</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5.1 内容不符合《政府采购质疑和投诉办法》第十二条规定的质疑；</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5.2 超出政府采购法定期限的质疑；</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5.3 以传真、电子邮件等方式递交的非原件形式的质疑；</w:t>
      </w:r>
      <w:r/>
    </w:p>
    <w:p>
      <w:pPr>
        <w:ind w:right="0"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5.4 未参加投标活动的供应商或在投标活动中自身权益未受到损害的供应商所提出的质疑；</w:t>
      </w:r>
      <w:r/>
    </w:p>
    <w:p>
      <w:pPr>
        <w:ind w:firstLine="480"/>
        <w:shd w:val="clear" w:color="auto" w:fill="ffffff"/>
        <w:rPr>
          <w:rFonts w:hint="eastAsia" w:ascii="宋体" w:hAnsi="宋体" w:cs="Times New Roman"/>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5.5 供应商组成联合体参加投标的，联合体中任何一方或多方未按要求签字、盖章、加盖公章的质疑。</w:t>
      </w:r>
      <w:r/>
    </w:p>
    <w:p>
      <w:pPr>
        <w:ind w:firstLine="480"/>
        <w:shd w:val="clear" w:color="auto" w:fill="ffffff"/>
        <w:rPr>
          <w:rFonts w:hint="eastAsia" w:ascii="宋体" w:hAnsi="宋体" w:cs="Times New Roman"/>
          <w:b w:val="0"/>
          <w:bCs w:val="0"/>
          <w:color w:val="auto"/>
          <w:szCs w:val="24"/>
          <w:highlight w:val="none"/>
          <w:lang w:val="zh-CN" w:eastAsia="zh-CN"/>
        </w:rPr>
      </w:pPr>
      <w:r>
        <w:rPr>
          <w:rFonts w:hint="eastAsia" w:ascii="宋体" w:hAnsi="宋体" w:cs="Times New Roman"/>
          <w:bCs w:val="0"/>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firstLine="480"/>
        <w:shd w:val="clear" w:color="auto" w:fill="ffffff"/>
        <w:rPr>
          <w:rFonts w:hint="eastAsia"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（十五）服务费：</w:t>
      </w:r>
      <w:r/>
    </w:p>
    <w:p>
      <w:pPr>
        <w:ind w:firstLine="480"/>
        <w:shd w:val="clear" w:color="auto" w:fill="ffffff"/>
        <w:rPr>
          <w:rFonts w:hint="eastAsia" w:ascii="宋体" w:hAnsi="宋体" w:eastAsia="宋体" w:cs="Times New Roman"/>
          <w:b w:val="0"/>
          <w:bCs w:val="0"/>
          <w:color w:val="auto"/>
          <w:szCs w:val="24"/>
          <w:highlight w:val="none"/>
          <w:lang w:val="zh-CN" w:eastAsia="zh-CN"/>
        </w:rPr>
      </w:pPr>
      <w:r>
        <w:rPr>
          <w:rFonts w:hint="eastAsia" w:ascii="宋体" w:hAnsi="宋体" w:eastAsia="宋体" w:cs="Times New Roman"/>
          <w:b w:val="0"/>
          <w:bCs w:val="0"/>
          <w:color w:val="auto"/>
          <w:szCs w:val="24"/>
          <w:highlight w:val="none"/>
          <w:lang w:val="zh-CN" w:eastAsia="zh-CN"/>
        </w:rPr>
        <w:t xml:space="preserve">招标代理费：①代理费：以中标价为计费基础，收费标准为（货物类）：中标金额100万元（含100万元）以下费率为中标金额的1.2%，中标金额100万元～500万元（含）费率为中标金额的0.88%。②编标费：按《江苏省物价局、省住建厅关于规范工程造价咨询服务收费标准及有关事项的通知》（苏价服[383]号文）规定的收费标准的30%计取，由采购人支付。</w:t>
      </w:r>
      <w:r/>
    </w:p>
    <w:p>
      <w:pPr>
        <w:ind w:firstLine="480"/>
        <w:shd w:val="clear" w:color="auto" w:fill="ffffff"/>
        <w:rPr>
          <w:rFonts w:hint="eastAsia"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（十六）信用担保</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1.履约担保</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2.融资担保。</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shd w:val="clear" w:color="auto" w:fill="ffffff"/>
        <w:rPr>
          <w:rFonts w:hint="eastAsia"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（十七）政府采购合同融资：</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合同融资，是指参与政府采购的供应商，凭借中</w:t>
      </w:r>
      <w:r>
        <w:rPr>
          <w:rFonts w:hint="eastAsia" w:ascii="宋体" w:hAnsi="宋体" w:cs="Times New Roman"/>
          <w:color w:val="auto"/>
          <w:szCs w:val="24"/>
          <w:highlight w:val="none"/>
          <w:lang w:val="zh-CN"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highlight w:val="none"/>
          <w:lang w:val="zh-CN" w:eastAsia="zh-CN"/>
        </w:rPr>
      </w:pPr>
      <w:r>
        <w:rPr>
          <w:rFonts w:hint="eastAsia" w:ascii="宋体" w:hAnsi="宋体" w:cs="Times New Roman"/>
          <w:color w:val="auto"/>
          <w:szCs w:val="24"/>
          <w:highlight w:val="none"/>
          <w:lang w:val="zh-CN"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val="zh-CN" w:eastAsia="zh-CN"/>
        </w:rPr>
        <w:t xml:space="preserve">具体事项详见《关于进一步推进政府采购合同</w:t>
      </w:r>
      <w:r>
        <w:rPr>
          <w:rFonts w:hint="eastAsia" w:ascii="宋体" w:hAnsi="宋体" w:cs="Times New Roman"/>
          <w:color w:val="auto"/>
          <w:szCs w:val="24"/>
          <w:highlight w:val="none"/>
          <w:lang w:eastAsia="zh-CN"/>
        </w:rPr>
        <w:t xml:space="preserve">融资工作的通知》（http://cz.wuxi.gov.cn/doc/2022/04/18/3644462.shtml）</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r/>
    </w:p>
    <w:p>
      <w:pPr>
        <w:pStyle w:val="1096"/>
        <w:spacing w:after="240"/>
        <w:rPr>
          <w:rFonts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4"/>
      <w:r/>
      <w:r/>
    </w:p>
    <w:p>
      <w:pPr>
        <w:ind w:right="-143" w:firstLine="480"/>
        <w:rPr>
          <w:color w:val="auto"/>
          <w:highlight w:val="none"/>
          <w:lang w:eastAsia="zh-CN"/>
        </w:rPr>
      </w:pPr>
      <w:r>
        <w:rPr>
          <w:rFonts w:hint="eastAsia"/>
          <w:color w:val="auto"/>
          <w:highlight w:val="none"/>
          <w:lang w:eastAsia="zh-CN"/>
        </w:rPr>
        <w:t xml:space="preserve">本项目为天一实验学校文景校区操场面层采购，本项目中的</w:t>
      </w:r>
      <w:r>
        <w:rPr>
          <w:rFonts w:hint="eastAsia"/>
          <w:bCs/>
          <w:color w:val="auto"/>
          <w:highlight w:val="none"/>
          <w:lang w:eastAsia="zh-CN"/>
        </w:rPr>
        <w:t xml:space="preserve">核心产品为</w:t>
      </w:r>
      <w:r>
        <w:rPr>
          <w:rFonts w:hint="eastAsia"/>
          <w:b/>
          <w:bCs w:val="0"/>
          <w:color w:val="auto"/>
          <w:highlight w:val="none"/>
          <w:lang w:val="en-US" w:eastAsia="zh-CN"/>
        </w:rPr>
        <w:t xml:space="preserve">弹性面层</w:t>
      </w:r>
      <w:r>
        <w:rPr>
          <w:rFonts w:hint="eastAsia"/>
          <w:color w:val="auto"/>
          <w:highlight w:val="none"/>
          <w:lang w:eastAsia="zh-CN"/>
        </w:rPr>
        <w:t xml:space="preserve">。投标供应商所投内容必须满足以下要求，不得有负偏离。</w:t>
      </w:r>
      <w:r/>
    </w:p>
    <w:p>
      <w:pPr>
        <w:ind w:right="-143" w:firstLine="0"/>
        <w:rPr>
          <w:color w:val="auto"/>
          <w:highlight w:val="none"/>
          <w:lang w:eastAsia="zh-CN"/>
        </w:rPr>
      </w:pPr>
      <w:r>
        <w:rPr>
          <w:rFonts w:hint="eastAsia"/>
          <w:b/>
          <w:color w:val="auto"/>
          <w:highlight w:val="none"/>
          <w:lang w:eastAsia="zh-CN"/>
        </w:rPr>
        <w:t xml:space="preserve">（一）项目基本情况</w:t>
      </w:r>
      <w:r/>
    </w:p>
    <w:p>
      <w:pPr>
        <w:ind w:right="-143" w:firstLine="48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1.项目地址：天一实验学校文景校区。</w:t>
      </w:r>
      <w:r/>
    </w:p>
    <w:p>
      <w:pPr>
        <w:ind w:right="-143" w:firstLine="48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2.采购范围：清单范围内的</w:t>
      </w:r>
      <w:r>
        <w:rPr>
          <w:rFonts w:hint="eastAsia" w:eastAsia="宋体"/>
          <w:color w:val="auto"/>
          <w:highlight w:val="none"/>
          <w:lang w:eastAsia="zh-CN"/>
        </w:rPr>
        <w:t xml:space="preserve">天一实验学校文景校区操场面层采购，</w:t>
      </w:r>
      <w:r>
        <w:rPr>
          <w:rFonts w:hint="eastAsia" w:ascii="宋体" w:hAnsi="宋体" w:eastAsia="宋体" w:cs="宋体"/>
          <w:color w:val="auto"/>
          <w:szCs w:val="21"/>
          <w:highlight w:val="none"/>
          <w:lang w:eastAsia="zh-CN"/>
        </w:rPr>
        <w:t xml:space="preserve">包含原场地的铲除、修复、塑胶操场的铺设等</w:t>
      </w:r>
      <w:r>
        <w:rPr>
          <w:rFonts w:hint="eastAsia" w:ascii="宋体" w:hAnsi="宋体" w:eastAsia="宋体" w:cs="宋体"/>
          <w:color w:val="auto"/>
          <w:highlight w:val="none"/>
          <w:lang w:eastAsia="zh-CN"/>
        </w:rPr>
        <w:t xml:space="preserve">。</w:t>
      </w:r>
      <w:r/>
    </w:p>
    <w:p>
      <w:pPr>
        <w:ind w:right="-143" w:firstLine="48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3.交付周期：</w:t>
      </w:r>
      <w:r>
        <w:rPr>
          <w:rFonts w:hint="eastAsia" w:ascii="宋体" w:hAnsi="宋体" w:eastAsia="宋体" w:cs="宋体"/>
          <w:color w:val="auto"/>
          <w:szCs w:val="24"/>
          <w:highlight w:val="none"/>
          <w:lang w:val="en-US" w:eastAsia="zh-CN"/>
        </w:rPr>
        <w:t xml:space="preserve">合同签订后30天内完成供货并验收合格（具体开始时间以采购人通知为准）</w:t>
      </w:r>
      <w:r/>
    </w:p>
    <w:p>
      <w:pPr>
        <w:ind w:right="-143" w:firstLine="0"/>
        <w:rPr>
          <w:rFonts w:hint="eastAsia"/>
          <w:b/>
          <w:color w:val="auto"/>
          <w:highlight w:val="none"/>
          <w:lang w:eastAsia="zh-CN"/>
        </w:rPr>
      </w:pPr>
      <w:r>
        <w:rPr>
          <w:rFonts w:hint="eastAsia"/>
          <w:b/>
          <w:color w:val="auto"/>
          <w:highlight w:val="none"/>
          <w:lang w:eastAsia="zh-CN"/>
        </w:rPr>
        <w:t xml:space="preserve">（二）采购清单</w:t>
      </w:r>
      <w:r/>
    </w:p>
    <w:p>
      <w:pPr>
        <w:ind w:firstLine="0"/>
        <w:rPr>
          <w:color w:val="auto"/>
          <w:highlight w:val="none"/>
          <w:lang w:eastAsia="zh-CN"/>
        </w:rPr>
      </w:pPr>
      <w:r>
        <w:rPr>
          <w:rFonts w:hint="eastAsia" w:ascii="宋体" w:hAnsi="宋体" w:eastAsia="宋体" w:cs="宋体"/>
          <w:color w:val="auto"/>
          <w:szCs w:val="24"/>
          <w:highlight w:val="none"/>
          <w:lang w:eastAsia="zh-CN" w:bidi="ar"/>
        </w:rPr>
        <w:t xml:space="preserve">本项目为货物采购，其中货物采购标的及对应的中小企业划分标准所属行业如下表：</w:t>
      </w:r>
      <w:r/>
    </w:p>
    <w:tbl>
      <w:tblPr>
        <w:tblStyle w:val="1101"/>
        <w:tblW w:w="505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37"/>
        <w:gridCol w:w="2409"/>
        <w:gridCol w:w="3596"/>
        <w:gridCol w:w="514"/>
        <w:gridCol w:w="926"/>
        <w:gridCol w:w="1509"/>
      </w:tblGrid>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914"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性能参数</w:t>
            </w:r>
            <w:r/>
          </w:p>
        </w:tc>
        <w:tc>
          <w:tcPr>
            <w:shd w:val="clear" w:color="auto" w:fill="ffffff"/>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所属行业</w:t>
            </w:r>
            <w:r/>
          </w:p>
        </w:tc>
      </w:tr>
      <w:tr>
        <w:trPr>
          <w:trHeight w:val="1217"/>
        </w:trPr>
        <w:tc>
          <w:tcPr>
            <w:tcBorders>
              <w:top w:val="single" w:color="000000" w:sz="4" w:space="0"/>
              <w:left w:val="single" w:color="000000" w:sz="4" w:space="0"/>
              <w:right w:val="single" w:color="000000" w:sz="4" w:space="0"/>
            </w:tcBorders>
            <w:tcW w:w="232"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282"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弹性面层</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原有场地铲除：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1、原有场地塑胶操场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2、厚度约13mm，综合考虑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3、铲除后垃圾清理、归集、场地清洁</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8850.3</w:t>
            </w:r>
            <w:r/>
          </w:p>
        </w:tc>
        <w:tc>
          <w:tcPr>
            <w:tcBorders>
              <w:top w:val="single" w:color="000000" w:sz="4" w:space="0"/>
              <w:left w:val="single" w:color="000000" w:sz="4" w:space="0"/>
              <w:right w:val="single" w:color="000000" w:sz="4" w:space="0"/>
            </w:tcBorders>
            <w:tcW w:w="803" w:type="pct"/>
            <w:vAlign w:val="center"/>
            <w:vMerge w:val="restart"/>
            <w:textDirection w:val="lrTb"/>
            <w:noWrap w:val="false"/>
          </w:tcPr>
          <w:p>
            <w:pPr>
              <w:ind w:firstLine="0"/>
              <w:jc w:val="center"/>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工业</w:t>
            </w:r>
            <w:r/>
          </w:p>
          <w:p>
            <w:pPr>
              <w:ind w:firstLine="0"/>
              <w:jc w:val="center"/>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 xml:space="preserve">（制造业）</w:t>
            </w:r>
            <w:r/>
          </w:p>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r>
        <w:trPr>
          <w:trHeight w:val="1560"/>
        </w:trPr>
        <w:tc>
          <w:tcPr>
            <w:tcBorders>
              <w:left w:val="single" w:color="000000" w:sz="4" w:space="0"/>
              <w:right w:val="single" w:color="000000" w:sz="4" w:space="0"/>
            </w:tcBorders>
            <w:tcW w:w="232"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tcBorders>
              <w:left w:val="single" w:color="000000" w:sz="4" w:space="0"/>
              <w:right w:val="single" w:color="000000" w:sz="4" w:space="0"/>
            </w:tcBorders>
            <w:tcW w:w="1282"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垃圾清理: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1、拆除物装车外运，运距投标人自行考虑，弃置点自行解决，含挖方、装车、归堆、场内短驳、外运及废弃物无害化处理等</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115.05</w:t>
            </w:r>
            <w:r/>
          </w:p>
        </w:tc>
        <w:tc>
          <w:tcPr>
            <w:tcBorders>
              <w:left w:val="single" w:color="000000" w:sz="4" w:space="0"/>
              <w:right w:val="single" w:color="000000" w:sz="4" w:space="0"/>
            </w:tcBorders>
            <w:tcW w:w="803" w:type="pct"/>
            <w:vAlign w:val="center"/>
            <w:vMerge w:val="continue"/>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r>
        <w:trPr>
          <w:trHeight w:val="349"/>
        </w:trPr>
        <w:tc>
          <w:tcPr>
            <w:tcBorders>
              <w:left w:val="single" w:color="000000" w:sz="4" w:space="0"/>
              <w:bottom w:val="single" w:color="000000" w:sz="4" w:space="0"/>
              <w:right w:val="single" w:color="000000" w:sz="4" w:space="0"/>
            </w:tcBorders>
            <w:tcW w:w="232"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tcBorders>
              <w:left w:val="single" w:color="000000" w:sz="4" w:space="0"/>
              <w:bottom w:val="single" w:color="000000" w:sz="4" w:space="0"/>
              <w:right w:val="single" w:color="000000" w:sz="4" w:space="0"/>
            </w:tcBorders>
            <w:tcW w:w="1282"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弹性面层安装：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1、清洁并修复部分地坪基础、包含坑洼、空鼓、排水沟盖板晃动处等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2、塑胶整体涂封底胶水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2、10mm厚含胶量不少于15%天然橡胶，符合（GBT-2018)新国标的颗粒及胶水按比例搅拌后打底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3、3mm厚含胶量不少于20%的天然橡胶，符合（GBT-2018)新国标的颗粒及胶水按比例搅拌后喷涂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4、喷2层水性罩面漆（蓝色）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5、含场地标准化划线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6、符合GB36246-2018《中小学合成材料面层运动场地》标准检测要求，其余详见技术规格、参数与要求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7、由供应商自行考虑检测费用，投标报价需含检测费用。</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8850.3</w:t>
            </w:r>
            <w:r/>
          </w:p>
        </w:tc>
        <w:tc>
          <w:tcPr>
            <w:tcBorders>
              <w:left w:val="single" w:color="000000" w:sz="4" w:space="0"/>
              <w:bottom w:val="single" w:color="000000" w:sz="4" w:space="0"/>
              <w:right w:val="single" w:color="000000" w:sz="4" w:space="0"/>
            </w:tcBorders>
            <w:tcW w:w="803" w:type="pct"/>
            <w:vAlign w:val="center"/>
            <w:vMerge w:val="continue"/>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bl>
    <w:p>
      <w:pPr>
        <w:ind w:firstLine="0"/>
        <w:spacing w:after="5"/>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三</w:t>
      </w:r>
      <w:r>
        <w:rPr>
          <w:rFonts w:hint="eastAsia" w:ascii="宋体" w:hAnsi="宋体" w:cs="宋体"/>
          <w:b/>
          <w:bCs/>
          <w:color w:val="auto"/>
          <w:szCs w:val="24"/>
          <w:highlight w:val="none"/>
          <w:lang w:eastAsia="zh-CN"/>
        </w:rPr>
        <w:t xml:space="preserve">）主要产品相关执行标准及技术要求</w:t>
      </w:r>
      <w:r/>
    </w:p>
    <w:p>
      <w:pPr>
        <w:ind w:firstLine="480"/>
        <w:rPr>
          <w:rFonts w:hint="eastAsia" w:ascii="宋体" w:hAnsi="宋体" w:cs="Times New Roman"/>
          <w:b/>
          <w:color w:val="auto"/>
          <w:szCs w:val="24"/>
          <w:highlight w:val="none"/>
        </w:rPr>
      </w:pPr>
      <w:r>
        <w:rPr>
          <w:rFonts w:hint="eastAsia" w:ascii="宋体" w:hAnsi="宋体" w:cs="Times New Roman"/>
          <w:b/>
          <w:bCs w:val="0"/>
          <w:color w:val="auto"/>
          <w:szCs w:val="24"/>
          <w:highlight w:val="none"/>
          <w:lang w:eastAsia="zh-CN"/>
        </w:rPr>
        <w:t xml:space="preserve">本项目中所有产品均须符合国家环保等相关标准，</w:t>
      </w:r>
      <w:r>
        <w:rPr>
          <w:rFonts w:hint="eastAsia" w:ascii="宋体" w:hAnsi="宋体" w:cs="Times New Roman"/>
          <w:b/>
          <w:color w:val="auto"/>
          <w:szCs w:val="24"/>
          <w:highlight w:val="none"/>
          <w:lang w:eastAsia="zh-CN"/>
        </w:rPr>
        <w:t xml:space="preserve">承诺中标后提供满足下列最低参数要求的检测报告，未提供承诺，视为无效投标文件。</w:t>
      </w:r>
      <w:r>
        <w:rPr>
          <w:rFonts w:hint="eastAsia" w:ascii="宋体" w:hAnsi="宋体" w:cs="Times New Roman"/>
          <w:b/>
          <w:color w:val="auto"/>
          <w:szCs w:val="24"/>
          <w:highlight w:val="none"/>
        </w:rPr>
        <w:t xml:space="preserve">承诺书格式自拟。</w:t>
      </w:r>
      <w:r/>
    </w:p>
    <w:p>
      <w:pPr>
        <w:ind w:firstLine="480"/>
        <w:rPr>
          <w:rFonts w:hint="eastAsia" w:ascii="宋体" w:hAnsi="宋体" w:cs="Times New Roman"/>
          <w:b/>
          <w:color w:val="auto"/>
          <w:szCs w:val="24"/>
          <w:highlight w:val="none"/>
        </w:rPr>
      </w:pPr>
      <w:r/>
      <w:bookmarkStart w:id="15" w:name="bookmark137"/>
      <w:r/>
      <w:bookmarkEnd w:id="15"/>
      <w:r/>
      <w:r/>
    </w:p>
    <w:p>
      <w:pPr>
        <w:ind w:firstLine="0"/>
        <w:rPr>
          <w:rFonts w:hint="eastAsia" w:ascii="宋体" w:hAnsi="宋体" w:eastAsia="宋体" w:cs="Times New Roman"/>
          <w:b/>
          <w:color w:val="auto"/>
          <w:szCs w:val="24"/>
          <w:highlight w:val="none"/>
          <w:lang w:eastAsia="zh-CN"/>
        </w:rPr>
      </w:pPr>
      <w:r>
        <w:rPr>
          <w:rFonts w:hint="eastAsia" w:ascii="宋体" w:hAnsi="宋体" w:eastAsia="宋体" w:cs="Times New Roman"/>
          <w:b/>
          <w:color w:val="auto"/>
          <w:szCs w:val="24"/>
          <w:highlight w:val="none"/>
          <w:lang w:eastAsia="zh-CN"/>
        </w:rPr>
        <mc:AlternateContent>
          <mc:Choice Requires="wpg">
            <w:drawing>
              <wp:inline xmlns:wp="http://schemas.openxmlformats.org/drawingml/2006/wordprocessingDrawing" distT="0" distB="0" distL="0" distR="0">
                <wp:extent cx="5993130" cy="3019425"/>
                <wp:effectExtent l="0" t="0" r="11430" b="13335"/>
                <wp:docPr id="4" name="图片 6" descr="2895ecf1fa15ee7bd4dcf1e7ecb8d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895ecf1fa15ee7bd4dcf1e7ecb8d189"/>
                        <pic:cNvPicPr>
                          <a:picLocks noChangeAspect="1"/>
                        </pic:cNvPicPr>
                        <pic:nvPr/>
                      </pic:nvPicPr>
                      <pic:blipFill>
                        <a:blip r:embed="rId24"/>
                        <a:stretch/>
                      </pic:blipFill>
                      <pic:spPr bwMode="auto">
                        <a:xfrm>
                          <a:off x="0" y="0"/>
                          <a:ext cx="5993130" cy="3019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1.9pt;height:237.8pt;mso-wrap-distance-left:0.0pt;mso-wrap-distance-top:0.0pt;mso-wrap-distance-right:0.0pt;mso-wrap-distance-bottom:0.0pt;" stroked="false">
                <v:path textboxrect="0,0,0,0"/>
                <v:imagedata r:id="rId24" o:title=""/>
              </v:shape>
            </w:pict>
          </mc:Fallback>
        </mc:AlternateContent>
      </w:r>
      <w:r/>
    </w:p>
    <w:p>
      <w:pPr>
        <w:ind w:firstLine="480"/>
        <w:rPr>
          <w:rFonts w:hint="eastAsia" w:ascii="宋体" w:hAnsi="宋体" w:cs="Times New Roman"/>
          <w:b/>
          <w:color w:val="auto"/>
          <w:szCs w:val="24"/>
          <w:highlight w:val="none"/>
        </w:rPr>
      </w:pPr>
      <w:r>
        <w:rPr>
          <w:rFonts w:hint="eastAsia" w:ascii="宋体" w:hAnsi="宋体" w:cs="Times New Roman"/>
          <w:b/>
          <w:color w:val="auto"/>
          <w:szCs w:val="24"/>
          <w:highlight w:val="none"/>
        </w:rPr>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mc:AlternateContent>
          <mc:Choice Requires="wpg">
            <w:drawing>
              <wp:inline xmlns:wp="http://schemas.openxmlformats.org/drawingml/2006/wordprocessingDrawing" distT="0" distB="0" distL="0" distR="0">
                <wp:extent cx="5944870" cy="3369310"/>
                <wp:effectExtent l="0" t="0" r="13970" b="13970"/>
                <wp:docPr id="5" name="图片 7" descr="b5d140ebe337462a0d20f6b02ec5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5d140ebe337462a0d20f6b02ec52083"/>
                        <pic:cNvPicPr>
                          <a:picLocks noChangeAspect="1"/>
                        </pic:cNvPicPr>
                        <pic:nvPr/>
                      </pic:nvPicPr>
                      <pic:blipFill>
                        <a:blip r:embed="rId25"/>
                        <a:stretch/>
                      </pic:blipFill>
                      <pic:spPr bwMode="auto">
                        <a:xfrm>
                          <a:off x="0" y="0"/>
                          <a:ext cx="5944870" cy="3369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8.1pt;height:265.3pt;mso-wrap-distance-left:0.0pt;mso-wrap-distance-top:0.0pt;mso-wrap-distance-right:0.0pt;mso-wrap-distance-bottom:0.0pt;" stroked="false">
                <v:path textboxrect="0,0,0,0"/>
                <v:imagedata r:id="rId25" o:title=""/>
              </v:shape>
            </w:pict>
          </mc:Fallback>
        </mc:AlternateContent>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mc:AlternateContent>
          <mc:Choice Requires="wpg">
            <w:drawing>
              <wp:inline xmlns:wp="http://schemas.openxmlformats.org/drawingml/2006/wordprocessingDrawing" distT="0" distB="0" distL="0" distR="0">
                <wp:extent cx="5897245" cy="2225675"/>
                <wp:effectExtent l="0" t="0" r="635" b="14604"/>
                <wp:docPr id="6" name="图片 8" descr="654802b2ec3c933fb2e19690e4a0df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54802b2ec3c933fb2e19690e4a0df85"/>
                        <pic:cNvPicPr>
                          <a:picLocks noChangeAspect="1"/>
                        </pic:cNvPicPr>
                        <pic:nvPr/>
                      </pic:nvPicPr>
                      <pic:blipFill>
                        <a:blip r:embed="rId26"/>
                        <a:stretch/>
                      </pic:blipFill>
                      <pic:spPr bwMode="auto">
                        <a:xfrm>
                          <a:off x="0" y="0"/>
                          <a:ext cx="5897245" cy="2225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3pt;height:175.2pt;mso-wrap-distance-left:0.0pt;mso-wrap-distance-top:0.0pt;mso-wrap-distance-right:0.0pt;mso-wrap-distance-bottom:0.0pt;" stroked="false">
                <v:path textboxrect="0,0,0,0"/>
                <v:imagedata r:id="rId26" o:title=""/>
              </v:shape>
            </w:pict>
          </mc:Fallback>
        </mc:AlternateContent>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mc:AlternateContent>
          <mc:Choice Requires="wpg">
            <w:drawing>
              <wp:inline xmlns:wp="http://schemas.openxmlformats.org/drawingml/2006/wordprocessingDrawing" distT="0" distB="0" distL="0" distR="0">
                <wp:extent cx="6142355" cy="2660650"/>
                <wp:effectExtent l="0" t="0" r="14604" b="6350"/>
                <wp:docPr id="7" name="图片 9" descr="63389f11c0fe2bdb9092b1a91dbcdc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3389f11c0fe2bdb9092b1a91dbcdc75"/>
                        <pic:cNvPicPr>
                          <a:picLocks noChangeAspect="1"/>
                        </pic:cNvPicPr>
                        <pic:nvPr/>
                      </pic:nvPicPr>
                      <pic:blipFill>
                        <a:blip r:embed="rId27"/>
                        <a:stretch/>
                      </pic:blipFill>
                      <pic:spPr bwMode="auto">
                        <a:xfrm>
                          <a:off x="0" y="0"/>
                          <a:ext cx="6142355" cy="2660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3.6pt;height:209.5pt;mso-wrap-distance-left:0.0pt;mso-wrap-distance-top:0.0pt;mso-wrap-distance-right:0.0pt;mso-wrap-distance-bottom:0.0pt;" stroked="false">
                <v:path textboxrect="0,0,0,0"/>
                <v:imagedata r:id="rId27" o:title=""/>
              </v:shape>
            </w:pict>
          </mc:Fallback>
        </mc:AlternateContent>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mc:AlternateContent>
          <mc:Choice Requires="wpg">
            <w:drawing>
              <wp:inline xmlns:wp="http://schemas.openxmlformats.org/drawingml/2006/wordprocessingDrawing" distT="0" distB="0" distL="0" distR="0">
                <wp:extent cx="5904230" cy="3453130"/>
                <wp:effectExtent l="0" t="0" r="8890" b="6350"/>
                <wp:docPr id="8" name="图片 10" descr="80e221f45278e54f77455147b9d245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0e221f45278e54f77455147b9d245e9"/>
                        <pic:cNvPicPr>
                          <a:picLocks noChangeAspect="1"/>
                        </pic:cNvPicPr>
                        <pic:nvPr/>
                      </pic:nvPicPr>
                      <pic:blipFill>
                        <a:blip r:embed="rId28"/>
                        <a:stretch/>
                      </pic:blipFill>
                      <pic:spPr bwMode="auto">
                        <a:xfrm>
                          <a:off x="0" y="0"/>
                          <a:ext cx="5904230" cy="3453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4.9pt;height:271.9pt;mso-wrap-distance-left:0.0pt;mso-wrap-distance-top:0.0pt;mso-wrap-distance-right:0.0pt;mso-wrap-distance-bottom:0.0pt;" stroked="false">
                <v:path textboxrect="0,0,0,0"/>
                <v:imagedata r:id="rId28" o:title=""/>
              </v:shape>
            </w:pict>
          </mc:Fallback>
        </mc:AlternateContent>
      </w:r>
      <w:r/>
    </w:p>
    <w:p>
      <w:pPr>
        <w:ind w:firstLine="0"/>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r>
      <w:r/>
    </w:p>
    <w:p>
      <w:pPr>
        <w:ind w:left="240" w:firstLine="0"/>
        <w:spacing w:before="120"/>
        <w:rPr>
          <w:rFonts w:ascii="宋体" w:hAnsi="宋体" w:cs="Times New Roman"/>
          <w:b/>
          <w:bCs/>
          <w:color w:val="auto"/>
          <w:szCs w:val="24"/>
          <w:highlight w:val="none"/>
          <w:lang w:val="zh-CN" w:eastAsia="zh-CN"/>
        </w:rPr>
      </w:pPr>
      <w:r>
        <w:rPr>
          <w:rFonts w:hint="eastAsia" w:ascii="宋体" w:hAnsi="宋体" w:cs="Times New Roman"/>
          <w:b/>
          <w:bCs/>
          <w:color w:val="auto"/>
          <w:szCs w:val="24"/>
          <w:highlight w:val="none"/>
          <w:lang w:val="zh-CN" w:eastAsia="zh-CN"/>
        </w:rPr>
        <w:t xml:space="preserve">（</w:t>
      </w:r>
      <w:r>
        <w:rPr>
          <w:rFonts w:hint="eastAsia" w:ascii="宋体" w:hAnsi="宋体" w:cs="Times New Roman"/>
          <w:b/>
          <w:bCs/>
          <w:color w:val="auto"/>
          <w:szCs w:val="24"/>
          <w:highlight w:val="none"/>
          <w:lang w:eastAsia="zh-CN"/>
        </w:rPr>
        <w:t xml:space="preserve">四</w:t>
      </w:r>
      <w:r>
        <w:rPr>
          <w:rFonts w:hint="eastAsia" w:ascii="宋体" w:hAnsi="宋体" w:cs="Times New Roman"/>
          <w:b/>
          <w:bCs/>
          <w:color w:val="auto"/>
          <w:szCs w:val="24"/>
          <w:highlight w:val="none"/>
          <w:lang w:val="zh-CN" w:eastAsia="zh-CN"/>
        </w:rPr>
        <w:t xml:space="preserve">）售后服务要求</w:t>
      </w:r>
      <w:r/>
    </w:p>
    <w:p>
      <w:pPr>
        <w:numPr>
          <w:ilvl w:val="255"/>
          <w:numId w:val="0"/>
        </w:numPr>
        <w:ind w:firstLine="480"/>
        <w:rPr>
          <w:rFonts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1.投标供应商应对任何由于不当包装或防护措施不力而导致的商品损坏、损失、锈蚀、费用增长等后果负责。</w:t>
      </w:r>
      <w:r/>
    </w:p>
    <w:p>
      <w:pPr>
        <w:ind w:left="240" w:firstLine="240"/>
        <w:rPr>
          <w:rFonts w:hint="eastAsia" w:ascii="宋体" w:hAnsi="宋体" w:cs="Times New Roman"/>
          <w:b/>
          <w:bCs/>
          <w:color w:val="auto"/>
          <w:szCs w:val="24"/>
          <w:highlight w:val="none"/>
          <w:lang w:val="zh-CN" w:eastAsia="zh-CN"/>
        </w:rPr>
      </w:pPr>
      <w:r>
        <w:rPr>
          <w:rFonts w:hint="eastAsia" w:ascii="宋体" w:hAnsi="宋体" w:eastAsia="宋体" w:cs="宋体"/>
          <w:color w:val="auto"/>
          <w:highlight w:val="none"/>
          <w:lang w:val="zh-CN" w:eastAsia="zh-CN"/>
        </w:rPr>
        <w:t xml:space="preserve">2.免费保修期要求在</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eastAsia="zh-CN"/>
        </w:rPr>
        <w:t xml:space="preserve">年及以上。</w:t>
      </w:r>
      <w:r/>
    </w:p>
    <w:p>
      <w:pPr>
        <w:ind w:right="-143" w:firstLine="240"/>
        <w:rPr>
          <w:color w:val="auto"/>
          <w:highlight w:val="none"/>
          <w:lang w:eastAsia="zh-CN"/>
        </w:rPr>
      </w:pPr>
      <w:r>
        <w:rPr>
          <w:rFonts w:hint="eastAsia"/>
          <w:b/>
          <w:color w:val="auto"/>
          <w:highlight w:val="none"/>
          <w:lang w:eastAsia="zh-CN"/>
        </w:rPr>
        <w:t xml:space="preserve">（</w:t>
      </w:r>
      <w:r>
        <w:rPr>
          <w:rFonts w:hint="eastAsia"/>
          <w:b/>
          <w:color w:val="auto"/>
          <w:highlight w:val="none"/>
          <w:lang w:val="en-US" w:eastAsia="zh-CN"/>
        </w:rPr>
        <w:t xml:space="preserve">五</w:t>
      </w:r>
      <w:r>
        <w:rPr>
          <w:rFonts w:hint="eastAsia"/>
          <w:b/>
          <w:color w:val="auto"/>
          <w:highlight w:val="none"/>
          <w:lang w:eastAsia="zh-CN"/>
        </w:rPr>
        <w:t xml:space="preserve">）其他有关说明</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1.投标总报价包括满足本项目要求的所有产品及其配件、包装、运杂、安装调试及售后服务等从项目中标起到项目正式交付以及质保期内所发生的一切费用。</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2.通过中国海关报关验放进入中国境内且产自中国境外的产品不在本项目的报价范围。</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3.投标供应商必须在满足招标文件要求的基础上进行报价，如有技术偏离请于投标偏离表中说明。</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4.本项目合同履行地点：天一实验学校文景校区，具体地点以合同书约定为准。中标供应商必须按采购人要求将本项目中货物送到指定地点（包括可能的分布范围），并实施安装调试。</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rPr>
          <w:rFonts w:hint="eastAsia" w:ascii="宋体" w:hAnsi="宋体" w:eastAsia="宋体" w:cs="宋体"/>
          <w:b/>
          <w:bCs/>
          <w:color w:val="auto"/>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6.采购人将对中标供应商的生产厂家进行现场考察，若发现中标供应商不具备生产供货能力或存在弄虚作假等情况，采购人有权提请采购管理部门作出相应处理。</w:t>
      </w:r>
      <w:r/>
    </w:p>
    <w:p>
      <w:pPr>
        <w:ind w:firstLine="360"/>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7.出现以下情况之一的，采购人有权依照法律程序解除合同，并追究中标供应商的法律责任，并提请采购管理部门作出相应处理，并赔偿采购人因此产生的误期违约损失：</w:t>
      </w:r>
      <w:r/>
    </w:p>
    <w:p>
      <w:pPr>
        <w:ind w:firstLine="360"/>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（1）合同履行过程中，采购人有权对中标供应商</w:t>
      </w:r>
      <w:r>
        <w:rPr>
          <w:rFonts w:hint="eastAsia" w:ascii="宋体" w:hAnsi="宋体" w:eastAsia="宋体" w:cs="宋体"/>
          <w:b/>
          <w:bCs/>
          <w:color w:val="auto"/>
          <w:highlight w:val="none"/>
          <w:lang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p>
    <w:p>
      <w:pPr>
        <w:ind w:firstLine="360"/>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2）货到现场进行检测，如检测结果不满足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ind w:firstLine="360"/>
        <w:rPr>
          <w:rFonts w:ascii="宋体" w:hAnsi="宋体" w:eastAsia="宋体" w:cs="宋体"/>
          <w:color w:val="auto"/>
          <w:highlight w:val="none"/>
          <w:lang w:eastAsia="zh-CN"/>
        </w:rPr>
      </w:pPr>
      <w:r>
        <w:rPr>
          <w:rFonts w:hint="eastAsia" w:ascii="宋体" w:hAnsi="宋体" w:eastAsia="宋体" w:cs="宋体"/>
          <w:b/>
          <w:bCs/>
          <w:color w:val="auto"/>
          <w:highlight w:val="none"/>
          <w:lang w:eastAsia="zh-CN"/>
        </w:rPr>
        <w:t xml:space="preserve">（3）中标供应商所供货物必须按采购文件及投标文件中约定的实际参数进行供货，货物运送到场地后，采购人有权委托第三方法定检</w:t>
      </w:r>
      <w:r>
        <w:rPr>
          <w:rFonts w:hint="eastAsia" w:ascii="宋体" w:hAnsi="宋体" w:eastAsia="宋体" w:cs="宋体"/>
          <w:b/>
          <w:bCs/>
          <w:color w:val="auto"/>
          <w:highlight w:val="none"/>
          <w:lang w:eastAsia="zh-CN"/>
        </w:rPr>
        <w:t xml:space="preserve">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360"/>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8.履约保证金：本项目收取履约保证金，详见合同条款</w:t>
      </w:r>
      <w:r>
        <w:rPr>
          <w:rFonts w:hint="eastAsia" w:eastAsia="宋体"/>
          <w:color w:val="auto"/>
          <w:highlight w:val="none"/>
          <w:lang w:eastAsia="zh-CN"/>
        </w:rPr>
        <w:t xml:space="preserve">。</w:t>
      </w:r>
      <w:r/>
    </w:p>
    <w:p>
      <w:pPr>
        <w:ind w:firstLine="0"/>
        <w:spacing w:line="240" w:lineRule="auto"/>
        <w:rPr>
          <w:color w:val="auto"/>
          <w:highlight w:val="none"/>
          <w:lang w:eastAsia="zh-CN"/>
        </w:rPr>
      </w:pPr>
      <w:r>
        <w:rPr>
          <w:color w:val="auto"/>
          <w:highlight w:val="none"/>
          <w:lang w:eastAsia="zh-CN"/>
        </w:rPr>
        <w:br w:type="page" w:clear="all"/>
      </w:r>
      <w:r/>
    </w:p>
    <w:p>
      <w:pPr>
        <w:jc w:val="left"/>
        <w:spacing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 xml:space="preserve">商品包装政府采购需求标准（ 试行）</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一、适用范围</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二、商品包装环保要求</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1.商品包装层数不得超过3层，空隙率不大于40%；</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2.商品包装尽可能使用单一材质的包装材料，如因功能需求必须使用不同材质，不同材质间应便于分离；</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3.商品包装中铅、汞、镉、六价铬的总含量应不大于100mg/kg；</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4.商品包装印刷使用的油墨中挥发性有机化合物（VOCs）含量应不大于5g（以重量计）；</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6.纸质商品包装应使用75%以上的可再生纤维原料生产；</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三、检测方法</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1.商品包装中重金属（铅、汞、铜、六价铬）总量的检测按照 GB/T 10004-2008《包装用塑料复合膜、袋干法复合</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挤出复合》规定的方法进行。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附件2：</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快递包装政府采购需求标准（试行）</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一、适用范围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二、快递包装环保要求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2.快递包装印刷使用的油墨中不应添加邻苯二甲酸酐，其挥发性有机化合物（VOCs）含量应不大于5g（以重量计）；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w:t>
      </w:r>
      <w:r>
        <w:rPr>
          <w:rFonts w:hint="eastAsia" w:ascii="宋体" w:hAnsi="宋体" w:cs="宋体"/>
          <w:color w:val="auto"/>
          <w:sz w:val="24"/>
          <w:szCs w:val="24"/>
          <w:highlight w:val="none"/>
          <w:lang w:val="zh-CN"/>
        </w:rPr>
        <w:t xml:space="preserve">胶黏剂</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10.快递应使用电子面单；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三、检测方法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cs="宋体"/>
          <w:color w:val="auto"/>
          <w:sz w:val="32"/>
          <w:szCs w:val="32"/>
          <w:highlight w:val="none"/>
        </w:rPr>
      </w:pPr>
      <w:r>
        <w:rPr>
          <w:rFonts w:hint="eastAsia" w:ascii="宋体" w:hAnsi="宋体"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rPr>
          <w:rFonts w:hint="eastAsia" w:ascii="宋体" w:hAnsi="宋体" w:cs="宋体"/>
          <w:color w:val="auto"/>
          <w:sz w:val="24"/>
          <w:szCs w:val="24"/>
          <w:highlight w:val="none"/>
          <w:lang w:val="zh-CN"/>
        </w:rPr>
        <w:t xml:space="preserve">。</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0"/>
        <w:jc w:val="left"/>
        <w:widowControl/>
        <w:rPr>
          <w:rFonts w:hint="eastAsia" w:ascii="宋体" w:hAnsi="宋体" w:eastAsia="等线" w:cs="Times New Roman"/>
          <w:b/>
          <w:color w:val="auto"/>
          <w:sz w:val="30"/>
          <w:szCs w:val="30"/>
          <w:highlight w:val="none"/>
          <w:lang w:eastAsia="zh-CN"/>
        </w:rPr>
      </w:pPr>
      <w:r>
        <w:rPr>
          <w:rFonts w:hint="eastAsia" w:ascii="宋体" w:hAnsi="宋体" w:eastAsia="等线" w:cs="Times New Roman"/>
          <w:b/>
          <w:color w:val="auto"/>
          <w:sz w:val="30"/>
          <w:szCs w:val="30"/>
          <w:highlight w:val="none"/>
          <w:lang w:eastAsia="zh-CN"/>
        </w:rPr>
        <w:br w:type="page" w:clear="all"/>
      </w:r>
      <w:r/>
    </w:p>
    <w:p>
      <w:pPr>
        <w:ind w:firstLine="0"/>
        <w:jc w:val="both"/>
        <w:widowControl w:val="off"/>
        <w:tabs>
          <w:tab w:val="left" w:pos="525" w:leader="none"/>
          <w:tab w:val="left" w:pos="630" w:leader="none"/>
          <w:tab w:val="left" w:pos="735" w:leader="none"/>
          <w:tab w:val="left" w:pos="945" w:leader="none"/>
        </w:tabs>
        <w:rPr>
          <w:rFonts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eastAsia="zh-CN"/>
        </w:rPr>
        <w:t xml:space="preserve">2.依据财政部、发展改革委发布的《节能产品政府采购品目清单》，本项目中</w:t>
      </w:r>
      <w:r>
        <w:rPr>
          <w:rFonts w:hint="eastAsia" w:ascii="宋体" w:hAnsi="宋体" w:cs="宋体"/>
          <w:color w:val="auto"/>
          <w:szCs w:val="24"/>
          <w:highlight w:val="none"/>
          <w:lang w:eastAsia="zh-CN"/>
        </w:rPr>
        <w:t xml:space="preserve">有</w:t>
      </w:r>
      <w:r>
        <w:rPr>
          <w:rFonts w:hint="eastAsia" w:ascii="宋体" w:hAnsi="宋体" w:cs="宋体"/>
          <w:color w:val="auto"/>
          <w:szCs w:val="24"/>
          <w:highlight w:val="none"/>
          <w:lang w:eastAsia="zh-CN"/>
        </w:rPr>
        <w:t xml:space="preserve">政府强制采购节能产</w:t>
      </w:r>
      <w:r>
        <w:rPr>
          <w:rFonts w:hint="eastAsia" w:ascii="宋体" w:hAnsi="宋体" w:cs="宋体"/>
          <w:color w:val="auto"/>
          <w:szCs w:val="24"/>
          <w:highlight w:val="none"/>
          <w:lang w:eastAsia="zh-CN"/>
        </w:rPr>
        <w:t xml:space="preserve">品</w:t>
      </w:r>
      <w:r>
        <w:rPr>
          <w:rFonts w:hint="eastAsia" w:ascii="宋体" w:hAnsi="宋体" w:cs="宋体"/>
          <w:color w:val="auto"/>
          <w:szCs w:val="24"/>
          <w:highlight w:val="none"/>
          <w:lang w:eastAsia="zh-CN"/>
        </w:rPr>
        <w:t xml:space="preserve">的</w:t>
      </w:r>
      <w:r>
        <w:rPr>
          <w:rFonts w:hint="eastAsia" w:ascii="宋体" w:hAnsi="宋体" w:cs="宋体"/>
          <w:color w:val="auto"/>
          <w:szCs w:val="24"/>
          <w:highlight w:val="none"/>
          <w:lang w:eastAsia="zh-CN"/>
        </w:rPr>
        <w:t xml:space="preserve">，只能选择具有国家确定的认证机构出具的、处于有效期之内的节能产品认证证书的产品进行报价。</w:t>
      </w:r>
      <w:r>
        <w:rPr>
          <w:rFonts w:hint="eastAsia" w:ascii="宋体" w:hAnsi="宋体" w:cs="宋体"/>
          <w:b/>
          <w:bCs/>
          <w:color w:val="auto"/>
          <w:szCs w:val="24"/>
          <w:highlight w:val="none"/>
          <w:lang w:val="en-US" w:eastAsia="zh-CN"/>
        </w:rPr>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ascii="宋体" w:hAnsi="宋体" w:cs="宋体"/>
          <w:b/>
          <w:color w:val="auto"/>
          <w:sz w:val="32"/>
          <w:szCs w:val="32"/>
          <w:highlight w:val="none"/>
          <w:lang w:eastAsia="zh-CN"/>
        </w:rPr>
      </w:pPr>
      <w:r>
        <w:rPr>
          <w:rFonts w:hint="eastAsia" w:ascii="宋体" w:hAnsi="宋体" w:cs="宋体"/>
          <w:color w:val="auto"/>
          <w:szCs w:val="24"/>
          <w:highlight w:val="none"/>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6.中标、成交供应商可采用合同融资形式，中标人可凭政府采购合同办理融资贷款，详见政府采购网“政采贷”专栏。</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8.本项目中如有涉及数据库、操作系统、通用</w:t>
      </w:r>
      <w:r>
        <w:rPr>
          <w:rFonts w:hint="eastAsia" w:ascii="宋体" w:hAnsi="宋体" w:cs="宋体"/>
          <w:color w:val="auto"/>
          <w:szCs w:val="24"/>
          <w:highlight w:val="none"/>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color w:val="auto"/>
          <w:szCs w:val="24"/>
          <w:highlight w:val="none"/>
          <w:lang w:val="en" w:eastAsia="zh-CN"/>
        </w:rPr>
        <w:t xml:space="preserve">采购人原则上应当自收到发票后10个工作日内将资金支付到合同约定的供应商账户。</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ascii="宋体" w:hAnsi="宋体" w:cs="宋体"/>
          <w:b/>
          <w:bCs/>
          <w:color w:val="auto"/>
          <w:szCs w:val="24"/>
          <w:highlight w:val="none"/>
          <w:lang w:val="zh-CN" w:eastAsia="zh-CN"/>
        </w:rPr>
      </w:pPr>
      <w:r>
        <w:rPr>
          <w:rFonts w:ascii="宋体" w:hAnsi="宋体" w:cs="宋体"/>
          <w:b/>
          <w:bCs/>
          <w:color w:val="auto"/>
          <w:szCs w:val="24"/>
          <w:highlight w:val="none"/>
          <w:lang w:val="zh-CN" w:eastAsia="zh-CN"/>
        </w:rPr>
      </w:r>
      <w:r/>
    </w:p>
    <w:p>
      <w:pPr>
        <w:pStyle w:val="1096"/>
        <w:spacing w:after="240"/>
        <w:rPr>
          <w:color w:val="auto"/>
          <w:highlight w:val="none"/>
          <w:lang w:eastAsia="zh-CN"/>
        </w:rPr>
      </w:pPr>
      <w:r/>
      <w:bookmarkStart w:id="16" w:name="_Toc161316667"/>
      <w:r>
        <w:rPr>
          <w:color w:val="auto"/>
          <w:highlight w:val="none"/>
          <w:lang w:eastAsia="zh-CN"/>
        </w:rPr>
        <w:br w:type="page" w:clear="all"/>
      </w:r>
      <w:r>
        <w:rPr>
          <w:rFonts w:hint="eastAsia"/>
          <w:color w:val="auto"/>
          <w:highlight w:val="none"/>
          <w:lang w:eastAsia="zh-CN"/>
        </w:rPr>
        <w:t xml:space="preserve">四、</w:t>
      </w:r>
      <w:bookmarkEnd w:id="16"/>
      <w:r>
        <w:rPr>
          <w:rFonts w:hint="eastAsia"/>
          <w:color w:val="auto"/>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ind w:firstLine="0"/>
        <w:jc w:val="center"/>
        <w:spacing w:line="240" w:lineRule="auto"/>
        <w:widowControl w:val="off"/>
        <w:rPr>
          <w:rFonts w:hint="eastAsia" w:ascii="宋体" w:hAnsi="宋体" w:eastAsia="宋体" w:cs="宋体"/>
          <w:color w:val="auto"/>
          <w:sz w:val="52"/>
          <w:szCs w:val="52"/>
          <w:highlight w:val="none"/>
          <w:lang w:eastAsia="zh-CN"/>
        </w:rPr>
      </w:pPr>
      <w:r>
        <w:rPr>
          <w:rFonts w:hint="eastAsia" w:ascii="宋体" w:hAnsi="宋体" w:eastAsia="宋体" w:cs="宋体"/>
          <w:color w:val="auto"/>
          <w:sz w:val="32"/>
          <w:szCs w:val="32"/>
          <w:highlight w:val="none"/>
          <w:lang w:eastAsia="zh-CN"/>
        </w:rPr>
        <w:t xml:space="preserve">天一实验学校文景校区操场面层采购</w:t>
      </w:r>
      <w:r>
        <w:rPr>
          <w:rFonts w:hint="eastAsia" w:ascii="宋体" w:hAnsi="宋体" w:eastAsia="宋体" w:cs="宋体"/>
          <w:color w:val="auto"/>
          <w:sz w:val="36"/>
          <w:szCs w:val="36"/>
          <w:highlight w:val="none"/>
          <w:lang w:eastAsia="zh-CN"/>
        </w:rPr>
        <w:t xml:space="preserve"> </w:t>
      </w:r>
      <w:r/>
    </w:p>
    <w:p>
      <w:pPr>
        <w:numPr>
          <w:ilvl w:val="0"/>
          <w:numId w:val="0"/>
        </w:numPr>
        <w:ind w:left="142" w:firstLine="0"/>
        <w:jc w:val="both"/>
        <w:keepNext/>
        <w:spacing w:line="240" w:lineRule="auto"/>
        <w:widowControl w:val="off"/>
        <w:rPr>
          <w:rFonts w:hint="eastAsia" w:ascii="楷体_GB2312" w:hAnsi="Times New Roman" w:eastAsia="黑体" w:cs="Times New Roman"/>
          <w:b/>
          <w:bCs/>
          <w:color w:val="auto"/>
          <w:sz w:val="28"/>
          <w:szCs w:val="21"/>
          <w:highlight w:val="none"/>
          <w:lang w:val="en-US" w:eastAsia="zh-CN" w:bidi="ar-SA"/>
        </w:rPr>
        <w:outlineLvl w:val="1"/>
      </w:pPr>
      <w:r>
        <w:rPr>
          <w:rFonts w:hint="eastAsia" w:ascii="楷体_GB2312" w:hAnsi="Times New Roman" w:eastAsia="黑体" w:cs="Times New Roman"/>
          <w:b/>
          <w:bCs/>
          <w:color w:val="auto"/>
          <w:sz w:val="28"/>
          <w:szCs w:val="21"/>
          <w:highlight w:val="none"/>
          <w:lang w:val="en-US" w:eastAsia="zh-CN" w:bidi="ar-SA"/>
        </w:rPr>
      </w:r>
      <w:r/>
    </w:p>
    <w:p>
      <w:pPr>
        <w:ind w:firstLine="0"/>
        <w:jc w:val="both"/>
        <w:spacing w:line="24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r>
      <w:r/>
    </w:p>
    <w:p>
      <w:pPr>
        <w:ind w:firstLine="0"/>
        <w:jc w:val="center"/>
        <w:spacing w:line="240" w:lineRule="auto"/>
        <w:widowControl w:val="off"/>
        <w:rPr>
          <w:rFonts w:hint="eastAsia"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t xml:space="preserve">合</w:t>
      </w:r>
      <w:r/>
    </w:p>
    <w:p>
      <w:pPr>
        <w:ind w:firstLine="0"/>
        <w:jc w:val="center"/>
        <w:spacing w:line="240" w:lineRule="auto"/>
        <w:widowControl w:val="off"/>
        <w:rPr>
          <w:rFonts w:hint="eastAsia"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r>
      <w:r/>
    </w:p>
    <w:p>
      <w:pPr>
        <w:ind w:firstLine="0"/>
        <w:jc w:val="center"/>
        <w:spacing w:line="240" w:lineRule="auto"/>
        <w:widowControl w:val="off"/>
        <w:rPr>
          <w:rFonts w:hint="eastAsia"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t xml:space="preserve">同</w:t>
      </w:r>
      <w:r/>
    </w:p>
    <w:p>
      <w:pPr>
        <w:ind w:firstLine="0"/>
        <w:jc w:val="center"/>
        <w:spacing w:line="240" w:lineRule="auto"/>
        <w:widowControl w:val="off"/>
        <w:rPr>
          <w:rFonts w:hint="eastAsia"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r>
      <w:r/>
    </w:p>
    <w:p>
      <w:pPr>
        <w:ind w:firstLine="0"/>
        <w:jc w:val="center"/>
        <w:spacing w:line="240" w:lineRule="auto"/>
        <w:widowControl w:val="off"/>
        <w:rPr>
          <w:rFonts w:ascii="宋体" w:hAnsi="宋体" w:eastAsia="宋体" w:cs="宋体"/>
          <w:color w:val="auto"/>
          <w:sz w:val="52"/>
          <w:szCs w:val="52"/>
          <w:highlight w:val="none"/>
          <w:lang w:eastAsia="zh-CN"/>
        </w:rPr>
      </w:pPr>
      <w:r>
        <w:rPr>
          <w:rFonts w:hint="eastAsia" w:ascii="宋体" w:hAnsi="宋体" w:eastAsia="宋体" w:cs="宋体"/>
          <w:color w:val="auto"/>
          <w:sz w:val="52"/>
          <w:szCs w:val="52"/>
          <w:highlight w:val="none"/>
          <w:lang w:eastAsia="zh-CN"/>
        </w:rPr>
        <w:t xml:space="preserve">书</w:t>
      </w:r>
      <w:r/>
    </w:p>
    <w:p>
      <w:pPr>
        <w:ind w:firstLine="0"/>
        <w:jc w:val="left"/>
        <w:spacing w:line="360" w:lineRule="auto"/>
        <w:widowControl/>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ind w:firstLine="0"/>
        <w:jc w:val="left"/>
        <w:spacing w:line="360" w:lineRule="auto"/>
        <w:widowControl/>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ind w:firstLine="0"/>
        <w:jc w:val="left"/>
        <w:spacing w:line="360" w:lineRule="auto"/>
        <w:widowControl/>
        <w:rPr>
          <w:rFonts w:hint="eastAsia" w:ascii="宋体" w:hAnsi="宋体" w:eastAsia="宋体" w:cs="宋体"/>
          <w:color w:val="auto"/>
          <w:sz w:val="28"/>
          <w:szCs w:val="28"/>
          <w:highlight w:val="none"/>
          <w:lang w:eastAsia="zh-CN"/>
        </w:rPr>
      </w:pPr>
      <w:r>
        <w:rPr>
          <w:rFonts w:ascii="宋体" w:hAnsi="宋体" w:eastAsia="宋体" w:cs="宋体"/>
          <w:color w:val="auto"/>
          <w:sz w:val="32"/>
          <w:szCs w:val="32"/>
          <w:highlight w:val="none"/>
          <w:lang w:eastAsia="zh-CN"/>
        </w:rPr>
        <w:br/>
      </w:r>
      <w:r>
        <w:rPr>
          <w:rFonts w:hint="eastAsia" w:ascii="宋体" w:hAnsi="宋体" w:eastAsia="宋体" w:cs="宋体"/>
          <w:color w:val="auto"/>
          <w:sz w:val="28"/>
          <w:szCs w:val="28"/>
          <w:highlight w:val="none"/>
          <w:lang w:eastAsia="zh-CN"/>
        </w:rPr>
        <w:t xml:space="preserve">采购人（甲方）：</w:t>
      </w:r>
      <w:r>
        <w:rPr>
          <w:rFonts w:hint="eastAsia" w:ascii="宋体" w:hAnsi="宋体" w:eastAsia="宋体" w:cs="宋体"/>
          <w:color w:val="auto"/>
          <w:sz w:val="28"/>
          <w:szCs w:val="28"/>
          <w:highlight w:val="none"/>
          <w:lang w:eastAsia="zh-CN"/>
        </w:rPr>
        <w:t xml:space="preserve"> </w:t>
      </w:r>
      <w:r/>
    </w:p>
    <w:p>
      <w:pPr>
        <w:ind w:firstLine="0"/>
        <w:jc w:val="left"/>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供货人（乙方）：</w:t>
      </w:r>
      <w:r>
        <w:rPr>
          <w:rFonts w:hint="eastAsia" w:ascii="宋体" w:hAnsi="宋体" w:eastAsia="宋体" w:cs="宋体"/>
          <w:color w:val="auto"/>
          <w:sz w:val="28"/>
          <w:szCs w:val="28"/>
          <w:highlight w:val="none"/>
          <w:lang w:val="en-US" w:eastAsia="zh-CN"/>
        </w:rPr>
        <w:t xml:space="preserve"> </w:t>
      </w:r>
      <w:r/>
    </w:p>
    <w:p>
      <w:pPr>
        <w:ind w:firstLine="0"/>
        <w:jc w:val="both"/>
        <w:spacing w:before="145" w:line="240" w:lineRule="auto"/>
        <w:widowControl w:val="off"/>
        <w:rPr>
          <w:rFonts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签订日期：</w:t>
      </w:r>
      <w:r>
        <w:rPr>
          <w:rFonts w:hint="eastAsia" w:ascii="宋体" w:hAnsi="宋体" w:eastAsia="宋体" w:cs="宋体"/>
          <w:color w:val="auto"/>
          <w:sz w:val="28"/>
          <w:szCs w:val="28"/>
          <w:highlight w:val="none"/>
          <w:lang w:eastAsia="zh-CN"/>
        </w:rPr>
        <w:t xml:space="preserve">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年    月    日</w:t>
      </w:r>
      <w:r/>
    </w:p>
    <w:p>
      <w:pPr>
        <w:ind w:firstLine="364"/>
        <w:rPr>
          <w:rFonts w:ascii="宋体" w:hAnsi="宋体" w:cs="宋体"/>
          <w:color w:val="auto"/>
          <w:highlight w:val="none"/>
        </w:rPr>
        <w:sectPr>
          <w:headerReference w:type="default" r:id="rId9"/>
          <w:footerReference w:type="default" r:id="rId15"/>
          <w:footnotePr/>
          <w:endnotePr/>
          <w:type w:val="nextPage"/>
          <w:pgSz w:w="11917" w:h="16849" w:orient="portrait"/>
          <w:pgMar w:top="1582" w:right="1298" w:bottom="1020" w:left="1553" w:header="850" w:footer="992" w:gutter="0"/>
          <w:pgNumType w:start="1"/>
          <w:cols w:num="1" w:sep="0" w:space="720" w:equalWidth="1"/>
          <w:docGrid w:linePitch="360"/>
        </w:sectPr>
      </w:pPr>
      <w:r>
        <w:rPr>
          <w:rFonts w:ascii="宋体" w:hAnsi="宋体" w:cs="宋体"/>
          <w:color w:val="auto"/>
          <w:highlight w:val="none"/>
        </w:rPr>
      </w:r>
      <w:r/>
    </w:p>
    <w:p>
      <w:pPr>
        <w:ind w:firstLine="640"/>
        <w:jc w:val="center"/>
        <w:spacing w:line="480" w:lineRule="auto"/>
        <w:widowControl w:val="off"/>
        <w:rPr>
          <w:rFonts w:ascii="宋体" w:hAnsi="宋体" w:eastAsia="宋体" w:cs="宋体"/>
          <w:bCs/>
          <w:color w:val="auto"/>
          <w:sz w:val="24"/>
          <w:szCs w:val="24"/>
          <w:highlight w:val="none"/>
          <w:lang w:eastAsia="zh-CN"/>
        </w:rPr>
      </w:pPr>
      <w:r/>
      <w:bookmarkStart w:id="17" w:name="_Toc1836"/>
      <w:r>
        <w:rPr>
          <w:rFonts w:hint="eastAsia" w:ascii="宋体" w:hAnsi="宋体" w:eastAsia="宋体" w:cs="宋体"/>
          <w:bCs/>
          <w:color w:val="auto"/>
          <w:sz w:val="32"/>
          <w:szCs w:val="32"/>
          <w:highlight w:val="none"/>
          <w:lang w:eastAsia="zh-CN"/>
        </w:rPr>
        <w:t xml:space="preserve">合同条款</w:t>
      </w:r>
      <w:bookmarkEnd w:id="17"/>
      <w:r/>
      <w:r/>
    </w:p>
    <w:p>
      <w:pPr>
        <w:ind w:firstLine="482"/>
        <w:jc w:val="left"/>
        <w:spacing w:line="360" w:lineRule="auto"/>
        <w:widowControl w:val="off"/>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招标人（甲方）：</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eastAsia="zh-CN"/>
        </w:rPr>
        <w:t xml:space="preserve">                </w:t>
      </w:r>
      <w:r/>
    </w:p>
    <w:p>
      <w:pPr>
        <w:ind w:firstLine="482"/>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中标人（乙方）：</w:t>
      </w:r>
      <w:r>
        <w:rPr>
          <w:rFonts w:hint="eastAsia" w:ascii="宋体" w:hAnsi="宋体" w:eastAsia="宋体" w:cs="宋体"/>
          <w:bCs/>
          <w:color w:val="auto"/>
          <w:sz w:val="24"/>
          <w:szCs w:val="24"/>
          <w:highlight w:val="none"/>
          <w:u w:val="singl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遵照《中华人民共和国民法典》及其他有关法律法规的有关规定，甲乙双方协商后，就</w:t>
      </w:r>
      <w:r>
        <w:rPr>
          <w:rFonts w:hint="eastAsia" w:ascii="宋体" w:hAnsi="宋体" w:eastAsia="宋体" w:cs="Times New Roman"/>
          <w:color w:val="auto"/>
          <w:sz w:val="24"/>
          <w:szCs w:val="24"/>
          <w:highlight w:val="none"/>
          <w:u w:val="single"/>
          <w:lang w:eastAsia="zh-CN"/>
        </w:rPr>
        <w:t xml:space="preserve">天一实验学校文景校区操场面层采购</w:t>
      </w:r>
      <w:r>
        <w:rPr>
          <w:rFonts w:hint="eastAsia" w:ascii="宋体" w:hAnsi="宋体" w:eastAsia="宋体" w:cs="Times New Roman"/>
          <w:color w:val="auto"/>
          <w:sz w:val="24"/>
          <w:szCs w:val="24"/>
          <w:highlight w:val="none"/>
          <w:lang w:eastAsia="zh-CN"/>
        </w:rPr>
        <w:t xml:space="preserve">事项共同确定以下条款</w:t>
      </w:r>
      <w:r>
        <w:rPr>
          <w:rFonts w:hint="eastAsia" w:ascii="宋体" w:hAnsi="宋体" w:eastAsia="宋体" w:cs="宋体"/>
          <w:bCs/>
          <w:color w:val="auto"/>
          <w:sz w:val="24"/>
          <w:szCs w:val="24"/>
          <w:highlight w:val="none"/>
          <w:lang w:eastAsia="zh-CN"/>
        </w:rPr>
        <w:t xml:space="preserve">。</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项目概况</w:t>
      </w:r>
      <w:r/>
    </w:p>
    <w:p>
      <w:pPr>
        <w:ind w:firstLine="480"/>
        <w:jc w:val="left"/>
        <w:spacing w:line="360" w:lineRule="auto"/>
        <w:widowControl w:val="off"/>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项目名称：</w:t>
      </w:r>
      <w:r>
        <w:rPr>
          <w:rFonts w:hint="eastAsia" w:ascii="宋体" w:hAnsi="宋体" w:eastAsia="宋体" w:cs="宋体"/>
          <w:bCs/>
          <w:color w:val="auto"/>
          <w:sz w:val="24"/>
          <w:szCs w:val="24"/>
          <w:highlight w:val="none"/>
          <w:u w:val="single"/>
          <w:lang w:eastAsia="zh-CN"/>
        </w:rPr>
        <w:t xml:space="preserve">天一实验学校文景校区操场面层采购</w:t>
      </w:r>
      <w:r/>
    </w:p>
    <w:p>
      <w:pPr>
        <w:pStyle w:val="1103"/>
        <w:ind w:firstLine="480"/>
        <w:jc w:val="left"/>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项目地点：</w:t>
      </w:r>
      <w:r>
        <w:rPr>
          <w:rFonts w:hint="eastAsia" w:eastAsia="宋体"/>
          <w:color w:val="auto"/>
          <w:highlight w:val="none"/>
          <w:u w:val="single"/>
          <w:lang w:eastAsia="zh-CN"/>
        </w:rPr>
        <w:t xml:space="preserve">天一实验学校文景校区</w:t>
      </w:r>
      <w:r/>
    </w:p>
    <w:p>
      <w:pPr>
        <w:ind w:firstLine="480"/>
        <w:jc w:val="left"/>
        <w:spacing w:line="360" w:lineRule="auto"/>
        <w:widowControl w:val="off"/>
        <w:rPr>
          <w:rFonts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eastAsia="zh-CN"/>
        </w:rPr>
        <w:t xml:space="preserve">项目范围：</w:t>
      </w:r>
      <w:r>
        <w:rPr>
          <w:rFonts w:hint="eastAsia" w:ascii="宋体" w:hAnsi="宋体" w:eastAsia="宋体" w:cs="宋体"/>
          <w:bCs/>
          <w:color w:val="auto"/>
          <w:sz w:val="24"/>
          <w:szCs w:val="24"/>
          <w:highlight w:val="none"/>
          <w:u w:val="single"/>
          <w:lang w:eastAsia="zh-CN"/>
        </w:rPr>
        <w:t xml:space="preserve">主要包括招标施工图纸及工程量清单范围内包含原场地的铲除、修复、塑胶操场的铺设等。</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合同标的</w:t>
      </w:r>
      <w:r/>
    </w:p>
    <w:p>
      <w:pPr>
        <w:ind w:firstLine="480"/>
        <w:jc w:val="left"/>
        <w:spacing w:line="360" w:lineRule="auto"/>
        <w:widowControl w:val="off"/>
        <w:rPr>
          <w:rFonts w:ascii="宋体" w:hAnsi="宋体" w:eastAsia="宋体" w:cs="宋体"/>
          <w:bCs/>
          <w:color w:val="auto"/>
          <w:sz w:val="24"/>
          <w:szCs w:val="21"/>
          <w:highlight w:val="none"/>
          <w:lang w:eastAsia="zh-CN"/>
        </w:rPr>
      </w:pPr>
      <w:r>
        <w:rPr>
          <w:rFonts w:hint="eastAsia" w:ascii="宋体" w:hAnsi="宋体" w:eastAsia="宋体" w:cs="宋体"/>
          <w:bCs/>
          <w:color w:val="auto"/>
          <w:sz w:val="24"/>
          <w:szCs w:val="24"/>
          <w:highlight w:val="none"/>
          <w:lang w:eastAsia="zh-CN"/>
        </w:rPr>
        <w:t xml:space="preserve">(一)合同总价（大写）</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（小写：</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元），(其中:不含税金额</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元，增值税税款</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eastAsia="zh-CN"/>
        </w:rPr>
        <w:t xml:space="preserve">元)。该本工程为固定单价合同，投标报价时的综合单价不变，工程量按实调整。该总价已包含运输、装车、保险、卸货、施工、以及售后服务、质保期内的缺陷整改、措施、利润、税金等所有费用。乙方不得再以任何名义向甲方收取任何费用。</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(二)在整体安装、调试、验收过程中，如发现有漏项、缺件，乙方应无条件、无偿在约定交货限期前补齐，由此发生的一切费用，视为已包含在乙方的投标报价之中，且并不因此影响交付甲方使用的时间。</w:t>
      </w:r>
      <w:r/>
    </w:p>
    <w:p>
      <w:pPr>
        <w:ind w:firstLine="480"/>
        <w:jc w:val="left"/>
        <w:spacing w:line="360" w:lineRule="auto"/>
        <w:widowControl w:val="off"/>
        <w:rPr>
          <w:rFonts w:ascii="宋体" w:hAnsi="宋体" w:eastAsia="宋体" w:cs="宋体"/>
          <w:bCs/>
          <w:color w:val="auto"/>
          <w:sz w:val="24"/>
          <w:szCs w:val="21"/>
          <w:highlight w:val="none"/>
          <w:lang w:eastAsia="zh-CN"/>
        </w:rPr>
      </w:pPr>
      <w:r>
        <w:rPr>
          <w:rFonts w:hint="eastAsia" w:ascii="宋体" w:hAnsi="宋体" w:eastAsia="宋体" w:cs="宋体"/>
          <w:bCs/>
          <w:color w:val="auto"/>
          <w:sz w:val="24"/>
          <w:szCs w:val="24"/>
          <w:highlight w:val="none"/>
          <w:lang w:eastAsia="zh-CN"/>
        </w:rPr>
        <w:t xml:space="preserve">(三)在整体安装、调试过程中，甲方可能对部分货物数量进行调整，调整的依据以乙方投标时投标报价的单价乘以增减的数量及相关费用为准，并对合同总价作相应的调整，如调整的，以甲方书面签认的材料为准。</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(四)乙方在生产前应提供货物的型号、规格、数量，经甲方书面确认后方可开始生产，否则由此产生的一切费用由乙方承担。</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(五)乙方承诺承担全部因原材料价格波动、政策调整所带来的风险和收益；在履行合同过程中，货物单价不做调整。</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交货日期</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（一）自合同签订后</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日历天内完成供货和整体安装、调试等全部工作，并交付甲方验收通过。如因甲方原因，甲方书面要求变更交货日期的，乙方应无条件配合并相关风险乙方已在投标时充分考虑，乙方不再额外收取仓储费、赶工费等费用，但双方另行达成书面约定的除外。</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乙方应按合同约定的期限交货并完成安装、调试达到可投用状态后通知甲方验收，甲方初步验收合格后投用产品，产品无瑕疵且安全使用满30日视为正式验收合格。甲方收到通知后未及时验收的，则双方应另行确认验收时间，因甲方未及时验收而造成的迟延可不视为乙方违约。</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交货(交付)地点</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产品交货地点为</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，产品交付并经甲方确认后其所有权归甲方。</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运输方式</w:t>
      </w:r>
      <w:r/>
    </w:p>
    <w:p>
      <w:pPr>
        <w:ind w:firstLine="480"/>
        <w:jc w:val="left"/>
        <w:spacing w:line="360" w:lineRule="auto"/>
        <w:widowControl w:val="off"/>
        <w:rPr>
          <w:rFonts w:ascii="宋体" w:hAnsi="宋体" w:eastAsia="宋体" w:cs="宋体"/>
          <w:bCs/>
          <w:color w:val="auto"/>
          <w:sz w:val="24"/>
          <w:szCs w:val="21"/>
          <w:highlight w:val="none"/>
          <w:lang w:eastAsia="zh-CN"/>
        </w:rPr>
      </w:pPr>
      <w:r>
        <w:rPr>
          <w:rFonts w:hint="eastAsia" w:ascii="宋体" w:hAnsi="宋体" w:eastAsia="宋体" w:cs="宋体"/>
          <w:bCs/>
          <w:color w:val="auto"/>
          <w:sz w:val="24"/>
          <w:szCs w:val="24"/>
          <w:highlight w:val="none"/>
          <w:u w:val="single"/>
          <w:lang w:eastAsia="zh-CN"/>
        </w:rPr>
        <w:t xml:space="preserve">汽运</w:t>
      </w:r>
      <w:r>
        <w:rPr>
          <w:rFonts w:hint="eastAsia" w:ascii="宋体" w:hAnsi="宋体" w:eastAsia="宋体" w:cs="宋体"/>
          <w:bCs/>
          <w:color w:val="auto"/>
          <w:sz w:val="24"/>
          <w:szCs w:val="24"/>
          <w:highlight w:val="none"/>
          <w:lang w:eastAsia="zh-CN"/>
        </w:rPr>
        <w:t xml:space="preserve">，费用（含保险）由乙方负担(含在本次合同总价内)。乙方应确保货物的包装符合要求，使货物能安全、完整、无损的到达甲方指定地点。</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履约担保</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签订合同时，乙方须向甲方交纳中标合同总金额10%的履约担保。担保方式为：①合同价款的10％的银行履约保函，保函有效期应至完成全部合同工程量之日。或者②合同价款的10％的履约保证金，签订合同时提交。履约保证金有效期限从提交履约保证金起，到项目完工止。履约保证金在完成全部合同工程量且经甲方正式验收通过后半个月内返还。或者③合同价款的10％的担保机构保函，保函有效期自本合同生效之日起至合同约定的工程竣工日期后30日内，担保机构应为甲方认可的国有融资性担保公司。</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若乙方在签订合同后5 日内未予提交履约担保或未经甲方要求补足履约担保的，甲方有权取消乙方中标资格并由乙方承担赔偿责任，或选择每逾期一日，乙方应向甲方支付人民币1000元／日的违约金。若签订合同后15日内乙方未提交履约担保的，则甲方有权终止合同，并有权要求乙方支付自首次逾期之日起人民币2000元／日的违约金，同时乙方还须赔偿因此给甲方造成的一切损失。</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履行过程中，若履约保证金因乙方违约被全部或部分扣除，乙方未按照甲方要求补足履约担保的，违约责任照前款执行。</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付款方式</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乙方承诺按甲方的要求开具相应发票，且每次要求付款前需提交付款通知书及相应发票。前述付款通知书先经甲方及监理单位签认后，由甲方向乙方支付。若乙方未能按期开具发票或提供资料的，甲方可作同期顺延付款，且不视为违约。</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（一）合同签订后30日内，按合同总价的20%向乙方支付设备采购款；</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本合同项下所列全部产品货到现场并经甲方初验合格后，支付至合同总价的50％（若所采购货物较原招标文件载明的数量发生重大变更，则以跟踪审计单位现场核定的实际数量为基准进行结算，结算比例不变）；</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（三）整体调试完毕并经甲方正式验收合格后30日内，支付至合同总价的70％；</w:t>
      </w:r>
      <w:r/>
    </w:p>
    <w:p>
      <w:pPr>
        <w:ind w:firstLine="480"/>
        <w:jc w:val="left"/>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（四）本项目最终审计结束，且经甲方正式验收合格满一年后30日内，支付至项目审定价款的90％；</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（五）本项目最终审计结束，且经甲方正式验收合格满二年后30日内，支付至项目审定价款的100％。</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工程质量和检查验收</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甲方根据国家质量验收规范和评定标准进行技术交底和组织验收（若标准不一致的则以较高标准者为准）。乙方按照施工图纸和说明书要求，精心组织施工，保证工程质量，确保符合甲方的实际使用需求。验收程序如下：</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1、表面验收：到货后乙方通知甲方对货物数量、包装外观等进行表面验收。若乙方提供的货物数量、包装、外观存在瑕疵的，乙方必须在限期内补正并交货期不得顺延，不得延误甲方工期。表面验收合格不视为对货物任何质量瑕疵的默认。</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2、初步验收：乙方按照合同约定及甲方要求将货物安装、调试并确保设备可以正常运行后，通知甲方初步验收，甲方验收合格后投用。</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3、产品无任何瑕疵且待甲方安全稳定使用达30日且无任何服务瑕疵的，视为验收合格。安装完毕并且交付投用前货物均由乙方保管，风险由乙方承担。</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4、乙方按照图纸和说明书要求，保证货物质量及工程质量，货物应当附有质量合格证明文件、使用说明、质保材料等附随文件。如货物质量不合格或不满足甲方的实际使用要求的，应当及时维修至甲方满意并交付期不顺延。</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5、如质量不合标准，必须返工修理至合格并赔偿甲方合同总价10%的质量违约金；如工程质量低劣又无法整改至符合甲方要求的，甲方有权解除合同，此时乙方应赔偿甲方合同总价20%的违约金及因此造成全部损失和费用。</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安全生产</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1、甲方有权对乙方交付的货物及安装工程进行安全检查，并提出明确的安全要求，并进行监督检查，但乙方通过甲方的安全检查并不免除乙方在生产、运输、安装等过程的安全保障责任。乙方必须认真贯彻有关安全施工的规章制度，严格遵守安全操作规程，自行配备生产、安装货物的工具、器具、护具。施工中如因乙方违反上述规定而发生伤亡事故，其损失由乙方负责。</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2、乙方应自行承担合同履行期限内的安全责任，期间因乙方原因（包括但不限于乙方违章操作，野蛮安装）而造成的各项安全事故均由乙方自行负责，与甲方无涉；如导致甲方或甲方客户或任意第三人受到财产损失，乙方应作全额赔偿。</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3、乙方应当为其工作人员安排必要的劳动保障措施及保险，劳动保护用品及施工中属个人使用的工具等由乙方自行解决，乙方人员的人身、财产安全由乙方负责，与甲方无涉。</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4、在合同履行过程中发生的火灾、工伤、人身或财产损害等事故，均由乙方承担全部责任，乙方人员任何时候不视为与甲方构成任何劳务、劳动、雇佣的关系。若因此导致甲方可能陷入诉讼或仲裁的（无论是否进入相关程序），还应赔付甲方由此产生的包括但不限于诉讼费、仲裁费、律师费、差旅费、保全费、保全担保/保险费、公告费、公证费、差旅费、鉴定费、执行费、人员工资损失等。</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材料供应管理</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1、本合同工程所用材料设备由乙方采购供应，乙方保证交付的所有货物的产品质量及安装质量必须严格按照国家规范及江苏省、无锡市相应地方规范、采购文件、材料厂家的技术规范的有关要求执行，材料、工具、设备都必须具有合格证、质量保证书、检验报告等有效相关证明，并报甲方书面认可。</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2、甲方未认可的材料、工具、设备不得使用，由于乙方采购的材料造成交付的货物或安装工程质量不合格、工期延误，所造成的一切责任及损失均由乙方负责。</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3、甲方的任何书面认可不代表免除乙方材料、工具、设备应达到国标或行业通行标准的义务，乙方亦不可据此向任意第三方进行任何性质的明示、暗示承诺。</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现场管理</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1、甲、乙方人员要严格遵守现场各项管理制度，在甲方现场负责人统一领导下组织施工，有关计划、进度、材料供应等工作双方应密切配合，保证合同顺利进行。</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2、甲方有权随时向乙方询问货物交付及安装工作的进展情况及相关的内容（包括但不限于费用明细、使用说明、售后服务等），乙方应就甲方的问题进行详细说明。乙方对甲方的解释说明构成乙方对本次服务的承诺，但不意味着甲方仅可按照乙方说明的事项要求服务或默认乙方服务缺陷瑕疵。</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3、乙方应对本项目所涉的乙方人员进行遵纪守法和安全生产、爱护财产的教育，如有违反现场管理制度的不法行为，甲方有权采取必要措施，乙方应承担法律责任，并负责赔偿经济损失。</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4、乙方应保证具有实施本合同所应具有的资质、能力和要求，根据实际情况或甲方的要求配备足够的、有相应经验与资质的工作人员，乙方所有技术/服务人员相关资质证件等需交甲方备案，如人员发生变动，人员变动资料需交甲方备案。</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售后服务</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(一)乙方有义务在合同生效后在甲方需要时给予现场技术指导，确保交付安装的货物符合甲方的实际使用要求。</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(二)本工程质保期为</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(自工程验收合格并交付甲方之日起计算)，质保期内，乙方提供免费维修服务，质保期结束后提供有偿终身维修服务（乙方有承诺延长质保期的，按乙方承诺的质保期年限为准）。</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 在合同规定质保期内，当设备及材料出现故障或损坏或其他瑕疵时，乙方须在接到甲方通知2小时内响应，4小时内赶赴故障现场维修，除免费排除故障、修复或更换合格的产品外；还应承担因更换所发生的运输、保险、调试、检测等有关的全部费用。如乙方不响应或未在规定时间到达，视为乙方默认质量瑕疵，甲方有权请第三方解决，费用将在乙方的质保金中扣除，不足部分由乙方承担（乙方有承诺缩短响应时间的，按乙方承诺的响应时间为准）。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(四)质保期期满后产品故障/损坏，自通知后4小时内到达现场维修并在维修价格上给予优惠（以成本价计取并不得高于乙方提供给任何第三方之优惠）。</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知识产权</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乙方应保证甲方在中国使用该产品或产品的任何一部分时，不侵犯第三人的在先权利（包括但限于专利权、商标权、工业设计、商业秘密等），否则因此产生的损失和费用均由乙方承担，乙方应当出面处理解决并不得影响甲方使用及甲方任何权益。</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合同的解除或终止</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若甲方无正当理由单方要求解除或终止合同的，应承担乙方实际已经发生的直接经济损失。</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若乙方无正当理由单方要求解除或终止合同的，乙方应退回已收取的款项，并支付中标合同总金额20%的违约金，造成甲方损失超过中标合同总金额20％时，乙方须按照实际发生的损失赔偿。</w:t>
      </w:r>
      <w:r/>
    </w:p>
    <w:p>
      <w:pPr>
        <w:numPr>
          <w:ilvl w:val="0"/>
          <w:numId w:val="1"/>
        </w:numPr>
        <w:ind w:firstLine="420"/>
        <w:jc w:val="left"/>
        <w:spacing w:line="360" w:lineRule="auto"/>
        <w:widowControl w:val="off"/>
        <w:rPr>
          <w:rFonts w:ascii="宋体" w:hAnsi="宋体" w:eastAsia="宋体" w:cs="宋体"/>
          <w:b/>
          <w:color w:val="auto"/>
          <w:sz w:val="24"/>
          <w:szCs w:val="22"/>
          <w:highlight w:val="none"/>
          <w:lang w:eastAsia="zh-CN"/>
        </w:rPr>
      </w:pPr>
      <w:r>
        <w:rPr>
          <w:rFonts w:hint="eastAsia" w:ascii="宋体" w:hAnsi="宋体" w:eastAsia="宋体" w:cs="宋体"/>
          <w:b/>
          <w:color w:val="auto"/>
          <w:sz w:val="24"/>
          <w:szCs w:val="22"/>
          <w:highlight w:val="none"/>
          <w:lang w:eastAsia="zh-CN"/>
        </w:rPr>
        <w:t xml:space="preserve"> 双方负责事项</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 1、甲方</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(1)协助施工单位组织各方进行图纸设计交底（如须）。</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(2)审核乙方的交货及安装进度，及时向乙方支付工程进度款；</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(3)有权对乙方的工程进度、工程质量、安全生产、隐蔽工程和合同执行等工作进行定期监督检查。</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 2、乙方</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 (1) 乙方必须建立健全质量检查制度，严格工序管理，与其他施工单位密切配合，文明施工。本着谁安装谁负责产品保护的原则，乙方必须采取切实有效的产品保护措施，并编制相应的产品保护方案报甲方批准同意后组织实施。</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 (2)严格按照合同约定及图纸履行生产、运输、安装、质保的义务，确保交付货物的质量及安装后的安全、稳定使用，按合同规定的时间如期完工和交付，如未能按照甲方要求进度完成，甲方有权增派人员参与施工，其工资单价根据增派人员工资要求，在乙方工程款中直接扣除。</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 乙方对于产品和服务质量问题，应当按照甲方意见及时整改到位，且合同周期不顺延。乙方履行质保服务不及时、不符合要求的，甲方有权另行委托第三方处理，由此产生的费用及损失由乙方承担。</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(4)已完工的货物，交付甲方但未安装完毕前应由乙方负责保管，安装完成后乙方进行自检并清理好场地。</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(5)提供竣工验收的附随文件及技术资料，办理验收结算。</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(6)乙方负责标的物合格、正常、安全使用，所需要通过的相关部门的验收、通过环境检测的相关费用由乙方负责。</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(7)在合同规定的质保期内，对属于乙方责任的工作质量问题，负责无偿修理。</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(8)未经甲方书面同意，乙方不得将本合同项下的权利义务转让予第三人，亦不得在本合同项下的权利上设置任何权利负担（包括但不限于质押、担保等）。</w:t>
      </w:r>
      <w:r/>
    </w:p>
    <w:p>
      <w:pPr>
        <w:numPr>
          <w:ilvl w:val="0"/>
          <w:numId w:val="1"/>
        </w:numPr>
        <w:ind w:firstLine="420"/>
        <w:jc w:val="left"/>
        <w:spacing w:line="360" w:lineRule="auto"/>
        <w:widowControl w:val="off"/>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违约责任</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1、项目整体验收合格后，由甲方委托有资质的中介机构进行结算审计，审计结果由甲乙双方确认后作为结算依据（乙方未在甲方限期内确认的，视为已确认）。项目结算审计审减率在5%（含5%）以内的，审计费由甲方承担；审减率大于5%而小于等于10%的，审计费用由甲乙双方各半承担，并由乙方按审定价的1%向甲方支付违约金，乙方承担的审计费用及违约金在项目审定价内扣除；审减率大于10%，审计费用由乙方全额承担，并由乙方按审定价的1.5%向甲方支付违约金，乙方承担的审计费用及违约金在项目审定价内扣除。</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2、未经甲方书面同意，乙方不得将本合同项下的权利义务转让予第三人，亦不得在本合同项下的权利上设置任何权利负担（包括但不限于质押、担保等）。甲方发现乙方在施工过程中无能力履行合同或违反前述约定的，甲方有权解除本合同并勒令乙方退场，乙方应在甲方通知日期内无条件撤离工地，乙方支付合同总价20%的违约金并承担因此发生的全部损失和费用及全部法律责任。</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3、保修期内，因同一问题（不含人为破坏或不可抗力）乙方反复维修达2次的，或产品、安装质量达不到合同要求的，或存在质量问题（不含人为破坏）累计维修达4次及以上（无论是否为同一事项）的，甲方有权要求乙方退款，并解除合同、承担合同总价30%的违约金。</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4、乙方必须按合同规定的工期要求完成全部事项，并且及时履行质保义务，否则每逾期1天，应按合同中标价的万分之五向甲方支付逾期违约金，逾期超过15天的，甲方有权解除合同，乙方按合同中标价的20%向甲方支付逾期违约金，并赔偿因此给甲方造成的全部损失和费用。</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5、为避免歧义，如乙方发生多种违约情形则违约责任分别计算后累计承担，且乙方违约均应向甲方赔偿损失及费用，费用包括但不限于律师费、诉讼/仲裁费、鉴定费、公证费、公告费、差旅费、保全费、保全担保/保险费、执行费等一切费用。且甲方均有权直接从未付款项中直接扣除。</w:t>
      </w:r>
      <w:r/>
    </w:p>
    <w:p>
      <w:pPr>
        <w:numPr>
          <w:ilvl w:val="0"/>
          <w:numId w:val="1"/>
        </w:numPr>
        <w:ind w:firstLine="420"/>
        <w:jc w:val="left"/>
        <w:spacing w:line="360" w:lineRule="auto"/>
        <w:widowControl w:val="off"/>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争议的解决</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双方在签订以及履行本合同过程中发生的一切争议，应首先协商解决，如协商不成的，则双方均可选择向甲方所在地人民法院诉讼解决。</w:t>
      </w:r>
      <w:r/>
    </w:p>
    <w:p>
      <w:pPr>
        <w:numPr>
          <w:ilvl w:val="0"/>
          <w:numId w:val="1"/>
        </w:numPr>
        <w:ind w:firstLine="420"/>
        <w:jc w:val="left"/>
        <w:spacing w:line="360" w:lineRule="auto"/>
        <w:widowControl w:val="off"/>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合同不可分割部分</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投标文件、合同条款及中标通知书，乙方在投标、评标过程中所作其它有关承诺、声明、书面澄清等均为合同不可分割的部分，与主合同具有同等法律效力。</w:t>
      </w:r>
      <w:r/>
    </w:p>
    <w:p>
      <w:pPr>
        <w:numPr>
          <w:ilvl w:val="0"/>
          <w:numId w:val="1"/>
        </w:numPr>
        <w:ind w:firstLine="420"/>
        <w:jc w:val="left"/>
        <w:spacing w:line="360" w:lineRule="auto"/>
        <w:widowControl w:val="off"/>
        <w:rPr>
          <w:rFonts w:ascii="Calibri" w:hAnsi="Calibri" w:eastAsia="宋体" w:cs="宋体"/>
          <w:b/>
          <w:color w:val="auto"/>
          <w:sz w:val="24"/>
          <w:szCs w:val="22"/>
          <w:highlight w:val="none"/>
          <w:lang w:eastAsia="zh-CN"/>
        </w:rPr>
      </w:pPr>
      <w:r>
        <w:rPr>
          <w:rFonts w:hint="eastAsia" w:ascii="Calibri" w:hAnsi="Calibri" w:eastAsia="宋体" w:cs="宋体"/>
          <w:b/>
          <w:color w:val="auto"/>
          <w:sz w:val="24"/>
          <w:szCs w:val="22"/>
          <w:highlight w:val="none"/>
          <w:lang w:eastAsia="zh-CN"/>
        </w:rPr>
        <w:t xml:space="preserve"> 合同的生效及其他</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(一)合同生效：本合同由甲乙双方签字、盖章后生效。</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(二)合同一式陆份，甲乙双方各执叁份。</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ascii="宋体" w:hAnsi="宋体" w:eastAsia="宋体" w:cs="宋体"/>
          <w:bCs/>
          <w:color w:val="auto"/>
          <w:sz w:val="24"/>
          <w:szCs w:val="24"/>
          <w:highlight w:val="none"/>
          <w:lang w:eastAsia="zh-CN" w:bidi="ar"/>
        </w:rPr>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ascii="宋体" w:hAnsi="宋体" w:eastAsia="宋体" w:cs="宋体"/>
          <w:bCs/>
          <w:color w:val="auto"/>
          <w:sz w:val="24"/>
          <w:szCs w:val="24"/>
          <w:highlight w:val="none"/>
          <w:lang w:eastAsia="zh-CN" w:bidi="ar"/>
        </w:rPr>
      </w:r>
      <w:r/>
    </w:p>
    <w:p>
      <w:pPr>
        <w:ind w:firstLine="480"/>
        <w:jc w:val="left"/>
        <w:spacing w:line="360" w:lineRule="auto"/>
        <w:widowControl w:val="off"/>
        <w:rPr>
          <w:rFonts w:ascii="宋体" w:hAnsi="宋体" w:eastAsia="宋体" w:cs="宋体"/>
          <w:bCs/>
          <w:color w:val="auto"/>
          <w:sz w:val="30"/>
          <w:szCs w:val="30"/>
          <w:highlight w:val="none"/>
          <w:u w:val="single"/>
          <w:lang w:eastAsia="zh-CN"/>
        </w:rPr>
      </w:pPr>
      <w:r>
        <w:rPr>
          <w:rFonts w:hint="eastAsia" w:ascii="宋体" w:hAnsi="宋体" w:eastAsia="宋体" w:cs="宋体"/>
          <w:bCs/>
          <w:color w:val="auto"/>
          <w:sz w:val="24"/>
          <w:szCs w:val="24"/>
          <w:highlight w:val="none"/>
          <w:lang w:eastAsia="zh-CN" w:bidi="ar"/>
        </w:rPr>
        <w:t xml:space="preserve">甲方(盖章)：</w:t>
      </w:r>
      <w:r>
        <w:rPr>
          <w:rFonts w:hint="eastAsia" w:ascii="宋体" w:hAnsi="宋体" w:eastAsia="宋体" w:cs="宋体"/>
          <w:bCs/>
          <w:color w:val="auto"/>
          <w:sz w:val="30"/>
          <w:szCs w:val="30"/>
          <w:highlight w:val="none"/>
          <w:u w:val="single"/>
          <w:lang w:eastAsia="zh-CN"/>
        </w:rPr>
        <w:t xml:space="preserve">             </w:t>
      </w:r>
      <w:r>
        <w:rPr>
          <w:rFonts w:hint="eastAsia" w:ascii="宋体" w:hAnsi="宋体" w:eastAsia="宋体" w:cs="宋体"/>
          <w:bCs/>
          <w:color w:val="auto"/>
          <w:sz w:val="24"/>
          <w:szCs w:val="24"/>
          <w:highlight w:val="none"/>
          <w:lang w:eastAsia="zh-CN" w:bidi="ar"/>
        </w:rPr>
        <w:t xml:space="preserve">           乙方(盖章)：</w:t>
      </w:r>
      <w:r>
        <w:rPr>
          <w:rFonts w:hint="eastAsia" w:ascii="宋体" w:hAnsi="宋体" w:eastAsia="宋体" w:cs="宋体"/>
          <w:bCs/>
          <w:color w:val="auto"/>
          <w:sz w:val="30"/>
          <w:szCs w:val="30"/>
          <w:highlight w:val="none"/>
          <w:u w:val="singl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法定代表人或委托代理人(签名)：         法定代表人或委托代理人(签名)：</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日           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日</w:t>
      </w:r>
      <w:r/>
    </w:p>
    <w:p>
      <w:pPr>
        <w:ind w:firstLine="482"/>
        <w:jc w:val="left"/>
        <w:spacing w:line="360" w:lineRule="auto"/>
        <w:widowControl w:val="off"/>
        <w:rPr>
          <w:rFonts w:ascii="宋体" w:hAnsi="宋体" w:eastAsia="宋体" w:cs="宋体"/>
          <w:bCs/>
          <w:color w:val="auto"/>
          <w:sz w:val="24"/>
          <w:szCs w:val="36"/>
          <w:highlight w:val="none"/>
          <w:lang w:eastAsia="zh-CN"/>
        </w:rPr>
      </w:pPr>
      <w:r>
        <w:rPr>
          <w:rFonts w:ascii="宋体" w:hAnsi="宋体" w:eastAsia="宋体" w:cs="宋体"/>
          <w:b/>
          <w:color w:val="auto"/>
          <w:sz w:val="24"/>
          <w:szCs w:val="24"/>
          <w:highlight w:val="none"/>
          <w:lang w:eastAsia="zh-CN"/>
        </w:rPr>
        <w:br w:type="page" w:clear="all"/>
      </w:r>
      <w:bookmarkStart w:id="18" w:name="_Toc2245"/>
      <w:r>
        <w:rPr>
          <w:rFonts w:hint="eastAsia" w:ascii="宋体" w:hAnsi="宋体" w:eastAsia="宋体" w:cs="宋体"/>
          <w:b/>
          <w:color w:val="auto"/>
          <w:sz w:val="24"/>
          <w:szCs w:val="24"/>
          <w:highlight w:val="none"/>
          <w:lang w:eastAsia="zh-CN"/>
        </w:rPr>
        <w:t xml:space="preserve">附件一： 廉政承诺书</w:t>
      </w:r>
      <w:bookmarkEnd w:id="18"/>
      <w:r/>
      <w:r/>
    </w:p>
    <w:p>
      <w:pPr>
        <w:ind w:firstLine="482"/>
        <w:jc w:val="left"/>
        <w:spacing w:line="360" w:lineRule="auto"/>
        <w:widowControl w:val="off"/>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ind w:firstLine="482"/>
        <w:jc w:val="left"/>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甲方（全称）：</w:t>
      </w:r>
      <w:r>
        <w:rPr>
          <w:rFonts w:hint="eastAsia" w:ascii="宋体" w:hAnsi="宋体" w:eastAsia="宋体" w:cs="宋体"/>
          <w:b/>
          <w:color w:val="auto"/>
          <w:sz w:val="24"/>
          <w:szCs w:val="24"/>
          <w:highlight w:val="none"/>
          <w:u w:val="single"/>
          <w:lang w:val="en-US" w:eastAsia="zh-CN"/>
        </w:rPr>
        <w:t xml:space="preserve">                          </w:t>
      </w:r>
      <w:r/>
    </w:p>
    <w:p>
      <w:pPr>
        <w:ind w:firstLine="482"/>
        <w:jc w:val="left"/>
        <w:spacing w:line="360" w:lineRule="auto"/>
        <w:widowControl w:val="off"/>
        <w:rPr>
          <w:rFonts w:ascii="宋体" w:hAnsi="宋体" w:eastAsia="宋体" w:cs="宋体"/>
          <w:bCs/>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乙方（全称）：</w:t>
      </w:r>
      <w:r>
        <w:rPr>
          <w:rFonts w:hint="eastAsia" w:ascii="宋体" w:hAnsi="宋体" w:eastAsia="宋体" w:cs="宋体"/>
          <w:b/>
          <w:color w:val="auto"/>
          <w:sz w:val="24"/>
          <w:szCs w:val="24"/>
          <w:highlight w:val="none"/>
          <w:u w:val="singl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为加强工程建设中的廉政建设，规范工程建设项目承发包双方的各项活动，防止发生各种谋取不正当利益的违法违纪行为，保护国家、集体和当事人的合法利益，根据国家有关工程建设的法律法规和廉政建设责任制规定，特订立本廉政责任书。 </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19" w:name="_Toc18816"/>
      <w:r>
        <w:rPr>
          <w:rFonts w:hint="eastAsia" w:ascii="宋体" w:hAnsi="宋体" w:eastAsia="宋体" w:cs="宋体"/>
          <w:bCs/>
          <w:color w:val="auto"/>
          <w:sz w:val="24"/>
          <w:szCs w:val="24"/>
          <w:highlight w:val="none"/>
          <w:lang w:eastAsia="zh-CN"/>
        </w:rPr>
        <w:t xml:space="preserve">一、甲乙双方的责任</w:t>
      </w:r>
      <w:bookmarkEnd w:id="19"/>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（一）应严格遵守国家关于市场准入、项目招标投标、工程建设、施工安装和市场活动等有关法律、法规，相关政策，以及廉政建设的各项规定。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（二）严格执行建设工程项目施工合同文件，自觉按合同办事。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（三）业务活动必须坚持公开、公平、公正、诚信、透明的原则（除法律法规另有规定者外），不得为获取不正当的利益，损害国家、集体和对方利益，不得违反工程建设管理（勘察设计、施工安装、建设监理） 的规章制度。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（四）发现对方在业务活动中有违规、违纪、违法行为的，应及时提醒对方，情节严重的，应向其上级主管部门或纪检监察、司法等有关机关举报。 </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0" w:name="_Toc8810"/>
      <w:r>
        <w:rPr>
          <w:rFonts w:hint="eastAsia" w:ascii="宋体" w:hAnsi="宋体" w:eastAsia="宋体" w:cs="宋体"/>
          <w:bCs/>
          <w:color w:val="auto"/>
          <w:sz w:val="24"/>
          <w:szCs w:val="24"/>
          <w:highlight w:val="none"/>
          <w:lang w:eastAsia="zh-CN"/>
        </w:rPr>
        <w:t xml:space="preserve">二、甲方的责任</w:t>
      </w:r>
      <w:bookmarkEnd w:id="20"/>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甲方的领导和从事该建设工程项目的工作人员，在工程建设的事前、事中、事后应遵守以下规定：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（一）不准向乙方和相关单位索要或接受回扣、礼金、有价证券、贵重物品和好处费、感谢费等。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（二）不准在乙方和相关单位报销任何应由甲方或个人支付的费用。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（三）不准要求、暗示或接受乙方和相关单位为个人装修住房、婚丧嫁娶、配偶子女的工作安排以及出国（境）、旅游等提供方便。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（四）不准参加有可能影响公正执行公务的乙方和相关单位的宴请、健身、娱乐等活动。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（五）不准向乙方介绍或为配偶、子女、亲属参与同甲方项目工程有关等经济活动。</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1" w:name="_Toc17227"/>
      <w:r>
        <w:rPr>
          <w:rFonts w:hint="eastAsia" w:ascii="宋体" w:hAnsi="宋体" w:eastAsia="宋体" w:cs="宋体"/>
          <w:bCs/>
          <w:color w:val="auto"/>
          <w:sz w:val="24"/>
          <w:szCs w:val="24"/>
          <w:highlight w:val="none"/>
          <w:lang w:eastAsia="zh-CN"/>
        </w:rPr>
        <w:t xml:space="preserve">三、乙方的责任</w:t>
      </w:r>
      <w:bookmarkEnd w:id="21"/>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应与甲方保持正常的业务交往，按照有关法律法规和程序开展业务工作，严格执行工程建设的有关方针、政策、尤其是有关建筑施工安装的强制性标准和规范，并遵守以下规定：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（一）不准以任何理由向甲方、相关单位及工作人员索要、接受赠送礼金、有价证券、贵重物品及回扣、好处费、感谢费等。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（二）不准以任何理由为甲方和相关单位报销应由对方或个人支付的费用。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（三）不准接受或暗示为甲方、相关单位或个人装修住房、婚丧嫁娶、配偶子女的工作安排以及出国（境）、旅游等提供方便。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（四）不准以任何理由为甲方、相关单位或个人组织有可能影响公正执行公务的宴请、健身、娱乐等活动。 </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2" w:name="_Toc9974"/>
      <w:r>
        <w:rPr>
          <w:rFonts w:hint="eastAsia" w:ascii="宋体" w:hAnsi="宋体" w:eastAsia="宋体" w:cs="宋体"/>
          <w:bCs/>
          <w:color w:val="auto"/>
          <w:sz w:val="24"/>
          <w:szCs w:val="24"/>
          <w:highlight w:val="none"/>
          <w:lang w:eastAsia="zh-CN"/>
        </w:rPr>
        <w:t xml:space="preserve">四、违约责任</w:t>
      </w:r>
      <w:bookmarkEnd w:id="22"/>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（一）甲方工作人员有违反本责任书第一、二条责任行为的，按照管理权限，依据有关法律法规和规定给予党纪、政纪处分或组织处理；涉嫌犯罪的，移交司法机关追究刑事责任；给乙方单位造成经济损失的， 应予以赔偿。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（二）乙方工作人员有违反本责任书第一、三条责任行为的，按照管理权限，依据有关法律法规和规定给予党纪、政纪处分或组织处理；涉嫌犯罪的，移交司法机关追究刑事责任；给甲方单位造成经济损失的， 应予以赔偿。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五、本责任书作为工程合同的附件，与工程合同具有同等法律效力。经双方签署后立即生效。本责任书的有效期为双方签署之日起至该工程项目竣工验收及保修期满时止。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六、本协议一式陆份，甲乙双方各执叁份。 </w:t>
      </w:r>
      <w:r/>
    </w:p>
    <w:p>
      <w:pPr>
        <w:ind w:firstLine="0"/>
        <w:jc w:val="both"/>
        <w:keepLines/>
        <w:keepNext/>
        <w:spacing w:before="260" w:after="260" w:line="480" w:lineRule="auto"/>
        <w:widowControl/>
        <w:rPr>
          <w:rFonts w:ascii="Arial" w:hAnsi="Arial" w:eastAsia="黑体" w:cs="宋体"/>
          <w:color w:val="auto"/>
          <w:sz w:val="52"/>
          <w:szCs w:val="20"/>
          <w:highlight w:val="none"/>
          <w:lang w:eastAsia="zh-CN"/>
        </w:rPr>
        <w:outlineLvl w:val="1"/>
      </w:pPr>
      <w:r>
        <w:rPr>
          <w:rFonts w:ascii="Arial" w:hAnsi="Arial" w:eastAsia="黑体" w:cs="宋体"/>
          <w:color w:val="auto"/>
          <w:sz w:val="52"/>
          <w:szCs w:val="20"/>
          <w:highlight w:val="none"/>
          <w:lang w:eastAsia="zh-CN"/>
        </w:rPr>
      </w:r>
      <w:r/>
    </w:p>
    <w:p>
      <w:pPr>
        <w:ind w:firstLine="480"/>
        <w:jc w:val="left"/>
        <w:spacing w:line="360" w:lineRule="auto"/>
        <w:widowControl w:val="off"/>
        <w:rPr>
          <w:rFonts w:ascii="宋体" w:hAnsi="宋体" w:eastAsia="宋体" w:cs="宋体"/>
          <w:bCs/>
          <w:color w:val="auto"/>
          <w:sz w:val="30"/>
          <w:szCs w:val="30"/>
          <w:highlight w:val="none"/>
          <w:u w:val="single"/>
          <w:lang w:eastAsia="zh-CN"/>
        </w:rPr>
      </w:pPr>
      <w:r>
        <w:rPr>
          <w:rFonts w:hint="eastAsia" w:ascii="宋体" w:hAnsi="宋体" w:eastAsia="宋体" w:cs="宋体"/>
          <w:bCs/>
          <w:color w:val="auto"/>
          <w:sz w:val="24"/>
          <w:szCs w:val="24"/>
          <w:highlight w:val="none"/>
          <w:lang w:eastAsia="zh-CN" w:bidi="ar"/>
        </w:rPr>
        <w:t xml:space="preserve">甲方(盖章)：</w:t>
      </w:r>
      <w:r>
        <w:rPr>
          <w:rFonts w:hint="eastAsia" w:ascii="宋体" w:hAnsi="宋体" w:eastAsia="宋体" w:cs="宋体"/>
          <w:bCs/>
          <w:color w:val="auto"/>
          <w:sz w:val="30"/>
          <w:szCs w:val="30"/>
          <w:highlight w:val="none"/>
          <w:u w:val="single"/>
          <w:lang w:eastAsia="zh-CN"/>
        </w:rPr>
        <w:t xml:space="preserve">             </w:t>
      </w:r>
      <w:r>
        <w:rPr>
          <w:rFonts w:hint="eastAsia" w:ascii="宋体" w:hAnsi="宋体" w:eastAsia="宋体" w:cs="宋体"/>
          <w:bCs/>
          <w:color w:val="auto"/>
          <w:sz w:val="24"/>
          <w:szCs w:val="24"/>
          <w:highlight w:val="none"/>
          <w:lang w:eastAsia="zh-CN" w:bidi="ar"/>
        </w:rPr>
        <w:t xml:space="preserve">           乙方(盖章)：</w:t>
      </w:r>
      <w:r>
        <w:rPr>
          <w:rFonts w:hint="eastAsia" w:ascii="宋体" w:hAnsi="宋体" w:eastAsia="宋体" w:cs="宋体"/>
          <w:bCs/>
          <w:color w:val="auto"/>
          <w:sz w:val="30"/>
          <w:szCs w:val="30"/>
          <w:highlight w:val="none"/>
          <w:u w:val="singl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法定代表人或委托代理人(签名)：         法定代表人或委托代理人(签名)：</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日           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日</w:t>
      </w:r>
      <w:r/>
    </w:p>
    <w:p>
      <w:pPr>
        <w:ind w:firstLine="480"/>
        <w:jc w:val="left"/>
        <w:rPr>
          <w:bCs/>
          <w:color w:val="auto"/>
          <w:highlight w:val="none"/>
        </w:rPr>
        <w:sectPr>
          <w:headerReference w:type="default" r:id="rId10"/>
          <w:footerReference w:type="default" r:id="rId16"/>
          <w:footnotePr/>
          <w:endnotePr/>
          <w:type w:val="nextPage"/>
          <w:pgSz w:w="11900" w:h="16840" w:orient="portrait"/>
          <w:pgMar w:top="1440" w:right="1080" w:bottom="1440" w:left="1080" w:header="720" w:footer="720" w:gutter="0"/>
          <w:cols w:num="1" w:sep="0" w:space="720" w:equalWidth="1"/>
          <w:docGrid w:linePitch="360"/>
        </w:sectPr>
      </w:pPr>
      <w:r>
        <w:rPr>
          <w:bCs/>
          <w:color w:val="auto"/>
          <w:highlight w:val="none"/>
        </w:rPr>
      </w:r>
      <w:r/>
    </w:p>
    <w:p>
      <w:pPr>
        <w:ind w:firstLine="482"/>
        <w:jc w:val="left"/>
        <w:spacing w:line="360" w:lineRule="auto"/>
        <w:widowControl w:val="off"/>
        <w:rPr>
          <w:rFonts w:ascii="宋体" w:hAnsi="宋体" w:eastAsia="宋体" w:cs="宋体"/>
          <w:b/>
          <w:color w:val="auto"/>
          <w:sz w:val="24"/>
          <w:szCs w:val="24"/>
          <w:highlight w:val="none"/>
          <w:lang w:eastAsia="zh-CN"/>
        </w:rPr>
      </w:pPr>
      <w:r/>
      <w:bookmarkStart w:id="23" w:name="_Toc3451"/>
      <w:r>
        <w:rPr>
          <w:rFonts w:hint="eastAsia" w:ascii="宋体" w:hAnsi="宋体" w:eastAsia="宋体" w:cs="宋体"/>
          <w:b/>
          <w:color w:val="auto"/>
          <w:sz w:val="24"/>
          <w:szCs w:val="24"/>
          <w:highlight w:val="none"/>
          <w:lang w:eastAsia="zh-CN"/>
        </w:rPr>
        <w:t xml:space="preserve">附件二：安全管理协议书</w:t>
      </w:r>
      <w:bookmarkEnd w:id="23"/>
      <w:r/>
      <w:r/>
    </w:p>
    <w:p>
      <w:pPr>
        <w:ind w:firstLine="482"/>
        <w:jc w:val="left"/>
        <w:spacing w:line="360" w:lineRule="auto"/>
        <w:widowControl w:val="off"/>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ind w:firstLine="482"/>
        <w:jc w:val="left"/>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甲方（全称）：</w:t>
      </w:r>
      <w:r>
        <w:rPr>
          <w:rFonts w:hint="eastAsia" w:ascii="宋体" w:hAnsi="宋体" w:eastAsia="宋体" w:cs="宋体"/>
          <w:b/>
          <w:color w:val="auto"/>
          <w:sz w:val="24"/>
          <w:szCs w:val="24"/>
          <w:highlight w:val="none"/>
          <w:u w:val="single"/>
          <w:lang w:val="en-US" w:eastAsia="zh-CN"/>
        </w:rPr>
        <w:t xml:space="preserve">                          </w:t>
      </w:r>
      <w:r/>
    </w:p>
    <w:p>
      <w:pPr>
        <w:ind w:firstLine="482"/>
        <w:jc w:val="left"/>
        <w:spacing w:line="360" w:lineRule="auto"/>
        <w:widowControl w:val="off"/>
        <w:rPr>
          <w:rFonts w:ascii="宋体" w:hAnsi="宋体" w:eastAsia="宋体" w:cs="宋体"/>
          <w:bCs/>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乙方（全称）：</w:t>
      </w:r>
      <w:r>
        <w:rPr>
          <w:rFonts w:hint="eastAsia" w:ascii="宋体" w:hAnsi="宋体" w:eastAsia="宋体" w:cs="宋体"/>
          <w:b/>
          <w:color w:val="auto"/>
          <w:sz w:val="24"/>
          <w:szCs w:val="24"/>
          <w:highlight w:val="none"/>
          <w:u w:val="singl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为了切实贯彻和落实《中华人民共和国安全生产法》和《建设工程安全生产管理条例》及有关政策的相关规定，遵照“安全第一、预防为主、综合治理”的方针，确保本工程目标建设的顺利实现，甲乙双方就</w:t>
      </w:r>
      <w:r>
        <w:rPr>
          <w:rFonts w:hint="eastAsia" w:ascii="宋体" w:hAnsi="宋体" w:eastAsia="宋体" w:cs="宋体"/>
          <w:bCs/>
          <w:color w:val="auto"/>
          <w:sz w:val="24"/>
          <w:szCs w:val="24"/>
          <w:highlight w:val="none"/>
          <w:u w:val="single"/>
          <w:lang w:eastAsia="zh-CN" w:bidi="ar"/>
        </w:rPr>
        <w:t xml:space="preserve">  (项目名称）   </w:t>
      </w:r>
      <w:r>
        <w:rPr>
          <w:rFonts w:hint="eastAsia" w:ascii="宋体" w:hAnsi="宋体" w:eastAsia="宋体" w:cs="宋体"/>
          <w:bCs/>
          <w:color w:val="auto"/>
          <w:sz w:val="24"/>
          <w:szCs w:val="24"/>
          <w:highlight w:val="none"/>
          <w:lang w:eastAsia="zh-CN" w:bidi="ar"/>
        </w:rPr>
        <w:t xml:space="preserve">的安全管理责任达成以下共识，特签订本协议书，供双方共同遵守：</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4" w:name="_Toc14351"/>
      <w:r>
        <w:rPr>
          <w:rFonts w:hint="eastAsia" w:ascii="宋体" w:hAnsi="宋体" w:eastAsia="宋体" w:cs="宋体"/>
          <w:bCs/>
          <w:color w:val="auto"/>
          <w:sz w:val="24"/>
          <w:szCs w:val="24"/>
          <w:highlight w:val="none"/>
          <w:lang w:eastAsia="zh-CN"/>
        </w:rPr>
        <w:t xml:space="preserve">一、目标和任务</w:t>
      </w:r>
      <w:bookmarkEnd w:id="24"/>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坚决杜绝较大以上安全事故，不发生死亡事故，有效减少一般安全事故。</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5" w:name="_Toc9694"/>
      <w:r>
        <w:rPr>
          <w:rFonts w:hint="eastAsia" w:ascii="宋体" w:hAnsi="宋体" w:eastAsia="宋体" w:cs="宋体"/>
          <w:bCs/>
          <w:color w:val="auto"/>
          <w:sz w:val="24"/>
          <w:szCs w:val="24"/>
          <w:highlight w:val="none"/>
          <w:lang w:eastAsia="zh-CN"/>
        </w:rPr>
        <w:t xml:space="preserve">二、甲方权利义务</w:t>
      </w:r>
      <w:bookmarkEnd w:id="25"/>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（一）甲方有权审查乙方施工资质、安全生产资质及安全生产信誉度。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甲方有权对乙方进行随时和不定期的安全生产监督检查，对发现的问题和存在的隐患有权要求乙方限期整改和消除隐患；对逾期不整改或整改不到位不彻底的，甲方有权责令乙方停止一切施工并限期整改到位。对拒不履行整改意见或再次逾期整改的，甲方有权单方面终止与乙方的工程合同，一切责任均由乙方自负。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（三）甲方有义务对乙方进行安全生产职责告知。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（四）甲方设立安全生产管理办公室，负责公司安全生产日常事务。</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6" w:name="_Toc15357"/>
      <w:r>
        <w:rPr>
          <w:rFonts w:hint="eastAsia" w:ascii="宋体" w:hAnsi="宋体" w:eastAsia="宋体" w:cs="宋体"/>
          <w:bCs/>
          <w:color w:val="auto"/>
          <w:sz w:val="24"/>
          <w:szCs w:val="24"/>
          <w:highlight w:val="none"/>
          <w:lang w:eastAsia="zh-CN"/>
        </w:rPr>
        <w:t xml:space="preserve">三、乙方权利义务</w:t>
      </w:r>
      <w:bookmarkEnd w:id="26"/>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（一）严格遵守国家安全生产的法律法规，贯彻执行国家相关方针政策及甲方各项安全管理制度，依法履行本建设工程安全生产主体责任。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（二）切实加强安全管理，建立健全以安全生产责任制为中心的各项安全生产管理制度和安全操作规程， 严格执行有关安全生产的国家标准和行业标准，完善安全生产条件，自觉接受并配合有关部门的监督管理， 确保安全生产。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（三）加强安全生产管理机构和队伍建设，定期召开安全生产会议，及时解决安全生产的重大问题，加强施工现场安全生产管理。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（四）乙方有义务在入场一周前上报该工程项目劳务人员花名册及其管理人员分工情况。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（五）乙方指派为现场安全员，负责本工程安全生产的现场管理工作。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（七）保证对安全生产的有效投入，积极推广和应用安全生产先进技术，不使用国家明令淘汰、禁止使用的危及安全生产的工艺、设备，提高安全生产水平。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（八）建立应急救援体系，定期组织演练。切实加强重大危险源监测预警，进行定期检测、评估、监控。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（十）健全并落实安全生产检查制度，定期组织安全生产检查活动，对发现的事故隐患，及时组织并落实整改，确保安全生产。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（十一）落实安全生产工作定期履职报告制度，每季度填写《无锡市锡山区安全生产工作履职报告书》， 由单位主要负责人签名后于下季度第一个月 2 日前报送甲方安全生产管理办公室。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（十二）接到有关安全生产事故报告后，项目负责人应及时赶到事故现场，组织事故抢救和善后处理， 防止事故扩大，并按照《生产安全事故报告和调查处理条例》（国务院第 493 号令）的有关规定，如实报告，同时负责事故现场的保护。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（十二）乙方负责施工的工程项目及设施在施工期发生对第三方或甲方的人身财产损害的，由乙方承担一切赔偿责任。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三）乙方承建的项目，禁止再行转包。非主体工程需要分包的，必须报甲方工程项目主管部门批准。乙方必须对分包方进行安全管理与监督，分包工程发生安全事故时，乙方与分包单位承担全部责任（包括连带责任）。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（十四）乙方根据安全生产管理目标，制定安全管理计划和安全施工方案，并在甲方安全生产管理办公室同意后实施。乙方在工人进场一周内，要填写三级教育卡，不得缺人漏人，三级教育卡由乙方保存并备查， 经常教育由乙方负责。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（十五）乙方须建立安全生产管理台帐，接受甲方及上级有关部门检查。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（十六）做好安全生产法律法规规定的其他工作。</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7" w:name="_Toc8815"/>
      <w:r>
        <w:rPr>
          <w:rFonts w:hint="eastAsia" w:ascii="宋体" w:hAnsi="宋体" w:eastAsia="宋体" w:cs="宋体"/>
          <w:bCs/>
          <w:color w:val="auto"/>
          <w:sz w:val="24"/>
          <w:szCs w:val="24"/>
          <w:highlight w:val="none"/>
          <w:lang w:eastAsia="zh-CN"/>
        </w:rPr>
        <w:t xml:space="preserve">四、法律责任</w:t>
      </w:r>
      <w:bookmarkEnd w:id="27"/>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(一）甲方有违反本协议书责任行为，按照《建设工程安全生产管理条例》的规定限期改正，造成重大安全事故，构成犯罪的，对直接责任人员，依照刑法有关规定追究刑事 责任；造成损失的，依法承担赔偿责任。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二）乙方有违反本协议书责任行为，按照《建设工程安全生产管理条例》的规定限期改正，直至停业整顿。造成重大安全事故，构成犯罪的，对直接责任人员，依照刑法有关规定追究刑事责任；造成损失的，依法承担赔偿责任。 </w:t>
      </w:r>
      <w:r/>
    </w:p>
    <w:p>
      <w:pPr>
        <w:ind w:firstLine="48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本协议书作为工程施工合同的附件，与工程施工合同具有同等法律效力。经双方签署后立即生效。本协议书的有效期为双方签署之日起至该工程项目竣工验收合格时止。 </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五、对本协议所确定安全生产职责双方均应严格遵守和履行，对发生在各自职责范围内的安全生产事故由责任方承担全部责任，因此而给对方造成损失的，由责任方负责赔偿。 </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六、本协议作为工程合同的附件，与主合同具有同等的法律效力。 </w:t>
      </w:r>
      <w:r/>
    </w:p>
    <w:p>
      <w:pPr>
        <w:ind w:firstLine="480"/>
        <w:jc w:val="left"/>
        <w:spacing w:line="360" w:lineRule="auto"/>
        <w:widowControl w:val="off"/>
        <w:rPr>
          <w:rFonts w:ascii="宋体" w:hAnsi="宋体" w:eastAsia="宋体" w:cs="宋体"/>
          <w:bCs/>
          <w:color w:val="auto"/>
          <w:sz w:val="24"/>
          <w:szCs w:val="24"/>
          <w:highlight w:val="none"/>
          <w:lang w:eastAsia="zh-CN"/>
        </w:rPr>
      </w:pPr>
      <w:r/>
      <w:bookmarkStart w:id="28" w:name="_Toc24155"/>
      <w:r>
        <w:rPr>
          <w:rFonts w:hint="eastAsia" w:ascii="宋体" w:hAnsi="宋体" w:eastAsia="宋体" w:cs="宋体"/>
          <w:bCs/>
          <w:color w:val="auto"/>
          <w:sz w:val="24"/>
          <w:szCs w:val="24"/>
          <w:highlight w:val="none"/>
          <w:lang w:eastAsia="zh-CN"/>
        </w:rPr>
        <w:t xml:space="preserve">七、</w:t>
      </w:r>
      <w:bookmarkEnd w:id="28"/>
      <w:r>
        <w:rPr>
          <w:rFonts w:hint="eastAsia" w:ascii="宋体" w:hAnsi="宋体" w:eastAsia="宋体" w:cs="宋体"/>
          <w:bCs/>
          <w:color w:val="auto"/>
          <w:sz w:val="24"/>
          <w:szCs w:val="24"/>
          <w:highlight w:val="none"/>
          <w:lang w:eastAsia="zh-CN" w:bidi="ar"/>
        </w:rPr>
        <w:t xml:space="preserve">本协议一式陆份，甲乙双方各执叁份。</w:t>
      </w:r>
      <w:r>
        <w:rPr>
          <w:rFonts w:hint="eastAsia" w:ascii="宋体" w:hAnsi="宋体" w:eastAsia="宋体" w:cs="宋体"/>
          <w:bCs/>
          <w:color w:val="auto"/>
          <w:sz w:val="24"/>
          <w:szCs w:val="24"/>
          <w:highlight w:val="none"/>
          <w:lang w:eastAsia="zh-CN"/>
        </w:rPr>
        <w:t xml:space="preserve"> </w:t>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r>
      <w:r/>
    </w:p>
    <w:p>
      <w:pPr>
        <w:ind w:firstLine="480"/>
        <w:jc w:val="left"/>
        <w:spacing w:line="360" w:lineRule="auto"/>
        <w:widowControl w:val="off"/>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r>
      <w:r/>
    </w:p>
    <w:p>
      <w:pPr>
        <w:ind w:firstLine="1040"/>
        <w:jc w:val="center"/>
        <w:keepLines/>
        <w:keepNext/>
        <w:spacing w:before="260" w:after="260" w:line="480" w:lineRule="auto"/>
        <w:widowControl/>
        <w:rPr>
          <w:rFonts w:ascii="Arial" w:hAnsi="Arial" w:eastAsia="黑体" w:cs="宋体"/>
          <w:color w:val="auto"/>
          <w:sz w:val="52"/>
          <w:szCs w:val="20"/>
          <w:highlight w:val="none"/>
          <w:lang w:eastAsia="zh-CN"/>
        </w:rPr>
        <w:outlineLvl w:val="1"/>
      </w:pPr>
      <w:r>
        <w:rPr>
          <w:rFonts w:ascii="Arial" w:hAnsi="Arial" w:eastAsia="黑体" w:cs="宋体"/>
          <w:color w:val="auto"/>
          <w:sz w:val="52"/>
          <w:szCs w:val="20"/>
          <w:highlight w:val="none"/>
          <w:lang w:eastAsia="zh-CN"/>
        </w:rPr>
      </w:r>
      <w:r/>
    </w:p>
    <w:p>
      <w:pPr>
        <w:ind w:firstLine="0"/>
        <w:jc w:val="left"/>
        <w:spacing w:line="360" w:lineRule="auto"/>
        <w:widowControl w:val="off"/>
        <w:rPr>
          <w:rFonts w:ascii="宋体" w:hAnsi="宋体" w:eastAsia="宋体" w:cs="宋体"/>
          <w:bCs/>
          <w:color w:val="auto"/>
          <w:sz w:val="30"/>
          <w:szCs w:val="30"/>
          <w:highlight w:val="none"/>
          <w:u w:val="single"/>
          <w:lang w:eastAsia="zh-CN"/>
        </w:rPr>
      </w:pPr>
      <w:r>
        <w:rPr>
          <w:rFonts w:hint="eastAsia" w:ascii="宋体" w:hAnsi="宋体" w:eastAsia="宋体" w:cs="宋体"/>
          <w:bCs/>
          <w:color w:val="auto"/>
          <w:sz w:val="24"/>
          <w:szCs w:val="24"/>
          <w:highlight w:val="none"/>
          <w:lang w:eastAsia="zh-CN" w:bidi="ar"/>
        </w:rPr>
        <w:t xml:space="preserve">甲方(盖章)：</w:t>
      </w:r>
      <w:r>
        <w:rPr>
          <w:rFonts w:hint="eastAsia" w:ascii="宋体" w:hAnsi="宋体" w:eastAsia="宋体" w:cs="宋体"/>
          <w:bCs/>
          <w:color w:val="auto"/>
          <w:sz w:val="30"/>
          <w:szCs w:val="30"/>
          <w:highlight w:val="none"/>
          <w:u w:val="single"/>
          <w:lang w:eastAsia="zh-CN"/>
        </w:rPr>
        <w:t xml:space="preserve">             </w:t>
      </w:r>
      <w:r>
        <w:rPr>
          <w:rFonts w:hint="eastAsia" w:ascii="宋体" w:hAnsi="宋体" w:eastAsia="宋体" w:cs="宋体"/>
          <w:bCs/>
          <w:color w:val="auto"/>
          <w:sz w:val="24"/>
          <w:szCs w:val="24"/>
          <w:highlight w:val="none"/>
          <w:lang w:eastAsia="zh-CN" w:bidi="ar"/>
        </w:rPr>
        <w:t xml:space="preserve">           乙方(盖章)：</w:t>
      </w:r>
      <w:r>
        <w:rPr>
          <w:rFonts w:hint="eastAsia" w:ascii="宋体" w:hAnsi="宋体" w:eastAsia="宋体" w:cs="宋体"/>
          <w:bCs/>
          <w:color w:val="auto"/>
          <w:sz w:val="30"/>
          <w:szCs w:val="30"/>
          <w:highlight w:val="none"/>
          <w:u w:val="single"/>
          <w:lang w:eastAsia="zh-CN"/>
        </w:rPr>
        <w:t xml:space="preserve">               </w:t>
      </w:r>
      <w:r/>
    </w:p>
    <w:p>
      <w:pPr>
        <w:ind w:firstLine="0"/>
        <w:jc w:val="left"/>
        <w:spacing w:line="360" w:lineRule="auto"/>
        <w:widowControl w:val="off"/>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 xml:space="preserve">法定代表人或委托代理人(签名)：         法定代表人或委托代理人(签名)：</w:t>
      </w:r>
      <w:r/>
    </w:p>
    <w:p>
      <w:pPr>
        <w:ind w:firstLine="0"/>
        <w:jc w:val="left"/>
        <w:spacing w:line="360" w:lineRule="auto"/>
        <w:widowControl w:val="off"/>
        <w:rPr>
          <w:rFonts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 xml:space="preserve">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日           签约日期：</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年</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月</w:t>
      </w:r>
      <w:r>
        <w:rPr>
          <w:rFonts w:hint="eastAsia" w:ascii="宋体" w:hAnsi="宋体" w:eastAsia="宋体" w:cs="宋体"/>
          <w:bCs/>
          <w:color w:val="auto"/>
          <w:sz w:val="24"/>
          <w:szCs w:val="24"/>
          <w:highlight w:val="none"/>
          <w:u w:val="single"/>
          <w:lang w:eastAsia="zh-CN" w:bidi="ar"/>
        </w:rPr>
        <w:t xml:space="preserve">    </w:t>
      </w:r>
      <w:r>
        <w:rPr>
          <w:rFonts w:hint="eastAsia" w:ascii="宋体" w:hAnsi="宋体" w:eastAsia="宋体" w:cs="宋体"/>
          <w:bCs/>
          <w:color w:val="auto"/>
          <w:sz w:val="24"/>
          <w:szCs w:val="24"/>
          <w:highlight w:val="none"/>
          <w:lang w:eastAsia="zh-CN" w:bidi="ar"/>
        </w:rPr>
        <w:t xml:space="preserve">日</w:t>
      </w:r>
      <w:r/>
    </w:p>
    <w:p>
      <w:pPr>
        <w:ind w:firstLine="480"/>
        <w:widowControl w:val="off"/>
        <w:rPr>
          <w:rFonts w:ascii="宋体" w:hAnsi="宋体" w:eastAsia="宋体" w:cs="宋体"/>
          <w:color w:val="auto"/>
          <w:szCs w:val="24"/>
          <w:highlight w:val="none"/>
          <w:lang w:eastAsia="zh-CN"/>
        </w:rPr>
      </w:pPr>
      <w:r>
        <w:rPr>
          <w:rFonts w:ascii="宋体" w:hAnsi="宋体" w:eastAsia="宋体" w:cs="宋体"/>
          <w:color w:val="auto"/>
          <w:szCs w:val="24"/>
          <w:highlight w:val="none"/>
          <w:lang w:eastAsia="zh-CN"/>
        </w:rPr>
      </w:r>
      <w:r/>
    </w:p>
    <w:p>
      <w:pPr>
        <w:ind w:firstLine="480"/>
        <w:widowControl w:val="off"/>
        <w:rPr>
          <w:rFonts w:ascii="宋体" w:hAnsi="宋体" w:eastAsia="宋体" w:cs="宋体"/>
          <w:color w:val="auto"/>
          <w:szCs w:val="24"/>
          <w:highlight w:val="none"/>
          <w:lang w:eastAsia="zh-CN"/>
        </w:rPr>
      </w:pPr>
      <w:r>
        <w:rPr>
          <w:rFonts w:ascii="宋体" w:hAnsi="宋体" w:eastAsia="宋体" w:cs="宋体"/>
          <w:color w:val="auto"/>
          <w:szCs w:val="24"/>
          <w:highlight w:val="none"/>
          <w:lang w:eastAsia="zh-CN"/>
        </w:rPr>
      </w:r>
      <w:r/>
    </w:p>
    <w:p>
      <w:pPr>
        <w:ind w:firstLine="480"/>
        <w:widowControl w:val="off"/>
        <w:rPr>
          <w:rFonts w:ascii="宋体" w:hAnsi="宋体" w:eastAsia="宋体" w:cs="宋体"/>
          <w:color w:val="auto"/>
          <w:szCs w:val="24"/>
          <w:highlight w:val="none"/>
          <w:lang w:eastAsia="zh-CN"/>
        </w:rPr>
      </w:pPr>
      <w:r>
        <w:rPr>
          <w:rFonts w:ascii="宋体" w:hAnsi="宋体" w:eastAsia="宋体" w:cs="宋体"/>
          <w:color w:val="auto"/>
          <w:szCs w:val="24"/>
          <w:highlight w:val="none"/>
          <w:lang w:eastAsia="zh-CN"/>
        </w:rPr>
      </w:r>
      <w:r/>
    </w:p>
    <w:p>
      <w:pPr>
        <w:ind w:firstLine="0"/>
        <w:spacing w:line="240" w:lineRule="auto"/>
        <w:rPr>
          <w:rFonts w:eastAsia="黑体"/>
          <w:b/>
          <w:bCs/>
          <w:color w:val="auto"/>
          <w:sz w:val="36"/>
          <w:szCs w:val="44"/>
          <w:highlight w:val="none"/>
          <w:lang w:eastAsia="zh-CN"/>
        </w:rPr>
      </w:pPr>
      <w:r>
        <w:rPr>
          <w:rFonts w:eastAsia="宋体"/>
          <w:color w:val="auto"/>
          <w:highlight w:val="none"/>
          <w:lang w:eastAsia="zh-CN"/>
        </w:rPr>
        <w:br w:type="page" w:clear="all"/>
      </w:r>
      <w:r/>
    </w:p>
    <w:p>
      <w:pPr>
        <w:ind w:firstLine="0"/>
        <w:spacing w:line="240" w:lineRule="auto"/>
        <w:rPr>
          <w:rFonts w:eastAsia="黑体"/>
          <w:b/>
          <w:bCs/>
          <w:color w:val="auto"/>
          <w:sz w:val="36"/>
          <w:szCs w:val="44"/>
          <w:highlight w:val="none"/>
          <w:lang w:eastAsia="zh-CN"/>
        </w:rPr>
      </w:pPr>
      <w:r/>
      <w:bookmarkStart w:id="29" w:name="_Toc161316668"/>
      <w:r/>
      <w:r/>
    </w:p>
    <w:p>
      <w:pPr>
        <w:pStyle w:val="1096"/>
        <w:rPr>
          <w:color w:val="auto"/>
          <w:highlight w:val="none"/>
          <w:lang w:eastAsia="zh-CN"/>
        </w:rPr>
      </w:pPr>
      <w:r>
        <w:rPr>
          <w:rFonts w:hint="eastAsia"/>
          <w:color w:val="auto"/>
          <w:highlight w:val="none"/>
          <w:lang w:eastAsia="zh-CN"/>
        </w:rPr>
        <w:t xml:space="preserve">五、附件</w:t>
      </w:r>
      <w:bookmarkEnd w:id="29"/>
      <w:r/>
      <w:r/>
    </w:p>
    <w:p>
      <w:pPr>
        <w:pStyle w:val="1097"/>
        <w:rPr>
          <w:rFonts w:ascii="宋体" w:hAnsi="宋体" w:cs="宋体"/>
          <w:color w:val="auto"/>
          <w:szCs w:val="24"/>
          <w:highlight w:val="none"/>
          <w:lang w:eastAsia="zh-CN"/>
        </w:rPr>
      </w:pPr>
      <w:r/>
      <w:bookmarkStart w:id="30" w:name="_Toc161316669"/>
      <w:r/>
      <w:bookmarkStart w:id="31" w:name="_Toc101981934"/>
      <w:r>
        <w:rPr>
          <w:rFonts w:hint="eastAsia"/>
          <w:color w:val="auto"/>
          <w:highlight w:val="none"/>
          <w:lang w:eastAsia="zh-CN"/>
        </w:rPr>
        <w:t xml:space="preserve">附件一：评分标准</w:t>
      </w:r>
      <w:bookmarkEnd w:id="30"/>
      <w:r/>
      <w:bookmarkEnd w:id="31"/>
      <w:r/>
      <w:r/>
    </w:p>
    <w:p>
      <w:pPr>
        <w:ind w:firstLine="480"/>
        <w:spacing w:line="440" w:lineRule="exact"/>
        <w:widowControl w:val="off"/>
        <w:rPr>
          <w:rFonts w:ascii="宋体" w:hAnsi="宋体" w:cs="宋体"/>
          <w:b/>
          <w:color w:val="auto"/>
          <w:highlight w:val="none"/>
          <w:lang w:eastAsia="zh-CN"/>
        </w:rPr>
      </w:pPr>
      <w:r/>
      <w:bookmarkStart w:id="32" w:name="_Toc37956245"/>
      <w:r/>
      <w:bookmarkStart w:id="33" w:name="_Toc37956127"/>
      <w:r>
        <w:rPr>
          <w:rFonts w:hint="eastAsia" w:ascii="宋体" w:hAnsi="宋体" w:cs="宋体"/>
          <w:bCs/>
          <w:color w:val="auto"/>
          <w:highlight w:val="none"/>
          <w:lang w:eastAsia="zh-CN"/>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具体评分标准如下：</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1.价格分                   30分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2.商务资信分               1</w:t>
      </w:r>
      <w:r>
        <w:rPr>
          <w:rFonts w:hint="eastAsia" w:ascii="宋体" w:hAnsi="宋体" w:cs="宋体"/>
          <w:b/>
          <w:color w:val="auto"/>
          <w:highlight w:val="none"/>
          <w:lang w:val="en-US" w:eastAsia="zh-CN"/>
        </w:rPr>
        <w:t xml:space="preserve">8</w:t>
      </w:r>
      <w:r>
        <w:rPr>
          <w:rFonts w:hint="eastAsia" w:ascii="宋体" w:hAnsi="宋体" w:cs="宋体"/>
          <w:b/>
          <w:color w:val="auto"/>
          <w:highlight w:val="none"/>
          <w:lang w:eastAsia="zh-CN"/>
        </w:rPr>
        <w:t xml:space="preserve">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color w:val="auto"/>
          <w:highlight w:val="none"/>
          <w:lang w:eastAsia="zh-CN"/>
        </w:rPr>
        <w:t xml:space="preserve">3.技术方案                 50分</w:t>
      </w:r>
      <w:r/>
    </w:p>
    <w:p>
      <w:pPr>
        <w:ind w:firstLine="482"/>
        <w:spacing w:line="440" w:lineRule="exact"/>
        <w:widowControl w:val="off"/>
        <w:rPr>
          <w:rFonts w:ascii="宋体" w:hAnsi="宋体" w:cs="宋体"/>
          <w:bCs/>
          <w:color w:val="auto"/>
          <w:highlight w:val="none"/>
        </w:rPr>
      </w:pPr>
      <w:r>
        <w:rPr>
          <w:rFonts w:hint="eastAsia" w:ascii="宋体" w:hAnsi="宋体" w:cs="宋体"/>
          <w:b/>
          <w:color w:val="auto"/>
          <w:highlight w:val="none"/>
          <w:lang w:eastAsia="zh-CN"/>
        </w:rPr>
        <w:t xml:space="preserve">4.</w:t>
      </w:r>
      <w:r>
        <w:rPr>
          <w:rFonts w:hint="eastAsia" w:ascii="宋体" w:hAnsi="宋体" w:cs="宋体"/>
          <w:b/>
          <w:color w:val="auto"/>
          <w:highlight w:val="none"/>
        </w:rPr>
        <w:t xml:space="preserve">政策加分            </w:t>
      </w:r>
      <w:r>
        <w:rPr>
          <w:rFonts w:hint="eastAsia" w:ascii="宋体" w:hAnsi="宋体" w:cs="宋体"/>
          <w:b/>
          <w:color w:val="auto"/>
          <w:highlight w:val="none"/>
          <w:lang w:eastAsia="zh-CN"/>
        </w:rPr>
        <w:t xml:space="preserve">    </w:t>
      </w:r>
      <w:r>
        <w:rPr>
          <w:rFonts w:hint="eastAsia" w:ascii="宋体" w:hAnsi="宋体" w:cs="宋体"/>
          <w:b/>
          <w:color w:val="auto"/>
          <w:highlight w:val="none"/>
        </w:rPr>
        <w:t xml:space="preserve">  2分</w:t>
      </w:r>
      <w:r/>
    </w:p>
    <w:p>
      <w:pPr>
        <w:ind w:firstLine="0"/>
        <w:spacing w:line="440" w:lineRule="exact"/>
        <w:widowControl w:val="off"/>
        <w:rPr>
          <w:rFonts w:ascii="宋体" w:hAnsi="宋体" w:cs="宋体"/>
          <w:b/>
          <w:bCs/>
          <w:color w:val="auto"/>
          <w:highlight w:val="none"/>
        </w:rPr>
      </w:pPr>
      <w:r>
        <w:rPr>
          <w:rFonts w:hint="eastAsia" w:ascii="宋体" w:hAnsi="宋体" w:cs="宋体"/>
          <w:b/>
          <w:bCs/>
          <w:color w:val="auto"/>
          <w:highlight w:val="none"/>
          <w:lang w:eastAsia="zh-CN"/>
        </w:rPr>
        <w:t xml:space="preserve">（一）</w:t>
      </w:r>
      <w:r>
        <w:rPr>
          <w:rFonts w:hint="eastAsia" w:ascii="宋体" w:hAnsi="宋体" w:cs="宋体"/>
          <w:b/>
          <w:bCs/>
          <w:color w:val="auto"/>
          <w:highlight w:val="none"/>
        </w:rPr>
        <w:t xml:space="preserve">价格分（</w:t>
      </w:r>
      <w:r>
        <w:rPr>
          <w:rFonts w:hint="eastAsia" w:ascii="宋体" w:hAnsi="宋体" w:cs="宋体"/>
          <w:b/>
          <w:bCs/>
          <w:color w:val="auto"/>
          <w:highlight w:val="none"/>
          <w:lang w:eastAsia="zh-CN"/>
        </w:rPr>
        <w:t xml:space="preserve">3</w:t>
      </w:r>
      <w:r>
        <w:rPr>
          <w:rFonts w:hint="eastAsia" w:ascii="宋体" w:hAnsi="宋体" w:cs="宋体"/>
          <w:b/>
          <w:bCs/>
          <w:color w:val="auto"/>
          <w:highlight w:val="none"/>
        </w:rPr>
        <w:t xml:space="preserve">0分）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采用低价优先法计算，即满足招标文件要求且投标价格最低的投标报价为评标基准价，其价格分为满分。其他投标人的价格分统一按照下列公式计算：</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投标报价得分=（投标基准价／投标报价）×价格权值</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价格扣除：</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促进本国产品优惠政策：依法对本国产品给予价格评审优惠，对本国产品的报价给予20%的价格扣除，用扣除后的价格参与评审。</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具体以《国务院办公厅关于在政府采购中实施本国产品标准及相关政策的通知》（国办发〔2025〕34号）规定为准。</w:t>
      </w:r>
      <w:r/>
    </w:p>
    <w:p>
      <w:pPr>
        <w:ind w:firstLine="482"/>
        <w:spacing w:line="440" w:lineRule="exact"/>
        <w:widowControl w:val="off"/>
        <w:rPr>
          <w:rFonts w:ascii="宋体" w:hAnsi="宋体" w:cs="宋体"/>
          <w:color w:val="auto"/>
          <w:highlight w:val="none"/>
          <w:lang w:eastAsia="zh-CN"/>
        </w:rPr>
      </w:pPr>
      <w:r>
        <w:rPr>
          <w:rFonts w:hint="eastAsia" w:ascii="宋体" w:hAnsi="宋体" w:cs="宋体"/>
          <w:b/>
          <w:bCs/>
          <w:color w:val="auto"/>
          <w:highlight w:val="none"/>
          <w:lang w:eastAsia="zh-CN"/>
        </w:rPr>
        <w:t xml:space="preserve">异常低价投标（响应）审查：</w:t>
      </w:r>
      <w:r>
        <w:rPr>
          <w:rFonts w:hint="eastAsia" w:ascii="宋体" w:hAnsi="宋体" w:cs="宋体"/>
          <w:color w:val="auto"/>
          <w:highlight w:val="none"/>
          <w:lang w:eastAsia="zh-CN"/>
        </w:rPr>
        <w:t xml:space="preserve">评标委员会根据《财政部关于推动解决政府采购异常低价问题的通知》（</w:t>
      </w:r>
      <w:bookmarkStart w:id="34" w:name="OLE_LINK4"/>
      <w:r/>
      <w:bookmarkStart w:id="35" w:name="OLE_LINK3"/>
      <w:r>
        <w:rPr>
          <w:rFonts w:hint="eastAsia" w:ascii="宋体" w:hAnsi="宋体" w:cs="宋体"/>
          <w:color w:val="auto"/>
          <w:highlight w:val="none"/>
          <w:lang w:eastAsia="zh-CN"/>
        </w:rPr>
        <w:t xml:space="preserve">财库〔2026〕2号</w:t>
      </w:r>
      <w:bookmarkEnd w:id="34"/>
      <w:r/>
      <w:bookmarkEnd w:id="35"/>
      <w:r>
        <w:rPr>
          <w:rFonts w:hint="eastAsia" w:ascii="宋体" w:hAnsi="宋体" w:cs="宋体"/>
          <w:color w:val="auto"/>
          <w:highlight w:val="none"/>
          <w:lang w:eastAsia="zh-CN"/>
        </w:rPr>
        <w:t xml:space="preserve">）</w:t>
      </w:r>
      <w:r>
        <w:rPr>
          <w:rFonts w:hint="eastAsia" w:ascii="宋体" w:hAnsi="宋体" w:cs="宋体"/>
          <w:b/>
          <w:bCs/>
          <w:color w:val="auto"/>
          <w:highlight w:val="none"/>
          <w:lang w:eastAsia="zh-CN"/>
        </w:rPr>
        <w:t xml:space="preserve">（详见公开招标文件第二部分（八）无效投标文件的确认第2</w:t>
      </w:r>
      <w:r>
        <w:rPr>
          <w:rFonts w:ascii="宋体" w:hAnsi="宋体" w:cs="宋体"/>
          <w:b/>
          <w:bCs/>
          <w:color w:val="auto"/>
          <w:highlight w:val="none"/>
          <w:lang w:eastAsia="zh-CN"/>
        </w:rPr>
        <w:t xml:space="preserve">6</w:t>
      </w:r>
      <w:r>
        <w:rPr>
          <w:rFonts w:hint="eastAsia" w:ascii="宋体" w:hAnsi="宋体" w:cs="宋体"/>
          <w:b/>
          <w:bCs/>
          <w:color w:val="auto"/>
          <w:highlight w:val="none"/>
          <w:lang w:eastAsia="zh-CN"/>
        </w:rPr>
        <w:t xml:space="preserve">条规定）</w:t>
      </w:r>
      <w:r>
        <w:rPr>
          <w:rFonts w:hint="eastAsia" w:ascii="宋体" w:hAnsi="宋体" w:cs="宋体"/>
          <w:color w:val="auto"/>
          <w:highlight w:val="none"/>
          <w:lang w:eastAsia="zh-CN"/>
        </w:rPr>
        <w:t xml:space="preserve">要求进行审查。投标供应商不提供书面说明、证明材料，或者提供的书面说明、证明材料不能证明其报价合理性的，评标委员会应当将其作为无效投标（响应）处理。</w:t>
      </w:r>
      <w:r/>
    </w:p>
    <w:p>
      <w:pPr>
        <w:ind w:firstLine="0"/>
        <w:spacing w:line="440" w:lineRule="exact"/>
        <w:widowControl w:val="off"/>
        <w:rPr>
          <w:rFonts w:ascii="宋体" w:hAnsi="宋体" w:cs="宋体"/>
          <w:b/>
          <w:bCs/>
          <w:color w:val="auto"/>
          <w:highlight w:val="none"/>
          <w:lang w:eastAsia="zh-CN"/>
        </w:rPr>
      </w:pPr>
      <w:r>
        <w:rPr>
          <w:rFonts w:hint="eastAsia" w:ascii="宋体" w:hAnsi="宋体" w:cs="宋体"/>
          <w:b/>
          <w:bCs/>
          <w:color w:val="auto"/>
          <w:highlight w:val="none"/>
          <w:lang w:eastAsia="zh-CN"/>
        </w:rPr>
        <w:t xml:space="preserve">（二）商务资信分（1</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lang w:eastAsia="zh-CN"/>
        </w:rPr>
        <w:t xml:space="preserve">分）</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1.类似业绩（</w:t>
      </w: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分）：</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投标供应商自2023年1月1日（含）以来（以合同签订时间为准）承担过类似供货业绩，每提供1份有效业绩得2</w:t>
      </w: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分，本项最高得</w:t>
      </w: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分。</w:t>
      </w:r>
      <w:r>
        <w:rPr>
          <w:rFonts w:hint="eastAsia" w:ascii="宋体" w:hAnsi="宋体" w:cs="宋体"/>
          <w:b/>
          <w:color w:val="auto"/>
          <w:highlight w:val="none"/>
          <w:lang w:eastAsia="zh-CN"/>
        </w:rPr>
        <w:t xml:space="preserve">【提供有效的合同原件、资金往来证明、验收证明扫描件并加盖投标人电子公章上传至投标文件中，时间以合同签订时间为准，未提供或提供不全不得分】</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2.相关证书（</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lang w:eastAsia="zh-CN"/>
        </w:rPr>
        <w:t xml:space="preserve">分）：</w:t>
      </w:r>
      <w:r/>
    </w:p>
    <w:p>
      <w:pPr>
        <w:ind w:firstLine="480"/>
        <w:spacing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①</w:t>
      </w:r>
      <w:r>
        <w:rPr>
          <w:rFonts w:hint="eastAsia" w:ascii="宋体" w:hAnsi="宋体" w:cs="宋体"/>
          <w:bCs/>
          <w:color w:val="auto"/>
          <w:highlight w:val="none"/>
          <w:lang w:eastAsia="zh-CN"/>
        </w:rPr>
        <w:t xml:space="preserve">投标人具备有效期内的环境管理体系认证证书，职业健康安全管理体系认证证书，质量管理体系认证证书，</w:t>
      </w:r>
      <w:r>
        <w:rPr>
          <w:rFonts w:hint="eastAsia" w:ascii="宋体" w:hAnsi="宋体" w:cs="宋体"/>
          <w:bCs/>
          <w:color w:val="auto"/>
          <w:highlight w:val="none"/>
          <w:lang w:val="en-US" w:eastAsia="zh-CN"/>
        </w:rPr>
        <w:t xml:space="preserve">有1个得1分，本项最高</w:t>
      </w:r>
      <w:r>
        <w:rPr>
          <w:rFonts w:hint="eastAsia" w:ascii="宋体" w:hAnsi="宋体" w:cs="宋体"/>
          <w:bCs/>
          <w:color w:val="auto"/>
          <w:highlight w:val="none"/>
          <w:lang w:eastAsia="zh-CN"/>
        </w:rPr>
        <w:t xml:space="preserve">得</w:t>
      </w:r>
      <w:r>
        <w:rPr>
          <w:rFonts w:hint="eastAsia" w:ascii="宋体" w:hAnsi="宋体" w:cs="宋体"/>
          <w:bCs/>
          <w:color w:val="auto"/>
          <w:highlight w:val="none"/>
          <w:lang w:val="en-US" w:eastAsia="zh-CN"/>
        </w:rPr>
        <w:t xml:space="preserve">3</w:t>
      </w:r>
      <w:r>
        <w:rPr>
          <w:rFonts w:hint="eastAsia" w:ascii="宋体" w:hAnsi="宋体" w:cs="宋体"/>
          <w:bCs/>
          <w:color w:val="auto"/>
          <w:highlight w:val="none"/>
          <w:lang w:eastAsia="zh-CN"/>
        </w:rPr>
        <w:t xml:space="preserve">分。</w:t>
      </w:r>
      <w:r/>
    </w:p>
    <w:p>
      <w:pPr>
        <w:ind w:firstLine="482"/>
        <w:spacing w:line="440" w:lineRule="exact"/>
        <w:widowControl w:val="off"/>
        <w:rPr>
          <w:rFonts w:ascii="宋体" w:hAnsi="宋体" w:cs="宋体"/>
          <w:b/>
          <w:color w:val="auto"/>
          <w:highlight w:val="none"/>
          <w:lang w:eastAsia="zh-CN"/>
        </w:rPr>
      </w:pPr>
      <w:r>
        <w:rPr>
          <w:rFonts w:hint="eastAsia" w:ascii="宋体" w:hAnsi="宋体" w:cs="宋体"/>
          <w:b/>
          <w:bCs w:val="0"/>
          <w:color w:val="auto"/>
          <w:highlight w:val="none"/>
          <w:lang w:eastAsia="zh-CN"/>
        </w:rPr>
        <w:t xml:space="preserve">注：上述证书均须提供相应证书的扫描件并加盖电子公章上传至投标文件中，同时还须提供该证书在国家认监委网站（“国家市场监督管理总局－全国认证认可信息公共服务平台”网站）查询到的有效认证截图，不提供或提供不全不得分</w:t>
      </w:r>
      <w:r>
        <w:rPr>
          <w:rFonts w:hint="eastAsia" w:ascii="宋体" w:hAnsi="宋体" w:cs="宋体"/>
          <w:b/>
          <w:color w:val="auto"/>
          <w:highlight w:val="none"/>
          <w:lang w:eastAsia="zh-CN"/>
        </w:rPr>
        <w:t xml:space="preserve">。</w:t>
      </w:r>
      <w:r/>
    </w:p>
    <w:p>
      <w:pPr>
        <w:ind w:firstLine="480"/>
        <w:spacing w:line="440" w:lineRule="exact"/>
        <w:widowControl w:val="off"/>
        <w:rPr>
          <w:rFonts w:ascii="宋体" w:hAnsi="宋体" w:cs="宋体"/>
          <w:bCs/>
          <w:color w:val="auto"/>
          <w:highlight w:val="none"/>
          <w:lang w:eastAsia="zh-CN"/>
        </w:rPr>
      </w:pPr>
      <w:r>
        <w:rPr>
          <w:rFonts w:hint="eastAsia" w:ascii="宋体" w:hAnsi="宋体" w:cs="宋体"/>
          <w:bCs/>
          <w:color w:val="auto"/>
          <w:highlight w:val="none"/>
          <w:lang w:eastAsia="zh-CN"/>
        </w:rPr>
        <w:t xml:space="preserve">3.检测报告（</w:t>
      </w:r>
      <w:r>
        <w:rPr>
          <w:rFonts w:hint="eastAsia" w:ascii="宋体" w:hAnsi="宋体" w:cs="宋体"/>
          <w:bCs/>
          <w:color w:val="auto"/>
          <w:highlight w:val="none"/>
          <w:lang w:val="en-US" w:eastAsia="zh-CN"/>
        </w:rPr>
        <w:t xml:space="preserve">10</w:t>
      </w:r>
      <w:r>
        <w:rPr>
          <w:rFonts w:hint="eastAsia" w:ascii="宋体" w:hAnsi="宋体" w:cs="宋体"/>
          <w:bCs/>
          <w:color w:val="auto"/>
          <w:highlight w:val="none"/>
          <w:lang w:eastAsia="zh-CN"/>
        </w:rPr>
        <w:t xml:space="preserve">分）：</w:t>
      </w:r>
      <w:r/>
    </w:p>
    <w:p>
      <w:pPr>
        <w:ind w:firstLine="480"/>
        <w:spacing w:after="181" w:line="440" w:lineRule="exact"/>
        <w:widowControl w:val="off"/>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投标供应商需出具包含下列材料及检测项的权威检测报告原件扫描件上传至投标文件中并加盖电子公章，检测报告由CMA认证的检验中心出具且必须清晰、完整（含封底和封面），检测报告不完整的视为无效，受检单位须为投标供应商或其生产厂家（制造商），每份检测报告满足该项要求的，得分项目参数必须在《投标偏离表》填报内容中填写并注明为正偏离，未按要求提供证明材料和不按要求填写的，不得分，本项满分</w:t>
      </w:r>
      <w:r>
        <w:rPr>
          <w:rFonts w:hint="eastAsia" w:ascii="宋体" w:hAnsi="宋体" w:cs="宋体"/>
          <w:bCs/>
          <w:color w:val="auto"/>
          <w:highlight w:val="none"/>
          <w:lang w:val="en-US" w:eastAsia="zh-CN"/>
        </w:rPr>
        <w:t xml:space="preserve">10</w:t>
      </w:r>
      <w:r>
        <w:rPr>
          <w:rFonts w:hint="eastAsia" w:ascii="宋体" w:hAnsi="宋体" w:cs="宋体"/>
          <w:bCs/>
          <w:color w:val="auto"/>
          <w:highlight w:val="none"/>
          <w:lang w:eastAsia="zh-CN"/>
        </w:rPr>
        <w:t xml:space="preserve">分。</w:t>
      </w:r>
      <w:r/>
    </w:p>
    <w:tbl>
      <w:tblPr>
        <w:tblStyle w:val="1101"/>
        <w:tblW w:w="10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6309"/>
        <w:gridCol w:w="322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ind w:left="0" w:right="0" w:firstLine="0"/>
              <w:jc w:val="center"/>
              <w:keepNext w:val="0"/>
              <w:spacing w:line="240" w:lineRule="auto"/>
              <w:widowControl w:val="off"/>
              <w:tabs>
                <w:tab w:val="left" w:pos="240" w:leader="none"/>
              </w:tabs>
              <w:rPr>
                <w:rFonts w:ascii="宋体" w:hAnsi="宋体" w:cs="宋体"/>
                <w:b/>
                <w:color w:val="auto"/>
                <w:highlight w:val="none"/>
              </w:rPr>
            </w:pPr>
            <w:r>
              <w:rPr>
                <w:rFonts w:hint="eastAsia" w:ascii="宋体" w:hAnsi="宋体" w:cs="宋体"/>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ind w:left="0" w:right="0" w:firstLine="0"/>
              <w:jc w:val="center"/>
              <w:keepNext w:val="0"/>
              <w:spacing w:line="240" w:lineRule="auto"/>
              <w:widowControl w:val="off"/>
              <w:rPr>
                <w:rFonts w:ascii="宋体" w:hAnsi="宋体" w:cs="宋体"/>
                <w:b/>
                <w:color w:val="auto"/>
                <w:highlight w:val="none"/>
              </w:rPr>
            </w:pPr>
            <w:r>
              <w:rPr>
                <w:rFonts w:hint="eastAsia" w:ascii="宋体" w:hAnsi="宋体" w:cs="宋体"/>
                <w:b/>
                <w:color w:val="auto"/>
                <w:highlight w:val="none"/>
              </w:rPr>
              <w:t xml:space="preserve">采购需求的参数要求</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left="0" w:right="0" w:firstLine="0"/>
              <w:jc w:val="center"/>
              <w:keepNext w:val="0"/>
              <w:spacing w:line="240" w:lineRule="auto"/>
              <w:widowControl w:val="off"/>
              <w:rPr>
                <w:rFonts w:ascii="宋体" w:hAnsi="宋体" w:cs="宋体"/>
                <w:b/>
                <w:color w:val="auto"/>
                <w:highlight w:val="none"/>
              </w:rPr>
            </w:pPr>
            <w:r>
              <w:rPr>
                <w:rFonts w:hint="eastAsia" w:ascii="宋体" w:hAnsi="宋体" w:cs="宋体"/>
                <w:b/>
                <w:color w:val="auto"/>
                <w:highlight w:val="none"/>
              </w:rPr>
              <w:t xml:space="preserve">评审内容</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934" w:type="dxa"/>
            <w:vAlign w:val="center"/>
            <w:vMerge w:val="restart"/>
            <w:textDirection w:val="lrTb"/>
            <w:noWrap w:val="false"/>
          </w:tcPr>
          <w:p>
            <w:pPr>
              <w:ind w:left="0" w:right="0" w:firstLine="0"/>
              <w:jc w:val="center"/>
              <w:keepNext w:val="0"/>
              <w:spacing w:line="240" w:lineRule="auto"/>
              <w:widowControl w:val="off"/>
              <w:tabs>
                <w:tab w:val="left" w:pos="240" w:leader="none"/>
              </w:tabs>
              <w:rPr>
                <w:rFonts w:ascii="仿宋" w:hAnsi="宋体" w:eastAsia="宋体" w:cs="宋体"/>
                <w:color w:val="auto"/>
                <w:sz w:val="21"/>
                <w:highlight w:val="none"/>
              </w:rPr>
            </w:pPr>
            <w:r>
              <w:rPr>
                <w:rFonts w:hint="eastAsia" w:ascii="仿宋" w:hAnsi="宋体" w:cs="宋体"/>
                <w:b/>
                <w:bCs/>
                <w:color w:val="auto"/>
                <w:sz w:val="21"/>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ind w:left="0" w:right="0" w:firstLine="0"/>
              <w:jc w:val="left"/>
              <w:keepNext w:val="0"/>
              <w:spacing w:line="240" w:lineRule="auto"/>
              <w:widowControl w:val="off"/>
              <w:rPr>
                <w:rFonts w:hint="default" w:ascii="仿宋" w:hAnsi="宋体" w:eastAsia="宋体" w:cs="宋体"/>
                <w:color w:val="auto"/>
                <w:sz w:val="21"/>
                <w:highlight w:val="none"/>
                <w:lang w:val="en-US" w:eastAsia="zh-CN"/>
              </w:rPr>
            </w:pPr>
            <w:r>
              <w:rPr>
                <w:rFonts w:hint="eastAsia" w:ascii="仿宋" w:hAnsi="仿宋" w:cs="仿宋"/>
                <w:color w:val="auto"/>
                <w:sz w:val="21"/>
                <w:szCs w:val="21"/>
                <w:highlight w:val="none"/>
                <w:lang w:eastAsia="zh-CN"/>
              </w:rPr>
              <w:t xml:space="preserve">喷面色浆材料</w:t>
            </w:r>
            <w:r>
              <w:rPr>
                <w:rFonts w:hint="eastAsia" w:ascii="仿宋" w:hAnsi="仿宋" w:cs="仿宋"/>
                <w:color w:val="auto"/>
                <w:sz w:val="21"/>
                <w:szCs w:val="21"/>
                <w:highlight w:val="none"/>
                <w:lang w:val="en-US" w:eastAsia="zh-CN"/>
              </w:rPr>
              <w:t xml:space="preserve">中有害物质含量</w:t>
            </w:r>
            <w:r>
              <w:rPr>
                <w:rFonts w:hint="eastAsia" w:ascii="仿宋" w:hAnsi="仿宋" w:cs="仿宋"/>
                <w:color w:val="auto"/>
                <w:sz w:val="21"/>
                <w:szCs w:val="21"/>
                <w:highlight w:val="none"/>
                <w:lang w:eastAsia="zh-CN"/>
              </w:rPr>
              <w:t xml:space="preserve">检测</w:t>
            </w:r>
            <w:r>
              <w:rPr>
                <w:rFonts w:hint="eastAsia" w:ascii="仿宋" w:hAnsi="仿宋" w:eastAsia="宋体" w:cs="仿宋"/>
                <w:color w:val="auto"/>
                <w:sz w:val="21"/>
                <w:szCs w:val="21"/>
                <w:highlight w:val="none"/>
                <w:lang w:eastAsia="zh-CN"/>
              </w:rPr>
              <w:t xml:space="preserve">，</w:t>
            </w:r>
            <w:r>
              <w:rPr>
                <w:rFonts w:hint="eastAsia" w:ascii="仿宋" w:hAnsi="仿宋" w:cs="仿宋"/>
                <w:color w:val="auto"/>
                <w:sz w:val="21"/>
                <w:szCs w:val="21"/>
                <w:highlight w:val="none"/>
                <w:lang w:val="en-US" w:eastAsia="zh-CN"/>
              </w:rPr>
              <w:t xml:space="preserve">依据</w:t>
            </w:r>
            <w:r>
              <w:rPr>
                <w:rFonts w:hint="eastAsia" w:ascii="仿宋" w:hAnsi="仿宋" w:cs="仿宋"/>
                <w:color w:val="auto"/>
                <w:sz w:val="21"/>
                <w:szCs w:val="21"/>
                <w:highlight w:val="none"/>
                <w:lang w:eastAsia="zh-CN"/>
              </w:rPr>
              <w:t xml:space="preserve">标准：</w:t>
            </w:r>
            <w:r>
              <w:rPr>
                <w:rFonts w:hint="eastAsia" w:ascii="仿宋" w:hAnsi="仿宋" w:eastAsia="宋体" w:cs="仿宋"/>
                <w:b w:val="0"/>
                <w:bCs w:val="0"/>
                <w:color w:val="auto"/>
                <w:sz w:val="21"/>
                <w:szCs w:val="21"/>
                <w:highlight w:val="none"/>
                <w:lang w:eastAsia="zh-CN" w:bidi="ar"/>
              </w:rPr>
              <w:t xml:space="preserve">GB 36246-2018</w:t>
            </w:r>
            <w:r>
              <w:rPr>
                <w:rFonts w:hint="eastAsia" w:ascii="仿宋" w:hAnsi="仿宋" w:cs="仿宋"/>
                <w:b w:val="0"/>
                <w:bCs w:val="0"/>
                <w:color w:val="auto"/>
                <w:sz w:val="21"/>
                <w:szCs w:val="21"/>
                <w:highlight w:val="none"/>
                <w:lang w:val="en-US" w:eastAsia="zh-CN" w:bidi="ar"/>
              </w:rPr>
              <w:t xml:space="preserve">、GB/T</w:t>
            </w:r>
            <w:r>
              <w:rPr>
                <w:rFonts w:hint="eastAsia" w:ascii="仿宋" w:hAnsi="仿宋" w:eastAsia="宋体" w:cs="仿宋"/>
                <w:b w:val="0"/>
                <w:bCs w:val="0"/>
                <w:color w:val="auto"/>
                <w:sz w:val="21"/>
                <w:szCs w:val="21"/>
                <w:highlight w:val="none"/>
                <w:lang w:val="en-US" w:eastAsia="zh-CN" w:bidi="ar"/>
              </w:rPr>
              <w:t xml:space="preserve">43564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val="false"/>
          </w:tcPr>
          <w:p>
            <w:pPr>
              <w:ind w:left="0" w:right="0" w:firstLine="0"/>
              <w:jc w:val="center"/>
              <w:keepNext w:val="0"/>
              <w:spacing w:line="240" w:lineRule="auto"/>
              <w:widowControl w:val="off"/>
              <w:tabs>
                <w:tab w:val="left" w:pos="240" w:leader="none"/>
              </w:tabs>
              <w:rPr>
                <w:rFonts w:ascii="仿宋" w:hAnsi="宋体" w:eastAsia="宋体" w:cs="宋体"/>
                <w:color w:val="auto"/>
                <w:sz w:val="21"/>
                <w:highlight w:val="none"/>
                <w:lang w:eastAsia="zh-CN"/>
              </w:rPr>
            </w:pPr>
            <w:r>
              <w:rPr>
                <w:rFonts w:ascii="仿宋" w:hAnsi="宋体" w:eastAsia="宋体" w:cs="宋体"/>
                <w:color w:val="auto"/>
                <w:sz w:val="21"/>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ind w:left="0" w:right="0" w:firstLine="0"/>
              <w:jc w:val="left"/>
              <w:spacing w:line="240" w:lineRule="auto"/>
              <w:widowControl w:val="off"/>
              <w:rPr>
                <w:rFonts w:hint="eastAsia" w:ascii="仿宋" w:hAnsi="宋体" w:eastAsia="宋体" w:cs="宋体"/>
                <w:color w:val="auto"/>
                <w:sz w:val="21"/>
                <w:szCs w:val="21"/>
                <w:highlight w:val="none"/>
                <w:lang w:eastAsia="zh-CN"/>
              </w:rPr>
            </w:pPr>
            <w:r>
              <w:rPr>
                <w:rFonts w:hint="eastAsia" w:ascii="仿宋" w:hAnsi="宋体" w:eastAsia="宋体" w:cs="宋体"/>
                <w:color w:val="auto"/>
                <w:sz w:val="21"/>
                <w:szCs w:val="21"/>
                <w:highlight w:val="none"/>
                <w:lang w:eastAsia="zh-CN"/>
              </w:rPr>
              <w:t xml:space="preserve">检测项目包含：</w:t>
            </w:r>
            <w:r/>
          </w:p>
          <w:p>
            <w:pPr>
              <w:ind w:left="0" w:right="0" w:firstLine="0"/>
              <w:jc w:val="left"/>
              <w:spacing w:line="240" w:lineRule="auto"/>
              <w:widowControl w:val="off"/>
              <w:rPr>
                <w:rFonts w:hint="eastAsia" w:ascii="仿宋" w:hAnsi="Calibri" w:eastAsia="宋体" w:cs="Times New Roman"/>
                <w:color w:val="auto"/>
                <w:sz w:val="21"/>
                <w:szCs w:val="24"/>
                <w:highlight w:val="none"/>
                <w:lang w:eastAsia="zh-CN"/>
              </w:rPr>
            </w:pPr>
            <w:r>
              <w:rPr>
                <w:rFonts w:hint="eastAsia" w:ascii="仿宋" w:hAnsi="Calibri" w:eastAsia="宋体" w:cs="Times New Roman"/>
                <w:color w:val="auto"/>
                <w:sz w:val="21"/>
                <w:szCs w:val="24"/>
                <w:highlight w:val="none"/>
                <w:lang w:eastAsia="zh-CN"/>
              </w:rPr>
              <w:t xml:space="preserve">①邻苯二甲酸酯类化合物:DBP、BBP、DEHP三项总和及DNOP、DINP、DIDP三项总和</w:t>
            </w:r>
            <w:r/>
          </w:p>
          <w:p>
            <w:pPr>
              <w:ind w:left="0" w:right="0" w:firstLine="0"/>
              <w:jc w:val="left"/>
              <w:spacing w:line="240" w:lineRule="auto"/>
              <w:widowControl w:val="off"/>
              <w:rPr>
                <w:rFonts w:hint="eastAsia" w:ascii="仿宋" w:hAnsi="Calibri" w:eastAsia="宋体" w:cs="Times New Roman"/>
                <w:color w:val="auto"/>
                <w:sz w:val="21"/>
                <w:szCs w:val="24"/>
                <w:highlight w:val="none"/>
                <w:lang w:eastAsia="zh-CN"/>
              </w:rPr>
            </w:pPr>
            <w:r>
              <w:rPr>
                <w:rFonts w:hint="eastAsia" w:ascii="仿宋" w:hAnsi="Calibri" w:eastAsia="宋体" w:cs="Times New Roman"/>
                <w:color w:val="auto"/>
                <w:sz w:val="21"/>
                <w:szCs w:val="24"/>
                <w:highlight w:val="none"/>
                <w:lang w:eastAsia="zh-CN"/>
              </w:rPr>
              <w:t xml:space="preserve">②短链氯化石蜡</w:t>
            </w:r>
            <w:r/>
          </w:p>
          <w:p>
            <w:pPr>
              <w:ind w:left="0" w:right="0" w:firstLine="0"/>
              <w:jc w:val="left"/>
              <w:spacing w:line="240" w:lineRule="auto"/>
              <w:widowControl w:val="off"/>
              <w:rPr>
                <w:rFonts w:hint="eastAsia" w:ascii="仿宋" w:hAnsi="Calibri" w:eastAsia="宋体" w:cs="Times New Roman"/>
                <w:color w:val="auto"/>
                <w:sz w:val="21"/>
                <w:szCs w:val="24"/>
                <w:highlight w:val="none"/>
                <w:lang w:eastAsia="zh-CN"/>
              </w:rPr>
            </w:pPr>
            <w:r>
              <w:rPr>
                <w:rFonts w:hint="eastAsia" w:ascii="仿宋" w:hAnsi="Calibri" w:eastAsia="宋体" w:cs="Times New Roman"/>
                <w:color w:val="auto"/>
                <w:sz w:val="21"/>
                <w:szCs w:val="24"/>
                <w:highlight w:val="none"/>
                <w:lang w:eastAsia="zh-CN"/>
              </w:rPr>
              <w:t xml:space="preserve">③游离甲苯二异氰酸酯(TDI)和游离六亚甲基二异氰酸酯(HDI)总和</w:t>
            </w:r>
            <w:r/>
          </w:p>
          <w:p>
            <w:pPr>
              <w:ind w:left="0" w:right="0" w:firstLine="0"/>
              <w:jc w:val="left"/>
              <w:spacing w:line="240" w:lineRule="auto"/>
              <w:widowControl w:val="off"/>
              <w:rPr>
                <w:rFonts w:hint="eastAsia" w:ascii="仿宋" w:hAnsi="Calibri" w:eastAsia="宋体" w:cs="Times New Roman"/>
                <w:color w:val="auto"/>
                <w:sz w:val="21"/>
                <w:szCs w:val="24"/>
                <w:highlight w:val="none"/>
                <w:lang w:eastAsia="zh-CN"/>
              </w:rPr>
            </w:pPr>
            <w:r>
              <w:rPr>
                <w:rFonts w:hint="eastAsia" w:ascii="仿宋" w:hAnsi="Calibri" w:eastAsia="宋体" w:cs="Times New Roman"/>
                <w:color w:val="auto"/>
                <w:sz w:val="21"/>
                <w:szCs w:val="24"/>
                <w:highlight w:val="none"/>
                <w:lang w:eastAsia="zh-CN"/>
              </w:rPr>
              <w:t xml:space="preserve">④挥发性有机物及苯系物:挥发性有机化合物(VOC)、苯、</w:t>
            </w:r>
            <w:r>
              <w:rPr>
                <w:rFonts w:hint="eastAsia" w:ascii="仿宋" w:hAnsi="Calibri" w:eastAsia="宋体" w:cs="Times New Roman"/>
                <w:color w:val="auto"/>
                <w:sz w:val="21"/>
                <w:szCs w:val="24"/>
                <w:highlight w:val="none"/>
                <w:lang w:val="en-US" w:eastAsia="zh-CN"/>
              </w:rPr>
              <w:t xml:space="preserve"> </w:t>
            </w:r>
            <w:r>
              <w:rPr>
                <w:rFonts w:hint="eastAsia" w:ascii="仿宋" w:hAnsi="Calibri" w:eastAsia="宋体" w:cs="Times New Roman"/>
                <w:color w:val="auto"/>
                <w:sz w:val="21"/>
                <w:szCs w:val="24"/>
                <w:highlight w:val="none"/>
                <w:lang w:eastAsia="zh-CN"/>
              </w:rPr>
              <w:t xml:space="preserve">甲苯、二甲苯</w:t>
            </w:r>
            <w:r>
              <w:rPr>
                <w:rFonts w:hint="eastAsia" w:ascii="仿宋" w:hAnsi="Calibri" w:eastAsia="宋体" w:cs="Times New Roman"/>
                <w:color w:val="auto"/>
                <w:sz w:val="21"/>
                <w:szCs w:val="24"/>
                <w:highlight w:val="none"/>
                <w:lang w:val="en-US" w:eastAsia="zh-CN"/>
              </w:rPr>
              <w:t xml:space="preserve">和</w:t>
            </w:r>
            <w:r>
              <w:rPr>
                <w:rFonts w:hint="eastAsia" w:ascii="仿宋" w:hAnsi="Calibri" w:eastAsia="宋体" w:cs="Times New Roman"/>
                <w:color w:val="auto"/>
                <w:sz w:val="21"/>
                <w:szCs w:val="24"/>
                <w:highlight w:val="none"/>
                <w:lang w:eastAsia="zh-CN"/>
              </w:rPr>
              <w:t xml:space="preserve">乙苯总和</w:t>
            </w:r>
            <w:r>
              <w:rPr>
                <w:rFonts w:hint="eastAsia" w:ascii="仿宋" w:hAnsi="Calibri" w:eastAsia="宋体" w:cs="Times New Roman"/>
                <w:color w:val="auto"/>
                <w:sz w:val="21"/>
                <w:szCs w:val="24"/>
                <w:highlight w:val="none"/>
                <w:lang w:val="en-US" w:eastAsia="zh-CN"/>
              </w:rPr>
              <w:t xml:space="preserve"> </w:t>
            </w:r>
            <w:r>
              <w:rPr>
                <w:rFonts w:hint="eastAsia" w:ascii="仿宋" w:hAnsi="Calibri" w:eastAsia="宋体" w:cs="Times New Roman"/>
                <w:color w:val="auto"/>
                <w:sz w:val="21"/>
                <w:szCs w:val="24"/>
                <w:highlight w:val="none"/>
                <w:lang w:eastAsia="zh-CN"/>
              </w:rPr>
              <w:t xml:space="preserve">、游离</w:t>
            </w:r>
            <w:r/>
          </w:p>
          <w:p>
            <w:pPr>
              <w:ind w:left="0" w:right="0" w:firstLine="0"/>
              <w:jc w:val="left"/>
              <w:spacing w:line="240" w:lineRule="auto"/>
              <w:widowControl w:val="off"/>
              <w:rPr>
                <w:rFonts w:hint="eastAsia" w:ascii="仿宋" w:hAnsi="Calibri" w:eastAsia="宋体" w:cs="Times New Roman"/>
                <w:color w:val="auto"/>
                <w:sz w:val="21"/>
                <w:szCs w:val="24"/>
                <w:highlight w:val="none"/>
                <w:lang w:eastAsia="zh-CN"/>
              </w:rPr>
            </w:pPr>
            <w:r>
              <w:rPr>
                <w:rFonts w:hint="eastAsia" w:ascii="仿宋" w:hAnsi="Calibri" w:eastAsia="宋体" w:cs="Times New Roman"/>
                <w:color w:val="auto"/>
                <w:sz w:val="21"/>
                <w:szCs w:val="24"/>
                <w:highlight w:val="none"/>
                <w:lang w:eastAsia="zh-CN"/>
              </w:rPr>
              <w:t xml:space="preserve">甲醛</w:t>
            </w:r>
            <w:r/>
          </w:p>
          <w:p>
            <w:pPr>
              <w:ind w:left="0" w:right="0" w:firstLine="0"/>
              <w:jc w:val="left"/>
              <w:spacing w:line="240" w:lineRule="auto"/>
              <w:widowControl w:val="off"/>
              <w:rPr>
                <w:rFonts w:hint="eastAsia" w:ascii="仿宋" w:hAnsi="Calibri" w:eastAsia="宋体" w:cs="Times New Roman"/>
                <w:color w:val="auto"/>
                <w:sz w:val="21"/>
                <w:szCs w:val="24"/>
                <w:highlight w:val="none"/>
                <w:lang w:eastAsia="zh-CN"/>
              </w:rPr>
            </w:pPr>
            <w:r>
              <w:rPr>
                <w:rFonts w:hint="eastAsia" w:ascii="仿宋" w:hAnsi="Calibri" w:eastAsia="宋体" w:cs="Times New Roman"/>
                <w:color w:val="auto"/>
                <w:sz w:val="21"/>
                <w:szCs w:val="24"/>
                <w:highlight w:val="none"/>
                <w:lang w:eastAsia="zh-CN"/>
              </w:rPr>
              <w:t xml:space="preserve">⑤可溶性重金属:可溶性铅、可溶性镉、可溶性铬、可溶性汞</w:t>
            </w:r>
            <w:r/>
          </w:p>
          <w:p>
            <w:pPr>
              <w:jc w:val="left"/>
              <w:keepNext w:val="0"/>
              <w:rPr>
                <w:rFonts w:hint="default" w:ascii="仿宋" w:hAnsi="宋体" w:eastAsia="宋体" w:cs="宋体"/>
                <w:b/>
                <w:bCs/>
                <w:color w:val="auto"/>
                <w:sz w:val="21"/>
                <w:szCs w:val="21"/>
                <w:highlight w:val="none"/>
                <w:lang w:val="en-US" w:eastAsia="zh-CN"/>
              </w:rPr>
            </w:pPr>
            <w:r>
              <w:rPr>
                <w:rFonts w:hint="eastAsia" w:ascii="仿宋" w:hAnsi="Calibri" w:eastAsia="宋体" w:cs="Times New Roman"/>
                <w:b/>
                <w:bCs/>
                <w:color w:val="auto"/>
                <w:sz w:val="21"/>
                <w:szCs w:val="24"/>
                <w:highlight w:val="none"/>
                <w:lang w:eastAsia="zh-CN"/>
              </w:rPr>
              <w:t xml:space="preserve">上述5大类所有指标检测结果均为“未检出”</w:t>
            </w:r>
            <w:r/>
          </w:p>
          <w:p>
            <w:pPr>
              <w:pStyle w:val="1161"/>
              <w:ind w:left="0" w:right="0" w:firstLine="0"/>
              <w:jc w:val="left"/>
              <w:keepNext w:val="0"/>
              <w:spacing w:line="240" w:lineRule="auto"/>
              <w:rPr>
                <w:rFonts w:ascii="仿宋" w:hAnsi="宋体" w:eastAsia="宋体" w:cs="宋体"/>
                <w:color w:val="auto"/>
                <w:sz w:val="21"/>
                <w:highlight w:val="none"/>
              </w:rPr>
            </w:pPr>
            <w:r>
              <w:rPr>
                <w:rFonts w:hint="eastAsia" w:ascii="仿宋" w:hAnsi="宋体" w:eastAsia="宋体" w:cs="宋体"/>
                <w:b/>
                <w:bCs/>
                <w:color w:val="auto"/>
                <w:sz w:val="21"/>
                <w:szCs w:val="21"/>
                <w:highlight w:val="none"/>
                <w:lang w:eastAsia="zh-CN"/>
              </w:rPr>
              <w:t xml:space="preserve">满足以上要求的得</w:t>
            </w:r>
            <w:r>
              <w:rPr>
                <w:rFonts w:hint="eastAsia" w:ascii="仿宋" w:hAnsi="宋体" w:eastAsia="宋体" w:cs="宋体"/>
                <w:b/>
                <w:bCs/>
                <w:color w:val="auto"/>
                <w:sz w:val="21"/>
                <w:szCs w:val="21"/>
                <w:highlight w:val="none"/>
                <w:lang w:val="en-US" w:eastAsia="zh-CN"/>
              </w:rPr>
              <w:t xml:space="preserve">2</w:t>
            </w:r>
            <w:r>
              <w:rPr>
                <w:rFonts w:hint="eastAsia" w:ascii="仿宋" w:hAnsi="宋体" w:eastAsia="宋体" w:cs="宋体"/>
                <w:b/>
                <w:bCs/>
                <w:color w:val="auto"/>
                <w:sz w:val="21"/>
                <w:szCs w:val="21"/>
                <w:highlight w:val="none"/>
                <w:lang w:eastAsia="zh-CN"/>
              </w:rPr>
              <w:t xml:space="preserve">分</w:t>
            </w:r>
            <w:r>
              <w:rPr>
                <w:rFonts w:hint="eastAsia" w:ascii="仿宋" w:hAnsi="宋体" w:eastAsia="宋体" w:cs="宋体"/>
                <w:b/>
                <w:bCs/>
                <w:color w:val="auto"/>
                <w:sz w:val="21"/>
                <w:szCs w:val="21"/>
                <w:highlight w:val="none"/>
                <w:lang w:eastAsia="zh-CN"/>
              </w:rPr>
              <w:t xml:space="preserve">，</w:t>
            </w:r>
            <w:r>
              <w:rPr>
                <w:rFonts w:hint="eastAsia" w:ascii="仿宋" w:hAnsi="宋体" w:eastAsia="宋体" w:cs="宋体"/>
                <w:b/>
                <w:bCs/>
                <w:color w:val="auto"/>
                <w:sz w:val="21"/>
                <w:szCs w:val="21"/>
                <w:highlight w:val="none"/>
                <w:lang w:val="en-US" w:eastAsia="zh-CN"/>
              </w:rPr>
              <w:t xml:space="preserve">不满足则不得分。</w:t>
            </w:r>
            <w:r/>
          </w:p>
        </w:tc>
      </w:tr>
      <w:tr>
        <w:trPr>
          <w:jc w:val="center"/>
          <w:trHeight w:val="0"/>
        </w:trPr>
        <w:tc>
          <w:tcPr>
            <w:tcBorders>
              <w:top w:val="single" w:color="000000" w:sz="4" w:space="0"/>
              <w:left w:val="single" w:color="000000" w:sz="4" w:space="0"/>
              <w:right w:val="single" w:color="000000" w:sz="4" w:space="0"/>
            </w:tcBorders>
            <w:tcW w:w="934" w:type="dxa"/>
            <w:vAlign w:val="center"/>
            <w:vMerge w:val="restart"/>
            <w:textDirection w:val="lrTb"/>
            <w:noWrap w:val="false"/>
          </w:tcPr>
          <w:p>
            <w:pPr>
              <w:pStyle w:val="1099"/>
              <w:ind w:left="0" w:right="0" w:firstLine="0"/>
              <w:jc w:val="center"/>
              <w:keepLines w:val="0"/>
              <w:keepNext w:val="0"/>
              <w:spacing w:line="240" w:lineRule="auto"/>
              <w:widowControl w:val="off"/>
              <w:tabs>
                <w:tab w:val="left" w:pos="240" w:leader="none"/>
              </w:tabs>
              <w:rPr>
                <w:rFonts w:hint="default" w:ascii="仿宋" w:hAnsi="宋体" w:eastAsia="宋体" w:cs="宋体"/>
                <w:color w:val="auto"/>
                <w:sz w:val="21"/>
                <w:szCs w:val="24"/>
                <w:highlight w:val="none"/>
                <w:lang w:val="en-US" w:eastAsia="zh-CN"/>
              </w:rPr>
            </w:pPr>
            <w:r>
              <w:rPr>
                <w:rFonts w:hint="eastAsia" w:ascii="仿宋" w:hAnsi="宋体" w:eastAsia="宋体" w:cs="宋体"/>
                <w:color w:val="auto"/>
                <w:sz w:val="21"/>
                <w:szCs w:val="24"/>
                <w:highlight w:val="none"/>
                <w:lang w:val="en-US" w:eastAsia="zh-CN"/>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ind w:left="0" w:right="0" w:firstLine="0"/>
              <w:jc w:val="left"/>
              <w:keepNext w:val="0"/>
              <w:spacing w:line="240" w:lineRule="auto"/>
              <w:widowControl w:val="off"/>
              <w:rPr>
                <w:rFonts w:hint="eastAsia" w:ascii="仿宋" w:hAnsi="宋体" w:eastAsia="宋体" w:cs="宋体"/>
                <w:color w:val="auto"/>
                <w:sz w:val="21"/>
                <w:szCs w:val="21"/>
                <w:highlight w:val="none"/>
                <w:lang w:val="en-US" w:eastAsia="zh-CN" w:bidi="ar-SA"/>
              </w:rPr>
            </w:pPr>
            <w:r>
              <w:rPr>
                <w:rFonts w:hint="eastAsia" w:ascii="仿宋" w:hAnsi="仿宋" w:eastAsia="宋体" w:cs="仿宋"/>
                <w:color w:val="auto"/>
                <w:sz w:val="21"/>
                <w:highlight w:val="none"/>
                <w:lang w:val="en-US" w:eastAsia="zh-CN"/>
              </w:rPr>
              <w:t xml:space="preserve">塑胶跑道材料中“苯”含量连续检测，</w:t>
            </w:r>
            <w:r>
              <w:rPr>
                <w:rFonts w:hint="eastAsia" w:ascii="仿宋" w:hAnsi="仿宋" w:eastAsia="宋体" w:cs="仿宋"/>
                <w:color w:val="auto"/>
                <w:sz w:val="21"/>
                <w:szCs w:val="21"/>
                <w:highlight w:val="none"/>
                <w:lang w:val="en-US" w:eastAsia="zh-CN"/>
              </w:rPr>
              <w:t xml:space="preserve">依据</w:t>
            </w:r>
            <w:r>
              <w:rPr>
                <w:rFonts w:hint="eastAsia" w:ascii="仿宋" w:hAnsi="仿宋" w:eastAsia="宋体" w:cs="仿宋"/>
                <w:color w:val="auto"/>
                <w:sz w:val="21"/>
                <w:szCs w:val="21"/>
                <w:highlight w:val="none"/>
                <w:lang w:eastAsia="zh-CN"/>
              </w:rPr>
              <w:t xml:space="preserve">标准：</w:t>
            </w:r>
            <w:r>
              <w:rPr>
                <w:rFonts w:hint="eastAsia" w:ascii="仿宋" w:hAnsi="仿宋" w:eastAsia="宋体" w:cs="仿宋"/>
                <w:b w:val="0"/>
                <w:bCs w:val="0"/>
                <w:color w:val="auto"/>
                <w:sz w:val="21"/>
                <w:szCs w:val="21"/>
                <w:highlight w:val="none"/>
                <w:lang w:eastAsia="zh-CN" w:bidi="ar-SA"/>
              </w:rPr>
              <w:t xml:space="preserve">GB 36246-2018</w:t>
            </w:r>
            <w:r/>
          </w:p>
        </w:tc>
      </w:tr>
      <w:tr>
        <w:trPr>
          <w:jc w:val="center"/>
          <w:trHeight w:val="0"/>
        </w:trPr>
        <w:tc>
          <w:tcPr>
            <w:tcBorders>
              <w:left w:val="single" w:color="000000" w:sz="4" w:space="0"/>
              <w:right w:val="single" w:color="000000" w:sz="4" w:space="0"/>
            </w:tcBorders>
            <w:tcW w:w="934" w:type="dxa"/>
            <w:vAlign w:val="center"/>
            <w:vMerge w:val="continue"/>
            <w:textDirection w:val="lrTb"/>
            <w:noWrap w:val="false"/>
          </w:tcPr>
          <w:p>
            <w:pPr>
              <w:pStyle w:val="1099"/>
              <w:ind w:left="0" w:right="0" w:firstLine="0"/>
              <w:jc w:val="center"/>
              <w:keepLines w:val="0"/>
              <w:keepNext w:val="0"/>
              <w:spacing w:line="240" w:lineRule="auto"/>
              <w:widowControl w:val="off"/>
              <w:tabs>
                <w:tab w:val="left" w:pos="240" w:leader="none"/>
              </w:tabs>
              <w:rPr>
                <w:rFonts w:ascii="仿宋" w:hAnsi="宋体" w:eastAsia="宋体" w:cs="宋体"/>
                <w:color w:val="auto"/>
                <w:sz w:val="21"/>
                <w:szCs w:val="24"/>
                <w:highlight w:val="none"/>
                <w:lang w:eastAsia="zh-CN"/>
              </w:rPr>
            </w:pPr>
            <w:r>
              <w:rPr>
                <w:rFonts w:ascii="仿宋" w:hAnsi="宋体" w:eastAsia="宋体" w:cs="宋体"/>
                <w:color w:val="auto"/>
                <w:sz w:val="21"/>
                <w:szCs w:val="24"/>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pStyle w:val="1161"/>
              <w:ind w:left="0" w:right="0" w:firstLine="0"/>
              <w:jc w:val="left"/>
              <w:keepNext w:val="0"/>
              <w:spacing w:line="240" w:lineRule="auto"/>
              <w:rPr>
                <w:rFonts w:hint="eastAsia" w:ascii="仿宋" w:hAnsi="宋体" w:eastAsia="宋体" w:cs="宋体"/>
                <w:b/>
                <w:bCs/>
                <w:color w:val="auto"/>
                <w:sz w:val="21"/>
                <w:szCs w:val="21"/>
                <w:highlight w:val="none"/>
                <w:lang w:val="en-US" w:eastAsia="zh-CN" w:bidi="ar-SA"/>
              </w:rPr>
            </w:pPr>
            <w:r>
              <w:rPr>
                <w:rFonts w:hint="eastAsia" w:ascii="仿宋" w:hAnsi="仿宋" w:eastAsia="宋体" w:cs="仿宋"/>
                <w:color w:val="auto"/>
                <w:sz w:val="21"/>
                <w:highlight w:val="none"/>
                <w:lang w:val="en-US" w:eastAsia="zh-CN"/>
              </w:rPr>
              <w:t xml:space="preserve">对有害物质含量中"苯"释放量连续监测五个月，检测结果均为"未检出"，并提供连续检测报告。</w:t>
            </w:r>
            <w:r/>
          </w:p>
          <w:p>
            <w:pPr>
              <w:pStyle w:val="1161"/>
              <w:ind w:left="0" w:right="0" w:firstLine="0"/>
              <w:jc w:val="left"/>
              <w:keepNext w:val="0"/>
              <w:spacing w:line="240" w:lineRule="auto"/>
              <w:rPr>
                <w:rFonts w:hint="eastAsia" w:ascii="仿宋" w:hAnsi="宋体" w:eastAsia="宋体" w:cs="宋体"/>
                <w:color w:val="auto"/>
                <w:sz w:val="21"/>
                <w:szCs w:val="21"/>
                <w:highlight w:val="none"/>
                <w:lang w:eastAsia="zh-CN"/>
              </w:rPr>
            </w:pPr>
            <w:r>
              <w:rPr>
                <w:rFonts w:hint="eastAsia" w:ascii="仿宋" w:hAnsi="宋体" w:eastAsia="宋体" w:cs="宋体"/>
                <w:b/>
                <w:bCs/>
                <w:color w:val="auto"/>
                <w:sz w:val="21"/>
                <w:szCs w:val="21"/>
                <w:highlight w:val="none"/>
                <w:lang w:val="en-US" w:eastAsia="zh-CN" w:bidi="ar-SA"/>
              </w:rPr>
              <w:t xml:space="preserve">满足以上要求的得2分，</w:t>
            </w:r>
            <w:r>
              <w:rPr>
                <w:rFonts w:hint="eastAsia" w:ascii="仿宋" w:hAnsi="宋体" w:eastAsia="宋体" w:cs="宋体"/>
                <w:b/>
                <w:bCs/>
                <w:color w:val="auto"/>
                <w:sz w:val="21"/>
                <w:szCs w:val="21"/>
                <w:highlight w:val="none"/>
                <w:lang w:val="en-US" w:eastAsia="zh-CN"/>
              </w:rPr>
              <w:t xml:space="preserve">不满足则不得分。</w:t>
            </w:r>
            <w:r/>
          </w:p>
        </w:tc>
      </w:tr>
      <w:tr>
        <w:trPr>
          <w:jc w:val="center"/>
          <w:trHeight w:val="0"/>
        </w:trPr>
        <w:tc>
          <w:tcPr>
            <w:tcBorders>
              <w:left w:val="single" w:color="000000" w:sz="4" w:space="0"/>
              <w:right w:val="single" w:color="000000" w:sz="4" w:space="0"/>
            </w:tcBorders>
            <w:tcW w:w="934" w:type="dxa"/>
            <w:vAlign w:val="center"/>
            <w:vMerge w:val="restart"/>
            <w:textDirection w:val="lrTb"/>
            <w:noWrap w:val="false"/>
          </w:tcPr>
          <w:p>
            <w:pPr>
              <w:pStyle w:val="1099"/>
              <w:ind w:left="0" w:right="0" w:firstLine="0"/>
              <w:jc w:val="center"/>
              <w:keepLines w:val="0"/>
              <w:keepNext w:val="0"/>
              <w:spacing w:line="240" w:lineRule="auto"/>
              <w:widowControl w:val="off"/>
              <w:tabs>
                <w:tab w:val="left" w:pos="240" w:leader="none"/>
              </w:tabs>
              <w:rPr>
                <w:rFonts w:hint="default" w:ascii="仿宋" w:hAnsi="宋体" w:eastAsia="宋体" w:cs="宋体"/>
                <w:color w:val="auto"/>
                <w:sz w:val="21"/>
                <w:szCs w:val="24"/>
                <w:highlight w:val="none"/>
                <w:lang w:val="en-US" w:eastAsia="zh-CN"/>
              </w:rPr>
            </w:pPr>
            <w:r>
              <w:rPr>
                <w:rFonts w:hint="eastAsia" w:ascii="仿宋" w:hAnsi="宋体" w:eastAsia="宋体" w:cs="宋体"/>
                <w:color w:val="auto"/>
                <w:sz w:val="21"/>
                <w:szCs w:val="24"/>
                <w:highlight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9532" w:type="dxa"/>
            <w:vAlign w:val="top"/>
            <w:textDirection w:val="lrTb"/>
            <w:noWrap w:val="false"/>
          </w:tcPr>
          <w:p>
            <w:pPr>
              <w:ind w:firstLine="50"/>
              <w:jc w:val="both"/>
              <w:keepNext w:val="0"/>
              <w:rPr>
                <w:rFonts w:hint="eastAsia" w:ascii="仿宋" w:hAnsi="宋体" w:eastAsia="宋体" w:cs="宋体"/>
                <w:b/>
                <w:bCs/>
                <w:color w:val="auto"/>
                <w:sz w:val="21"/>
                <w:szCs w:val="21"/>
                <w:highlight w:val="none"/>
                <w:lang w:val="en-US" w:eastAsia="zh-CN" w:bidi="ar-SA"/>
              </w:rPr>
            </w:pPr>
            <w:r>
              <w:rPr>
                <w:rFonts w:hint="eastAsia" w:ascii="仿宋" w:hAnsi="仿宋" w:cs="仿宋"/>
                <w:color w:val="auto"/>
                <w:sz w:val="21"/>
                <w:highlight w:val="none"/>
                <w:lang w:eastAsia="zh-CN"/>
              </w:rPr>
              <w:t xml:space="preserve">塑胶跑道耐践踏性能检测，依据标准：GB36246-2018、GB/T 43565-2023</w:t>
            </w:r>
            <w:r/>
          </w:p>
        </w:tc>
      </w:tr>
      <w:tr>
        <w:trPr>
          <w:jc w:val="center"/>
          <w:trHeight w:val="0"/>
        </w:trPr>
        <w:tc>
          <w:tcPr>
            <w:tcBorders>
              <w:left w:val="single" w:color="000000" w:sz="4" w:space="0"/>
              <w:right w:val="single" w:color="000000" w:sz="4" w:space="0"/>
            </w:tcBorders>
            <w:tcW w:w="934" w:type="dxa"/>
            <w:vAlign w:val="center"/>
            <w:vMerge w:val="continue"/>
            <w:textDirection w:val="lrTb"/>
            <w:noWrap w:val="false"/>
          </w:tcPr>
          <w:p>
            <w:pPr>
              <w:pStyle w:val="1161"/>
              <w:ind w:left="0" w:right="0" w:firstLine="0"/>
              <w:jc w:val="center"/>
              <w:keepNext w:val="0"/>
              <w:spacing w:line="240" w:lineRule="auto"/>
              <w:rPr>
                <w:rFonts w:ascii="仿宋" w:eastAsia="宋体"/>
                <w:color w:val="auto"/>
                <w:sz w:val="21"/>
                <w:highlight w:val="none"/>
              </w:rPr>
            </w:pPr>
            <w:r>
              <w:rPr>
                <w:rFonts w:ascii="仿宋" w:eastAsia="宋体"/>
                <w:color w:val="auto"/>
                <w:sz w:val="21"/>
                <w:highlight w:val="none"/>
              </w:rPr>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pStyle w:val="1161"/>
              <w:ind w:left="0" w:right="0" w:firstLine="0"/>
              <w:jc w:val="left"/>
              <w:keepNext w:val="0"/>
              <w:spacing w:line="240" w:lineRule="auto"/>
              <w:rPr>
                <w:rFonts w:hint="eastAsia" w:ascii="仿宋" w:eastAsia="宋体" w:cs="仿宋"/>
                <w:color w:val="auto"/>
                <w:sz w:val="21"/>
                <w:highlight w:val="none"/>
                <w:lang w:val="en-US" w:eastAsia="zh-CN"/>
              </w:rPr>
            </w:pPr>
            <w:r>
              <w:rPr>
                <w:rFonts w:hint="eastAsia" w:ascii="仿宋" w:eastAsia="宋体" w:cs="仿宋"/>
                <w:color w:val="auto"/>
                <w:sz w:val="21"/>
                <w:highlight w:val="none"/>
                <w:lang w:val="en-US" w:eastAsia="zh-CN"/>
              </w:rPr>
              <w:t xml:space="preserve">塑胶跑道湿热老化336h后经鞋钉践踏（2400转）后，拉伸强度≥0.50MPa，拉断伸长率≥50</w:t>
            </w:r>
            <w:r>
              <w:rPr>
                <w:rFonts w:hint="eastAsia" w:ascii="仿宋" w:cs="仿宋"/>
                <w:color w:val="auto"/>
                <w:sz w:val="21"/>
                <w:highlight w:val="none"/>
                <w:lang w:val="en-US" w:eastAsia="zh-CN"/>
              </w:rPr>
              <w:t xml:space="preserve">。</w:t>
            </w:r>
            <w:r/>
          </w:p>
          <w:p>
            <w:pPr>
              <w:pStyle w:val="1161"/>
              <w:ind w:left="0" w:right="0" w:firstLine="0"/>
              <w:jc w:val="left"/>
              <w:keepNext w:val="0"/>
              <w:spacing w:line="240" w:lineRule="auto"/>
              <w:rPr>
                <w:rFonts w:hint="eastAsia" w:ascii="仿宋" w:eastAsia="宋体" w:cs="仿宋"/>
                <w:color w:val="auto"/>
                <w:sz w:val="21"/>
                <w:highlight w:val="none"/>
                <w:lang w:val="en-US" w:eastAsia="zh-CN"/>
              </w:rPr>
            </w:pPr>
            <w:r>
              <w:rPr>
                <w:rFonts w:hint="eastAsia" w:ascii="仿宋" w:hAnsi="宋体" w:eastAsia="宋体" w:cs="宋体"/>
                <w:b/>
                <w:bCs/>
                <w:color w:val="auto"/>
                <w:sz w:val="21"/>
                <w:szCs w:val="21"/>
                <w:highlight w:val="none"/>
                <w:lang w:val="en-US" w:eastAsia="zh-CN" w:bidi="ar-SA"/>
              </w:rPr>
              <w:t xml:space="preserve">满足以上要求的得2分，</w:t>
            </w:r>
            <w:r>
              <w:rPr>
                <w:rFonts w:hint="eastAsia" w:ascii="仿宋" w:hAnsi="宋体" w:eastAsia="宋体" w:cs="宋体"/>
                <w:b/>
                <w:bCs/>
                <w:color w:val="auto"/>
                <w:sz w:val="21"/>
                <w:szCs w:val="21"/>
                <w:highlight w:val="none"/>
                <w:lang w:val="en-US" w:eastAsia="zh-CN"/>
              </w:rPr>
              <w:t xml:space="preserve">不满足则不得分。</w:t>
            </w:r>
            <w:r/>
          </w:p>
        </w:tc>
      </w:tr>
      <w:tr>
        <w:trPr>
          <w:jc w:val="center"/>
          <w:trHeight w:val="373"/>
        </w:trPr>
        <w:tc>
          <w:tcPr>
            <w:tcBorders>
              <w:left w:val="single" w:color="000000" w:sz="4" w:space="0"/>
              <w:right w:val="single" w:color="000000" w:sz="4" w:space="0"/>
            </w:tcBorders>
            <w:tcW w:w="934" w:type="dxa"/>
            <w:vAlign w:val="center"/>
            <w:vMerge w:val="restart"/>
            <w:textDirection w:val="lrTb"/>
            <w:noWrap w:val="false"/>
          </w:tcPr>
          <w:p>
            <w:pPr>
              <w:pStyle w:val="1099"/>
              <w:ind w:left="0" w:right="0" w:firstLine="0"/>
              <w:jc w:val="center"/>
              <w:keepLines w:val="0"/>
              <w:keepNext w:val="0"/>
              <w:spacing w:line="240" w:lineRule="auto"/>
              <w:widowControl w:val="off"/>
              <w:tabs>
                <w:tab w:val="left" w:pos="240" w:leader="none"/>
              </w:tabs>
              <w:rPr>
                <w:rFonts w:hint="default" w:ascii="仿宋" w:hAnsi="宋体" w:eastAsia="宋体" w:cs="宋体"/>
                <w:color w:val="auto"/>
                <w:sz w:val="21"/>
                <w:szCs w:val="24"/>
                <w:highlight w:val="none"/>
                <w:lang w:val="en-US" w:eastAsia="zh-CN"/>
              </w:rPr>
            </w:pPr>
            <w:r>
              <w:rPr>
                <w:rFonts w:hint="eastAsia" w:ascii="仿宋" w:hAnsi="宋体" w:eastAsia="宋体" w:cs="宋体"/>
                <w:color w:val="auto"/>
                <w:sz w:val="21"/>
                <w:szCs w:val="24"/>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ind w:firstLine="0"/>
              <w:jc w:val="left"/>
              <w:keepNext w:val="0"/>
              <w:rPr>
                <w:rFonts w:hint="eastAsia" w:ascii="仿宋" w:hAnsi="宋体" w:eastAsia="宋体" w:cs="宋体"/>
                <w:b/>
                <w:bCs/>
                <w:color w:val="auto"/>
                <w:sz w:val="21"/>
                <w:szCs w:val="21"/>
                <w:highlight w:val="none"/>
                <w:lang w:val="en-US" w:eastAsia="zh-CN" w:bidi="ar-SA"/>
              </w:rPr>
            </w:pPr>
            <w:r>
              <w:rPr>
                <w:rFonts w:hint="eastAsia" w:ascii="仿宋" w:hAnsi="仿宋" w:eastAsia="宋体" w:cs="仿宋"/>
                <w:color w:val="auto"/>
                <w:sz w:val="21"/>
                <w:highlight w:val="none"/>
                <w:lang w:val="en-US" w:eastAsia="zh-CN"/>
              </w:rPr>
              <w:t xml:space="preserve">塑胶跑道冲击衰减性能检测，依据标准：GB36246-2018、GB/T30228-2013</w:t>
            </w:r>
            <w:r/>
          </w:p>
        </w:tc>
      </w:tr>
      <w:tr>
        <w:trPr>
          <w:jc w:val="center"/>
          <w:trHeight w:val="0"/>
        </w:trPr>
        <w:tc>
          <w:tcPr>
            <w:tcBorders>
              <w:left w:val="single" w:color="000000" w:sz="4" w:space="0"/>
              <w:right w:val="single" w:color="000000" w:sz="4" w:space="0"/>
            </w:tcBorders>
            <w:tcW w:w="934" w:type="dxa"/>
            <w:vAlign w:val="center"/>
            <w:vMerge w:val="continue"/>
            <w:textDirection w:val="lrTb"/>
            <w:noWrap w:val="false"/>
          </w:tcPr>
          <w:p>
            <w:pPr>
              <w:pStyle w:val="1161"/>
              <w:ind w:left="0" w:right="0" w:firstLine="0"/>
              <w:jc w:val="center"/>
              <w:keepNext w:val="0"/>
              <w:spacing w:line="240" w:lineRule="auto"/>
              <w:rPr>
                <w:rFonts w:ascii="仿宋" w:eastAsia="宋体"/>
                <w:color w:val="auto"/>
                <w:sz w:val="21"/>
                <w:highlight w:val="none"/>
              </w:rPr>
            </w:pPr>
            <w:r>
              <w:rPr>
                <w:rFonts w:ascii="仿宋" w:eastAsia="宋体"/>
                <w:color w:val="auto"/>
                <w:sz w:val="21"/>
                <w:highlight w:val="none"/>
              </w:rPr>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pStyle w:val="1161"/>
              <w:ind w:firstLine="0"/>
              <w:jc w:val="left"/>
              <w:spacing w:line="240" w:lineRule="auto"/>
              <w:rPr>
                <w:rFonts w:hint="eastAsia" w:ascii="仿宋" w:hAnsi="Calibri" w:eastAsia="宋体" w:cs="仿宋"/>
                <w:color w:val="auto"/>
                <w:highlight w:val="none"/>
                <w:lang w:val="en-US" w:eastAsia="zh-CN"/>
              </w:rPr>
            </w:pPr>
            <w:r>
              <w:rPr>
                <w:rFonts w:hint="eastAsia" w:ascii="仿宋" w:hAnsi="Calibri" w:eastAsia="宋体" w:cs="仿宋"/>
                <w:color w:val="auto"/>
                <w:highlight w:val="none"/>
                <w:lang w:val="en-US" w:eastAsia="zh-CN"/>
              </w:rPr>
              <w:t xml:space="preserve">塑胶跑道经</w:t>
            </w:r>
            <w:r>
              <w:rPr>
                <w:rFonts w:hint="eastAsia" w:ascii="仿宋" w:eastAsia="宋体" w:cs="仿宋"/>
                <w:color w:val="auto"/>
                <w:sz w:val="21"/>
                <w:highlight w:val="none"/>
                <w:lang w:val="en-US" w:eastAsia="zh-CN"/>
              </w:rPr>
              <w:t xml:space="preserve">10</w:t>
            </w:r>
            <w:r>
              <w:rPr>
                <w:rFonts w:hint="eastAsia" w:ascii="仿宋" w:hAnsi="Calibri" w:eastAsia="宋体" w:cs="仿宋"/>
                <w:color w:val="auto"/>
                <w:highlight w:val="none"/>
                <w:lang w:val="en-US" w:eastAsia="zh-CN"/>
              </w:rPr>
              <w:t xml:space="preserve">00小时氙灯老化后，临界跌落高度（CFH）≥0.80m</w:t>
            </w:r>
            <w:r>
              <w:rPr>
                <w:rFonts w:hint="eastAsia" w:ascii="仿宋" w:cs="仿宋"/>
                <w:color w:val="auto"/>
                <w:highlight w:val="none"/>
                <w:lang w:val="en-US" w:eastAsia="zh-CN"/>
              </w:rPr>
              <w:t xml:space="preserve">。</w:t>
            </w:r>
            <w:r/>
          </w:p>
          <w:p>
            <w:pPr>
              <w:pStyle w:val="1161"/>
              <w:ind w:left="0" w:right="0" w:firstLine="0"/>
              <w:jc w:val="left"/>
              <w:keepNext w:val="0"/>
              <w:spacing w:line="240" w:lineRule="auto"/>
              <w:rPr>
                <w:rFonts w:hint="eastAsia" w:ascii="仿宋" w:hAnsi="宋体" w:eastAsia="宋体" w:cs="宋体"/>
                <w:b/>
                <w:bCs/>
                <w:color w:val="auto"/>
                <w:sz w:val="21"/>
                <w:szCs w:val="21"/>
                <w:highlight w:val="none"/>
                <w:lang w:val="en-US" w:eastAsia="zh-CN" w:bidi="ar-SA"/>
              </w:rPr>
            </w:pPr>
            <w:r>
              <w:rPr>
                <w:rFonts w:hint="eastAsia" w:ascii="仿宋" w:hAnsi="宋体" w:eastAsia="宋体" w:cs="宋体"/>
                <w:b/>
                <w:bCs/>
                <w:color w:val="auto"/>
                <w:sz w:val="21"/>
                <w:szCs w:val="21"/>
                <w:highlight w:val="none"/>
                <w:lang w:val="en-US" w:eastAsia="zh-CN" w:bidi="ar-SA"/>
              </w:rPr>
              <w:t xml:space="preserve">满足以上要求的得</w:t>
            </w:r>
            <w:r>
              <w:rPr>
                <w:rFonts w:hint="eastAsia" w:ascii="仿宋" w:hAnsi="宋体" w:cs="宋体"/>
                <w:b/>
                <w:bCs/>
                <w:color w:val="auto"/>
                <w:sz w:val="21"/>
                <w:szCs w:val="21"/>
                <w:highlight w:val="none"/>
                <w:lang w:val="en-US" w:eastAsia="zh-CN" w:bidi="ar-SA"/>
              </w:rPr>
              <w:t xml:space="preserve">2</w:t>
            </w:r>
            <w:r>
              <w:rPr>
                <w:rFonts w:hint="eastAsia" w:ascii="仿宋" w:hAnsi="宋体" w:eastAsia="宋体" w:cs="宋体"/>
                <w:b/>
                <w:bCs/>
                <w:color w:val="auto"/>
                <w:sz w:val="21"/>
                <w:szCs w:val="21"/>
                <w:highlight w:val="none"/>
                <w:lang w:val="en-US" w:eastAsia="zh-CN" w:bidi="ar-SA"/>
              </w:rPr>
              <w:t xml:space="preserve">分，</w:t>
            </w:r>
            <w:r>
              <w:rPr>
                <w:rFonts w:hint="eastAsia" w:ascii="仿宋" w:hAnsi="宋体" w:cs="宋体"/>
                <w:b/>
                <w:bCs/>
                <w:color w:val="auto"/>
                <w:sz w:val="21"/>
                <w:szCs w:val="21"/>
                <w:highlight w:val="none"/>
                <w:lang w:val="en-US" w:eastAsia="zh-CN" w:bidi="ar-SA"/>
              </w:rPr>
              <w:t xml:space="preserve">不满足</w:t>
            </w:r>
            <w:r>
              <w:rPr>
                <w:rFonts w:hint="eastAsia" w:ascii="仿宋" w:hAnsi="宋体" w:eastAsia="宋体" w:cs="宋体"/>
                <w:b/>
                <w:bCs/>
                <w:color w:val="auto"/>
                <w:sz w:val="21"/>
                <w:szCs w:val="21"/>
                <w:highlight w:val="none"/>
                <w:lang w:val="en-US" w:eastAsia="zh-CN" w:bidi="ar-SA"/>
              </w:rPr>
              <w:t xml:space="preserve">则不得分。</w:t>
            </w:r>
            <w:r/>
          </w:p>
        </w:tc>
      </w:tr>
      <w:tr>
        <w:trPr>
          <w:jc w:val="center"/>
          <w:trHeight w:val="215"/>
        </w:trPr>
        <w:tc>
          <w:tcPr>
            <w:tcBorders>
              <w:left w:val="single" w:color="000000" w:sz="4" w:space="0"/>
              <w:right w:val="single" w:color="000000" w:sz="4" w:space="0"/>
            </w:tcBorders>
            <w:tcW w:w="934" w:type="dxa"/>
            <w:vAlign w:val="center"/>
            <w:vMerge w:val="restart"/>
            <w:textDirection w:val="lrTb"/>
            <w:noWrap w:val="false"/>
          </w:tcPr>
          <w:p>
            <w:pPr>
              <w:pStyle w:val="1099"/>
              <w:ind w:firstLine="0"/>
              <w:jc w:val="center"/>
              <w:spacing w:line="240" w:lineRule="auto"/>
              <w:widowControl w:val="off"/>
              <w:tabs>
                <w:tab w:val="left" w:pos="240" w:leader="none"/>
              </w:tabs>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pStyle w:val="1161"/>
              <w:ind w:left="0" w:right="0" w:firstLine="0"/>
              <w:jc w:val="left"/>
              <w:keepNext w:val="0"/>
              <w:spacing w:line="240" w:lineRule="auto"/>
              <w:rPr>
                <w:rFonts w:hint="eastAsia" w:ascii="宋体" w:hAnsi="宋体" w:eastAsia="宋体" w:cs="宋体"/>
                <w:b/>
                <w:bCs/>
                <w:color w:val="auto"/>
                <w:sz w:val="21"/>
                <w:szCs w:val="21"/>
                <w:highlight w:val="none"/>
                <w:lang w:val="en-US" w:eastAsia="zh-CN" w:bidi="ar-SA"/>
              </w:rPr>
            </w:pPr>
            <w:r>
              <w:rPr>
                <w:rFonts w:hint="eastAsia" w:ascii="仿宋" w:hAnsi="仿宋" w:cs="仿宋"/>
                <w:color w:val="auto"/>
                <w:szCs w:val="21"/>
                <w:highlight w:val="none"/>
              </w:rPr>
              <w:t xml:space="preserve">塑胶跑道</w:t>
            </w:r>
            <w:r>
              <w:rPr>
                <w:rFonts w:hint="eastAsia" w:ascii="仿宋" w:hAnsi="仿宋" w:cs="仿宋"/>
                <w:color w:val="auto"/>
                <w:szCs w:val="21"/>
                <w:highlight w:val="none"/>
                <w:lang w:val="en-US" w:eastAsia="zh-CN"/>
              </w:rPr>
              <w:t xml:space="preserve">耐侯性能检测，</w:t>
            </w:r>
            <w:r>
              <w:rPr>
                <w:rFonts w:hint="eastAsia" w:ascii="仿宋" w:hAnsi="仿宋" w:eastAsia="宋体" w:cs="仿宋"/>
                <w:color w:val="auto"/>
                <w:sz w:val="21"/>
                <w:highlight w:val="none"/>
                <w:lang w:val="en-US" w:eastAsia="zh-CN"/>
              </w:rPr>
              <w:t xml:space="preserve">依据标准：</w:t>
            </w:r>
            <w:r>
              <w:rPr>
                <w:rFonts w:hint="eastAsia" w:ascii="仿宋" w:hAnsi="仿宋" w:cs="仿宋"/>
                <w:color w:val="auto"/>
                <w:szCs w:val="21"/>
                <w:highlight w:val="none"/>
              </w:rPr>
              <w:t xml:space="preserve">GB/36246-2018、GB/T 14833-2020、GB/T 43564-2023</w:t>
            </w:r>
            <w:r/>
          </w:p>
        </w:tc>
      </w:tr>
      <w:tr>
        <w:trPr>
          <w:jc w:val="center"/>
          <w:trHeight w:val="215"/>
        </w:trPr>
        <w:tc>
          <w:tcPr>
            <w:tcBorders>
              <w:left w:val="single" w:color="000000" w:sz="4" w:space="0"/>
              <w:right w:val="single" w:color="000000" w:sz="4" w:space="0"/>
            </w:tcBorders>
            <w:tcW w:w="934" w:type="dxa"/>
            <w:vAlign w:val="center"/>
            <w:vMerge w:val="continue"/>
            <w:textDirection w:val="lrTb"/>
            <w:noWrap w:val="false"/>
          </w:tcPr>
          <w:p>
            <w:pPr>
              <w:pStyle w:val="1161"/>
              <w:ind w:left="0" w:right="0" w:firstLine="0"/>
              <w:jc w:val="center"/>
              <w:keepNext w:val="0"/>
              <w:spacing w:line="240" w:lineRule="auto"/>
              <w:rPr>
                <w:color w:val="auto"/>
                <w:highlight w:val="none"/>
              </w:rPr>
            </w:pPr>
            <w:r>
              <w:rPr>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9532" w:type="dxa"/>
            <w:vAlign w:val="center"/>
            <w:textDirection w:val="lrTb"/>
            <w:noWrap w:val="false"/>
          </w:tcPr>
          <w:p>
            <w:pPr>
              <w:pStyle w:val="1161"/>
              <w:ind w:left="0" w:right="0" w:firstLine="0"/>
              <w:jc w:val="left"/>
              <w:keepNext w:val="0"/>
              <w:spacing w:line="240" w:lineRule="auto"/>
              <w:rPr>
                <w:rFonts w:hint="eastAsia" w:ascii="仿宋" w:hAnsi="仿宋" w:cs="仿宋"/>
                <w:color w:val="auto"/>
                <w:szCs w:val="21"/>
                <w:highlight w:val="none"/>
              </w:rPr>
            </w:pPr>
            <w:r>
              <w:rPr>
                <w:rFonts w:hint="eastAsia" w:ascii="仿宋" w:hAnsi="仿宋" w:cs="仿宋"/>
                <w:color w:val="auto"/>
                <w:szCs w:val="21"/>
                <w:highlight w:val="none"/>
                <w:lang w:val="en-US" w:eastAsia="zh-CN"/>
              </w:rPr>
              <w:t xml:space="preserve">塑胶跑道</w:t>
            </w:r>
            <w:r>
              <w:rPr>
                <w:rFonts w:hint="eastAsia" w:ascii="仿宋" w:hAnsi="仿宋" w:cs="仿宋"/>
                <w:color w:val="auto"/>
                <w:szCs w:val="21"/>
                <w:highlight w:val="none"/>
              </w:rPr>
              <w:t xml:space="preserve">在23℃水中浸泡18h，置于-20℃低温3h，并立即置于高温50℃环境3h，按此循环10次后，进行湿热老化336h，拉伸强度≥1.0MPa</w:t>
            </w:r>
            <w:r>
              <w:rPr>
                <w:rFonts w:hint="eastAsia" w:ascii="仿宋" w:hAnsi="仿宋" w:cs="仿宋"/>
                <w:color w:val="auto"/>
                <w:szCs w:val="21"/>
                <w:highlight w:val="none"/>
                <w:lang w:eastAsia="zh-CN"/>
              </w:rPr>
              <w:t xml:space="preserve">，</w:t>
            </w:r>
            <w:r>
              <w:rPr>
                <w:rFonts w:hint="eastAsia" w:ascii="仿宋" w:hAnsi="仿宋" w:cs="仿宋"/>
                <w:color w:val="auto"/>
                <w:szCs w:val="21"/>
                <w:highlight w:val="none"/>
              </w:rPr>
              <w:t xml:space="preserve">拉断伸长率≥120%</w:t>
            </w:r>
            <w:r>
              <w:rPr>
                <w:rFonts w:hint="eastAsia" w:ascii="仿宋" w:hAnsi="仿宋" w:cs="仿宋"/>
                <w:color w:val="auto"/>
                <w:szCs w:val="21"/>
                <w:highlight w:val="none"/>
                <w:lang w:eastAsia="zh-CN"/>
              </w:rPr>
              <w:t xml:space="preserve">，</w:t>
            </w:r>
            <w:r>
              <w:rPr>
                <w:rFonts w:hint="eastAsia" w:ascii="仿宋" w:hAnsi="仿宋" w:cs="仿宋"/>
                <w:color w:val="auto"/>
                <w:szCs w:val="21"/>
                <w:highlight w:val="none"/>
              </w:rPr>
              <w:t xml:space="preserve">磨耗量≤1g</w:t>
            </w:r>
            <w:r>
              <w:rPr>
                <w:rFonts w:hint="eastAsia" w:ascii="仿宋" w:hAnsi="仿宋" w:cs="仿宋"/>
                <w:color w:val="auto"/>
                <w:szCs w:val="21"/>
                <w:highlight w:val="none"/>
                <w:lang w:eastAsia="zh-CN"/>
              </w:rPr>
              <w:t xml:space="preserve">。</w:t>
            </w:r>
            <w:r/>
          </w:p>
          <w:p>
            <w:pPr>
              <w:pStyle w:val="1161"/>
              <w:ind w:left="0" w:right="0" w:firstLine="0"/>
              <w:jc w:val="left"/>
              <w:keepNext w:val="0"/>
              <w:spacing w:line="240" w:lineRule="auto"/>
              <w:rPr>
                <w:rFonts w:hint="eastAsia" w:ascii="仿宋" w:hAnsi="仿宋" w:cs="仿宋"/>
                <w:color w:val="auto"/>
                <w:szCs w:val="21"/>
                <w:highlight w:val="none"/>
                <w:lang w:val="en-US" w:eastAsia="zh-CN"/>
              </w:rPr>
            </w:pPr>
            <w:r>
              <w:rPr>
                <w:rFonts w:hint="eastAsia" w:ascii="仿宋" w:hAnsi="宋体" w:eastAsia="宋体" w:cs="宋体"/>
                <w:b/>
                <w:bCs/>
                <w:color w:val="auto"/>
                <w:sz w:val="21"/>
                <w:szCs w:val="21"/>
                <w:highlight w:val="none"/>
                <w:lang w:val="en-US" w:eastAsia="zh-CN" w:bidi="ar-SA"/>
              </w:rPr>
              <w:t xml:space="preserve">满足以上要求的得</w:t>
            </w:r>
            <w:r>
              <w:rPr>
                <w:rFonts w:hint="eastAsia" w:ascii="仿宋" w:hAnsi="宋体" w:cs="宋体"/>
                <w:b/>
                <w:bCs/>
                <w:color w:val="auto"/>
                <w:sz w:val="21"/>
                <w:szCs w:val="21"/>
                <w:highlight w:val="none"/>
                <w:lang w:val="en-US" w:eastAsia="zh-CN" w:bidi="ar-SA"/>
              </w:rPr>
              <w:t xml:space="preserve">2</w:t>
            </w:r>
            <w:r>
              <w:rPr>
                <w:rFonts w:hint="eastAsia" w:ascii="仿宋" w:hAnsi="宋体" w:eastAsia="宋体" w:cs="宋体"/>
                <w:b/>
                <w:bCs/>
                <w:color w:val="auto"/>
                <w:sz w:val="21"/>
                <w:szCs w:val="21"/>
                <w:highlight w:val="none"/>
                <w:lang w:val="en-US" w:eastAsia="zh-CN" w:bidi="ar-SA"/>
              </w:rPr>
              <w:t xml:space="preserve">分，</w:t>
            </w:r>
            <w:r>
              <w:rPr>
                <w:rFonts w:hint="eastAsia" w:ascii="仿宋" w:hAnsi="宋体" w:eastAsia="宋体" w:cs="宋体"/>
                <w:b/>
                <w:bCs/>
                <w:color w:val="auto"/>
                <w:sz w:val="21"/>
                <w:szCs w:val="21"/>
                <w:highlight w:val="none"/>
                <w:lang w:val="en-US" w:eastAsia="zh-CN"/>
              </w:rPr>
              <w:t xml:space="preserve">不满足则不得分。</w:t>
            </w:r>
            <w:r/>
          </w:p>
        </w:tc>
      </w:tr>
    </w:tbl>
    <w:p>
      <w:pPr>
        <w:ind w:firstLine="480"/>
        <w:spacing w:line="440" w:lineRule="exact"/>
        <w:widowControl w:val="off"/>
        <w:rPr>
          <w:rFonts w:hint="eastAsia" w:ascii="宋体" w:hAnsi="宋体" w:cs="宋体"/>
          <w:b w:val="0"/>
          <w:bCs/>
          <w:color w:val="auto"/>
          <w:sz w:val="24"/>
          <w:szCs w:val="21"/>
          <w:highlight w:val="none"/>
          <w:lang w:eastAsia="zh-CN"/>
        </w:rPr>
      </w:pPr>
      <w:r>
        <w:rPr>
          <w:rFonts w:hint="eastAsia" w:ascii="宋体" w:hAnsi="宋体" w:cs="宋体"/>
          <w:b/>
          <w:bCs w:val="0"/>
          <w:color w:val="auto"/>
          <w:sz w:val="24"/>
          <w:szCs w:val="21"/>
          <w:highlight w:val="none"/>
          <w:lang w:val="en-US" w:eastAsia="zh-CN"/>
        </w:rPr>
        <w:t xml:space="preserve">注：</w:t>
      </w:r>
      <w:r>
        <w:rPr>
          <w:rFonts w:hint="eastAsia" w:ascii="宋体" w:hAnsi="宋体" w:cs="宋体"/>
          <w:b/>
          <w:bCs w:val="0"/>
          <w:color w:val="auto"/>
          <w:sz w:val="24"/>
          <w:szCs w:val="21"/>
          <w:highlight w:val="none"/>
          <w:lang w:eastAsia="zh-CN"/>
        </w:rPr>
        <w:t xml:space="preserve">投标文件中的检测报告材料必须清晰且完整含封底及封面，仅提供局部内容的检测报告视为无效，提供的检测报告上的检测项目名称与上述名称不同，但内容实际相同的视作等同。</w:t>
      </w:r>
      <w:r/>
    </w:p>
    <w:p>
      <w:pPr>
        <w:ind w:firstLine="0"/>
        <w:spacing w:line="440" w:lineRule="exact"/>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（三）技术方案（50分）</w:t>
      </w:r>
      <w:r/>
    </w:p>
    <w:p>
      <w:pPr>
        <w:ind w:firstLine="480"/>
        <w:spacing w:line="440" w:lineRule="exact"/>
        <w:widowControl w:val="off"/>
        <w:rPr>
          <w:rFonts w:ascii="宋体" w:hAnsi="宋体" w:cs="宋体"/>
          <w:color w:val="auto"/>
          <w:highlight w:val="none"/>
          <w:lang w:eastAsia="zh-CN"/>
        </w:rPr>
      </w:pPr>
      <w:r/>
      <w:bookmarkStart w:id="36" w:name="OLE_LINK30"/>
      <w:r>
        <w:rPr>
          <w:rFonts w:hint="eastAsia" w:ascii="宋体" w:hAnsi="宋体" w:cs="宋体"/>
          <w:color w:val="auto"/>
          <w:highlight w:val="none"/>
          <w:lang w:eastAsia="zh-CN"/>
        </w:rPr>
        <w:t xml:space="preserve">1.项目实施方案（15分）：①前期对接、交货方案：至少包括前期样品确认、项目实施进度方案；②产品生产质量控制措施；③生产工艺及质量标准；④供货组织及运输安排；⑤应急方案。</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3分；内容存在1处瑕疵的该条得2分；内容存在2处瑕疵的该条得1分，未提供方案或不满足项目需求书要求或内容存在3处及以上瑕疵的该条得0分。本项满分15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2.安装、调试（10分）：①进场准备及进度控制措施；②机械设备、材料投入计划及安装人员组织方案；③产品安装与调试及技术支撑方案；④安全文明安装及环境保护措施；⑤质量保证措施。</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2分；内容存在1处瑕疵的该条得1分；未提供方案或不满足项目需求书要求或内容存在2处及以上瑕疵的该条得0分。本项满分10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3.质量管理方案及保障措施（15分）：①产品质量保障方案及措施；②质量控制的方法、工具与重点；③本项目主要技术岗位人员框架与安排；④生产现场管理质量保障措施；⑤原材料采购及保障方案。</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3分；内容存在1处瑕疵的该条得2分；内容存在2处瑕疵的该条得1分；未提供方案或不满足项目需求书要求或内容存在3处及以上瑕疵的该条得0分。本项满分15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4.售后服务管理及措施（10分）：①售后服务承诺（包括产品质量保证承诺、故障解决能力等）；②应急服务响应时间；③售后服务人员保障及管理体系；④现场服务措施；⑤售后服务流程介绍。</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投标供应商须针对上述①、②、③、④、⑤条评分内容分别进行阐述，阐述内容须满足采购需求。内容不存在瑕疵的该条得2分；内容存在1处瑕疵的该条得1分；未提供方案或不满足项目需求书要求或内容存在2处及以上瑕疵的该条得0分。本项满分10分。</w:t>
      </w:r>
      <w:r/>
    </w:p>
    <w:p>
      <w:pPr>
        <w:ind w:firstLine="482"/>
        <w:spacing w:line="440" w:lineRule="exact"/>
        <w:widowControl w:val="off"/>
        <w:rPr>
          <w:color w:val="auto"/>
          <w:highlight w:val="none"/>
          <w:lang w:eastAsia="zh-CN"/>
        </w:rPr>
      </w:pPr>
      <w:r>
        <w:rPr>
          <w:rFonts w:hint="eastAsia" w:ascii="宋体" w:hAnsi="宋体" w:cs="宋体"/>
          <w:b/>
          <w:bCs/>
          <w:color w:val="auto"/>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440" w:lineRule="exact"/>
        <w:widowControl w:val="off"/>
        <w:rPr>
          <w:rFonts w:ascii="宋体" w:hAnsi="宋体" w:cs="宋体"/>
          <w:b/>
          <w:bCs/>
          <w:color w:val="auto"/>
          <w:highlight w:val="none"/>
          <w:lang w:eastAsia="zh-CN"/>
        </w:rPr>
      </w:pPr>
      <w:r>
        <w:rPr>
          <w:rFonts w:hint="eastAsia" w:ascii="宋体" w:hAnsi="宋体"/>
          <w:b/>
          <w:color w:val="auto"/>
          <w:szCs w:val="24"/>
          <w:highlight w:val="none"/>
          <w:lang w:eastAsia="zh-CN"/>
        </w:rPr>
        <w:t xml:space="preserve">技术方案评委在5人及5人以上的，取所有成员的平均值。评分办法及评分细则的解释权属于采购人。未列入本评分细则的其他条件不作为评分内容。</w:t>
      </w:r>
      <w:bookmarkEnd w:id="36"/>
      <w:r/>
      <w:r/>
    </w:p>
    <w:p>
      <w:pPr>
        <w:ind w:firstLine="0"/>
        <w:spacing w:line="440" w:lineRule="exact"/>
        <w:widowControl w:val="off"/>
        <w:rPr>
          <w:rFonts w:ascii="宋体" w:hAnsi="宋体" w:cs="宋体"/>
          <w:b/>
          <w:bCs/>
          <w:color w:val="auto"/>
          <w:highlight w:val="none"/>
          <w:lang w:val="zh-CN" w:eastAsia="zh-CN"/>
        </w:rPr>
      </w:pPr>
      <w:r>
        <w:rPr>
          <w:rFonts w:hint="eastAsia" w:ascii="宋体" w:hAnsi="宋体" w:cs="宋体"/>
          <w:b/>
          <w:bCs/>
          <w:color w:val="auto"/>
          <w:highlight w:val="none"/>
          <w:lang w:eastAsia="zh-CN"/>
        </w:rPr>
        <w:t xml:space="preserve">（四）政策加分（2分）</w:t>
      </w:r>
      <w:r/>
    </w:p>
    <w:p>
      <w:pPr>
        <w:ind w:firstLine="480"/>
        <w:spacing w:line="44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1.投标供应商所投产品属于《环境标志产品政府采购品目清单》范围内的，提供由国家确定的认证机构（目前仅根据《市场监管总局关于发布参与实施政府采购节能产品、环境标志产品认证机构名录的公告》（2019年第16号）中确认的《参与实施政府采购环境标志产品认证机构名录》）出具的、处于有效期之内的环境标志产品认证证书，得1分。投标时提供认证证书扫描件。</w:t>
      </w:r>
      <w:r/>
    </w:p>
    <w:p>
      <w:pPr>
        <w:ind w:firstLine="480"/>
        <w:spacing w:line="440" w:lineRule="exact"/>
        <w:widowControl w:val="off"/>
        <w:rPr>
          <w:rFonts w:ascii="宋体" w:hAnsi="宋体" w:cs="宋体"/>
          <w:color w:val="auto"/>
          <w:highlight w:val="none"/>
          <w:lang w:val="zh-CN" w:eastAsia="zh-CN"/>
        </w:rPr>
      </w:pPr>
      <w:r>
        <w:rPr>
          <w:rFonts w:hint="eastAsia" w:ascii="宋体" w:hAnsi="宋体" w:cs="宋体"/>
          <w:color w:val="auto"/>
          <w:highlight w:val="none"/>
          <w:lang w:eastAsia="zh-CN"/>
        </w:rPr>
        <w:t xml:space="preserve">2.依据</w:t>
      </w:r>
      <w:bookmarkStart w:id="37" w:name="OLE_LINK7"/>
      <w:r/>
      <w:bookmarkStart w:id="38" w:name="OLE_LINK8"/>
      <w:r>
        <w:rPr>
          <w:rFonts w:hint="eastAsia" w:ascii="宋体" w:hAnsi="宋体" w:cs="宋体"/>
          <w:color w:val="auto"/>
          <w:highlight w:val="none"/>
          <w:lang w:eastAsia="zh-CN"/>
        </w:rPr>
        <w:t xml:space="preserve">《江苏省财政厅关于加强政府绿色采购有关事项的通知》（苏财购〔2023〕65号）</w:t>
      </w:r>
      <w:bookmarkEnd w:id="37"/>
      <w:r/>
      <w:bookmarkEnd w:id="38"/>
      <w:r>
        <w:rPr>
          <w:rFonts w:hint="eastAsia" w:ascii="宋体" w:hAnsi="宋体" w:cs="宋体"/>
          <w:color w:val="auto"/>
          <w:highlight w:val="none"/>
          <w:lang w:eastAsia="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32"/>
      <w:r/>
      <w:bookmarkEnd w:id="33"/>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Theme="majorHAnsi" w:hAnsiTheme="majorHAnsi" w:cstheme="majorBidi"/>
          <w:b/>
          <w:bCs/>
          <w:color w:val="auto"/>
          <w:sz w:val="32"/>
          <w:szCs w:val="32"/>
          <w:highlight w:val="none"/>
          <w:lang w:eastAsia="zh-CN"/>
        </w:rPr>
      </w:pPr>
      <w:r/>
      <w:bookmarkStart w:id="39" w:name="_Toc161316670"/>
      <w:r/>
      <w:bookmarkStart w:id="40" w:name="_Toc101981935"/>
      <w:r>
        <w:rPr>
          <w:color w:val="auto"/>
          <w:highlight w:val="none"/>
          <w:lang w:eastAsia="zh-CN"/>
        </w:rPr>
        <w:br w:type="page" w:clear="all"/>
      </w:r>
      <w:r/>
    </w:p>
    <w:p>
      <w:pPr>
        <w:pStyle w:val="1097"/>
        <w:rPr>
          <w:color w:val="auto"/>
          <w:highlight w:val="none"/>
          <w:lang w:eastAsia="zh-CN"/>
        </w:rPr>
      </w:pPr>
      <w:r>
        <w:rPr>
          <w:rFonts w:hint="eastAsia"/>
          <w:color w:val="auto"/>
          <w:highlight w:val="none"/>
          <w:lang w:eastAsia="zh-CN"/>
        </w:rPr>
        <w:t xml:space="preserve">附件二：投标文件格式</w:t>
      </w:r>
      <w:bookmarkEnd w:id="39"/>
      <w:r/>
      <w:bookmarkEnd w:id="40"/>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color w:val="auto"/>
          <w:sz w:val="28"/>
          <w:highlight w:val="none"/>
          <w:lang w:eastAsia="zh-CN"/>
        </w:rPr>
      </w:pPr>
      <w:r>
        <w:rPr>
          <w:rFonts w:ascii="宋体" w:hAnsi="宋体" w:eastAsia="等线" w:cs="宋体"/>
          <w:b/>
          <w:color w:val="auto"/>
          <w:sz w:val="28"/>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spacing w:line="240" w:lineRule="auto"/>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致：无锡锡东新城商务区开发建设管理中心</w:t>
      </w:r>
      <w:r/>
    </w:p>
    <w:p>
      <w:pPr>
        <w:ind w:firstLine="480"/>
        <w:jc w:val="both"/>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41" w:name="校园网系统报价和服务承诺表（格式）"/>
      <w:r/>
      <w:bookmarkEnd w:id="41"/>
      <w:r/>
      <w:bookmarkStart w:id="42" w:name="（报价人）法定代表人授权书（格式）"/>
      <w:r/>
      <w:bookmarkEnd w:id="42"/>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无锡锡东新城商务区开发建设管理中心 ：</w:t>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9"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8" o:spid="_x0000_s8"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10"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9" o:spid="_x0000_s9"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11"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10" o:spid="_x0000_s10"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12"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11" o:spid="_x0000_s11"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无锡锡东新城商务区开发建设管理中心</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w:t>
      </w:r>
      <w:r>
        <w:rPr>
          <w:rFonts w:hint="eastAsia" w:ascii="宋体" w:hAnsi="宋体" w:cs="宋体"/>
          <w:color w:val="auto"/>
          <w:szCs w:val="24"/>
          <w:highlight w:val="none"/>
          <w:lang w:eastAsia="zh-CN"/>
        </w:rPr>
        <w:t xml:space="preserve">中华人民共和国政府采购法</w:t>
      </w:r>
      <w:r>
        <w:rPr>
          <w:rFonts w:hint="eastAsia" w:ascii="宋体" w:hAnsi="宋体" w:cs="宋体"/>
          <w:color w:val="auto"/>
          <w:szCs w:val="24"/>
          <w:highlight w:val="none"/>
          <w:lang w:eastAsia="zh-CN"/>
        </w:rPr>
        <w:t xml:space="preserve">》等相关规定以及相关廉洁要求，特向贵单位承诺如下事项：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1101"/>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天一实验学校文景校区操场面层采购</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供货期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项目最终验收合格之日起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年 </w:t>
            </w:r>
            <w:r/>
          </w:p>
        </w:tc>
      </w:tr>
    </w:tbl>
    <w:p>
      <w:pPr>
        <w:ind w:firstLine="0"/>
        <w:jc w:val="both"/>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spacing w:line="240" w:lineRule="auto"/>
        <w:rPr>
          <w:rFonts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43"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1101"/>
        <w:tblW w:w="51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7"/>
        <w:gridCol w:w="2628"/>
        <w:gridCol w:w="3924"/>
        <w:gridCol w:w="561"/>
        <w:gridCol w:w="1011"/>
        <w:gridCol w:w="989"/>
        <w:gridCol w:w="866"/>
        <w:tblGridChange w:id="0">
          <w:tblGrid>
            <w:gridCol w:w="477"/>
            <w:gridCol w:w="2628"/>
            <w:gridCol w:w="3"/>
            <w:gridCol w:w="3921"/>
            <w:gridCol w:w="6"/>
            <w:gridCol w:w="555"/>
            <w:gridCol w:w="1011"/>
            <w:gridCol w:w="989"/>
            <w:gridCol w:w="866"/>
          </w:tblGrid>
        </w:tblGridChange>
      </w:tblGrid>
      <w:tr>
        <w:trPr>
          <w:trHeight w:val="660"/>
        </w:trPr>
        <w:tc>
          <w:tcPr>
            <w:shd w:val="clear" w:color="auto" w:fill="ffffff"/>
            <w:tcW w:w="228" w:type="pct"/>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cW w:w="1256"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ffffff"/>
            <w:tcW w:w="1876"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性能参数</w:t>
            </w:r>
            <w:r/>
          </w:p>
        </w:tc>
        <w:tc>
          <w:tcPr>
            <w:shd w:val="clear" w:color="auto" w:fill="ffffff"/>
            <w:tcW w:w="268" w:type="pct"/>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2"/>
                <w:szCs w:val="22"/>
                <w:highlight w:val="none"/>
                <w:u w:val="none"/>
                <w:lang w:eastAsia="zh-CN"/>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ffffff"/>
            <w:tcW w:w="483"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数量</w:t>
            </w:r>
            <w:r/>
          </w:p>
        </w:tc>
        <w:tc>
          <w:tcPr>
            <w:shd w:val="clear" w:color="auto" w:fill="ffffff"/>
            <w:tcW w:w="472"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单价（元）</w:t>
            </w:r>
            <w:r/>
          </w:p>
        </w:tc>
        <w:tc>
          <w:tcPr>
            <w:shd w:val="clear" w:color="auto" w:fill="ffffff"/>
            <w:tcW w:w="414" w:type="pct"/>
            <w:vAlign w:val="center"/>
            <w:textDirection w:val="lrTb"/>
            <w:noWrap w:val="false"/>
          </w:tcPr>
          <w:p>
            <w:pPr>
              <w:ind w:firstLine="0"/>
              <w:jc w:val="center"/>
              <w:keepLines w:val="0"/>
              <w:keepNext w:val="0"/>
              <w:spacing w:line="240" w:lineRule="auto"/>
              <w:widowControl/>
              <w:rPr>
                <w:rFonts w:hint="default" w:ascii="宋体" w:hAnsi="宋体" w:cs="宋体"/>
                <w:b/>
                <w:bCs/>
                <w:i w:val="0"/>
                <w:iCs w:val="0"/>
                <w:color w:val="auto"/>
                <w:sz w:val="22"/>
                <w:szCs w:val="22"/>
                <w:highlight w:val="none"/>
                <w:u w:val="none"/>
                <w:lang w:val="en-US" w:eastAsia="zh-CN"/>
              </w:rPr>
              <w:suppressLineNumbers w:val="0"/>
            </w:pPr>
            <w:r>
              <w:rPr>
                <w:rFonts w:hint="eastAsia" w:ascii="宋体" w:hAnsi="宋体" w:cs="宋体"/>
                <w:b/>
                <w:bCs/>
                <w:i w:val="0"/>
                <w:iCs w:val="0"/>
                <w:color w:val="auto"/>
                <w:sz w:val="22"/>
                <w:szCs w:val="22"/>
                <w:highlight w:val="none"/>
                <w:u w:val="none"/>
                <w:lang w:val="en-US" w:eastAsia="zh-CN"/>
              </w:rPr>
              <w:t xml:space="preserve">合价（元）</w:t>
            </w:r>
            <w:r/>
          </w:p>
        </w:tc>
      </w:tr>
      <w:tr>
        <w:trPr>
          <w:trHeight w:val="1217"/>
        </w:trPr>
        <w:tc>
          <w:tcPr>
            <w:tcW w:w="228"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256" w:type="pct"/>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弹性面层</w:t>
            </w:r>
            <w:r/>
          </w:p>
        </w:tc>
        <w:tc>
          <w:tcPr>
            <w:tcW w:w="187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原有场地铲除：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1、原有场地塑胶操场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2、厚度约13mm，综合考虑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3、铲除后垃圾清理、归集、场地清洁</w:t>
            </w:r>
            <w:r/>
          </w:p>
        </w:tc>
        <w:tc>
          <w:tcPr>
            <w:tcW w:w="268"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4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8850.3</w:t>
            </w:r>
            <w:r/>
          </w:p>
        </w:tc>
        <w:tc>
          <w:tcPr>
            <w:tcW w:w="472"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c>
          <w:tcPr>
            <w:tcW w:w="414"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r>
        <w:trPr>
          <w:trHeight w:val="1560"/>
        </w:trPr>
        <w:tc>
          <w:tcPr>
            <w:tcW w:w="228"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tcW w:w="1256"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87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垃圾清理: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1、拆除物装车外运，运距投标人自行考虑，弃置点自行解决，含挖方、装车、归堆、场内短驳、外运及废弃物无害化处理等</w:t>
            </w:r>
            <w:r/>
          </w:p>
        </w:tc>
        <w:tc>
          <w:tcPr>
            <w:tcW w:w="268"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tcW w:w="4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115.05</w:t>
            </w:r>
            <w:r/>
          </w:p>
        </w:tc>
        <w:tc>
          <w:tcPr>
            <w:tcW w:w="472"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c>
          <w:tcPr>
            <w:tcW w:w="414"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r>
        <w:trPr>
          <w:trHeight w:val="349"/>
        </w:trPr>
        <w:tc>
          <w:tcPr>
            <w:tcW w:w="228"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tcW w:w="1256" w:type="pct"/>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W w:w="1876" w:type="pct"/>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弹性面层安装：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1、清洁并修复部分地坪基础、包含坑洼、空鼓、排水沟盖板晃动处等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2、塑胶整体涂封底胶水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2、10mm厚含胶量不少于15%天然橡胶，符合（GBT-2018)新国标的颗粒及胶水按比例搅拌后打底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3、3mm厚含胶量不少于20%的天然橡胶，符合（GBT-2018)新国标的颗粒及胶水按比例搅拌后喷涂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4、喷2层水性罩面漆（蓝色）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5、含场地标准化划线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6、符合GB36246-2018《中小学合成材料面层运动场地》标准检测要求，其余详见技术规格、参数与要求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7、由供应商自行考虑检测费用，投标报价需含检测费用。</w:t>
            </w:r>
            <w:r/>
          </w:p>
        </w:tc>
        <w:tc>
          <w:tcPr>
            <w:tcW w:w="268"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tcW w:w="483" w:type="pct"/>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8850.3</w:t>
            </w:r>
            <w:r/>
          </w:p>
        </w:tc>
        <w:tc>
          <w:tcPr>
            <w:tcW w:w="472"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c>
          <w:tcPr>
            <w:tcW w:w="414"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r>
        <w:trPr>
          <w:trHeight w:val="349"/>
        </w:trPr>
        <w:tc>
          <w:tcPr>
            <w:gridSpan w:val="5"/>
            <w:tcW w:w="4113" w:type="pct"/>
            <w:vAlign w:val="center"/>
            <w:textDirection w:val="lrTb"/>
            <w:noWrap w:val="false"/>
          </w:tcPr>
          <w:p>
            <w:pPr>
              <w:ind w:firstLine="0"/>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总计（元）</w:t>
            </w:r>
            <w:r/>
          </w:p>
        </w:tc>
        <w:tc>
          <w:tcPr>
            <w:tcW w:w="472"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c>
          <w:tcPr>
            <w:tcW w:w="414" w:type="pct"/>
            <w:vAlign w:val="center"/>
            <w:textDirection w:val="lrTb"/>
            <w:noWrap w:val="false"/>
          </w:tcPr>
          <w:p>
            <w:pPr>
              <w:ind w:firstLine="0"/>
              <w:jc w:val="center"/>
              <w:spacing w:line="240" w:lineRule="auto"/>
              <w:widowControl w:val="off"/>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r>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（1）该报价包括满足本项目要求的所有产品及其配件、包装、运杂、安装调试及售后服务等从项目中标起到项目正式交付以及免费质保期内所发生的一切费用；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（2）投标供应商应当根据“项目要求和有关说明”的内容在上表中详细填写；</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（3）表格不够可自行延长，但不得改变文本格式。</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ascii="宋体" w:hAnsi="宋体" w:cs="宋体"/>
          <w:color w:val="auto"/>
          <w:sz w:val="21"/>
          <w:highlight w:val="none"/>
          <w:lang w:val="zh-CN" w:eastAsia="zh-CN"/>
        </w:rPr>
      </w:pPr>
      <w:r>
        <w:rPr>
          <w:rFonts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 xml:space="preserve">日期：</w:t>
      </w:r>
      <w:r/>
      <w:r>
        <w:rPr>
          <w:rFonts w:ascii="宋体" w:hAnsi="宋体" w:cs="宋体"/>
          <w:b/>
          <w:color w:val="auto"/>
          <w:szCs w:val="24"/>
          <w:highlight w:val="none"/>
          <w:lang w:eastAsia="zh-CN"/>
        </w:rPr>
      </w:r>
      <w:r/>
      <w:r>
        <w:rPr>
          <w:rFonts w:ascii="Times New Roman" w:hAnsi="Times New Roman" w:cs="Times New Roman"/>
          <w:b/>
          <w:color w:val="auto"/>
          <w:sz w:val="18"/>
          <w:szCs w:val="18"/>
          <w:highlight w:val="none"/>
          <w:lang w:eastAsia="zh-CN"/>
        </w:rP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numPr>
          <w:ilvl w:val="0"/>
          <w:numId w:val="2"/>
        </w:num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widowControl w:val="off"/>
        <w:rPr>
          <w:rFonts w:ascii="Tahoma" w:hAnsi="Tahoma" w:cs="Times New Roman"/>
          <w:color w:val="auto"/>
          <w:szCs w:val="20"/>
          <w:highlight w:val="none"/>
          <w:lang w:eastAsia="zh-CN"/>
        </w:rPr>
      </w:pPr>
      <w:r/>
      <w:bookmarkStart w:id="44" w:name="_Hlk104972057"/>
      <w:r>
        <w:rPr>
          <w:rFonts w:hint="eastAsia" w:ascii="黑体" w:hAnsi="黑体" w:eastAsia="黑体" w:cs="Times New Roman"/>
          <w:bCs/>
          <w:color w:val="auto"/>
          <w:sz w:val="28"/>
          <w:szCs w:val="28"/>
          <w:highlight w:val="none"/>
          <w:lang w:eastAsia="zh-CN"/>
        </w:rPr>
        <w:t xml:space="preserve">中小企业声明函（货物）</w:t>
      </w:r>
      <w:r/>
    </w:p>
    <w:p>
      <w:pPr>
        <w:ind w:firstLine="480"/>
        <w:rPr>
          <w:rFonts w:ascii="宋体" w:hAnsi="宋体" w:cs="宋体"/>
          <w:color w:val="auto"/>
          <w:highlight w:val="none"/>
        </w:rPr>
      </w:pPr>
      <w:r>
        <w:rPr>
          <w:rFonts w:hint="eastAsia" w:ascii="宋体" w:hAnsi="宋体" w:cs="宋体"/>
          <w:color w:val="auto"/>
          <w:highlight w:val="none"/>
          <w:lang w:eastAsia="zh-CN" w:bidi="ar"/>
        </w:rPr>
        <w:t xml:space="preserve">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参加</w:t>
      </w:r>
      <w:r>
        <w:rPr>
          <w:rFonts w:hint="eastAsia" w:ascii="宋体" w:hAnsi="宋体" w:cs="宋体"/>
          <w:iCs/>
          <w:color w:val="auto"/>
          <w:highlight w:val="none"/>
          <w:u w:val="single"/>
          <w:lang w:eastAsia="zh-CN" w:bidi="ar"/>
        </w:rPr>
        <w:t xml:space="preserve">无锡锡东新城商务区开发建设管理中心</w:t>
      </w:r>
      <w:r>
        <w:rPr>
          <w:rFonts w:hint="eastAsia" w:ascii="宋体" w:hAnsi="宋体" w:cs="宋体"/>
          <w:color w:val="auto"/>
          <w:highlight w:val="none"/>
          <w:lang w:eastAsia="zh-CN" w:bidi="ar"/>
        </w:rPr>
        <w:t xml:space="preserve">的</w:t>
      </w:r>
      <w:r>
        <w:rPr>
          <w:rFonts w:hint="eastAsia" w:ascii="宋体" w:hAnsi="宋体" w:cs="宋体"/>
          <w:i/>
          <w:color w:val="auto"/>
          <w:highlight w:val="none"/>
          <w:u w:val="single"/>
          <w:lang w:eastAsia="zh-CN" w:bidi="ar"/>
        </w:rPr>
        <w:t xml:space="preserve">（项目名称）</w:t>
      </w:r>
      <w:r>
        <w:rPr>
          <w:rFonts w:hint="eastAsia" w:ascii="宋体" w:hAnsi="宋体" w:cs="宋体"/>
          <w:color w:val="auto"/>
          <w:highlight w:val="none"/>
          <w:lang w:eastAsia="zh-CN" w:bidi="ar"/>
        </w:rPr>
        <w:t xml:space="preserve">采购活动，</w:t>
      </w:r>
      <w:r>
        <w:rPr>
          <w:rFonts w:hint="eastAsia" w:ascii="宋体" w:hAnsi="宋体" w:cs="宋体"/>
          <w:color w:val="auto"/>
          <w:highlight w:val="none"/>
          <w:lang w:eastAsia="zh-CN"/>
        </w:rPr>
        <w:t xml:space="preserve">提供的货物全部由符合政策要求的中小企业制造。</w:t>
      </w:r>
      <w:r>
        <w:rPr>
          <w:rFonts w:hint="eastAsia" w:ascii="宋体" w:hAnsi="宋体" w:cs="宋体"/>
          <w:color w:val="auto"/>
          <w:highlight w:val="none"/>
        </w:rPr>
        <w:t xml:space="preserve">企业的具体情况如下</w:t>
      </w:r>
      <w:r>
        <w:rPr>
          <w:rFonts w:hint="eastAsia" w:ascii="宋体" w:hAnsi="宋体" w:cs="宋体"/>
          <w:color w:val="auto"/>
          <w:highlight w:val="none"/>
          <w:lang w:bidi="ar"/>
        </w:rPr>
        <w:t xml:space="preserve">：</w:t>
      </w:r>
      <w:r/>
    </w:p>
    <w:p>
      <w:pPr>
        <w:numPr>
          <w:ilvl w:val="0"/>
          <w:numId w:val="3"/>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numPr>
          <w:ilvl w:val="0"/>
          <w:numId w:val="3"/>
        </w:numPr>
        <w:ind w:firstLine="480"/>
        <w:rPr>
          <w:rFonts w:ascii="宋体" w:hAnsi="宋体" w:cs="宋体"/>
          <w:color w:val="auto"/>
          <w:highlight w:val="none"/>
          <w:lang w:eastAsia="zh-CN" w:bidi="ar"/>
        </w:rPr>
      </w:pPr>
      <w:r>
        <w:rPr>
          <w:rFonts w:hint="eastAsia" w:ascii="宋体" w:hAnsi="宋体" w:cs="宋体"/>
          <w:color w:val="auto"/>
          <w:highlight w:val="none"/>
          <w:u w:val="single"/>
          <w:lang w:eastAsia="zh-CN" w:bidi="ar"/>
        </w:rPr>
        <w:t xml:space="preserve">（标的名称</w:t>
      </w:r>
      <w:r>
        <w:rPr>
          <w:rFonts w:hint="eastAsia" w:ascii="宋体" w:hAnsi="宋体" w:cs="宋体"/>
          <w:color w:val="auto"/>
          <w:highlight w:val="none"/>
          <w:lang w:eastAsia="zh-CN" w:bidi="ar"/>
        </w:rPr>
        <w:t xml:space="preserve">），属于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 xml:space="preserve">（中型企业、小型企业、微型企业）；</w:t>
      </w:r>
      <w:r/>
    </w:p>
    <w:p>
      <w:pPr>
        <w:ind w:firstLine="480"/>
        <w:rPr>
          <w:rFonts w:ascii="宋体" w:hAnsi="宋体" w:cs="宋体"/>
          <w:color w:val="auto"/>
          <w:highlight w:val="none"/>
          <w:lang w:eastAsia="zh-CN" w:bidi="ar"/>
        </w:rPr>
      </w:pPr>
      <w:r>
        <w:rPr>
          <w:rFonts w:hint="eastAsia" w:ascii="宋体" w:hAnsi="宋体" w:cs="宋体"/>
          <w:color w:val="auto"/>
          <w:highlight w:val="none"/>
          <w:lang w:eastAsia="zh-CN" w:bidi="ar"/>
        </w:rPr>
        <w:t xml:space="preserve">……</w:t>
      </w:r>
      <w:r/>
    </w:p>
    <w:p>
      <w:pPr>
        <w:pStyle w:val="1114"/>
        <w:ind w:firstLine="480"/>
        <w:spacing w:before="120" w:beforeAutospacing="0" w:after="120" w:afterAutospacing="0"/>
        <w:rPr>
          <w:color w:val="auto"/>
          <w:highlight w:val="none"/>
          <w:lang w:eastAsia="zh-CN"/>
        </w:rPr>
      </w:pPr>
      <w:r>
        <w:rPr>
          <w:rFonts w:hint="eastAsia"/>
          <w:color w:val="auto"/>
          <w:highlight w:val="none"/>
          <w:lang w:eastAsia="zh-CN"/>
        </w:rPr>
        <w:t xml:space="preserve">　　以上企业，不属于大企业的分支机构，不存在控股股东为大企业的情形，也不存在与大企业的负责人为同一人的情形。</w:t>
      </w:r>
      <w:r/>
    </w:p>
    <w:p>
      <w:pPr>
        <w:pStyle w:val="1114"/>
        <w:ind w:firstLine="480"/>
        <w:spacing w:before="120" w:beforeAutospacing="0" w:after="120" w:afterAutospacing="0"/>
        <w:rPr>
          <w:color w:val="auto"/>
          <w:highlight w:val="none"/>
          <w:lang w:eastAsia="zh-CN"/>
        </w:rPr>
      </w:pPr>
      <w:r>
        <w:rPr>
          <w:rFonts w:hint="eastAsia"/>
          <w:color w:val="auto"/>
          <w:highlight w:val="none"/>
          <w:lang w:eastAsia="zh-CN"/>
        </w:rPr>
        <w:t xml:space="preserve">　　本企业对上述声明内容的真实性负责。如有虚假，将依法承担相应责任。</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82"/>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jc w:val="both"/>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4.在货物采购项目中，供应商提供的货物既有中小企业制造货物，也有大型企业制造货物的，不享受本办法规定的中小企业扶持政策。</w:t>
      </w:r>
      <w:bookmarkEnd w:id="44"/>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after="120"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残疾人福利性单位声明函</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无锡锡东新城商务区开发建设管理中心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pStyle w:val="1104"/>
        <w:rPr>
          <w:color w:val="auto"/>
          <w:highlight w:val="none"/>
          <w:lang w:eastAsia="zh-CN"/>
        </w:rPr>
      </w:pPr>
      <w:r>
        <w:rPr>
          <w:color w:val="auto"/>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pStyle w:val="1104"/>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480" w:lineRule="exact"/>
        <w:rPr>
          <w:rFonts w:ascii="宋体" w:hAnsi="宋体" w:cs="宋体"/>
          <w:b/>
          <w:color w:val="auto"/>
          <w:szCs w:val="24"/>
          <w:highlight w:val="none"/>
          <w:lang w:eastAsia="zh-CN"/>
        </w:rPr>
      </w:pPr>
      <w:r>
        <w:rPr>
          <w:rFonts w:hint="eastAsia" w:ascii="宋体" w:hAnsi="宋体" w:cs="宋体"/>
          <w:b/>
          <w:bCs/>
          <w:color w:val="auto"/>
          <w:szCs w:val="24"/>
          <w:highlight w:val="none"/>
          <w:lang w:eastAsia="zh-CN"/>
        </w:rPr>
        <w:t xml:space="preserve">（九）关于符合本国产品标准的声明函</w:t>
      </w:r>
      <w:r>
        <w:rPr>
          <w:rFonts w:hint="eastAsia" w:ascii="宋体" w:hAnsi="宋体" w:cs="宋体"/>
          <w:b/>
          <w:color w:val="auto"/>
          <w:szCs w:val="24"/>
          <w:highlight w:val="none"/>
          <w:lang w:eastAsia="zh-CN"/>
        </w:rPr>
        <w:t xml:space="preserve">（格式）：</w:t>
      </w:r>
      <w:r/>
    </w:p>
    <w:p>
      <w:pPr>
        <w:numPr>
          <w:ilvl w:val="255"/>
          <w:numId w:val="0"/>
        </w:numPr>
        <w:spacing w:line="480" w:lineRule="exact"/>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1145"/>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w:t>
      </w:r>
      <w:r>
        <w:rPr>
          <w:rFonts w:hint="eastAsia" w:ascii="宋体" w:hAnsi="宋体" w:cs="宋体"/>
          <w:color w:val="auto"/>
          <w:sz w:val="24"/>
          <w:highlight w:val="none"/>
          <w:u w:val="single"/>
        </w:rPr>
        <w:t xml:space="preserve">（单位）</w:t>
      </w:r>
      <w:r>
        <w:rPr>
          <w:rFonts w:hint="eastAsia" w:ascii="宋体" w:hAnsi="宋体" w:cs="宋体"/>
          <w:color w:val="auto"/>
          <w:sz w:val="24"/>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145"/>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）1，生产厂为（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）2，厂址为（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）4在中国境内生产。（</w:t>
      </w:r>
      <w:r>
        <w:rPr>
          <w:rFonts w:hint="eastAsia" w:ascii="宋体" w:hAnsi="宋体" w:cs="宋体"/>
          <w:color w:val="auto"/>
          <w:sz w:val="24"/>
          <w:highlight w:val="none"/>
          <w:u w:val="single"/>
        </w:rPr>
        <w:t xml:space="preserve">产品名称1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）5在中国境内完成。</w:t>
      </w:r>
      <w:r/>
    </w:p>
    <w:p>
      <w:pPr>
        <w:pStyle w:val="1145"/>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），生产厂为（</w:t>
      </w:r>
      <w:r>
        <w:rPr>
          <w:rFonts w:hint="eastAsia" w:ascii="宋体" w:hAnsi="宋体" w:cs="宋体"/>
          <w:color w:val="auto"/>
          <w:sz w:val="24"/>
          <w:highlight w:val="none"/>
          <w:u w:val="single"/>
        </w:rPr>
        <w:t xml:space="preserve">厂名</w:t>
      </w:r>
      <w:r>
        <w:rPr>
          <w:rFonts w:hint="eastAsia" w:ascii="宋体" w:hAnsi="宋体" w:cs="宋体"/>
          <w:color w:val="auto"/>
          <w:sz w:val="24"/>
          <w:highlight w:val="none"/>
        </w:rPr>
        <w:t xml:space="preserve">），厂址为（</w:t>
      </w:r>
      <w:r>
        <w:rPr>
          <w:rFonts w:hint="eastAsia" w:ascii="宋体" w:hAnsi="宋体" w:cs="宋体"/>
          <w:color w:val="auto"/>
          <w:sz w:val="24"/>
          <w:highlight w:val="none"/>
          <w:u w:val="single"/>
        </w:rPr>
        <w:t xml:space="preserve">生产厂址</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）的中国境内生产的组件成本占比≥（</w:t>
      </w:r>
      <w:r>
        <w:rPr>
          <w:rFonts w:hint="eastAsia" w:ascii="宋体" w:hAnsi="宋体" w:cs="宋体"/>
          <w:color w:val="auto"/>
          <w:sz w:val="24"/>
          <w:highlight w:val="none"/>
          <w:u w:val="single"/>
        </w:rPr>
        <w:t xml:space="preserve">规定比例</w:t>
      </w:r>
      <w:r>
        <w:rPr>
          <w:rFonts w:hint="eastAsia" w:ascii="宋体" w:hAnsi="宋体" w:cs="宋体"/>
          <w:color w:val="auto"/>
          <w:sz w:val="24"/>
          <w:highlight w:val="none"/>
        </w:rPr>
        <w:t xml:space="preserve">）。（产品名称2）的（</w:t>
      </w:r>
      <w:r>
        <w:rPr>
          <w:rFonts w:hint="eastAsia" w:ascii="宋体" w:hAnsi="宋体" w:cs="宋体"/>
          <w:color w:val="auto"/>
          <w:sz w:val="24"/>
          <w:highlight w:val="none"/>
          <w:u w:val="single"/>
        </w:rPr>
        <w:t xml:space="preserve">关键组件</w:t>
      </w:r>
      <w:r>
        <w:rPr>
          <w:rFonts w:hint="eastAsia" w:ascii="宋体" w:hAnsi="宋体" w:cs="宋体"/>
          <w:color w:val="auto"/>
          <w:sz w:val="24"/>
          <w:highlight w:val="none"/>
        </w:rPr>
        <w:t xml:space="preserve">）在中国境内生产。（</w:t>
      </w:r>
      <w:r>
        <w:rPr>
          <w:rFonts w:hint="eastAsia" w:ascii="宋体" w:hAnsi="宋体" w:cs="宋体"/>
          <w:color w:val="auto"/>
          <w:sz w:val="24"/>
          <w:highlight w:val="none"/>
          <w:u w:val="single"/>
        </w:rPr>
        <w:t xml:space="preserve">产品名称2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关键工序</w:t>
      </w:r>
      <w:r>
        <w:rPr>
          <w:rFonts w:hint="eastAsia" w:ascii="宋体" w:hAnsi="宋体" w:cs="宋体"/>
          <w:color w:val="auto"/>
          <w:sz w:val="24"/>
          <w:highlight w:val="none"/>
        </w:rPr>
        <w:t xml:space="preserve">）在中国境内完成。</w:t>
      </w:r>
      <w:r/>
    </w:p>
    <w:p>
      <w:pPr>
        <w:pStyle w:val="1145"/>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1145"/>
        <w:ind w:firstLine="584"/>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本公司（单位）对上述声明内容的真实性负责。如有虚假，愿承担相应法律责任。</w:t>
      </w:r>
      <w:r/>
    </w:p>
    <w:p>
      <w:pPr>
        <w:pStyle w:val="1150"/>
        <w:rPr>
          <w:rFonts w:ascii="宋体" w:hAnsi="宋体" w:cs="宋体"/>
          <w:color w:val="auto"/>
          <w:sz w:val="24"/>
          <w:highlight w:val="none"/>
        </w:rPr>
      </w:pPr>
      <w:r>
        <w:rPr>
          <w:rFonts w:ascii="宋体" w:hAnsi="宋体" w:cs="宋体"/>
          <w:color w:val="auto"/>
          <w:sz w:val="24"/>
          <w:highlight w:val="none"/>
        </w:rPr>
      </w:r>
      <w:r/>
    </w:p>
    <w:p>
      <w:pPr>
        <w:pStyle w:val="1145"/>
        <w:rPr>
          <w:rFonts w:ascii="宋体" w:hAnsi="宋体" w:cs="宋体"/>
          <w:color w:val="auto"/>
          <w:sz w:val="24"/>
          <w:highlight w:val="none"/>
        </w:rPr>
      </w:pPr>
      <w:r>
        <w:rPr>
          <w:rFonts w:ascii="宋体" w:hAnsi="宋体" w:cs="宋体"/>
          <w:color w:val="auto"/>
          <w:sz w:val="24"/>
          <w:highlight w:val="none"/>
        </w:rPr>
      </w:r>
      <w:r/>
    </w:p>
    <w:p>
      <w:pPr>
        <w:ind w:firstLine="504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
        <w:spacing w:line="480" w:lineRule="exact"/>
        <w:rPr>
          <w:rFonts w:ascii="宋体" w:hAnsi="宋体" w:cs="宋体"/>
          <w:color w:val="auto"/>
          <w:sz w:val="30"/>
          <w:szCs w:val="30"/>
          <w:highlight w:val="none"/>
          <w:lang w:eastAsia="zh-CN"/>
        </w:rPr>
      </w:pPr>
      <w:r>
        <w:rPr>
          <w:rFonts w:hint="eastAsia" w:ascii="宋体" w:hAnsi="宋体" w:cs="宋体"/>
          <w:bCs/>
          <w:color w:val="auto"/>
          <w:szCs w:val="24"/>
          <w:highlight w:val="none"/>
          <w:lang w:eastAsia="zh-CN"/>
        </w:rPr>
        <w:t xml:space="preserve">                                                  日  期：</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注：</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1.产品如有型号，请在“产品名称”栏一并填写。</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2.生产厂名与厂址应与生产厂营业执照载明的相关信息保持一致。</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3.该产品的中国境内生产的组件成本占比相关要求实施前，“规定比例”栏可不填，下同。</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4.该产品的关键组件要求实施前，“关键组件”栏可不填，下同。</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5.该产品的关键工序要求实施前，“关键工序”栏可不填，下同。</w:t>
      </w:r>
      <w:r/>
    </w:p>
    <w:p>
      <w:pPr>
        <w:pStyle w:val="1156"/>
        <w:ind w:firstLine="600"/>
        <w:spacing w:before="30" w:beforeAutospacing="0" w:after="30" w:afterAutospacing="0"/>
        <w:shd w:val="clear" w:color="auto" w:fill="ffffff"/>
        <w:rPr>
          <w:color w:val="auto"/>
          <w:sz w:val="30"/>
          <w:szCs w:val="30"/>
          <w:highlight w:val="none"/>
          <w:lang w:eastAsia="zh-CN"/>
        </w:rPr>
        <w:pBdr>
          <w:top w:val="none" w:color="000000" w:sz="0" w:space="0"/>
          <w:left w:val="none" w:color="000000" w:sz="0" w:space="0"/>
          <w:bottom w:val="none" w:color="000000" w:sz="0" w:space="0"/>
          <w:right w:val="none" w:color="000000" w:sz="0" w:space="0"/>
        </w:pBdr>
      </w:pPr>
      <w:r>
        <w:rPr>
          <w:color w:val="auto"/>
          <w:sz w:val="30"/>
          <w:szCs w:val="30"/>
          <w:highlight w:val="none"/>
          <w:lang w:eastAsia="zh-CN"/>
        </w:rPr>
      </w:r>
      <w:r/>
    </w:p>
    <w:p>
      <w:pPr>
        <w:pStyle w:val="1156"/>
        <w:ind w:firstLine="560"/>
        <w:jc w:val="center"/>
        <w:spacing w:before="30" w:beforeAutospacing="0" w:after="30" w:afterAutospacing="0"/>
        <w:shd w:val="clear" w:color="auto" w:fill="ffffff"/>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8"/>
          <w:szCs w:val="28"/>
          <w:highlight w:val="none"/>
          <w:lang w:eastAsia="zh-CN"/>
        </w:rPr>
        <w:t xml:space="preserve">中国境内生产的组件成本核算基本规则</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一、产品的一级组件是指直接组成产品的组件。产品的二级组件是指直接组成产品一级组件的组件。一级组件不可分解的，视同二级组件。</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二、二级组件在中国境内生产的，其全部成本计入中国境内生产的组件成本；二级组件不在中国境内生产的，其成本不计入中国境内生产的组件成本。</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三、产品总成本和组件成本以相关会计核算数据、采购合同、进货记录等为基础进行计算。</w:t>
      </w:r>
      <w:r/>
    </w:p>
    <w:p>
      <w:pPr>
        <w:pStyle w:val="1156"/>
        <w:ind w:firstLine="480"/>
        <w:spacing w:before="30" w:beforeAutospacing="0" w:after="30" w:afterAutospacing="0"/>
        <w:shd w:val="clear" w:color="auto" w:fill="ffffff"/>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四、需要对成本核算规则予以进一步明确的其他有关事项，由财政部会同有关部门另行规定。</w:t>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（十） 服务承诺（格式）：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spacing w:line="240" w:lineRule="auto"/>
        <w:rPr>
          <w:rFonts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（十一） 偏离表（格式）：</w:t>
      </w:r>
      <w:r/>
    </w:p>
    <w:p>
      <w:pPr>
        <w:ind w:firstLine="0"/>
        <w:jc w:val="center"/>
        <w:spacing w:line="240" w:lineRule="auto"/>
        <w:widowControl w:val="off"/>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 xml:space="preserve">偏离表</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1101"/>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r>
    </w:tbl>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（十二）</w:t>
      </w:r>
      <w:r>
        <w:rPr>
          <w:rFonts w:hint="eastAsia" w:ascii="宋体" w:hAnsi="宋体" w:cs="宋体"/>
          <w:b/>
          <w:color w:val="auto"/>
          <w:szCs w:val="24"/>
          <w:highlight w:val="none"/>
          <w:lang w:eastAsia="zh-CN" w:bidi="ar"/>
        </w:rPr>
        <w:t xml:space="preserve">供应商情况表（格式）：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hd w:val="clear" w:color="auto" w:fill="ffffff"/>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 xml:space="preserve">供应商情况表</w:t>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tbl>
      <w:tblPr>
        <w:tblStyle w:val="11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9"/>
        <w:gridCol w:w="2700"/>
        <w:gridCol w:w="1960"/>
        <w:gridCol w:w="1889"/>
      </w:tblGrid>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法定代表人</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成立日期</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企业地址</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注册资本</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经营范围</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开户行</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银行账号</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资产总计</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总资产</w:t>
            </w:r>
            <w:r/>
          </w:p>
        </w:tc>
        <w:tc>
          <w:tcPr>
            <w:tcW w:w="1889"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股东权益</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主营收入</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实现利润</w:t>
            </w:r>
            <w:r/>
          </w:p>
        </w:tc>
        <w:tc>
          <w:tcPr>
            <w:tcW w:w="270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2025年   万元</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社保缴纳人数</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经营面积</w:t>
            </w:r>
            <w:r/>
          </w:p>
        </w:tc>
        <w:tc>
          <w:tcPr>
            <w:tcW w:w="2700" w:type="dxa"/>
            <w:vAlign w:val="center"/>
            <w:textDirection w:val="lrTb"/>
            <w:noWrap w:val="false"/>
          </w:tcPr>
          <w:p>
            <w:pPr>
              <w:ind w:firstLine="96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平方米</w:t>
            </w:r>
            <w:r/>
          </w:p>
        </w:tc>
        <w:tc>
          <w:tcPr>
            <w:tcW w:w="1960"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其中：</w:t>
            </w:r>
            <w:r/>
          </w:p>
        </w:tc>
        <w:tc>
          <w:tcPr>
            <w:tcW w:w="188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自有面积</w:t>
            </w:r>
            <w:r/>
          </w:p>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承租面积</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单位建立及内设机构情况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单位优势及特长</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近三年来完成或正在</w:t>
            </w:r>
            <w:r>
              <w:rPr>
                <w:rFonts w:hint="eastAsia" w:ascii="宋体" w:hAnsi="宋体" w:cs="宋体"/>
                <w:color w:val="auto"/>
                <w:szCs w:val="24"/>
                <w:highlight w:val="none"/>
                <w:shd w:val="clear" w:color="auto" w:fill="ffffff"/>
                <w:lang w:val="en-US" w:eastAsia="zh-CN" w:bidi="ar"/>
              </w:rPr>
              <w:t xml:space="preserve">履行</w:t>
            </w:r>
            <w:r>
              <w:rPr>
                <w:rFonts w:hint="eastAsia" w:ascii="宋体" w:hAnsi="宋体" w:cs="宋体"/>
                <w:color w:val="auto"/>
                <w:szCs w:val="24"/>
                <w:highlight w:val="none"/>
                <w:shd w:val="clear" w:color="auto" w:fill="ffffff"/>
                <w:lang w:eastAsia="zh-CN" w:bidi="ar"/>
              </w:rPr>
              <w:t xml:space="preserve">的重大合同情况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最近2年内在经营过程中受到何种奖励或处分</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（包括财政、工伤、税务、物价、技监部门稽查情况及结果）</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最近3年内有无因售假、售劣或是其他原因被消费者投诉或起诉的情况及说明</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（包括解决方式和结果）</w:t>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参加政府采购活动前三年内，在经营活动中有无重大违法记录情况及说明</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获得技术认证的工程师及简介</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其他需要说明的情况</w:t>
            </w:r>
            <w:r/>
          </w:p>
        </w:tc>
        <w:tc>
          <w:tcPr>
            <w:gridSpan w:val="3"/>
            <w:tcW w:w="6549" w:type="dxa"/>
            <w:vAlign w:val="center"/>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bl>
    <w:p>
      <w:pPr>
        <w:ind w:firstLine="0"/>
        <w:spacing w:line="240" w:lineRule="auto"/>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 xml:space="preserve">（十三）</w:t>
      </w:r>
      <w:r>
        <w:rPr>
          <w:rFonts w:hint="eastAsia" w:ascii="宋体" w:hAnsi="宋体" w:cs="宋体"/>
          <w:b/>
          <w:color w:val="auto"/>
          <w:szCs w:val="24"/>
          <w:highlight w:val="none"/>
          <w:lang w:eastAsia="zh-CN"/>
        </w:rPr>
        <w:t xml:space="preserve">供应商近年来已完成类似业绩一览表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供应商近年已完成类似业绩一览表</w:t>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ascii="黑体" w:hAnsi="黑体" w:eastAsia="黑体" w:cs="黑体"/>
          <w:b/>
          <w:color w:val="auto"/>
          <w:sz w:val="28"/>
          <w:szCs w:val="28"/>
          <w:highlight w:val="none"/>
          <w:lang w:eastAsia="zh-CN"/>
        </w:rPr>
      </w:r>
      <w:r/>
    </w:p>
    <w:p>
      <w:pPr>
        <w:numPr>
          <w:ilvl w:val="255"/>
          <w:numId w:val="0"/>
        </w:numPr>
        <w:shd w:val="clear" w:color="auto" w:fill="ffffff"/>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p>
    <w:tbl>
      <w:tblPr>
        <w:tblStyle w:val="11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1689"/>
        <w:gridCol w:w="1690"/>
        <w:gridCol w:w="1690"/>
        <w:gridCol w:w="1690"/>
        <w:gridCol w:w="1690"/>
      </w:tblGrid>
      <w:tr>
        <w:trPr/>
        <w:tc>
          <w:tcPr>
            <w:tcW w:w="1689"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序号</w:t>
            </w:r>
            <w:r/>
          </w:p>
        </w:tc>
        <w:tc>
          <w:tcPr>
            <w:tcW w:w="1689"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项目名称</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采购人</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合同金额</w:t>
            </w:r>
            <w:r/>
          </w:p>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（万元）</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合同签订日期</w:t>
            </w:r>
            <w:r/>
          </w:p>
        </w:tc>
        <w:tc>
          <w:tcPr>
            <w:tcW w:w="1690" w:type="dxa"/>
            <w:vAlign w:val="center"/>
            <w:textDirection w:val="lrTb"/>
            <w:noWrap w:val="false"/>
          </w:tcPr>
          <w:p>
            <w:pPr>
              <w:ind w:firstLine="0"/>
              <w:jc w:val="center"/>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概况</w:t>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1</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2</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3</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4</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 xml:space="preserve">5</w:t>
            </w:r>
            <w:r/>
          </w:p>
        </w:tc>
        <w:tc>
          <w:tcPr>
            <w:tcW w:w="1689"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tc>
      </w:tr>
    </w:tbl>
    <w:p>
      <w:pPr>
        <w:ind w:firstLine="0"/>
        <w:jc w:val="both"/>
        <w:rPr>
          <w:rFonts w:ascii="宋体" w:hAnsi="宋体" w:cs="宋体"/>
          <w:color w:val="auto"/>
          <w:szCs w:val="24"/>
          <w:highlight w:val="none"/>
          <w:shd w:val="clear" w:color="auto" w:fill="ffffff"/>
          <w:lang w:eastAsia="zh-CN" w:bidi="ar"/>
        </w:rPr>
      </w:pPr>
      <w:r>
        <w:rPr>
          <w:rFonts w:ascii="宋体" w:hAnsi="宋体" w:cs="宋体"/>
          <w:color w:val="auto"/>
          <w:szCs w:val="24"/>
          <w:highlight w:val="none"/>
          <w:shd w:val="clear" w:color="auto" w:fill="ffffff"/>
          <w:lang w:eastAsia="zh-CN" w:bidi="ar"/>
        </w:rPr>
      </w:r>
      <w:r/>
    </w:p>
    <w:p>
      <w:pPr>
        <w:ind w:firstLine="0"/>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widowControl w:val="off"/>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（十四）技术方案（详见评分标准）</w:t>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center"/>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widowControl w:val="off"/>
        <w:rPr>
          <w:rFonts w:ascii="宋体" w:hAnsi="宋体" w:cs="Times New Roman"/>
          <w:bCs/>
          <w:color w:val="auto"/>
          <w:szCs w:val="24"/>
          <w:highlight w:val="none"/>
          <w:lang w:eastAsia="zh-CN"/>
        </w:rPr>
        <w:sectPr>
          <w:headerReference w:type="default" r:id="rId11"/>
          <w:footerReference w:type="default" r:id="rId17"/>
          <w:footnotePr/>
          <w:endnotePr/>
          <w:type w:val="nextPage"/>
          <w:pgSz w:w="11906" w:h="16838" w:orient="portrait"/>
          <w:pgMar w:top="1440" w:right="992" w:bottom="1440" w:left="992" w:header="624" w:footer="907" w:gutter="0"/>
          <w:cols w:num="1" w:sep="0" w:space="1701" w:equalWidth="1"/>
          <w:docGrid w:linePitch="360"/>
          <w:titlePg/>
        </w:sect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宋体"/>
          <w:b/>
          <w:color w:val="auto"/>
          <w:szCs w:val="24"/>
          <w:highlight w:val="none"/>
          <w:lang w:eastAsia="zh-CN"/>
        </w:rPr>
      </w:pPr>
      <w:r/>
      <w:bookmarkStart w:id="45" w:name="_Toc112006949"/>
      <w:r>
        <w:rPr>
          <w:rFonts w:hint="eastAsia" w:ascii="宋体" w:hAnsi="宋体" w:cs="宋体"/>
          <w:b/>
          <w:color w:val="auto"/>
          <w:szCs w:val="24"/>
          <w:highlight w:val="none"/>
          <w:lang w:eastAsia="zh-CN"/>
        </w:rPr>
        <w:t xml:space="preserve">（十五）（供应商）其他材料</w:t>
      </w:r>
      <w:bookmarkEnd w:id="45"/>
      <w:r>
        <w:rPr>
          <w:rFonts w:hint="eastAsia" w:ascii="宋体" w:hAnsi="宋体" w:cs="宋体"/>
          <w:b/>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96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0"/>
        <w:jc w:val="both"/>
        <w:widowControl w:val="off"/>
        <w:rPr>
          <w:rFonts w:ascii="仿宋_GB2312" w:hAnsi="宋体" w:eastAsia="仿宋_GB2312" w:cs="Times New Roman"/>
          <w:color w:val="auto"/>
          <w:szCs w:val="24"/>
          <w:highlight w:val="none"/>
          <w:lang w:eastAsia="zh-CN"/>
        </w:rPr>
      </w:pPr>
      <w:r>
        <w:rPr>
          <w:rFonts w:ascii="仿宋_GB2312" w:hAnsi="宋体" w:eastAsia="仿宋_GB2312" w:cs="Times New Roman"/>
          <w:color w:val="auto"/>
          <w:szCs w:val="24"/>
          <w:highlight w:val="none"/>
          <w:lang w:eastAsia="zh-CN"/>
        </w:rPr>
      </w:r>
      <w:r/>
    </w:p>
    <w:p>
      <w:pPr>
        <w:ind w:firstLine="44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年  月   日</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both"/>
      <w:spacing w:line="240" w:lineRule="auto"/>
      <w:widowControl w:val="off"/>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2818130</wp:posOffset>
              </wp:positionH>
              <wp:positionV relativeFrom="paragraph">
                <wp:posOffset>0</wp:posOffset>
              </wp:positionV>
              <wp:extent cx="207645" cy="15938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07645" cy="159385"/>
                      </a:xfrm>
                      <a:prstGeom prst="rect">
                        <a:avLst/>
                      </a:prstGeom>
                      <a:noFill/>
                      <a:ln w="6350">
                        <a:noFill/>
                      </a:ln>
                    </wps:spPr>
                    <wps:txbx>
                      <w:txbxContent>
                        <w:p>
                          <w:pPr>
                            <w:ind w:firstLine="0"/>
                            <w:jc w:val="both"/>
                            <w:spacing w:line="240" w:lineRule="auto"/>
                            <w:widowControl w:val="off"/>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 MERGEFORMAT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1</w:t>
                          </w:r>
                          <w:r>
                            <w:rPr>
                              <w:rFonts w:ascii="Times New Roman" w:hAnsi="Times New Roman" w:eastAsia="宋体" w:cs="Times New Roman"/>
                              <w:sz w:val="18"/>
                              <w:szCs w:val="21"/>
                              <w:lang w:val="en-US" w:eastAsia="zh-CN" w:bidi="ar-SA"/>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21.9pt;mso-position-horizontal:absolute;mso-position-vertical-relative:text;margin-top:0.0pt;mso-position-vertical:absolute;width:16.3pt;height:12.5pt;mso-wrap-distance-left:9.0pt;mso-wrap-distance-top:0.0pt;mso-wrap-distance-right:9.0pt;mso-wrap-distance-bottom:0.0pt;visibility:visible;" filled="f" stroked="f" strokeweight="0.50pt">
              <v:textbox inset="0,0,0,0">
                <w:txbxContent>
                  <w:p>
                    <w:pPr>
                      <w:ind w:firstLine="0"/>
                      <w:jc w:val="both"/>
                      <w:spacing w:line="240" w:lineRule="auto"/>
                      <w:widowControl w:val="off"/>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 MERGEFORMAT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 xml:space="preserve">1</w:t>
                    </w:r>
                    <w:r>
                      <w:rPr>
                        <w:rFonts w:ascii="Times New Roman" w:hAnsi="Times New Roman" w:eastAsia="宋体" w:cs="Times New Roman"/>
                        <w:sz w:val="18"/>
                        <w:szCs w:val="21"/>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both"/>
      <w:spacing w:line="360" w:lineRule="auto"/>
      <w:widowControl w:val="off"/>
      <w:rPr>
        <w:rFonts w:ascii="宋体" w:hAnsi="宋体" w:eastAsia="宋体" w:cs="宋体"/>
        <w:b/>
        <w:sz w:val="24"/>
        <w:szCs w:val="24"/>
        <w:lang w:eastAsia="zh-CN"/>
      </w:rPr>
    </w:pPr>
    <w:r>
      <w:rPr>
        <w:rFonts w:ascii="宋体" w:hAnsi="宋体" w:eastAsia="宋体" w:cs="宋体"/>
        <w:b/>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ind w:firstLine="361"/>
                            <w:jc w:val="left"/>
                            <w:spacing w:line="360" w:lineRule="auto"/>
                            <w:widowControl w:val="off"/>
                            <w:rPr>
                              <w:rFonts w:ascii="宋体" w:hAnsi="宋体" w:eastAsia="宋体" w:cs="宋体"/>
                              <w:b/>
                              <w:sz w:val="18"/>
                              <w:szCs w:val="18"/>
                              <w:lang w:eastAsia="zh-CN"/>
                            </w:rPr>
                          </w:pPr>
                          <w:r>
                            <w:rPr>
                              <w:rFonts w:ascii="宋体" w:hAnsi="宋体" w:eastAsia="宋体" w:cs="宋体"/>
                              <w:b/>
                              <w:sz w:val="18"/>
                              <w:szCs w:val="18"/>
                              <w:lang w:eastAsia="zh-CN"/>
                            </w:rPr>
                            <w:fldChar w:fldCharType="begin"/>
                          </w:r>
                          <w:r>
                            <w:rPr>
                              <w:rFonts w:ascii="宋体" w:hAnsi="宋体" w:eastAsia="宋体" w:cs="宋体"/>
                              <w:b/>
                              <w:sz w:val="18"/>
                              <w:szCs w:val="18"/>
                              <w:lang w:eastAsia="zh-CN"/>
                            </w:rPr>
                            <w:instrText xml:space="preserve"> PAGE  \* MERGEFORMAT </w:instrText>
                          </w:r>
                          <w:r>
                            <w:rPr>
                              <w:rFonts w:ascii="宋体" w:hAnsi="宋体" w:eastAsia="宋体" w:cs="宋体"/>
                              <w:b/>
                              <w:sz w:val="18"/>
                              <w:szCs w:val="18"/>
                              <w:lang w:eastAsia="zh-CN"/>
                            </w:rPr>
                            <w:fldChar w:fldCharType="separate"/>
                          </w:r>
                          <w:r>
                            <w:rPr>
                              <w:rFonts w:ascii="宋体" w:hAnsi="宋体" w:eastAsia="宋体" w:cs="宋体"/>
                              <w:b/>
                              <w:sz w:val="18"/>
                              <w:szCs w:val="18"/>
                              <w:lang w:eastAsia="zh-CN"/>
                            </w:rPr>
                            <w:t xml:space="preserve">19</w:t>
                          </w:r>
                          <w:r>
                            <w:rPr>
                              <w:rFonts w:ascii="宋体" w:hAnsi="宋体" w:eastAsia="宋体" w:cs="宋体"/>
                              <w:b/>
                              <w:sz w:val="18"/>
                              <w:szCs w:val="18"/>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361"/>
                      <w:jc w:val="left"/>
                      <w:spacing w:line="360" w:lineRule="auto"/>
                      <w:widowControl w:val="off"/>
                      <w:rPr>
                        <w:rFonts w:ascii="宋体" w:hAnsi="宋体" w:eastAsia="宋体" w:cs="宋体"/>
                        <w:b/>
                        <w:sz w:val="18"/>
                        <w:szCs w:val="18"/>
                        <w:lang w:eastAsia="zh-CN"/>
                      </w:rPr>
                    </w:pPr>
                    <w:r>
                      <w:rPr>
                        <w:rFonts w:ascii="宋体" w:hAnsi="宋体" w:eastAsia="宋体" w:cs="宋体"/>
                        <w:b/>
                        <w:sz w:val="18"/>
                        <w:szCs w:val="18"/>
                        <w:lang w:eastAsia="zh-CN"/>
                      </w:rPr>
                      <w:fldChar w:fldCharType="begin"/>
                    </w:r>
                    <w:r>
                      <w:rPr>
                        <w:rFonts w:ascii="宋体" w:hAnsi="宋体" w:eastAsia="宋体" w:cs="宋体"/>
                        <w:b/>
                        <w:sz w:val="18"/>
                        <w:szCs w:val="18"/>
                        <w:lang w:eastAsia="zh-CN"/>
                      </w:rPr>
                      <w:instrText xml:space="preserve"> PAGE  \* MERGEFORMAT </w:instrText>
                    </w:r>
                    <w:r>
                      <w:rPr>
                        <w:rFonts w:ascii="宋体" w:hAnsi="宋体" w:eastAsia="宋体" w:cs="宋体"/>
                        <w:b/>
                        <w:sz w:val="18"/>
                        <w:szCs w:val="18"/>
                        <w:lang w:eastAsia="zh-CN"/>
                      </w:rPr>
                      <w:fldChar w:fldCharType="separate"/>
                    </w:r>
                    <w:r>
                      <w:rPr>
                        <w:rFonts w:ascii="宋体" w:hAnsi="宋体" w:eastAsia="宋体" w:cs="宋体"/>
                        <w:b/>
                        <w:sz w:val="18"/>
                        <w:szCs w:val="18"/>
                        <w:lang w:eastAsia="zh-CN"/>
                      </w:rPr>
                      <w:t xml:space="preserve">19</w:t>
                    </w:r>
                    <w:r>
                      <w:rPr>
                        <w:rFonts w:ascii="宋体" w:hAnsi="宋体" w:eastAsia="宋体" w:cs="宋体"/>
                        <w:b/>
                        <w:sz w:val="18"/>
                        <w:szCs w:val="18"/>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10478" cy="19715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510478" cy="197150"/>
                      </a:xfrm>
                      <a:prstGeom prst="rect">
                        <a:avLst/>
                      </a:prstGeom>
                      <a:noFill/>
                      <a:ln w="6350">
                        <a:noFill/>
                      </a:ln>
                      <a:effectLst/>
                    </wps:spPr>
                    <wps:txbx>
                      <w:txbxContent>
                        <w:p>
                          <w:pPr>
                            <w:pStyle w:val="1110"/>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40.2pt;height:15.5pt;mso-wrap-distance-left:9.0pt;mso-wrap-distance-top:0.0pt;mso-wrap-distance-right:9.0pt;mso-wrap-distance-bottom:0.0pt;v-text-anchor:top;visibility:visible;" filled="f" stroked="f" strokeweight="0.50pt">
              <v:textbox inset="0,0,0,0">
                <w:txbxContent>
                  <w:p>
                    <w:pPr>
                      <w:pStyle w:val="1110"/>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1110"/>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1"/>
      <w:jc w:val="right"/>
      <w:spacing w:before="186" w:line="227" w:lineRule="auto"/>
      <w:rPr>
        <w:rFonts w:ascii="Arial" w:hAnsi="Arial" w:eastAsia="Arial" w:cs="Arial"/>
        <w:color w:val="000000"/>
        <w:sz w:val="18"/>
        <w:szCs w:val="18"/>
        <w:lang w:val="en-US" w:eastAsia="en-US" w:bidi="ar-SA"/>
      </w:rPr>
    </w:pPr>
    <w:r>
      <w:rPr>
        <w:rFonts w:ascii="Arial" w:hAnsi="Arial" w:eastAsia="Arial" w:cs="Arial"/>
        <w:color w:val="000000"/>
        <w:sz w:val="18"/>
        <w:szCs w:val="18"/>
        <w:lang w:val="en-US" w:eastAsia="en-US"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spacing w:line="360" w:lineRule="auto"/>
      <w:widowControl w:val="off"/>
      <w:rPr>
        <w:rFonts w:ascii="宋体" w:hAnsi="宋体" w:eastAsia="宋体" w:cs="宋体"/>
        <w:b/>
        <w:sz w:val="24"/>
        <w:szCs w:val="24"/>
        <w:lang w:eastAsia="zh-CN"/>
      </w:rPr>
    </w:pPr>
    <w:r>
      <w:rPr>
        <w:rFonts w:ascii="宋体" w:hAnsi="宋体" w:eastAsia="宋体" w:cs="宋体"/>
        <w:b/>
        <w:sz w:val="24"/>
        <w:szCs w:val="24"/>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firstLine="0"/>
      <w:jc w:val="left"/>
      <w:rPr>
        <w:lang w:eastAsia="zh-CN"/>
      </w:rPr>
    </w:pPr>
    <w:r>
      <w:rPr>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0">
    <w:name w:val="Heading 1 Char"/>
    <w:basedOn w:val="1100"/>
    <w:link w:val="1096"/>
    <w:uiPriority w:val="9"/>
    <w:rPr>
      <w:rFonts w:ascii="Arial" w:hAnsi="Arial" w:eastAsia="Arial" w:cs="Arial"/>
      <w:sz w:val="40"/>
      <w:szCs w:val="40"/>
    </w:rPr>
  </w:style>
  <w:style w:type="character" w:styleId="931">
    <w:name w:val="Heading 2 Char"/>
    <w:basedOn w:val="1100"/>
    <w:link w:val="1097"/>
    <w:uiPriority w:val="9"/>
    <w:rPr>
      <w:rFonts w:ascii="Arial" w:hAnsi="Arial" w:eastAsia="Arial" w:cs="Arial"/>
      <w:sz w:val="34"/>
    </w:rPr>
  </w:style>
  <w:style w:type="character" w:styleId="932">
    <w:name w:val="Heading 3 Char"/>
    <w:basedOn w:val="1100"/>
    <w:link w:val="1098"/>
    <w:uiPriority w:val="9"/>
    <w:rPr>
      <w:rFonts w:ascii="Arial" w:hAnsi="Arial" w:eastAsia="Arial" w:cs="Arial"/>
      <w:sz w:val="30"/>
      <w:szCs w:val="30"/>
    </w:rPr>
  </w:style>
  <w:style w:type="character" w:styleId="933">
    <w:name w:val="Heading 4 Char"/>
    <w:basedOn w:val="1100"/>
    <w:link w:val="1099"/>
    <w:uiPriority w:val="9"/>
    <w:rPr>
      <w:rFonts w:ascii="Arial" w:hAnsi="Arial" w:eastAsia="Arial" w:cs="Arial"/>
      <w:b/>
      <w:bCs/>
      <w:sz w:val="26"/>
      <w:szCs w:val="26"/>
    </w:rPr>
  </w:style>
  <w:style w:type="paragraph" w:styleId="934">
    <w:name w:val="Heading 5"/>
    <w:basedOn w:val="1095"/>
    <w:next w:val="1095"/>
    <w:link w:val="935"/>
    <w:uiPriority w:val="9"/>
    <w:unhideWhenUsed/>
    <w:qFormat/>
    <w:pPr>
      <w:keepLines/>
      <w:keepNext/>
      <w:spacing w:before="320" w:after="200"/>
      <w:outlineLvl w:val="4"/>
    </w:pPr>
    <w:rPr>
      <w:rFonts w:ascii="Arial" w:hAnsi="Arial" w:eastAsia="Arial" w:cs="Arial"/>
      <w:b/>
      <w:bCs/>
      <w:sz w:val="24"/>
      <w:szCs w:val="24"/>
    </w:rPr>
  </w:style>
  <w:style w:type="character" w:styleId="935">
    <w:name w:val="Heading 5 Char"/>
    <w:basedOn w:val="1100"/>
    <w:link w:val="934"/>
    <w:uiPriority w:val="9"/>
    <w:rPr>
      <w:rFonts w:ascii="Arial" w:hAnsi="Arial" w:eastAsia="Arial" w:cs="Arial"/>
      <w:b/>
      <w:bCs/>
      <w:sz w:val="24"/>
      <w:szCs w:val="24"/>
    </w:rPr>
  </w:style>
  <w:style w:type="paragraph" w:styleId="936">
    <w:name w:val="Heading 6"/>
    <w:basedOn w:val="1095"/>
    <w:next w:val="1095"/>
    <w:link w:val="937"/>
    <w:uiPriority w:val="9"/>
    <w:unhideWhenUsed/>
    <w:qFormat/>
    <w:pPr>
      <w:keepLines/>
      <w:keepNext/>
      <w:spacing w:before="320" w:after="200"/>
      <w:outlineLvl w:val="5"/>
    </w:pPr>
    <w:rPr>
      <w:rFonts w:ascii="Arial" w:hAnsi="Arial" w:eastAsia="Arial" w:cs="Arial"/>
      <w:b/>
      <w:bCs/>
      <w:sz w:val="22"/>
      <w:szCs w:val="22"/>
    </w:rPr>
  </w:style>
  <w:style w:type="character" w:styleId="937">
    <w:name w:val="Heading 6 Char"/>
    <w:basedOn w:val="1100"/>
    <w:link w:val="936"/>
    <w:uiPriority w:val="9"/>
    <w:rPr>
      <w:rFonts w:ascii="Arial" w:hAnsi="Arial" w:eastAsia="Arial" w:cs="Arial"/>
      <w:b/>
      <w:bCs/>
      <w:sz w:val="22"/>
      <w:szCs w:val="22"/>
    </w:rPr>
  </w:style>
  <w:style w:type="paragraph" w:styleId="938">
    <w:name w:val="Heading 7"/>
    <w:basedOn w:val="1095"/>
    <w:next w:val="1095"/>
    <w:link w:val="939"/>
    <w:uiPriority w:val="9"/>
    <w:unhideWhenUsed/>
    <w:qFormat/>
    <w:pPr>
      <w:keepLines/>
      <w:keepNext/>
      <w:spacing w:before="320" w:after="200"/>
      <w:outlineLvl w:val="6"/>
    </w:pPr>
    <w:rPr>
      <w:rFonts w:ascii="Arial" w:hAnsi="Arial" w:eastAsia="Arial" w:cs="Arial"/>
      <w:b/>
      <w:bCs/>
      <w:i/>
      <w:iCs/>
      <w:sz w:val="22"/>
      <w:szCs w:val="22"/>
    </w:rPr>
  </w:style>
  <w:style w:type="character" w:styleId="939">
    <w:name w:val="Heading 7 Char"/>
    <w:basedOn w:val="1100"/>
    <w:link w:val="938"/>
    <w:uiPriority w:val="9"/>
    <w:rPr>
      <w:rFonts w:ascii="Arial" w:hAnsi="Arial" w:eastAsia="Arial" w:cs="Arial"/>
      <w:b/>
      <w:bCs/>
      <w:i/>
      <w:iCs/>
      <w:sz w:val="22"/>
      <w:szCs w:val="22"/>
    </w:rPr>
  </w:style>
  <w:style w:type="paragraph" w:styleId="940">
    <w:name w:val="Heading 8"/>
    <w:basedOn w:val="1095"/>
    <w:next w:val="1095"/>
    <w:link w:val="941"/>
    <w:uiPriority w:val="9"/>
    <w:unhideWhenUsed/>
    <w:qFormat/>
    <w:pPr>
      <w:keepLines/>
      <w:keepNext/>
      <w:spacing w:before="320" w:after="200"/>
      <w:outlineLvl w:val="7"/>
    </w:pPr>
    <w:rPr>
      <w:rFonts w:ascii="Arial" w:hAnsi="Arial" w:eastAsia="Arial" w:cs="Arial"/>
      <w:i/>
      <w:iCs/>
      <w:sz w:val="22"/>
      <w:szCs w:val="22"/>
    </w:rPr>
  </w:style>
  <w:style w:type="character" w:styleId="941">
    <w:name w:val="Heading 8 Char"/>
    <w:basedOn w:val="1100"/>
    <w:link w:val="940"/>
    <w:uiPriority w:val="9"/>
    <w:rPr>
      <w:rFonts w:ascii="Arial" w:hAnsi="Arial" w:eastAsia="Arial" w:cs="Arial"/>
      <w:i/>
      <w:iCs/>
      <w:sz w:val="22"/>
      <w:szCs w:val="22"/>
    </w:rPr>
  </w:style>
  <w:style w:type="paragraph" w:styleId="942">
    <w:name w:val="Heading 9"/>
    <w:basedOn w:val="1095"/>
    <w:next w:val="1095"/>
    <w:link w:val="943"/>
    <w:uiPriority w:val="9"/>
    <w:unhideWhenUsed/>
    <w:qFormat/>
    <w:pPr>
      <w:keepLines/>
      <w:keepNext/>
      <w:spacing w:before="320" w:after="200"/>
      <w:outlineLvl w:val="8"/>
    </w:pPr>
    <w:rPr>
      <w:rFonts w:ascii="Arial" w:hAnsi="Arial" w:eastAsia="Arial" w:cs="Arial"/>
      <w:i/>
      <w:iCs/>
      <w:sz w:val="21"/>
      <w:szCs w:val="21"/>
    </w:rPr>
  </w:style>
  <w:style w:type="character" w:styleId="943">
    <w:name w:val="Heading 9 Char"/>
    <w:basedOn w:val="1100"/>
    <w:link w:val="942"/>
    <w:uiPriority w:val="9"/>
    <w:rPr>
      <w:rFonts w:ascii="Arial" w:hAnsi="Arial" w:eastAsia="Arial" w:cs="Arial"/>
      <w:i/>
      <w:iCs/>
      <w:sz w:val="21"/>
      <w:szCs w:val="21"/>
    </w:rPr>
  </w:style>
  <w:style w:type="paragraph" w:styleId="944">
    <w:name w:val="Title"/>
    <w:basedOn w:val="1095"/>
    <w:next w:val="1095"/>
    <w:link w:val="945"/>
    <w:uiPriority w:val="10"/>
    <w:qFormat/>
    <w:pPr>
      <w:contextualSpacing/>
      <w:spacing w:before="300" w:after="200"/>
    </w:pPr>
    <w:rPr>
      <w:sz w:val="48"/>
      <w:szCs w:val="48"/>
    </w:rPr>
  </w:style>
  <w:style w:type="character" w:styleId="945">
    <w:name w:val="Title Char"/>
    <w:basedOn w:val="1100"/>
    <w:link w:val="944"/>
    <w:uiPriority w:val="10"/>
    <w:rPr>
      <w:sz w:val="48"/>
      <w:szCs w:val="48"/>
    </w:rPr>
  </w:style>
  <w:style w:type="paragraph" w:styleId="946">
    <w:name w:val="Subtitle"/>
    <w:basedOn w:val="1095"/>
    <w:next w:val="1095"/>
    <w:link w:val="947"/>
    <w:uiPriority w:val="11"/>
    <w:qFormat/>
    <w:pPr>
      <w:spacing w:before="200" w:after="200"/>
    </w:pPr>
    <w:rPr>
      <w:sz w:val="24"/>
      <w:szCs w:val="24"/>
    </w:rPr>
  </w:style>
  <w:style w:type="character" w:styleId="947">
    <w:name w:val="Subtitle Char"/>
    <w:basedOn w:val="1100"/>
    <w:link w:val="946"/>
    <w:uiPriority w:val="11"/>
    <w:rPr>
      <w:sz w:val="24"/>
      <w:szCs w:val="24"/>
    </w:rPr>
  </w:style>
  <w:style w:type="paragraph" w:styleId="948">
    <w:name w:val="Quote"/>
    <w:basedOn w:val="1095"/>
    <w:next w:val="1095"/>
    <w:link w:val="949"/>
    <w:uiPriority w:val="29"/>
    <w:qFormat/>
    <w:pPr>
      <w:ind w:left="720" w:right="720"/>
    </w:pPr>
    <w:rPr>
      <w:i/>
    </w:rPr>
  </w:style>
  <w:style w:type="character" w:styleId="949">
    <w:name w:val="Quote Char"/>
    <w:link w:val="948"/>
    <w:uiPriority w:val="29"/>
    <w:rPr>
      <w:i/>
    </w:rPr>
  </w:style>
  <w:style w:type="paragraph" w:styleId="950">
    <w:name w:val="Intense Quote"/>
    <w:basedOn w:val="1095"/>
    <w:next w:val="1095"/>
    <w:link w:val="9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name w:val="Intense Quote Char"/>
    <w:link w:val="950"/>
    <w:uiPriority w:val="30"/>
    <w:rPr>
      <w:i/>
    </w:rPr>
  </w:style>
  <w:style w:type="character" w:styleId="952">
    <w:name w:val="Header Char"/>
    <w:basedOn w:val="1100"/>
    <w:link w:val="1111"/>
    <w:uiPriority w:val="99"/>
  </w:style>
  <w:style w:type="character" w:styleId="953">
    <w:name w:val="Footer Char"/>
    <w:basedOn w:val="1100"/>
    <w:link w:val="1110"/>
    <w:uiPriority w:val="99"/>
  </w:style>
  <w:style w:type="paragraph" w:styleId="954">
    <w:name w:val="Caption"/>
    <w:basedOn w:val="1095"/>
    <w:next w:val="1095"/>
    <w:uiPriority w:val="35"/>
    <w:semiHidden/>
    <w:unhideWhenUsed/>
    <w:qFormat/>
    <w:pPr>
      <w:spacing w:line="276" w:lineRule="auto"/>
    </w:pPr>
    <w:rPr>
      <w:b/>
      <w:bCs/>
      <w:color w:val="4f81bd" w:themeColor="accent1"/>
      <w:sz w:val="18"/>
      <w:szCs w:val="18"/>
    </w:rPr>
  </w:style>
  <w:style w:type="character" w:styleId="955">
    <w:name w:val="Caption Char"/>
    <w:basedOn w:val="954"/>
    <w:link w:val="1110"/>
    <w:uiPriority w:val="99"/>
  </w:style>
  <w:style w:type="table" w:styleId="956">
    <w:name w:val="Table Grid Light"/>
    <w:basedOn w:val="1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7">
    <w:name w:val="Plain Table 1"/>
    <w:basedOn w:val="1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2"/>
    <w:basedOn w:val="11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3"/>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name w:val="Plain Table 4"/>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name w:val="Plain Table 5"/>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2">
    <w:name w:val="Grid Table 1 Light"/>
    <w:basedOn w:val="11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3">
    <w:name w:val="Grid Table 1 Light - Accent 1"/>
    <w:basedOn w:val="1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4">
    <w:name w:val="Grid Table 1 Light - Accent 2"/>
    <w:basedOn w:val="1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5">
    <w:name w:val="Grid Table 1 Light - Accent 3"/>
    <w:basedOn w:val="1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6">
    <w:name w:val="Grid Table 1 Light - Accent 4"/>
    <w:basedOn w:val="1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7">
    <w:name w:val="Grid Table 1 Light - Accent 5"/>
    <w:basedOn w:val="1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8">
    <w:name w:val="Grid Table 1 Light - Accent 6"/>
    <w:basedOn w:val="1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9">
    <w:name w:val="Grid Table 2"/>
    <w:basedOn w:val="1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0">
    <w:name w:val="Grid Table 2 - Accent 1"/>
    <w:basedOn w:val="1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1">
    <w:name w:val="Grid Table 2 - Accent 2"/>
    <w:basedOn w:val="1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2 - Accent 3"/>
    <w:basedOn w:val="1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2 - Accent 4"/>
    <w:basedOn w:val="1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2 - Accent 5"/>
    <w:basedOn w:val="1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5">
    <w:name w:val="Grid Table 2 - Accent 6"/>
    <w:basedOn w:val="1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6">
    <w:name w:val="Grid Table 3"/>
    <w:basedOn w:val="1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1"/>
    <w:basedOn w:val="1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2"/>
    <w:basedOn w:val="1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3"/>
    <w:basedOn w:val="1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4"/>
    <w:basedOn w:val="1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5"/>
    <w:basedOn w:val="1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6"/>
    <w:basedOn w:val="1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4"/>
    <w:basedOn w:val="11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name w:val="Grid Table 4 - Accent 1"/>
    <w:basedOn w:val="11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5">
    <w:name w:val="Grid Table 4 - Accent 2"/>
    <w:basedOn w:val="11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6">
    <w:name w:val="Grid Table 4 - Accent 3"/>
    <w:basedOn w:val="11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7">
    <w:name w:val="Grid Table 4 - Accent 4"/>
    <w:basedOn w:val="11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8">
    <w:name w:val="Grid Table 4 - Accent 5"/>
    <w:basedOn w:val="11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9">
    <w:name w:val="Grid Table 4 - Accent 6"/>
    <w:basedOn w:val="11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0">
    <w:name w:val="Grid Table 5 Dark"/>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1">
    <w:name w:val="Grid Table 5 Dark- Accent 1"/>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92">
    <w:name w:val="Grid Table 5 Dark - Accent 2"/>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93">
    <w:name w:val="Grid Table 5 Dark - Accent 3"/>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94">
    <w:name w:val="Grid Table 5 Dark- Accent 4"/>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95">
    <w:name w:val="Grid Table 5 Dark - Accent 5"/>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96">
    <w:name w:val="Grid Table 5 Dark - Accent 6"/>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97">
    <w:name w:val="Grid Table 6 Colorful"/>
    <w:basedOn w:val="11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8">
    <w:name w:val="Grid Table 6 Colorful - Accent 1"/>
    <w:basedOn w:val="11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99">
    <w:name w:val="Grid Table 6 Colorful - Accent 2"/>
    <w:basedOn w:val="1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00">
    <w:name w:val="Grid Table 6 Colorful - Accent 3"/>
    <w:basedOn w:val="11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01">
    <w:name w:val="Grid Table 6 Colorful - Accent 4"/>
    <w:basedOn w:val="1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02">
    <w:name w:val="Grid Table 6 Colorful - Accent 5"/>
    <w:basedOn w:val="11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03">
    <w:name w:val="Grid Table 6 Colorful - Accent 6"/>
    <w:basedOn w:val="11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04">
    <w:name w:val="Grid Table 7 Colorful"/>
    <w:basedOn w:val="11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5">
    <w:name w:val="Grid Table 7 Colorful - Accent 1"/>
    <w:basedOn w:val="11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6">
    <w:name w:val="Grid Table 7 Colorful - Accent 2"/>
    <w:basedOn w:val="11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7">
    <w:name w:val="Grid Table 7 Colorful - Accent 3"/>
    <w:basedOn w:val="11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8">
    <w:name w:val="Grid Table 7 Colorful - Accent 4"/>
    <w:basedOn w:val="11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9">
    <w:name w:val="Grid Table 7 Colorful - Accent 5"/>
    <w:basedOn w:val="11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0">
    <w:name w:val="Grid Table 7 Colorful - Accent 6"/>
    <w:basedOn w:val="11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1">
    <w:name w:val="List Table 1 Light"/>
    <w:basedOn w:val="11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name w:val="List Table 1 Light - Accent 1"/>
    <w:basedOn w:val="110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3">
    <w:name w:val="List Table 1 Light - Accent 2"/>
    <w:basedOn w:val="11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4">
    <w:name w:val="List Table 1 Light - Accent 3"/>
    <w:basedOn w:val="11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5">
    <w:name w:val="List Table 1 Light - Accent 4"/>
    <w:basedOn w:val="11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6">
    <w:name w:val="List Table 1 Light - Accent 5"/>
    <w:basedOn w:val="110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7">
    <w:name w:val="List Table 1 Light - Accent 6"/>
    <w:basedOn w:val="11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8">
    <w:name w:val="List Table 2"/>
    <w:basedOn w:val="11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9">
    <w:name w:val="List Table 2 - Accent 1"/>
    <w:basedOn w:val="11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0">
    <w:name w:val="List Table 2 - Accent 2"/>
    <w:basedOn w:val="11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1">
    <w:name w:val="List Table 2 - Accent 3"/>
    <w:basedOn w:val="11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2">
    <w:name w:val="List Table 2 - Accent 4"/>
    <w:basedOn w:val="11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3">
    <w:name w:val="List Table 2 - Accent 5"/>
    <w:basedOn w:val="11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4">
    <w:name w:val="List Table 2 - Accent 6"/>
    <w:basedOn w:val="11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5">
    <w:name w:val="List Table 3"/>
    <w:basedOn w:val="1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3 - Accent 1"/>
    <w:basedOn w:val="11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27">
    <w:name w:val="List Table 3 - Accent 2"/>
    <w:basedOn w:val="1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28">
    <w:name w:val="List Table 3 - Accent 3"/>
    <w:basedOn w:val="11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29">
    <w:name w:val="List Table 3 - Accent 4"/>
    <w:basedOn w:val="1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30">
    <w:name w:val="List Table 3 - Accent 5"/>
    <w:basedOn w:val="11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31">
    <w:name w:val="List Table 3 - Accent 6"/>
    <w:basedOn w:val="11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32">
    <w:name w:val="List Table 4"/>
    <w:basedOn w:val="1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4 - Accent 1"/>
    <w:basedOn w:val="11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34">
    <w:name w:val="List Table 4 - Accent 2"/>
    <w:basedOn w:val="11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35">
    <w:name w:val="List Table 4 - Accent 3"/>
    <w:basedOn w:val="11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36">
    <w:name w:val="List Table 4 - Accent 4"/>
    <w:basedOn w:val="11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37">
    <w:name w:val="List Table 4 - Accent 5"/>
    <w:basedOn w:val="11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38">
    <w:name w:val="List Table 4 - Accent 6"/>
    <w:basedOn w:val="11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39">
    <w:name w:val="List Table 5 Dark"/>
    <w:basedOn w:val="11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1"/>
    <w:basedOn w:val="11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2"/>
    <w:basedOn w:val="11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3"/>
    <w:basedOn w:val="11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4"/>
    <w:basedOn w:val="11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5"/>
    <w:basedOn w:val="11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6"/>
    <w:basedOn w:val="11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6 Colorful"/>
    <w:basedOn w:val="11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7">
    <w:name w:val="List Table 6 Colorful - Accent 1"/>
    <w:basedOn w:val="11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48">
    <w:name w:val="List Table 6 Colorful - Accent 2"/>
    <w:basedOn w:val="11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49">
    <w:name w:val="List Table 6 Colorful - Accent 3"/>
    <w:basedOn w:val="11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50">
    <w:name w:val="List Table 6 Colorful - Accent 4"/>
    <w:basedOn w:val="11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51">
    <w:name w:val="List Table 6 Colorful - Accent 5"/>
    <w:basedOn w:val="11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52">
    <w:name w:val="List Table 6 Colorful - Accent 6"/>
    <w:basedOn w:val="11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53">
    <w:name w:val="List Table 7 Colorful"/>
    <w:basedOn w:val="11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4">
    <w:name w:val="List Table 7 Colorful - Accent 1"/>
    <w:basedOn w:val="11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55">
    <w:name w:val="List Table 7 Colorful - Accent 2"/>
    <w:basedOn w:val="11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56">
    <w:name w:val="List Table 7 Colorful - Accent 3"/>
    <w:basedOn w:val="11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57">
    <w:name w:val="List Table 7 Colorful - Accent 4"/>
    <w:basedOn w:val="11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58">
    <w:name w:val="List Table 7 Colorful - Accent 5"/>
    <w:basedOn w:val="11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59">
    <w:name w:val="List Table 7 Colorful - Accent 6"/>
    <w:basedOn w:val="11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60">
    <w:name w:val="Lined - Accent"/>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Lined - Accent 1"/>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62">
    <w:name w:val="Lined - Accent 2"/>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63">
    <w:name w:val="Lined - Accent 3"/>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64">
    <w:name w:val="Lined - Accent 4"/>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65">
    <w:name w:val="Lined - Accent 5"/>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66">
    <w:name w:val="Lined - Accent 6"/>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67">
    <w:name w:val="Bordered &amp; Lined - Accent"/>
    <w:basedOn w:val="11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8">
    <w:name w:val="Bordered &amp; Lined - Accent 1"/>
    <w:basedOn w:val="11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69">
    <w:name w:val="Bordered &amp; Lined - Accent 2"/>
    <w:basedOn w:val="11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70">
    <w:name w:val="Bordered &amp; Lined - Accent 3"/>
    <w:basedOn w:val="11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71">
    <w:name w:val="Bordered &amp; Lined - Accent 4"/>
    <w:basedOn w:val="11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72">
    <w:name w:val="Bordered &amp; Lined - Accent 5"/>
    <w:basedOn w:val="11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73">
    <w:name w:val="Bordered &amp; Lined - Accent 6"/>
    <w:basedOn w:val="11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74">
    <w:name w:val="Bordered"/>
    <w:basedOn w:val="11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5">
    <w:name w:val="Bordered - Accent 1"/>
    <w:basedOn w:val="1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6">
    <w:name w:val="Bordered - Accent 2"/>
    <w:basedOn w:val="1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7">
    <w:name w:val="Bordered - Accent 3"/>
    <w:basedOn w:val="1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8">
    <w:name w:val="Bordered - Accent 4"/>
    <w:basedOn w:val="1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9">
    <w:name w:val="Bordered - Accent 5"/>
    <w:basedOn w:val="1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0">
    <w:name w:val="Bordered - Accent 6"/>
    <w:basedOn w:val="1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1">
    <w:name w:val="footnote text"/>
    <w:basedOn w:val="1095"/>
    <w:link w:val="1082"/>
    <w:uiPriority w:val="99"/>
    <w:semiHidden/>
    <w:unhideWhenUsed/>
    <w:pPr>
      <w:spacing w:after="40" w:line="240" w:lineRule="auto"/>
    </w:pPr>
    <w:rPr>
      <w:sz w:val="18"/>
    </w:rPr>
  </w:style>
  <w:style w:type="character" w:styleId="1082">
    <w:name w:val="Footnote Text Char"/>
    <w:link w:val="1081"/>
    <w:uiPriority w:val="99"/>
    <w:rPr>
      <w:sz w:val="18"/>
    </w:rPr>
  </w:style>
  <w:style w:type="character" w:styleId="1083">
    <w:name w:val="footnote reference"/>
    <w:basedOn w:val="1100"/>
    <w:uiPriority w:val="99"/>
    <w:unhideWhenUsed/>
    <w:rPr>
      <w:vertAlign w:val="superscript"/>
    </w:rPr>
  </w:style>
  <w:style w:type="paragraph" w:styleId="1084">
    <w:name w:val="endnote text"/>
    <w:basedOn w:val="1095"/>
    <w:link w:val="1085"/>
    <w:uiPriority w:val="99"/>
    <w:semiHidden/>
    <w:unhideWhenUsed/>
    <w:pPr>
      <w:spacing w:after="0" w:line="240" w:lineRule="auto"/>
    </w:pPr>
    <w:rPr>
      <w:sz w:val="20"/>
    </w:rPr>
  </w:style>
  <w:style w:type="character" w:styleId="1085">
    <w:name w:val="Endnote Text Char"/>
    <w:link w:val="1084"/>
    <w:uiPriority w:val="99"/>
    <w:rPr>
      <w:sz w:val="20"/>
    </w:rPr>
  </w:style>
  <w:style w:type="character" w:styleId="1086">
    <w:name w:val="endnote reference"/>
    <w:basedOn w:val="1100"/>
    <w:uiPriority w:val="99"/>
    <w:semiHidden/>
    <w:unhideWhenUsed/>
    <w:rPr>
      <w:vertAlign w:val="superscript"/>
    </w:rPr>
  </w:style>
  <w:style w:type="paragraph" w:styleId="1087">
    <w:name w:val="toc 4"/>
    <w:basedOn w:val="1095"/>
    <w:next w:val="1095"/>
    <w:uiPriority w:val="39"/>
    <w:unhideWhenUsed/>
    <w:pPr>
      <w:ind w:left="850" w:right="0" w:firstLine="0"/>
      <w:spacing w:after="57"/>
    </w:pPr>
  </w:style>
  <w:style w:type="paragraph" w:styleId="1088">
    <w:name w:val="toc 5"/>
    <w:basedOn w:val="1095"/>
    <w:next w:val="1095"/>
    <w:uiPriority w:val="39"/>
    <w:unhideWhenUsed/>
    <w:pPr>
      <w:ind w:left="1134" w:right="0" w:firstLine="0"/>
      <w:spacing w:after="57"/>
    </w:pPr>
  </w:style>
  <w:style w:type="paragraph" w:styleId="1089">
    <w:name w:val="toc 6"/>
    <w:basedOn w:val="1095"/>
    <w:next w:val="1095"/>
    <w:uiPriority w:val="39"/>
    <w:unhideWhenUsed/>
    <w:pPr>
      <w:ind w:left="1417" w:right="0" w:firstLine="0"/>
      <w:spacing w:after="57"/>
    </w:pPr>
  </w:style>
  <w:style w:type="paragraph" w:styleId="1090">
    <w:name w:val="toc 7"/>
    <w:basedOn w:val="1095"/>
    <w:next w:val="1095"/>
    <w:uiPriority w:val="39"/>
    <w:unhideWhenUsed/>
    <w:pPr>
      <w:ind w:left="1701" w:right="0" w:firstLine="0"/>
      <w:spacing w:after="57"/>
    </w:pPr>
  </w:style>
  <w:style w:type="paragraph" w:styleId="1091">
    <w:name w:val="toc 8"/>
    <w:basedOn w:val="1095"/>
    <w:next w:val="1095"/>
    <w:uiPriority w:val="39"/>
    <w:unhideWhenUsed/>
    <w:pPr>
      <w:ind w:left="1984" w:right="0" w:firstLine="0"/>
      <w:spacing w:after="57"/>
    </w:pPr>
  </w:style>
  <w:style w:type="paragraph" w:styleId="1092">
    <w:name w:val="toc 9"/>
    <w:basedOn w:val="1095"/>
    <w:next w:val="1095"/>
    <w:uiPriority w:val="39"/>
    <w:unhideWhenUsed/>
    <w:pPr>
      <w:ind w:left="2268" w:right="0" w:firstLine="0"/>
      <w:spacing w:after="57"/>
    </w:pPr>
  </w:style>
  <w:style w:type="paragraph" w:styleId="1093">
    <w:name w:val="TOC Heading"/>
    <w:uiPriority w:val="39"/>
    <w:unhideWhenUsed/>
  </w:style>
  <w:style w:type="paragraph" w:styleId="1094">
    <w:name w:val="table of figures"/>
    <w:basedOn w:val="1095"/>
    <w:next w:val="1095"/>
    <w:uiPriority w:val="99"/>
    <w:unhideWhenUsed/>
    <w:pPr>
      <w:spacing w:after="0" w:afterAutospacing="0"/>
    </w:pPr>
  </w:style>
  <w:style w:type="paragraph" w:styleId="1095"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1096">
    <w:name w:val="Heading 1"/>
    <w:basedOn w:val="1095"/>
    <w:next w:val="1095"/>
    <w:link w:val="1122"/>
    <w:uiPriority w:val="9"/>
    <w:qFormat/>
    <w:pPr>
      <w:ind w:firstLine="0"/>
      <w:jc w:val="center"/>
      <w:keepLines/>
      <w:keepNext/>
      <w:spacing w:line="240" w:lineRule="auto"/>
      <w:outlineLvl w:val="0"/>
    </w:pPr>
    <w:rPr>
      <w:rFonts w:eastAsia="黑体"/>
      <w:b/>
      <w:bCs/>
      <w:sz w:val="36"/>
      <w:szCs w:val="44"/>
    </w:rPr>
  </w:style>
  <w:style w:type="paragraph" w:styleId="1097">
    <w:name w:val="Heading 2"/>
    <w:basedOn w:val="1095"/>
    <w:next w:val="1095"/>
    <w:link w:val="1125"/>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1098">
    <w:name w:val="Heading 3"/>
    <w:basedOn w:val="1095"/>
    <w:next w:val="1095"/>
    <w:link w:val="1126"/>
    <w:uiPriority w:val="9"/>
    <w:unhideWhenUsed/>
    <w:qFormat/>
    <w:pPr>
      <w:ind w:firstLine="0"/>
      <w:keepLines/>
      <w:keepNext/>
      <w:spacing w:line="240" w:lineRule="auto"/>
      <w:outlineLvl w:val="2"/>
    </w:pPr>
    <w:rPr>
      <w:bCs/>
      <w:sz w:val="32"/>
      <w:szCs w:val="32"/>
    </w:rPr>
  </w:style>
  <w:style w:type="paragraph" w:styleId="1099">
    <w:name w:val="Heading 4"/>
    <w:basedOn w:val="1095"/>
    <w:next w:val="1095"/>
    <w:link w:val="1127"/>
    <w:uiPriority w:val="9"/>
    <w:unhideWhenUsed/>
    <w:qFormat/>
    <w:pPr>
      <w:ind w:firstLine="0"/>
      <w:keepLines/>
      <w:keepNext/>
      <w:spacing w:before="120"/>
      <w:outlineLvl w:val="3"/>
    </w:pPr>
    <w:rPr>
      <w:rFonts w:asciiTheme="majorHAnsi" w:hAnsiTheme="majorHAnsi" w:cstheme="majorBidi"/>
      <w:b/>
      <w:bCs/>
      <w:sz w:val="28"/>
      <w:szCs w:val="28"/>
    </w:rPr>
  </w:style>
  <w:style w:type="character" w:styleId="1100" w:default="1">
    <w:name w:val="Default Paragraph Font"/>
    <w:uiPriority w:val="1"/>
    <w:semiHidden/>
    <w:unhideWhenUsed/>
    <w:qFormat/>
  </w:style>
  <w:style w:type="table" w:styleId="1101" w:default="1">
    <w:name w:val="Normal Table"/>
    <w:uiPriority w:val="99"/>
    <w:semiHidden/>
    <w:unhideWhenUsed/>
    <w:qFormat/>
    <w:tblPr>
      <w:tblCellMar>
        <w:left w:w="108" w:type="dxa"/>
        <w:top w:w="0" w:type="dxa"/>
        <w:right w:w="108" w:type="dxa"/>
        <w:bottom w:w="0" w:type="dxa"/>
      </w:tblCellMar>
    </w:tblPr>
  </w:style>
  <w:style w:type="paragraph" w:styleId="1102">
    <w:name w:val="Document Map"/>
    <w:next w:val="1095"/>
    <w:uiPriority w:val="0"/>
    <w:qFormat/>
    <w:pPr>
      <w:ind w:firstLine="200"/>
      <w:jc w:val="both"/>
      <w:spacing w:line="360" w:lineRule="auto"/>
      <w:shd w:val="clear" w:color="auto" w:fill="000080"/>
      <w:widowControl w:val="off"/>
    </w:pPr>
    <w:rPr>
      <w:rFonts w:ascii="Times New Roman" w:hAnsi="Times New Roman" w:eastAsia="宋体" w:cs="Times New Roman"/>
      <w:color w:val="000000"/>
      <w:sz w:val="21"/>
      <w:szCs w:val="24"/>
      <w:shd w:val="clear" w:color="auto" w:fill="000080"/>
      <w:lang w:val="en-US" w:eastAsia="zh-CN" w:bidi="ar-SA"/>
    </w:rPr>
  </w:style>
  <w:style w:type="paragraph" w:styleId="1103">
    <w:name w:val="annotation text"/>
    <w:basedOn w:val="1095"/>
    <w:link w:val="1166"/>
    <w:uiPriority w:val="99"/>
    <w:semiHidden/>
    <w:unhideWhenUsed/>
    <w:qFormat/>
  </w:style>
  <w:style w:type="paragraph" w:styleId="1104">
    <w:name w:val="Body Text"/>
    <w:basedOn w:val="1095"/>
    <w:next w:val="1095"/>
    <w:link w:val="1160"/>
    <w:uiPriority w:val="0"/>
    <w:semiHidden/>
    <w:qFormat/>
    <w:pPr>
      <w:ind w:firstLine="0"/>
      <w:spacing w:line="240" w:lineRule="auto"/>
    </w:pPr>
    <w:rPr>
      <w:rFonts w:eastAsia="Arial"/>
      <w:sz w:val="21"/>
    </w:rPr>
  </w:style>
  <w:style w:type="paragraph" w:styleId="1105">
    <w:name w:val="Body Text Indent"/>
    <w:basedOn w:val="1095"/>
    <w:link w:val="1130"/>
    <w:uiPriority w:val="99"/>
    <w:semiHidden/>
    <w:unhideWhenUsed/>
    <w:qFormat/>
    <w:pPr>
      <w:ind w:left="420"/>
      <w:spacing w:after="120"/>
    </w:pPr>
  </w:style>
  <w:style w:type="paragraph" w:styleId="1106">
    <w:name w:val="index 4"/>
    <w:basedOn w:val="1095"/>
    <w:next w:val="1095"/>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1107">
    <w:name w:val="toc 3"/>
    <w:basedOn w:val="1095"/>
    <w:next w:val="1095"/>
    <w:uiPriority w:val="39"/>
    <w:unhideWhenUsed/>
    <w:qFormat/>
    <w:pPr>
      <w:ind w:left="840"/>
    </w:pPr>
  </w:style>
  <w:style w:type="paragraph" w:styleId="1108">
    <w:name w:val="Plain Text"/>
    <w:basedOn w:val="1095"/>
    <w:link w:val="1162"/>
    <w:uiPriority w:val="0"/>
    <w:qFormat/>
    <w:pPr>
      <w:ind w:firstLine="0"/>
      <w:jc w:val="both"/>
      <w:spacing w:line="240" w:lineRule="auto"/>
      <w:widowControl w:val="off"/>
    </w:pPr>
    <w:rPr>
      <w:rFonts w:ascii="宋体" w:hAnsi="Courier New" w:cs="Courier New"/>
      <w:color w:val="161616"/>
      <w:sz w:val="21"/>
      <w:lang w:eastAsia="zh-CN"/>
    </w:rPr>
  </w:style>
  <w:style w:type="paragraph" w:styleId="1109">
    <w:name w:val="Balloon Text"/>
    <w:basedOn w:val="1095"/>
    <w:link w:val="1135"/>
    <w:uiPriority w:val="99"/>
    <w:semiHidden/>
    <w:unhideWhenUsed/>
    <w:qFormat/>
    <w:pPr>
      <w:spacing w:line="240" w:lineRule="auto"/>
    </w:pPr>
    <w:rPr>
      <w:sz w:val="18"/>
      <w:szCs w:val="18"/>
    </w:rPr>
  </w:style>
  <w:style w:type="paragraph" w:styleId="1110">
    <w:name w:val="Footer"/>
    <w:basedOn w:val="1095"/>
    <w:link w:val="1121"/>
    <w:uiPriority w:val="99"/>
    <w:unhideWhenUsed/>
    <w:qFormat/>
    <w:pPr>
      <w:tabs>
        <w:tab w:val="center" w:pos="4153" w:leader="none"/>
        <w:tab w:val="right" w:pos="8306" w:leader="none"/>
      </w:tabs>
    </w:pPr>
    <w:rPr>
      <w:sz w:val="18"/>
      <w:szCs w:val="18"/>
    </w:rPr>
  </w:style>
  <w:style w:type="paragraph" w:styleId="1111">
    <w:name w:val="Header"/>
    <w:basedOn w:val="1095"/>
    <w:link w:val="1120"/>
    <w:uiPriority w:val="99"/>
    <w:unhideWhenUsed/>
    <w:qFormat/>
    <w:pPr>
      <w:jc w:val="center"/>
      <w:tabs>
        <w:tab w:val="center" w:pos="4153" w:leader="none"/>
        <w:tab w:val="right" w:pos="8306" w:leader="none"/>
      </w:tabs>
    </w:pPr>
    <w:rPr>
      <w:sz w:val="18"/>
      <w:szCs w:val="18"/>
    </w:rPr>
  </w:style>
  <w:style w:type="paragraph" w:styleId="1112">
    <w:name w:val="toc 1"/>
    <w:basedOn w:val="1095"/>
    <w:next w:val="1095"/>
    <w:uiPriority w:val="39"/>
    <w:unhideWhenUsed/>
    <w:qFormat/>
    <w:pPr>
      <w:ind w:firstLine="0"/>
      <w:tabs>
        <w:tab w:val="right" w:pos="8890" w:leader="dot"/>
      </w:tabs>
    </w:pPr>
  </w:style>
  <w:style w:type="paragraph" w:styleId="1113">
    <w:name w:val="toc 2"/>
    <w:basedOn w:val="1095"/>
    <w:next w:val="1095"/>
    <w:uiPriority w:val="39"/>
    <w:unhideWhenUsed/>
    <w:qFormat/>
    <w:pPr>
      <w:ind w:left="420"/>
    </w:pPr>
  </w:style>
  <w:style w:type="paragraph" w:styleId="1114">
    <w:name w:val="Normal (Web)"/>
    <w:basedOn w:val="1095"/>
    <w:uiPriority w:val="99"/>
    <w:qFormat/>
    <w:pPr>
      <w:spacing w:before="100" w:beforeAutospacing="1" w:after="100" w:afterAutospacing="1"/>
    </w:pPr>
    <w:rPr>
      <w:rFonts w:ascii="宋体" w:hAnsi="宋体" w:cs="宋体"/>
      <w:szCs w:val="24"/>
    </w:rPr>
  </w:style>
  <w:style w:type="paragraph" w:styleId="1115">
    <w:name w:val="annotation subject"/>
    <w:basedOn w:val="1103"/>
    <w:next w:val="1103"/>
    <w:link w:val="1167"/>
    <w:uiPriority w:val="99"/>
    <w:semiHidden/>
    <w:unhideWhenUsed/>
    <w:qFormat/>
    <w:rPr>
      <w:b/>
      <w:bCs/>
    </w:rPr>
  </w:style>
  <w:style w:type="table" w:styleId="1116">
    <w:name w:val="Table Grid"/>
    <w:basedOn w:val="11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7">
    <w:name w:val="Strong"/>
    <w:basedOn w:val="1100"/>
    <w:uiPriority w:val="22"/>
    <w:qFormat/>
    <w:rPr>
      <w:b/>
    </w:rPr>
  </w:style>
  <w:style w:type="character" w:styleId="1118">
    <w:name w:val="Hyperlink"/>
    <w:basedOn w:val="1100"/>
    <w:uiPriority w:val="99"/>
    <w:unhideWhenUsed/>
    <w:qFormat/>
    <w:rPr>
      <w:color w:val="0563c1" w:themeColor="hyperlink"/>
      <w:u w:val="single"/>
      <w14:textFill>
        <w14:solidFill>
          <w14:schemeClr w14:val="hlink"/>
        </w14:solidFill>
      </w14:textFill>
    </w:rPr>
  </w:style>
  <w:style w:type="character" w:styleId="1119">
    <w:name w:val="annotation reference"/>
    <w:basedOn w:val="1100"/>
    <w:uiPriority w:val="99"/>
    <w:semiHidden/>
    <w:unhideWhenUsed/>
    <w:qFormat/>
    <w:rPr>
      <w:sz w:val="21"/>
      <w:szCs w:val="21"/>
    </w:rPr>
  </w:style>
  <w:style w:type="character" w:styleId="1120" w:customStyle="1">
    <w:name w:val="页眉 字符1"/>
    <w:basedOn w:val="1100"/>
    <w:link w:val="1111"/>
    <w:uiPriority w:val="99"/>
    <w:qFormat/>
    <w:rPr>
      <w:sz w:val="18"/>
      <w:szCs w:val="18"/>
    </w:rPr>
  </w:style>
  <w:style w:type="character" w:styleId="1121" w:customStyle="1">
    <w:name w:val="页脚 字符"/>
    <w:basedOn w:val="1100"/>
    <w:link w:val="1110"/>
    <w:uiPriority w:val="99"/>
    <w:qFormat/>
    <w:rPr>
      <w:sz w:val="18"/>
      <w:szCs w:val="18"/>
    </w:rPr>
  </w:style>
  <w:style w:type="character" w:styleId="1122" w:customStyle="1">
    <w:name w:val="标题 1 字符"/>
    <w:basedOn w:val="1100"/>
    <w:link w:val="1096"/>
    <w:uiPriority w:val="9"/>
    <w:qFormat/>
    <w:rPr>
      <w:rFonts w:ascii="Arial" w:hAnsi="Arial" w:eastAsia="黑体" w:cs="Arial"/>
      <w:b/>
      <w:bCs/>
      <w:color w:val="000000"/>
      <w:sz w:val="36"/>
      <w:szCs w:val="44"/>
      <w:lang w:eastAsia="en-US"/>
    </w:rPr>
  </w:style>
  <w:style w:type="paragraph" w:styleId="1123">
    <w:name w:val="List Paragraph"/>
    <w:basedOn w:val="1095"/>
    <w:uiPriority w:val="34"/>
    <w:qFormat/>
    <w:pPr>
      <w:ind w:left="360" w:firstLine="0"/>
      <w:jc w:val="center"/>
    </w:pPr>
  </w:style>
  <w:style w:type="character" w:styleId="1124" w:customStyle="1">
    <w:name w:val="正文文本 Char"/>
    <w:basedOn w:val="1100"/>
    <w:uiPriority w:val="0"/>
    <w:semiHidden/>
    <w:qFormat/>
    <w:rPr>
      <w:rFonts w:ascii="Arial" w:hAnsi="Arial" w:eastAsia="Arial" w:cs="Arial"/>
      <w:color w:val="000000"/>
      <w:szCs w:val="21"/>
      <w:lang w:eastAsia="en-US"/>
    </w:rPr>
  </w:style>
  <w:style w:type="character" w:styleId="1125" w:customStyle="1">
    <w:name w:val="标题 2 字符"/>
    <w:basedOn w:val="1100"/>
    <w:link w:val="1097"/>
    <w:uiPriority w:val="9"/>
    <w:qFormat/>
    <w:rPr>
      <w:rFonts w:eastAsia="宋体" w:asciiTheme="majorHAnsi" w:hAnsiTheme="majorHAnsi" w:cstheme="majorBidi"/>
      <w:b/>
      <w:bCs/>
      <w:color w:val="000000"/>
      <w:sz w:val="32"/>
      <w:szCs w:val="32"/>
      <w:lang w:eastAsia="en-US"/>
    </w:rPr>
  </w:style>
  <w:style w:type="character" w:styleId="1126" w:customStyle="1">
    <w:name w:val="标题 3 字符"/>
    <w:basedOn w:val="1100"/>
    <w:link w:val="1098"/>
    <w:uiPriority w:val="9"/>
    <w:qFormat/>
    <w:rPr>
      <w:rFonts w:ascii="Arial" w:hAnsi="Arial" w:eastAsia="宋体" w:cs="Arial"/>
      <w:bCs/>
      <w:color w:val="000000"/>
      <w:sz w:val="32"/>
      <w:szCs w:val="32"/>
      <w:lang w:eastAsia="en-US"/>
    </w:rPr>
  </w:style>
  <w:style w:type="character" w:styleId="1127" w:customStyle="1">
    <w:name w:val="标题 4 字符"/>
    <w:basedOn w:val="1100"/>
    <w:link w:val="1099"/>
    <w:uiPriority w:val="9"/>
    <w:qFormat/>
    <w:rPr>
      <w:rFonts w:eastAsia="宋体" w:asciiTheme="majorHAnsi" w:hAnsiTheme="majorHAnsi" w:cstheme="majorBidi"/>
      <w:b/>
      <w:bCs/>
      <w:color w:val="000000"/>
      <w:sz w:val="28"/>
      <w:szCs w:val="28"/>
      <w:lang w:eastAsia="en-US"/>
    </w:rPr>
  </w:style>
  <w:style w:type="table" w:styleId="1128" w:customStyle="1">
    <w:name w:val="Table Normal"/>
    <w:uiPriority w:val="0"/>
    <w:semiHidden/>
    <w:unhideWhenUsed/>
    <w:qFormat/>
    <w:tblPr>
      <w:tblCellMar>
        <w:left w:w="0" w:type="dxa"/>
        <w:top w:w="0" w:type="dxa"/>
        <w:right w:w="0" w:type="dxa"/>
        <w:bottom w:w="0" w:type="dxa"/>
      </w:tblCellMar>
    </w:tblPr>
  </w:style>
  <w:style w:type="paragraph" w:styleId="1129" w:customStyle="1">
    <w:name w:val="Table Text"/>
    <w:basedOn w:val="1095"/>
    <w:uiPriority w:val="0"/>
    <w:semiHidden/>
    <w:qFormat/>
    <w:pPr>
      <w:ind w:firstLine="0"/>
      <w:spacing w:line="240" w:lineRule="auto"/>
    </w:pPr>
    <w:rPr>
      <w:rFonts w:ascii="宋体" w:hAnsi="宋体" w:cs="宋体"/>
      <w:szCs w:val="24"/>
    </w:rPr>
  </w:style>
  <w:style w:type="character" w:styleId="1130" w:customStyle="1">
    <w:name w:val="正文文本缩进 字符"/>
    <w:basedOn w:val="1100"/>
    <w:link w:val="1105"/>
    <w:uiPriority w:val="99"/>
    <w:semiHidden/>
    <w:qFormat/>
    <w:rPr>
      <w:rFonts w:ascii="Arial" w:hAnsi="Arial" w:eastAsia="宋体" w:cs="Arial"/>
      <w:color w:val="000000"/>
      <w:sz w:val="24"/>
      <w:szCs w:val="21"/>
      <w:lang w:eastAsia="en-US"/>
    </w:rPr>
  </w:style>
  <w:style w:type="character" w:styleId="1131" w:customStyle="1">
    <w:name w:val="纯文本 Char"/>
    <w:basedOn w:val="1100"/>
    <w:uiPriority w:val="0"/>
    <w:qFormat/>
    <w:rPr>
      <w:rFonts w:ascii="宋体" w:hAnsi="Courier New" w:eastAsia="宋体" w:cs="Courier New"/>
      <w:color w:val="161616"/>
      <w:szCs w:val="21"/>
    </w:rPr>
  </w:style>
  <w:style w:type="paragraph" w:styleId="1132" w:customStyle="1">
    <w:name w:val="TOC 标题1"/>
    <w:basedOn w:val="1096"/>
    <w:next w:val="1095"/>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1133">
    <w:name w:val="No Spacing"/>
    <w:uiPriority w:val="1"/>
    <w:qFormat/>
    <w:pPr>
      <w:ind w:firstLine="200"/>
    </w:pPr>
    <w:rPr>
      <w:rFonts w:ascii="Arial" w:hAnsi="Arial" w:eastAsia="宋体" w:cs="Arial"/>
      <w:color w:val="000000"/>
      <w:sz w:val="24"/>
      <w:szCs w:val="21"/>
      <w:lang w:val="en-US" w:eastAsia="en-US" w:bidi="ar-SA"/>
    </w:rPr>
  </w:style>
  <w:style w:type="character" w:styleId="1134" w:customStyle="1">
    <w:name w:val="未处理的提及1"/>
    <w:basedOn w:val="1100"/>
    <w:uiPriority w:val="99"/>
    <w:semiHidden/>
    <w:unhideWhenUsed/>
    <w:qFormat/>
    <w:rPr>
      <w:color w:val="605e5c"/>
      <w:shd w:val="clear" w:color="auto" w:fill="e1dfdd"/>
    </w:rPr>
  </w:style>
  <w:style w:type="character" w:styleId="1135" w:customStyle="1">
    <w:name w:val="批注框文本 字符"/>
    <w:basedOn w:val="1100"/>
    <w:link w:val="1109"/>
    <w:uiPriority w:val="99"/>
    <w:semiHidden/>
    <w:qFormat/>
    <w:rPr>
      <w:rFonts w:ascii="Arial" w:hAnsi="Arial" w:eastAsia="宋体" w:cs="Arial"/>
      <w:color w:val="000000"/>
      <w:sz w:val="18"/>
      <w:szCs w:val="18"/>
      <w:lang w:eastAsia="en-US"/>
    </w:rPr>
  </w:style>
  <w:style w:type="paragraph" w:styleId="1136" w:customStyle="1">
    <w:name w:val="页眉1"/>
    <w:basedOn w:val="1095"/>
    <w:link w:val="1137"/>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1137" w:customStyle="1">
    <w:name w:val="页眉 字符"/>
    <w:link w:val="1136"/>
    <w:uiPriority w:val="99"/>
    <w:qFormat/>
    <w:rPr>
      <w:rFonts w:ascii="等线" w:hAnsi="等线" w:eastAsia="等线" w:cs="Times New Roman"/>
      <w:sz w:val="18"/>
      <w:szCs w:val="18"/>
    </w:rPr>
  </w:style>
  <w:style w:type="paragraph" w:styleId="1138" w:customStyle="1">
    <w:name w:val="修订1"/>
    <w:hidden/>
    <w:uiPriority w:val="99"/>
    <w:unhideWhenUsed/>
    <w:qFormat/>
    <w:rPr>
      <w:rFonts w:ascii="Arial" w:hAnsi="Arial" w:eastAsia="宋体" w:cs="Arial"/>
      <w:color w:val="000000"/>
      <w:sz w:val="24"/>
      <w:szCs w:val="21"/>
      <w:lang w:val="en-US" w:eastAsia="en-US" w:bidi="ar-SA"/>
    </w:rPr>
  </w:style>
  <w:style w:type="character" w:styleId="1139" w:customStyle="1">
    <w:name w:val="font11"/>
    <w:basedOn w:val="1100"/>
    <w:uiPriority w:val="0"/>
    <w:qFormat/>
    <w:rPr>
      <w:rFonts w:hint="eastAsia" w:ascii="宋体" w:hAnsi="宋体" w:eastAsia="宋体" w:cs="宋体"/>
      <w:color w:val="000000"/>
      <w:sz w:val="22"/>
      <w:szCs w:val="22"/>
      <w:u w:val="none"/>
    </w:rPr>
  </w:style>
  <w:style w:type="character" w:styleId="1140" w:customStyle="1">
    <w:name w:val="font51"/>
    <w:basedOn w:val="1100"/>
    <w:uiPriority w:val="0"/>
    <w:qFormat/>
    <w:rPr>
      <w:rFonts w:hint="eastAsia" w:ascii="宋体" w:hAnsi="宋体" w:eastAsia="宋体" w:cs="宋体"/>
      <w:color w:val="ff0000"/>
      <w:sz w:val="22"/>
      <w:szCs w:val="22"/>
      <w:u w:val="none"/>
    </w:rPr>
  </w:style>
  <w:style w:type="character" w:styleId="1141" w:customStyle="1">
    <w:name w:val="font01"/>
    <w:basedOn w:val="1100"/>
    <w:uiPriority w:val="0"/>
    <w:qFormat/>
    <w:rPr>
      <w:rFonts w:hint="eastAsia" w:ascii="宋体" w:hAnsi="宋体" w:eastAsia="宋体" w:cs="宋体"/>
      <w:color w:val="000000"/>
      <w:sz w:val="22"/>
      <w:szCs w:val="22"/>
      <w:u w:val="none"/>
    </w:rPr>
  </w:style>
  <w:style w:type="character" w:styleId="1142" w:customStyle="1">
    <w:name w:val="font61"/>
    <w:basedOn w:val="1100"/>
    <w:uiPriority w:val="0"/>
    <w:qFormat/>
    <w:rPr>
      <w:rFonts w:hint="eastAsia" w:ascii="宋体" w:hAnsi="宋体" w:eastAsia="宋体" w:cs="宋体"/>
      <w:b/>
      <w:bCs/>
      <w:color w:val="000000"/>
      <w:sz w:val="22"/>
      <w:szCs w:val="22"/>
      <w:u w:val="none"/>
    </w:rPr>
  </w:style>
  <w:style w:type="character" w:styleId="1143" w:customStyle="1">
    <w:name w:val="font41"/>
    <w:basedOn w:val="1100"/>
    <w:uiPriority w:val="0"/>
    <w:qFormat/>
    <w:rPr>
      <w:rFonts w:hint="eastAsia" w:ascii="宋体" w:hAnsi="宋体" w:eastAsia="宋体" w:cs="宋体"/>
      <w:color w:val="000000"/>
      <w:sz w:val="24"/>
      <w:szCs w:val="24"/>
      <w:u w:val="none"/>
    </w:rPr>
  </w:style>
  <w:style w:type="character" w:styleId="1144" w:customStyle="1">
    <w:name w:val="font91"/>
    <w:basedOn w:val="1100"/>
    <w:uiPriority w:val="0"/>
    <w:qFormat/>
    <w:rPr>
      <w:rFonts w:hint="eastAsia" w:ascii="宋体" w:hAnsi="宋体" w:eastAsia="宋体" w:cs="宋体"/>
      <w:color w:val="ff0000"/>
      <w:sz w:val="24"/>
      <w:szCs w:val="24"/>
      <w:u w:val="none"/>
    </w:rPr>
  </w:style>
  <w:style w:type="paragraph" w:styleId="1145" w:customStyle="1">
    <w:name w:val="正文1"/>
    <w:basedOn w:val="1146"/>
    <w:next w:val="1150"/>
    <w:uiPriority w:val="0"/>
    <w:qFormat/>
  </w:style>
  <w:style w:type="paragraph" w:styleId="1146" w:customStyle="1">
    <w:name w:val="正文11"/>
    <w:next w:val="1147"/>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目录 11"/>
    <w:basedOn w:val="1148"/>
    <w:next w:val="1146"/>
    <w:uiPriority w:val="0"/>
    <w:qFormat/>
    <w:rPr>
      <w:rFonts w:ascii="Times New Roman" w:hAnsi="Times New Roman" w:eastAsia="宋体"/>
    </w:rPr>
  </w:style>
  <w:style w:type="paragraph" w:styleId="1148" w:customStyle="1">
    <w:name w:val="正文12"/>
    <w:next w:val="1149"/>
    <w:uiPriority w:val="0"/>
    <w:qFormat/>
    <w:pPr>
      <w:jc w:val="both"/>
      <w:widowControl w:val="off"/>
    </w:pPr>
    <w:rPr>
      <w:rFonts w:ascii="Calibri" w:hAnsi="Calibri" w:eastAsia="Calibri" w:cs="Times New Roman"/>
      <w:sz w:val="21"/>
      <w:szCs w:val="24"/>
      <w:lang w:val="en-US" w:eastAsia="zh-CN" w:bidi="ar-SA"/>
    </w:rPr>
  </w:style>
  <w:style w:type="paragraph" w:styleId="1149" w:customStyle="1">
    <w:name w:val="文本块11"/>
    <w:basedOn w:val="1148"/>
    <w:uiPriority w:val="0"/>
    <w:qFormat/>
    <w:pPr>
      <w:ind w:left="1440" w:right="1440"/>
      <w:spacing w:after="120"/>
    </w:pPr>
    <w:rPr>
      <w:rFonts w:ascii="Times New Roman" w:hAnsi="Times New Roman" w:eastAsia="宋体"/>
    </w:rPr>
  </w:style>
  <w:style w:type="paragraph" w:styleId="1150" w:customStyle="1">
    <w:name w:val="正文文本1"/>
    <w:basedOn w:val="1146"/>
    <w:next w:val="1151"/>
    <w:uiPriority w:val="0"/>
    <w:qFormat/>
    <w:pPr>
      <w:spacing w:after="120"/>
    </w:pPr>
    <w:rPr>
      <w:rFonts w:ascii="Calibri" w:hAnsi="Calibri"/>
    </w:rPr>
  </w:style>
  <w:style w:type="paragraph" w:styleId="1151" w:customStyle="1">
    <w:name w:val="一级条标题"/>
    <w:basedOn w:val="1152"/>
    <w:next w:val="115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52" w:customStyle="1">
    <w:name w:val="章标题"/>
    <w:next w:val="114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53" w:customStyle="1">
    <w:name w:val="段"/>
    <w:basedOn w:val="1145"/>
    <w:next w:val="1095"/>
    <w:uiPriority w:val="0"/>
    <w:qFormat/>
    <w:pPr>
      <w:ind w:firstLine="200"/>
      <w:widowControl/>
    </w:pPr>
    <w:rPr>
      <w:rFonts w:ascii="宋体"/>
      <w:sz w:val="20"/>
      <w:szCs w:val="20"/>
    </w:rPr>
  </w:style>
  <w:style w:type="paragraph" w:styleId="1154" w:customStyle="1">
    <w:name w:val="文本块1"/>
    <w:basedOn w:val="1145"/>
    <w:next w:val="1155"/>
    <w:uiPriority w:val="0"/>
    <w:qFormat/>
    <w:pPr>
      <w:ind w:left="420" w:right="33"/>
      <w:jc w:val="left"/>
    </w:pPr>
    <w:rPr>
      <w:sz w:val="24"/>
      <w:szCs w:val="20"/>
    </w:rPr>
  </w:style>
  <w:style w:type="paragraph" w:styleId="1155" w:customStyle="1">
    <w:name w:val="标题 41"/>
    <w:basedOn w:val="1148"/>
    <w:next w:val="1146"/>
    <w:uiPriority w:val="0"/>
    <w:qFormat/>
    <w:pPr>
      <w:keepLines/>
      <w:keepNext/>
      <w:spacing w:before="280" w:after="290" w:line="376" w:lineRule="auto"/>
      <w:outlineLvl w:val="3"/>
    </w:pPr>
    <w:rPr>
      <w:rFonts w:ascii="Cambria" w:hAnsi="Cambria" w:eastAsia="宋体"/>
      <w:b/>
      <w:bCs/>
      <w:sz w:val="28"/>
      <w:szCs w:val="28"/>
    </w:rPr>
  </w:style>
  <w:style w:type="paragraph" w:styleId="1156" w:customStyle="1">
    <w:name w:val="普通(网站)2"/>
    <w:basedOn w:val="1095"/>
    <w:uiPriority w:val="0"/>
    <w:qFormat/>
    <w:pPr>
      <w:spacing w:before="100" w:beforeAutospacing="1" w:after="100" w:afterAutospacing="1"/>
    </w:pPr>
    <w:rPr>
      <w:rFonts w:ascii="宋体" w:hAnsi="宋体" w:cs="宋体"/>
      <w:szCs w:val="24"/>
    </w:rPr>
  </w:style>
  <w:style w:type="paragraph" w:styleId="1157" w:customStyle="1">
    <w:name w:val="页眉11"/>
    <w:basedOn w:val="1095"/>
    <w:uiPriority w:val="0"/>
    <w:qFormat/>
    <w:pPr>
      <w:tabs>
        <w:tab w:val="center" w:pos="7143" w:leader="none"/>
        <w:tab w:val="right" w:pos="14287" w:leader="none"/>
      </w:tabs>
    </w:pPr>
    <w:rPr>
      <w:lang w:eastAsia="zh-CN"/>
    </w:rPr>
  </w:style>
  <w:style w:type="paragraph" w:styleId="1158" w:customStyle="1">
    <w:name w:val="页脚11"/>
    <w:basedOn w:val="1095"/>
    <w:uiPriority w:val="0"/>
    <w:qFormat/>
    <w:pPr>
      <w:tabs>
        <w:tab w:val="center" w:pos="7143" w:leader="none"/>
        <w:tab w:val="right" w:pos="14287" w:leader="none"/>
      </w:tabs>
    </w:pPr>
    <w:rPr>
      <w:rFonts w:ascii="Times New Roman" w:hAnsi="Times New Roman" w:cs="Times New Roman"/>
    </w:rPr>
  </w:style>
  <w:style w:type="character" w:styleId="1159" w:customStyle="1">
    <w:name w:val="页码11"/>
    <w:uiPriority w:val="0"/>
    <w:qFormat/>
    <w:rPr>
      <w:rFonts w:ascii="Arial" w:hAnsi="Arial" w:eastAsia="宋体" w:cs="Arial"/>
      <w:color w:val="000000"/>
      <w:sz w:val="24"/>
      <w:szCs w:val="21"/>
      <w:lang w:val="en-US" w:eastAsia="en-US" w:bidi="ar-SA"/>
    </w:rPr>
  </w:style>
  <w:style w:type="character" w:styleId="1160" w:customStyle="1">
    <w:name w:val="正文文本 字符"/>
    <w:basedOn w:val="1100"/>
    <w:link w:val="1104"/>
    <w:uiPriority w:val="0"/>
    <w:qFormat/>
    <w:rPr>
      <w:rFonts w:hint="eastAsia" w:ascii="宋体" w:hAnsi="宋体" w:eastAsia="宋体" w:cs="宋体"/>
      <w:sz w:val="24"/>
      <w:szCs w:val="24"/>
      <w:lang w:eastAsia="en-US"/>
    </w:rPr>
  </w:style>
  <w:style w:type="paragraph" w:styleId="1161" w:customStyle="1">
    <w:name w:val="列出段落1"/>
    <w:basedOn w:val="1095"/>
    <w:uiPriority w:val="0"/>
    <w:qFormat/>
    <w:pPr>
      <w:ind w:firstLine="420"/>
      <w:jc w:val="both"/>
      <w:widowControl w:val="off"/>
    </w:pPr>
    <w:rPr>
      <w:rFonts w:ascii="Calibri" w:hAnsi="Calibri" w:cs="Times New Roman"/>
      <w:sz w:val="21"/>
      <w:szCs w:val="22"/>
      <w:lang w:eastAsia="zh-CN"/>
    </w:rPr>
  </w:style>
  <w:style w:type="character" w:styleId="1162" w:customStyle="1">
    <w:name w:val="纯文本 字符"/>
    <w:basedOn w:val="1100"/>
    <w:link w:val="1108"/>
    <w:uiPriority w:val="0"/>
    <w:qFormat/>
    <w:rPr>
      <w:rFonts w:hint="eastAsia" w:ascii="宋体" w:hAnsi="Courier New" w:eastAsia="宋体" w:cs="宋体"/>
      <w:b/>
      <w:sz w:val="21"/>
      <w:szCs w:val="21"/>
    </w:rPr>
  </w:style>
  <w:style w:type="character" w:styleId="1163" w:customStyle="1">
    <w:name w:val="font21"/>
    <w:basedOn w:val="1100"/>
    <w:uiPriority w:val="0"/>
    <w:qFormat/>
    <w:rPr>
      <w:rFonts w:hint="eastAsia" w:ascii="宋体" w:hAnsi="宋体" w:eastAsia="宋体" w:cs="宋体"/>
      <w:color w:val="000000"/>
      <w:sz w:val="22"/>
      <w:szCs w:val="22"/>
      <w:u w:val="none"/>
    </w:rPr>
  </w:style>
  <w:style w:type="paragraph" w:styleId="1164" w:customStyle="1">
    <w:name w:val="页脚1"/>
    <w:basedOn w:val="1095"/>
    <w:next w:val="1165"/>
    <w:uiPriority w:val="0"/>
    <w:qFormat/>
    <w:pPr>
      <w:tabs>
        <w:tab w:val="center" w:pos="4153" w:leader="none"/>
        <w:tab w:val="right" w:pos="8306" w:leader="none"/>
      </w:tabs>
    </w:pPr>
    <w:rPr>
      <w:sz w:val="18"/>
      <w:szCs w:val="18"/>
    </w:rPr>
  </w:style>
  <w:style w:type="paragraph" w:styleId="1165" w:customStyle="1">
    <w:name w:val="明显引用1"/>
    <w:basedOn w:val="1095"/>
    <w:next w:val="1095"/>
    <w:uiPriority w:val="0"/>
    <w:qFormat/>
    <w:pPr>
      <w:ind w:left="936" w:right="936"/>
      <w:spacing w:before="200" w:after="280"/>
      <w:pBdr>
        <w:bottom w:val="single" w:color="4F81BD" w:sz="4" w:space="4"/>
      </w:pBdr>
    </w:pPr>
    <w:rPr>
      <w:b/>
      <w:bCs/>
      <w:i/>
      <w:iCs/>
      <w:color w:val="4f81bd"/>
    </w:rPr>
  </w:style>
  <w:style w:type="character" w:styleId="1166" w:customStyle="1">
    <w:name w:val="批注文字 字符"/>
    <w:basedOn w:val="1100"/>
    <w:link w:val="1103"/>
    <w:uiPriority w:val="99"/>
    <w:semiHidden/>
    <w:qFormat/>
    <w:rPr>
      <w:rFonts w:ascii="Arial" w:hAnsi="Arial" w:cs="Arial"/>
      <w:color w:val="000000"/>
      <w:sz w:val="24"/>
      <w:szCs w:val="21"/>
      <w:lang w:eastAsia="en-US"/>
    </w:rPr>
  </w:style>
  <w:style w:type="character" w:styleId="1167" w:customStyle="1">
    <w:name w:val="批注主题 字符"/>
    <w:basedOn w:val="1166"/>
    <w:link w:val="1115"/>
    <w:uiPriority w:val="99"/>
    <w:semiHidden/>
    <w:qFormat/>
    <w:rPr>
      <w:rFonts w:ascii="Arial" w:hAnsi="Arial" w:cs="Arial"/>
      <w:b/>
      <w:bCs/>
      <w:color w:val="000000"/>
      <w:sz w:val="24"/>
      <w:szCs w:val="21"/>
      <w:lang w:eastAsia="en-US"/>
    </w:rPr>
  </w:style>
  <w:style w:type="paragraph" w:styleId="11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contractReview xmlns="http://schemas.wps.cn/vas-ai-hub/contract-review">
  <reviewItems>
    <reviewItem>
      <errorID>e2606df5-4ed4-4010-aecb-53557af68741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812612C</paraID>
      <start>68</start>
      <end>69</end>
      <status>unmodified</status>
      <modifiedWord/>
      <trackRevisions>false</trackRevisions>
    </reviewItem>
    <reviewItem>
      <errorID>1585eec6-d2f9-45e9-b718-c9ea3ef4e6e6</errorID>
      <errorWord>（</errorWord>
      <group>L1_Punc</group>
      <groupName>标点问题</groupName>
      <ability>L2_Punc_CN</ability>
      <abilityName>标点符号检查</abilityName>
      <candidateList/>
      <explain>同一形式括号套用。</explain>
      <paraID>60C7E582</paraID>
      <start>73</start>
      <end>74</end>
      <status>unmodified</status>
      <modifiedWord/>
      <trackRevisions>false</trackRevisions>
    </reviewItem>
    <reviewItem>
      <errorID>4351b522-f864-4786-9378-e134a5b669a1</errorID>
      <errorWord>）</errorWord>
      <group>L1_Punc</group>
      <groupName>标点问题</groupName>
      <ability>L2_Punc_CN</ability>
      <abilityName>标点符号检查</abilityName>
      <candidateList/>
      <explain>同一形式括号套用。</explain>
      <paraID>60C7E582</paraID>
      <start>76</start>
      <end>77</end>
      <status>unmodified</status>
      <modifiedWord/>
      <trackRevisions>false</trackRevisions>
    </reviewItem>
    <reviewItem>
      <errorID>2d700bee-56de-4a88-8257-d9bd17f4e322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DA40ECE</paraID>
      <start>54</start>
      <end>55</end>
      <status>unmodified</status>
      <modifiedWord/>
      <trackRevisions>false</trackRevisions>
    </reviewItem>
    <reviewItem>
      <errorID>e343b54f-2cf7-4fc0-8069-6edf6a16b5d7</errorID>
      <errorWord>页</errorWord>
      <group>L1_Word</group>
      <groupName>字词问题</groupName>
      <ability>L2_Typo</ability>
      <abilityName>字词错误</abilityName>
      <candidateList>
        <item>页面</item>
      </candidateList>
      <explain/>
      <paraID>14C848B4</paraID>
      <start>26</start>
      <end>27</end>
      <status>ignored</status>
      <modifiedWord/>
      <trackRevisions>false</trackRevisions>
    </reviewItem>
    <reviewItem>
      <errorID>a9348912-5e6c-47b2-a5e3-c7f197ceebb4</errorID>
      <errorWord>》</errorWord>
      <group>L1_Word</group>
      <groupName>字词问题</groupName>
      <ability>L2_Typo</ability>
      <abilityName>字词错误</abilityName>
      <candidateList>
        <item>》和</item>
      </candidateList>
      <explain/>
      <paraID>67B78102</paraID>
      <start>42</start>
      <end>43</end>
      <status>ignored</status>
      <modifiedWord/>
      <trackRevisions>false</trackRevisions>
    </reviewItem>
    <reviewItem>
      <errorID>8681c751-af05-41fb-bfb7-38bce668ffff</errorID>
      <errorWord>（</errorWord>
      <group>L1_Punc</group>
      <groupName>标点问题</groupName>
      <ability>L2_Punc_CN</ability>
      <abilityName>标点符号检查</abilityName>
      <candidateList/>
      <explain>同一形式括号套用。</explain>
      <paraID>14910479</paraID>
      <start>69</start>
      <end>70</end>
      <status>ignored</status>
      <modifiedWord/>
      <trackRevisions>false</trackRevisions>
    </reviewItem>
    <reviewItem>
      <errorID>0480fd56-8596-496b-9587-eec2f57a8dce</errorID>
      <errorWord>）</errorWord>
      <group>L1_Punc</group>
      <groupName>标点问题</groupName>
      <ability>L2_Punc_CN</ability>
      <abilityName>标点符号检查</abilityName>
      <candidateList/>
      <explain>同一形式括号套用。</explain>
      <paraID>14910479</paraID>
      <start>71</start>
      <end>72</end>
      <status>ignored</status>
      <modifiedWord/>
      <trackRevisions>false</trackRevisions>
    </reviewItem>
    <reviewItem>
      <errorID>48247b47-840f-4095-a656-509750b18f16</errorID>
      <errorWord>（</errorWord>
      <group>L1_Punc</group>
      <groupName>标点问题</groupName>
      <ability>L2_Punc_CN</ability>
      <abilityName>标点符号检查</abilityName>
      <candidateList/>
      <explain>同一形式括号套用。</explain>
      <paraID> 46422FE</paraID>
      <start>48</start>
      <end>49</end>
      <status>ignored</status>
      <modifiedWord/>
      <trackRevisions>false</trackRevisions>
    </reviewItem>
    <reviewItem>
      <errorID>d95781cb-336e-4a03-b027-5aa03e1e2de4</errorID>
      <errorWord>）</errorWord>
      <group>L1_Punc</group>
      <groupName>标点问题</groupName>
      <ability>L2_Punc_CN</ability>
      <abilityName>标点符号检查</abilityName>
      <candidateList/>
      <explain>同一形式括号套用。</explain>
      <paraID> 46422FE</paraID>
      <start>54</start>
      <end>55</end>
      <status>ignored</status>
      <modifiedWord/>
      <trackRevisions>false</trackRevisions>
    </reviewItem>
    <reviewItem>
      <errorID>619506f0-e058-4e95-b4c1-1b7c7d1f80b3</errorID>
      <errorWord>（</errorWord>
      <group>L1_Punc</group>
      <groupName>标点问题</groupName>
      <ability>L2_Punc_CN</ability>
      <abilityName>标点符号检查</abilityName>
      <candidateList/>
      <explain>同一形式括号套用。</explain>
      <paraID> 3BB257E</paraID>
      <start>44</start>
      <end>45</end>
      <status>ignored</status>
      <modifiedWord/>
      <trackRevisions>false</trackRevisions>
    </reviewItem>
    <reviewItem>
      <errorID>d94cb24b-95dc-42df-947e-c1bed2f87012</errorID>
      <errorWord>）</errorWord>
      <group>L1_Punc</group>
      <groupName>标点问题</groupName>
      <ability>L2_Punc_CN</ability>
      <abilityName>标点符号检查</abilityName>
      <candidateList/>
      <explain>同一形式括号套用。</explain>
      <paraID> 3BB257E</paraID>
      <start>50</start>
      <end>51</end>
      <status>ignored</status>
      <modifiedWord/>
      <trackRevisions>false</trackRevisions>
    </reviewItem>
    <reviewItem>
      <errorID>35584d1e-f0d3-47f6-bf32-18ab3195a00f</errorID>
      <errorWord>（</errorWord>
      <group>L1_Punc</group>
      <groupName>标点问题</groupName>
      <ability>L2_Punc_CN</ability>
      <abilityName>标点符号检查</abilityName>
      <candidateList/>
      <explain>同一形式括号套用。</explain>
      <paraID>7B1F6AF1</paraID>
      <start>92</start>
      <end>93</end>
      <status>ignored</status>
      <modifiedWord/>
      <trackRevisions>false</trackRevisions>
    </reviewItem>
    <reviewItem>
      <errorID>d25e353f-a408-4895-9c73-0479910164a5</errorID>
      <errorWord>）</errorWord>
      <group>L1_Punc</group>
      <groupName>标点问题</groupName>
      <ability>L2_Punc_CN</ability>
      <abilityName>标点符号检查</abilityName>
      <candidateList/>
      <explain>同一形式括号套用。</explain>
      <paraID>7B1F6AF1</paraID>
      <start>102</start>
      <end>103</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EFAB763D-0B62-46AE-8C21-7C617FA87F0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7</cp:revision>
  <dcterms:created xsi:type="dcterms:W3CDTF">2026-05-07T01:35:00Z</dcterms:created>
  <dcterms:modified xsi:type="dcterms:W3CDTF">2026-08-12T08:42:57Z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EEB3F9445ABF4E238423AC17254251AB_13</vt:lpwstr>
  </property>
  <property fmtid="{D5CDD505-2E9C-101B-9397-08002B2CF9AE}" pid="4" name="KSOTemplateDocerSaveRecord">
    <vt:lpwstr>eyJoZGlkIjoiYjg5MTdjNzJiOTBkY2IwYzRjMmIxODNkZjZhYmE3MzciLCJ1c2VySWQiOiI3OTgxNzg4NzEifQ==</vt:lpwstr>
  </property>
</Properties>
</file>