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东海城北高级中学通用实验室装备、音体美器材及实验室器材采购、实验楼廊道文化等采购</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JSZC-320722-YTGL-G2026-0001</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连云港云途项目管理有限公司</w:t>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4"/>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6"/>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6"/>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6"/>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6"/>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906"/>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28</w:t>
      </w:r>
      <w:r>
        <w:rPr>
          <w:sz w:val="32"/>
        </w:rPr>
        <w:fldChar w:fldCharType="end"/>
      </w:r>
      <w:r/>
    </w:p>
    <w:p>
      <w:pPr>
        <w:pStyle w:val="906"/>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51</w:t>
      </w:r>
      <w:r>
        <w:rPr>
          <w:sz w:val="32"/>
        </w:rPr>
        <w:fldChar w:fldCharType="end"/>
      </w:r>
      <w:r/>
    </w:p>
    <w:p>
      <w:pPr>
        <w:jc w:val="left"/>
        <w:widowControl/>
      </w:pPr>
      <w:r>
        <w:fldChar w:fldCharType="end"/>
      </w:r>
      <w:r>
        <w:br w:type="page" w:clear="all"/>
      </w:r>
      <w:r/>
    </w:p>
    <w:p>
      <w:pPr>
        <w:pStyle w:val="884"/>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w:t>
      </w:r>
      <w:r>
        <w:rPr>
          <w:rFonts w:hint="eastAsia"/>
          <w:sz w:val="24"/>
          <w:szCs w:val="24"/>
          <w:lang w:eastAsia="zh-CN"/>
        </w:rPr>
        <w:t xml:space="preserve">连云港云途项目管理有限公司</w:t>
      </w:r>
      <w:r>
        <w:rPr>
          <w:rFonts w:hint="eastAsia"/>
          <w:sz w:val="24"/>
          <w:szCs w:val="24"/>
        </w:rPr>
        <w:t xml:space="preserve">就</w:t>
      </w: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（项目编号:</w:t>
      </w:r>
      <w:r>
        <w:rPr>
          <w:rFonts w:hint="eastAsia"/>
          <w:sz w:val="24"/>
          <w:szCs w:val="24"/>
          <w:lang w:eastAsia="zh-CN"/>
        </w:rPr>
        <w:t xml:space="preserve">JSZC-320722-YTGL-G2026-0001</w:t>
      </w:r>
      <w:r>
        <w:rPr>
          <w:rFonts w:hint="eastAsia"/>
          <w:sz w:val="24"/>
          <w:szCs w:val="24"/>
        </w:rPr>
        <w:t xml:space="preserve">）进行公开招标采购，欢迎符合条件的供应商投标。</w:t>
      </w:r>
      <w:r/>
    </w:p>
    <w:tbl>
      <w:tblPr>
        <w:tblStyle w:val="7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2026年8月</w:t>
            </w:r>
            <w:r>
              <w:rPr>
                <w:rFonts w:hint="eastAsia" w:ascii="宋体" w:hAnsi="宋体"/>
                <w:sz w:val="24"/>
                <w:szCs w:val="24"/>
                <w:highlight w:val="white"/>
                <w:lang w:val="en-US" w:eastAsia="zh-CN"/>
              </w:rPr>
              <w:t xml:space="preserve">24</w:t>
            </w:r>
            <w:r>
              <w:rPr>
                <w:rFonts w:hint="eastAsia" w:ascii="宋体" w:hAnsi="宋体"/>
                <w:sz w:val="24"/>
                <w:szCs w:val="24"/>
                <w:highlight w:val="none"/>
                <w:lang w:val="en-US" w:eastAsia="zh-CN"/>
              </w:rPr>
              <w:t xml:space="preserve">日9:00:00（北京时间）前递交（上传）投标文件。</w:t>
            </w:r>
            <w:r/>
          </w:p>
        </w:tc>
      </w:tr>
    </w:tbl>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JSZC-320722-YTGL-G2026-0001</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东海城北高级中学通用实验室装备、音体美器材及实验室器材采购、实验楼廊道文化等采购</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233.2708</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233.2708</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r>
        <w:rPr>
          <w:rFonts w:hint="eastAsia"/>
          <w:sz w:val="24"/>
          <w:szCs w:val="24"/>
          <w:lang w:eastAsia="zh-CN"/>
        </w:rPr>
        <w:t xml:space="preserve">东海城北高级中学通用实验室装备、音体美器材及实验室器材采购、实验楼廊道文化等采购</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highlight w:val="none"/>
        </w:rPr>
      </w:pPr>
      <w:r>
        <w:rPr>
          <w:rFonts w:hint="eastAsia"/>
          <w:sz w:val="24"/>
          <w:szCs w:val="24"/>
          <w:highlight w:val="none"/>
        </w:rPr>
        <w:t xml:space="preserve">（二）落实政府采购政策需满足的资格要求：无。</w:t>
      </w:r>
      <w:r/>
    </w:p>
    <w:p>
      <w:pPr>
        <w:ind w:firstLine="480"/>
        <w:jc w:val="left"/>
        <w:spacing w:line="360" w:lineRule="auto"/>
        <w:rPr>
          <w:rFonts w:hint="eastAsia"/>
          <w:sz w:val="24"/>
          <w:szCs w:val="24"/>
          <w:highlight w:val="none"/>
        </w:rPr>
      </w:pPr>
      <w:r>
        <w:rPr>
          <w:rFonts w:hint="eastAsia"/>
          <w:sz w:val="24"/>
          <w:szCs w:val="24"/>
          <w:highlight w:val="none"/>
        </w:rPr>
        <w:t xml:space="preserve">（三）本项目的特定资格要求：无。</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white"/>
          <w:lang w:val="en-US" w:eastAsia="zh-CN"/>
        </w:rPr>
        <w:t xml:space="preserve">24</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5"/>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连云港云途项目管理有限公司</w:t>
      </w:r>
      <w:r/>
    </w:p>
    <w:p>
      <w:pPr>
        <w:ind w:firstLine="480"/>
        <w:jc w:val="left"/>
        <w:spacing w:line="500" w:lineRule="exact"/>
        <w:rPr>
          <w:sz w:val="24"/>
          <w:szCs w:val="24"/>
        </w:rPr>
      </w:pPr>
      <w:r>
        <w:rPr>
          <w:rFonts w:hint="eastAsia"/>
          <w:sz w:val="24"/>
          <w:szCs w:val="24"/>
        </w:rPr>
        <w:t xml:space="preserve">地    址：</w:t>
      </w:r>
      <w:r>
        <w:rPr>
          <w:rFonts w:hint="eastAsia"/>
          <w:sz w:val="24"/>
          <w:szCs w:val="24"/>
          <w:lang w:val="en-US" w:eastAsia="zh-CN"/>
        </w:rPr>
        <w:t xml:space="preserve">江苏省连云港市东海县牛山街道海陵东路99号水晶公园.尚城35一101</w:t>
      </w:r>
      <w:r/>
    </w:p>
    <w:p>
      <w:pPr>
        <w:ind w:firstLine="480"/>
        <w:jc w:val="left"/>
        <w:spacing w:line="500" w:lineRule="exact"/>
        <w:rPr>
          <w:sz w:val="24"/>
          <w:szCs w:val="24"/>
        </w:rPr>
      </w:pPr>
      <w:r>
        <w:rPr>
          <w:rFonts w:hint="eastAsia"/>
          <w:sz w:val="24"/>
          <w:szCs w:val="24"/>
        </w:rPr>
        <w:t xml:space="preserve">联 系 人：</w:t>
      </w:r>
      <w:r>
        <w:rPr>
          <w:rFonts w:hint="eastAsia"/>
          <w:sz w:val="24"/>
          <w:szCs w:val="24"/>
          <w:lang w:val="en-US" w:eastAsia="zh-CN"/>
        </w:rPr>
        <w:t xml:space="preserve">姜</w:t>
      </w:r>
      <w:r>
        <w:rPr>
          <w:rFonts w:hint="eastAsia"/>
          <w:sz w:val="24"/>
          <w:szCs w:val="24"/>
        </w:rPr>
        <w:t xml:space="preserve">工</w:t>
      </w:r>
      <w:r/>
    </w:p>
    <w:p>
      <w:pPr>
        <w:ind w:firstLine="480"/>
        <w:jc w:val="left"/>
        <w:spacing w:line="500" w:lineRule="exact"/>
        <w:rPr>
          <w:rFonts w:hint="eastAsia" w:eastAsia="宋体"/>
          <w:sz w:val="24"/>
          <w:szCs w:val="24"/>
          <w:lang w:eastAsia="zh-CN"/>
        </w:rPr>
      </w:pPr>
      <w:r>
        <w:rPr>
          <w:rFonts w:hint="eastAsia"/>
          <w:sz w:val="24"/>
          <w:szCs w:val="24"/>
        </w:rPr>
        <w:t xml:space="preserve">联系电话：</w:t>
      </w:r>
      <w:r>
        <w:rPr>
          <w:rFonts w:hint="eastAsia"/>
          <w:sz w:val="24"/>
          <w:szCs w:val="24"/>
          <w:lang w:val="en-US" w:eastAsia="zh-CN"/>
        </w:rPr>
        <w:t xml:space="preserve">0518-80265006,15252824872</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w:t>
      </w:r>
      <w:r>
        <w:rPr>
          <w:rFonts w:hint="eastAsia" w:ascii="Times New Roman" w:eastAsia="宋体"/>
          <w:sz w:val="24"/>
          <w:szCs w:val="24"/>
          <w:lang w:val="en-US" w:eastAsia="zh-CN"/>
        </w:rPr>
        <w:t xml:space="preserve">姜</w:t>
      </w:r>
      <w:r>
        <w:rPr>
          <w:rFonts w:hint="eastAsia"/>
          <w:sz w:val="24"/>
          <w:szCs w:val="24"/>
        </w:rPr>
        <w:t xml:space="preserve">工</w:t>
      </w:r>
      <w:r/>
    </w:p>
    <w:p>
      <w:pPr>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0518-80265006,15252824872</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1" w:name="_Toc155796357"/>
      <w:r>
        <w:rPr>
          <w:rFonts w:hint="eastAsia" w:ascii="黑体" w:hAnsi="黑体" w:eastAsia="黑体"/>
          <w:b w:val="0"/>
        </w:rPr>
        <w:br w:type="page" w:clear="all"/>
      </w:r>
      <w:r/>
    </w:p>
    <w:p>
      <w:pPr>
        <w:pStyle w:val="884"/>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1"/>
      <w:r/>
      <w:r/>
    </w:p>
    <w:p>
      <w:pPr>
        <w:pStyle w:val="885"/>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6"/>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6"/>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6"/>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6"/>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连云港云途项目管理有限公司</w:t>
      </w:r>
      <w:r>
        <w:rPr>
          <w:rFonts w:hint="eastAsia"/>
          <w:sz w:val="24"/>
          <w:szCs w:val="24"/>
        </w:rPr>
        <w:t xml:space="preserve">（以下简称采购代理机构）在任何情况下均无义务和责任承担这些费用。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w:t>
      </w:r>
      <w:r>
        <w:rPr>
          <w:rFonts w:hint="eastAsia"/>
          <w:color w:val="auto"/>
          <w:sz w:val="24"/>
          <w:szCs w:val="24"/>
          <w:lang w:val="en-US" w:eastAsia="zh-CN"/>
        </w:rPr>
        <w:t xml:space="preserve">的70%</w:t>
      </w:r>
      <w:r>
        <w:rPr>
          <w:rFonts w:hint="eastAsia"/>
          <w:color w:val="auto"/>
          <w:sz w:val="24"/>
          <w:szCs w:val="24"/>
        </w:rPr>
        <w:t xml:space="preserve">计取。</w:t>
      </w:r>
      <w:r/>
    </w:p>
    <w:p>
      <w:pPr>
        <w:pStyle w:val="886"/>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5"/>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6"/>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6"/>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6"/>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5"/>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6"/>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6"/>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6"/>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6"/>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6"/>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6"/>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6"/>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6"/>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6"/>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5"/>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6"/>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6"/>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6"/>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6"/>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5"/>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6"/>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6"/>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6"/>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6"/>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6"/>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6"/>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5"/>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6"/>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6"/>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5"/>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6"/>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6"/>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6"/>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6"/>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5"/>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6"/>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6"/>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6"/>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6"/>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6"/>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pStyle w:val="884"/>
        <w:jc w:val="center"/>
        <w:spacing w:before="156" w:after="156" w:line="360" w:lineRule="auto"/>
        <w:rPr>
          <w:rFonts w:hint="eastAsia"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6"/>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6"/>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6"/>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6"/>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6"/>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6"/>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jc w:val="both"/>
        <w:spacing w:line="500" w:lineRule="exact"/>
        <w:rPr>
          <w:sz w:val="24"/>
          <w:szCs w:val="24"/>
        </w:rPr>
      </w:pPr>
      <w:r>
        <w:rPr>
          <w:sz w:val="24"/>
          <w:szCs w:val="24"/>
        </w:rPr>
      </w:r>
      <w:r/>
    </w:p>
    <w:p>
      <w:pPr>
        <w:pStyle w:val="884"/>
        <w:jc w:val="center"/>
        <w:spacing w:before="156" w:after="156" w:line="360" w:lineRule="auto"/>
        <w:rPr>
          <w:rFonts w:hint="eastAsia"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355"/>
        <w:gridCol w:w="6594"/>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4"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5"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shd w:val="clear" w:color="auto" w:fill="auto"/>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p>
        </w:tc>
        <w:tc>
          <w:tcPr>
            <w:shd w:val="clear" w:color="auto" w:fill="auto"/>
            <w:tcW w:w="3868"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5"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shd w:val="clear" w:color="auto" w:fill="auto"/>
            <w:tcW w:w="3868" w:type="pct"/>
            <w:vAlign w:val="center"/>
            <w:textDirection w:val="lrTb"/>
            <w:noWrap w:val="false"/>
          </w:tcPr>
          <w:p>
            <w:pPr>
              <w:jc w:val="both"/>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w:t>
            </w:r>
            <w:r>
              <w:rPr>
                <w:rFonts w:hint="eastAsia" w:ascii="Times New Roman" w:hAnsi="Times New Roman" w:cs="Times New Roman"/>
                <w:i/>
                <w:iCs/>
                <w:color w:val="auto"/>
                <w:sz w:val="24"/>
                <w:szCs w:val="24"/>
                <w:highlight w:val="none"/>
                <w:u w:val="single"/>
                <w:lang w:val="en-US" w:eastAsia="zh-CN"/>
              </w:rPr>
              <w:t xml:space="preserve">100</w:t>
            </w:r>
            <w:r>
              <w:rPr>
                <w:rFonts w:hint="eastAsia" w:ascii="Times New Roman" w:hAnsi="Times New Roman" w:eastAsia="宋体" w:cs="Times New Roman"/>
                <w:i/>
                <w:iCs/>
                <w:color w:val="auto"/>
                <w:sz w:val="24"/>
                <w:szCs w:val="24"/>
                <w:highlight w:val="none"/>
                <w:u w:val="single"/>
              </w:rPr>
              <w:t xml:space="preserve">%。</w:t>
            </w:r>
            <w:r/>
          </w:p>
        </w:tc>
      </w:tr>
      <w:tr>
        <w:trPr>
          <w:jc w:val="center"/>
        </w:trPr>
        <w:tc>
          <w:tcPr>
            <w:tcW w:w="335" w:type="pct"/>
            <w:vAlign w:val="center"/>
            <w:textDirection w:val="lrTb"/>
            <w:noWrap w:val="false"/>
          </w:tcPr>
          <w:p>
            <w:pPr>
              <w:jc w:val="center"/>
              <w:spacing w:line="360" w:lineRule="exact"/>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r>
            <w:r/>
          </w:p>
        </w:tc>
        <w:tc>
          <w:tcPr>
            <w:shd w:val="clear" w:color="auto" w:fill="auto"/>
            <w:tcW w:w="3868"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r>
    </w:tbl>
    <w:p>
      <w:pPr>
        <w:numPr>
          <w:ilvl w:val="0"/>
          <w:numId w:val="1"/>
        </w:numPr>
        <w:ind w:firstLine="420"/>
        <w:jc w:val="left"/>
        <w:spacing w:line="500" w:lineRule="exact"/>
        <w:rPr>
          <w:rFonts w:hint="eastAsia" w:ascii="Times New Roman" w:hAnsi="Times New Roman"/>
          <w:b/>
          <w:bCs/>
          <w:color w:val="auto"/>
          <w:sz w:val="24"/>
          <w:szCs w:val="24"/>
          <w:highlight w:val="none"/>
          <w:u w:val="single"/>
          <w:lang w:val="en-US" w:eastAsia="zh-CN"/>
        </w:rPr>
      </w:pPr>
      <w:r>
        <w:rPr>
          <w:rFonts w:ascii="Times New Roman" w:hAnsi="Times New Roman"/>
          <w:color w:val="auto"/>
          <w:sz w:val="24"/>
          <w:szCs w:val="24"/>
          <w:highlight w:val="none"/>
        </w:rPr>
        <w:t xml:space="preserve">本项目核心产品为：</w:t>
      </w:r>
      <w:r>
        <w:rPr>
          <w:rFonts w:hint="eastAsia" w:ascii="Times New Roman" w:hAnsi="Times New Roman"/>
          <w:b/>
          <w:bCs/>
          <w:color w:val="auto"/>
          <w:sz w:val="24"/>
          <w:szCs w:val="24"/>
          <w:highlight w:val="none"/>
          <w:u w:val="single"/>
          <w:lang w:val="en-US" w:eastAsia="zh-CN"/>
        </w:rPr>
        <w:t xml:space="preserve">智能制造与工业4.0交互式文化学习系统</w:t>
      </w:r>
      <w:r/>
    </w:p>
    <w:p>
      <w:pPr>
        <w:numPr>
          <w:ilvl w:val="0"/>
          <w:numId w:val="0"/>
        </w:numPr>
        <w:ind w:firstLine="482"/>
        <w:jc w:val="left"/>
        <w:spacing w:line="500" w:lineRule="exact"/>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政府采购中实施本国产品标准及相关政策</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color w:val="auto"/>
          <w:sz w:val="24"/>
          <w:szCs w:val="24"/>
          <w:highlight w:val="none"/>
          <w:lang w:val="en-US" w:eastAsia="zh-CN"/>
        </w:rPr>
        <w:t xml:space="preserve">4.</w:t>
      </w:r>
      <w:r>
        <w:rPr>
          <w:rFonts w:hint="eastAsia"/>
          <w:color w:val="auto"/>
          <w:sz w:val="24"/>
          <w:szCs w:val="24"/>
          <w:highlight w:val="none"/>
        </w:rPr>
        <w:t xml:space="preserve">3.本国产品应当在中国境内生产，即在中华人民共和国关境内实现从原材料、组件到产品的属性改变。从具体情形看，在国内保税区、综合保税区等海</w:t>
      </w:r>
      <w:r>
        <w:rPr>
          <w:rFonts w:hint="eastAsia"/>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7"/>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2"/>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9"/>
        <w:gridCol w:w="4281"/>
        <w:gridCol w:w="710"/>
        <w:gridCol w:w="464"/>
        <w:gridCol w:w="2488"/>
      </w:tblGrid>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货物（标的）</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一、人工智能创客教室</w:t>
            </w:r>
            <w:r/>
          </w:p>
        </w:tc>
      </w:tr>
      <w:tr>
        <w:trPr>
          <w:jc w:val="center"/>
          <w:trHeight w:val="23"/>
        </w:trPr>
        <w:tc>
          <w:tcPr>
            <w:gridSpan w:val="2"/>
            <w:tcBorders>
              <w:top w:val="single" w:color="000000" w:sz="4" w:space="0"/>
              <w:left w:val="single" w:color="000000" w:sz="4" w:space="0"/>
              <w:bottom w:val="single" w:color="000000" w:sz="4" w:space="0"/>
              <w:right w:val="single" w:color="auto" w:sz="4" w:space="0"/>
            </w:tcBorders>
            <w:tcW w:w="285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基础技术类科学素养-课程模块</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AI电子智慧语音机器人套装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AIOT智慧电子初级编程套装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AIOT智慧电子中级编程套装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AIOT电子编程高级套件（E）</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AI物联网编程套装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人工智能初级套件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人工智能机器学习中级套装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人工智能机器学习高级套装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互动编程软件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创意机器人套件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智能AI语音LED创客台灯（创新实践款）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智能姓名牌（创新展示款）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AI语音智能收纳盒（创新工具专用）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智能光影演示仪（创新教学款）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智能手机支架（创新创意款）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AI语音控制装饰画（创新艺术款）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智能笔筒（创新专用款）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编程练习器（基础款）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创想滑移套装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维方智构套件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声影智雕套件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工程结构知识图卡拼图套装</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人工智能机器人比赛教学模块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人工智能比赛套件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新质生产力套装课程资源包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新质生产力竞赛场地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SuperAI“星际传奇”训练场地和道具包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轮式机器人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足式机器人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定制手柄</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竞赛场地包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信息素养场地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人形互动机器人</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创意设计与互动展示套件</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智慧电子套装（造物版）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造物版拓展包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电子DIY焊接定制版学习套件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磁吸套装定制版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跳舞的精灵制作套装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感应彩灯制作套装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翻转木灯制作套装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硬币读数制作套装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数字沙漏制作套装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红外小夜灯制作套装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光感风扇制作套装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人脸追踪机械臂云台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AI智能垃圾桶分类系统（大尺寸）</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人工智能机械臂小车学习套件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四足仿生机械狗</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六足仿生机器人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象棋机器人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围棋机器人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金属小型涡扇发动机模型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金属星型5缸发动机模型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金属机械型-蜻蜓模型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金属机械结构-老式汽车车模型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金属机械结构-拖拉机模型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金属机械结构-两轮蒸汽火车模型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金属机械结构-蒸汽汽车模型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星际探索-金属土星机器人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星际探索-步行者1号机器人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金属机械结构-抽油机模型</w:t>
            </w:r>
            <w:r/>
          </w:p>
        </w:tc>
        <w:tc>
          <w:tcPr>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数字加工工具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专业级3D教学设计软件及课程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3D打印机耗材(PLA)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蓝光激光雕刻机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激光切割教育学习软件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激光切割机耗材包</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激光切割机配件—空气净化器</w:t>
            </w:r>
            <w:r/>
          </w:p>
        </w:tc>
        <w:tc>
          <w:tcPr>
            <w:tcBorders>
              <w:top w:val="single" w:color="000000" w:sz="4" w:space="0"/>
              <w:left w:val="single" w:color="000000"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VR虚拟光影实验体验设备</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VR操作系统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VR安全课程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VR科普课程</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VR互动微课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VR全景研学内容</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VR管理云平台</w:t>
            </w:r>
            <w:r/>
          </w:p>
        </w:tc>
        <w:tc>
          <w:tcPr>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无人机教学比赛模块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球形防撞无人机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歼20无人飞机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室内教学无人机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比赛模拟飞行设备</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比赛自主编程无人机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标准训练套装</w:t>
            </w:r>
            <w:r/>
          </w:p>
        </w:tc>
        <w:tc>
          <w:tcPr>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墙面互动主题模块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机械转动墙面互动系统A款</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机械转动墙面互动系统B款</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高中AI创新基础认知与学科融合（核心导入）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激光切割专项（技术与学科应用）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3D打印专项（技术与学科应用）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UV印刷专项（创意呈现与学科融合）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高中创新实践总结与成果展示（学科综合应用）</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智能制造与工业4.0交互式文化学习系统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基础设施模块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学生六边桌</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收纳柜（带收纳盒）B</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组合高柜A</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组合高柜B</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课程资源平台（STEM应用云平台系统）</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二、金工、木工、教室</w:t>
            </w:r>
            <w:r/>
          </w:p>
        </w:tc>
      </w:tr>
      <w:tr>
        <w:trPr>
          <w:jc w:val="center"/>
          <w:trHeight w:val="23"/>
        </w:trPr>
        <w:tc>
          <w:tcPr>
            <w:gridSpan w:val="2"/>
            <w:shd w:val="clear" w:color="auto" w:fill="auto"/>
            <w:tcBorders>
              <w:top w:val="single" w:color="000000" w:sz="4" w:space="0"/>
              <w:left w:val="single" w:color="000000" w:sz="4" w:space="0"/>
              <w:bottom w:val="single" w:color="000000" w:sz="4" w:space="0"/>
              <w:right w:val="single" w:color="auto" w:sz="4" w:space="0"/>
            </w:tcBorders>
            <w:tcW w:w="285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实验室基础装备</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配套硬实木台面公共工具柜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工具墙、柜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作品陈列柜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w:t>
            </w:r>
            <w:r>
              <w:rPr>
                <w:rFonts w:hint="eastAsia" w:ascii="宋体" w:hAnsi="宋体" w:eastAsia="宋体" w:cs="宋体"/>
                <w:i w:val="0"/>
                <w:iCs w:val="0"/>
                <w:color w:val="auto"/>
                <w:sz w:val="18"/>
                <w:szCs w:val="18"/>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w:t>
            </w:r>
            <w:r>
              <w:rPr>
                <w:rFonts w:hint="eastAsia" w:ascii="宋体" w:hAnsi="宋体" w:eastAsia="宋体" w:cs="宋体"/>
                <w:i w:val="0"/>
                <w:iCs w:val="0"/>
                <w:color w:val="auto"/>
                <w:sz w:val="18"/>
                <w:szCs w:val="18"/>
                <w:u w:val="none"/>
                <w:lang w:val="en-US" w:eastAsia="zh-CN" w:bidi="ar"/>
              </w:rPr>
              <w:t xml:space="preserve">教学资源库</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磁吸式库存标签卡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设计综合示教平台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教室标牌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通用技术实验室简介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三维抛光机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（PLA模型专用）</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大型加工教学辅助设备与材料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激光切割雕刻机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小型铣床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多功能无尘台锯机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小型台钻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微型带锯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V型铁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划线平台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数显电热丝切割器模型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大功率金属液晶数显四爪卡盘车床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大功率液晶数显钻床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教学铣床</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学生手持机床</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AI多维造物工作站组合</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AI多维造物工作站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多维锯切工作站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工作站配置工具</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计量工具与电子技术检测设备【与综合实验室-电子控制技术（选择性必修5）兼容】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宽坐直角尺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角度尺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万能角度尺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学生电源</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技术设计实验耗材、技术实践综合工具类</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木工笔</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微型机床使用耗材--木棒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机械螺丝</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拉铆钉</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钉子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木砂纸</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手工钢锯锯条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聚醋酸乙乳液</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胶水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助焊材料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镀锡连接线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自喷漆</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组合角尺（水平角尺）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木工框锯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竹弓钢丝锯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手工刀锯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通针</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百分表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塑料焊枪（带风焊枪）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带线手电钻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电圆锯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曲线锯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扁口钳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砂纸板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多用电表（指针型）</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收纳工具、防护用品、绘图工具、软件资料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仪器小车（用于上日常课前课后存取仪器）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木工台</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工作帽</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套袖</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灭火器模型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绘图工具包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比例尺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绘图纸A</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绘图纸B</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坐标纸A</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坐标纸B</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指导说明书</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视听资料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三维打印切片软件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3D设计软件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典型工件的加工示范</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钳工入门、平面划线、錾削、锉削、锯削VCD</w:t>
            </w:r>
            <w:r/>
          </w:p>
        </w:tc>
        <w:tc>
          <w:tcPr>
            <w:shd w:val="clear" w:color="auto" w:fill="auto"/>
            <w:tcBorders>
              <w:top w:val="single" w:color="000000" w:sz="4" w:space="0"/>
              <w:left w:val="single" w:color="auto"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技术与设计电子技术设计应用实验套件 【电子控制技术（选择性必修5）兼容】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台灯散件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升旗定时控制装置设计与制作套件</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技术设计1 教学模型实验套件</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水火箭制作试验套装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六面广告宣传灯</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循迹小车设计制作识别组装调试实验探究（探究循迹小车的技术种类）</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电子实验材料包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自动翻转卸料装置设计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自行车仿真模型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造纸工艺制作设计实验套材</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桥梁承重测试仪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螺丝连接模型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常用螺母垫片模型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三视图投影演示仪</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点、线、面投影模型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通用技术实验材料</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钻木取火工具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中文版活字排版盒</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面料样本册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格雷夫斯水壶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老式电话</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伽利略温度计</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多功能学习用品盒模型</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孔明锁</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削皮器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榨汁机</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培训配置</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纸质教案</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评价手册</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评价奖状套组</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知识展板</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三、计算机辅材</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w:t>
            </w:r>
            <w:r>
              <w:rPr>
                <w:rFonts w:hint="eastAsia" w:ascii="宋体" w:hAnsi="宋体" w:eastAsia="宋体" w:cs="宋体"/>
                <w:i w:val="0"/>
                <w:iCs w:val="0"/>
                <w:color w:val="auto"/>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网关路由器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电子教室机房管理软件</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网络数据线</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四、理化生实验室补充</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数字化安培力实验器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智能力盘实验器</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无线转动实验器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二维平面单摆运动实验器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二维平面平抛斜抛运动实验器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二维平面运动的合成与分解实验器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二维平面离心运动实验器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智能力盘实验器</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无线智能氯离子传感器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光纤光谱仪</w:t>
            </w:r>
            <w:r/>
          </w:p>
        </w:tc>
        <w:tc>
          <w:tcPr>
            <w:shd w:val="clear" w:color="auto" w:fill="auto"/>
            <w:tcBorders>
              <w:top w:val="single" w:color="000000" w:sz="4" w:space="0"/>
              <w:left w:val="single" w:color="auto" w:sz="4" w:space="0"/>
              <w:bottom w:val="single" w:color="000000" w:sz="4" w:space="0"/>
              <w:right w:val="single" w:color="auto"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auto"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新东高文化墙</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楼梯侧墙标语</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楼梯转角墙面</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楼道文化板块</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窗户旁标语板块</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tbl>
      <w:tblPr>
        <w:tblStyle w:val="706"/>
        <w:tblW w:w="54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4"/>
        <w:gridCol w:w="1323"/>
        <w:gridCol w:w="5944"/>
        <w:gridCol w:w="699"/>
        <w:gridCol w:w="686"/>
      </w:tblGrid>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产品参数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一、人工智能创客教室</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基础技术类科学素养-课程模块</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AI电子智慧语音机器人套装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智慧语音套装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bidi="ar"/>
              </w:rPr>
              <w:t xml:space="preserve">AI语音交互电子模块套装，支持搭建不少于20种创意作品；配套完整搭建教程、操作步骤及教学视频资源。产品依托语音识别、智能对话技术，支持语音指令控制作品运行，实现语音交互与动作执行功能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一：核心模块详细技术参数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 智能语音主控器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处理单元：</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架构：支持本地关键词唤醒与指令识别。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音频输入：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麦克风：双麦克风波束成形阵列。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信噪比（SNR）：≥ 60dB。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拾音距离：环境噪音＜50dB 条件下，有效拾音距离可达 10 米。</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语音识别性能：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识别准确率：</w:t>
            </w:r>
            <w:r>
              <w:rPr>
                <w:rFonts w:hint="eastAsia" w:ascii="宋体" w:hAnsi="宋体" w:eastAsia="宋体" w:cs="宋体"/>
                <w:color w:val="000000"/>
                <w:sz w:val="18"/>
                <w:szCs w:val="18"/>
                <w:u w:val="none"/>
                <w:lang w:bidi="ar"/>
              </w:rPr>
              <w:t xml:space="preserve">在距离 1 米、背景噪声≤55dB (A) 环境下，标准指令词识别率≥98%</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响应时间：从语音结束到指令解析完成 &lt; 100ms。</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指令集：支持≥30条用户可定制动作指令；内置多轮对话交互逻辑。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唤醒模式：支持特定唤醒词唤醒或始终监听模式。</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驱动与控制：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电机驱动：集成双路H桥电机驱动电路，单路持续输出电流≥0.8A。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通信接口：预留UART/I2C接口，支持扩展传感器（需提供SDK）。</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电气参数：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工作电压：3.3V - 5V（由锂电池模块供电）。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静态功耗：&lt; 10mA。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 高扭矩减速电机</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类型：直流有刷行星齿轮减速电机。</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额定电压：5V DC。</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空载转速：200 ± 10% RPM。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堵转扭矩：≥ 2.0 N.cm。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空载电流：≤ 60 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堵转电流：≤ 350 mA。</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机械接口：输出轴为标准乐高兼容十字轴。</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 声效反馈扬声器模块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音频输出功率：1W (RMS) @ 8Ω, THD&lt;10%。</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频率响应：200Hz - 20KHz。</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信噪比：≥ 80dB。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输入信号：支持数字音频输入（来自主控器）。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声压级：在0.1米距离处 ≥ 80dB。</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 智能供电与电池模块</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电池类型：可充电锂聚合物电池。</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标称容量：450mAh @ 3.7V。</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充电接口：Type-C，支持5V/1A充电。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充电管理：集成充电管理IC，支持涓流、恒流、恒压充电，充电截止电压4.2V±0.05V。</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放电保护：具备过流、短路、过放（截止电压2.8V±0.1V）保护功能。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续航时间：典型交互使用场景下 ≥ 3小时。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5. 制造与安全标准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PCB工艺：电子模块采用表面贴装（SMT）工艺制造，关键元器件需采取可靠加固措施，确保设备在振动、温差环境下长期稳定运行。</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封装工艺：超声波焊接，达到IP20防护等级（防尘，不防水）。</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材料：</w:t>
            </w:r>
            <w:r>
              <w:rPr>
                <w:rFonts w:hint="eastAsia" w:ascii="宋体" w:hAnsi="宋体" w:eastAsia="宋体" w:cs="宋体"/>
                <w:color w:val="000000"/>
                <w:sz w:val="18"/>
                <w:szCs w:val="18"/>
                <w:u w:val="none"/>
                <w:lang w:bidi="ar"/>
              </w:rPr>
              <w:t xml:space="preserve">外壳与积木采用全新 ABS 工程塑料，材质符合 RoHS、REACH 环保要求</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结构兼容性：所有电子模块外壳均具备乐高兼容结构（凸粒、销孔），可实现稳固机械连接。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 软件、课程与教育功能参数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交互逻辑：提供完整的“语音输入→语义解析→逻辑判断→动作/音频输出”人机交互闭环体验。</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核心能力培养映射：</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逻辑思维：通过图形化或代码界面理解事件驱动与顺序执行逻辑。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创造表达：支持用户自定义指令词与对应的动作序列、音频反馈。</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科技认知：课程融入语音信号处理、本地AI、电机控制、机械传动原理知识点。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沟通素养：训练用户发出清晰、简洁、无歧义的结构化指令。</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课程体系：提供20个及以上项目的完整课程包，每个课程包含：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三维组装图与步骤说明。</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所涉及的机械原理与电子知识讲解。</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预设的语音交互逻辑流程图。</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拓展挑战任务。</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项目清单（至少包含）：振翅飞翔、荡秋千、旋转广告牌、四边形运动轨迹、小鸡啄米、油井探索、卫星探测、啄木鸟、水闸、摇头风扇、单杠运动员、海草舞、自动调节座椅、万向节、霍布森万向节、樵夫砍柴、摩托车、直升飞机、雨刷模拟、大卡车。</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三：质量要求</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所有电子部件需通过72小时老化测试。</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提供完善的售后服务与技术支撑，包括课程更新、软件升级等。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AIOT智慧电子初级编程套装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widowControl/>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兼容Mixly等各类开源创客编程软件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硬件系列：</w:t>
            </w:r>
            <w:r/>
          </w:p>
          <w:p>
            <w:p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硬件结构与兼容要求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全部模块结构兼容标准积木件，预留标准积木孔位；同时兼容金属结构件，配备标准螺丝安装孔位。 </w:t>
            </w:r>
            <w:r/>
          </w:p>
          <w:p>
            <w:pPr>
              <w:numPr>
                <w:ilvl w:val="-1"/>
                <w:numId w:val="0"/>
              </w:numPr>
              <w:ind w:left="0" w:firstLine="0"/>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接线端口采用 MX1.25 接口，配套适配连接线。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板卡工艺要求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主控板、传感器板 PCB 均采用沉金工艺。 </w:t>
            </w:r>
            <w:r/>
          </w:p>
          <w:p>
            <w:pPr>
              <w:numPr>
                <w:ilvl w:val="-1"/>
                <w:numId w:val="0"/>
              </w:numPr>
              <w:ind w:left="0" w:firstLine="0"/>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PCB板面颜色为黑色。  </w:t>
            </w:r>
            <w:r/>
          </w:p>
          <w:p>
            <w:pPr>
              <w:numPr>
                <w:ilvl w:val="-1"/>
                <w:numId w:val="0"/>
              </w:numPr>
              <w:jc w:val="left"/>
              <w:widowControl/>
              <w:rPr>
                <w:rFonts w:hint="eastAsia" w:ascii="宋体" w:hAnsi="宋体" w:eastAsia="宋体" w:cs="宋体"/>
                <w:color w:val="000000"/>
                <w:sz w:val="18"/>
                <w:szCs w:val="18"/>
                <w:u w:val="none"/>
                <w:lang w:bidi="ar"/>
              </w:rPr>
            </w:pPr>
            <w:r>
              <w:rPr>
                <w:rFonts w:hint="eastAsia" w:ascii="宋体" w:hAnsi="宋体" w:eastAsia="宋体" w:cs="宋体"/>
                <w:color w:val="000000"/>
                <w:sz w:val="18"/>
                <w:szCs w:val="18"/>
                <w:u w:val="none"/>
                <w:lang w:bidi="ar"/>
              </w:rPr>
              <w:t xml:space="preserve">编程适配要求 </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bidi="ar"/>
              </w:rPr>
              <w:t xml:space="preserve">所有模块支持图形化编程、代码编程，兼容 Arduino 系列软硬件环境</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编程主控板：处理器RISC 结构，</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131 条指令 – 大多数指令执行时间为单个时钟周期，32 个8 位通用工作寄存器，全静态工作，工作于20 MHz 时性能高达20 MIPS</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触摸传感器：工作电压：2.3V～5.5V，最高功耗工作电流5.0 uA @3V，低功耗模式，工作电流2.5uA@3V，模式：可通过外部引脚设置高/低电平有效输出、最大，开启时间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光敏传感器：特殊的过滤器环氧树脂封装，光谱响应特性，类似于人眼；线性输出随光线变化；具有一定的温度稳定性；低暗电流，低照度；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角度传感器：AD值0-024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有源蜂鸣器：可播放简单音乐，需编程使用：电压范围：3.3-5Vo，额定电压：5Vo-p，直流电阻：120Ω，使用频率：1500Hz，声压：Min.100dB（1500Hz/12Vo-p/10cm），电流：≤55mA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其余传感器：都可进行模拟值编程使用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按钮传感器、红外线接近、喵喵超声波、声音传感器、红绿黄色灯、四位数码管、LED发光二极管、数据线*6根、TYPE-C线*1、包装盒*1</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实验内容至少包含：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1.认识Mixly  2.LED智能小灯  3.来电提醒  4.声控灯  5.楼道智能灯 6.信号增强器 7.生日显示屏 8.智能小闹钟  9.超声波测距仪  10.火灾报警器 11.红外接近报警器 12.三色彩灯 13.渐变彩灯 14.交通信号灯 15.人数统计 16.夜间入侵检测系统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AIOT智慧电子中级编程套装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课程用来帮助学习者更进一步的认识和理解物联网领域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配套课时:16学时</w:t>
            </w:r>
            <w:r>
              <w:rPr>
                <w:rFonts w:hint="eastAsia" w:ascii="宋体" w:hAnsi="宋体" w:eastAsia="宋体" w:cs="宋体"/>
                <w:color w:val="000000"/>
                <w:sz w:val="18"/>
                <w:szCs w:val="18"/>
                <w:u w:val="none"/>
                <w:lang w:val="en-US" w:eastAsia="zh-CN" w:bidi="ar"/>
              </w:rPr>
              <w:t xml:space="preserve">或以上</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1、兼容Mixly等各类开源创客编程软件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2、硬件系列：</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硬件通用要求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结构兼容：所有模块兼容积木件，预留圆形装配孔位；同时可搭配金属结构件使用，配备标准螺丝安装孔位。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接口与配线：统一采用 MX1.25 接口，配套适配连接线。 </w:t>
            </w:r>
            <w:r/>
          </w:p>
          <w:p>
            <w:pPr>
              <w:numPr>
                <w:ilvl w:val="0"/>
                <w:numId w:val="3"/>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PCB 工艺与外观：主控板、传感器板均采用沉金工艺，PCB 板面为黑色。</w:t>
            </w:r>
            <w:r/>
          </w:p>
          <w:p>
            <w:pPr>
              <w:numPr>
                <w:ilvl w:val="-1"/>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 4. 编程适配：全系列模块支持图形化编程、代码编程，兼容 Arduino 软硬件环境。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编程主控板：工作电压5V，每个I/O直流输出能力20MA，主控板尺寸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60*40MM，四角留有科技类积木件固定安装孔。编程语言：C/图形化编程。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温湿度传感器：湿度范围：20 ~ 95%RH ，精度：±5% RH，温度范围：0-50℃，精度：±2%℃，输出类型：One-Wire，防呆接口MX1.25-4P，响应时间：＜5s，电压 - 电源：3.3 V ~5.5 V，安装类型：表面贴装。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3、触摸传感器：工作电压3.3-5V，端口类型：数字输入，防呆接口MX1.25-4P，端口定义：VCC,GND,NC，DIN，采集方式：电容。范围：0-2MM。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4、光敏传感器：工作电压3.3-5V，端口类型：模拟输入，防呆接口MX1.25-4P，端口定义：VCC,GND,NC，AIN,采集方式：光敏二级管，光敏范围：0-1000LM。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5、角度传感器：工作电压3.3-5V，端口类型：模拟输入，防呆接口MX1.25-4P，端口定义：VCC,GND,NC，AIN,采集方式：旋转，范围：0-270度。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、有源蜂鸣器：工作电压3.3-5V，端口类型：数字输出，防呆接口MX1.25-4P，端口定义：VCC,GND,NC，DOU,执行方式：蜂鸣。响度：</w:t>
            </w:r>
            <w:r>
              <w:rPr>
                <w:rFonts w:hint="eastAsia" w:ascii="宋体" w:hAnsi="宋体" w:eastAsia="宋体" w:cs="宋体"/>
                <w:color w:val="000000"/>
                <w:sz w:val="18"/>
                <w:szCs w:val="18"/>
                <w:u w:val="none"/>
                <w:lang w:bidi="ar"/>
              </w:rPr>
              <w:t xml:space="preserve">≥85 dB(A)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谐振频率</w:t>
            </w:r>
            <w:r>
              <w:rPr>
                <w:rFonts w:hint="eastAsia" w:ascii="宋体" w:hAnsi="宋体" w:eastAsia="宋体" w:cs="宋体"/>
                <w:i w:val="0"/>
                <w:iCs w:val="0"/>
                <w:color w:val="000000"/>
                <w:sz w:val="18"/>
                <w:szCs w:val="18"/>
                <w:u w:val="none"/>
                <w:lang w:val="en-US" w:eastAsia="zh-CN" w:bidi="ar"/>
              </w:rPr>
              <w:t xml:space="preserve">：2300HZ，工作方式：电磁式。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7、震动马达块：工作电压3.3-5V，端口类型：数字或模拟输出，防呆接口MX1.25-4P，端口定义：VCC,GND,NC，DOU,工作方式：离心震动。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8、其余传感器：人运动检测、声音传感器、水分传感器、土壤湿度坞、LED灯、滚轮开关键、火焰传感器、四位数码管、全彩彩灯、舵机及多路舵机坞。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6、耗材清单至少包含：布织布*4、彩纸*4、剪刀*1、双面胶*1、激光木质切割板*1、铆钉螺丝等配件若干、数据线*4、螺丝刀*1、数据线*1、木棒若干、胶水*1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配套课程使用耗材清单至少包含：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布织布*4、彩纸*4、剪刀*1、双面胶*1、激光木质切割板*1、铆钉螺丝等配件若干、数据线*4、螺丝刀*1、数据线*1、木棒若干、胶水*1 </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实验课程内容至少包含：                                                                     </w:t>
            </w:r>
            <w:r>
              <w:rPr>
                <w:rFonts w:hint="eastAsia" w:ascii="宋体" w:hAnsi="宋体" w:eastAsia="宋体" w:cs="宋体"/>
                <w:i w:val="0"/>
                <w:iCs w:val="0"/>
                <w:color w:val="000000"/>
                <w:sz w:val="18"/>
                <w:szCs w:val="18"/>
                <w:u w:val="none"/>
                <w:lang w:val="en-US" w:eastAsia="zh-CN" w:bidi="ar"/>
              </w:rPr>
              <w:t xml:space="preserve">                                                                                                          1.认识Mixly  2.闪烁LED灯  3.摩斯密码  4.智能手机  5.智能楼道灯  6.火焰报警器  7.温湿度检测仪  8.智慧窗户  9.公园统计人数装置  10.创意门铃   11.浇花提醒器  12.呼吸灯  13.照明工具  14.可调爆闪警示灯  15.机器猫  16.智能垃圾桶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AIOT电子编程高级套件（E）</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bidi="ar"/>
              </w:rPr>
              <w:t xml:space="preserve">本套装可学习物联网云端平台应用与基础算法知识，帮助使用者优化代码结构、提升程序可读性。支持将编写完成的程序上传至物联网平台，实现智能设备接入与联网，提供完整的物联网应用解决方案</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1、硬件通用要求：所有模块兼容积木件与金属结构件，配置积木孔位及螺丝安装孔位；端口统一为 MX1.25 接口，配备适配连接线。主控板、传感器板采用沉金工艺，PCB 为黑色；模块支持图形化、代码编程，可正常适配 Arduino 系列软硬件环境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2、编程主控板：高性能、低功耗的微处理器、RISC 结构，131 条指令 – 大多数指令执行时间为单个时钟周期，32 个8 位通用工作寄存器，全静态工作，工作于20 MHz 时性能高达20 MIPS</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允许 ±1 MIPS 正常工艺偏差</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多功能扩展坞</w:t>
            </w:r>
            <w:r>
              <w:rPr>
                <w:rFonts w:hint="eastAsia" w:ascii="宋体" w:hAnsi="宋体" w:eastAsia="宋体" w:cs="宋体"/>
                <w:i w:val="0"/>
                <w:iCs w:val="0"/>
                <w:color w:val="000000"/>
                <w:sz w:val="18"/>
                <w:szCs w:val="18"/>
                <w:u w:val="none"/>
                <w:lang w:val="en-US" w:eastAsia="zh-CN" w:bidi="ar"/>
              </w:rPr>
              <w:t xml:space="preserve">：可叠加更换不同主控芯片，同时可以提供电量，与各个传感器配套专用借口。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温湿度传感器：工作电压3.3-5V，端口类型：单种线通信类，端口名XM1.27-4P，端口定义：VCC,GND,DAT,NC，温度测量范围-20摄氏度至60摄氏度，温度分辨率：0.1摄氏度。湿度范围：5%-95%。传感器类型：电容式，湿度精度1%</w:t>
            </w:r>
            <w:r>
              <w:rPr>
                <w:rFonts w:hint="eastAsia" w:ascii="宋体" w:hAnsi="宋体" w:eastAsia="宋体" w:cs="宋体"/>
                <w:color w:val="000000"/>
                <w:sz w:val="18"/>
                <w:szCs w:val="18"/>
                <w:u w:val="none"/>
                <w:lang w:bidi="ar"/>
              </w:rPr>
              <w:t xml:space="preserve">（允许 ±1% RH 偏差</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5、火焰传感器：工作电压3.3-5V，端口类型：模拟输入，端口名XM1.27-4P，端口定义：VCC,GND,AIN,NC，采集方式：火焰红外，相应波长：800-1000NM。具有防反接短路保护。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6、光敏传感器：工作电压3.3-5V，端口类型：模拟输入，端口名XM1.27-4P，端口定义：VCC,GND,AIN,NC，采集方式：光敏二级管，光敏范围：0-1000LM。具有防反接短路保护。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7、土壤湿度坞：工作电压3.3-5V，端口类型：模拟输入，端口名XM1.27-4P，端口定义：VCC,GND,AIN,NC，采集方式：电阻。土壤湿度范围：0-80%。具有防反接短路保护。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8、声音传感器：工作电压3.3-5V，端口类型：模拟输入，端口名XM1.27-4P，端口定义：VCC,GND,AIN,NC，采集方式：声音强度。范围：0-100DB。具有防反接短路保护。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9、有源蜂鸣器：工作电压3.3-5V，端口类型：数字输出，端口名XM1.27-4P，端口定义：VCC,GND,DOU,NC，执行方式：蜂鸣。响度：</w:t>
            </w:r>
            <w:r>
              <w:rPr>
                <w:rFonts w:hint="eastAsia" w:ascii="宋体" w:hAnsi="宋体" w:eastAsia="宋体" w:cs="宋体"/>
                <w:color w:val="000000"/>
                <w:sz w:val="18"/>
                <w:szCs w:val="18"/>
                <w:u w:val="none"/>
                <w:lang w:bidi="ar"/>
              </w:rPr>
              <w:t xml:space="preserve">≥85 dB(A)</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bidi="ar"/>
              </w:rPr>
              <w:t xml:space="preserve">谐振频率</w:t>
            </w:r>
            <w:r>
              <w:rPr>
                <w:rFonts w:hint="eastAsia" w:ascii="宋体" w:hAnsi="宋体" w:eastAsia="宋体" w:cs="宋体"/>
                <w:i w:val="0"/>
                <w:iCs w:val="0"/>
                <w:color w:val="000000"/>
                <w:sz w:val="18"/>
                <w:szCs w:val="18"/>
                <w:u w:val="none"/>
                <w:lang w:val="en-US" w:eastAsia="zh-CN" w:bidi="ar"/>
              </w:rPr>
              <w:t xml:space="preserve">：2300HZ，工作方式：电磁式。具有防反接短路保护。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10、震动马达块：工作电压3.3-5V，端口类型：数字或模拟输出，端口名XM1.27-4P，端口定义：VCC,GND,DOU,NC，工作方式：离心震动。具有防反接短路保护。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11、四位数码管：工作电压5V，端口类型：IIC，端口名XM1.27-4P，端口定义：VCC,GND,SDA,SCL，工作方式：动态扫描，显示位数：4位，屏幕尺寸0.36寸。具有防反接短路保护。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12、其余传感器：红外接近传感器、水分传感器、按扭传感器、发光二极管、红黄绿色灯、双路舵机坞、喇叭扬声器、连接线*5、舵机*1、DIY作品配件*1。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至少包含16个或以上课时PPT教学内容，（1）认识Mixly；（2）按钮控制小灯；（3）基于数码管的时钟显示；（4）摩斯密码；（5）小星星；（6）云端控制调节三色灯；（7）云端控制检测温湿度；（8）红外线报警系统；（9）抽签小游戏；（10）基于OneNET平台智能门锁；（11）数码管移位运算；（12）算式答答答；（13）定时时钟设置；（14）智能化楼道感应灯系统；（15）智能花园监测系统；（16）智能家居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AI物联网编程套装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175260</wp:posOffset>
                      </wp:positionH>
                      <wp:positionV relativeFrom="paragraph">
                        <wp:posOffset>0</wp:posOffset>
                      </wp:positionV>
                      <wp:extent cx="1143000" cy="975360"/>
                      <wp:effectExtent l="0" t="0" r="0" b="0"/>
                      <wp:wrapNone/>
                      <wp:docPr id="1" name="Object_2_SpCnt_6"/>
                      <wp:cNvGraphicFramePr/>
                      <a:graphic xmlns:a="http://schemas.openxmlformats.org/drawingml/2006/main">
                        <a:graphicData uri="http://schemas.openxmlformats.org/drawingml/2006/picture">
                          <pic:pic xmlns:pic="http://schemas.openxmlformats.org/drawingml/2006/picture">
                            <pic:nvPicPr>
                              <pic:cNvPr id="33" name="Object_2_SpCnt_6"/>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8960;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175260</wp:posOffset>
                      </wp:positionH>
                      <wp:positionV relativeFrom="paragraph">
                        <wp:posOffset>0</wp:posOffset>
                      </wp:positionV>
                      <wp:extent cx="1143000" cy="977265"/>
                      <wp:effectExtent l="0" t="0" r="0" b="0"/>
                      <wp:wrapNone/>
                      <wp:docPr id="2" name="Object_2_SpCnt_7"/>
                      <wp:cNvGraphicFramePr/>
                      <a:graphic xmlns:a="http://schemas.openxmlformats.org/drawingml/2006/main">
                        <a:graphicData uri="http://schemas.openxmlformats.org/drawingml/2006/picture">
                          <pic:pic xmlns:pic="http://schemas.openxmlformats.org/drawingml/2006/picture">
                            <pic:nvPicPr>
                              <pic:cNvPr id="34" name="Object_2_SpCnt_7"/>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9984;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核心编程主板：多集成传感器控制综合控制板，集成了众多传感器包括按键传感器＊6、LED点阵屏:12*8、RGB灯＊2、声音传感器*1、蜂鸣器＊1、环境光传感器＊1、温湿度传感器＊1、磁场传感器＊1、姿态传感器＊1、气压传感器＊1、触摸传感器是＊1，还可连接众多拓展传感器，主板具有6个TYPE-C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2.核心主板不仅可完成课标的相关内容，还可拓展外接AI智慧语音识别模块进行常规的API大数据语音识别的调用，及拓展摄像头模块进行图形识别等众多人工智能的其他大数据调用及应用。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他电子模块传感器既满足编程的控制又满足在非编程环境中连接使用，按照搭建步骤连接后即可实现功能。模块遵循左进右出电路结构，连接接口处有out，in标识，输入，右侧OUT：输出，IN接线口，方便使用者区分电气信号输入输出端，连接线为双头type-c接口，可方便DIY</w:t>
            </w:r>
            <w:r>
              <w:rPr>
                <w:rFonts w:hint="eastAsia" w:ascii="宋体" w:hAnsi="宋体" w:eastAsia="宋体" w:cs="宋体"/>
                <w:i w:val="0"/>
                <w:iCs w:val="0"/>
                <w:color w:val="000000"/>
                <w:sz w:val="18"/>
                <w:szCs w:val="18"/>
                <w:u w:val="none"/>
                <w:lang w:val="en-US" w:eastAsia="zh-CN" w:bidi="ar"/>
              </w:rPr>
              <w:t xml:space="preserve">项目时信号的远距离传输。模块产品结构为保障使用者安全，所有模块均无尖角，四角为45度的下坡拐角。模块为一体式结构，每个模块左右两侧四角各有两个销孔，可直接连接积木科技件，底部同时可与大小颗粒积木兼容结合。传感器包含：电源模块*1、RFID刷卡拓展板*1（含3张IC卡）、LED黄灯*3、LED红灯*3、LED白灯*3、铜线彩灯驱动*1（含铜线彩灯串）、自锁按键*1、红外模块*1、电位器模块*1、风扇马达模块*1、马达驱动*1、小颗粒马达*1、AI智慧语音识别对话模块、双头TYPE-C连接线*8、充电程序线*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积木胶件配件：重力砖*1、2*4砖*2、2*2圆柱砖*2、2*1斜面砖*4、1*4瓦*2、（43.2*22）轮胎*4、轮毂*4、（30.4*14）轮胎*4、轮毂*4、1*2板*8、1*4板*4、2*4孔板*6、2*6孔板*8、2*8孔板*2、2#限位轴*14、3#轴*8、3#突点轴*4、4#轴*8、5#轴*4、6#轴*2、8#轴*2、10#轴*2、1</w:t>
            </w:r>
            <w:r>
              <w:rPr>
                <w:rFonts w:hint="eastAsia" w:ascii="宋体" w:hAnsi="宋体" w:eastAsia="宋体" w:cs="宋体"/>
                <w:i w:val="0"/>
                <w:iCs w:val="0"/>
                <w:color w:val="000000"/>
                <w:sz w:val="18"/>
                <w:szCs w:val="18"/>
                <w:u w:val="none"/>
                <w:lang w:val="en-US" w:eastAsia="zh-CN" w:bidi="ar"/>
              </w:rPr>
              <w:t xml:space="preserve">2#轴*6、1*2梁*4、1*2轴孔梁*4、1*4梁*4、1*6梁*4、1*8梁*4、1*12梁*4、1*16梁*4、1*8齿条*1、1*4齿条*2、8齿*6、12齿*2、12齿*6、20齿*2、24齿圆柱齿轮*4、24齿冠齿轮*4、16齿*2、40齿*2、差速器齿轮*1、1*2螺旋齿轮*2、1*3孔臂*2、1*5孔臂*2、1*7孔臂*2、1*9孔臂*4、1*15孔臂*8、3*5三角孔臂*2、2*4孔臂*8、6*4孔臂*4、11.5双弯孔臂*2、3*5皮筋*2、5*5皮筋*2、2*2皮筋*2、1*2光滑销*</w:t>
            </w:r>
            <w:r>
              <w:rPr>
                <w:rFonts w:hint="eastAsia" w:ascii="宋体" w:hAnsi="宋体" w:eastAsia="宋体" w:cs="宋体"/>
                <w:i w:val="0"/>
                <w:iCs w:val="0"/>
                <w:color w:val="000000"/>
                <w:sz w:val="18"/>
                <w:szCs w:val="18"/>
                <w:u w:val="none"/>
                <w:lang w:val="en-US" w:eastAsia="zh-CN" w:bidi="ar"/>
              </w:rPr>
              <w:t xml:space="preserve">8、1*2摩擦销*28、1*2轴销（光滑）*12、1*3摩擦销*10、1*3轴套长销*14、1*3光滑销*4、3/4光滑销*6、1*3长正交连轴器*2、3#连轴器*4、1*2双轴连接器*10、2*连轴器*4、1*2联销器（开口）*2、1*3轴销连接*4、1#连轴器*4、1*2连轴器*8、半轴套*16、轴套*16、2*2*3臂转向*2、1*3万向节*1、中滑轮*4、中滑轮外胎*4、凸轮*4、1*40两端颗粒*2、1*50绳子*2、收绳滚轮*1、9v中号M马达*1、9v电池盒*1、蓝色扇叶*1、1*3摇把*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5.课程及实验内容包含：互联网到物联网、物联网基本原理与功能、物联网创新应用、物联网安全等四大部分。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人工智能初级套件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人工智能机器学习套装：以图像学习为主，让学生了解图形识别、文本识别及人脸识别等技术、原理，学生可根据简单编程即可设计出自己的创意编程项目。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 RV64 双核嵌入式智能处理芯片；内置摄像头FPC插座，</w:t>
            </w:r>
            <w:r>
              <w:rPr>
                <w:rFonts w:hint="eastAsia" w:ascii="宋体" w:hAnsi="宋体" w:eastAsia="宋体" w:cs="宋体"/>
                <w:i w:val="0"/>
                <w:iCs w:val="0"/>
                <w:color w:val="000000"/>
                <w:sz w:val="18"/>
                <w:szCs w:val="18"/>
                <w:u w:val="none"/>
                <w:lang w:val="en-US" w:eastAsia="zh-CN" w:bidi="ar"/>
              </w:rPr>
              <w:t xml:space="preserve">可外接300万像素的OV2640摄像头，摄像头可用于视觉处理；显示屏：LCD_2.4寸 320*240分辨率，支持电阻触摸；高灵敏度低噪声数字硅麦，可用于语音识别；扬声器，能够实现语音播报功能；COM口使用TYP-C口，防脱落，支持正反插，采用340接口芯片。板载LED灯13口、WIFI芯片；DC坐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（2）拓展板：采用叠层设计，不仅将Arduino Uno的</w:t>
            </w:r>
            <w:r>
              <w:rPr>
                <w:rFonts w:hint="eastAsia" w:ascii="宋体" w:hAnsi="宋体" w:eastAsia="宋体" w:cs="宋体"/>
                <w:i w:val="0"/>
                <w:iCs w:val="0"/>
                <w:color w:val="000000"/>
                <w:sz w:val="18"/>
                <w:szCs w:val="18"/>
                <w:u w:val="none"/>
                <w:lang w:val="en-US" w:eastAsia="zh-CN" w:bidi="ar"/>
              </w:rPr>
              <w:t xml:space="preserve">全部数字与模拟接口以舵机线序形式扩展出来，还特设IIC接口、舵机控制器接口、蓝牙模块通信接口、SD卡模块通信接口、APC220无线射频模块通信接口、超声波传感器接口、12864液晶串行与并行接口，独立扩出更加易用方便。这款传感器扩展板真正意义上的将电路简化，能够很容易地将常用传感器连接起来，一款传感器仅需要一种通用3P传感器连接线（不分数字连接线与模拟连接线），完成电路连接后，编写相应的Arduino程序下载到Arduino 控制器中读取传感器数据、或者接收无线模块回传数据，经过运算处理，最终轻松完成作品。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i w:val="0"/>
                <w:iCs w:val="0"/>
                <w:color w:val="000000"/>
                <w:sz w:val="18"/>
                <w:szCs w:val="18"/>
                <w:u w:val="none"/>
                <w:lang w:val="en-US" w:eastAsia="zh-CN" w:bidi="ar"/>
              </w:rPr>
              <w:t xml:space="preserve">配备适配连接线</w:t>
            </w:r>
            <w:r>
              <w:rPr>
                <w:rFonts w:hint="eastAsia" w:ascii="宋体" w:hAnsi="宋体" w:eastAsia="宋体" w:cs="宋体"/>
                <w:i w:val="0"/>
                <w:iCs w:val="0"/>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MicroPython脚本与图形化编程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MicroPython的GPIO、I2C、SPI、Timer、UART等标准库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4.套装至少包含：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人工智能开发板*1 、M板拓展坞*1、声音传感器*1、光敏传感器*1、角度电位器*1、按钮传感器*1、LED灯*1、红色灯珠*2、黄色灯珠*2、绿色灯珠*2、有源蜂鸣器*1、数据线*1、连接线*6，电池*1、电池连接线*1、包装盒*1材料。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课程及实验内容至少包含：1.Mixly软件学习 2.危险报警闪光灯 3.闪烁的LED  4.摩斯密码器  5.智能楼道灯  6.防盗盒子  7.呼吸灯  8.可调爆闪警示灯  9.稳定的照明工具  10.交通信号灯  11.创意计数器  12.旋转变变变</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人工智能机器学习中级套装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人工智能机器学习套装：</w:t>
            </w:r>
            <w:r>
              <w:rPr>
                <w:rFonts w:hint="eastAsia" w:ascii="宋体" w:hAnsi="宋体" w:eastAsia="宋体" w:cs="宋体"/>
                <w:color w:val="000000"/>
                <w:sz w:val="18"/>
                <w:szCs w:val="18"/>
                <w:u w:val="none"/>
                <w:lang w:bidi="ar"/>
              </w:rPr>
              <w:t xml:space="preserve">人工智能机器学习套装主打摄像头识别与人工智能应用教学，支持机器学习、模型训练、图像及文本识别。设备可通过本地拍照或云端两种方式完成模型训练，学生能够调用已训练模型进行编程开发，制作人工智能识别类创意应用，直观学习基础机器学习原理与实操流程</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 RV64 双核嵌入式智能处理芯片；内置</w:t>
            </w:r>
            <w:r>
              <w:rPr>
                <w:rFonts w:hint="eastAsia" w:ascii="宋体" w:hAnsi="宋体" w:eastAsia="宋体" w:cs="宋体"/>
                <w:i w:val="0"/>
                <w:iCs w:val="0"/>
                <w:color w:val="000000"/>
                <w:sz w:val="18"/>
                <w:szCs w:val="18"/>
                <w:u w:val="none"/>
                <w:lang w:val="en-US" w:eastAsia="zh-CN" w:bidi="ar"/>
              </w:rPr>
              <w:t xml:space="preserve">摄像头FPC插座，可外接300万像素的OV2640摄像头，摄像头可用于视觉处理；显示屏：LCD_2.4寸 320*240分辨率，支持电阻触摸；高灵敏度低噪声数字硅麦，可用于语音识别；扬声器，能够实现语音播报功能；COM口 使用TYP-C口，防脱落，支持正反插，板载LED灯13口、WIFI芯片；DC坐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（2）拓展板：采用叠层设计，将Arduino Uno的全部数字与模拟接口以舵机线序形式扩展出来，设IIC接口、舵机控制器接口、蓝牙模块通信接口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i w:val="0"/>
                <w:iCs w:val="0"/>
                <w:color w:val="000000"/>
                <w:sz w:val="18"/>
                <w:szCs w:val="18"/>
                <w:u w:val="none"/>
                <w:lang w:val="en-US" w:eastAsia="zh-CN" w:bidi="ar"/>
              </w:rPr>
              <w:t xml:space="preserve">配备适配连接线</w:t>
            </w:r>
            <w:r>
              <w:rPr>
                <w:rFonts w:hint="eastAsia" w:ascii="宋体" w:hAnsi="宋体" w:eastAsia="宋体" w:cs="宋体"/>
                <w:i w:val="0"/>
                <w:iCs w:val="0"/>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（2）具有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（3）具有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1</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4</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物联网应用：支持接入 ONENET 平台，完成数据上云展示，并可通过云端对终端设备进行控制。</w:t>
            </w:r>
            <w:r/>
          </w:p>
          <w:p>
            <w:pPr>
              <w:numPr>
                <w:ilvl w:val="-1"/>
                <w:numId w:val="0"/>
              </w:numPr>
              <w:jc w:val="left"/>
              <w:keepLines w:val="0"/>
              <w:keepNext w:val="0"/>
              <w:spacing w:line="360" w:lineRule="atLeast"/>
              <w:widowControl/>
              <w:rPr>
                <w:rFonts w:hint="eastAsia" w:ascii="宋体" w:hAnsi="宋体" w:eastAsia="宋体" w:cs="宋体"/>
                <w:i w:val="0"/>
                <w:iCs w:val="0"/>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5</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4.套装包含：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人工智能开发板*1 、M板拓展坞*1、多路舵机驱动*1、感性负载坞*2、按钮传感器*1、喵喵超声波*1、有源蜂鸣器*1、温湿度传感器*1 舵机*1、扬声器*1、数据线*1、连接线*6，电池*1、电池连接线*1、M12摄像头（含支架与支架配件）*1、SD卡*1、读卡器*1、包装盒*1等材料</w:t>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课程及实验内容至少包含：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1.认识mixno，2.mixno呼吸灯  3.神奇的画框  4.弹幕显示屏 5.智造音视频  6.小小摄影师 7.有趣的识图器 8.超级售货员 9.生活小管家 10.游戏大比拼 11.智慧机器人 12.跟屁虫小车</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人工智能机器学习高级套装</w:t>
            </w:r>
            <w:r>
              <w:rPr>
                <w:rFonts w:hint="eastAsia" w:ascii="宋体" w:hAnsi="宋体" w:eastAsia="宋体" w:cs="宋体"/>
                <w:color w:val="ff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lang w:val="en-US" w:eastAsia="zh-CN" w:bidi="ar"/>
              </w:rPr>
              <w:suppressLineNumbers w:val="0"/>
            </w:pPr>
            <w:r>
              <w:rPr>
                <w:rFonts w:hint="eastAsia" w:ascii="宋体" w:hAnsi="宋体" w:eastAsia="宋体" w:cs="宋体"/>
                <w:color w:val="000000"/>
                <w:sz w:val="18"/>
                <w:szCs w:val="18"/>
                <w:u w:val="none"/>
                <w:lang w:val="en-US" w:eastAsia="zh-CN" w:bidi="ar"/>
              </w:rPr>
              <w:t xml:space="preserve">人工智能机器学习套装：以语音类模型训练、机器学习为主，可进行简单的语音识别、语音交互、语音模型训练等。可以完成人工智能方面的众多AI应用：机器学习、模型训练、图片识别、文本识别、语音识别、语音交互等，还可通过训练好的模型进行编程方面等应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1.硬件方面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（1）主控芯片： RV64 双核嵌入式智能处理芯片；内置摄像头FPC插座，可外接300万像素的OV2640摄像头，摄像头可用于视觉处理；显示屏：LCD_2.4寸 320*240分辨率，支持电阻触摸；板载LED灯13口、WIFI芯片；DC坐 6-12V输入 同步降压转到5V2A；AB键和复位键；电源指示灯；电源排插，可供3.3V和5V；SD卡插口 最大支持128G CLASS10TF卡；可实现功能：人脸识别，颜色识别，物体识别，标签识别，物体追踪。</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（2）拓展板：采用叠层设计，将Arduino Uno的全部数字与模拟接口以舵机线序形式扩展出来，设IIC接口、舵机控制器接口、蓝牙模块通信接口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传感器及执行器模块：需满足结构部分兼容积木件，具有外接结构的圆形孔位；同时可与金属结构件兼容，具备螺丝孔位；模块外部结构具有可卡扣凹槽：同时木板、3D打印部件、超轻粘土、纸卡等众多材料做结构部分无缝连接。接线方式及端口：MX1.25接口，</w:t>
            </w:r>
            <w:r>
              <w:rPr>
                <w:rFonts w:hint="eastAsia" w:ascii="宋体" w:hAnsi="宋体" w:cs="宋体"/>
                <w:color w:val="000000"/>
                <w:sz w:val="18"/>
                <w:szCs w:val="18"/>
                <w:u w:val="none"/>
                <w:lang w:val="en-US" w:eastAsia="zh-CN" w:bidi="ar"/>
              </w:rPr>
              <w:t xml:space="preserve">配备适配连接线</w:t>
            </w:r>
            <w:r>
              <w:rPr>
                <w:rFonts w:hint="eastAsia" w:ascii="宋体" w:hAnsi="宋体" w:eastAsia="宋体" w:cs="宋体"/>
                <w:color w:val="000000"/>
                <w:sz w:val="18"/>
                <w:szCs w:val="18"/>
                <w:u w:val="none"/>
                <w:lang w:val="en-US" w:eastAsia="zh-CN" w:bidi="ar"/>
              </w:rPr>
              <w:t xml:space="preserve"> ；所有主控板及传感器均采用沉金工艺；所有模块均可进行图形化、代码编程使用，满足Arduino系列软硬件环境使用；PCB颜色：黑色。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 软件方面：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（1）支持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MicroPython脚本与图形化编程</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（2）具有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MicroPython的GPIO、I2C、SPI、Timer、UART等标准库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（3）具有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MicroPython的sensor、image等机器视觉库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（4）具有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MicroPython的I2S、audio、lcd、vido等音视频处理库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（5）具有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MicroPython的KPU卷积神经网络计算处理库</w:t>
            </w:r>
            <w:r>
              <w:rPr>
                <w:rFonts w:hint="eastAsia" w:ascii="宋体" w:hAnsi="宋体" w:eastAsia="宋体" w:cs="宋体"/>
                <w:color w:val="000000"/>
                <w:sz w:val="18"/>
                <w:szCs w:val="18"/>
                <w:highlight w:val="white"/>
                <w:u w:val="none"/>
                <w:lang w:val="en-US" w:eastAsia="zh-CN" w:bidi="ar"/>
              </w:rPr>
              <w:br/>
            </w:r>
            <w:r>
              <w:rPr>
                <w:rFonts w:hint="eastAsia" w:ascii="宋体" w:hAnsi="宋体" w:eastAsia="宋体" w:cs="宋体"/>
                <w:color w:val="000000"/>
                <w:sz w:val="18"/>
                <w:szCs w:val="18"/>
                <w:highlight w:val="white"/>
                <w:u w:val="none"/>
                <w:lang w:val="en-US" w:eastAsia="zh-CN" w:bidi="ar"/>
              </w:rPr>
              <w:t xml:space="preserve">（6）具有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color w:val="000000"/>
                <w:sz w:val="18"/>
                <w:szCs w:val="18"/>
                <w:highlight w:val="white"/>
                <w:u w:val="none"/>
                <w:lang w:val="en-US" w:eastAsia="zh-CN" w:bidi="ar"/>
              </w:rPr>
              <w:t xml:space="preserve">M</w:t>
            </w:r>
            <w:r>
              <w:rPr>
                <w:rFonts w:hint="eastAsia" w:ascii="宋体" w:hAnsi="宋体" w:eastAsia="宋体" w:cs="宋体"/>
                <w:color w:val="000000"/>
                <w:sz w:val="18"/>
                <w:szCs w:val="18"/>
                <w:u w:val="none"/>
                <w:lang w:val="en-US" w:eastAsia="zh-CN" w:bidi="ar"/>
              </w:rPr>
              <w:t xml:space="preserve">icroPython的nes、lvgl、touchscreen等内置应用库</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 应用方面</w:t>
            </w:r>
            <w:r>
              <w:rPr>
                <w:rFonts w:hint="eastAsia" w:ascii="宋体" w:hAnsi="宋体" w:eastAsia="宋体" w:cs="宋体"/>
                <w:color w:val="000000"/>
                <w:sz w:val="18"/>
                <w:szCs w:val="18"/>
                <w:u w:val="none"/>
                <w:lang w:val="en-US" w:eastAsia="zh-CN" w:bidi="ar"/>
              </w:rPr>
              <w:br/>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1</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4</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物联网应用：支持接入 ONENET 平台，完成数据上云展示，并可通过云端对终端设备进行控制。</w:t>
            </w:r>
            <w:r/>
          </w:p>
          <w:p>
            <w:pPr>
              <w:numPr>
                <w:ilvl w:val="-1"/>
                <w:numId w:val="0"/>
              </w:numPr>
              <w:ind w:left="0" w:firstLine="0"/>
              <w:jc w:val="left"/>
              <w:keepLines w:val="0"/>
              <w:keepNext w:val="0"/>
              <w:widowControl/>
              <w:rPr>
                <w:rFonts w:hint="eastAsia" w:ascii="宋体" w:hAnsi="宋体" w:eastAsia="宋体" w:cs="宋体"/>
                <w:lang w:val="en-US" w:eastAsia="zh-CN" w:bidi="ar"/>
              </w:rPr>
              <w:suppressLineNumbers w:val="0"/>
            </w:pP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val="en-US" w:eastAsia="zh-CN" w:bidi="ar"/>
              </w:rPr>
              <w:t xml:space="preserve">5</w:t>
            </w:r>
            <w:r>
              <w:rPr>
                <w:rFonts w:hint="eastAsia" w:ascii="宋体" w:hAnsi="宋体" w:cs="宋体"/>
                <w:color w:val="000000"/>
                <w:sz w:val="18"/>
                <w:szCs w:val="18"/>
                <w:u w:val="none"/>
                <w:lang w:eastAsia="zh-CN" w:bidi="ar"/>
              </w:rPr>
              <w:t xml:space="preserve">）</w:t>
            </w:r>
            <w:r>
              <w:rPr>
                <w:rFonts w:hint="eastAsia" w:ascii="宋体" w:hAnsi="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4.套装包含：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人工智能开发板*1 、M板拓展坞*1、多路舵机驱动*1、感性负载坞*2、按钮传感器**1、火焰传感器*1、土壤湿度坞*1、水分传感器*1、舵机*4、扬声器*1、数据线*1、连接线*6，电池*1、电池连接线*1、摄像头延长线*1、WiFi天线*1、M12摄像头（含支架与支架配件）*1、镜头*1、SD卡*1、读卡器*1、包装盒*1等材料。</w:t>
            </w:r>
            <w:r/>
          </w:p>
          <w:p>
            <w:pPr>
              <w:numPr>
                <w:ilvl w:val="0"/>
                <w:numId w:val="0"/>
              </w:numPr>
              <w:ind w:left="0" w:firstLine="0"/>
              <w:jc w:val="left"/>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color w:val="000000"/>
                <w:sz w:val="18"/>
                <w:szCs w:val="18"/>
                <w:u w:val="none"/>
                <w:lang w:val="en-US" w:eastAsia="zh-CN" w:bidi="ar"/>
              </w:rPr>
              <w:t xml:space="preserve">实验及课程内容至少包含：</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1.认识Mixno和Mixly  2.有趣的板载LED灯  3.音频播放器  4.火焰报警器  5.游</w:t>
            </w:r>
            <w:r>
              <w:rPr>
                <w:rFonts w:hint="eastAsia" w:ascii="宋体" w:hAnsi="宋体" w:eastAsia="宋体" w:cs="宋体"/>
                <w:color w:val="000000" w:themeColor="text1"/>
                <w:sz w:val="18"/>
                <w:szCs w:val="18"/>
                <w:highlight w:val="white"/>
                <w:u w:val="none"/>
                <w:lang w:val="en-US" w:eastAsia="zh-CN" w:bidi="ar"/>
              </w:rPr>
              <w:t xml:space="preserve">戏小玩伴  6.看图猜成语  7.照相机  8.垃圾分类（上）  9.垃圾分类（下）  10.语音识别精灵  11.环境监测之物联网  12.寻迹机器人</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▲投标提供“人工智能学习套件探索与研究平台”的</w:t>
            </w:r>
            <w:r>
              <w:rPr>
                <w:rFonts w:hint="eastAsia" w:ascii="宋体" w:hAnsi="宋体" w:cs="宋体"/>
                <w:color w:val="000000" w:themeColor="text1"/>
                <w:sz w:val="18"/>
                <w:szCs w:val="18"/>
                <w:highlight w:val="white"/>
                <w:u w:val="none"/>
                <w:lang w:val="en-US" w:eastAsia="zh-CN" w:bidi="ar"/>
              </w:rPr>
              <w:t xml:space="preserve">类似</w:t>
            </w:r>
            <w:r>
              <w:rPr>
                <w:rFonts w:hint="eastAsia" w:ascii="宋体" w:hAnsi="宋体" w:eastAsia="宋体" w:cs="宋体"/>
                <w:color w:val="000000" w:themeColor="text1"/>
                <w:sz w:val="18"/>
                <w:szCs w:val="18"/>
                <w:highlight w:val="white"/>
                <w:u w:val="none"/>
                <w:lang w:val="en-US" w:eastAsia="zh-CN" w:bidi="ar"/>
              </w:rPr>
              <w:t xml:space="preserve">软件著作权登记证书</w:t>
            </w:r>
            <w:r>
              <w:rPr>
                <w:rFonts w:hint="eastAsia" w:ascii="宋体" w:hAnsi="宋体" w:cs="宋体"/>
                <w:color w:val="000000" w:themeColor="text1"/>
                <w:sz w:val="18"/>
                <w:szCs w:val="18"/>
                <w:highlight w:val="white"/>
                <w:u w:val="none"/>
                <w:lang w:val="en-US" w:eastAsia="zh-CN" w:bidi="ar"/>
              </w:rPr>
              <w:t xml:space="preserve">彩色扫描件（证书名称与本项描述不完全一致但核心功能相近的，由评审委员会现场集体综合判定）</w:t>
            </w:r>
            <w:r>
              <w:rPr>
                <w:rFonts w:hint="eastAsia" w:ascii="宋体" w:hAnsi="宋体" w:eastAsia="宋体" w:cs="宋体"/>
                <w:color w:val="000000" w:themeColor="text1"/>
                <w:sz w:val="18"/>
                <w:szCs w:val="18"/>
                <w:highlight w:val="white"/>
                <w:u w:val="none"/>
                <w:lang w:val="en-US" w:eastAsia="zh-CN" w:bidi="ar"/>
              </w:rPr>
              <w:t xml:space="preserve"> </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互动编程软件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22"/>
                <w:szCs w:val="22"/>
                <w:highlight w:val="white"/>
                <w:u w:val="none"/>
              </w:rPr>
              <w:suppressLineNumbers w:val="0"/>
            </w:pPr>
            <w:r>
              <w:rPr>
                <w:rFonts w:hint="eastAsia" w:ascii="宋体" w:hAnsi="宋体" w:eastAsia="宋体" w:cs="宋体"/>
                <w:color w:val="000000"/>
                <w:sz w:val="18"/>
                <w:szCs w:val="18"/>
                <w:u w:val="none"/>
                <w:lang w:val="en-US" w:eastAsia="zh-CN" w:bidi="ar"/>
              </w:rPr>
              <w:t xml:space="preserve">1、基于Blockly语言集成深度人工智能算法指令与物联网大数据应用的图形化软件</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支持MicroPython脚本与Mixly-MixNo版图形化编程可进行图形化编程（图形化编程环境）、同时满足图形化转MicroPython代码，也可直接使用MicroPython代码进行编程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界面模块功能栏需包含：输入\输出、数学、逻辑、文本、列表、元组、字典、集合、存储、串口、通信、网络、游戏、传感器、执行器、音视频、摄像头、显示屏、物联网、人工智能、机器视觉、变量、函数、Factory等</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MicroPython的GPIO、I2C、SPI、Timer、UART等标准库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4、具有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MicroPython的sensor、image等机器视觉库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5、具有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MicroPython的I2S、audio、lcd、vido等音视频处理库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6、具有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MicroPython的KPU卷积神经网络计算处理库</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7、具有</w:t>
            </w:r>
            <w:r>
              <w:rPr>
                <w:rFonts w:hint="eastAsia" w:ascii="宋体" w:hAnsi="宋体" w:cs="宋体"/>
                <w:i w:val="0"/>
                <w:iCs w:val="0"/>
                <w:color w:val="000000" w:themeColor="text1"/>
                <w:sz w:val="18"/>
                <w:szCs w:val="18"/>
                <w:highlight w:val="white"/>
                <w:u w:val="none"/>
                <w:lang w:val="en-US" w:eastAsia="zh-CN" w:bidi="ar"/>
              </w:rPr>
              <w:t xml:space="preserve">类似于</w:t>
            </w:r>
            <w:r>
              <w:rPr>
                <w:rFonts w:hint="eastAsia" w:ascii="宋体" w:hAnsi="宋体" w:eastAsia="宋体" w:cs="宋体"/>
                <w:color w:val="000000" w:themeColor="text1"/>
                <w:sz w:val="18"/>
                <w:szCs w:val="18"/>
                <w:highlight w:val="white"/>
                <w:u w:val="none"/>
                <w:lang w:val="en-US" w:eastAsia="zh-CN" w:bidi="ar"/>
              </w:rPr>
              <w:t xml:space="preserve">MicroPython的nes、wifi、touchscreen等内置应用库                                                                                                                             </w:t>
            </w:r>
            <w:r>
              <w:rPr>
                <w:rFonts w:hint="eastAsia" w:ascii="宋体" w:hAnsi="宋体" w:eastAsia="宋体" w:cs="宋体"/>
                <w:color w:val="000000" w:themeColor="text1"/>
                <w:sz w:val="18"/>
                <w:szCs w:val="18"/>
                <w:highlight w:val="white"/>
                <w:u w:val="none"/>
                <w:lang w:val="en-US" w:eastAsia="zh-CN" w:bidi="ar"/>
              </w:rPr>
              <w:br/>
            </w:r>
            <w:r>
              <w:rPr>
                <w:rFonts w:hint="eastAsia" w:ascii="宋体" w:hAnsi="宋体" w:eastAsia="宋体" w:cs="宋体"/>
                <w:color w:val="000000" w:themeColor="text1"/>
                <w:sz w:val="18"/>
                <w:szCs w:val="18"/>
                <w:highlight w:val="white"/>
                <w:u w:val="none"/>
                <w:lang w:val="en-US" w:eastAsia="zh-CN" w:bidi="ar"/>
              </w:rPr>
              <w:t xml:space="preserve">▲8、提供满足音视频、摄像头、显示屏、物联网、人工智能、卷积神经网络计算处理库软件界面功能的截图</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创意机器人套件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240" w:lineRule="auto"/>
              <w:widowControl/>
              <w:rPr>
                <w:rFonts w:hint="eastAsia" w:ascii="宋体" w:hAnsi="宋体" w:cs="宋体"/>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bidi="ar"/>
              </w:rPr>
              <w:t xml:space="preserve">（1）知识与能力培养：帮助学习者认识基础结构知识、了解机器人特性，掌握积木搭建与动力结构组合方法，理解简易机械原理；同时锻炼团队协作能力，提升肢体协调与动手实操能力。</w:t>
            </w:r>
            <w:r/>
          </w:p>
          <w:p>
            <w:pPr>
              <w:ind w:left="0" w:right="0"/>
              <w:jc w:val="left"/>
              <w:keepLines w:val="0"/>
              <w:keepNext w:val="0"/>
              <w:spacing w:before="0" w:beforeAutospacing="0" w:after="0" w:afterAutospacing="0" w:line="240" w:lineRule="auto"/>
              <w:widowControl/>
              <w:rPr>
                <w:rFonts w:hint="eastAsia" w:ascii="宋体" w:hAnsi="宋体" w:cs="宋体"/>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bidi="ar"/>
              </w:rPr>
              <w:t xml:space="preserve">（</w:t>
            </w:r>
            <w:r>
              <w:rPr>
                <w:rFonts w:hint="eastAsia" w:ascii="宋体" w:hAnsi="宋体" w:cs="宋体"/>
                <w:color w:val="000000"/>
                <w:sz w:val="18"/>
                <w:szCs w:val="18"/>
                <w:u w:val="none"/>
                <w:lang w:val="en-US" w:eastAsia="zh-CN" w:bidi="ar"/>
              </w:rPr>
              <w:t xml:space="preserve">2</w:t>
            </w:r>
            <w:r>
              <w:rPr>
                <w:rFonts w:hint="eastAsia" w:ascii="宋体" w:hAnsi="宋体" w:cs="宋体"/>
                <w:color w:val="000000"/>
                <w:sz w:val="18"/>
                <w:szCs w:val="18"/>
                <w:u w:val="none"/>
                <w:lang w:bidi="ar"/>
              </w:rPr>
              <w:t xml:space="preserve">）使用体验：控制器、电机支持即插即用，配套完整搭建教程，操作简易，有效降低编程入门难度。</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color w:val="000000"/>
                <w:sz w:val="18"/>
                <w:szCs w:val="18"/>
                <w:u w:val="none"/>
                <w:lang w:bidi="ar"/>
              </w:rPr>
              <w:t xml:space="preserve">（</w:t>
            </w:r>
            <w:r>
              <w:rPr>
                <w:rFonts w:hint="eastAsia" w:ascii="宋体" w:hAnsi="宋体" w:cs="宋体"/>
                <w:color w:val="000000"/>
                <w:sz w:val="18"/>
                <w:szCs w:val="18"/>
                <w:u w:val="none"/>
                <w:lang w:val="en-US" w:eastAsia="zh-CN" w:bidi="ar"/>
              </w:rPr>
              <w:t xml:space="preserve">3</w:t>
            </w:r>
            <w:r>
              <w:rPr>
                <w:rFonts w:hint="eastAsia" w:ascii="宋体" w:hAnsi="宋体" w:cs="宋体"/>
                <w:color w:val="000000"/>
                <w:sz w:val="18"/>
                <w:szCs w:val="18"/>
                <w:u w:val="none"/>
                <w:lang w:bidi="ar"/>
              </w:rPr>
              <w:t xml:space="preserve">）教学与创作：搭载控制单元与动力输出模块，支持机器人搭建与创意设计，适用于项目式常规教学；整套器材可搭建20 种不同作品造型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智能AI语音LED创客台灯（创新实践款）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尺寸：底座直径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10cm，灯杆高度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25cm，灯罩直径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12cm，整体重量约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300g，底座厚度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2cm，灯罩高度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简约创客风格底座，预留灯带安装槽和AI语音模块放置位；2.  灯罩采用亚克力板材；3.  内置LED灯带，嵌入灯座和灯罩预留槽，连接AI语音控制模块。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知识点需覆盖内容</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高中多学科教学内容，贴合高中创客课程电子电路+创意设计核心教学要求，可直接用于创客实践课程实操教学与课程成果成品展示，具体涵盖学科知识点如下：</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高中物理</w:t>
            </w:r>
            <w:r>
              <w:rPr>
                <w:rFonts w:hint="eastAsia" w:ascii="宋体" w:hAnsi="宋体" w:eastAsia="宋体" w:cs="宋体"/>
                <w:color w:val="000000"/>
                <w:sz w:val="18"/>
                <w:szCs w:val="18"/>
                <w:u w:val="none"/>
                <w:lang w:val="en-US" w:eastAsia="zh-CN" w:bidi="ar"/>
              </w:rPr>
              <w:t xml:space="preserve">：电路串联与并联原理、LED发光工作原理、电阻调光控制原理；</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信息技术</w:t>
            </w:r>
            <w:r>
              <w:rPr>
                <w:rFonts w:hint="eastAsia" w:ascii="宋体" w:hAnsi="宋体" w:eastAsia="宋体" w:cs="宋体"/>
                <w:color w:val="000000"/>
                <w:sz w:val="18"/>
                <w:szCs w:val="18"/>
                <w:u w:val="none"/>
                <w:lang w:val="en-US" w:eastAsia="zh-CN" w:bidi="ar"/>
              </w:rPr>
              <w:t xml:space="preserve">：AI语音识别基础原理、基础编程逻辑、硬件模块接线方法与设备调试技巧；</w:t>
            </w:r>
            <w:r/>
          </w:p>
          <w:p>
            <w:pPr>
              <w:jc w:val="left"/>
              <w:keepLines w:val="0"/>
              <w:keepNext w:val="0"/>
              <w:widowControl/>
              <w:rPr>
                <w:rFonts w:hint="eastAsia" w:ascii="宋体" w:hAnsi="宋体" w:eastAsia="宋体" w:cs="宋体"/>
                <w:color w:val="000000"/>
                <w:sz w:val="18"/>
                <w:szCs w:val="18"/>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工程设计</w:t>
            </w:r>
            <w:r>
              <w:rPr>
                <w:rFonts w:hint="eastAsia" w:ascii="宋体" w:hAnsi="宋体" w:eastAsia="宋体" w:cs="宋体"/>
                <w:color w:val="000000"/>
                <w:sz w:val="18"/>
                <w:szCs w:val="18"/>
                <w:u w:val="none"/>
                <w:lang w:val="en-US" w:eastAsia="zh-CN" w:bidi="ar"/>
              </w:rPr>
              <w:t xml:space="preserve">：3D建模基础操作、激光切割路径规划设计、产品整体结构装配工艺；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val="0"/>
                <w:color w:val="000000"/>
                <w:sz w:val="18"/>
                <w:szCs w:val="18"/>
                <w:u w:val="none"/>
                <w:lang w:val="en-US" w:eastAsia="zh-CN" w:bidi="ar"/>
              </w:rPr>
              <w:t xml:space="preserve">美术设计</w:t>
            </w:r>
            <w:r>
              <w:rPr>
                <w:rFonts w:hint="eastAsia" w:ascii="宋体" w:hAnsi="宋体" w:eastAsia="宋体" w:cs="宋体"/>
                <w:color w:val="000000"/>
                <w:sz w:val="18"/>
                <w:szCs w:val="18"/>
                <w:u w:val="none"/>
                <w:lang w:val="en-US" w:eastAsia="zh-CN" w:bidi="ar"/>
              </w:rPr>
              <w:t xml:space="preserve">：UV印刷色彩搭配技巧、镂空结构造型创意设计</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智能交互：支持AI语音控制，适配高中创客对智能控制模块的学习和应用；2.  创意可定制：UV印刷图案，满足个性化需求；3.  安全实用：材料环保，LED灯带低功耗、无频闪，适合高中生日常学习使用，同时可拆解，方便创客实操练习；4.  颜值与实用性兼具，镂空灯罩透光均匀，创客风格突出，可作为桌面装饰和学习工具。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智能姓名牌（创新展示款）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尺寸：整体</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8cm×5cm×1.5cm，姓名展示区域</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6cm×3cm，厚度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姓名牌底座采用三维立体简约矩形或创客风格造型（如带电路纹路、齿轮造型），预留灯带安装槽；2.  姓名展示面板采用亚克力板材，通过激光切割与底座匹配的尺寸，再用多层立体工艺在面板表面雕刻姓名、班级、创客社团标识，层数2-3层，</w:t>
            </w:r>
            <w:r>
              <w:rPr>
                <w:rFonts w:hint="eastAsia" w:ascii="宋体" w:hAnsi="宋体" w:cs="宋体"/>
                <w:i w:val="0"/>
                <w:iCs w:val="0"/>
                <w:color w:val="000000"/>
                <w:sz w:val="18"/>
                <w:szCs w:val="18"/>
                <w:u w:val="none"/>
                <w:lang w:val="en-US" w:eastAsia="zh-CN" w:bidi="ar"/>
              </w:rPr>
              <w:t xml:space="preserve">需具备</w:t>
            </w:r>
            <w:r>
              <w:rPr>
                <w:rFonts w:hint="eastAsia" w:ascii="宋体" w:hAnsi="宋体" w:eastAsia="宋体" w:cs="宋体"/>
                <w:i w:val="0"/>
                <w:iCs w:val="0"/>
                <w:color w:val="000000"/>
                <w:sz w:val="18"/>
                <w:szCs w:val="18"/>
                <w:u w:val="none"/>
                <w:lang w:val="en-US" w:eastAsia="zh-CN" w:bidi="ar"/>
              </w:rPr>
              <w:t xml:space="preserve">立体质感；3.  表面UV印刷个性图案（如创客元素、科技纹理、校徽），边缘经激光抛光处理，光滑无毛刺；4.  底座内置微型LED灯带，连接开关嵌入预留槽，整体组装后粘贴防滑垫。</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：涵盖3D建模、激光加工、UV印刷、基础电路（LED灯带安装、开关控制），适合高中创客入门实践，培养设计与动手能力，同时可作为创客社团成员的专属标识，贴合创客展示需求。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个性化定制：可根据需求定制姓名、班级、社团标识，UV印刷图案和纹理可自主选择，适配不同学生的个性化需求；2.  立体质感强：打造的姓名和图案具有明显层次感，区别于普通平面姓名牌，创客风格突出；3.  便携实用：体积小巧，可放置在桌面、书包挂件，灯光开启后辨识度高，适合创客活动展示、班级文化布置；4.  制作难度适配高中创客，可作为创客入门实操的成品，同时可拆解学习电路和加工工艺。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AI语音智能收纳盒（创新工具专用）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10cm，内部分隔槽3个（分别为</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5cm×15cm、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8cm×15cm、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7cm×15cm），盒盖厚度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1.5cm，底部预留灯带安装槽。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收纳盒主体和盒盖采用木质板材，预留拼接卡槽，无需胶水即可组装；2.  盒盖表面采用多层工艺，雕刻创客工具图案（如螺丝刀、电阻、芯片）和“创客工具收纳”字样，打造立体纹理；3.  盒身侧面用UV印刷创客主题标语（如“创意源于实践”“动手创造未来”），色彩鲜艳且防水耐磨；4.  盒盖内侧嵌入LED灯带，连接AI语音控制模块，可语音控制灯带开启/关闭，方便夜间取用工具，底部粘贴防滑垫，增加稳定性。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知识点</w:t>
            </w:r>
            <w:r>
              <w:rPr>
                <w:rFonts w:hint="eastAsia" w:ascii="宋体" w:hAnsi="宋体" w:cs="宋体"/>
                <w:i w:val="0"/>
                <w:iCs w:val="0"/>
                <w:color w:val="000000"/>
                <w:sz w:val="18"/>
                <w:szCs w:val="18"/>
                <w:u w:val="none"/>
                <w:lang w:val="en-US" w:eastAsia="zh-CN" w:bidi="ar"/>
              </w:rPr>
              <w:t xml:space="preserve">需覆盖</w:t>
            </w:r>
            <w:r>
              <w:rPr>
                <w:rFonts w:hint="eastAsia" w:ascii="宋体" w:hAnsi="宋体" w:eastAsia="宋体" w:cs="宋体"/>
                <w:i w:val="0"/>
                <w:iCs w:val="0"/>
                <w:color w:val="000000"/>
                <w:sz w:val="18"/>
                <w:szCs w:val="18"/>
                <w:u w:val="none"/>
                <w:lang w:val="en-US" w:eastAsia="zh-CN" w:bidi="ar"/>
              </w:rPr>
              <w:t xml:space="preserve">内容：涵盖机械结构设计（收纳盒分隔布局、卡槽拼接设计）、激光切割工艺（板材切割精度、路径规划）、AI语音控制（模块接线、简单指令编程）、产品结构力学（拼接稳定性设计），贴合高中创客课程中“结构设计+智能控制”的实践需求，同时可作为创客工具的专属收纳载体，培养学生的整理归纳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需满足以下</w:t>
            </w:r>
            <w:r>
              <w:rPr>
                <w:rFonts w:hint="eastAsia" w:ascii="宋体" w:hAnsi="宋体" w:eastAsia="宋体" w:cs="宋体"/>
                <w:i w:val="0"/>
                <w:iCs w:val="0"/>
                <w:color w:val="000000"/>
                <w:sz w:val="18"/>
                <w:szCs w:val="18"/>
                <w:u w:val="none"/>
                <w:lang w:val="en-US" w:eastAsia="zh-CN" w:bidi="ar"/>
              </w:rPr>
              <w:t xml:space="preserve">特点：1.  智能便捷：AI语音控制灯带，夜间取用工具无需手动开灯，适配高中创客夜间实操场景；2.  分区收纳：内部合理分隔，可存放创客常用工具（如螺丝刀、导线、电阻、芯片、小型传感器），分类清晰，方便取用；3.  组装便捷：激光切割预留卡槽，拼接无需胶水，可拆解重组，适合高中生动手实操练习；4.  耐用实用：高密度板材耐磨耐摔，UV印刷图案防水，底部防滑，适合长期使用，同时创客风格突出，可作为创客教室、社团活动室的专用收纳工具。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智能光影演示仪（创新教学款）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尺寸：底座长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5cm，支架高度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20cm，光影投射板尺寸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25cm×18cm，激光发射器安装位高度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底座和支架采用三维立体工艺，支架可调节</w:t>
            </w:r>
            <w:r>
              <w:rPr>
                <w:rFonts w:hint="eastAsia" w:ascii="宋体" w:hAnsi="宋体" w:eastAsia="宋体" w:cs="宋体"/>
                <w:i w:val="0"/>
                <w:iCs w:val="0"/>
                <w:color w:val="000000"/>
                <w:sz w:val="18"/>
                <w:szCs w:val="18"/>
                <w:u w:val="none"/>
                <w:lang w:val="en-US" w:eastAsia="zh-CN" w:bidi="ar"/>
              </w:rPr>
              <w:t xml:space="preserve">高度，预留激光发射器、灯带、AI语音模块安装位；2. 光影投射板采用透明亚克力板材，通过激光切割机切割成矩形，表面用激光叠雕工艺（达到同等视觉、耐用效果的工艺亦可）雕刻网格刻度（方便测量光影尺寸），边缘抛光处理；3. 底座侧面用UV印刷机印刷高中物理光影实验相关知识点（如光的直线传播、小孔成像、光的反射/折射规律），图文清晰，便于学生对照学习；4. 安装小型激光发射器、LED灯带，连接AI语音控制模块，可语音控制激光开启/关闭、灯带亮度调节，模拟不同光影实验场景，底座预留实验配件放置槽（如小孔板、反射镜）。</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高中物理（光的直线传播、小孔成像、光的反射与折射、光影尺寸测量）、信息技术（AI语音控制编程、模块调试）、工程设计（3D建模支架、可调节结构设计）、激光应用（激光投射原理），完美适配高中物理实验课程，可作为创客与学科结合的教学教具，帮助学生直观理解光影相关知识点，同时培养动手实践和编程能力。</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学科适配：精准贴合高中物理光影实验需求，可演示小孔成像、光的反射、光的折射等实验，辅助课堂教学和自主探究；2. 智能控制：AI语音控制激光和灯带，操作便捷，学生可专注于实验观察和数据记录；3. 可调节设计：支架高度可调节，激光发射器角度可微调，可模拟不同实验场景，适配不同实验需求；4. 兼具教学与创客属性，可作为高中创客课程与物理学科融合的实践载体，同时可作为学校实验室的辅助教具，实用性强。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智能手机支架（创新创意款）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尺寸：支架主体长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6cm，手机放置槽宽度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7-8cm（可适配大部分手机），支架倾角</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30°（可调节），底部预留灯带安装位。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 支架主体采用三维立体工艺，创客风格造型（如带齿轮、电路纹路），设计可调节倾角结构，预留灯带安装槽；2. 支架正面装饰片采用亚克力板材，通过激光切成创意造型（如创客Logo、简约几何图案），再用多层立体工艺打造立体纹理；3. 装饰片表面用UV印刷个性化图案（如科技纹理、励志标语、创客元素），色彩鲜艳，耐磨防水；4.  支架底部嵌入LED灯带，连接开关，灯光可照亮支架正面，增加颜值，底部粘贴防滑垫，防止手机滑动，整体组装便捷。</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支架造型设计、倾角调节结构设计、尺寸适配）、激光切割（装饰片切割、精度控制）、UV印刷（色彩搭配、图案转印）、基础机械结构（可调节支架的力学设计），适合高中创客入门实践，培养设计思维和动手能力，同时贴合学生日常使用需求，实现“创意+实用”结合。</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实用便捷：倾角可调节，适配手机观看视频、上网课、直播等场景，底部防滑，稳定性强；2.  创意定制：UV印刷图案和纹理可定制，3D打印造型可调整，满足学生个性化需求，创客风格突出；3.  颜值出众：LED灯光加持，夜间使用氛围感强，装饰片立体纹理清晰，区别于普通手机支架；4.  制作难度适中，可作为高中创客入门实操的成品，同时可拆解学习3D打印和激光切割工艺，性价比高。</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AI语音控制装饰画（创新艺术款）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尺寸：画框尺寸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30cm×20cm，画芯尺寸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28cm×18cm，画框厚度2cm，画框内置灯带槽，画芯与画框可拆卸。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画框采用木质材质，矩形框架，预留灯带安装槽和画芯卡槽，边缘抛光处理，光滑无毛刺；2.画芯采用亚克力板材，通过工艺雕刻创客主题图案（如机器人、电路、编程代码、创意几何造型），层数3-4层，打造立体艺术质感；3.画芯表面用UV印刷渐变色彩，搭配纹理，增强艺术效果；4.画框内置LED灯带，连接AI语音控制模块，可语音控制灯光开启/关闭、亮度调节、色彩切换（多色灯带），画框背面安装挂钩，可悬挂，画芯可更换。</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艺术设计（色彩搭配、图案设计、立体造型设计）、AI语音控制（模块接线、指令编程），贴合高中创客课程中“艺术+科技”的融合需求，培养学生的审美能力和动手实践能力，同时可作为创客作品展示、教室装饰的载体。</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  智能交互：AI语音控制灯光，可切换多种亮度和色彩，适配不同场景（如教室、宿舍、创客活动室），操作便捷；2.  艺术与科技结合：立体纹理搭配UV印刷的渐变色彩，颜值高，创客风格突出，兼具装饰性和艺术性；3.  可更换画芯：画芯与画框可拆卸，可根据需求更换不同创客主题画芯，实用性强；4.  安装便捷：背面带挂钩，可直接悬挂，LED灯带低功耗、寿命长，适合长期使用。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智能笔筒（创新专用款）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尺寸：笔筒直径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8cm，高度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12cm，内部分隔3个区域（分别用于放置钢笔、铅笔、创客小工具），底部直径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10cm（增加稳定性），底部预留灯带安装位。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笔筒主体采用三维立体工艺，简约创客风格，内部设计分隔结构，底部预留灯带安装槽和配重槽（增加稳定性）；2.笔筒外侧采用亚克力，通过激光切割成环形，再用激光工艺雕刻创客元素（如齿轮、芯片、编程符号），打造立体纹理；3.表面用UV印刷个性化图案或标语（如“创客随行”“动手创造”），色彩清晰，耐磨防水；4.底部嵌入LED灯带，连接AI语音控制模块，可语音控制灯带开启/关闭，底部粘贴防滑垫，配重槽可加入小石子增加稳定性，整体组装便捷。</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3D建模（笔筒造型设计、内部分隔布局、配重设计）、激光切割（装饰圈切割、精度控制）、基础电路（LED灯带安装、AI语音模块接线），适合高中创客入门实践，培养设计思维和动手能力，同时贴合学生日常学习和创客实操需求，实现“实用+创意”结合。</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分区收纳：内部合理分隔，可同时放置文具和创客小工具（如小型螺丝刀、导线、电阻），分类清晰，方便取用；2.智能灯光：AI语音控制灯带，夜间使用可照亮笔筒内部，方便取用物品，氛围感强；3.个性化定制：UV印刷图案和激光纹理可定制，3D打印造型可调整，适配不同学生的喜好；4.稳定耐用：底部配重设计，放置稳固，材料环保，耐磨耐摔，适合长期使用，创客风格突出，可作为学生桌面必备品。</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编程练习器（基础款）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尺寸：主体长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12cm×高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3cm，操作面板尺寸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16cm×</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10cm，按钮间距</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2cm，重量约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150g，内置灯带和编程接口。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1.练习器外壳采用三维立体工艺，预留按钮、灯带、编程接口安装位，外壳表面雕刻简约创客纹路；2.操作面板采用亚克力板材，通过激光切割机切割成与外壳匹配的尺寸，表面用激光工艺雕刻操作指引（如编程指令、按钮功能说明），清晰易懂；3.表面UV印刷编程相关图案（如代码片段、逻辑流程图），色彩鲜明，耐磨防水；4.内置LED灯带、简易编程模块（支持基础Scratch编程）、按钮，连接AI语音模块，可语音反馈编程结果（如“编程成功”“指令错误”），外壳侧面预留USB接口，可连接电脑进行编程调试，整体组装牢固。</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知识点需覆盖内容</w:t>
            </w:r>
            <w:r>
              <w:rPr>
                <w:rFonts w:hint="eastAsia" w:ascii="宋体" w:hAnsi="宋体" w:eastAsia="宋体" w:cs="宋体"/>
                <w:i w:val="0"/>
                <w:iCs w:val="0"/>
                <w:color w:val="000000"/>
                <w:sz w:val="18"/>
                <w:szCs w:val="18"/>
                <w:u w:val="none"/>
                <w:lang w:val="en-US" w:eastAsia="zh-CN" w:bidi="ar"/>
              </w:rPr>
              <w:t xml:space="preserve">：涵盖信息技术（基础编程逻辑、Scratch编程、模块调试）、电子电路（LED灯带控制、按钮接线、USB接口连接），完美适配高中创客编程入门课程，帮助学生快速掌握基础编程逻辑，培养编程思维和动手调试能力，同时可作为编程练习的专用工具，贴合创客实践需求。</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产品需满足以下特点</w:t>
            </w:r>
            <w:r>
              <w:rPr>
                <w:rFonts w:hint="eastAsia" w:ascii="宋体" w:hAnsi="宋体" w:eastAsia="宋体" w:cs="宋体"/>
                <w:i w:val="0"/>
                <w:iCs w:val="0"/>
                <w:color w:val="000000"/>
                <w:sz w:val="18"/>
                <w:szCs w:val="18"/>
                <w:u w:val="none"/>
                <w:lang w:val="en-US" w:eastAsia="zh-CN" w:bidi="ar"/>
              </w:rPr>
              <w:t xml:space="preserve">：1.编程入门适配：支持基础Scratch编程，操作简单，适合高中创客编程入门练习，语音反馈功能可帮助学生及时纠正编程错误；2.实操性强：可连接电脑调试编程，按钮操作便捷；3.便携实用：体积小巧，可随身携带，适合课堂练习和课后自主探究，外壳耐磨，适配长期使用；4.创客属性突出，可作为高中创客编程课程的实操载体，同时可作为编程入门的辅助工具，实用性和教育性兼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创想滑移套装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（一）整体尺寸：≤150mm×≤150mm×≤18mm，整体造型规整，边角经圆角打磨处理，无尖锐棱角，符合学生使用安全标准。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w:t>
            </w:r>
            <w:r>
              <w:rPr>
                <w:rFonts w:hint="eastAsia" w:ascii="宋体" w:hAnsi="宋体" w:eastAsia="宋体" w:cs="宋体"/>
                <w:color w:val="000000"/>
                <w:sz w:val="18"/>
                <w:szCs w:val="18"/>
                <w:u w:val="none"/>
                <w:lang w:val="en-US" w:eastAsia="zh-CN" w:bidi="ar"/>
              </w:rPr>
              <w:t xml:space="preserve">玩具安全标准及环保材料相关规范，适配学生反复使用，兼具安全性与耐用性。</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（三）图案：双面图案直接印刷，非贴纸。印刷色彩饱满、色泽均匀，图案分辨率高，细节还原清晰；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（四）图案主题内容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1.自动浇花系统核心电路图：土壤湿度传感器（A0）+ 水泵模块（D7）+ 继电器；教学意义：执行器控制与环境监测结合。</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2.温湿度监测仪核心电路图：DHT11/22（数字引脚）+ LCD1602 显示屏 + 蜂鸣器报警；教学意义：传感器数据读取与显示，条件判断。</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（五）互动功能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采用3×3滑动拼接结构，支持单人独立拼接练习，锻炼学生动手能力、逻辑思维能力及专注力；同时可作为小组互动教具，开展拼接竞赛、合作完成等活动，助力培养学生协作能力与创新思维，实现“玩中学、学中练”理念，适配课堂互动、社团活动及课后拓展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维方智构套件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（一）整体尺寸：采用正立方体规整结构设计，单边尺寸≤57mm；</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相关玩具安全标准</w:t>
            </w:r>
            <w:r>
              <w:rPr>
                <w:rFonts w:hint="eastAsia" w:ascii="宋体" w:hAnsi="宋体" w:eastAsia="宋体" w:cs="宋体"/>
                <w:color w:val="000000"/>
                <w:sz w:val="18"/>
                <w:szCs w:val="18"/>
                <w:u w:val="none"/>
                <w:lang w:val="en-US" w:eastAsia="zh-CN" w:bidi="ar"/>
              </w:rPr>
              <w:t xml:space="preserve">及环保材料相关规范，适配学生反复使用，兼具安全性与耐用性。</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（三）图案：六面图案直接印刷，非贴纸。印刷色彩饱满、色泽均匀，图案分辨率高，细节还原清晰；</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（四）图案主题内容</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1.科创理念面：以线条绘制 “灯泡 + 齿轮 + 芯片” 组合图案，搭配 “创新无界 智造未来” 极简文字，线条清晰适配 UV 印刷，直观传递智造核心理念，拼接后可强化学生创新意识。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2.编程启蒙面：采用代码片段（如 Python 基础语句、逻辑流程图），搭配彩色线条勾勒的编程模块（循环、条件判断），图案简洁不杂乱，既贴合高中编程入门课程，又避免复杂代码影响视觉，转动拼接时可辅助学生记忆基础编程逻辑。</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3.工程实践面：绘制 “3D 打印流程 + 简易机械结构”（如齿轮传动、支架模型），线条流畅、边缘清晰，适配 UV 印刷的高精度要求，贴合高中智造工程实践课程，让学生在转动中熟悉工程制作核心环节。</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4.手工智造面：以线条呈现 “手工工具 + 成品模型” 组合（如剪刀、螺丝刀、简易机器人雏形），色彩柔和且区分度高，无冗余元素，适配学生握持操作时的视觉体验，传递 “动手创造” 的智造理念。</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5.开源硬件面：绘制常用高中开源硬件简化图案（如 Arduino 开发板、传感器、LED 灯），标注极简英文标识（无需复杂解释），图案规整，既符合智造主题，又能帮助学生熟悉硬件外观，适配课堂互动与记忆。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6.团队协作面：以几何图形拼接成 “小组协作场景”（如多人分工绘制设计图、组装模型），搭配 “协作共赢 聚力创新” 短句，色彩明快，贴合小组实践场景，强化团队协作意识。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（五）互动功能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1.学生互动功能：支持单人益智把玩、双人对战互动、小组课堂协作拼接等多种互动模式，可作为课堂破冰道具、科创活动纪念礼品、校园文化展示载体；</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2.科教赋能功能：依托主题图案，将抽象的理念具象化，辅助高中课程教学，强化学生创新意识、动手实践能力与工程思维，适配社团、课程、校园文化节等场景；</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3.便携耐用特性：尺寸≤57mm便携易收纳，环保塑料材质轻量化设计，抗摔耐磨，适合学生随身携带、课堂操作、课后互动，长期使用不易损坏。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声影智雕套件</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（一）整体尺寸：≥200*200*20mm；整体造型规整，边角经圆角打磨处理，无尖锐棱角，符合学生使用安全标准。</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（二）材质：采用环保塑料基材，无异味，符合</w:t>
            </w:r>
            <w:r>
              <w:rPr>
                <w:rFonts w:hint="eastAsia" w:ascii="宋体" w:hAnsi="宋体" w:cs="宋体"/>
                <w:color w:val="000000"/>
                <w:sz w:val="18"/>
                <w:szCs w:val="18"/>
                <w:u w:val="none"/>
                <w:lang w:val="en-US" w:eastAsia="zh-CN" w:bidi="ar"/>
              </w:rPr>
              <w:t xml:space="preserve">相关玩具安全标准</w:t>
            </w:r>
            <w:r>
              <w:rPr>
                <w:rFonts w:hint="eastAsia" w:ascii="宋体" w:hAnsi="宋体" w:eastAsia="宋体" w:cs="宋体"/>
                <w:color w:val="000000"/>
                <w:sz w:val="18"/>
                <w:szCs w:val="18"/>
                <w:u w:val="none"/>
                <w:lang w:val="en-US" w:eastAsia="zh-CN" w:bidi="ar"/>
              </w:rPr>
              <w:t xml:space="preserve">及环保材料相关</w:t>
            </w:r>
            <w:r>
              <w:rPr>
                <w:rFonts w:hint="eastAsia" w:ascii="宋体" w:hAnsi="宋体" w:eastAsia="宋体" w:cs="宋体"/>
                <w:b w:val="0"/>
                <w:bCs w:val="0"/>
                <w:color w:val="auto"/>
                <w:sz w:val="18"/>
                <w:szCs w:val="18"/>
                <w:u w:val="none"/>
                <w:lang w:val="en-US" w:eastAsia="zh-CN" w:bidi="ar"/>
              </w:rPr>
              <w:t xml:space="preserve">规范，适配学生反复使用，兼具安全性与耐用性。</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（三）图案：双面图案直接印刷。印刷色彩饱满、色泽均匀，图案分辨率高，细节还原清晰；</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（四）图案主题内容</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连云港市人文地图</w:t>
            </w:r>
            <w:r>
              <w:rPr>
                <w:rFonts w:hint="eastAsia" w:ascii="宋体" w:hAnsi="宋体" w:eastAsia="宋体" w:cs="宋体"/>
                <w:b w:val="0"/>
                <w:bCs w:val="0"/>
                <w:color w:val="auto"/>
                <w:sz w:val="18"/>
                <w:szCs w:val="18"/>
                <w:u w:val="none"/>
                <w:lang w:val="en-US" w:eastAsia="zh-CN" w:bidi="ar"/>
              </w:rPr>
              <w:br/>
            </w:r>
            <w:r>
              <w:rPr>
                <w:rFonts w:hint="eastAsia" w:ascii="宋体" w:hAnsi="宋体" w:eastAsia="宋体" w:cs="宋体"/>
                <w:b w:val="0"/>
                <w:bCs w:val="0"/>
                <w:color w:val="auto"/>
                <w:sz w:val="18"/>
                <w:szCs w:val="18"/>
                <w:u w:val="none"/>
                <w:lang w:val="en-US" w:eastAsia="zh-CN" w:bidi="ar"/>
              </w:rPr>
              <w:t xml:space="preserve">（五）互动功</w:t>
            </w:r>
            <w:r>
              <w:rPr>
                <w:rFonts w:hint="eastAsia" w:ascii="宋体" w:hAnsi="宋体" w:eastAsia="宋体" w:cs="宋体"/>
                <w:color w:val="000000"/>
                <w:sz w:val="18"/>
                <w:szCs w:val="18"/>
                <w:u w:val="none"/>
                <w:lang w:val="en-US" w:eastAsia="zh-CN" w:bidi="ar"/>
              </w:rPr>
              <w:t xml:space="preserve">能</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语音指令实时控制灯光开关，支持3种基础灯光切换；</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（六）供电与续航</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供电方式：双供电模式（USB供电：5V/1A，适配电脑、充电宝；内置锂电池：≥1200mAh，充满电可连续使用4-6小时），满足课堂无电源场景使用。</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待机时间：待机状态下可连续待机72小时以上，低功耗设计，避免电量浪费。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工程结构知识图卡拼图套装</w:t>
            </w:r>
            <w:r>
              <w:rPr>
                <w:rFonts w:hint="eastAsia" w:ascii="宋体" w:hAnsi="宋体" w:eastAsia="宋体" w:cs="宋体"/>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知识拼图成型尺寸：≥25*15（cm）；材质：木质；可选内容（每套可选取内容中的4个图案）：严格贴合高中创客教育教学大纲，兼顾动手实践、知识巩固与审美体验，既是创客课堂辅助教具，也是学生自主探究、小组协作的实践载体，工艺上注重安全耐用，内容上紧扣学科核心知识点，实现“玩中学、做中学、创中学”的创客教育理念。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具体可选内容参考：                                                                                           </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工程结构类（锻炼空间思维、机械认知）</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传统榫卯结构拼图、桁架桥 / 悬索桥模型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齿轮组、滑轮组、曲柄连杆简易传动结构；塔吊、摩天轮、简易机械臂承重结构；房屋框架、抗震建筑模型；</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大国工程 &amp; 建筑类</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故宫角楼、赵州桥、港珠澳大桥、中国天眼；现代高铁站、机场、绿色校园建筑规划；火箭箭体、卫星主体简易立体结构；</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非遗 &amp; 文创类</w:t>
            </w:r>
            <w:r>
              <w:rPr>
                <w:rFonts w:hint="eastAsia" w:ascii="宋体" w:hAnsi="宋体" w:eastAsia="宋体" w:cs="宋体"/>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传统剪纸纹样、皮影造型立体拼图，中式窗棂、灯笼骨架结构；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人工智能机器人比赛教学模块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人工智能比赛套件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主控：UNO R3主控板,I/O传感器扩展板，micro:bit，掌控板、两用扩展板；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本次项目需配套提供全套科创实训专用编程软件，软件需完整适配中小学人工智能、机器人创客、单片机编程教学场景，支持图形化编程与代码编程双模式，具体包含以下正版免费开源编程工具，软件需预安装调试完毕，可直接上机使用：Ardublock图形化编程软件、Mixly米思齐编程软件、Arduino IDE开发环境、Mind+编程平台、Python IDLE编程环境。所有软件需相互兼容，适配本次采购创客硬件设备，无需额外付费激活、无功能锁死限制</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通信模块：蓝牙通讯模块、无线下载适配器；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输入设备： 人工智能视觉传感器（可学习并区分不同人脸并实时返回坐标，支持二维码识别、apriltag标签识别、KNN物体分类、颜色识别、物体追踪、物体识别功能）， 语音识别模块（无需提前学习可直接识别语音，无需联网），颜色识别传感器，NFC近场通讯模块， 指纹识别传感器（IIC接口，可录入不少于80枚指纹），数字大按钮模块，红外避障传感器，光线传感器，角度传感器，声音传感器，红外遥控器，红外接收模块，土壤湿度传感器，温湿度传感器， 姿态传感器；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输出设备：LED模块，9g离合舵机（运动中堵转能自动复位并继续工作），减速电机，灯带， 语音合成模块（无需联网），显示屏，双路电机驱动模块；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结构件：金属夹持器、金属移动机器人平台；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配件：传感器线若干、数据线若干、杜邦线若干、螺丝刀、电池盒；</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一、基本参数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1、控制器最低为 32 位 ARM 处理器，内置16MB程序存储器，内置 MP3 播放模块。 控制器满足 8 路及以上 RJ11 传感器接口（数字/模拟复用），4 路带驱动专用编码马达接口（具有自我保护功能）。内置可触控彩色液晶显示屏，显示屏尺寸不小于2.4英寸，分辨率不低于320*240，色彩不低于65K色； 内置电源电压测量模块、音量测量模块（探测范围 40-120 分贝，精度不低于 1%，频率范围 20－16000Hz）和蜂鸣器。免驱动安装 ，支持 U 盘程序下载，内置蓝牙模块，支持蓝牙程序下载。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电子件全部带ABS一体外壳，RJ11接口，至少含有：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主控器1个；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竞赛电机不少于2个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3）竞赛轮胎1对；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3、结构件设计比例是基于标准的 10 毫米积木，无螺丝的搭建设计，不少于 400 个积木件，辅助结构部件包括有 类：梁类、齿轮、轴类 、实销类等。积木件的颜色含有红、黄、蓝、绿、灰、深灰、白等颜色 。传动配件不少于10种，至少包含40齿齿轮，36齿齿轮，24齿齿轮，20齿齿轮，16齿齿轮，12齿齿轮，8齿齿轮，12齿的锥形齿、蜗杆、转台，可实现多种传动组合方式。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机器人编程软件同时支持图形化编程和代码编程方式；可以支持SCRATCH2.0和SCRATCH3.0编程方式，支持控制器通过内置蓝牙直接连接 SCRATCH 在线编程与下载，具备多任务编程方式；控制器支持多任务程序。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1、基于机器人快车软件、Scratch3.0图形化编程软件，支持积木式编程和Python代码编程。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2、提供多端支持：桌面端以及网页端。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新质生产力套装课程资源包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课程内容：不少于16次课，32课时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教学资源：教学设计、教学课件、教学视频、操作视频、程序示例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新质生产力竞赛场地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专为全国青少年人工智能创新挑战赛“机器人工程设计专项赛-新质生产力”场地及道具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w:t>
            </w:r>
            <w:r>
              <w:rPr>
                <w:rFonts w:hint="eastAsia" w:ascii="宋体" w:hAnsi="宋体" w:cs="宋体"/>
                <w:i w:val="0"/>
                <w:iCs w:val="0"/>
                <w:color w:val="000000"/>
                <w:sz w:val="18"/>
                <w:szCs w:val="18"/>
                <w:u w:val="none"/>
                <w:lang w:val="en-US" w:eastAsia="zh-CN" w:bidi="ar"/>
              </w:rPr>
              <w:t xml:space="preserve">包含但不限于</w:t>
            </w:r>
            <w:r>
              <w:rPr>
                <w:rFonts w:hint="eastAsia" w:ascii="宋体" w:hAnsi="宋体" w:eastAsia="宋体" w:cs="宋体"/>
                <w:i w:val="0"/>
                <w:iCs w:val="0"/>
                <w:color w:val="000000"/>
                <w:sz w:val="18"/>
                <w:szCs w:val="18"/>
                <w:u w:val="none"/>
                <w:lang w:val="en-US" w:eastAsia="zh-CN" w:bidi="ar"/>
              </w:rPr>
              <w:t xml:space="preserve">训练地图和道具包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1.2*2.4M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地图材质：高品质刀刮布</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SuperAI“星际传奇”训练场地和道具包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场地包含训练地图、场地围边和道具包。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地图材质：刀刮布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场地围边材质：乙烯-醋酸乙烯共聚物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72"/>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轮式机器人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1、一款多拟态AI机器人，产品包含结构件、执行件和主控。配合3D动态图纸和可视化编程，趣味性的学习加动手操作，让学生从零基础轻松进入机器人世界，要求满足课程不少于8主题、32课时学习。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2、要求平台同时能运行多个算法模型，并提供算法并行运行的证明录屏。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3、要求编程平台开放了python sdk，配合第三方python工具实现更开放的编程。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1、≥18个种类，≥48个零件，可构建主流机器人形态，可搭建变形工程车、机械臂、麦轮车、机器狗等至少五种形态；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2、多功能控制器：配置≥3麦阵列麦克风，喇叭模块，触控显示屏，≥9轴陀螺仪，开源接口等，可以实现自然语音交互、机器人运动控制等功能，多个模块接口，</w:t>
            </w:r>
            <w:r>
              <w:rPr>
                <w:rFonts w:hint="eastAsia" w:ascii="宋体" w:hAnsi="宋体" w:eastAsia="宋体" w:cs="宋体"/>
                <w:color w:val="000000"/>
                <w:sz w:val="18"/>
                <w:szCs w:val="18"/>
                <w:u w:val="none"/>
                <w:lang w:val="en-US" w:eastAsia="zh-CN" w:bidi="ar"/>
              </w:rPr>
              <w:t xml:space="preserve">支持自主编写并运行控制程序，可驱动创客搭建作品正常运行</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1、主芯片参数如下：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（1）内存：≥32GB；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（2）NPU：≥1 TOPS；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（3）闪存：≥4GB。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（1）最大扭矩：约13.0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（3）控制精度：空载1°，带载2°；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（4）角度范围：0～360°；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3、减速电机参数如下：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（2）最大转速：≥360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4、摄像头模组参数如下：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（1）视场角：106°；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（2）像素：1M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5、测距模组参数如下：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（1）检测距离：4-200 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（2）工作波段：940 nm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足式机器人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color w:val="000000"/>
                <w:sz w:val="18"/>
                <w:szCs w:val="18"/>
                <w:u w:val="none"/>
                <w:lang w:val="en-US" w:eastAsia="zh-CN" w:bidi="ar"/>
              </w:rPr>
              <w:t xml:space="preserve">本次采购多拟态AI教育机器人，整机配备全套结构配件、动力执行部件及主控核心模块；设备配套3D动态拆装图纸与可视化编程环境，适配零基础学生开展机器人结构搭建与程序编程学习。设备配套完整系统化教学课程资源，课程教学主题数量不少于16个，整体课程适配课时不少于64课时，可满足中小学日常课堂教学、科创社团活动及课后延时服务常态化教学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2、要求平台同时能运行多个算法模型，并提供算法并行运行的证明录屏。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3、要求编程平台开放了python sdk，配合第三方python工具实现更开放的编程。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2、多功能控制器：</w:t>
            </w:r>
            <w:r>
              <w:rPr>
                <w:rFonts w:hint="eastAsia" w:ascii="宋体" w:hAnsi="宋体" w:eastAsia="宋体" w:cs="宋体"/>
                <w:color w:val="000000"/>
                <w:sz w:val="18"/>
                <w:szCs w:val="18"/>
                <w:u w:val="none"/>
                <w:lang w:val="en-US" w:eastAsia="zh-CN" w:bidi="ar"/>
              </w:rPr>
              <w:t xml:space="preserve">搭载</w:t>
            </w:r>
            <w:r>
              <w:rPr>
                <w:rFonts w:hint="eastAsia" w:ascii="宋体" w:hAnsi="宋体" w:eastAsia="宋体" w:cs="宋体"/>
                <w:i w:val="0"/>
                <w:iCs w:val="0"/>
                <w:color w:val="000000"/>
                <w:sz w:val="18"/>
                <w:szCs w:val="18"/>
                <w:u w:val="none"/>
                <w:lang w:val="en-US" w:eastAsia="zh-CN" w:bidi="ar"/>
              </w:rPr>
              <w:t xml:space="preserve">≥3麦阵列麦克风，喇叭模块，触控显示屏，≥9轴陀螺仪，开源接口等，可以实现自然语音交互、机器人运动控制等功能，多个模块接口，</w:t>
            </w:r>
            <w:r>
              <w:rPr>
                <w:rFonts w:hint="eastAsia" w:ascii="宋体" w:hAnsi="宋体" w:eastAsia="宋体" w:cs="宋体"/>
                <w:color w:val="000000"/>
                <w:sz w:val="18"/>
                <w:szCs w:val="18"/>
                <w:u w:val="none"/>
                <w:lang w:val="en-US" w:eastAsia="zh-CN" w:bidi="ar"/>
              </w:rPr>
              <w:t xml:space="preserve">支持自主编写并运行控制程序，可驱动创客搭建作品正常运行</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1、主芯片参数如下：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（1）内存：≥32GB；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（2）NPU：≥1 TOPS；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（3）闪存：≥4GB。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（3）控制精度：空载1°，带载2°；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（4）角度范围：0～360°；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3、减速电机参数如下：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（1）最大扭矩：</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 kgf.cm；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（2）最大转速：≥360 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4、摄像头模组参数如下：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（1）视场角：106°；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（2）像素：1M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5、测距模组参数如下：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（1）检测距离：4-200 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（2）工作波段：940 nm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定制手柄</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（1）频率范围：2.400~2.4835GHz；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（2）射频发射功率：最大发身功率约4dBm；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（3）最大控制距离：空旷环境下约10米；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（4）蓝牙版本：蓝牙4.0；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（5）电池容量：≥500mAh。</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竞赛场地包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after="18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一、功能描述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用于机器人实现跨越障碍、搬运物体、图像识别、人脸识别、姿势识别、颜色识别等任务。产品包含识别卡片和EVA泡棉，利用套件学生完成课程场地模型的搭建，与AI城市奇兵教学地图包配合使用。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二、配置要求和技术参数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1、≥18个种类，≥70个部件，支持学生完成AI星际探索课程；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产品配套小球、方块配件采用新型环保EVA塑料发泡材料，具备缓冲、抗震、防潮、耐化学腐蚀等优良性能，材质安全环保，适合校园教学长期反复使用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color w:val="000000"/>
                <w:sz w:val="18"/>
                <w:szCs w:val="18"/>
                <w:u w:val="none"/>
                <w:lang w:val="en-US" w:eastAsia="zh-CN" w:bidi="ar"/>
              </w:rPr>
              <w:t xml:space="preserve">产品配套识别卡片采用加厚硬卡纸材质，结构牢固，耐弯折、耐磨损，不易破损，适配课堂高频次识别使用场景</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信息素养场地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after="180" w:afterAutospacing="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1、套件包含塑胶件≥200个；白色绒面魔术贴≥50个；黑色勾面魔术贴≥50个；EVA≥50个。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2、零件材质为ABS、ABS+PC塑胶。教具颜色</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丰富，模型</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环保材料。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3、零件均采用销扣连接的方式。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color w:val="000000"/>
                <w:sz w:val="18"/>
                <w:szCs w:val="18"/>
                <w:u w:val="none"/>
                <w:lang w:val="en-US" w:eastAsia="zh-CN" w:bidi="ar"/>
              </w:rPr>
              <w:t xml:space="preserve">产品配套小球、方块配件采用新型环保EVA塑料发泡材料，具备缓冲、抗震、防潮、耐化学腐蚀等优良性能，材质安全环保，适合校园教学长期反复使用</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人形互动机器人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spacing w:line="240" w:lineRule="auto"/>
              <w:widowControl/>
              <w:rPr>
                <w:rFonts w:hint="eastAsia" w:ascii="宋体" w:hAnsi="宋体" w:eastAsia="宋体" w:cs="宋体"/>
                <w:sz w:val="18"/>
                <w:szCs w:val="18"/>
              </w:rPr>
              <w:suppressLineNumbers w:val="0"/>
            </w:pPr>
            <w:r>
              <w:rPr>
                <w:rFonts w:hint="eastAsia" w:ascii="宋体" w:hAnsi="宋体" w:eastAsia="宋体" w:cs="宋体"/>
                <w:b/>
                <w:sz w:val="18"/>
                <w:szCs w:val="18"/>
                <w:lang w:val="en-US" w:eastAsia="zh-CN"/>
              </w:rPr>
              <w:t xml:space="preserve">1.</w:t>
            </w:r>
            <w:r>
              <w:rPr>
                <w:rFonts w:hint="eastAsia" w:ascii="宋体" w:hAnsi="宋体" w:eastAsia="宋体" w:cs="宋体"/>
                <w:b/>
                <w:sz w:val="18"/>
                <w:szCs w:val="18"/>
              </w:rPr>
              <w:t xml:space="preserve">整机尺寸与重量</w:t>
            </w:r>
            <w:r>
              <w:rPr>
                <w:rFonts w:hint="eastAsia" w:ascii="宋体" w:hAnsi="宋体" w:eastAsia="宋体" w:cs="宋体"/>
                <w:sz w:val="18"/>
                <w:szCs w:val="18"/>
              </w:rPr>
              <w:t xml:space="preserve">：机器人裸机净重≥19KG，含原厂完整外包装总重量≥27KG；机身宽度≥420mm，机身高度≥900mm，机身结构稳固，适配校园实验室固定场地安放与教学转运使用</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2.</w:t>
            </w:r>
            <w:r>
              <w:rPr>
                <w:rFonts w:hint="eastAsia" w:ascii="宋体" w:hAnsi="宋体" w:eastAsia="宋体" w:cs="宋体"/>
                <w:b/>
                <w:sz w:val="18"/>
                <w:szCs w:val="18"/>
              </w:rPr>
              <w:t xml:space="preserve">灯光系统</w:t>
            </w:r>
            <w:r>
              <w:rPr>
                <w:rFonts w:hint="eastAsia" w:ascii="宋体" w:hAnsi="宋体" w:eastAsia="宋体" w:cs="宋体"/>
                <w:sz w:val="18"/>
                <w:szCs w:val="18"/>
              </w:rPr>
              <w:t xml:space="preserve">：搭载氛围灯光模组，支持不少于250种彩色灯光模式切换，可配合程序指令实现灯光联动变化，满足科创展示、课堂互动教学场景需求。</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3.</w:t>
            </w:r>
            <w:r>
              <w:rPr>
                <w:rFonts w:hint="eastAsia" w:ascii="宋体" w:hAnsi="宋体" w:eastAsia="宋体" w:cs="宋体"/>
                <w:b/>
                <w:sz w:val="18"/>
                <w:szCs w:val="18"/>
              </w:rPr>
              <w:t xml:space="preserve">音频系统</w:t>
            </w:r>
            <w:r>
              <w:rPr>
                <w:rFonts w:hint="eastAsia" w:ascii="宋体" w:hAnsi="宋体" w:eastAsia="宋体" w:cs="宋体"/>
                <w:sz w:val="18"/>
                <w:szCs w:val="18"/>
              </w:rPr>
              <w:t xml:space="preserve">：配备专业级HIFI音响系统，包含2个高音喇叭+1个独立低音炮，音质清晰立体，无杂音破音，满足语音播报、音频播放、人机语音交互扩音需求。</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4.</w:t>
            </w:r>
            <w:r>
              <w:rPr>
                <w:rFonts w:hint="eastAsia" w:ascii="宋体" w:hAnsi="宋体" w:eastAsia="宋体" w:cs="宋体"/>
                <w:b/>
                <w:sz w:val="18"/>
                <w:szCs w:val="18"/>
              </w:rPr>
              <w:t xml:space="preserve">视觉感知系统</w:t>
            </w:r>
            <w:r>
              <w:rPr>
                <w:rFonts w:hint="eastAsia" w:ascii="宋体" w:hAnsi="宋体" w:eastAsia="宋体" w:cs="宋体"/>
                <w:sz w:val="18"/>
                <w:szCs w:val="18"/>
              </w:rPr>
              <w:t xml:space="preserve">：集成高清摄像头、3D深度摄像机、热成像传感器，多视觉模组协同工作，可完成环境识别、障碍物检测、热源感应、空间三维建模等智能感知实训功能。</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5.</w:t>
            </w:r>
            <w:r>
              <w:rPr>
                <w:rFonts w:hint="eastAsia" w:ascii="宋体" w:hAnsi="宋体" w:eastAsia="宋体" w:cs="宋体"/>
                <w:b/>
                <w:sz w:val="18"/>
                <w:szCs w:val="18"/>
              </w:rPr>
              <w:t xml:space="preserve">音频采集与感应系统</w:t>
            </w:r>
            <w:r>
              <w:rPr>
                <w:rFonts w:hint="eastAsia" w:ascii="宋体" w:hAnsi="宋体" w:eastAsia="宋体" w:cs="宋体"/>
                <w:sz w:val="18"/>
                <w:szCs w:val="18"/>
              </w:rPr>
              <w:t xml:space="preserve">：搭载360°全向声源定位麦克风阵列，支持全方位声源捕捉；配套触摸感应器、红外传感器、人体感应传感器，可实现人体感应触发、触碰交互、红外环境探测等智能交互功能；设备自带应急LED补光灯，断电或暗光环境下可正常补光照明。</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6.</w:t>
            </w:r>
            <w:r>
              <w:rPr>
                <w:rFonts w:hint="eastAsia" w:ascii="宋体" w:hAnsi="宋体" w:eastAsia="宋体" w:cs="宋体"/>
                <w:b/>
                <w:sz w:val="18"/>
                <w:szCs w:val="18"/>
              </w:rPr>
              <w:t xml:space="preserve">核心运算与显示配置</w:t>
            </w:r>
            <w:r>
              <w:rPr>
                <w:rFonts w:hint="eastAsia" w:ascii="宋体" w:hAnsi="宋体" w:eastAsia="宋体" w:cs="宋体"/>
                <w:sz w:val="18"/>
                <w:szCs w:val="18"/>
              </w:rPr>
              <w:t xml:space="preserve">：搭载八核高性能处理器，运行流畅无卡顿；配备≥10.1英寸1080P全高清触控显示屏，触控响应灵敏，画面显示清晰，支持程序编辑、数据显示、人机触控操作。</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7.</w:t>
            </w:r>
            <w:r>
              <w:rPr>
                <w:rFonts w:hint="eastAsia" w:ascii="宋体" w:hAnsi="宋体" w:eastAsia="宋体" w:cs="宋体"/>
                <w:b/>
                <w:sz w:val="18"/>
                <w:szCs w:val="18"/>
              </w:rPr>
              <w:t xml:space="preserve">供电与续航</w:t>
            </w:r>
            <w:r>
              <w:rPr>
                <w:rFonts w:hint="eastAsia" w:ascii="宋体" w:hAnsi="宋体" w:eastAsia="宋体" w:cs="宋体"/>
                <w:sz w:val="18"/>
                <w:szCs w:val="18"/>
              </w:rPr>
              <w:t xml:space="preserve">：内置大容量锂电池，满电状态下连续工作续航时长≥20小时；配套原装充电器及全自动智能充电桩，支持自主返航自动充电，无需人工手动插拔充电。</w:t>
            </w:r>
            <w:r/>
          </w:p>
          <w:p>
            <w:pPr>
              <w:numPr>
                <w:ilvl w:val="-1"/>
                <w:numId w:val="0"/>
              </w:numPr>
              <w:ind w:left="0"/>
              <w:jc w:val="left"/>
              <w:spacing w:before="0" w:after="0" w:line="240" w:lineRule="auto"/>
              <w:rPr>
                <w:rFonts w:hint="eastAsia" w:ascii="宋体" w:hAnsi="宋体" w:eastAsia="宋体" w:cs="宋体"/>
                <w:sz w:val="18"/>
                <w:szCs w:val="18"/>
              </w:rPr>
            </w:pPr>
            <w:r>
              <w:rPr>
                <w:rFonts w:hint="eastAsia" w:ascii="宋体" w:hAnsi="宋体" w:eastAsia="宋体" w:cs="宋体"/>
                <w:b/>
                <w:sz w:val="18"/>
                <w:szCs w:val="18"/>
                <w:lang w:val="en-US" w:eastAsia="zh-CN"/>
              </w:rPr>
              <w:t xml:space="preserve">8.</w:t>
            </w:r>
            <w:r>
              <w:rPr>
                <w:rFonts w:hint="eastAsia" w:ascii="宋体" w:hAnsi="宋体" w:eastAsia="宋体" w:cs="宋体"/>
                <w:b/>
                <w:sz w:val="18"/>
                <w:szCs w:val="18"/>
              </w:rPr>
              <w:t xml:space="preserve">运动与姿态控制</w:t>
            </w:r>
            <w:r>
              <w:rPr>
                <w:rFonts w:hint="eastAsia" w:ascii="宋体" w:hAnsi="宋体" w:eastAsia="宋体" w:cs="宋体"/>
                <w:sz w:val="18"/>
                <w:szCs w:val="18"/>
              </w:rPr>
              <w:t xml:space="preserve">：采用36位全方位驱动轮组，支持全向移动、原地转向、灵活走位；内置9轴陀螺仪姿态传感器，精准识别机身姿态变化，保障机器人运动平稳、定位精准。</w:t>
            </w:r>
            <w:r/>
          </w:p>
          <w:p>
            <w:pPr>
              <w:jc w:val="left"/>
              <w:keepLines w:val="0"/>
              <w:keepNext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sz w:val="18"/>
                <w:szCs w:val="18"/>
                <w:lang w:val="en-US" w:eastAsia="zh-CN"/>
              </w:rPr>
              <w:t xml:space="preserve">9.</w:t>
            </w:r>
            <w:r>
              <w:rPr>
                <w:rFonts w:hint="eastAsia" w:ascii="宋体" w:hAnsi="宋体" w:eastAsia="宋体" w:cs="宋体"/>
                <w:b/>
                <w:sz w:val="18"/>
                <w:szCs w:val="18"/>
              </w:rPr>
              <w:t xml:space="preserve">投影配置</w:t>
            </w:r>
            <w:r>
              <w:rPr>
                <w:rFonts w:hint="eastAsia" w:ascii="宋体" w:hAnsi="宋体" w:eastAsia="宋体" w:cs="宋体"/>
                <w:sz w:val="18"/>
                <w:szCs w:val="18"/>
              </w:rPr>
              <w:t xml:space="preserve">：集</w:t>
            </w:r>
            <w:r>
              <w:rPr>
                <w:rFonts w:hint="eastAsia" w:ascii="宋体" w:hAnsi="宋体" w:eastAsia="宋体" w:cs="宋体"/>
                <w:sz w:val="18"/>
                <w:szCs w:val="18"/>
                <w:highlight w:val="none"/>
              </w:rPr>
              <w:t xml:space="preserve">成一体化高清激光投影仪，投影亮度≥720流明，成像清晰、对焦精准，可直接投射程序界面、教学课件、运行数据，满足课堂大屏教学展示需求</w:t>
            </w:r>
            <w:r/>
          </w:p>
          <w:p>
            <w:pPr>
              <w:jc w:val="left"/>
              <w:keepLines w:val="0"/>
              <w:keepNext w:val="0"/>
              <w:spacing w:line="240" w:lineRule="auto"/>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cs="宋体"/>
                <w:b/>
                <w:bCs/>
                <w:sz w:val="18"/>
                <w:szCs w:val="18"/>
                <w:highlight w:val="none"/>
                <w:lang w:val="en-US" w:eastAsia="zh-CN"/>
              </w:rPr>
              <w:t xml:space="preserve">10、</w:t>
            </w:r>
            <w:r>
              <w:rPr>
                <w:rFonts w:hint="eastAsia" w:ascii="宋体" w:hAnsi="宋体" w:eastAsia="宋体" w:cs="宋体"/>
                <w:b/>
                <w:bCs/>
                <w:i w:val="0"/>
                <w:iCs w:val="0"/>
                <w:color w:val="000000"/>
                <w:sz w:val="20"/>
                <w:szCs w:val="20"/>
                <w:highlight w:val="none"/>
                <w:u w:val="none"/>
                <w:lang w:val="en-US" w:eastAsia="zh-CN" w:bidi="ar"/>
              </w:rPr>
              <w:t xml:space="preserve">对抗训练功能：</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①、支持在单个手机端同时、同屏进行双人双手环训练对抗。</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②、通过无线手环，同屏、同时实时采集两位训练者的身心数据，并在单个手机端同屏反馈各训练者的HR（心率）、HRV、PNN50、B/M（身心指数）等数值及动画场景。</w:t>
            </w:r>
            <w:r/>
          </w:p>
          <w:p>
            <w:pPr>
              <w:jc w:val="left"/>
              <w:keepLines w:val="0"/>
              <w:keepNext w:val="0"/>
              <w:spacing w:line="240" w:lineRule="auto"/>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③、训练过程中，同时、同屏显示两个训练者各自的动画场景，动画场景在同屏上随其身心指数变化而实时动态变化，形成互动，直观反映训练效果。</w:t>
            </w:r>
            <w:r/>
          </w:p>
          <w:p>
            <w:pPr>
              <w:jc w:val="left"/>
              <w:keepLines w:val="0"/>
              <w:keepNext w:val="0"/>
              <w:spacing w:line="240" w:lineRule="auto"/>
              <w:widowControl/>
              <w:rPr>
                <w:rFonts w:hint="default" w:ascii="宋体" w:hAnsi="宋体" w:eastAsia="宋体" w:cs="宋体"/>
                <w:sz w:val="18"/>
                <w:szCs w:val="18"/>
                <w:lang w:val="en-US" w:eastAsia="zh-CN"/>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④、训练完成后同时、同屏自动生成报告，报告内容包括HR（心率）、HRV、PNN50、B/M（身心指数）、HR（心率）曲线图及对抗排名。</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创意设计与互动展示套件</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智慧电子套装（造物版）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本项目配套创客课程，专为零基础创客教学人群打造，面向授课教师及参训学生，帮助使用者快速认知各类开源创客硬件基础原理与使用方法，支持零基础开展硬件实操与创意编程创作，助力师生自主实现创意作品开发，将个性化创意构思落地为实际创客作品</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配套课时:</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16学时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教师指导材料、电子教案材料（1份）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系列：所有模块硬件需满足结构部分兼容积木件，具有乐高单位的孔位；同时可与金属结构件兼容，具备螺丝孔位；模块外部结构具有可卡扣凹槽；同时木板、3D打印部件、超轻粘土、纸卡等众多材料做结构部分无缝对接。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电路特点：双Micro USB设计：烧写程序端口、模拟键盘端口；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设备采用4PIN-2510标准接线座，全面兼容常规杜邦线插接使用；板载固定孔位，可实现积木件无损拼接组装；设备四周预留专用卡扣结构，可稳固固定亚克力板、纸板等各类外接拓展材料；设备自带物理复位按键，可一键完成设备重启复位，方便教学调试使用</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传感器模块清单：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逻辑主控、触摸传感器、光线传感器、红外接近传感器、按键开关、倾斜开关、拨动开关、蜂鸣器、三色灯、或逻辑、LED驱动、录音播放模块、扬声器、电机驱动、马达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配套课程（至少包含）：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神奇的模块、变色的笔筒、发光的花瓶、智能台灯、防盗钱包、存声礼物盒、勤劳的闹钟、智动手机、智能风扇、绚丽的圣诞树、天平、防丢器、智慧校园1——智能垃圾桶、智慧校园2——升旗仪式、智造新社会1——智能楼道灯、智造新社会2——进球提示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耗材清单：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布织布*5、彩纸*5、剪刀 *1，双面胶*1，木棒若干，胶水1瓶，彩灯串*1，连接线*4，数据线*1，扇叶*1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造物版拓展包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本款创客拓展包需搭配智慧电子套装配套使用，完整配置清单如下：</w:t>
            </w:r>
            <w:r>
              <w:rPr>
                <w:rFonts w:hint="eastAsia" w:ascii="宋体" w:hAnsi="宋体" w:eastAsia="宋体" w:cs="宋体"/>
                <w:i w:val="0"/>
                <w:iCs w:val="0"/>
                <w:color w:val="000000"/>
                <w:sz w:val="18"/>
                <w:szCs w:val="18"/>
                <w:u w:val="none"/>
                <w:lang w:val="en-US" w:eastAsia="zh-CN" w:bidi="ar"/>
              </w:rPr>
              <w:t xml:space="preserve">6色超级黏土（红、黄、蓝、白、黑、咖啡色，各100g），木棍*60，A4卡纸*7，积木包*1：15孔连杆x2、15孔梁x2、9孔梁x3、7孔梁x3、5孔梁x2、4孔拐x4、黑销x14、长销x2、2x8薄片x4、2x4薄片x1、1x6薄片x2、1x3薄片x4、滑轮x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电子DIY焊接定制版学习套件</w:t>
            </w:r>
            <w:r>
              <w:rPr>
                <w:rFonts w:hint="eastAsia" w:ascii="宋体" w:hAnsi="宋体" w:eastAsia="宋体" w:cs="宋体"/>
                <w:color w:val="ff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套装包含多种电子制作与电子元件的焊接、拼装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1.面包板电子制作系列：可进行集成电路的学习、上百节实验DIY制作等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2.调频FM收音机制作套件，可进行收音机的学习、电路焊接，元器件制作、成品等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万用表制作教学套装：万用表是电子电工必备工具，学习组装了解及工作原理，有利于学生维修、应用电子电工设备，万用表采用插件元器件焊接组装，方便学生焊接理解插件工艺原理，万用表分为直流电压、电流档，交流电压、电流档，电阻档，二极管测量、短路断路测量、三极管测量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4.蓝牙音箱散件电子制作：可完成学生的独立DIY电子制作，拼装成蓝牙音箱，可进行无线连接等成品功能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相关材料配件：烙铁 1把， 焊锡丝：1份， 万用表：1把、各套装使用手册及说明用书等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整体包装箱：模具设计，六面体结构，高强度ABS材质，可手提式方便学生携带等</w:t>
            </w:r>
            <w:r/>
          </w:p>
          <w:p>
            <w:pPr>
              <w:jc w:val="both"/>
              <w:widowControl w:val="off"/>
              <w:rPr>
                <w:rFonts w:hint="eastAsia" w:ascii="宋体" w:hAnsi="宋体" w:eastAsia="宋体" w:cs="宋体"/>
                <w:sz w:val="18"/>
                <w:szCs w:val="18"/>
                <w:lang w:val="en-US" w:eastAsia="zh-CN" w:bidi="zh-CN"/>
              </w:rPr>
            </w:pPr>
            <w:r>
              <w:rPr>
                <w:rFonts w:hint="eastAsia" w:ascii="宋体" w:hAnsi="宋体" w:eastAsia="宋体" w:cs="宋体"/>
                <w:color w:val="ff0000"/>
                <w:sz w:val="18"/>
                <w:szCs w:val="18"/>
                <w:u w:val="none"/>
                <w:lang w:val="en-US" w:eastAsia="zh-CN" w:bidi="ar"/>
              </w:rPr>
              <w:t xml:space="preserve">▲</w:t>
            </w:r>
            <w:r>
              <w:rPr>
                <w:rFonts w:hint="eastAsia" w:ascii="宋体" w:hAnsi="宋体" w:eastAsia="宋体" w:cs="宋体"/>
                <w:color w:val="ff0000"/>
                <w:sz w:val="18"/>
                <w:szCs w:val="18"/>
                <w:highlight w:val="cyan"/>
                <w:u w:val="none"/>
                <w:lang w:val="en-US" w:eastAsia="zh-CN" w:bidi="ar"/>
              </w:rPr>
              <w:t xml:space="preserve">提供此套装的类似“数据采集与管理系统”的软件著作权登记证书彩色扫描件</w:t>
            </w:r>
            <w:r>
              <w:rPr>
                <w:rFonts w:hint="eastAsia" w:ascii="宋体" w:hAnsi="宋体" w:cs="宋体"/>
                <w:color w:val="ff0000"/>
                <w:sz w:val="18"/>
                <w:szCs w:val="18"/>
                <w:highlight w:val="cyan"/>
                <w:u w:val="none"/>
                <w:lang w:val="en-US" w:eastAsia="zh-CN" w:bidi="ar"/>
              </w:rPr>
              <w:t xml:space="preserve">（证书名称与本项描述不完全一致但核心功能相近的，由评审委员会现场集体综合判定）</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磁吸套装定制版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、模块产品功能：所有电子模块满足左右磁性吸附连接方式，又可以通过Micro usb接口进行上下连接，且磁吸电路结构与Micro usb接口电路结构互通，可以实现模块之间的串联和并联同时进行</w:t>
            </w:r>
            <w:r>
              <w:rPr>
                <w:rFonts w:hint="eastAsia" w:ascii="宋体" w:hAnsi="宋体" w:eastAsia="宋体" w:cs="宋体"/>
                <w:i w:val="0"/>
                <w:iCs w:val="0"/>
                <w:color w:val="000000"/>
                <w:sz w:val="18"/>
                <w:szCs w:val="18"/>
                <w:u w:val="none"/>
                <w:lang w:val="en-US" w:eastAsia="zh-CN" w:bidi="ar"/>
              </w:rPr>
              <w:t xml:space="preserve">。增加更多连线方式及玩法。模块电路部分遵循上进下出，左进右出电路结构，2路磁吸探针连接，2路Micro USB插线连接。带外壳全封闭保护。磁吸接口为一体式开模结构，凸面为磁吸公头，凹面为磁吸母头，利用磁性异性相吸，同性相斥原理只有公母两头才可以相吸进行连接，公头对公头，母头对母头均不能相连接，凹凸结构即增加了连接的稳定性防止拼错，也方便使用者区分电气信号输入输出端。磁吸接口为弹针触片式结构，弹针和触片皆表面镀金，增加连接时信号的稳定传输。连接线为双头MicroUSB接口，可方便DIY项目时信号的远距离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模块产品结构：所有模块均无尖角，四角为45度的下坡拐角。模块为分体式组合结构，每个模块配有一个分体式兼容积木和底板，模块底部四角各有一个销孔，可直接连接积木科技件，方便与金属结构件和激光切割木板通过膨胀螺丝连接。分体式积木板底部为滑槽，兼容机器人积木结构。即可和机器人积木销孔连接，又可与机器人积木片状结构相连。组合方式多样性，</w:t>
            </w:r>
            <w:r>
              <w:rPr>
                <w:rFonts w:hint="eastAsia" w:ascii="宋体" w:hAnsi="宋体" w:eastAsia="宋体" w:cs="宋体"/>
                <w:color w:val="000000"/>
                <w:sz w:val="18"/>
                <w:szCs w:val="18"/>
                <w:u w:val="none"/>
                <w:lang w:val="en-US" w:eastAsia="zh-CN" w:bidi="ar"/>
              </w:rPr>
              <w:t xml:space="preserve">可充分满足学生多元化创意搭建与自主创作需</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4、移动电源模块：具有左右磁吸接口，上下Micro usb接口。工作电压5V，端口类型：数字，端口名：左磁吸口输入，右磁吸口：输出，上接线口：充电，下接线口：输出。模块自带触摸式开关。充电电压5V，电池容量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300MAH，升压输出功率5V1A。开启模式：触摸。同时具备长时间防误触摸，16秒自动消除功能。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5、产品按功能将模块分成四大类，电源（粉色），输入（黄色），输出（绿色），连接（蓝色）每种电子模块都有不同的功能，可以培养逻辑思维，开发创意；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6、模块明细：移动电源模块（自带触摸开关）*1、红外模块*1、声敏模块*1、按键开关＊1、彩灯串驱动模块*1、马达驱动模块*1、有源蜂鸣器模块*1、流水灯模块＊1、双头Micro usb连接线*4、电池充电线*1、小颗粒马达*1、彩灯串*1、USB驱动模块、USB小风扇*1、USB小灯*1。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包含48节课程体系，及电子档资料等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跳舞的精灵制作套装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知识：人体红外传感器、电机驱动原理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能力：建构思维、结构力学、艺术想象力、手绘创意、手造DIY。</w:t>
            </w:r>
            <w:r>
              <w:rPr>
                <w:rFonts w:hint="eastAsia" w:ascii="宋体" w:hAnsi="宋体" w:eastAsia="宋体" w:cs="宋体"/>
                <w:color w:val="000000"/>
                <w:sz w:val="18"/>
                <w:szCs w:val="18"/>
                <w:u w:val="none"/>
                <w:lang w:val="en-US" w:eastAsia="zh-CN" w:bidi="ar"/>
              </w:rPr>
              <w:t xml:space="preserve">设备具备人体感应触发功能，当检测到人体靠近经过时，配套人偶可自动完成摆动舞蹈动作，直观实现感应交互实训效果</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感应彩灯制作套装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设备具备人体感应触发功能，当检测到人体靠近经过时</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便点亮雾状的七彩灯珠（灯珠颜色可调）；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主件：逻辑主控，人体红外传感器，全彩LED灯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w:t>
            </w:r>
            <w:r>
              <w:rPr>
                <w:rFonts w:hint="eastAsia" w:ascii="宋体" w:hAnsi="宋体" w:eastAsia="宋体" w:cs="宋体"/>
                <w:color w:val="000000"/>
                <w:sz w:val="18"/>
                <w:szCs w:val="18"/>
                <w:u w:val="none"/>
                <w:lang w:val="en-US" w:eastAsia="zh-CN" w:bidi="ar"/>
              </w:rPr>
              <w:t xml:space="preserve">设备具备人体感应触发功能，当检测到人体靠近经过时</w:t>
            </w:r>
            <w:r>
              <w:rPr>
                <w:rFonts w:hint="eastAsia" w:ascii="宋体" w:hAnsi="宋体" w:eastAsia="宋体" w:cs="宋体"/>
                <w:i w:val="0"/>
                <w:iCs w:val="0"/>
                <w:color w:val="000000"/>
                <w:sz w:val="18"/>
                <w:szCs w:val="18"/>
                <w:u w:val="none"/>
                <w:lang w:val="en-US" w:eastAsia="zh-CN" w:bidi="ar"/>
              </w:rPr>
              <w:t xml:space="preserve">，木质结构的台灯自动点亮，半分钟后熄灭。</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翻转木灯制作套装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，当倾斜木质结构的立方体灯笼时，便可智能点亮灯笼里面的七彩灯条；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主件：逻辑主控，倾斜开关，LED灯条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功能：翻转台灯，启动木质台灯明灭交替</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硬币读数制作套装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，自己动手制作一款智能存钱罐，每投入一枚硬币它都能记录显示；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主件：编程主控，接近传感器。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功能：每投一个硬币，储钱罐累加计数显示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知识：红外传感器、发光二极管、计数程序、数字逻辑电路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能力：创新手绘、建构思维、结构力学。</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数字沙漏制作套装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，产品每一次立起来后便可启动30分钟倒计时，像一个真实的沙漏一样；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主件：编程主控，倾斜开关。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功能：沙漏每次翻转后开始进行30分倒计时。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知识：倾斜传感器、数字逻辑电路、定时程序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能力：建构思维、结构力学、创意思维。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主件：倾斜启动计时套件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辅件：木质结构件 牛皮纸，尼龙铆钉</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红外小夜灯制作套装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，通过自己动手制作，完成一款智能小夜灯，设备具备人体感应触发功能，当检测到人体靠近经过时，便点亮三色灯</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15秒；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主件：逻辑主控，人体红外传感器，三色灯。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辅件：不织布、针线、装饰物等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功能：当感应到有人经过的时候，灯光亮起来，半分钟后熄灭。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知识：红外动作传感器、延时程序、发光二极管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能力：创新思维、创意应用能力、手造缝制。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光感风扇制作套装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3" name="Object_2"/>
                      <wp:cNvGraphicFramePr/>
                      <a:graphic xmlns:a="http://schemas.openxmlformats.org/drawingml/2006/main">
                        <a:graphicData uri="http://schemas.openxmlformats.org/drawingml/2006/picture">
                          <pic:pic xmlns:pic="http://schemas.openxmlformats.org/drawingml/2006/picture">
                            <pic:nvPicPr>
                              <pic:cNvPr id="50" name="Object_2"/>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cs="宋体"/>
                <w:i w:val="0"/>
                <w:iCs w:val="0"/>
                <w:color w:val="000000"/>
                <w:sz w:val="18"/>
                <w:szCs w:val="18"/>
                <w:u w:val="none"/>
                <w:lang w:val="en-US" w:eastAsia="zh-CN" w:bidi="ar"/>
              </w:rPr>
              <w:t xml:space="preserve">产品无需编程操作、无需焊接加工，支持即插即用，可快速完成创意DIY制作</w:t>
            </w:r>
            <w:r>
              <w:rPr>
                <w:rFonts w:hint="eastAsia" w:ascii="宋体" w:hAnsi="宋体" w:eastAsia="宋体" w:cs="宋体"/>
                <w:i w:val="0"/>
                <w:iCs w:val="0"/>
                <w:color w:val="000000"/>
                <w:sz w:val="18"/>
                <w:szCs w:val="18"/>
                <w:u w:val="none"/>
                <w:lang w:val="en-US" w:eastAsia="zh-CN" w:bidi="ar"/>
              </w:rPr>
              <w:t xml:space="preserve">，当风车底部的小门打开，有传感器便会检测到光线，然后启动顶部的风扇转动起来；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主件：逻辑主控，迷你风扇，光敏传感器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辅件：不织布、风扇头、装饰物 牛皮纸，尼龙铆钉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功能：感应光线</w:t>
            </w:r>
            <w:r>
              <w:rPr>
                <w:rFonts w:hint="eastAsia" w:ascii="宋体" w:hAnsi="宋体" w:cs="宋体"/>
                <w:i w:val="0"/>
                <w:iCs w:val="0"/>
                <w:color w:val="000000"/>
                <w:sz w:val="18"/>
                <w:szCs w:val="18"/>
                <w:u w:val="none"/>
                <w:lang w:val="en-US" w:eastAsia="zh-CN" w:bidi="ar"/>
              </w:rPr>
              <w:t xml:space="preserve">时</w:t>
            </w:r>
            <w:r>
              <w:rPr>
                <w:rFonts w:hint="eastAsia" w:ascii="宋体" w:hAnsi="宋体" w:eastAsia="宋体" w:cs="宋体"/>
                <w:i w:val="0"/>
                <w:iCs w:val="0"/>
                <w:color w:val="000000"/>
                <w:sz w:val="18"/>
                <w:szCs w:val="18"/>
                <w:u w:val="none"/>
                <w:lang w:val="en-US" w:eastAsia="zh-CN" w:bidi="ar"/>
              </w:rPr>
              <w:t xml:space="preserve">，风扇转动；无光线</w:t>
            </w:r>
            <w:r>
              <w:rPr>
                <w:rFonts w:hint="eastAsia" w:ascii="宋体" w:hAnsi="宋体" w:cs="宋体"/>
                <w:i w:val="0"/>
                <w:iCs w:val="0"/>
                <w:color w:val="000000"/>
                <w:sz w:val="18"/>
                <w:szCs w:val="18"/>
                <w:u w:val="none"/>
                <w:lang w:val="en-US" w:eastAsia="zh-CN" w:bidi="ar"/>
              </w:rPr>
              <w:t xml:space="preserve">时</w:t>
            </w:r>
            <w:r>
              <w:rPr>
                <w:rFonts w:hint="eastAsia" w:ascii="宋体" w:hAnsi="宋体" w:eastAsia="宋体" w:cs="宋体"/>
                <w:i w:val="0"/>
                <w:iCs w:val="0"/>
                <w:color w:val="000000"/>
                <w:sz w:val="18"/>
                <w:szCs w:val="18"/>
                <w:u w:val="none"/>
                <w:lang w:val="en-US" w:eastAsia="zh-CN" w:bidi="ar"/>
              </w:rPr>
              <w:t xml:space="preserve">，风扇停止转动。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知识: 光线传感器、电机驱动原理、数字逻辑电路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能力：创意思维、结构力学、手造缝制。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人脸追踪机械臂云台</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1" locked="0" layoutInCell="1" allowOverlap="1">
                      <wp:simplePos x="0" y="0"/>
                      <wp:positionH relativeFrom="column">
                        <wp:posOffset>175260</wp:posOffset>
                      </wp:positionH>
                      <wp:positionV relativeFrom="paragraph">
                        <wp:posOffset>0</wp:posOffset>
                      </wp:positionV>
                      <wp:extent cx="1143000" cy="977265"/>
                      <wp:effectExtent l="0" t="0" r="0" b="0"/>
                      <wp:wrapNone/>
                      <wp:docPr id="4" name="Object_2_SpCnt_1"/>
                      <wp:cNvGraphicFramePr/>
                      <a:graphic xmlns:a="http://schemas.openxmlformats.org/drawingml/2006/main">
                        <a:graphicData uri="http://schemas.openxmlformats.org/drawingml/2006/picture">
                          <pic:pic xmlns:pic="http://schemas.openxmlformats.org/drawingml/2006/picture">
                            <pic:nvPicPr>
                              <pic:cNvPr id="36" name="Object_2_SpCnt_1"/>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6672;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1" locked="0" layoutInCell="1" allowOverlap="1">
                      <wp:simplePos x="0" y="0"/>
                      <wp:positionH relativeFrom="column">
                        <wp:posOffset>175260</wp:posOffset>
                      </wp:positionH>
                      <wp:positionV relativeFrom="paragraph">
                        <wp:posOffset>0</wp:posOffset>
                      </wp:positionV>
                      <wp:extent cx="1143000" cy="972185"/>
                      <wp:effectExtent l="0" t="0" r="0" b="0"/>
                      <wp:wrapNone/>
                      <wp:docPr id="5" name="Object_2_SpCnt_2"/>
                      <wp:cNvGraphicFramePr/>
                      <a:graphic xmlns:a="http://schemas.openxmlformats.org/drawingml/2006/main">
                        <a:graphicData uri="http://schemas.openxmlformats.org/drawingml/2006/picture">
                          <pic:pic xmlns:pic="http://schemas.openxmlformats.org/drawingml/2006/picture">
                            <pic:nvPicPr>
                              <pic:cNvPr id="35" name="Object_2_SpCnt_2"/>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7696;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金属机械臂底座x1、主控x1、舵机x2、舵机云台x1，云台通过主控上的摄像头进行识别，通过面部特征识别捕捉面部上10个特征点进行识别。并配合下部的舵机完成面部追踪，实现面部识别与追踪。</w:t>
            </w:r>
            <w:r/>
          </w:p>
          <w:p>
            <w:pPr>
              <w:jc w:val="both"/>
              <w:widowControl w:val="off"/>
              <w:rPr>
                <w:rFonts w:hint="eastAsia" w:ascii="宋体" w:hAnsi="宋体" w:eastAsia="宋体" w:cs="宋体"/>
                <w:sz w:val="18"/>
                <w:szCs w:val="18"/>
                <w:lang w:val="en-US" w:eastAsia="zh-CN" w:bidi="zh-CN"/>
              </w:rPr>
            </w:pPr>
            <w:r>
              <w:rPr>
                <w:rFonts w:hint="eastAsia" w:ascii="宋体" w:hAnsi="宋体" w:eastAsia="宋体" w:cs="宋体"/>
                <w:color w:val="ff0000"/>
                <w:sz w:val="18"/>
                <w:szCs w:val="18"/>
                <w:u w:val="none"/>
                <w:lang w:val="en-US" w:eastAsia="zh-CN" w:bidi="ar"/>
              </w:rPr>
              <w:t xml:space="preserve">▲投标提供“人工智能集成库软件”类似软件著作权登记证书彩色扫描件 </w:t>
            </w:r>
            <w:r>
              <w:rPr>
                <w:rFonts w:hint="eastAsia" w:ascii="宋体" w:hAnsi="宋体" w:cs="宋体"/>
                <w:color w:val="ff0000"/>
                <w:sz w:val="18"/>
                <w:szCs w:val="18"/>
                <w:u w:val="none"/>
                <w:lang w:val="en-US" w:eastAsia="zh-CN" w:bidi="ar"/>
              </w:rPr>
              <w:t xml:space="preserve">（证书名称与本项描述不完全一致但核心功能相近的，由评审委员会现场集体综合判定）</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AI智能垃圾桶分类系统（大尺寸）</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i w:val="0"/>
                <w:iCs w:val="0"/>
                <w:color w:val="000000"/>
                <w:sz w:val="18"/>
                <w:szCs w:val="18"/>
                <w:u w:val="none"/>
                <w:lang w:val="en-US" w:eastAsia="zh-CN" w:bidi="ar"/>
              </w:rPr>
              <w:t xml:space="preserve">大尺寸智能垃圾桶是由4个</w:t>
            </w:r>
            <w:r>
              <w:rPr>
                <w:rFonts w:hint="eastAsia" w:ascii="宋体" w:hAnsi="宋体" w:eastAsia="宋体" w:cs="宋体"/>
                <w:color w:val="000000"/>
                <w:sz w:val="18"/>
                <w:szCs w:val="18"/>
                <w:u w:val="none"/>
                <w:lang w:val="en-US" w:eastAsia="zh-CN" w:bidi="ar"/>
              </w:rPr>
              <w:t xml:space="preserve">仿真</w:t>
            </w:r>
            <w:r>
              <w:rPr>
                <w:rFonts w:hint="eastAsia" w:ascii="宋体" w:hAnsi="宋体" w:eastAsia="宋体" w:cs="宋体"/>
                <w:i w:val="0"/>
                <w:iCs w:val="0"/>
                <w:color w:val="000000"/>
                <w:sz w:val="18"/>
                <w:szCs w:val="18"/>
                <w:u w:val="none"/>
                <w:lang w:val="en-US" w:eastAsia="zh-CN" w:bidi="ar"/>
              </w:rPr>
              <w:t xml:space="preserve">的高</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35CM、长</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33CM、宽</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21CM的垃圾桶模型制作而成，</w:t>
            </w:r>
            <w:r>
              <w:rPr>
                <w:rFonts w:hint="eastAsia" w:ascii="宋体" w:hAnsi="宋体" w:eastAsia="宋体" w:cs="宋体"/>
                <w:color w:val="000000"/>
                <w:sz w:val="18"/>
                <w:szCs w:val="18"/>
                <w:u w:val="none"/>
                <w:lang w:val="en-US" w:eastAsia="zh-CN" w:bidi="ar"/>
              </w:rPr>
              <w:t xml:space="preserve">设备搭载</w:t>
            </w:r>
            <w:r>
              <w:rPr>
                <w:rFonts w:hint="eastAsia" w:ascii="宋体" w:hAnsi="宋体" w:eastAsia="宋体" w:cs="宋体"/>
                <w:i w:val="0"/>
                <w:iCs w:val="0"/>
                <w:color w:val="000000"/>
                <w:sz w:val="18"/>
                <w:szCs w:val="18"/>
                <w:u w:val="none"/>
                <w:lang w:val="en-US" w:eastAsia="zh-CN" w:bidi="ar"/>
              </w:rPr>
              <w:t xml:space="preserve">M12摄像头底座和可调节焦距和清晰度的大镜头，</w:t>
            </w:r>
            <w:r>
              <w:rPr>
                <w:rFonts w:hint="eastAsia" w:ascii="宋体" w:hAnsi="宋体" w:eastAsia="宋体" w:cs="宋体"/>
                <w:color w:val="000000"/>
                <w:sz w:val="18"/>
                <w:szCs w:val="18"/>
                <w:u w:val="none"/>
                <w:lang w:val="en-US" w:eastAsia="zh-CN" w:bidi="ar"/>
              </w:rPr>
              <w:t xml:space="preserve">配套专属垃圾识别操作台，提升垃圾识别精准度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配套识别耗材包含8张垃圾识别卡片、4类实体仿真垃圾样品；设备具备智能识别联动功能，识别到匹配垃圾品类后，对应垃圾桶舱盖可自动开启，同时语音播报对应垃圾名称，满足垃圾分类科普、AI视觉识别科创教学实训需求</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（1）主控芯片：</w:t>
            </w:r>
            <w:r>
              <w:rPr>
                <w:rFonts w:hint="eastAsia" w:ascii="宋体" w:hAnsi="宋体" w:eastAsia="宋体" w:cs="宋体"/>
                <w:color w:val="000000"/>
                <w:sz w:val="18"/>
                <w:szCs w:val="18"/>
                <w:u w:val="none"/>
                <w:lang w:val="en-US" w:eastAsia="zh-CN" w:bidi="ar"/>
              </w:rPr>
              <w:t xml:space="preserve">RV64 双核嵌入式智能处理芯片处理器，自带硬件FPU浮点运算单元与硬件卷积加速器，满足AI视觉算法高速运算需求；板载摄像头专用FPC插座，可外接300万像素OV2640摄像头模组，支持各类视觉数据采集与处理；配备2.4寸LCD液晶显示屏，屏幕分辨率320*240，支持电阻触控操作；硬件可稳定实现人脸识别、颜色识别、物体识别、标签二维码识别、目标物体追踪多项AI视觉功能</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（2）拓展板：</w:t>
            </w:r>
            <w:r>
              <w:rPr>
                <w:rFonts w:hint="eastAsia" w:ascii="宋体" w:hAnsi="宋体" w:eastAsia="宋体" w:cs="宋体"/>
                <w:color w:val="000000"/>
                <w:sz w:val="18"/>
                <w:szCs w:val="18"/>
                <w:u w:val="none"/>
                <w:lang w:val="en-US" w:eastAsia="zh-CN" w:bidi="ar"/>
              </w:rPr>
              <w:t xml:space="preserve">拓展板采用叠层一体化结构设计，完整引出Arduino Uno全部数字接口与模拟接口，并按照舵机标准线序完成拓展排布；板载独立拓展接口，包含专用IIC接口、舵机控制器接口、蓝牙模块通信接口，可满足多类型外设拓展、有线通信及无线蓝牙通信教学拓展需求。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2. 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（1）支持</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MicroPython脚本与图形化编程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MicroPython的GPIO、I2C、SPI、Timer、UART等标准库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MicroPython的sensor、image等机器视觉库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MicroPython的I2S、audio、lcd、vido等音视频处理库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MicroPython的KPU卷积神经网络计算处理库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w:t>
            </w:r>
            <w:r>
              <w:rPr>
                <w:rFonts w:hint="eastAsia" w:ascii="宋体" w:hAnsi="宋体" w:cs="宋体"/>
                <w:i w:val="0"/>
                <w:iCs w:val="0"/>
                <w:color w:val="000000"/>
                <w:sz w:val="18"/>
                <w:szCs w:val="18"/>
                <w:highlight w:val="cyan"/>
                <w:u w:val="none"/>
                <w:lang w:val="en-US" w:eastAsia="zh-CN" w:bidi="ar"/>
              </w:rPr>
              <w:t xml:space="preserve">类似于</w:t>
            </w:r>
            <w:r>
              <w:rPr>
                <w:rFonts w:hint="eastAsia" w:ascii="宋体" w:hAnsi="宋体" w:eastAsia="宋体" w:cs="宋体"/>
                <w:i w:val="0"/>
                <w:iCs w:val="0"/>
                <w:color w:val="000000"/>
                <w:sz w:val="18"/>
                <w:szCs w:val="18"/>
                <w:u w:val="none"/>
                <w:lang w:val="en-US" w:eastAsia="zh-CN" w:bidi="ar"/>
              </w:rPr>
              <w:t xml:space="preserve">MicroPython的nes、lvgl、touchscreen等内置应用库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包含器材：人工智能主板、拓展板、M12摄像头底座、2.8-12mm可调变焦镜头、5KG舵机4个、class10 4G内存卡、功放设备。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268"/>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285*120*465mm，重量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7.5V DC电源适配器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color w:val="000000"/>
                <w:sz w:val="18"/>
                <w:szCs w:val="18"/>
                <w:u w:val="none"/>
                <w:lang w:val="en-US" w:eastAsia="zh-CN" w:bidi="ar"/>
              </w:rPr>
              <w:t xml:space="preserve">设备整机采用全铝合金机身材质，表面经过高端喷砂氧化工艺处理，耐磨防刮、耐腐蚀且质感优良；设备整体结构经过优化设计，结构布局合理，零部件拆装简易，整机装配与后期调试更加便捷，适配课堂快速搭建教学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支持手机/电脑/手柄控制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主控芯片： </w:t>
            </w:r>
            <w:r>
              <w:rPr>
                <w:rFonts w:hint="eastAsia" w:ascii="宋体" w:hAnsi="宋体" w:eastAsia="宋体" w:cs="宋体"/>
                <w:color w:val="000000"/>
                <w:sz w:val="18"/>
                <w:szCs w:val="18"/>
                <w:u w:val="none"/>
                <w:lang w:bidi="ar"/>
              </w:rPr>
              <w:t xml:space="preserve">RV64 双核嵌入式智能处理芯片处理器，集成硬件 FPU 浮点运算单元与硬件卷积加速器；板载内置摄像头 FPC 插座；配备 2.4 英寸 LCD 显示屏，分辨率 320*240，支持电阻触控功能</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人工智能机械臂小车学习套件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1.硬件方面：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color w:val="000000"/>
                <w:sz w:val="18"/>
                <w:szCs w:val="18"/>
                <w:u w:val="none"/>
                <w:lang w:val="en-US" w:eastAsia="zh-CN" w:bidi="ar"/>
              </w:rPr>
              <w:t xml:space="preserve">车身结构：整机车身采用铝合金材质，表面做专业发黑工艺处理，结构稳固耐用；全车采用铜柱搭配螺丝进行紧固装配，拆装便捷，结构牢固不易松动。</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机械臂配置：搭载3自由度机械臂，配备夹持机械爪；整机采用3台扭矩≥20KG舵机，搭配铝合金专用机械臂支架组装成型，负载能力强，动作运行精准平稳。</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动力马达：配备4台1:120减速比单边TT马达，动力输出稳定，满足机器人移动行进动力需求。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主控芯片：RV64 双核嵌入式智能处理芯片处理器，集成硬件FPU浮点运算单元与硬件卷积加速器，AI运算性能强劲。</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显示屏幕：配备2.8英寸LCD显示屏，屏幕分辨率320*240，支持电阻触控操作。</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摄像模块：搭载OV2640高清摄像头，有效像素200W，满足图像采集、视觉识别实训需求。</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音频输出：内置3W单声道扬声器，同时预留2.5mm双声道耳机外接接口，支持内外音频同步输出。</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音频采集：内置1颗高灵敏度数字MEMS硅麦克风，收音清晰，适配语音采集与人机交互功能。</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存储配置：板载16MB内置Flash存储空间；支持外接TF内存卡，最大兼容容量小于32G，读写等级为Class10。</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供电电池：采用7.4V 18650规格锂电池组，支持8.4V电压充电，自带电池保护板，具备过充、过放、短路防护功能，使用安全有保障。</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无线通信：内置ESP8285无线网卡电路，支持WiFi无线联网通信。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下载驱动：板载CH340芯片，集成USB转TTL串口驱动电路，方便程序一键下载与设备串口调试。</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外设拓展：自带专用拓展板，引出多路通用拓展接口，可外接各类传感器、执行器模块，满足多样化创客拓展教学需求。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2.软件方面：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w:t>
            </w:r>
            <w:r>
              <w:rPr>
                <w:rFonts w:hint="eastAsia" w:ascii="宋体" w:hAnsi="宋体" w:eastAsia="宋体" w:cs="宋体"/>
                <w:i w:val="0"/>
                <w:iCs w:val="0"/>
                <w:color w:val="000000"/>
                <w:sz w:val="18"/>
                <w:szCs w:val="18"/>
                <w:highlight w:val="white"/>
                <w:u w:val="none"/>
                <w:lang w:val="en-US" w:eastAsia="zh-CN" w:bidi="ar"/>
              </w:rPr>
              <w:t xml:space="preserve">持</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MicroPython脚本与图形化编程</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MicroPython的GPIO、I2C、SPI、Timer、UART等标准库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MicroPython的sensor、image等机器视觉库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MicroPython的I2S、audio、lcd、vido等音视频处理库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MicroPython的KPU卷积神经网络计算处理库</w:t>
            </w:r>
            <w:r>
              <w:rPr>
                <w:rFonts w:hint="eastAsia" w:ascii="宋体" w:hAnsi="宋体" w:eastAsia="宋体" w:cs="宋体"/>
                <w:i w:val="0"/>
                <w:iCs w:val="0"/>
                <w:color w:val="000000"/>
                <w:sz w:val="18"/>
                <w:szCs w:val="18"/>
                <w:highlight w:val="white"/>
                <w:u w:val="none"/>
                <w:lang w:val="en-US" w:eastAsia="zh-CN" w:bidi="ar"/>
              </w:rPr>
              <w:br/>
            </w:r>
            <w:r>
              <w:rPr>
                <w:rFonts w:hint="eastAsia" w:ascii="宋体" w:hAnsi="宋体" w:eastAsia="宋体" w:cs="宋体"/>
                <w:i w:val="0"/>
                <w:iCs w:val="0"/>
                <w:color w:val="000000"/>
                <w:sz w:val="18"/>
                <w:szCs w:val="18"/>
                <w:highlight w:val="white"/>
                <w:u w:val="none"/>
                <w:lang w:val="en-US" w:eastAsia="zh-CN" w:bidi="ar"/>
              </w:rPr>
              <w:t xml:space="preserve">具有</w:t>
            </w:r>
            <w:r>
              <w:rPr>
                <w:rFonts w:hint="eastAsia" w:ascii="宋体" w:hAnsi="宋体" w:cs="宋体"/>
                <w:i w:val="0"/>
                <w:iCs w:val="0"/>
                <w:color w:val="000000"/>
                <w:sz w:val="18"/>
                <w:szCs w:val="18"/>
                <w:highlight w:val="white"/>
                <w:u w:val="none"/>
                <w:lang w:val="en-US" w:eastAsia="zh-CN" w:bidi="ar"/>
              </w:rPr>
              <w:t xml:space="preserve">类似于</w:t>
            </w:r>
            <w:r>
              <w:rPr>
                <w:rFonts w:hint="eastAsia" w:ascii="宋体" w:hAnsi="宋体" w:eastAsia="宋体" w:cs="宋体"/>
                <w:i w:val="0"/>
                <w:iCs w:val="0"/>
                <w:color w:val="000000"/>
                <w:sz w:val="18"/>
                <w:szCs w:val="18"/>
                <w:highlight w:val="white"/>
                <w:u w:val="none"/>
                <w:lang w:val="en-US" w:eastAsia="zh-CN" w:bidi="ar"/>
              </w:rPr>
              <w:t xml:space="preserve">Mic</w:t>
            </w:r>
            <w:r>
              <w:rPr>
                <w:rFonts w:hint="eastAsia" w:ascii="宋体" w:hAnsi="宋体" w:eastAsia="宋体" w:cs="宋体"/>
                <w:i w:val="0"/>
                <w:iCs w:val="0"/>
                <w:color w:val="000000"/>
                <w:sz w:val="18"/>
                <w:szCs w:val="18"/>
                <w:u w:val="none"/>
                <w:lang w:val="en-US" w:eastAsia="zh-CN" w:bidi="ar"/>
              </w:rPr>
              <w:t xml:space="preserve">roPython的nes、lvgl、touchscreen等内置应用库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3.应用方面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1</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板载功能应用：可实现板载硬件各项功能开发，兼容 Arduino 相关应用场景。</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本地 AI 应用：支持视觉采集、音频采集、图像处理、音频处理，可完成界面 UI 美化设计。</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3</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云端 AI 应用：可接入百度、腾讯、阿里等主流云端 AI 服务，对接文本、图像、音频、视频类 API 接口。</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4</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物联网应用：支持接入 ONENET 平台，完成数据上云展示，并可通过云端对终端设备进行控制。</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val="en-US" w:eastAsia="zh-CN" w:bidi="ar"/>
              </w:rPr>
              <w:t xml:space="preserve">5</w:t>
            </w:r>
            <w:r>
              <w:rPr>
                <w:rFonts w:hint="eastAsia" w:ascii="宋体" w:hAnsi="宋体" w:eastAsia="宋体" w:cs="宋体"/>
                <w:color w:val="000000"/>
                <w:sz w:val="18"/>
                <w:szCs w:val="18"/>
                <w:u w:val="none"/>
                <w:lang w:eastAsia="zh-CN" w:bidi="ar"/>
              </w:rPr>
              <w:t xml:space="preserve">）</w:t>
            </w:r>
            <w:r>
              <w:rPr>
                <w:rFonts w:hint="eastAsia" w:ascii="宋体" w:hAnsi="宋体" w:eastAsia="宋体" w:cs="宋体"/>
                <w:color w:val="000000"/>
                <w:sz w:val="18"/>
                <w:szCs w:val="18"/>
                <w:u w:val="none"/>
                <w:lang w:bidi="ar"/>
              </w:rPr>
              <w:t xml:space="preserve">外接拓展：可搭配麦克风矩阵、PS2 游戏手柄及各类传感器、执行器使用。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支持学生自主编程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支持外接各型传感器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四足仿生机械狗</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202*169*178mm，支持Scartch图形化编程，APP控制，WIFI实时视频，趣味自定义动作，姿态角控制，摄像头云台，高度控制，爬台阶，步态调整，红外传感器，超声波传感器.尺寸：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232*169*178mm。可实现行走、跑步、上台阶等功能。相关配套软硬件功能，提供详细的用户使用手册和软件开发手册。附有学习内容数字课件。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六足仿生机器人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包装规格：</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250*200*250mm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电池：7.4V 2200MAH 20A电流 dc5521公头 DC插头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机器人搭建与操控、编程、仿生设计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仿生机器人能够适应不同的地形、环境，按需作业，包括侦查、救援、勘探、国防、太空探索等，帮助人们解决实际问题。在营队中，学习者将亲手搭建与编程控制六足仿生机器人，经历仿生原理学习、舵机原理学习、结构设计、结构组装、电路连接、上位机编程等历程，完成六足机器人主体并实现步态控制。学习者将利用无线遥控与语音识别技术，通过不同的方式操控机器人。学习者可以自主设计扩展功能与机器人外观，</w:t>
            </w:r>
            <w:r>
              <w:rPr>
                <w:rFonts w:hint="eastAsia" w:ascii="宋体" w:hAnsi="宋体" w:eastAsia="宋体" w:cs="宋体"/>
                <w:color w:val="000000"/>
                <w:sz w:val="18"/>
                <w:szCs w:val="18"/>
                <w:u w:val="none"/>
                <w:lang w:val="en-US" w:eastAsia="zh-CN" w:bidi="ar"/>
              </w:rPr>
              <w:t xml:space="preserve">同时支持学习者自主开展二次创意开发，可自主优化机器人外观结构，拓展加装软弹发射装置等外设，自主编程设计机器人舞蹈联动动作等个性化功能。整套课程实现理论探究、实操搭建、程序编程、创意拓展一体化教学，全方位锻炼学生工程思维、逻辑编程思维与问题解决能力。</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象棋机器人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color w:val="000000"/>
                <w:sz w:val="18"/>
                <w:szCs w:val="18"/>
                <w:u w:val="none"/>
                <w:lang w:val="en-US" w:eastAsia="zh-CN" w:bidi="ar"/>
              </w:rPr>
              <w:t xml:space="preserve">AI象棋机器人融合前沿人工智能技术与精密机械工程技术，搭载专用工程机械臂结构，搭配创意化外观设计，可让学生直观感受人工智能、机械控制、博弈算法等前沿科技内容，开展科创博弈类实训教学。产品配套专属定制化教学课程，贴合中小学生科创教学学情，循序渐进开展理论讲解与设备实操教学。</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产品标准包装标配清单：机器人整机主体、专用象棋棋盘、全套象棋棋子、官方使用说明书、专用电源适配器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围棋机器人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cs="宋体"/>
                <w:color w:val="000000"/>
                <w:sz w:val="18"/>
                <w:szCs w:val="18"/>
                <w:u w:val="none"/>
                <w:lang w:bidi="ar"/>
              </w:rPr>
              <w:suppressLineNumbers w:val="0"/>
            </w:pPr>
            <w:r>
              <w:rPr>
                <w:rFonts w:hint="eastAsia" w:ascii="宋体" w:hAnsi="宋体" w:eastAsia="宋体" w:cs="宋体"/>
                <w:color w:val="000000"/>
                <w:sz w:val="18"/>
                <w:szCs w:val="18"/>
                <w:u w:val="none"/>
                <w:lang w:val="en-US" w:eastAsia="zh-CN" w:bidi="ar"/>
              </w:rPr>
              <w:t xml:space="preserve">AI围棋机器人融合前沿人工智能技术与精密机械工程技术，内置专用工程机械臂结构，搭配新颖外观设计，帮助学生直观感知人工智能算法、机械精准控制等前沿科创知识，开展人机对弈专项科创实训教学。产品配套专属定制化教学课程，贴合中小学生认知规律，循序渐进完成理论教学与设备实操训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u w:val="none"/>
                <w:lang w:val="en-US" w:eastAsia="zh-CN" w:bidi="ar"/>
              </w:rPr>
              <w:t xml:space="preserve">产品标准包装标配清单：机器人整机主体、专用围棋棋盘、全套围棋棋子、官方使用说明书、专用电源适配器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金属小型涡扇发动机模型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180*77*112mm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1.楔形风扇组装结构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2.两级低压压气机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3.两级高压压气机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4.浮动燃烧室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5.一级高压涡轮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6.二级低压涡轮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金属星型5缸发动机模型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199*199*114mm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2320g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1.五缸V型排列结构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2.顶置气门控制结构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3.凸轮轴链条传动机构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4.传统曲轴连杆系统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金属机械型-蜻蜓模型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220*271*114mm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1180g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1.组件整体内部结构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2.实现各级分离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3.喷雾模拟效果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4.模拟启动过程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金属机械结构-老式汽车车模型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340*168*114mm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405+件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1.单缸活塞气门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2.单级叉式离合器机构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3.钢板弹簧悬架系统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4.双连杆转向机构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金属机械结构-拖拉机模型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221*102*123mm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1.车轮驱动机构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2.螺旋驱动转向系统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3.前后轮减震器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4.顶盖可翻转开启结构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金属机械结构-两轮蒸汽火车模型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300*77*125mm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295+件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2540g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1.四连杆驱动轮机构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2.伺服悬架系统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3.机械差速转向阀机构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4.早期蒸汽机构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金属机械结构-蒸汽汽车模型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245*107*134mm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2530g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1.弹簧减震系统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2.同步带轮转向机构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3.双凸轮蒸汽气门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星际探索-金属土星机器人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110*94*133mm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 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160+件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1.双减速电机驱动机构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2.多级带轮传动系统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3.履带轮结构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4.四向变向传动机构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5.张紧轮弹簧减震系统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星际探索-步行者1号机器人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108*66*153mm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1100g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1.双减速电机驱动机构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2.多级带轮传动系统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3.四连杆传动机构</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金属机械结构-抽油机模型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247*54*227mm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主要材质:铝合金+不锈钢+锌合金着色工艺:</w:t>
            </w:r>
            <w:r>
              <w:rPr>
                <w:rFonts w:hint="eastAsia" w:ascii="宋体" w:hAnsi="宋体" w:cs="宋体"/>
                <w:i w:val="0"/>
                <w:iCs w:val="0"/>
                <w:color w:val="000000"/>
                <w:sz w:val="18"/>
                <w:szCs w:val="18"/>
                <w:u w:val="none"/>
                <w:lang w:val="en-US" w:eastAsia="zh-CN" w:bidi="ar"/>
              </w:rPr>
              <w:t xml:space="preserve">阳极氧化（达到同等视觉、耐用效果的工艺亦可）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零件数量: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215+件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总重量: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1520g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结构特点: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1.组件整体内部结构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2.实现各级分离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3.喷雾模拟效果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4.模拟启动过程</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数字加工工具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成型技术：熔融沉积成型；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机身：外形尺寸约（长宽高）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386*389*458 mm³，净重约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12.95kg，打印尺寸（长×宽×高）</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256*256*256 mm³，钢材框架，外壳为塑料和玻璃构成；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工具头：全金属热端、钢材挤出机齿轮、不锈钢喷嘴、喷嘴最高温度不低于300 ℃、喷嘴直径自带0.4 mm，可选0.2 mm, 0.6 mm, 0.8 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热床：机器自带双面纹理PEI打印面板，可选低温打印面板、高温打印面板、工程材料打印面板，热床最高温度不低于100℃；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速度：工具头最大移动速度不低于500 mm/s，工具头最大移动加速度不低于20 m/s²，热端最大流速不低于32 mm³/s（150*150mm单层外壁ABS材料，温度280℃测试）；主要依靠XY轴的震动抑制算法和精准的流量控制，来实现高速打印功能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支持耗材类型：可支持打印PLA, PETG, TPU, ASA, PVA, PET，尼龙线材（PA), 聚碳酸酯线材（PC), ABS 材料；自制Support系列支撑隔离材料，使支撑易剥离；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 冷却系统：内置冷却风扇系统，通过闭环控制来确保打印模型、打印机箱和主板的散热；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 传感器：内置低帧率相机1280 x 720 / 0.5fps机箱监控摄像头并支持延时摄影，支持挤出机断料检测，支持断电续打；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 电子器件：机器自带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2.7英寸192x64屏幕显示屏，支持Wi-Fi、Bluetooth通信，操作界面支持按键、手机端APP、电脑端应用三种形式；以通过APP和电脑端应用远程操控打印机和观看打印机视频；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 HMS健康管理系统：</w:t>
            </w:r>
            <w:r>
              <w:rPr>
                <w:rFonts w:hint="eastAsia" w:ascii="宋体" w:hAnsi="宋体" w:eastAsia="宋体" w:cs="宋体"/>
                <w:color w:val="000000"/>
                <w:sz w:val="18"/>
                <w:szCs w:val="18"/>
                <w:u w:val="none"/>
                <w:lang w:val="en-US" w:eastAsia="zh-CN" w:bidi="ar"/>
              </w:rPr>
              <w:t xml:space="preserve">系统具备全域设备状态采集与实时监测能力，可全覆盖监控设备硬件连接工况、整机运行工作状态、机械结构运行状态，同时可联动AI检测模块，识别打印流程内各类工艺缺陷故障。设备运行出现任意异常工况时，可同步通过配套上位机软件、移动端APP、设备本机显示屏多渠道推送故障告警信息；系统内置标准化故障代码库，每一类HMS故障代码均配套详尽故障成因说明以及标准化故障排查解决办法，便于师生快速定位问题、自主完成设备运维检修</w:t>
            </w:r>
            <w:r>
              <w:rPr>
                <w:rFonts w:hint="eastAsia" w:ascii="宋体" w:hAnsi="宋体" w:eastAsia="宋体" w:cs="宋体"/>
                <w:i w:val="0"/>
                <w:iCs w:val="0"/>
                <w:color w:val="00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专业级3D教学设计软件及课程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3D创新设计软件： </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1：青少年3D创新设计软件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支持导入2D图片建模、文字建模、自定义绘制图形建模等多种建模方式；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支持操作系统自带全部字体的3D文字建模，并自动支持用户安装在操作系统下的扩展字体；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支持对导入图片的距离测量、对齐、复制、旋转、镜像、缩放等操作功能；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支持照片、图片、文字一键式3D透光浮雕建模技术；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支持单张2D照片自动合成3D人像功能，合成时间少于90秒。支持交互式3D人像变形设计，支持五官、表情、年龄、配饰、角色、发型、肤色等多种交互式快速设计功能；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支持积木堆叠式建模，10种以上基础模块形状。支持材质颜色，自带常用材质基础模块；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超过10个大类，逾700件各类高质量3D打印模型，支持实时3D预览；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支持参数化积木建模，可数字化定义积木形状、尺寸，并进行组合建模；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支持自有定义工作平面，绘制简易草图，支持基于草图的剪切、拉伸、旋转等高级建模功能；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支持导入图片进行建模，支持文字输入建模；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支持3D模型的缩放、旋转、坐标变换、删除、复制、叠加复制、镜像、阵列、对齐、布尔运算以及取消布尔运算；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支持对工作平面的修改以及还原；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支持3D数字雕刻建模；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支持常用的雕刻功能：笔刷、膨胀、扭曲、平滑、抹平、夹捏、皱褶、拖拉以及涂绘等；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支持内置球体、方块、圆柱、圆环等常用雕刻基础模型，也可从外部导入STL/OBJ/JSLJ模型作为雕刻基础模型；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支持雕刻功能可以设置半径大小，可以添加对称约束；涂绘功能可以自由选择颜色；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内置至少八种以上的常用材质球，可以导入图片自定义材质球；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全参数化编程交互方式的3D模型设计，支持2D图形（内置包含圆、椭圆、矩形、正多边形、2D函数等常用图形）、3D模型（内置包含球体、长方体、圆柱/圆台/圆锥、正棱柱/正棱台/正棱锥、圆环、圆管、齿轮、3D函数等常用模型）、2D/3D文字、2D/3D函数、布尔运算、凸壳处理、平移与缩放、镜像与旋转变换、2D图形的平直与扭曲等多种拉伸造型以及旋转造型、数学运算与函数、逻辑与循环控制、自定义变量和模块等参数化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软件内置各模块使用视频案例，可直接打开播放；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2：青少年3D创新设计课程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为了满足教学要求，方便老师授课、学生上课学习，须将完善课程体系直接嵌入软件平台，老师、学生只需要在软件平台界面选择相应课程即可开始上课。独立项目制课程系统涵盖美术、自然科学、数学、语文、物理、几何、管理学、人文等多个学科领域，学科知识体系与3D打印结合的创造力培养课件，能够全面覆盖小学或初中或高中、中职阶段。符合STEAM与创客教育的项目制教学课程，每节课程包含讲义、教案与教材、素材、视频全面材料，小学阶段不少于54个项目制课程、初中阶段不少于36个项目制课程、高中中职阶段不少于12个项目制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3：软件可生成.STL标准格式文件，支持所有品牌3D打印机；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3D打印机耗材(PLA)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颜色参考：白色、 黑色、红色、黄色、蓝色、绿色(随机发)</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蓝光激光雕刻机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1、激光器功率：</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20w 蓝光激光头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2、产品尺寸：≤803*585*320mm;重量：50kg（不含包装）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3、加工幅面：长*宽（mm）≥500*300；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4、激光头等级：波长455nm蓝光激光，光斑直径可达0.2mm，雕刻精度0.05mm，可实现精细图案和文字的雕刻。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5、可放置材料厚度：≤ 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6、加工属性与能力：支持多种材料的雕刻与切割，切割厚度不小于10mm 亚克力；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7、连接方式：支持USB连接电脑加工；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8、支持操作系统:Windows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9、光点尺寸:0.08*0.06 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10、工作电压： AC220V/110V   50HZ/60HZ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11、可扩展配件：可扩展旋转轴单元，专门用于圆柱状、管状等特殊形状物体的旋转切割与雕刻。该单元的应用拓展了机器的加工能力，使其既能处理平面材料，又能对圆柱体进行精准加工。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12、安全防护：十字红点激光精准定位加工区域，配备联锁开关，开启设备盖或弹出抽屉时自动停止运行，同时设有紧急停止按钮与安全钥匙，全方位保障操作安全。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13、可切割材料:木材、纸、亚克力、毛毡等；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14、可雕刻材料:不锈钢、纸、木材、皮革、中密度纤维板、竹子、织物等；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15、工作速度及精度：雕刻速度可达600mm/s；加工精度可达0.01mm；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16、传动形式 高速步进电机 X 向直线导轨+3M 同步带；Y 向直线导轨+3M 同步带；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17、支持文件格式:可支持打开SVG，DXF，PLT，AI等矢量格式，JPG，PNG,BMP等图片格式；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18、配套课程与教学资源 ：教学资源库，拥有海量学习资源。配备操作入门教学课程；课程包括且不限于：认识激光，激光切割机的使用，木质眼镜的制作，动物笔筒制作，热气球时钟制作，温馨小夜灯制作，圣诞装饰，迷你自行车，小风车，音乐盒等课程内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激光切割教育学习软件</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175260</wp:posOffset>
                      </wp:positionH>
                      <wp:positionV relativeFrom="paragraph">
                        <wp:posOffset>0</wp:posOffset>
                      </wp:positionV>
                      <wp:extent cx="1143000" cy="977265"/>
                      <wp:effectExtent l="0" t="0" r="0" b="0"/>
                      <wp:wrapNone/>
                      <wp:docPr id="6" name="图片 7"/>
                      <wp:cNvGraphicFramePr/>
                      <a:graphic xmlns:a="http://schemas.openxmlformats.org/drawingml/2006/main">
                        <a:graphicData uri="http://schemas.openxmlformats.org/drawingml/2006/picture">
                          <pic:pic xmlns:pic="http://schemas.openxmlformats.org/drawingml/2006/picture">
                            <pic:nvPicPr>
                              <pic:cNvPr id="37" name="图片 7"/>
                              <pic:cNvPicPr/>
                              <pic:nvPr/>
                            </pic:nvPicPr>
                            <pic:blipFill>
                              <a:blip r:embed="rId11"/>
                              <a:stretch/>
                            </pic:blipFill>
                            <pic:spPr bwMode="auto">
                              <a:xfrm>
                                <a:off x="0" y="0"/>
                                <a:ext cx="114300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91008;o:allowoverlap:true;o:allowincell:true;mso-position-horizontal-relative:text;margin-left:13.8pt;mso-position-horizontal:absolute;mso-position-vertical-relative:text;margin-top:0.0pt;mso-position-vertical:absolute;width:90.0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7" name="图片 8"/>
                      <wp:cNvGraphicFramePr/>
                      <a:graphic xmlns:a="http://schemas.openxmlformats.org/drawingml/2006/main">
                        <a:graphicData uri="http://schemas.openxmlformats.org/drawingml/2006/picture">
                          <pic:pic xmlns:pic="http://schemas.openxmlformats.org/drawingml/2006/picture">
                            <pic:nvPicPr>
                              <pic:cNvPr id="38" name="图片 8"/>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92032;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8" name="图片 9"/>
                      <wp:cNvGraphicFramePr/>
                      <a:graphic xmlns:a="http://schemas.openxmlformats.org/drawingml/2006/main">
                        <a:graphicData uri="http://schemas.openxmlformats.org/drawingml/2006/picture">
                          <pic:pic xmlns:pic="http://schemas.openxmlformats.org/drawingml/2006/picture">
                            <pic:nvPicPr>
                              <pic:cNvPr id="48" name="图片 9"/>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93056;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175260</wp:posOffset>
                      </wp:positionH>
                      <wp:positionV relativeFrom="paragraph">
                        <wp:posOffset>0</wp:posOffset>
                      </wp:positionV>
                      <wp:extent cx="1143000" cy="972185"/>
                      <wp:effectExtent l="0" t="0" r="0" b="0"/>
                      <wp:wrapNone/>
                      <wp:docPr id="9" name="图片 10"/>
                      <wp:cNvGraphicFramePr/>
                      <a:graphic xmlns:a="http://schemas.openxmlformats.org/drawingml/2006/main">
                        <a:graphicData uri="http://schemas.openxmlformats.org/drawingml/2006/picture">
                          <pic:pic xmlns:pic="http://schemas.openxmlformats.org/drawingml/2006/picture">
                            <pic:nvPicPr>
                              <pic:cNvPr id="40" name="图片 10"/>
                              <pic:cNvPicPr/>
                              <pic:nvPr/>
                            </pic:nvPicPr>
                            <pic:blipFill>
                              <a:blip r:embed="rId11"/>
                              <a:stretch/>
                            </pic:blipFill>
                            <pic:spPr bwMode="auto">
                              <a:xfrm>
                                <a:off x="0" y="0"/>
                                <a:ext cx="114300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94080;o:allowoverlap:true;o:allowincell:true;mso-position-horizontal-relative:text;margin-left:13.8pt;mso-position-horizontal:absolute;mso-position-vertical-relative:text;margin-top:0.0pt;mso-position-vertical:absolute;width:90.0pt;height:76.5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1、软件整体架构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（1）软件采用模块化设计，包含以下版块：制作、激光切割图库、作品示范、新手入门、建模学习等。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（2）各版块间相互独立，便于用户根据自己的需求进行学习和操作。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2、制作版块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（1）提供激光切割设备操作界面，让用户熟悉设备操作流程。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（2）提供激光切割参数设置功能，用户可根据实际需求调整切割参数。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3、图库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（1）收集优秀激光切割作品，提供丰富的设计素材。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（2）按照不同的类型、加工工艺、等维度对图库进行分类，便于用户查找。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4、作品示范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（1）展示激光切割在实际应用中的优秀案例，供用户参考。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（2）提供作品制作过程解析，让用户了解作品背后的制作过程。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5、新手入门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（1）提供激光切割设计基础指令，帮助用户快速了解激光切割设计及加工技术。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（2）提供操作演示动画，让用户跟随教程学习。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6、建模学习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（1）提供激光切割建模软件操作教程，让用户掌握建模技巧。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（2）提供建模实例，供用户跟随教程进行实践。</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激光切割机耗材包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产品名称：激光切割机耗材包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1、椴木板尺寸：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3mm*300*450 共30块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2、透明亚克力尺寸：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3mm*300*200 共20块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3、卡纸尺寸：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0.5mm*210*297  共50块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4、奥松板尺寸：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3mm*200*300  共20块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5、牛皮纸尺寸：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0.5mm*210*297 共50张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6、定制椴木板</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color w:val="auto"/>
                <w:sz w:val="18"/>
                <w:szCs w:val="18"/>
                <w:u w:val="none"/>
                <w:lang w:val="en-US" w:eastAsia="zh-CN" w:bidi="ar"/>
              </w:rPr>
              <w:t xml:space="preserve">≥3mm*150*250  共500张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合计耗材数量170块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激光切割机配件—空气净化器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产品名称：空气净化器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1、设备类型：适用于激光切割机的空气净化器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2、处理风量：310㎥/h</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3、过滤效率：0.3um  99.97%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4、噪音水平：﹤50dB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5、电机功率：≤200W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6、设备尺寸：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长（400mm）×宽（250mm）×高（456mm）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7、过滤材料：采用过滤材料，具备活性炭吸附功能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8、可遥控操作，方便调整风量和运行状态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9、移动便捷，便于现场调整位置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VR虚拟光影实验体验设备</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VR眼镜</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屏幕分辨率≥3664x1920 ；刷新率72/90Hz ；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处理器核心数不低于八核，主频≥2.8GHz，64位；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视场角≥98°FOV；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内存容量≥256GB ROM，≥6GB RAM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 不低于5300mAh电池容量，连续使用续航超过3小时，USB Type-C 3.0数据传输；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 WIFI6 802.11 b/g/n/ac/ax，2.4G/5G双频；BT5.1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 内置扬声器、麦克风，支持3.5mm音频接口外接耳机；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 6DoF体感手柄 x 2，支持光学定位，支持线性振动马达；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 机身采用轻质聚合物，薄壁注塑工艺，航空级轻金属；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 面罩：采用高透气性泡棉，支持拆解替换；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 机身具有电源键，APP键（返回键），确认键，Home键，音量加，音量加减按键；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 支持QC3.0快速充电；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 扬声器内置双立体声喇叭，麦克风双麦克降噪，全指向麦克风；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 支持3.5mm音频接口连接第三方立体声耳机使用；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 Led灯三色Led 显示开机，关机，充电状态。</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VR操作系统</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1" locked="0" layoutInCell="1" allowOverlap="1">
                      <wp:simplePos x="0" y="0"/>
                      <wp:positionH relativeFrom="column">
                        <wp:posOffset>175260</wp:posOffset>
                      </wp:positionH>
                      <wp:positionV relativeFrom="paragraph">
                        <wp:posOffset>0</wp:posOffset>
                      </wp:positionV>
                      <wp:extent cx="1144270" cy="977265"/>
                      <wp:effectExtent l="0" t="0" r="0" b="0"/>
                      <wp:wrapNone/>
                      <wp:docPr id="10" name="图片 11"/>
                      <wp:cNvGraphicFramePr/>
                      <a:graphic xmlns:a="http://schemas.openxmlformats.org/drawingml/2006/main">
                        <a:graphicData uri="http://schemas.openxmlformats.org/drawingml/2006/picture">
                          <pic:pic xmlns:pic="http://schemas.openxmlformats.org/drawingml/2006/picture">
                            <pic:nvPicPr>
                              <pic:cNvPr id="39" name="图片 11"/>
                              <pic:cNvPicPr/>
                              <pic:nvPr/>
                            </pic:nvPicPr>
                            <pic:blipFill>
                              <a:blip r:embed="rId11"/>
                              <a:stretch/>
                            </pic:blipFill>
                            <pic:spPr bwMode="auto">
                              <a:xfrm>
                                <a:off x="0" y="0"/>
                                <a:ext cx="1144270" cy="977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8720;o:allowoverlap:true;o:allowincell:true;mso-position-horizontal-relative:text;margin-left:13.8pt;mso-position-horizontal:absolute;mso-position-vertical-relative:text;margin-top:0.0pt;mso-position-vertical:absolute;width:90.1pt;height:77.0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本软件支持使用6DOF VR一体机设备。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A.启动课件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（3）翻页：课件列表支持点击上一页、下一页按钮翻页。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B.场景漫游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（1）漫游移动：支持在3D虚拟场景中漫游，可原地转向；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C.新手引导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（2）操作提示：首次启动某类课件，可查看该类课件的操作提示面板；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D.系统特性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（1）开机自启动；能屏蔽所有与学习无关的VR影视、游戏等内容；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（3）WIFI高级设置：提供WIFI设置功能，提供WIFI设置自动记忆功能；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（4）电量及连接状态显示：提供一体机剩余电量显示功能，提供是否处于课堂教学连接状态显示功能。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ff0000"/>
                <w:sz w:val="18"/>
                <w:szCs w:val="18"/>
                <w:u w:val="none"/>
                <w:lang w:val="en-US" w:eastAsia="zh-CN" w:bidi="ar"/>
              </w:rPr>
              <w:t xml:space="preserve">▲具有系统软件著作权证明，需提供VR操作系统类</w:t>
            </w:r>
            <w:r>
              <w:rPr>
                <w:rFonts w:hint="eastAsia" w:ascii="宋体" w:hAnsi="宋体" w:cs="宋体"/>
                <w:i w:val="0"/>
                <w:iCs w:val="0"/>
                <w:color w:val="ff0000"/>
                <w:sz w:val="18"/>
                <w:szCs w:val="18"/>
                <w:u w:val="none"/>
                <w:lang w:val="en-US" w:eastAsia="zh-CN" w:bidi="ar"/>
              </w:rPr>
              <w:t xml:space="preserve">似</w:t>
            </w:r>
            <w:r>
              <w:rPr>
                <w:rFonts w:hint="eastAsia" w:ascii="宋体" w:hAnsi="宋体" w:eastAsia="宋体" w:cs="宋体"/>
                <w:i w:val="0"/>
                <w:iCs w:val="0"/>
                <w:color w:val="ff0000"/>
                <w:sz w:val="18"/>
                <w:szCs w:val="18"/>
                <w:u w:val="none"/>
                <w:lang w:val="en-US" w:eastAsia="zh-CN" w:bidi="ar"/>
              </w:rPr>
              <w:t xml:space="preserve">软件著作证书扫描件</w:t>
            </w:r>
            <w:r>
              <w:rPr>
                <w:rFonts w:hint="eastAsia" w:ascii="宋体" w:hAnsi="宋体" w:cs="宋体"/>
                <w:i w:val="0"/>
                <w:iCs w:val="0"/>
                <w:color w:val="ff0000"/>
                <w:sz w:val="18"/>
                <w:szCs w:val="18"/>
                <w:u w:val="none"/>
                <w:lang w:val="en-US" w:eastAsia="zh-CN" w:bidi="ar"/>
              </w:rPr>
              <w:t xml:space="preserve">（证书名称与本项描述不完全一致但核心功能相近的，由评审委员会现场集体综合判定）</w:t>
            </w:r>
            <w:r>
              <w:rPr>
                <w:rFonts w:hint="eastAsia" w:ascii="宋体" w:hAnsi="宋体" w:eastAsia="宋体" w:cs="宋体"/>
                <w:i w:val="0"/>
                <w:iCs w:val="0"/>
                <w:color w:val="ff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VR安全课程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1、至少提供35个可交互VR安全教育课件；需集合各种可能发生危险的场景，学习者可以在危机场景中互动，使学习者感受到真实、紧张、生动、形象的现场气氛，并深刻体会到危险情况下的威胁感受和后果。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2、使用VR眼镜、操控手柄的体验方式，可通过VR眼镜沉浸其中，使用控制手柄来完成操作任务；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3、包含但不限于病毒防疫、消防安全、防溺水、防暴恐、交通安全、安全用电、公共卫生、自然灾害、防拐骗、家庭安全、校园安全等主题；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4、课件至少包含《低层建筑消防逃生》、《高层建筑消防逃生》、《预防溺水及自救方法》、《溺水救护》、《反恐及可疑物品处理》、《恐怖袭击自救》、《交通信号灯及安</w:t>
            </w:r>
            <w:r>
              <w:rPr>
                <w:rFonts w:hint="eastAsia" w:ascii="宋体" w:hAnsi="宋体" w:eastAsia="宋体" w:cs="宋体"/>
                <w:i w:val="0"/>
                <w:iCs w:val="0"/>
                <w:color w:val="000000"/>
                <w:sz w:val="18"/>
                <w:szCs w:val="18"/>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5、课件有学生交互操作，通过与课件中的内容互动，提高趣味性、参与度、增强教学效果。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6、VR课件同时配备2D视频内容，支持无VR环境下的2D视频播放。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VR科普课程</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1" locked="0" layoutInCell="1" allowOverlap="1">
                      <wp:simplePos x="0" y="0"/>
                      <wp:positionH relativeFrom="column">
                        <wp:posOffset>175260</wp:posOffset>
                      </wp:positionH>
                      <wp:positionV relativeFrom="paragraph">
                        <wp:posOffset>0</wp:posOffset>
                      </wp:positionV>
                      <wp:extent cx="1143000" cy="976630"/>
                      <wp:effectExtent l="0" t="0" r="0" b="0"/>
                      <wp:wrapNone/>
                      <wp:docPr id="11" name="图片 12"/>
                      <wp:cNvGraphicFramePr/>
                      <a:graphic xmlns:a="http://schemas.openxmlformats.org/drawingml/2006/main">
                        <a:graphicData uri="http://schemas.openxmlformats.org/drawingml/2006/picture">
                          <pic:pic xmlns:pic="http://schemas.openxmlformats.org/drawingml/2006/picture">
                            <pic:nvPicPr>
                              <pic:cNvPr id="47" name="图片 12"/>
                              <pic:cNvPicPr/>
                              <pic:nvPr/>
                            </pic:nvPicPr>
                            <pic:blipFill>
                              <a:blip r:embed="rId11"/>
                              <a:stretch/>
                            </pic:blipFill>
                            <pic:spPr bwMode="auto">
                              <a:xfrm>
                                <a:off x="0" y="0"/>
                                <a:ext cx="11430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9744;o:allowoverlap:true;o:allowincell:true;mso-position-horizontal-relative:text;margin-left:13.8pt;mso-position-horizontal:absolute;mso-position-vertical-relative:text;margin-top:0.0pt;mso-position-vertical:absolute;width:90.0pt;height:76.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1" locked="0" layoutInCell="1" allowOverlap="1">
                      <wp:simplePos x="0" y="0"/>
                      <wp:positionH relativeFrom="column">
                        <wp:posOffset>175260</wp:posOffset>
                      </wp:positionH>
                      <wp:positionV relativeFrom="paragraph">
                        <wp:posOffset>0</wp:posOffset>
                      </wp:positionV>
                      <wp:extent cx="1143000" cy="976630"/>
                      <wp:effectExtent l="0" t="0" r="0" b="0"/>
                      <wp:wrapNone/>
                      <wp:docPr id="12" name="图片 13"/>
                      <wp:cNvGraphicFramePr/>
                      <a:graphic xmlns:a="http://schemas.openxmlformats.org/drawingml/2006/main">
                        <a:graphicData uri="http://schemas.openxmlformats.org/drawingml/2006/picture">
                          <pic:pic xmlns:pic="http://schemas.openxmlformats.org/drawingml/2006/picture">
                            <pic:nvPicPr>
                              <pic:cNvPr id="42" name="图片 13"/>
                              <pic:cNvPicPr/>
                              <pic:nvPr/>
                            </pic:nvPicPr>
                            <pic:blipFill>
                              <a:blip r:embed="rId11"/>
                              <a:stretch/>
                            </pic:blipFill>
                            <pic:spPr bwMode="auto">
                              <a:xfrm>
                                <a:off x="0" y="0"/>
                                <a:ext cx="114300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0768;o:allowoverlap:true;o:allowincell:true;mso-position-horizontal-relative:text;margin-left:13.8pt;mso-position-horizontal:absolute;mso-position-vertical-relative:text;margin-top:0.0pt;mso-position-vertical:absolute;width:90.0pt;height:76.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基于次世代 3D 渲染技术、高端贴图渲染技术、Unity 引擎动画等技术；资源能够实现让体验者能够以第一人称的方式进入到全景虚拟环境中，置身于类真实的情景，亲身体验场景；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提供的资源所创造或模拟的事物与环境真实而生动，并且提供交互手段，使得体验者可以自由活动和探索虚拟世界，可以获得对客观事物的各种感性或理性认识；提供不低于100个VR科普课程资源，交互类内容100%，具体要求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1）VR教学科普课件：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1.提供100个可交互VR教学科普课件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2.包含植物、动物、人、科学、宇宙、水和空气等多个主题；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3.课件包含北极熊、卢沟桥、心脏与血液循环、日食的形成、雷电类型以及形成、火山内部构造、呼吸系统、花的结构和授粉、昆虫分类、认识龙卷风、学习电路原理、探索图形、制作果树等。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4.精品课件配学生学习活动卡。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与教学强相关：课程、课件的设计紧密结合教师上课使用场景，力求灵活多样、与多种教学场景配合（如：探究、小组讨论、分组实验等等），又不制约教师的教学设计思路，不限制教师教学过程的个性发挥，不拘泥教学使用场景与使用方式。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VR互动微课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13" name="Object_2_SpCnt_3"/>
                      <wp:cNvGraphicFramePr/>
                      <a:graphic xmlns:a="http://schemas.openxmlformats.org/drawingml/2006/main">
                        <a:graphicData uri="http://schemas.openxmlformats.org/drawingml/2006/picture">
                          <pic:pic xmlns:pic="http://schemas.openxmlformats.org/drawingml/2006/picture">
                            <pic:nvPicPr>
                              <pic:cNvPr id="43" name="Object_2_SpCnt_3"/>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1792;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1" locked="0" layoutInCell="1" allowOverlap="1">
                      <wp:simplePos x="0" y="0"/>
                      <wp:positionH relativeFrom="column">
                        <wp:posOffset>175260</wp:posOffset>
                      </wp:positionH>
                      <wp:positionV relativeFrom="paragraph">
                        <wp:posOffset>0</wp:posOffset>
                      </wp:positionV>
                      <wp:extent cx="1143000" cy="972820"/>
                      <wp:effectExtent l="0" t="0" r="0" b="0"/>
                      <wp:wrapNone/>
                      <wp:docPr id="14" name="Object_2_SpCnt_4"/>
                      <wp:cNvGraphicFramePr/>
                      <a:graphic xmlns:a="http://schemas.openxmlformats.org/drawingml/2006/main">
                        <a:graphicData uri="http://schemas.openxmlformats.org/drawingml/2006/picture">
                          <pic:pic xmlns:pic="http://schemas.openxmlformats.org/drawingml/2006/picture">
                            <pic:nvPicPr>
                              <pic:cNvPr id="41" name="Object_2_SpCnt_4"/>
                              <pic:cNvPicPr/>
                              <pic:nvPr/>
                            </pic:nvPicPr>
                            <pic:blipFill>
                              <a:blip r:embed="rId11"/>
                              <a:stretch/>
                            </pic:blipFill>
                            <pic:spPr bwMode="auto">
                              <a:xfrm>
                                <a:off x="0" y="0"/>
                                <a:ext cx="11430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2816;o:allowoverlap:true;o:allowincell:true;mso-position-horizontal-relative:text;margin-left:13.8pt;mso-position-horizontal:absolute;mso-position-vertical-relative:text;margin-top:0.0pt;mso-position-vertical:absolute;width:90.0pt;height:76.6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1.与教学强相关：课程、课件的设计紧贴课标，依照各版本教材教学大纲，贴合教师上课使用场景。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2.微课功能：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①微课内以键鼠方式与微课物体进行交互，模拟抓取、捏拿等动作，增加微课的仿真效果；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②微课内提供微课重新开始、一键整理微课功能；系统提供高度的探究性操作类微课，学生可以自主探究。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③课器材在可拿取、放置、交互时均高亮进行提示；微课器材在高亮状态下成功拿取、触碰时也高亮进行提示，两种高亮以颜色进行区分；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④微课内提供可调距离；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⑤系统所有模型均为经过烘焙的三维仿真模型，仿真度高。采用三维场景展示，具备高沉浸感。支持用户 360 度旋转视角。系统分辨率不能低于1920*1200，可对场景模型进行实时顶点优化，根据视觉效果调整优化比例。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⑥系统整体基于B/S架构设计。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⑦系统具备良好的环境仿真，实现微课过程中的操作环境属实；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⑧系统支持用户从任意视角、任意距离观察场景元素；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⑨系统须优化处理，确保实时运行帧数高于25帧/秒；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⑩可提供演示视频支持现场演示。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3.微课内容：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生物类微课内容不少于50个，包含单细胞生物-细菌,人的心脏,认识显微镜,植物细胞,玉米种子,动物细胞,水循环,细胞分裂,油菜的结构,植物的保护组织,植物的机械组织,植物的营养组织,植物的输导组织,观察草履虫,眼球的结构,花的结构,</w:t>
            </w:r>
            <w:r>
              <w:rPr>
                <w:rFonts w:hint="eastAsia" w:ascii="宋体" w:hAnsi="宋体" w:eastAsia="宋体" w:cs="宋体"/>
                <w:i w:val="0"/>
                <w:iCs w:val="0"/>
                <w:color w:val="000000"/>
                <w:sz w:val="18"/>
                <w:szCs w:val="18"/>
                <w:u w:val="none"/>
                <w:lang w:val="en-US" w:eastAsia="zh-CN" w:bidi="ar"/>
              </w:rPr>
              <w:t xml:space="preserve">种子萌发日记,了解植物的根,叶片的结构,光合作用,菜豆种子,男性生殖系统,女性生殖系统,胎儿与子宫,人体消化系统,人的呼吸系统,人的肺部结构,气体交换的场所,血液循环系统,泌尿系统,肾的内部结构,汗腺是什么,人耳的内部结构,神经元,分泌腺的组成,观察水螅,了解涡虫,了解华支睾吸虫,观察蛔虫,蚯蚓的各部分结构,缢蛏的各部分结构,蝗虫的各部分结构,鲫鱼的各部分结构,青蛙的各部分结构,了解鸽子的结构特点,兔子的骨骼,人体手臂的肌肉,酵母菌,青霉的结构,病毒,鸡卵的结构,DNA,人体免疫系统,会厌软骨与吞咽和呼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②物理微课内容不少于10个，包含音叉,温度计的结构,托盘天平,斜坡小车,杠杆原理,水能发电站,滑轮,四冲程汽油机,电磁继电器,电动机,手摇发电机,电话听筒的结构。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科学类微课资源总数不少于20个，包含“自行车上的简单机械”、“电磁铁”、“小电机”、“观察蚜虫”、“雪花晶体”、“月球上的环形山”、“净水器”、“日食的形成”、“月食的形成”、“人体消化道”、“种子传播”、“傅科摆”、”认识太阳系“、”青蛙卵的孵化“、”蝴蝶的身体结构“、”独特的昆虫-蟋蟀“、”口腔内部结构“、”人体肌肉的组成“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4.微课内容一年内可免费远程持续更新，且该课件支持眼镜端手柄交互授课，也可以用在教师现有大屏端触控进行授课。</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VR全景研学内容</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1.至少提供30个课件；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2.课件内容五台山、体验小行星撞击地球、动力伞滑翔遨游、好莱坞的日落、里约风光、浴火银河、巴塞罗那、壮美维多利亚瀑布、非洲大地 、新西兰萤火虫洞、大堡礁水下奇观、太空漫步、撒哈拉以南的非洲等；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3.支持VR全景播放形式；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4.清晰度不低于4K分辨率；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VR管理云平台</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5" name="Object_2_SpCnt_5"/>
                      <wp:cNvGraphicFramePr/>
                      <a:graphic xmlns:a="http://schemas.openxmlformats.org/drawingml/2006/main">
                        <a:graphicData uri="http://schemas.openxmlformats.org/drawingml/2006/picture">
                          <pic:pic xmlns:pic="http://schemas.openxmlformats.org/drawingml/2006/picture">
                            <pic:nvPicPr>
                              <pic:cNvPr id="44" name="Object_2_SpCnt_5"/>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3840;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平台需基于Web网页的SAAS系统模式开发，可以运行在多种设备的主流网页浏览器上，直接网页打开登录使用；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需包含以下功能：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一、我的课程：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1、资源筛选：可按课件资源所属学段、课件所属学科、资源类型筛选；也可以在搜索栏里精准搜索；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2、上传资源：可自行上传本地资源到云平台资源库在大屏上进行教学，资源类型包括但不限于图片、视频、PPT、Excel、Pdf、Word等；图片、视频可下发指学生端VR眼镜播控教学体验；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3、添加课件资源：可用鼠标拖动课件资源添加或点击课程添加按钮添加，课件资源包含已授权资源和自主上传资源。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4、支持3D模型浏览：在Web端进行3D模型实时渲染及浏览查看，可投屏到大屏幕进行演示教学；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5、支持全景图片浏览：在Web端进行全景图片实时浏览查看，可投屏到大屏幕进行演示教学；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二、播控管理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1、设备信息列表：至少包含设备编号、设备联网状态、播放状态、模式状态、设备电量监控、声音是否开启、课件安装情况等信息；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内容播放：需包含课件内容2D视频预览；可同时控制所有或指定的VR设备播控模式状态开启或关闭，切换设备处于播控模式或自由模式；可同时控制所有或指定的VR设备关机；可同时控制所有或指定的VR设备静音或开启声音；可批量控制所有设备，也可单独控制某一或指定多台VR设备的课件播放与停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3、班级视图：不借助同屏工具的情况下可实时监控班级所有学生端VR眼镜中的实时画面，也可单独监控某一个学生放大全屏显示；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三、资源管理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1、资源列表：课件资源信息至少包含资源ID、封面图、资源名称、上传人、文件大小、上传时间等信息。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2、新增资源：可上传资源文件，至少能够支持.png、.jpg、.jpeg格式全景图片、.mp4格式全景视频以及 .doc/.docx、.xsl/.xslx、.ppt、.pdf文档文件上传。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四、系统管理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1）安装信息列表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1、可按课件或设备条件、课件类型条件查看：至少包含课件名称、封面图、安装情况；设备编号、设备安装情况等信息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2、安装和卸载课件：支持教师将平台上的课件、全景图片、3D模型一键下发到指定学生VR设备中，支持教师通过云平台远程卸载VR设备内的课件资源，可批量操作；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安装详情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1、按设备查看，可查看所选设备已安装、未安装、安装中、安装失败的课件；可对已安装课件进行卸载操作，对未安装课件进行安装操作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2、按课件查看，可查看所有设备对所选课件的安装情况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3）设备管理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1、设备信息列表：至少包含设备编号、设备唯一码、设备型号、序列号、可用容量、剩余电量、注册时间等信息；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2、新设备设置：可通过输入设备注册码，绑定新设备到平台；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3、分组管理：可对设备进行分组管理，创建设备组，至少包含设备组序号、设备组名称、设备数等信息。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4）账号管理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1、账号信息列表：至少包含教师账号、名称、所属学段、学科、创建时间等信息；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2、新增、编辑账号，可新增或编辑教师账号的账号信息。也可删除已有教师账号。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ff0000"/>
                <w:sz w:val="18"/>
                <w:szCs w:val="18"/>
                <w:u w:val="none"/>
                <w:lang w:val="en-US" w:eastAsia="zh-CN" w:bidi="ar"/>
              </w:rPr>
              <w:t xml:space="preserve">▲需提供VR设备管理系统类软件测试报告扫描件，报告内容</w:t>
            </w:r>
            <w:r>
              <w:rPr>
                <w:rFonts w:hint="eastAsia" w:ascii="宋体" w:hAnsi="宋体" w:cs="宋体"/>
                <w:i w:val="0"/>
                <w:iCs w:val="0"/>
                <w:color w:val="ff0000"/>
                <w:sz w:val="18"/>
                <w:szCs w:val="18"/>
                <w:u w:val="none"/>
                <w:lang w:val="en-US" w:eastAsia="zh-CN" w:bidi="ar"/>
              </w:rPr>
              <w:t xml:space="preserve">至少</w:t>
            </w:r>
            <w:r>
              <w:rPr>
                <w:rFonts w:hint="eastAsia" w:ascii="宋体" w:hAnsi="宋体" w:eastAsia="宋体" w:cs="宋体"/>
                <w:i w:val="0"/>
                <w:iCs w:val="0"/>
                <w:color w:val="ff0000"/>
                <w:sz w:val="18"/>
                <w:szCs w:val="18"/>
                <w:u w:val="none"/>
                <w:lang w:val="en-US" w:eastAsia="zh-CN" w:bidi="ar"/>
              </w:rPr>
              <w:t xml:space="preserve">包含对其用户文档、功能性、易用性和中文特性四个方面测试结果。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无人机教学比赛模块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球形防撞无人机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1、一键360°特技翻滚（前后，左右翻滚）；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2、一键环绕飞行；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3、气压定高，保持悬停；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4、抛飞功能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5、一键起飞/降落、上升/下降/左转/右转/前进/后退；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6、无头模式，无需辨别方向；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7、急停功能，安全有保障；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8、2.4G全方位遥控，多人同玩，互不干扰；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9、六轴陀螺仪自稳系统，飞行更平稳；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10、多彩LED夜光灯，夜晚飞行更酷炫；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11、机身EPP采用泡沫，耐摔耐撞；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12、三挡速度调节；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13*13*12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3.7V 600MAH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15、运行时间：</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16、飞行器总重量:≤48g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17、材质：ABS和EPP泡沫</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歼20无人飞机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1、一键360°特技翻滚（前后，左右翻滚）；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2、一键环绕飞行；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3、气压定高，保持悬停；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4、一键起飞/降落、上升/下降/左转/右转/前进/后退；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5、无头模式，无需辨别方向；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6、急停功能，安全有保障；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7、2.4G全方位遥控，多人同玩，互不干扰；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8、六轴陀螺仪自稳系统，飞行更平稳；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9、多彩LED夜光灯，夜晚飞行更酷炫；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10、机身EPP采用泡沫，耐摔耐撞；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11、三挡速度调节；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室内教学无人机</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包装尺寸：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34*34*9 cm 飞机种类：四旋翼练习器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飞行器尺寸：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32.5*32.5*12cm 产品功能： 前飞，后飞，侧飞，智能 360°翻滚定位：IMU 惯性定位 定高：气压定高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飞机材质：Abs 环保材料、电子元件 颜色：白色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陀螺仪：6 轴陀螺仪 安全飞行距离：0-80M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抗风能力：&lt;3 级 轴距：225mm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飞行时间：＞10 分钟 电池容量：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3.7V/2000mAh 带保护板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电池材质：锂电池、充电时间：约 30 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含遥控器、含遥控器频率：2.4G 控制通道：4 通道</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比赛模拟飞行设备</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微调模式：电子微调模式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通道控制： 基础 6 通道 内含：遥控器可供选择机型：193 种包括固定翼、多旋翼、直升机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可供选择场地：33 种 场地天气：可调节风向、风速等场地布局：目标降落、精准降落、F3C 方框、F3C 区域。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摄像机视角：跟随模式、第一视角模式、自由模式等。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屏幕显示信息：可选择模拟速度、遥控器、飞行信息、飞行参数表、飞行姿态、航向表、计时器、记录手     册、风向标、热气流、天空网络、飞行员姓名、地形指针。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训练模式：悬停训练、自悬降落训练、扭矩训练、降落训练。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比赛模式：投炸弹、刺气球、割飘带、激光对战、热气球滑翔、自悬降落、定点降落。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功能简介：在实飞前完成飞行手感、操控反应的建立，飞行训练中辅助完成复杂航线及飞行技巧的训练。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USB 供电，电脑安装，可不受环境、电量等因素制约训练，随时随地完成飞行训练。</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比赛自主编程无人机</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1、飞机尺寸约</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178*178*45mm、轴距约120mm、重量约88g;                                                                                                                                            </w:t>
            </w:r>
            <w:r>
              <w:rPr>
                <w:rFonts w:hint="eastAsia" w:ascii="宋体" w:hAnsi="宋体" w:eastAsia="宋体" w:cs="宋体"/>
                <w:i w:val="0"/>
                <w:iCs w:val="0"/>
                <w:color w:val="000000"/>
                <w:sz w:val="18"/>
                <w:szCs w:val="18"/>
                <w:u w:val="none"/>
                <w:lang w:val="en-US" w:eastAsia="zh-CN" w:bidi="ar"/>
              </w:rPr>
              <w:t xml:space="preserve">                                                                                                                                                                                                                                           2、电池:3.7v锂电池，一体化快拆结构;</w:t>
            </w:r>
            <w:r>
              <w:rPr>
                <w:rFonts w:hint="eastAsia" w:ascii="宋体" w:hAnsi="宋体" w:eastAsia="宋体" w:cs="宋体"/>
                <w:i w:val="0"/>
                <w:iCs w:val="0"/>
                <w:color w:val="000000"/>
                <w:sz w:val="18"/>
                <w:szCs w:val="18"/>
                <w:u w:val="none"/>
                <w:lang w:val="en-US" w:eastAsia="zh-CN" w:bidi="ar"/>
              </w:rPr>
              <w:t xml:space="preserve">                                                                                                                                                                                                       3飞行控制板:支持多种飞行模式，支持图形化与Python语言编程:                        </w:t>
            </w:r>
            <w:r>
              <w:rPr>
                <w:rFonts w:hint="eastAsia" w:ascii="宋体" w:hAnsi="宋体" w:eastAsia="宋体" w:cs="宋体"/>
                <w:i w:val="0"/>
                <w:iCs w:val="0"/>
                <w:color w:val="000000"/>
                <w:sz w:val="18"/>
                <w:szCs w:val="18"/>
                <w:u w:val="none"/>
                <w:lang w:val="en-US" w:eastAsia="zh-CN" w:bidi="ar"/>
              </w:rPr>
              <w:t xml:space="preserve">                                                                                                                                                                      4、遥控器:配套开源硬件主板，配套6个触摸按键和两个侧向按键可脱离数据线完成设备启动，可通过触摸或侧向按键与无人机进行交瓦;                            </w:t>
            </w:r>
            <w:r>
              <w:rPr>
                <w:rFonts w:hint="eastAsia" w:ascii="宋体" w:hAnsi="宋体" w:eastAsia="宋体" w:cs="宋体"/>
                <w:i w:val="0"/>
                <w:iCs w:val="0"/>
                <w:color w:val="000000"/>
                <w:sz w:val="18"/>
                <w:szCs w:val="18"/>
                <w:u w:val="none"/>
                <w:lang w:val="en-US" w:eastAsia="zh-CN" w:bidi="ar"/>
              </w:rPr>
              <w:t xml:space="preserve">         5、光流模块:支持光流定位;                                                                                                                                                                                                                          6、激光模块:采用激光定高  </w:t>
            </w:r>
            <w:r>
              <w:rPr>
                <w:rFonts w:hint="eastAsia" w:ascii="宋体" w:hAnsi="宋体" w:eastAsia="宋体" w:cs="宋体"/>
                <w:i w:val="0"/>
                <w:iCs w:val="0"/>
                <w:color w:val="000000"/>
                <w:sz w:val="18"/>
                <w:szCs w:val="18"/>
                <w:u w:val="none"/>
                <w:lang w:val="en-US" w:eastAsia="zh-CN" w:bidi="ar"/>
              </w:rPr>
              <w:t xml:space="preserve">                                                                                                                                                                                                                              7、支持图形化编程:在同一编程界面上，可以实现多机编程，还可和其他智</w:t>
            </w:r>
            <w:r>
              <w:rPr>
                <w:rFonts w:hint="eastAsia" w:ascii="宋体" w:hAnsi="宋体" w:eastAsia="宋体" w:cs="宋体"/>
                <w:i w:val="0"/>
                <w:iCs w:val="0"/>
                <w:color w:val="000000"/>
                <w:sz w:val="18"/>
                <w:szCs w:val="18"/>
                <w:u w:val="none"/>
                <w:lang w:val="en-US" w:eastAsia="zh-CN" w:bidi="ar"/>
              </w:rPr>
              <w:t xml:space="preserve">能设备联动;                                                                                                                            8、自带RGB灯，灯光可编程控制;                                                                                                             </w:t>
            </w:r>
            <w:r>
              <w:rPr>
                <w:rFonts w:hint="eastAsia" w:ascii="宋体" w:hAnsi="宋体" w:eastAsia="宋体" w:cs="宋体"/>
                <w:i w:val="0"/>
                <w:iCs w:val="0"/>
                <w:color w:val="000000"/>
                <w:sz w:val="18"/>
                <w:szCs w:val="18"/>
                <w:u w:val="none"/>
                <w:lang w:val="en-US" w:eastAsia="zh-CN" w:bidi="ar"/>
              </w:rPr>
              <w:t xml:space="preserve">                                                                                                        9、自带编队软件，可通过编队软件实现多机编队飞行;                                                                                                                               </w:t>
            </w:r>
            <w:r>
              <w:rPr>
                <w:rFonts w:hint="eastAsia" w:ascii="宋体" w:hAnsi="宋体" w:eastAsia="宋体" w:cs="宋体"/>
                <w:i w:val="0"/>
                <w:iCs w:val="0"/>
                <w:color w:val="000000"/>
                <w:sz w:val="18"/>
                <w:szCs w:val="18"/>
                <w:u w:val="none"/>
                <w:lang w:val="en-US" w:eastAsia="zh-CN" w:bidi="ar"/>
              </w:rPr>
              <w:t xml:space="preserve">                                                10、模块化结构支持组装拆卸，可完成DIY创作;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标准训练套装</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1、刀旗参数（数量*5） 旗杆：铝合金旗杆旗面：贡缎喷绘布底座：塑料底座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2、拱门参数（数量*3） 旗面：贡缎喷绘布内支撑杆：玻纤杆底座：金属底座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3、圆门参数（数量*3）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4、停机坪参数（数量*2）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5、旗面：贡缎，喷绘布材质：聚酯纤维（涤纶）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6、内支撑杆：金属，底座：塑料底座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7、外支撑杆：PVC管                                                                                                                                                                                                     </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墙面互动主题模块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机械转动墙面互动系统A款</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6" name="图片 17"/>
                      <wp:cNvGraphicFramePr/>
                      <a:graphic xmlns:a="http://schemas.openxmlformats.org/drawingml/2006/main">
                        <a:graphicData uri="http://schemas.openxmlformats.org/drawingml/2006/picture">
                          <pic:pic xmlns:pic="http://schemas.openxmlformats.org/drawingml/2006/picture">
                            <pic:nvPicPr>
                              <pic:cNvPr id="45" name="图片 17"/>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4864;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7" name="图片 18"/>
                      <wp:cNvGraphicFramePr/>
                      <a:graphic xmlns:a="http://schemas.openxmlformats.org/drawingml/2006/main">
                        <a:graphicData uri="http://schemas.openxmlformats.org/drawingml/2006/picture">
                          <pic:pic xmlns:pic="http://schemas.openxmlformats.org/drawingml/2006/picture">
                            <pic:nvPicPr>
                              <pic:cNvPr id="46" name="图片 18"/>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5888;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核心定位：专为学生设计的12款机械结构教具，直观理解齿轮传动原理与机械结构的教育工具。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核心功能与学习目标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探索传动原理：动手组装不同的齿轮组合，直接观察并理解加速、减速、改变转动方向等核心机械原理。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理解齿轮比：通过使用不同齿数的齿轮进行啮合，直观地看到转速与扭矩的变化，轻松掌握“齿轮比”的概念。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激发工程思维：在拼搭过程中，自然培养孩子的逻辑思维、空间想象力和初步的机械设计能力。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问题解决能力：通过完成特定任务（如“实现最大减速比”、“改变90度传动方向”），锻炼分析和解决问题的能力。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套件组成参数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齿轮类型：包含多种标准齿轮，如：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圆柱齿轮：不同尺寸（齿数不同），用于平行轴传动。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锥齿轮：用于实现垂直方向（90度）的传动。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齿条：用于将旋转运动转换为直线运动。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尺寸：主体尺寸：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120cm×80cm（长 × 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搭载 12 个规格为</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20cm×20cm 的机械互动组件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颜色：银色/蓝色/金色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材质：PLA材料。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产品</w:t>
            </w:r>
            <w:r>
              <w:rPr>
                <w:rFonts w:hint="eastAsia" w:ascii="宋体" w:hAnsi="宋体" w:cs="宋体"/>
                <w:i w:val="0"/>
                <w:iCs w:val="0"/>
                <w:color w:val="000000"/>
                <w:sz w:val="18"/>
                <w:szCs w:val="18"/>
                <w:u w:val="none"/>
                <w:lang w:val="en-US" w:eastAsia="zh-CN" w:bidi="ar"/>
              </w:rPr>
              <w:t xml:space="preserve">需体现以下</w:t>
            </w:r>
            <w:r>
              <w:rPr>
                <w:rFonts w:hint="eastAsia" w:ascii="宋体" w:hAnsi="宋体" w:eastAsia="宋体" w:cs="宋体"/>
                <w:i w:val="0"/>
                <w:iCs w:val="0"/>
                <w:color w:val="000000"/>
                <w:sz w:val="18"/>
                <w:szCs w:val="18"/>
                <w:u w:val="none"/>
                <w:lang w:val="en-US" w:eastAsia="zh-CN" w:bidi="ar"/>
              </w:rPr>
              <w:t xml:space="preserve">特色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沉浸式互动体验：让学生从被动观看者转变为主动参与者，通过触摸、推拉、旋转等直观操作即可触发墙面构件的联动变化，实现人与空间的实时反馈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透明化观察：便于清晰观察啮合与传动过程。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搭配</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80*120CM 洞洞板使用或者直接上墙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课程资料：原理讲解说明：12个。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机械转动墙面互动系统B款</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8" name="图片 19"/>
                      <wp:cNvGraphicFramePr/>
                      <a:graphic xmlns:a="http://schemas.openxmlformats.org/drawingml/2006/main">
                        <a:graphicData uri="http://schemas.openxmlformats.org/drawingml/2006/picture">
                          <pic:pic xmlns:pic="http://schemas.openxmlformats.org/drawingml/2006/picture">
                            <pic:nvPicPr>
                              <pic:cNvPr id="49" name="图片 19"/>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6912;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1" locked="0" layoutInCell="1" allowOverlap="1">
                      <wp:simplePos x="0" y="0"/>
                      <wp:positionH relativeFrom="column">
                        <wp:posOffset>175260</wp:posOffset>
                      </wp:positionH>
                      <wp:positionV relativeFrom="paragraph">
                        <wp:posOffset>0</wp:posOffset>
                      </wp:positionV>
                      <wp:extent cx="1143000" cy="975360"/>
                      <wp:effectExtent l="0" t="0" r="0" b="0"/>
                      <wp:wrapNone/>
                      <wp:docPr id="19" name="图片 20"/>
                      <wp:cNvGraphicFramePr/>
                      <a:graphic xmlns:a="http://schemas.openxmlformats.org/drawingml/2006/main">
                        <a:graphicData uri="http://schemas.openxmlformats.org/drawingml/2006/picture">
                          <pic:pic xmlns:pic="http://schemas.openxmlformats.org/drawingml/2006/picture">
                            <pic:nvPicPr>
                              <pic:cNvPr id="32" name="图片 20"/>
                              <pic:cNvPicPr/>
                              <pic:nvPr/>
                            </pic:nvPicPr>
                            <pic:blipFill>
                              <a:blip r:embed="rId11"/>
                              <a:stretch/>
                            </pic:blipFill>
                            <pic:spPr bwMode="auto">
                              <a:xfrm>
                                <a:off x="0" y="0"/>
                                <a:ext cx="1143000"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7936;o:allowoverlap:true;o:allowincell:true;mso-position-horizontal-relative:text;margin-left:13.8pt;mso-position-horizontal:absolute;mso-position-vertical-relative:text;margin-top:0.0pt;mso-position-vertical:absolute;width:90.0pt;height:76.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i w:val="0"/>
                <w:iCs w:val="0"/>
                <w:color w:val="000000"/>
                <w:sz w:val="18"/>
                <w:szCs w:val="18"/>
                <w:u w:val="none"/>
                <w:lang w:val="en-US" w:eastAsia="zh-CN" w:bidi="ar"/>
              </w:rPr>
              <w:t xml:space="preserve">核心定位：专为学生设计的12款机械结构教具，直观理解齿轮传动原理与机械结构的教育工具。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核心功能与学习目标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探索传动原理：动手组装不同的齿轮组合，直接观察并理解加速、减速、改变转动方向等核心机械原理。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理解齿轮比：通过使用不同齿数的齿轮进行啮合，直观地看到转速与扭矩的变化，轻松掌握“齿轮比”的概念。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激发工程思维：在拼搭过程中，自然培养孩子的逻辑思维、空间想象力和初步的机械设计能力。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问题解决能力：通过完成特定任务（如“实现最大减速比”、“改变90度传动方向”），锻炼分析和解决问题的能力。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套件组成参数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齿轮类型：包含多种标准齿轮，如：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圆柱齿轮：不同尺寸（齿数不同），用于平行轴传动。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锥齿轮：用于实现垂直方向（90度）的传动。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齿条：用于将旋转运动转换为直线运动。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尺寸：主体尺寸：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120cm×80cm（长 × 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搭载12个规格为 20cm×20cm 的机械互动组件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颜色：银色/蓝色/金色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材质：PLA材料，安全耐用。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产品</w:t>
            </w:r>
            <w:r>
              <w:rPr>
                <w:rFonts w:hint="eastAsia" w:ascii="宋体" w:hAnsi="宋体" w:cs="宋体"/>
                <w:i w:val="0"/>
                <w:iCs w:val="0"/>
                <w:color w:val="000000"/>
                <w:sz w:val="18"/>
                <w:szCs w:val="18"/>
                <w:u w:val="none"/>
                <w:lang w:val="en-US" w:eastAsia="zh-CN" w:bidi="ar"/>
              </w:rPr>
              <w:t xml:space="preserve">需体现以下</w:t>
            </w:r>
            <w:r>
              <w:rPr>
                <w:rFonts w:hint="eastAsia" w:ascii="宋体" w:hAnsi="宋体" w:eastAsia="宋体" w:cs="宋体"/>
                <w:i w:val="0"/>
                <w:iCs w:val="0"/>
                <w:color w:val="000000"/>
                <w:sz w:val="18"/>
                <w:szCs w:val="18"/>
                <w:u w:val="none"/>
                <w:lang w:val="en-US" w:eastAsia="zh-CN" w:bidi="ar"/>
              </w:rPr>
              <w:t xml:space="preserve">特色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沉浸式互动体验：让学生从被动观看者转变为主动参与者，通过触摸、推拉、旋转等直观操作即可触发墙面构件的联动变化，实现人与空间的实时反馈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透明化观察：便于清晰观察啮合与传动过程。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搭配</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80*120CM 洞洞板使用或者直接上墙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课程资料：原理讲解说明：12个。</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高中AI创新基础认知与学科融合（核心导入）</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工艺融合：UV印刷高清图文呈现，打造立体层次，三维立体制作小型实物模型（嵌入展板预留凹槽），三者结合提升视觉冲击力与实操代入感。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核心知识点：创客定义与核心素养：创新思维、动手实践、协作探究、问题解决，贴合高中通用技术“技术素养”培养要求；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高中创客课程核心框架：基础工具使用、创意设计、原型制作、成果展示四大模块，对应课程大纲核心目标；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学科融合逻辑：数学（尺寸计算、建模参数）、物理（力学、光学，对应后续激光/3D打印原理）、信息技术（编程、建模）、通用技术（加工工艺）的联动应用。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激光切割专项（技术与学科应用）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核心知识点：激光切割原理：激光的单色性、方向性，光的折射与反射（物理光学知识点），切割的能量转化（电能→光能→热能）；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技术要点：分层设计、尺寸精准控制（数学几何计算）、材料适配（亚克力、木板等创客常用材料特性）；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高中创客实践应用：激光切割制作文创产品（书签、摆件）、结构模型（简单机械零件），贴合课程“原型制作”模块要求。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3D打印专项（技术与学科应用）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核心知识点：3D打印核心原理：分层制造、叠加成型（物理热力学知识点，材料熔融与凝固）；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高中创客常用3D建模软件基础操作，建模与打印参数设置（数学尺寸参数、物理温度参数）；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实践应用：3D打印在创意设计、模型制作、零件修复中的应用，贴合高中创客“创意转化”课程目标。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UV印刷专项（创意呈现与学科融合）</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核心知识点：UV印刷原理：紫外线固化技术，油墨快速干燥的特性（物理光学、化学固化反应）；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高中创客应用：UV印刷在创客作品美化中的应用（如文创产品图案印刷、模型表面装饰），图像处理基础（色彩调整、图案设计）；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创意设计逻辑：色彩搭配、图案布局，贴合美术学科“审美素养”培养，同时衔接通用技术“成果展示”模块。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高中创新实践总结与成果展示（学科综合应用）</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80cm*60cm；实木边框，内侧预留灯带，便于墙面悬挂，适配教室、创客实验室墙面布局。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工艺：UV印刷高清图文呈现，打造立体层次，三维立体制作小型实物模型（嵌入展板预留凹槽），三者结合提升视觉冲击力与实操代入感。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灯带布局：展板边缘嵌入一圈暖灯带，背部预留隐藏式线路，可调节，营造科技感创客氛围，突出核心内容。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AI智能控制系统：每块展板内置小型语音识别模块与扬声器，支持语音指令触发，可精准讲解对应知识点，讲解内容贴合初中创客课程大纲，语言通俗易懂。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核心知识点：多种技术综合应用；高中创客课程实践重点：从创意构思、设计建模、原型制作到成果展示的完整流程，贴合课程大纲“实践应用”核心目标；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创客成果转化：将课堂实践作品转化为实用文创、模型等，培养创新转化能力，衔接高中创客竞赛相关要求。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智能制造与工业4.0交互式文化学习系统</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一、整体设计</w:t>
            </w:r>
            <w:r>
              <w:rPr>
                <w:rFonts w:hint="eastAsia" w:ascii="宋体" w:hAnsi="宋体" w:cs="宋体"/>
                <w:i w:val="0"/>
                <w:iCs w:val="0"/>
                <w:color w:val="000000"/>
                <w:sz w:val="18"/>
                <w:szCs w:val="18"/>
                <w:u w:val="none"/>
                <w:lang w:val="en-US" w:eastAsia="zh-CN" w:bidi="ar"/>
              </w:rPr>
              <w:t xml:space="preserve">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本展示互动产品贴合高中信息技术、通用技术教学大纲，聚焦创客智能制造与工业4.0核心教学内容，采用“激光多层切割+三维立体打印+UV印刷”三大工艺（达到同等视觉、耐用效果的工艺亦可）融合，搭配LED氛围灯光系统与AI语音解说模块，整体尺寸控制在</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4.8m（长）×2.4m（高），整体色调以科技蓝、银灰为主，搭配暖白辅助灯光，呈现高端、简洁、富有科技感的视觉效果，兼顾展示性、互动性与教学实用性，实现“看、听、触”三维互动，助力学生直观理解核心知识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二、整体布局</w:t>
            </w:r>
            <w:r>
              <w:rPr>
                <w:rFonts w:hint="eastAsia" w:ascii="宋体" w:hAnsi="宋体" w:cs="宋体"/>
                <w:i w:val="0"/>
                <w:iCs w:val="0"/>
                <w:color w:val="000000"/>
                <w:sz w:val="18"/>
                <w:szCs w:val="18"/>
                <w:u w:val="none"/>
                <w:lang w:val="en-US" w:eastAsia="zh-CN" w:bidi="ar"/>
              </w:rPr>
              <w:t xml:space="preserve">要求</w:t>
            </w:r>
            <w:r>
              <w:rPr>
                <w:rFonts w:hint="eastAsia" w:ascii="宋体" w:hAnsi="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（4.8m×2.4m）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采用左右分区设计，中间以激光多层的科技感线条分隔，两侧对称布局，整体比例协调，符合教室后墙视觉观感，具体分区如下：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左侧：创客智能制造展示区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中间：分隔带，采用多层立体齿轮、电路纹理，内置隐藏式LED灯带，点亮后呈现流动光效，增强科技氛围。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右侧：工业4.0展示区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三、分区域详细设计（贴合高中教学大纲，融入三大工艺+灯光+AI语音）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（一）左侧：创客智能制造展示区（贴合高中创客教育、智能制造教学内容）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核心教学贴合点：高中通用技术（技术与设计、创新设计实践）、信息技术（人工智能基础、智能制造工具应用），重点展示创客理念、智能制造核心工具、学生实践成果，凸显“创新、实践、智造”的核心。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顶部标题区：采用激光工艺，制作“创客智能制造·赋能未来创新”立体标题，字体选用科技感黑体，层数3-4层，凸显立体感；标题边缘嵌入隐藏式LED暖白灯带，光线柔和不刺眼，点亮后标题清晰突出；UV印刷背景为浅灰色，印有细微的电路纹理、创客工具线条，增强科技质感，不喧宾夺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AI语音触发：触摸标题下方的感应区，AI语音解说（贴合教学大纲）2. 核心知识点展示区：分3个模块，采用“UV印刷图文+激光立体造型+三维立体实物模型”结合，每个模块搭配独立LED射灯，触摸模块即可触发对应AI语音解说，贴合高中教学重点：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模块1：创客核心理念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图文：清晰呈现高中创客教育的核心——“创意、实践、分享、迭代”，搭配简单图文（如学生创意草图、创客作品实拍），贴合通用技术“创新设计”教学要求；背景采用激光切割叠雕的创意灯泡、齿轮造型，立体层次分明；三维立体小型创客标识（如“创客空间”logo），固定在图文右侧，增强实物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模块2：智能制造核心工具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聚焦高中教学中涉及的智能制造工具，贴合信息技术“智能制造基础”知识点：UV印刷图文介绍激光切割、3D打印的基本原理、操作流程（简化至高中学生可理解的程度，不涉及复杂专业术语）；激光多层工具轮廓（激光切割机、3D打印机），层数2层，凸显立体效果；3D打印缩小版激光切割机、3D打印机模型，细节还原，可触摸，增强互动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模块3：学生创客实践成果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展示高中学生优秀创客作品（如智能小夜灯、简易机器人、创意收纳盒等），标注作品名称、设计理念，贴合“创新实践”教学要求；激光切割作品轮廓边框，增强展示感；预留2-3个三维立体打印作品展示位，可替换展示学生最新作品，搭配LED射灯，突出作品细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互动体验区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切割制作互动面板，面板上设计3个触摸感应按钮，分别对应“创意设计”“工具操作”“成果展示”，触摸对应按钮，不仅触发AI语音解说，还会联动LED灯光，对应模块的灯光亮起，增强互动体验；面板背景采用UV印刷的创客空间场景图，搭配三维立体小型互动摆件（如迷你创意模型），提升科技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（二）右侧：工业4.0展示区（贴合高中工业4.0、智能工厂教学内容）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核心教学贴合点：高中信息技术（人工智能、物联网、大数据基础）、通用技术（现代工业技术、技术与社会），重点展示工业4.0核心内涵、关键技术、应用场景，凸显“智能、高效、互联”的核心，贴合高中阶段对工业4.0的教学深度（不涉及复杂工业流程，侧重基础认知与应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顶部标题区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采用与左侧对称的设计风格，激光切割“工业4.0·开启智能工业新时代”立体标题，层数3-4层，边缘嵌入隐藏式LED科技蓝灯带，与左侧暖白灯光形成呼应，增强整体协调性；UV印刷背景为浅科技蓝，印有智能工厂、物联网节点等细微纹理，凸显工业4.0的科技属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AI语音触发：触摸标题下方的感应区，AI语音自动解说（</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贴合教学大纲）。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核心知识点展示区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分3个模块，采用“UV印刷图文+多层立体造型+三维立体打印实物模型”结合，每个模块搭配独立LED射灯，触摸模块触发对应AI语音解说，贴合高中教学重点：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模块1：工业4.0核心内涵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图文：简洁呈现工业4.0的核心定义（贴合高中教学深度）——“以智能制造为主导，实现生产过程的智能化、互联化、高效化”，搭配简单图文（智能工厂示意图、工业生产流程简化图）；多层立体工业4.0标志、智能工厂轮廓，立体层次分明；三维立体小型智能工厂微缩模型，还原智能生产线的基本结构，增强直观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模块2：工业4.0关键技术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聚焦高中教学中涉及的工业4.0关键技术，贴合信息技术“人工智能、物联网、大数据”知识点：UV印刷图文介绍物联网（IoT）、人工智能（AI）、大数据在工业4.0中的应用（简化至高中学生可理解的程度，如物联网实现设备互联、AI实现智能检测）；多层立体技术图标（物联网节点、AI机器人、大数据图表），层数2层，凸显立体效果；三维立体小型物联网传感器、AI机器人模型，可触摸，帮助学生直观认识技术形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模块3：工业4.0应用场景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V印刷展示工业4.0在常见行业的应用（贴合高中教学，如智能制造业、智能物流、智能检测），搭配简洁图文（如智能生产线、智能仓储示意图）；多层应用场景轮廓（智能工厂、物流机器人），增强展示感；三维立体小型物流机器人模型，还原应用场景，让学生直观感受工业4.0的实际价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互动体验区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与左侧互动区对称设计，多层互动面板，面板上设计3个触摸感应按钮，分别对应“核心内涵”“关键技术”“应用场景”，触摸对应按钮，触发AI语音解说，联动LED灯光，对应模块灯光亮起；面板背景采用UV印刷的智能工厂全景图，搭配三维立体小型工业摆件（如迷你生产线模型），提升互动感与科技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四、灯光与AI语音解说功能设计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灯光系统：整体采用LED灯光，分为隐藏式灯带与独立射灯，电压24V（安全耐用，适合教室环境）；隐藏式灯带嵌入标题边缘、分隔带，暖白+科技蓝搭配，光线柔和，不影响教室正常教学；独立射灯对应每个知识点模块、互动区，触摸触发后亮起，突出重点内容；灯光可通过开关整体控制，也可通过触摸互动单独触发，节能且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AI语音解说功能：采用嵌入式AI语音模块，内置贴合高中教学大纲的解说文案（语言简洁、通俗易懂，贴合高中学生认知，不涉及复杂专业术语）；触摸感应触发（每个模块、标题均有感应区），语音清晰、音量可调节（适配教室环境，不影响课堂秩序）；支持后期更新解说文案，可根据教学进度调整知识点讲解内容，贴合教学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五、教学适配性说明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本产品</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严格贴合高中信息技术、通用技术教学大纲，内容聚焦创客智能制造与工业4.0的核心知识点，不超出高中学生的认知范围，可作为课堂教学的延伸，帮助学生直观理解抽象的技术概念；互动功能可激发学生的学习兴趣，引导学生主动了解知识点，同时展示学生创客成果，增强学生的成就感；AI语音解说</w:t>
            </w:r>
            <w:r>
              <w:rPr>
                <w:rFonts w:hint="eastAsia" w:ascii="宋体" w:hAnsi="宋体" w:cs="宋体"/>
                <w:i w:val="0"/>
                <w:iCs w:val="0"/>
                <w:color w:val="000000"/>
                <w:sz w:val="18"/>
                <w:szCs w:val="18"/>
                <w:u w:val="none"/>
                <w:lang w:val="en-US" w:eastAsia="zh-CN" w:bidi="ar"/>
              </w:rPr>
              <w:t xml:space="preserve">需</w:t>
            </w:r>
            <w:r>
              <w:rPr>
                <w:rFonts w:hint="eastAsia" w:ascii="宋体" w:hAnsi="宋体" w:eastAsia="宋体" w:cs="宋体"/>
                <w:i w:val="0"/>
                <w:iCs w:val="0"/>
                <w:color w:val="000000"/>
                <w:sz w:val="18"/>
                <w:szCs w:val="18"/>
                <w:u w:val="none"/>
                <w:lang w:val="en-US" w:eastAsia="zh-CN" w:bidi="ar"/>
              </w:rPr>
              <w:t xml:space="preserve">贴合教学重点，可辅助教师开展教学，提升课堂效率。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基础设施模块</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2400（长）×700（宽）×850mm（高）。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2、结构：演示台设有储物柜，中间为演示台，设置电源主控系统、多媒体设备（主机、显示器、中控、功放、交换机）的位置预留。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eastAsia="宋体" w:cs="宋体"/>
                <w:b/>
                <w:bCs/>
                <w:i w:val="0"/>
                <w:iCs w:val="0"/>
                <w:color w:val="auto"/>
                <w:sz w:val="18"/>
                <w:szCs w:val="18"/>
                <w:u w:val="none"/>
                <w:lang w:val="en-US" w:eastAsia="zh-CN" w:bidi="ar"/>
              </w:rPr>
              <w:t xml:space="preserve">台面：</w:t>
            </w:r>
            <w:r>
              <w:rPr>
                <w:rFonts w:hint="eastAsia" w:ascii="宋体" w:hAnsi="宋体" w:eastAsia="宋体" w:cs="宋体"/>
                <w:i w:val="0"/>
                <w:iCs w:val="0"/>
                <w:color w:val="000000"/>
                <w:sz w:val="18"/>
                <w:szCs w:val="18"/>
                <w:u w:val="none"/>
                <w:lang w:val="en-US" w:eastAsia="zh-CN" w:bidi="ar"/>
              </w:rPr>
              <w:t xml:space="preserve">采用≥12mm厚实芯双面理化板台面，由生产厂家用CNC机械加工而成，各项性能满足或优于如下要求：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3.1、台面甲醛释放量检测结果值＜0.08mg/M3（未检出）；49项化学试剂检测评级结果为0级-无可见变化；参照</w:t>
            </w:r>
            <w:r>
              <w:rPr>
                <w:rFonts w:hint="eastAsia" w:ascii="宋体" w:hAnsi="宋体" w:cs="宋体"/>
                <w:i w:val="0"/>
                <w:iCs w:val="0"/>
                <w:color w:val="000000"/>
                <w:sz w:val="18"/>
                <w:szCs w:val="18"/>
                <w:u w:val="none"/>
                <w:lang w:val="en-US" w:eastAsia="zh-CN" w:bidi="ar"/>
              </w:rPr>
              <w:t xml:space="preserve">相关</w:t>
            </w:r>
            <w:r>
              <w:rPr>
                <w:rFonts w:hint="eastAsia" w:ascii="宋体" w:hAnsi="宋体" w:eastAsia="宋体" w:cs="宋体"/>
                <w:i w:val="0"/>
                <w:iCs w:val="0"/>
                <w:color w:val="000000"/>
                <w:sz w:val="18"/>
                <w:szCs w:val="18"/>
                <w:u w:val="none"/>
                <w:lang w:val="en-US" w:eastAsia="zh-CN" w:bidi="ar"/>
              </w:rPr>
              <w:t xml:space="preserve">标准，经检测，检测结果重金属铅≤1.1，镉、铬、汞均未检出。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3.2、经不少于14项的农药残留检测，检测百菌清、敌敌畏、毒死蜱、腐霉利、甲胺磷等检测结果均为符合。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3.3、可溶性三价铬、可溶性六价铬、可溶性铅、可溶性锑、可溶性钴等不少于19项重金属元素测试结果为未测出。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3.4、参照GB/T 2408-2021《塑料燃烧性能的测定水平法和垂直法》和</w:t>
            </w:r>
            <w:r>
              <w:rPr>
                <w:rFonts w:hint="eastAsia" w:ascii="宋体" w:hAnsi="宋体" w:cs="宋体"/>
                <w:i w:val="0"/>
                <w:iCs w:val="0"/>
                <w:color w:val="000000"/>
                <w:sz w:val="18"/>
                <w:szCs w:val="18"/>
                <w:u w:val="none"/>
                <w:lang w:val="en-US" w:eastAsia="zh-CN" w:bidi="ar"/>
              </w:rPr>
              <w:t xml:space="preserve">相关标准</w:t>
            </w:r>
            <w:r>
              <w:rPr>
                <w:rFonts w:hint="eastAsia" w:ascii="宋体" w:hAnsi="宋体" w:eastAsia="宋体" w:cs="宋体"/>
                <w:i w:val="0"/>
                <w:iCs w:val="0"/>
                <w:color w:val="000000"/>
                <w:sz w:val="18"/>
                <w:szCs w:val="18"/>
                <w:u w:val="none"/>
                <w:lang w:val="en-US" w:eastAsia="zh-CN" w:bidi="ar"/>
              </w:rPr>
              <w:t xml:space="preserve">进行检测，结果达B1级，烟气毒性项目符合t1级要求；水平燃烧符合HB级，垂直燃烧符合V-0级。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3.5、防霉性能检测：依据 JC/T2039-2010 标准进行检测黑曲霉、土曲霉、球毛壳霉、宛氏拟青霉、绳状青霉、出芽短梗霉等不少于 6 种的霉菌检测防霉等级为 1级。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3.6、抗菌性能检测：依据ISO 22196:2011或JC/T 2039-2010标准进行检测大肠杆菌、金黄色葡萄球菌、肺炎克雷伯氏菌、鼠伤寒沙门氏菌、表皮葡萄球菌、铜绿假单胞菌、宋氏志贺氏菌、白色葡萄球菌、粪肠球菌、单核细胞增生李斯特氏菌、变异库克菌、甲型溶血性链球菌、白色念珠菌、肠沙门氏菌肠亚种等不少于14种的菌种抗菌率≥99.9%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3.7、39项邻苯二甲酸脂进行检测结果为未检出；15项多环芳香烃（PAHs15)进行检测结果为未检出；65项VOC挥发性有机物检测结果为nd(未检出）。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3.8、根据ISO 21702：2019对H1N1、H3N2进行抗病毒活性试验，抗病毒活性率结果≥99.9%。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4、桌体：采用1.0mm镀锌钢板，CO2保护焊焊接，打磨处理，表面经耐酸碱粉末经过喷塑后高温处理而成。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6、铰链：采用自动型110°大伸展角度，锌合金铰链，开合</w:t>
            </w:r>
            <w:r>
              <w:rPr>
                <w:rFonts w:hint="eastAsia" w:ascii="宋体" w:hAnsi="宋体" w:cs="宋体"/>
                <w:i w:val="0"/>
                <w:iCs w:val="0"/>
                <w:color w:val="000000"/>
                <w:sz w:val="18"/>
                <w:szCs w:val="18"/>
                <w:u w:val="none"/>
                <w:lang w:val="en-US" w:eastAsia="zh-CN" w:bidi="ar"/>
              </w:rPr>
              <w:t xml:space="preserve">至少</w:t>
            </w:r>
            <w:r>
              <w:rPr>
                <w:rFonts w:hint="eastAsia" w:ascii="宋体" w:hAnsi="宋体" w:eastAsia="宋体" w:cs="宋体"/>
                <w:i w:val="0"/>
                <w:iCs w:val="0"/>
                <w:color w:val="000000"/>
                <w:sz w:val="18"/>
                <w:szCs w:val="18"/>
                <w:u w:val="none"/>
                <w:lang w:val="en-US" w:eastAsia="zh-CN" w:bidi="ar"/>
              </w:rPr>
              <w:t xml:space="preserve">五万次不变形。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7、拉手：采用C型不锈钢拉手，造型独特美观。。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8、脚垫：采用柜体内置可调ABS脚垫，保证桌面平整，防水防潮，延长</w:t>
            </w:r>
            <w:r>
              <w:rPr>
                <w:rFonts w:hint="eastAsia" w:ascii="宋体" w:hAnsi="宋体" w:eastAsia="宋体" w:cs="宋体"/>
                <w:i w:val="0"/>
                <w:iCs w:val="0"/>
                <w:color w:val="auto"/>
                <w:sz w:val="18"/>
                <w:szCs w:val="18"/>
                <w:u w:val="none"/>
                <w:lang w:val="en-US" w:eastAsia="zh-CN" w:bidi="ar"/>
              </w:rPr>
              <w:t xml:space="preserve">设备使用寿命。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9、▲依据：GB/T 24820-2024 《实验室家具通用技术条件》、GB/T 10125-2021 《人造气氛腐蚀试验盐雾试验》、GB/T 228.1-2021 《金属材料拉伸试验第1部分：室温试验方法》、QB/T 4371-2012 《家具抗菌性能的评价》、JC/T 2039-2010《抗菌防霉木质装饰板》</w:t>
            </w:r>
            <w:r>
              <w:rPr>
                <w:rFonts w:hint="eastAsia" w:ascii="宋体" w:hAnsi="宋体" w:cs="宋体"/>
                <w:i w:val="0"/>
                <w:iCs w:val="0"/>
                <w:color w:val="auto"/>
                <w:sz w:val="18"/>
                <w:szCs w:val="18"/>
                <w:u w:val="none"/>
                <w:lang w:val="en-US" w:eastAsia="zh-CN" w:bidi="ar"/>
              </w:rPr>
              <w:t xml:space="preserve">等</w:t>
            </w:r>
            <w:r>
              <w:rPr>
                <w:rFonts w:hint="eastAsia" w:ascii="宋体" w:hAnsi="宋体" w:eastAsia="宋体" w:cs="宋体"/>
                <w:i w:val="0"/>
                <w:iCs w:val="0"/>
                <w:color w:val="auto"/>
                <w:sz w:val="18"/>
                <w:szCs w:val="18"/>
                <w:u w:val="none"/>
                <w:lang w:val="en-US" w:eastAsia="zh-CN" w:bidi="ar"/>
              </w:rPr>
              <w:t xml:space="preserve">，教师演示台技术性能需满足以下要求：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9.1、外观：台面不应有裂缝、渗透现象，检测结果符</w:t>
            </w:r>
            <w:r>
              <w:rPr>
                <w:rFonts w:hint="eastAsia" w:ascii="宋体" w:hAnsi="宋体" w:eastAsia="宋体" w:cs="宋体"/>
                <w:i w:val="0"/>
                <w:iCs w:val="0"/>
                <w:color w:val="000000"/>
                <w:sz w:val="18"/>
                <w:szCs w:val="18"/>
                <w:u w:val="none"/>
                <w:lang w:val="en-US" w:eastAsia="zh-CN" w:bidi="ar"/>
              </w:rPr>
              <w:t xml:space="preserve">合要求；台面不应有污物、杂质，检测结果符合要求；金属件外观：焊接处应无脱焊、虚焊、焊穿、错位，检测结果符合要求。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9.2、理化性能：物理实验台面抗冲击，板面应无破损，压痕直径应小于或等于10mm，检测结果符合要求；物理、化学实验台面耐高温，应无裂纹，检测结果符合要求。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9.3、力学性能：水平静载荷试验，加载600N，10次（最大平衡载荷100kg），检测结果符合要求；垂直加载稳定性试验，主台面加载1000N，检测结果符合要求；跌落试验，高150mm，10次，检测结果符合要求；水平耐久性试验，力300N，最大平衡载荷100kg，10000次，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9.4、耐腐蚀-中性盐雾：喷雾周期：50h，检测结果：镀（涂）层对基体的保护等级不小于 10 级；镀（涂）层本身的耐腐蚀等级不小于 10 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9.5、抗拉强度Rm（N/mm²）：≥375；断后伸长率A（%）：≥30。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9.6、抗菌性能：大肠杆菌Escherichia coliform（ATCC 25922），抑菌率&gt;99.9%；抗菌防霉性能：黑曲霉Aspergillus niger AS3.3928，防霉性能达到最高等级：0级。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ff0000"/>
                <w:sz w:val="18"/>
                <w:szCs w:val="18"/>
                <w:u w:val="none"/>
                <w:lang w:val="en-US" w:eastAsia="zh-CN" w:bidi="ar"/>
              </w:rPr>
              <w:t xml:space="preserve">针对以上教师演示台技术性能要求，提供</w:t>
            </w:r>
            <w:r>
              <w:rPr>
                <w:rFonts w:hint="eastAsia" w:ascii="宋体" w:hAnsi="宋体" w:cs="宋体"/>
                <w:i w:val="0"/>
                <w:iCs w:val="0"/>
                <w:color w:val="ff0000"/>
                <w:sz w:val="18"/>
                <w:szCs w:val="18"/>
                <w:u w:val="none"/>
                <w:lang w:val="en-US" w:eastAsia="zh-CN" w:bidi="ar"/>
              </w:rPr>
              <w:t xml:space="preserve">第三方检测机构</w:t>
            </w:r>
            <w:r>
              <w:rPr>
                <w:rFonts w:hint="eastAsia" w:ascii="宋体" w:hAnsi="宋体" w:eastAsia="宋体" w:cs="宋体"/>
                <w:i w:val="0"/>
                <w:iCs w:val="0"/>
                <w:color w:val="ff0000"/>
                <w:sz w:val="18"/>
                <w:szCs w:val="18"/>
                <w:u w:val="none"/>
                <w:lang w:val="en-US" w:eastAsia="zh-CN" w:bidi="ar"/>
              </w:rPr>
              <w:t xml:space="preserve">出具的有CMA标志检测报告</w:t>
            </w:r>
            <w:r>
              <w:rPr>
                <w:rFonts w:hint="eastAsia" w:ascii="宋体" w:hAnsi="宋体" w:cs="宋体"/>
                <w:i w:val="0"/>
                <w:iCs w:val="0"/>
                <w:color w:val="ff0000"/>
                <w:sz w:val="18"/>
                <w:szCs w:val="18"/>
                <w:u w:val="none"/>
                <w:lang w:val="en-US" w:eastAsia="zh-CN" w:bidi="ar"/>
              </w:rPr>
              <w:t xml:space="preserve">彩色扫描件</w:t>
            </w:r>
            <w:r>
              <w:rPr>
                <w:rFonts w:hint="eastAsia" w:ascii="宋体" w:hAnsi="宋体" w:eastAsia="宋体" w:cs="宋体"/>
                <w:i w:val="0"/>
                <w:iCs w:val="0"/>
                <w:color w:val="ff0000"/>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学生六边桌</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themeColor="text1"/>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1200（长）×1039（宽）×780mm（高）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新型铝塑结构，桌体上部可选配键盘托。桌体结合人体工程学设计，便于清理，不屯垃圾。外观流线形设计，简洁美观，易碰撞处全部采用倒圆角，产品款式整体设计美观、合理、安全、牢固、耐用。无味，耐腐蚀，耐酸碱，防水防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3、台面：一体化台面，采用12.7mm厚、防火、耐磨、耐烟酌、抗污染的实芯理化板，结构加工坚固致密、机械精打磨圆滑细致，造型美观，具有优异的稳定、持久、耐水和易清洗维护等特性。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桌腿：采用铝合金压铸工艺成型，整体成“大”字形，由上下两段组成。上支座尺寸380*44*129mm，壁厚3.0mm。下支座尺寸395*40*638mm，壁厚4.5mm，与壁厚1.0mm的镀锌板牢固拼合，表面需经静电喷涂、高温固化成光滑面。下支座外包装套，采</w:t>
            </w:r>
            <w:r>
              <w:rPr>
                <w:rFonts w:hint="eastAsia" w:ascii="宋体" w:hAnsi="宋体" w:eastAsia="宋体" w:cs="宋体"/>
                <w:i w:val="0"/>
                <w:iCs w:val="0"/>
                <w:color w:val="000000"/>
                <w:sz w:val="18"/>
                <w:szCs w:val="18"/>
                <w:u w:val="none"/>
                <w:lang w:val="en-US" w:eastAsia="zh-CN" w:bidi="ar"/>
              </w:rPr>
              <w:t xml:space="preserve">用ABS工程塑料，模具注塑成“人”字形，尺寸182*47*424mm，壁厚3.5mm，使桌脚更加牢固、美观、大方。下支座脚套采用ABS工程塑料，模具注塑成“三角”形，尺寸104*45*102mm，壁厚为3.0mm，保护下支座不被磨损、腐蚀，延长桌子使用寿命。静电喷涂环保固体粉剂，高温固化成光滑表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5、中立柱：由对边不小于80mm，壁厚不小于2.0mm的六棱柱支撑。上下均由对边不小于150mm的六边形护套，预留专用孔位，可与平面固定，静电喷涂环保固体粉剂，高温固化成光滑表面。。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6、台面承重梁：采用25*25mm，壁厚1.2mm的冷轧无缝方钢焊接成“申”字形，增强台面承重性能。采用二氧化碳保护焊，磷化、酸洗、除油、除锈处理后，静电喷涂环保固体粉剂，高温固化成光滑表面。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7、桌腿连接横杆：尺寸15*63mm，壁厚1.2mm。两根横杆通过金属三卡锁连接桌腿和中立柱便于组装及拆卸，保证连接牢固，外观流线形设计。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8、脚垫：采用ABS工程塑料，可调节高低，并装有螺丝，上可连接桌脚，下可连接地面，有效延长设备寿命。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依据GB/T 32487-2016 《塑料家具通用技术条件》、QB/T 4371-2012 《家具抗菌性能的评价》、GB/T 24128-2018 《塑料塑料防霉剂的防霉效果评估》，书包斗技术性能需满足以下要求：</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外观：应无气泡、杂质、伤痕、白印，检测结果符合要求。</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抗菌性能：大肠杆菌Escherichia coliform（ATCC 25922），抑菌率&gt;99.9%；抗菌防霉性能：黑曲霉Aspergillus niger AS3.3928，防霉性能达到最高等</w:t>
            </w:r>
            <w:r>
              <w:rPr>
                <w:rFonts w:hint="eastAsia" w:ascii="宋体" w:hAnsi="宋体" w:eastAsia="宋体" w:cs="宋体"/>
                <w:b/>
                <w:bCs/>
                <w:i w:val="0"/>
                <w:iCs w:val="0"/>
                <w:color w:val="000000" w:themeColor="text1"/>
                <w:sz w:val="18"/>
                <w:szCs w:val="18"/>
                <w:u w:val="none"/>
                <w:lang w:val="en-US" w:eastAsia="zh-CN" w:bidi="ar"/>
              </w:rPr>
              <w:t xml:space="preserve">级：0级。</w:t>
            </w:r>
            <w:r>
              <w:rPr>
                <w:rFonts w:hint="eastAsia" w:ascii="宋体" w:hAnsi="宋体" w:eastAsia="宋体" w:cs="宋体"/>
                <w:b/>
                <w:bCs/>
                <w:i w:val="0"/>
                <w:iCs w:val="0"/>
                <w:color w:val="000000" w:themeColor="text1"/>
                <w:sz w:val="18"/>
                <w:szCs w:val="18"/>
                <w:u w:val="none"/>
                <w:lang w:val="en-US" w:eastAsia="zh-CN" w:bidi="ar"/>
              </w:rPr>
              <w:br/>
            </w:r>
            <w:r>
              <w:rPr>
                <w:rFonts w:hint="eastAsia" w:ascii="宋体" w:hAnsi="宋体" w:eastAsia="宋体" w:cs="宋体"/>
                <w:i w:val="0"/>
                <w:iCs w:val="0"/>
                <w:color w:val="000000" w:themeColor="text1"/>
                <w:sz w:val="18"/>
                <w:szCs w:val="18"/>
                <w:u w:val="none"/>
                <w:lang w:val="en-US" w:eastAsia="zh-CN" w:bidi="ar"/>
              </w:rPr>
              <w:t xml:space="preserve">▲针对以上书包斗技术性能，提供</w:t>
            </w:r>
            <w:r>
              <w:rPr>
                <w:rFonts w:hint="eastAsia" w:ascii="宋体" w:hAnsi="宋体" w:cs="宋体"/>
                <w:i w:val="0"/>
                <w:iCs w:val="0"/>
                <w:color w:val="000000" w:themeColor="text1"/>
                <w:sz w:val="18"/>
                <w:szCs w:val="18"/>
                <w:u w:val="none"/>
                <w:lang w:val="en-US" w:eastAsia="zh-CN" w:bidi="ar"/>
              </w:rPr>
              <w:t xml:space="preserve">第三方检测机构</w:t>
            </w:r>
            <w:r>
              <w:rPr>
                <w:rFonts w:hint="eastAsia" w:ascii="宋体" w:hAnsi="宋体" w:eastAsia="宋体" w:cs="宋体"/>
                <w:i w:val="0"/>
                <w:iCs w:val="0"/>
                <w:color w:val="000000" w:themeColor="text1"/>
                <w:sz w:val="18"/>
                <w:szCs w:val="18"/>
                <w:u w:val="none"/>
                <w:lang w:val="en-US" w:eastAsia="zh-CN" w:bidi="ar"/>
              </w:rPr>
              <w:t xml:space="preserve">出具的有CMA标志检测报告</w:t>
            </w:r>
            <w:r>
              <w:rPr>
                <w:rFonts w:hint="eastAsia" w:ascii="宋体" w:hAnsi="宋体" w:cs="宋体"/>
                <w:i w:val="0"/>
                <w:iCs w:val="0"/>
                <w:color w:val="000000" w:themeColor="text1"/>
                <w:sz w:val="18"/>
                <w:szCs w:val="18"/>
                <w:u w:val="none"/>
                <w:lang w:val="en-US" w:eastAsia="zh-CN" w:bidi="ar"/>
              </w:rPr>
              <w:t xml:space="preserve">彩色扫描件</w:t>
            </w:r>
            <w:r>
              <w:rPr>
                <w:rFonts w:hint="eastAsia" w:ascii="宋体" w:hAnsi="宋体" w:eastAsia="宋体" w:cs="宋体"/>
                <w:i w:val="0"/>
                <w:iCs w:val="0"/>
                <w:color w:val="000000" w:themeColor="text1"/>
                <w:sz w:val="18"/>
                <w:szCs w:val="18"/>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1、凳面：采用高密度PP材质的凳面，直径</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320mm，凳面表层有颗粒凸起（乳白色），起到按摩抗疲劳作用。凳面下装有壁厚为1.8mm厚直径为160mm钢板托盘，使得凳子更加稳固。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2、凳脚：4个凳脚采用</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16×36×1.8mm的冷轧钢管一次弯曲成型，全自动焊接机械手焊接，焊点准确且均匀，四脚配耐磨脚垫，防滑消音，保护地板。质量稳定，坚固耐用，美观大方。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3、结构：由螺杆带动升降，升降范围不小于450mm-520mm，凳面与凳脚留有一定的空间便于凳子挂在挂凳扣上，方便教室的打扫。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4、制作工艺：1. 采用二氧化碳保护焊。2. 涂层:经过磷化、酸洗、除油、除锈处理，再经全自动喷涂机械手喷环氧树脂金属粉末喷涂，经高温固化成光滑表面。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5、依据QB/T 4071-2021《课桌椅》，实验凳力学性能满足以下要求：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5.1、凳子任意方向倾翻，检测结果：符合要求。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5.2、座面、椅背联合静载荷，检测结果：符合要求。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5.3、座面、椅背联合耐久性，检测结果：符合要求。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5.4、座面侧向静载荷（中学用），检测结果：符合要求。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5.5、椅腿向前静载荷，检测结果：符合要求。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5.6、椅腿侧向静载荷，检测结果：符合要求。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5.7、座面冲击（中学用），检测结果：符合要求。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5.8、椅腿跌落，检测结果：符合要求。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1、尺寸：≥1320*900*450mm。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2、材质：采用18㎜厚E1级三聚氰胺板，其截面用1.2㎜厚PVC封边条机械高温热熔胶封边。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3、功能：配置PE收纳盒，可收纳各种教学用具。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收纳柜（带收纳盒）B</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1、尺寸：≥1320*900*450mm。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2、材质：采用18㎜厚E1级三聚氰胺板，其截面用1.2㎜厚PVC封边条机械高温热熔胶封边。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3、功能：配置PE收纳盒，可收纳各种教学用具。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组合高柜A</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1.尺寸及组合方式：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1000*600*2000mm（配活动柜，多用途收纳盒柜体，洞洞板，吊柜）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2.主要材质：颗粒板+钢板+塑料收纳盒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①洞洞板：采用1.0mm（±0.1mm）厚钢板，表面冲方形孔，四周经过2次折弯工艺防止割手。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②多用途柜体：台面板采用E1级25mm厚，钢脚封板采用16mm厚的环保饰面刨花板，整体板面正负误差在0.3mm以内，PVC同色封边；</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组合高柜B</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ind w:left="0" w:right="0"/>
              <w:jc w:val="left"/>
              <w:keepLines w:val="0"/>
              <w:keepNext w:val="0"/>
              <w:spacing w:before="0" w:beforeAutospacing="0" w:after="0" w:afterAutospacing="0" w:line="360" w:lineRule="atLeast"/>
              <w:widowControl/>
              <w:rPr>
                <w:rFonts w:hint="eastAsia" w:ascii="宋体" w:hAnsi="宋体" w:eastAsia="宋体" w:cs="宋体"/>
                <w:i w:val="0"/>
                <w:iCs w:val="0"/>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尺寸及组合方式：</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1000*600*2000m（配下柜，多用途收纳盒柜体，吊柜）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2.材质及工艺：</w:t>
            </w:r>
            <w:r/>
          </w:p>
          <w:p>
            <w:pPr>
              <w:numPr>
                <w:ilvl w:val="0"/>
                <w:numId w:val="0"/>
              </w:numPr>
              <w:ind w:left="0"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1.柜体板材：柜体主板采用厚度≥16mm环保饰面实木颗粒板，板材环保等级达到E1级；板材表面具备优异耐磨、耐污、抗形变性能，表面硬度达标，长期使用不易发黄变色，适配实验室高频教学使用场景。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u w:val="none"/>
                <w:lang w:val="en-US" w:eastAsia="zh-CN" w:bidi="ar"/>
              </w:rPr>
              <w:t xml:space="preserve">封边工艺：板材采用PVC专用封边条，搭配PUR热熔胶封边工艺；相较于普通封边工艺，PUR热熔胶具备更优耐热、耐寒、耐水汽、耐化学试剂及耐溶剂性能，粘结牢固度更强。封边后板材与封边条无缝贴合，密封性优异，可有效阻隔水汽、粉尘及腐蚀性污染物渗入板材内部，提升柜体整体防潮防水性能，同时满足室内环保使用要求，柜体外观平整美观。</w:t>
            </w:r>
            <w:r/>
          </w:p>
          <w:p>
            <w:pPr>
              <w:numPr>
                <w:ilvl w:val="0"/>
                <w:numId w:val="0"/>
              </w:numPr>
              <w:ind w:left="0" w:right="0" w:firstLine="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lang w:val="en-US" w:eastAsia="zh-CN" w:bidi="ar"/>
              </w:rPr>
              <w:t xml:space="preserve">2.</w:t>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u w:val="none"/>
                <w:lang w:val="en-US" w:eastAsia="zh-CN" w:bidi="ar"/>
              </w:rPr>
              <w:t xml:space="preserve">铰链配件：柜门配备缓冲阻尼铰链，开合静音、缓冲效果良好，可避免柜门碰撞损伤，使用寿命长，适配长期反复开关使用。</w:t>
            </w:r>
            <w:r/>
          </w:p>
          <w:p>
            <w:pPr>
              <w:numPr>
                <w:ilvl w:val="0"/>
                <w:numId w:val="0"/>
              </w:numPr>
              <w:jc w:val="left"/>
              <w:keepLines w:val="0"/>
              <w:keepNext w:val="0"/>
              <w:spacing w:line="360" w:lineRule="atLeast"/>
              <w:widowControl/>
              <w:rPr>
                <w:rFonts w:hint="eastAsia" w:ascii="宋体" w:hAnsi="宋体" w:eastAsia="宋体" w:cs="宋体"/>
                <w:i w:val="0"/>
                <w:iCs w:val="0"/>
                <w:color w:val="000000"/>
                <w:sz w:val="18"/>
                <w:szCs w:val="18"/>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18"/>
                <w:szCs w:val="18"/>
                <w:u w:val="none"/>
                <w:lang w:val="en-US" w:eastAsia="zh-CN" w:bidi="ar"/>
              </w:rPr>
              <w:t xml:space="preserve">2.</w:t>
            </w:r>
            <w:r>
              <w:rPr>
                <w:rFonts w:hint="eastAsia" w:ascii="宋体" w:hAnsi="宋体" w:eastAsia="宋体" w:cs="宋体"/>
                <w:color w:val="000000"/>
                <w:sz w:val="18"/>
                <w:szCs w:val="18"/>
                <w:u w:val="none"/>
                <w:lang w:val="en-US" w:eastAsia="zh-CN" w:bidi="ar"/>
              </w:rPr>
              <w:t xml:space="preserve">4.收纳组件：柜体标配6组PP材质专用收纳盒，可分类存放各类教学教具、实验耗材、工具配件；收纳盒配套专用静音滑轨，抽拉顺畅无卡顿，承重性能稳定，满足日常教具收纳与便捷取用需求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1400*600*750mm±10mm；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2.材质：橡胶木实木+钢架；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3.工艺：桌面采用厚25mm实木，使用天然植物精炼木蜡油经反复打磨、浸润、擦拭、上光制成；桌架横梁: 2</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5*50*1.5mm，桌腿：</w:t>
            </w: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 30*60*1.5mm，采用钢架，满焊焊接而成，表面采用高温粉体烤漆，耐腐蚀，不易生锈，不含有害物质。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4.功能：天然实木，木质坚韧，耐腐蚀性强，用于存放设计小型木工机械设备：砂带机、小带锯、台钻、台式拉花锯、抛光机、砂轮砂带机等，适合多人小组活动。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课程资源平台（STEM应用云平台系统）</w:t>
            </w:r>
            <w:r>
              <w:rPr>
                <w:rFonts w:hint="eastAsia" w:ascii="宋体" w:hAnsi="宋体" w:eastAsia="宋体" w:cs="宋体"/>
                <w:i w:val="0"/>
                <w:iCs w:val="0"/>
                <w:color w:val="000000"/>
                <w:sz w:val="18"/>
                <w:szCs w:val="18"/>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集课程、学习、教材于一体的线上课程平台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1.系统底层框架服务采用分散式运算模式具有High Availability 高可用性、High Performance 高性能、Scalability 可扩展性多机房部署负载均衡弹性伸缩服务ESS、高速存储CND、服务器集群容器服务Kubernetes、数据备份、异地容灾、网络安全、监控与报警具有数据安全服务、课程服务、信息服务的挖掘、分析、融合、可视化推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2.系统开发语言采用数据库MongoDB后端服务Node.js(高性能网络服务器后端服务) React.js语言（Web响应式应用程序）具有高性能安全响应，防止泄露、串改，不良信息录入攻击等可控性，同时增强系统变更和维护的灵活性和扩展性。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3.用户注册登录：平台通过教师端口进行注册登录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4.可支持多种课程应用，课程格式分word Excel ppt，也可集成视频课程资源及素材资源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5.课程组成部分内容： 课程教案、课程讲义、活动手册、搭建步骤、素材材料、视频等，可在线播放视频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6.可以让老师学生进行线上课程展示教学，课前教师备课，课中课程内容展示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7.在线课堂交互式教学PPT/Word/PDF一键解析、一键全屏、动态视频播放，使课堂教学与在线课程完美打通，适配教室一体机免安装登录浏览器使用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项</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二、金工、木工、教室</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实验室基础装备</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1.材质：金属、环保PP塑料、海绵</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人体工艺学设计。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.底座采用精钢材质 五星脚底支柱，抗氧电镀工艺，双重淬火，抗压性强。SGS精钢氮气防爆气泵，使用安全，承重力增强。五脚PU万向滑轮，流畅静音使用寿命长，不伤地板。                                                                                                     </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color w:val="000000"/>
                <w:sz w:val="18"/>
                <w:szCs w:val="18"/>
                <w:u w:val="none"/>
                <w:lang w:val="en-US" w:eastAsia="zh-CN" w:bidi="ar"/>
              </w:rPr>
              <w:t xml:space="preserve">采用一体成型高密度高回弹聚氨酯泡棉，整体采用模具一体发泡工艺制作，产品整体造型规整美观，整体尺寸精度高、形变率低，尺寸稳定性优异；泡棉材质透气性能良好，触感柔软舒适，整体环保；具备良好的腰部支撑性能，可有效贴合人体腰部曲线，起到防护支撑作用，适配长时间教学实训使</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流线型防滑扶手，一键升降开关，一体成形设计支撑稳固。底部直径≥60cm，升降范围42-50cm，人体接触面积≥48cm*50cm，总高111-119cm，低背标准型。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18"/>
                <w:szCs w:val="18"/>
                <w:u w:val="none"/>
                <w:lang w:val="en-US" w:eastAsia="zh-CN" w:bidi="ar"/>
              </w:rPr>
              <w:t xml:space="preserve">规格：≥2400*700*780mm；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1、台面：采用≥40mm厚机制实木橡木齿接板精制加工，硬度高，强度大，不易变形；柜身：主材采用≥16mm三聚氰胺板。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w:t>
            </w:r>
            <w:r>
              <w:rPr>
                <w:rFonts w:hint="eastAsia" w:ascii="宋体" w:hAnsi="宋体" w:eastAsia="宋体" w:cs="宋体"/>
                <w:color w:val="000000"/>
                <w:sz w:val="18"/>
                <w:szCs w:val="18"/>
                <w:u w:val="none"/>
                <w:lang w:val="en-US" w:eastAsia="zh-CN" w:bidi="ar"/>
              </w:rPr>
              <w:t xml:space="preserve">2.1. 柜体板材：柜体主板采用厚度≥16mm环保饰面实木颗粒板，板材环保等级达到E1级；板材表面具备优异耐磨、耐污、抗形变性能，表面硬度达标，长期使用不易发黄变色，适配实验室高频教学使用场景。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2.2. 封边工艺：板材采用PVC专用封边条，搭配PUR热熔胶封边工艺；相较于普通封边工艺，PUR热熔胶具备更优耐热、耐寒、耐水汽、耐化学试剂及耐溶剂性能，粘结牢固度更强。封边后板材与封边条无缝贴合，密封性优异，可有效阻隔水汽、粉尘及腐蚀性污染物渗入板材内部，提升柜体整体防潮防水性能，同时满足室内环保使用要求，柜体外观平整美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2.3. 铰链配件：柜门配备缓冲阻尼铰链，开合静音、缓冲效果良好，可避免柜门碰撞损伤，使用寿命长，适配长期反复开关使用。</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2.4. 收纳组件：柜体标配6组PP材质专用收纳盒，可分类存放各类教学教具、实验耗材、工具配件；收纳盒配套专用静音滑轨，抽拉顺畅无卡顿，承重性能稳定，满足日常教具收纳与便捷取用需求。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2.5. 缓冲泡棉材质要求：采用一体成型高密度高回弹聚氨酯泡棉，整体采用模具一体发泡工艺制作，产品整体造型规整美观，整体尺寸精度高、形变率低，尺寸稳定性优异；泡棉材质透气性能良好，触感柔软舒适，整体环保；具备良好的腰部支撑性能，可有效贴合人体腰部曲线，起到防护支撑作用，适配长时间教学实训使用场景。</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2.6. 台身整体结构：设备台身采用稳固钢木结构设计，整体承载力强，结构稳定性佳；支撑立腿选用规格不小于40mm×60mm、型材壁厚不小于1.2mm的金属型材，型材表面经过静电喷塑或高温烤漆防腐处理，防锈耐刮，适配实验室复杂使用环境。</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2.7. 柜体配置：台面下方内置抽屉式教师专用主控电源，同时配备大容量宽大储物柜橱；柜橱板材采用厚度≥16mm环保型三聚氰胺板材，板材截面采用PVC封边条全自动机械封边，密封性良好。</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2.8. 桌体面板工艺：桌体板材采用厚度≥16mm、E1级环保三聚氰胺双贴面饰面板材；板材全部截面统一采用全自动封边机搭配高温热熔工艺进行PVC封边处理，封边与板材结合紧实无缝隙，防水防渗性能优异，产品经久耐用，整体外观整洁美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2.9. 框架表面处理：金属框架整体表面采用纯环氧树脂塑粉高温固化处理，具备优良的耐酸碱、防腐蚀性能，同时整体结构承重能力优异，满足长期实训设备摆放与教具承重需求。</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000000"/>
                <w:sz w:val="18"/>
                <w:szCs w:val="18"/>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2.10. 整体装配与连接件：桌体采用模块化拆装结构，现场组装便捷，装配间隙小、整体拼接紧密牢固；全部连接配件均选用高品质专用五金连接件，结构稳固不易松动。</w:t>
            </w:r>
            <w:r/>
          </w:p>
          <w:p>
            <w:pPr>
              <w:numPr>
                <w:ilvl w:val="0"/>
                <w:numId w:val="0"/>
              </w:numPr>
              <w:jc w:val="left"/>
              <w:keepLines w:val="0"/>
              <w:keepNext w:val="0"/>
              <w:spacing w:line="360" w:lineRule="atLeast"/>
              <w:widowControl/>
              <w:rPr>
                <w:rFonts w:hint="eastAsia" w:ascii="宋体" w:hAnsi="宋体" w:eastAsia="宋体" w:cs="宋体"/>
                <w:i w:val="0"/>
                <w:iCs w:val="0"/>
                <w:color w:val="000000"/>
                <w:sz w:val="22"/>
                <w:szCs w:val="22"/>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18"/>
                <w:szCs w:val="18"/>
                <w:u w:val="none"/>
                <w:lang w:val="en-US" w:eastAsia="zh-CN" w:bidi="ar"/>
              </w:rPr>
              <w:t xml:space="preserve">2.11. 可调脚垫：桌体底部配备ABS工程塑料防滑脚垫，脚垫支持高度调节，可适配不同地面平整度，保障台身摆放平稳，同时可隔绝地面潮气，保护桌体底部板材。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3、链接件：五金件连接件组装。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4、脚垫：ABS工程注塑。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教师操作台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themeColor="text1"/>
                <w:sz w:val="18"/>
                <w:szCs w:val="18"/>
                <w:u w:val="none"/>
                <w:lang w:val="en-US" w:eastAsia="zh-CN" w:bidi="ar"/>
              </w:rPr>
              <w:t xml:space="preserve">≥</w:t>
            </w:r>
            <w:r>
              <w:rPr>
                <w:rFonts w:hint="eastAsia" w:ascii="宋体" w:hAnsi="宋体" w:eastAsia="宋体" w:cs="宋体"/>
                <w:i w:val="0"/>
                <w:iCs w:val="0"/>
                <w:color w:val="000000" w:themeColor="text1"/>
                <w:sz w:val="18"/>
                <w:szCs w:val="18"/>
                <w:u w:val="none"/>
                <w:lang w:val="en-US" w:eastAsia="zh-CN" w:bidi="ar"/>
              </w:rPr>
              <w:t xml:space="preserve">1400×600×780mm（以学校实际情况为准）；钢木结构。①台面为40mm</w:t>
            </w:r>
            <w:r>
              <w:rPr>
                <w:rFonts w:hint="eastAsia" w:ascii="宋体" w:hAnsi="宋体" w:eastAsia="宋体" w:cs="宋体"/>
                <w:i w:val="0"/>
                <w:iCs w:val="0"/>
                <w:color w:val="000000"/>
                <w:sz w:val="18"/>
                <w:szCs w:val="18"/>
                <w:u w:val="none"/>
                <w:lang w:val="en-US" w:eastAsia="zh-CN" w:bidi="ar"/>
              </w:rPr>
              <w:t xml:space="preserve">厚硬实木齿接板材表面涂环保亚光清漆；②桌面铺设3mm厚水晶防护垫，耐酸碱防腐蚀、耐磨抗污抗冲击，有效减少噪音污染；③台身：立腿采用规格不小于40×60mm、壁厚不小于2mm金属型材经喷塑或烤漆处理,含有独立分类工具柜,材质18mm厚环保型三聚氰胺板,截面用PVC封边条机械封边；④桌脚下配橡胶减震垫，嵌入式防水电源插座220V五眼（有安全防护盖及开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规格：≥2400mm（L）×1200mm（W）×780mm（H）双面8人用。台面：采用≥40mm厚樟子松实木板加工，桌面铺设透明水晶胶。桌身:采用≥60×40mm方钢烤漆骨架，带抽屉和底柜。</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配套硬实木台面公共工具柜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1、台面：采用≥25mm厚机制实木橡木齿接板精制加工，木质颜色自然，台面表面清漆处理，清漆表面光滑，平整光亮，硬度高，强度大，具有耐磨、耐压、附撞击等特点，不易变形；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2、主体：台身采用钢木结构，立腿均采用规格不小于40×60mm、壁厚不小于1.2mm金属型材经喷塑或烤漆处理,不允许有喷涂层脱落、鼓泡、凹陷、压痕以及表面划伤、麻点、裂痕、崩角和刃口等；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3、柜体：材质≥16mm厚环保型三聚氰胺板,表面经纯环氧树脂塑粉高温固化处理，具防酸碱、防腐蚀的特点；对板材所有截面采用PVC封边条用全自动封边机经高温热熔进行封边；整体拆装结构。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4、链接件：五金件连接件组装。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5、脚垫：ABS工程注塑。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6、结构：桌子配有两个学生电源，置于桌身两侧中间，下面带有双开门储物柜，铝合金拉手。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1、规格：≥340*240*450mm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2、凳面采用环保E1级双饰面≥25mm三聚氰胺板材，板材耐磨，耐划，硬度高，不易变形，圆角处理。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3、凳面外露截面选用PVC封边条，厚度≥1.5mm，高温封边一次成型，利用机械封边机配以热溶胶高温封边，密封性高。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4、凳架为≥20*20mm方管厚度≥1.2mm，经酸洗磷化、除油除锈、静电喷涂、高温处理而成。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5、ABS注塑脚垫，</w:t>
            </w:r>
            <w:r>
              <w:rPr>
                <w:rFonts w:hint="eastAsia" w:ascii="宋体" w:hAnsi="宋体" w:cs="宋体"/>
                <w:i w:val="0"/>
                <w:iCs w:val="0"/>
                <w:color w:val="000000"/>
                <w:sz w:val="18"/>
                <w:szCs w:val="18"/>
                <w:u w:val="none"/>
                <w:lang w:val="en-US" w:eastAsia="zh-CN" w:bidi="ar"/>
              </w:rPr>
              <w:t xml:space="preserve">配相应</w:t>
            </w:r>
            <w:r>
              <w:rPr>
                <w:rFonts w:hint="eastAsia" w:ascii="宋体" w:hAnsi="宋体" w:eastAsia="宋体" w:cs="宋体"/>
                <w:i w:val="0"/>
                <w:iCs w:val="0"/>
                <w:color w:val="000000"/>
                <w:sz w:val="18"/>
                <w:szCs w:val="18"/>
                <w:u w:val="none"/>
                <w:lang w:val="en-US" w:eastAsia="zh-CN" w:bidi="ar"/>
              </w:rPr>
              <w:t xml:space="preserve">五金配件。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工具墙、柜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1800*450*2000MM ；材质采用18MM厚环保型三聚氰胺板，截面用PVC封边条机械封边，上部根据需要设置各种挂钩，定位挂放工具，便于取用及管理。下部为板式对开门，内设活动隔板层。所用板材符合国家E1级标准，放置教室侧面和后面。</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作品陈列柜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约1000*420*2000，铝合金框架结构，基材采用三聚氰胺板，上部为铝合金玻璃门，有玻璃活动隔板，下部为木质对开门有隔板。放置演示仪器、学生作品等。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1、钣金一体化金属机箱，全封闭半透明亚克力封闭，前侧带透明亚克力门，防止空气对流，便于学生观察打印状态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2、≥3.2寸彩色触控屏，支持usb2.0联机打印，TF卡一键打印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3、打印尺寸规格：≥200*200*200mm，层厚可分0.05，0.1,0.2,0.3mm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4、支持断电续打，断料检测，断点续打功能，四点智能调平功能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5、航空级一体化220V开关，一键开启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6、高精度挤出电机，定位精度不大于0.01mm，Z轴采用不少于4头一体化丝杆电机，定位精度不大于0.0025mm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7、支持PLA，ABS，wood，TPU（软料），PETG,HIPS,碳纤维，大理石材质，闪耀，导电等10多种材料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8、一键LED开关，内部照明</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9、一体化T型丝杆传动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10、磁吸式平台，方便取模型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3D打印机</w:t>
            </w:r>
            <w:r>
              <w:rPr>
                <w:rFonts w:hint="eastAsia" w:ascii="宋体" w:hAnsi="宋体" w:eastAsia="宋体" w:cs="宋体"/>
                <w:i w:val="0"/>
                <w:iCs w:val="0"/>
                <w:color w:val="auto"/>
                <w:sz w:val="18"/>
                <w:szCs w:val="18"/>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1.线径规格：</w:t>
            </w: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1.75mm；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2.净重规格：</w:t>
            </w: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1kg；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3.打印温度：190℃-220℃范围；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4.产品性能：抗冲击性、韧性、流动性、透光性；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5.不低于18个颜色可选：本色、白、黄、绿、蓝、玫红、红、橙、紫、灰、棕、黑、金、银、夜光绿、夜光蓝、透明黄、透明蓝、透明绿等。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卷</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3D</w:t>
            </w:r>
            <w:r>
              <w:rPr>
                <w:rFonts w:hint="eastAsia" w:ascii="宋体" w:hAnsi="宋体" w:eastAsia="宋体" w:cs="宋体"/>
                <w:i w:val="0"/>
                <w:iCs w:val="0"/>
                <w:color w:val="auto"/>
                <w:sz w:val="18"/>
                <w:szCs w:val="18"/>
                <w:u w:val="none"/>
                <w:lang w:val="en-US" w:eastAsia="zh-CN" w:bidi="ar"/>
              </w:rPr>
              <w:t xml:space="preserve">教学资源库</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采用便携式手提铝合金箱体，箱体材料为铝合金边框，箱体尺寸</w:t>
            </w:r>
            <w:r>
              <w:rPr>
                <w:rFonts w:hint="eastAsia" w:ascii="宋体" w:hAnsi="宋体" w:eastAsia="宋体" w:cs="宋体"/>
                <w:i w:val="0"/>
                <w:iCs w:val="0"/>
                <w:color w:val="ff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580mm×500mm×180mm。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内含：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1、3D打印模型修补粉专用胶：≥100ml模型经开裂修补粉修补后在长期日照或者潮湿情况下会产生脱落情况，搭配使用修补胶可有效避免脱落；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2、3D打印模型修补粉：≥500g白色修补专用粉产品环保健康，加水搅拌均匀后，放置10分钟，再进行搅拌即可使用，直接涂于模型开裂出，涂抹填实。等干后用砂纸打磨平滑，用于模型修复使用；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3、3D打印抛光剂：≥500ml容量；可用于PLA和ABS材质抛光。用于去除PLA模型和ABS的模型的表面瑕疵，微小裂纹等，使表面平滑。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4、3D打印模型美化漆：黑色、亚光黑、白色、绿色、黄色、银色、蓝色、灰色。金色、咖啡色等等颜色多样，≥250ml容量。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5、3D打印机送丝管：PTFE导料管，1.75mm打印耗材配套装置。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6、3D打印机喷嘴清理不锈钢针：不锈钢材质，打印机喷嘴、喷头清理专用。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7、3d打印模型处理工具包：雕刻刀、细砂纸、软毛刷，铲刀、平锉、圆锉、镊子、胶带等打印机配套用具。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cs="宋体"/>
                <w:i w:val="0"/>
                <w:iCs w:val="0"/>
                <w:color w:val="000000"/>
                <w:sz w:val="18"/>
                <w:szCs w:val="18"/>
                <w:highlight w:val="none"/>
                <w:u w:val="none"/>
                <w:lang w:val="en-US" w:eastAsia="zh-CN" w:bidi="ar"/>
              </w:rPr>
              <w:t xml:space="preserve">提供</w:t>
            </w:r>
            <w:r>
              <w:rPr>
                <w:rFonts w:hint="eastAsia" w:ascii="宋体" w:hAnsi="宋体" w:eastAsia="宋体" w:cs="宋体"/>
                <w:i w:val="0"/>
                <w:iCs w:val="0"/>
                <w:color w:val="000000"/>
                <w:sz w:val="18"/>
                <w:szCs w:val="18"/>
                <w:highlight w:val="none"/>
                <w:u w:val="none"/>
                <w:lang w:val="en-US" w:eastAsia="zh-CN" w:bidi="ar"/>
              </w:rPr>
              <w:t xml:space="preserve">精美3D打印作品不少于18件。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9、虚拟模型库（不少于2000件各种类型的虚拟模型数据文件，导入到3D打印机可以直接进行打印）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重型货架，按≥2000mm×500mm×2000mm要求制作,钢架五层,拼插自由组合式，每层高自行调节。</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磁吸式库存标签卡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规格：≥50mm*100mm，四磁型。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片</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设计综合示教平台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二维设计教学软件：1.全中文操作界面。2.提供包括渐变色在内的丰富填充功能。3.提供可用于打包、网络传递的电子传递功能，便于教师批阅处理文件。4.提供可理解命令实时操作的动态提示功能。5.能把操步骤记录为脚本文件，文件可以编辑，并可以进行回放，可以更直观的看到画图的步骤。6.提供方便易用、高质量的，包括渐变色在内的丰富的区域填充功能。三维设计教学软件：1.根据三维实体，自动生成三视图；2.配合套套件产品形态。具有智能设计中心、多功能计算器、电子传递、</w:t>
            </w:r>
            <w:r>
              <w:rPr>
                <w:rFonts w:hint="eastAsia" w:ascii="宋体" w:hAnsi="宋体" w:eastAsia="宋体" w:cs="宋体"/>
                <w:i w:val="0"/>
                <w:iCs w:val="0"/>
                <w:color w:val="000000"/>
                <w:sz w:val="18"/>
                <w:szCs w:val="18"/>
                <w:u w:val="none"/>
                <w:lang w:val="en-US" w:eastAsia="zh-CN" w:bidi="ar"/>
              </w:rPr>
              <w:t xml:space="preserve">教学图形素材库等功能；3.提供鸟瞰视图功能，可快速平移和缩放窗口；4.具备三维实体的渲染、材质、背景、光源等功能。5.可利用“边学边用”功能来进行教学辅助。结构设计教学软件：1.可对结构体进行力学分析以及全方位观察；2.具备多种结构绘图工具，可绘制各种结构图、流程图、控制图；3.能够完成建筑平面的快速绘制，可进行轴网、墙体、梁等的绘制；4.集成多种建筑结构规范查询功能。技术与设计教学指导软件：1.配备教学中涉及使用的大量图形图库及重要素材。2.提供有声演示视频，软件功能教学视频。3.配合教学的课程开展课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吸尘器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工作电压：220V；功率：≥1200W；真空度：N15.5Kpa；噪音：W80DB；桶身材料：不锈钢≥15L容量；类型：干湿两用。配套辅助材料工具，不少于6个。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教室标牌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KT板或亚克力材质，规格≥260mm*160mm。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KT板或亚克力材质，规格≥260mm*160mm。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通用技术实验室简介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4副制作室介绍（与制作室功能氛围相匹配，车床和钻铣床介绍1副、车床和钻铣床操作规范1副、技术创新发明1副、趣味工业设计1副），尺寸≥800mm*600mm，材质为KT板。（可根据客户定制）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三维抛光机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（PLA模型专用）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整体规格：≥423*210*321mm，工作容器尺寸：≥325*176*200mm。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工作电压：220V，额定功率：≥200W。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金属外壳材质，表面烤漆工艺，安全环保，采用加热抛光技术。</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大型加工教学辅助设备与材料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激光切割雕刻机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一、机器性能：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应用于布料、皮革、亚克力、教育创客、木板、石头等非金属材料的使用</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体积参数：≥1100*750*910mm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重量：≥100KG</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激光类型：CO2激光器</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激光功率：≥80W</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切割面积：≥400*600mm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雕刻速度：0-800mm/s</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切割速度：0-200mm/s</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重复精度：±0.05mm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运动系统：CNC控制系统、采用XY轴外滑导轨、平台最大升降高度≥25cm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冷却方式：强制水冷及保护系统</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工作电压：220±10% 50HZ/60HZ</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整机功率：≥1000w</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工作温度：0℃-45℃</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工作湿度：5%-95%</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控制软件：正版激光软件</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支持格式：CAD、CDR、AI可直接输出、兼容BMP、PLT、DXF等格式                                                             </w:t>
            </w:r>
            <w:r/>
          </w:p>
          <w:p>
            <w:pPr>
              <w:jc w:val="left"/>
              <w:keepLines w:val="0"/>
              <w:keepNext w:val="0"/>
              <w:widowControl/>
              <w:rPr>
                <w:rFonts w:hint="eastAsia"/>
                <w:sz w:val="18"/>
                <w:szCs w:val="18"/>
                <w:highlight w:val="none"/>
              </w:rPr>
              <w:suppressLineNumbers w:val="0"/>
            </w:pPr>
            <w:r>
              <w:rPr>
                <w:rFonts w:hint="eastAsia" w:ascii="Calibri" w:eastAsia="宋体"/>
                <w:sz w:val="18"/>
                <w:szCs w:val="18"/>
                <w:highlight w:val="none"/>
                <w:lang w:val="en-US" w:eastAsia="zh-CN"/>
              </w:rPr>
              <w:t xml:space="preserve">二</w:t>
            </w:r>
            <w:r>
              <w:rPr>
                <w:rFonts w:hint="eastAsia"/>
                <w:sz w:val="18"/>
                <w:szCs w:val="18"/>
                <w:highlight w:val="none"/>
              </w:rPr>
              <w:t xml:space="preserve">、课程目录及相关硬件参数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1、创意直尺：流苏吊坠*1；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2、DIY创客时钟：时钟机芯、干电池*1；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3、智能验钞机：紫外LED传感器*1、干电池*2、双节电池盒*1、开关*1、2pin xh2.54mm双头连接线*1；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4、微型小风扇：TT小电机*1、扇叶*1、双节电池盒*1、干电池*2、开关*1；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5、翻转机器人：减速电机*1、开关*1、干电池*2、双节电池盒*1、转接轴*2、软套塞*4；</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6、双足机器人：减速电机*1、开关*1、干电池*2、双节电池盒、偏心轮*2、M2*10自攻螺丝*4、M3*30螺丝*2、M3螺母*2、T型空心橡胶塞*4、车轴*1；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7. 小马机器人：减速电机*1、开关*1、干电池*2、双节电池盒*1、偏心轮*2、M2*10自攻螺丝*4、M3*30螺丝*2、M3螺母*2、T型空心橡胶塞*4、铆钉*4 、车轴*1；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8、旋转木马：彩色LED传感器*1、减速电机*1、M3*30螺丝*2、M3螺母*6、双节电池盒*1、干电池*2、减速电阻开关（开关包含减速可旋钮调节电阻）*1、2p连接线*1、M3*10螺丝*4；</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9、空气加湿器：雾化片*1、雾化片驱动板*1、棉芯*1、usb连接线*1；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10、梦幻电子琴：电子琴主板（含按键以及蜂鸣器发生部分）*1、三节电池盒*1、电池*3、开关*1、2pin xh2.54mm双头连接线*1；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11、光敏小夜灯：光敏传感器*1、RGB灯带*1、主控板（可通过拨动开关挡位调用不同的程序，无需编程）、按键传感器*1、4pin xh2.54mm双头连接线*1、M3*10螺丝*7、M3螺母*7、4pin转3pin xh2.54连接线*1；</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12、智能垃圾桶：舵机传感器*1、超声波传感器*1、合页*1、主控板（可通过拨动开关挡位调用不同的程序，无需编程）*1、4pin xh2.54mm双头连接线*1、m3*10螺丝*10、M3螺母*10、M2*10自攻螺丝*2；</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13、开关具有正反接xh2.54mm防呆输出接口与ph2.0mm电源防呆输入接口，小电机与直流电机具有xh2.54mm防呆接线端子，单节与双节电池盒具有ph2.0mm电源防呆接线端子，防呆接口的设计是为了方便学生在教学使用中插反，防止电路短接等故障，需提供开关传感器图片并进行标记以说明；</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14、激光切割机电子设计套件包括激光切割机电子设计套件纸质教程1本，课程材料包2盒及其相关课程配件，干电池1盒，电池盒1盒，课程作品清单等。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小型铣床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交流220V，50HZ，主轴转速为无级调速，立柱可左右倾斜45度。Y轴(台面移动距离):≥221mm,X轴(床鞍移动距离):≥100mm，Z轴(主轴移动距离):≥180mm,功率:≥350W,主轴转速:低速0-1100转/分,高速0-2500转/分。钻孔容量:≥13mm,端面铣容量:≥13mm,表面铣容量：≥30mm。重量：约80Kg，尺寸：≥560*500*740mm。配备机用快速平口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电源：交流220V，50HZ，主轴转速为无级调速，紧急拍停开关、速度无级可调、四点式转动刀架、全套变速齿轮、高精确度</w:t>
            </w:r>
            <w:r>
              <w:rPr>
                <w:rFonts w:hint="eastAsia" w:ascii="宋体" w:hAnsi="宋体" w:eastAsia="宋体" w:cs="宋体"/>
                <w:i w:val="0"/>
                <w:iCs w:val="0"/>
                <w:color w:val="000000"/>
                <w:sz w:val="18"/>
                <w:szCs w:val="18"/>
                <w:u w:val="none"/>
                <w:lang w:val="en-US" w:eastAsia="zh-CN" w:bidi="ar"/>
              </w:rPr>
              <w:t xml:space="preserve">。主要用于各类切削加工，可以用来车外圆、端面、钻孔、镗孔及车削螺纹。可以用于精密密件的加工、样品的加工和模型的加工等。主轴精度不高于0.01mm,床身上最大旋转直径≥180mm,横向拖板上最大旋转直径≥110mm,两顶尖距离≥300mm,主轴通孔直径≥20mm,主轴内孔莫氏锥度MT#3,尾轴孔莫氏锥度MT#2,主轴转速范围0-2500转数/分；输出功率≥400w,螺纹加工范围公制：0.5-2.5mm（10种螺纹齿距）,净重约38kg尺寸≥760*305*315mm。配备11件钢头车刀、座钻夹头和呆顶尖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多功能无尘台锯机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1、电压：220-240V~50/60Hz；功率：≥1500W。                                                                                                                      2、分料刀厚度：≥2.0mm；空载转速：≥4500</w:t>
            </w:r>
            <w:r>
              <w:rPr>
                <w:rFonts w:hint="eastAsia" w:ascii="宋体" w:hAnsi="宋体" w:eastAsia="宋体" w:cs="宋体"/>
                <w:i w:val="0"/>
                <w:iCs w:val="0"/>
                <w:color w:val="000000"/>
                <w:sz w:val="18"/>
                <w:szCs w:val="18"/>
                <w:u w:val="none"/>
                <w:lang w:val="en-US" w:eastAsia="zh-CN" w:bidi="ar"/>
              </w:rPr>
              <w:t xml:space="preserve">/min；锯片最大直径：≥210mm；锯片内孔：≥25.4mm；锯片角度调节范围：0°-45°；90°最大切割深度：≥70mm；45°最大切割深度：≥50mm。最大切割木材厚度≥55毫米，下部配有吸尘器转接口，用于外接吸尘器，吸尘效果好。                                                                                                                        3、锯片可升降可45度倾斜，自由调</w:t>
            </w:r>
            <w:r>
              <w:rPr>
                <w:rFonts w:hint="eastAsia" w:ascii="宋体" w:hAnsi="宋体" w:eastAsia="宋体" w:cs="宋体"/>
                <w:i w:val="0"/>
                <w:iCs w:val="0"/>
                <w:color w:val="000000"/>
                <w:sz w:val="18"/>
                <w:szCs w:val="18"/>
                <w:u w:val="none"/>
                <w:lang w:val="en-US" w:eastAsia="zh-CN" w:bidi="ar"/>
              </w:rPr>
              <w:t xml:space="preserve">节角度适应不同木质材料的切割特性。方便平面切割踢脚线和开制卯结构件；硬管链接，推板和靠板辅助切割，钢结构外壳+不锈钢切割台面，和新型方榫开榫机配合，能够方便进行木工工艺个榫卯教学和实践。                                                                                                                             4、全金属材质，表面静电喷漆，光滑细腻，色彩鲜艳,配有带有刻度安全防护推板。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小型台钻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额定电压:220V，额定频率：50HZ，额定输入功率：≥350W，工作台面:≥160×160mm，主轴最大行程:≥50mm,最大钻孔直径：≥13mm，5档变速：740-3140转/min，机器尺寸：≥580*290*185mm，配备快速平口钳，13件钻头套装。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压：220v，功率：≥180W，可调节转速：400-1600r/min。切厚：≥50mm；喉深：≥406mm；锯条规格：128-133mm；全金属结构；产品工作台可向左倾斜0～45度。可以加这个倾斜范围内的角度。产品带安全防护罩，在切割的时候可以有效地防止加工件的跳跃。带LED工作照明灯，另带机器无极转速调节旋钮，切割速度可随意调节。规格尺寸：≥620*284*365mm，另配锯条夹头，专用锯条不少于10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微型带锯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额定功率：≥350W；最大调节高度：≥85mm；最大切割宽度：≥200mm；台面尺寸：≥300*300mm；机器重：16kg±3kg；锯条规格：不小于1400*6.5*0.35mm；全铝台面，双面刻度，搭配全体靠山，台面角度：45度可以调节。</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工业台式，非手持式。额定电压：220V；额定频率：50HZ；额定功率：≥120W；砂轮外径≥125mm，厚度≥16mm，两侧砂轮带透明防护罩，在打磨的时候可以有效地防止加工件的跳跃。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功率：≥350W；砂带尺寸：≥915*100mm；转速：≥1400rpm；工作台尺寸：≥188*125mm；砂盘尺寸：≥150mm；底座尺寸：≥320*165mm；工作台最大角度：0°-45°；包装尺寸：≥490*300*270mm。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V型铁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规格：≥100*100*60mm。材质HT-200，选用灰口铸铁铸造而成，表面精度人工刮研工艺，特点：精度高，广泛用于轴类零件的检测、划线、定位及机械加工中的装夹。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划线平台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规格：≥400mm×400mm，球墨铸铁，含底角由铸铁或合金铸铁制成，表面无缺陷，内部无气孔或疏松，工作面平面度不高于24um。确保平板稳定、牢固使用安全。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额定电压220（V～），额定频率50（Hz）， 额定功率约1250（W），额定转速约11000（r/min），最大切割直径φ100（mm），轮流片孔径φ10（mm），重量约2kg。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数显电热丝切割器模型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产品尺寸：≥390mm×270mm×280mm。 可切割泡沫软性塑料制品等，培养学生动手操作能力。                                                                            </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▲1、产品使用不高于DC 9v电源，实验采用不少于4位数码显示管显示数据，可检测实时加热丝温度和电压，显示温度数值和电压数值，切割温度可调节，切割过程中温度和电压实时显示。(投标供应商需提供投标产品用以验证以上参数</w:t>
            </w:r>
            <w:r>
              <w:rPr>
                <w:rFonts w:hint="eastAsia" w:ascii="宋体" w:hAnsi="宋体" w:cs="宋体"/>
                <w:i w:val="0"/>
                <w:iCs w:val="0"/>
                <w:color w:val="auto"/>
                <w:sz w:val="18"/>
                <w:szCs w:val="18"/>
                <w:highlight w:val="none"/>
                <w:u w:val="none"/>
                <w:lang w:val="en-US" w:eastAsia="zh-CN" w:bidi="ar"/>
              </w:rPr>
              <w:t xml:space="preserve">的</w:t>
            </w:r>
            <w:r>
              <w:rPr>
                <w:rFonts w:hint="eastAsia" w:ascii="宋体" w:hAnsi="宋体" w:eastAsia="宋体" w:cs="宋体"/>
                <w:i w:val="0"/>
                <w:iCs w:val="0"/>
                <w:color w:val="auto"/>
                <w:sz w:val="18"/>
                <w:szCs w:val="18"/>
                <w:highlight w:val="none"/>
                <w:u w:val="none"/>
                <w:lang w:val="en-US" w:eastAsia="zh-CN" w:bidi="ar"/>
              </w:rPr>
              <w:t xml:space="preserve">实物图片)。                                                        </w:t>
            </w:r>
            <w:r>
              <w:rPr>
                <w:rFonts w:hint="eastAsia" w:ascii="宋体" w:hAnsi="宋体" w:eastAsia="宋体" w:cs="宋体"/>
                <w:i w:val="0"/>
                <w:iCs w:val="0"/>
                <w:color w:val="auto"/>
                <w:sz w:val="18"/>
                <w:szCs w:val="18"/>
                <w:highlight w:val="none"/>
                <w:u w:val="none"/>
                <w:lang w:val="en-US" w:eastAsia="zh-CN" w:bidi="ar"/>
              </w:rPr>
              <w:t xml:space="preserve">                                                                                                                                                                2、组成部分：工作台面（规格≥300mm×270mm×5mm）；亚克力支架结构；温度调节器等；最大切割宽度：≥270mm。                                   </w:t>
            </w:r>
            <w:r/>
          </w:p>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3、最大切割高度：≥150mm；性能、安全、外观等应符合JY 0001要求。                                                                                 </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4、培养学生动手操作能力，高级环保透明亚克力材质；台面倒角抛光光滑不伤手。                                                                                                                                                                                                                   </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大功率金属液晶数显四爪卡盘车床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电机功率≥144W，马达箱和主轴箱为联体结构。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1、机床主要零件：如主轴箱，尾座，长机座，大小滑块，马达风叶，齿轮，连接块等零件都采用金属材料，有皮带保护盖。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2、中心高≥25mm，中心距≥135mm，一般车削金属时车床转速可降到不高于2000转/分钟。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3、车刀是高速钢材质，可加工软、有色、贵金属。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技术指标：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1、马达转速：≥12000转/分钟。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DC/5A/≥60W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3、加工材料最大直径：≥20mm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4、加工材料长度：≥135mm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5、Z轴滑块行程：≥32mm，X轴滑块行程：≥135mm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6、加工材料：木质塑料,软金属(金、银、铜、铝等)，有机玻璃，塑胶等。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8、电机功率≥144W。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9、本车床使用的四爪卡盘，四爪卡盘可以提高本车床的使用范围，可以使车床能加工一些异形工件，比如四方形，三角形。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10、具有防止车刀撞击卡盘的安全防护装置，大大提高车床使用的安全性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小型木工车床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1.软木、硬木均可加工,可随心所欲创作造型。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2.可以使用三爪卡盘或夹头（1～6mm）夹持工件，木车床的中心高≥25mm，中心距≥135mm。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3、加工材料最大直径：≥45mm。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4、加工材料长度：≥135mm。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5、加工材料：木材、工程塑料、软金属(铝、铜等)。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6、变压器具有过电流，过压，过热保护</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大功率液晶数显钻床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电机功率≥144W，马达箱和主轴箱为联体结构。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机床主要零件：如主轴箱，长机座，短机座、大小滑块，马达风叶，连接块，钻台面，齿轮等都采用金属材料。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适用加工：木料，软金属（铜，铝等），有机玻璃 ，塑胶等。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1、马达转速：≥12000转/分钟(可选配20000转/分钟)，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DC/5A/≥60W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3、Y、Z轴滑块行程：≥32mm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4、X轴滑块行程：≥145mm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5、夹头：1～6mm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6、钻台面尺寸：123～100mm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7、加工材料：木质塑料,软金属(金、银、铜、铝等)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9、电机功率≥144W。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10、手轮具有≤0.02mm精度的刻度线，增加机床加工工件的精确度。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11、钻台板（金属材料）具有刻度定位线（刻度线不是贴上去的，是模具一次成型出来的，大大提高使用寿命），提高加工的精确度。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12、马达箱和齿轮为联体金属材质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13、夹头固定螺母使用的是六角螺母，方便用户固定刀具，提高机床使用的安全性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教学铣床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1.铣床可X、Y、Z三维空间操作,可以组装变换成立铣、卧铣和手铣三种。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2.铣床用的刀具是铣刀，这铣刀的侧面和前面都是刀刃,有一定的危险性，所以一定要在老师的指导下使用。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3、滑块行程：≥30*50mm。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4、夹头：1～6mm。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5、虎钳的夹持尺寸：≥30mm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学生手持机床</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1、配备七种标准打磨工具,应用范围广泛,变化多样,操作灵活,配上钻头则变成手钻,配上砂轮则变成手磨,配上铣刀则变成手铣,而且使用非常简单,变压器有过热保护。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技术参数：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1、马达转速：≥20000转/分钟，马达风叶，齿轮为金属材料。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2、输入电压/电流/功率：12V DC/2A/≥24W。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3、加工材料：木材、工程塑料、软金属(铝,铜等)。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变压器具有过电流，过压，过热保护。</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AI多维造物工作站组合</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AI多维造物工作站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空间与承重：外形尺寸 910×700×770mm，展开尺寸为 1410×700×770mm，四桌钳独立布局，支持 4 人同步小组协作，灵活适配单人实操、小组共创等教学场景。全项符合校园安全最高标准，为锯切、锉修、打磨等工艺提供稳定可靠的硬件基座。多个操作台可连接多种造型，适配不同教室摆放使用。</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稳固适配：承重能力达100kg静音万向脚轮，脚轮可落地，落地后承载阻力达300N，不易推动，支持 360°无死角转向，可快速匹配教室功能分区调整；站立式人体工学设计，严格遵循 “每人两平米” 劳动教育空间规范，最大化释放教室利用率。内置独立储物空间与电路联动系统，同步实现耗材集中管理与设备电源统一调控。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全域收纳：集成多维度分层收纳系统，可容纳 234 种专业工具及 1000 余种操作配件，实现 “制作 - 收纳 - 取用” 全流程高效管理，侧面洞洞板工具墙实现工具可视化收纳与快速取用，适配多样化教学工具存储需求。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AI 全场景教学：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多语言交互：支持中文、粤语、英语、日语、韩语等多语言语音识别和高质量语音合成输出。</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声纹识别技术：可识别不同说话者的声音，实现个性化的交互体验，例如根据不同用户的声纹提供不同的回应或服务。</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集成多种大模型：系统需支持集成多种主流大语言模型架构，具备兼容‌开源社区主流模型及‌高性能商用模型‌的能力，以实现多场景适配。</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丰富的通信接口：支持 Wi-Fi 和 ML307 Cat.1 4G 联网，还具备 BLE、RFID 等通信功能，可实现多种方式的网络连接和设备交互。</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理解记忆：支持上下文理解和对话记忆，具备短期记忆功能，每轮对话后能自我总结，让对话更加连贯和智能，能够更好地理解用户的意图和需求。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技术先进：对话延迟控制在300毫秒内。反应迅速，可随时打断。</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情绪交互模块：人性化语音交互实时感知学习情绪，缓解压力并激发创作热情；</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高精度工具识别：AI 视觉技术快速识别工具，同步推送标准化使用规范与安全指引。</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原创工具赋能：</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双头划线器：创新的双向同步划线设计，打破传统单头划线器反复调整的局限，两个划线头间距调节范围5-150mm刻度标识，支持双向同步划线，兼顾精度与便捷性；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直角木工夹：确保工件拼接时始终保持标准 90°直角，从根源上规避因夹具精度不足导致的≥0.5mm 拼接缝隙、≥0.5°角度偏差等问题。精准保障工件直角定位，规避拼接误差；</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锯切辅助夹块：锯切过程中，工件移位、锯切轨迹偏移是影响精度的主要问题，锯切辅助夹块通过创新结构设计，为锯切作业提供全方位保障。特殊防滑结构固定工件、辅助夹块通过磁吸引导锯切轨迹，降低操作难度并保障精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高效集尘：以强吸力 + 精准联动实现全场景除尘，彻底告别 “作业完即清扫” 的繁琐流程。其核心动力单元采用高效无刷电机，额定功率达1200W、配合优化的离心风道设计，真空度最高可达17000Pa，电子遥控启动，配备3L 大容量集尘桶，可直观观察粉尘存量，桶身采用卡扣式拆卸结构，桶内内置高效滤网，可过滤直径≥0.3μm 的细微粉尘，避免二次排放污染，通过桌面洞洞板与集尘器联动，实时吸附木屑粉尘，保持操作环境洁净。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多维锯切工作站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整体尺寸设计：</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收纳状态：760×790×1190mm，适配校园教室、创客空间等有限场地存储需求，无需额外预留冗余空间，实现高效空间利用率。</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工作状态：展开后 1005×1015×1190mm 宽幅操作台面，为长料切割、多工位协作提供充足作业面积，兼顾空间灵活性与操作性。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移动固定系统：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搭载带锁脚轮组件，单轮承重≥50kg，满足设备整体移动需求；采用压脚落地式固定结构，使用时可完全锁死，杜绝位移风险，确保锯切过程中机身稳定无晃动，保障高精度加工与操作安全。</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台面与电路系统：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1.台面材质工艺</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中央操作区：嵌入橡木实木板，质地坚硬耐磨，适配带锯切割内框尺寸，确保台面长期使用不易变形，为锯切作业提供稳固支撑。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侧面支撑板：采用 15mm 厚防滑桐木实木板，天然材质兼具韧性与防滑性能，支持直接测量画线。</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2.电路系统配置</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采用专用回路设计，搭配联动电路模块，实现锯切、集尘、智能监测等功能协同供电，避免电路干扰；激光标线、人体感应模块独立供电支路，配备专属控制开关，可按需单独启停，降低能耗。</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智能监测模块联动供电，确保设备状态数据实时采集与传输，保障智能功能稳定运行，为安全锯切提供电力支撑。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核心功能系统：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1.锯切兼容系统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实现3-13mm 全规格锯条兼容，集成直线与曲线锯切双功能，替代传统两套设备，满足从精细曲线造型到直线开料的全场景加工需求，大幅提升设备利用率。</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导轮采用高硬度铝合金材质，表面镀铬防锈处理，轮缘加装防滑固定皮带，确保锯条运行时侧向无偏移；配备弹簧式自动涨紧机构，搭配快速更换锯条涨紧杆，操作实体旋钮均标注旋转方向标识，功能清晰易懂。</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2.智能可视化监测系统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多维度智能监测模块，实时显示锯轮转速，直观反馈设备运行状态；具备三重声光报警功能，当负载压力过大、锯条惯性空转、设备锯切失速时，立即触发报警，且报警敏感度可根据加工需求灵活调节，提前规避设备过载损伤与安全风险。</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安全防护与定位支撑：</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1.安全防护系统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防误触防护：锯条前方加装亚克力护手，物理隔离手部与危险区域；设备前端设人体感应装置，通电运行时实时发出安全提示；可调节导轨高度设计，减少锯条暴露面积，从源头降低误触风险。</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开关安全设计：平台正面设红黄相间一键断电按钮，标识醒目，紧急情况下可快速切断电源；采用机械开关结构，有效防止木屑进入导致开关失效，且开关自带专属钥匙，取下钥匙后开关完全失效，避免非授权操作。</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设备固定防护：创新双向四桁架固定结构，将带锯设备与整体架构牢固连接，形成稳定整体，杜绝锯切过程中设备晃动，提升加工精度与操作安全性。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2.定位与支撑系统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双靠山定位：配置左右侧纵向靠山与右侧横向物料推手，可精准固定木材切割宽度与伸入深度，调节便捷，定位精度高，确保批量加工尺寸一致性。</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激光标线定位：集成红光激光标线装置，线宽≤2mm，定位精度≤1mm，锯切前可提前投射切割路径，避免盲目下锯导致的尺寸偏差，提升加工精准度。</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废料与粉尘处理系统：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1.分层收集模块</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带锯下方设倾斜式废料通道，搭配抽拉式分层收集箱，上层专门收集≥5mm 大木块，下层通过滤网收集≤5mm 木粉与木屑，实现废料分类收纳，避免台面堆积影响操作，且收集箱抽拉设计便于课后集中清理。</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2.联动集尘系统</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搭载 1200W 大功率集尘装置，与锯切功能联动启动，无需单独操作开关，集尘过程自动化；集尘效率高，粉尘收集率优异，有效避免锯切粉尘扩散，保持操作环境洁净，呵护师生健康。</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工作站配置工具</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t xml:space="preserve">1.木工夹具套装：3寸G型、75mmA型、200mmF型夹组合套装，铸钢+高强度ABS工程塑料材质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2.棘轮夹套装：50mm、100mm二件套，带棘轮装置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3.手工拉花锯：工具钢冲压一体锯弓，总长330mm，柄长110mm，喉深150mm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4.小手锯：刃部材质SK5，刃部淬火处理，刃长148mm，榉木直柄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5.手摇钻套装：可夹持范围0.6~6mm钻头，总长度310mm，含3、4mm木工专用钻头各一根，含收纳包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6.白锉套装：圆形、平型、半圆形三件套，工具钢表面镀白锌，塑料手柄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7.什锦锉套装：半圆形、方形、三角形、圆形、平头、锥形六件套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8.木锤：榉木材质，锤头宽55mm长102mm厚45mm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9.中式木工平刨：180mm 短刨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10.拐尺：尺寸200x100mm，不锈钢尺板，铝柄，双排刻度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11.角度尺：不锈钢尺身，塑料手柄，带水平仪，带锁紧钮方便定角度 2把</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12.护目镜：抗冲击，高清晰度，轻便型护目镜 4个</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13.防护手套：五级防切割 4双</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14.套袖：卡其色，防水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15.围裙：浅灰-BC601背带钉扣双兜防水 4件</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16.木工胶：环保、防水473ML 4瓶</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17.砂纸套装：套装120~400目 4套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18.砂块：细砂1块，粗砂1块 4块</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19.单直金属挂钩：50mm 50个</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20.肌理球：尺寸：φ50mm(误差15%±） 材质：泥塑</w:t>
            </w:r>
            <w:r>
              <w:rPr>
                <w:rFonts w:hint="eastAsia" w:ascii="宋体" w:hAnsi="宋体" w:eastAsia="宋体" w:cs="宋体"/>
                <w:i w:val="0"/>
                <w:iCs w:val="0"/>
                <w:color w:val="000000"/>
                <w:sz w:val="18"/>
                <w:szCs w:val="18"/>
                <w:u w:val="none"/>
                <w:lang w:val="en-US" w:eastAsia="zh-CN" w:bidi="ar-SA"/>
              </w:rPr>
              <w:br/>
            </w:r>
            <w:r>
              <w:rPr>
                <w:rFonts w:hint="eastAsia" w:ascii="宋体" w:hAnsi="宋体" w:eastAsia="宋体" w:cs="宋体"/>
                <w:i w:val="0"/>
                <w:iCs w:val="0"/>
                <w:color w:val="000000"/>
                <w:sz w:val="18"/>
                <w:szCs w:val="18"/>
                <w:u w:val="none"/>
                <w:lang w:val="en-US" w:eastAsia="zh-CN" w:bidi="ar-SA"/>
              </w:rPr>
              <w:t xml:space="preserve">21.肌理刷：尺寸：100*60mm  材质：新西兰松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计量工具与电子技术检测设备【与综合实验室-电子控制技术（选择性必修5）兼容】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宽坐直角尺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最大量程160mm；金属制品；量具专业生产厂商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最大量程300mm；金属制品；量具专业生产厂商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角度尺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最大量程150mm，金属制品；量具专业生产厂商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碳钢材质，加厚尺身，牢固韧性高。电镀珞工艺，镭射激光刻度，刻度清晰明了，耐磨性高使用寿命长。表面高频淬火工艺处理，坚硬耐用光滑。内置阻尼片使用顺畅不卡顿。测量范围：0mm～150㎜；测量精度：0.02㎜；执行标准：GB/T1214.2。</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合金材质，牢固韧性高。电镀工艺，镭射激光刻度，刻度清晰明了，耐磨性高使用寿命长，表面高频淬火工艺处理，坚硬耐用光滑。使用顺畅不卡顿。0～25㎜型。分度值：0.01㎜； 测量范围：0～25㎜；执行标准：GB/T1216。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测量范围0mm～200mm，测量精度0.02mm。碳钢材质，加厚尺身，牢固韧性高。电镀工艺，镭射激光刻度，刻度清晰明了，耐磨性高使用寿命长，表面高频淬火工艺处理，坚硬耐用光滑。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合金材质，牢固韧性高。电镀工艺，镭射激光刻度，刻度清晰明了，耐磨性高使用寿命长，表面高频淬火工艺处理，坚硬耐用光滑。使用顺畅不卡顿。25～50㎜-型。分度值：0.01㎜；测量范围：25～50㎜；执行标准：GB/T1216。</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最大称重1000g，精度0.1g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电子天平</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最大称重200g，精度0.01g</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万能角度尺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高碳钢材质，加厚尺身，牢固韧性高。镀珞工艺，镭射激光刻度，刻度清晰明了，耐磨性高使用寿命长，坚硬耐用光滑。使用顺畅不卡顿，测量范围：0～320°；读数值：2′；执行标准：GB/T6315。</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重量10g*2，20g*2，50g*2，100g*2，200g*2表面金属镀漆，平面光滑色泽均匀。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照度计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测量范围：1～200000lux，180度可旋转探头。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直流稳压电源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输入电压：180V/220V±10%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输入频率： 50Hz/60Hz</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输出电压恒压值范围：0额定值连续可调输出电流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恒流值范围：0-A额定值连续可调工作方式 稳压稳流状态自动切换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恒压指示CV：绿色LED灯指示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恒流指示CC：红色LED灯指示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显示分辨率：四位显示，电压0.01V，电流0.001A，显示精度0.1%</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保护功能：过压、过温、短路限流保护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冷却方式：智能温控风扇强制风冷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工作环境：-10～40℃相对湿度&lt;80%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储存环境：25℃相对湿度&lt;80%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外观尺寸：≥270*125*150mm；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重量：约2.5Kg，0～30V/5A型。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交流：2V～16V/3A，每2V一档；直流稳压：2V～16V/2A，每2V一档，符合JY0361标准。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技术设计实验耗材、技术实践综合工具类</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木工笔</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扁心黑芯，椭圆杆，长度约17.5cm。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规格：≥20*15cm，微型机床使用耗材。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微型机床使用耗材--丝印三合板</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规格：≥15cm*10cm，微型机床使用耗材。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微型机床使用耗材--木棒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直径8*200mm、10mm、20mm、30mm,长100mm，每种100根。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黑色、蓝色各一个。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机械螺丝</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不同规格，兼容技术与设计实验制作套件使用，含螺丝帽200个/袋，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拉铆钉</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直径￠3mm~￠5mm。铝制和不锈钢两种型号各100个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钉子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各种型号规格若干，兼容技术与设计实验制作套件使用。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1.5mm、3mm、4mm、5mm等等，共13种规格为一套。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木砂纸</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粗砂，细砂各半。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手工钢锯锯条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采用硬性高碳钢精工制造，整体热处理。弹性优越锯齿强劲、锐利、切割流畅韧性佳。可用于切割厚低碳钢、铸铁、铝和铜、木料等。粗齿1盒（18牙），细齿1盒（24牙）50根/盒。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25mm长，200个/包。不锈钢材质，耐腐蚀，不易生锈，硬度高等特点。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镀镍工艺，常规标准款。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聚醋酸乙乳液</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≥500g容量，瓶装，木工专用。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瓶</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胶水</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瞬间粘接剂，高强度，瓶装，≥30g容量。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助焊材料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电子焊接使用，除氧化膜，防止氧化，减小表面张力。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≥9股线，线长≥200m，≥100克重。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磨光机机配套使用。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砂带</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砂盘砂带机专用，细目、粗目各两张。</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镀锡连接线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非家用公业等电线电缆，教学专用配套连线材料，两头镀锡，中间塑胶，50mm和100mm各半，≥1000根/把。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自喷漆</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瓶装≥400ml，具有光泽度高、附着力强、雾化优等特点。用于金属、木质、玻璃、皮制品、陶瓷、ABS塑胶等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罐</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拉铆枪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铝合金材质，≥17寸，双色软胶手柄，适用铆钉直径3.2mm、4.0mm、4.8mm，双手式拉铆枪，长度≥400mm。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组合角尺（水平角尺）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一般用于测量物品的直角和相关垂直度、相关平行度。45度和90度直角测 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特点：1 .不锈钢尺身，激光刻度清晰准确。2.手柄内装有画针和控制平水泡。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木工框锯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总长：≥510mm，齿长≥440mm，重量≥580g，框架式，木材表面光滑，橡木材质，表面涂清漆。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竹弓钢丝锯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总长：≥570mm，锯条长：≥500mm，喉深：≥160mm，重量：≥235g，竹弓用料宽不小于20mm，厚不小于10mm，钢丝锯两端用钩固定，防滑把手。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手工刀锯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总长：≥490mm，锯齿≥440mm，刃口宽度为≥25mm,手柄宽度为≥100mm，头部具有挂孔。适用于切割木板，树枝，塑料管等。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不锈钢四件套，宽头大号、尖头、宽头、弯嘴四种。</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自发电手电筒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规格：≥100*50mm, ABS材质，不少于三颗LED灯，灯光明亮。外壳透明，内部结构清晰可见，便于学生观察。</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通针</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每盒8种规格，有手柄，不锈钢空芯针，不沾锡，用于焊接拆卸电子元器件脚。</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盒</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采用陶瓷热敏电阻作为发热元件，涨温速度快，恒温准确。在100V至240V之间的交流或直流供电系统中可正常使用。额定频率：50-60HZ、功率：100W，带指示灯和开关。</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指针式，圆形，温度测量范围：-30°C〜50°C（TH101B/E）。湿度测量范围：10%〜90%RH</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百分表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金属材质，分度值0.1，精密型0〜10mm测试范围。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red"/>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红水0-100℃温度范围，玻璃材质。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塑料焊枪（带风焊枪）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≥500W，200V交流电，开关可调节热风或冷风。</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锂电池手电钻，电压：12V；最大夹持≥10mm；标配：万向轴，套筒套装，批头套装，连接杆1个，双头批头1个，合金钻1个电源 充电线1根。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0"/>
                <w:szCs w:val="20"/>
                <w:u w:val="none"/>
                <w:lang w:val="en-US" w:eastAsia="zh-CN" w:bidi="ar"/>
              </w:rPr>
              <w:t xml:space="preserve">带线手电钻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电压：220v；夹持范围1.5〜10mm：转速：0〜3500r/min，额定功率：不少于450w，线长不少于1.2米。负载功率不大于1580w，高精度钻头夹。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电圆锯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手提式，额定电压220v，额定频率50hz，额定输入功率不少于1400w,锯片直径7寸不少于185mm,转速不大于4700r/min。</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曲线锯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不少于710w，额定电压220v，额定频率50hz，转速：不少于3000/min；切割能力：金属不少于6mm、木材不少于55mm。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1、电压 220v； 2、频率：50Hz； 3、功率：不少于1000W。4、转速：不少于13000r/min； 5、最大刨削宽度：约90mm； 6、最大刨削深度：约1mm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吹塑箱包装；31件必备常用工具；内容包括：数显万用表1台（四位数字显示）；测电笔1把；电烙铁1把60w；烙铁架1付；5mPVC电工胶布；电工螺丝刀6*100mm 十字一字各一把；电工螺丝刀4*100mm 十字一字各一把；电工螺丝刀2*75mm 十字一字各一把；吸锡器1把；剥线钳1把；软刷子1把；焊锡丝1卷；活动扳手8寸1把；羊角锤1把；钢丝钳7寸1把；尖嘴钳6寸1把；斜口钳1把；电工刀1把；单发包胶1包；钢卷尺5米1把；内六角扳手9件／套；剪刀1把；美工刀1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吹塑箱包装；21种必备常用工具；内容包括：木工凿子“3/4” 1把；美工刀1把；木工锉半圆锉刀1把；多用剪刀1把；羊角锤1把；鸟刨1把；手推刨1把；钢角尺300mm1把；冲击螺丝刀4*150 十字和一字1把；老虎钳8寸双色柄1把；卷尺5米1把；G形夹2把；有机玻璃钩刀1把，钩刀带两把刀片；磨齿锯（锰钢三面齿）1把；木工铅笔1支；小水平尺，S93型塑料；手刨三用型1把；墨斗1个；油石1块。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吹塑箱包装；29种必备常用工具；内容包括：钢丝钳7寸1把；尖嘴钳6寸1把；钢直尺300mm1把；扁锉刀200mm黄黑塑料柄1把；半圆锉刀200mm黄黑塑料柄1把；三角锉200mm黄黑塑料柄1把；圆锉刀</w:t>
            </w:r>
            <w:r>
              <w:rPr>
                <w:rFonts w:hint="eastAsia" w:ascii="宋体" w:hAnsi="宋体" w:eastAsia="宋体" w:cs="宋体"/>
                <w:i w:val="0"/>
                <w:iCs w:val="0"/>
                <w:color w:val="000000"/>
                <w:sz w:val="18"/>
                <w:szCs w:val="18"/>
                <w:u w:val="none"/>
                <w:lang w:val="en-US" w:eastAsia="zh-CN" w:bidi="ar"/>
              </w:rPr>
              <w:t xml:space="preserve">200mm黄黑塑料柄1把；划针200mm1把；划规150mm1把；样冲1把；什锦锉6件/套：轴承钢，半圆锉、三角锉、方锉、圆锉、尖头扁锉、齐头扁锉；钳工锤300g1把；圆头锤450g木柄圆头1把；丝锤；扳牙扳手12件/套；钢卷尺5m1把；两用扳手4件/套；内六角扳手1.5-10mm，6件/套；三叉扳手1套；金工螺丝刀5*100mm十字一字各1把；金工螺丝刀3*75mm十字一字各1把；活动扳手8寸1把；钢丝刷6排木柄1把；铁皮活动钢锯架1把；铁皮剪8寸1把；自行车钢丝扳手1把；三角尺20*40mm不锈钢1把。</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扁口钳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采用：硬性高碳钢精工制造，整体热处理，表面静电喷塑工艺。最大夹持尺寸：65mm，用于 车、钻、铣、磨、雕刻。</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回转式，铸铁材质；钳口长＞100mm，钳口深＞50mm，最大开口＞100mm，开闭灵活，钳口闭合间隙≤0.15mm，夹紧力≥22kN。</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砂纸板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规格：≥190*90*60mm，海绵塑料手柄把手，可更换粗细砂纸，金属与塑料共同组成。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测量范围：0.05～40米；精度：0.001米；毫米级测量，特性：可连续测量，长度测量，面积测量，勾股测量，体积测量，误差：±2mm。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多用电表（指针型）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指针式，电压量程 1000 V，电流量程250 mA，准确度±4% FSD（满刻度）。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特点：内磁表头，稀土磁钢，多重保护，通断蜂鸣，多功能拨盘，高精度彩印刻度盘，可调式便携支架。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功能：交流电压测量、直流电压测量、直流电流测量、电容测量测量、三极管测量、电阻测量、电池测量、音频测量。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收纳工具、防护用品、绘图工具、软件资料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规格：≥380*300*90mm，白色款，环保ABS塑料材质，一体注塑成型，用于收纳使用。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方箱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规格：≥440*295*110mm；加厚PP塑料材质，采用模具注塑成型。外侧采用加强筋设计，使其整体更加稳固。采用模具注塑一体成型，具有耐摔承载力强的特点。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仪器小车（用于上日常课前课后存取仪器）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采用金属材料制作，板厚≥1mm。金属车体，表面静电烤漆工艺，万向滚轮，双层物架。每层物架延边采用加高围栏设计，使其置物更加稳固，不易脱落。规格：≥长50mm*宽40mm*高86mm。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木工台</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多功能，可折叠，台面板上有公制刻度，有可以把需加工木板夹紧，夹牢的手摇柄。尺寸：高≥750mm，长≥610mm，宽≥310mm，夹板：≥120mm×610mm×20mm。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聚碳酸酯镜片，透明度高，视野开阔清晰，防紫外线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专用口罩。</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蓝色卡其布，长衫，袖口可扣紧。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工作帽</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蓝色卡其布，松紧式，有帽檐。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套袖</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蓝色卡其布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橡胶防滑手套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副</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灭火器</w:t>
            </w:r>
            <w:r>
              <w:rPr>
                <w:rFonts w:hint="eastAsia" w:ascii="宋体" w:hAnsi="宋体" w:cs="宋体"/>
                <w:i w:val="0"/>
                <w:iCs w:val="0"/>
                <w:color w:val="000000"/>
                <w:sz w:val="18"/>
                <w:szCs w:val="18"/>
                <w:u w:val="none"/>
                <w:lang w:val="en-US" w:eastAsia="zh-CN" w:bidi="ar"/>
              </w:rPr>
              <w:t xml:space="preserve">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配套专用教学模型，非室内工业等消防设施。水基型，≥3L容量，有效喷射时间(s)：≥9；有效喷射距离(m)：≥4；使用温度(℃)：+5~+55；工作压力 (MPa)：2.1；内含喷嘴套装，教学专用。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绘图工具包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绘图工具包，配15种常用绘图工具，工具包含擦图片；三角板（250mm）；圆规（长150mm，能用铅芯）；分规（长150mm，）；绘图模板、曲线板、椭圆模板、画圆模板；橡皮擦；砂皮纸；美工刀；绘图铅笔（3支）；笔芯；透明胶带；有机玻璃直尺（200mm）。另配绘图板（3号）；丁字尺（600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比例尺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规格：300mm，材质：PVC</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A3型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绘图纸A</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绘图纸B</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坐标纸A</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16K，100张/包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坐标纸B</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32K，100张/包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指导说明书</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非专业出版社出版书籍刊物，无需具备出版社资质。配套教室教学环境设备使用教程，专用配套教室有关于金工、木工、电工相关技能操作资料，包含说明和视频。</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视听资料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木工技能指导资料、电工技能指导资料、金工技能指导资料。</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三维打印切片软件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根据三维实体，自动生成三视图；2.配合产品形态，具有智能设计中心、多功能计算器、电子传递、教学图形素材库等功能；3.提供鸟瞰视图功能，可快速平移和缩放窗口；4.具备三维实体的渲染、材质、背景、光源等功能。全套资源教学演示配置最新软件控制系统，教学案例资源。围绕软件基础操作，包括基本的界面操作、基础理论、选区的创建与调整、图形的设计、文字输入与编辑的使用技巧，等系统教学指导资料，形成从入门到进阶的完整教学学习目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3D设计软件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1、曲线建模，支持导入2D图片建模、自定义绘制图形建模等多种建模方式。提供平面绘图工具，比如直线、折线、曲线及矩形工具，用于设计复杂线条。提供10种以上的艺术曲线，比如心型线、肾形线等。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2、3D浮雕建模，支持导入2D图片、文字以及自定义绘制图形，并能一键式生成可3D打印的3D透光浮雕模型。生成的3D浮雕模型类型包括: 平面型、圆柱面型等，并可选择内向、外向模式。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3、积木式建模，通过对基本模型的堆叠、摆放、组合、布尔运算等操作生成新的模型。内置基本模型种类包括几何体、数字、字母、符号、机器人、数学等六类，数量40种以上。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4、参数建模，支持全参数交互式驱动建模方式，用户可修改尺寸、角度等参数，改变模型的大小、位置、姿势，生成新的模型。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4.1、模型镜像，生成模型关于一个平面的镜像，用户可修改平面类型、距离模型中心等参数，改变生成模型的位置。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4.2、模型复制，生成阵列排布的相同模型用户可修改行列数量、行列间距以调整生成模型组的样式。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4.3、模型对齐，移动时让模型对齐到其余模型的特征点或面上，有快捷对齐与参数对齐两种方式，快捷对齐智能地选择要对齐的两点/面，参数对齐则由用户指定要对齐的两点/面。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4.4、模型组合与解组，组合模型使得组内模型的变换同步，解组模型使得组内模型取消同步。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5、一键平置，在移动模型的过程中，可以一键将模型移动到水平面上，方便切片。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6、自动放平，在旋转模型的过程中，可以一键将模型放平，软件自动为模型找到合适的旋转角度进行旋转，方便切片。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7、文字建模，支持输入文字，即可生成3D文字模型，支持主流字体，软件内置5种以上字体，生成的3D文字可进行竖直弯曲和水平弯曲，并且可以调整文字的弯曲半径和角度。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骨架-球建模，支持通过连续添加球构建模型的骨架，通过移动球的位置改变骨架的形状，通过放缩球改变模型的大小，生成3D模型。支持对称操作，可从6个方位对球进行操控。特别适合于人物或动物等具有骨架的对象的建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9、曲面建模，支持挤出、移动长方体盒子的面生成多面体，通过细分曲面的方式生成3D模型。支持五分法分割面，生成新的面。支持移动多面体的边，改变多面体的形状。包含球、圆柱、正方体3种内置基本体。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10、拉伸建模，支持从二维封闭曲线垂直拉伸得到3D模型，导入图片作为二维草图的绘制向导，并内置网格线作为绘制参考。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11、旋转建模，支持从二维曲线沿轴旋转得到3D模型，导入图片作为二维草图的绘制向导，并内置网格线作为参考线。软件可自动对曲线进行补全，从而生成旋转体模型。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三维模型二维展开功能，可以将三维模型自动展开到平面上并打印出来，该插件会合并模型的相邻共面三角面，显示模型剖分的边界线，折叠的边界线；同时平面展开后的部分可以拖动旋转放置，选中其中一部分时会对应显示原模型中对应的部分。打印时可以选择打印机，纸张类型，纸张大小，纸张方向，等打印参数，提供打印预览，最终可输出为jpg、png、bmp、gif、svg等图片格式，pdf、xps等打印格式。方便建立折纸模型，含有内置基本几何体的三维模型，也支持obj,stl等格式的三维模型导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13、切片软件集成，支持切片功能，设置层厚、壁厚、填充密度、打印速度等参数，从3D模型计算得到打印机的执行文件，并支持单层/多层/全部等模式可视化查看打印路径。支持输出切片gcode文件。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为了体现3D教学趣味性和实用性，能将学习成果快速转化成实用工具，要求不超过3个步骤即可建成作品的模型（比如“写字笔”），模型上自动生成建模者签名。打印出实物（写字笔）后插上笔芯即可真实写字使用。为了方便安装笔芯，笔的笔杆和笔头部分分开打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15、软件内置仓库，支持对设计作品本地多视角保存和云端保存，上传云平台的同时，微信公众号可收到提醒消息，并可在手机端对设计作品可选择用3D模式查看。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16、可自动检测软件更新信息，并可在线一键更新。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17、同时支持输入stl、obj文件，输出a3d文件。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18、以上所有功能统一集成在一个软件中，不可拆分。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19、模型库，超过10个类别，700件以上高质量支持3D打印的模型，支持实时3D预览。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20、教学资源，配套丰富的视频、课件等资源，通过微信注册，即可在学校内访问。</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典型工件的加工示范</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视频文件，介绍各种典型金属工件的加工技术和加工方法，包含车工、钳工、焊工这三个应用最为广泛的工种，共计不少于36个典型金属工件作为实例。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钳工入门、平面划线、錾削、锉削、锯削VCD</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内容包括：</w:t>
            </w:r>
            <w:r>
              <w:rPr>
                <w:rFonts w:hint="eastAsia" w:ascii="宋体" w:hAnsi="宋体" w:eastAsia="宋体" w:cs="宋体"/>
                <w:i w:val="0"/>
                <w:iCs w:val="0"/>
                <w:color w:val="000000"/>
                <w:sz w:val="18"/>
                <w:szCs w:val="18"/>
                <w:u w:val="none"/>
                <w:lang w:val="en-US" w:eastAsia="zh-CN" w:bidi="ar"/>
              </w:rPr>
              <w:t xml:space="preserve">钳工的入门知识、平面的划线方法和錾削、锉削、锯削的相关工艺知识以及操作要领等。以全实景的方式，便于学生快捷、直观地学习所应掌握的知识。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技术与设计电子技术设计应用实验套件 【电子控制技术（选择性必修5）兼容】</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晶体三极管开关特性实验套件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开关电路，也可适用于高中通用技术里技术与设计和电子控制技术的教学实验，用于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晶体三极管放大特性实验套件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了解三极管的特性及应用。可完成的试验项目有三极管放大电路的特性，可以用于高中通用技术里技术与设计和电子控制技术的教学实验，也可以用于初中、高中物理的门电路和传感器应用的教学实践。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逻辑电路实验套件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实验装置,可以用于技术与设计和电子控制技术的教学实验，电路板上集成了蜂鸣器、LED灯、按键开关等多种电子元件，学生可通过实验了解数字电路中基本的门电路设计和应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常见控制方式认知及应用套件（常用传感器试验套件）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实现功能：可实验干簧管（磁敏传感器）、拾音头（声音传感器）、光敏电阻（光电传感器）、热敏电阻（热敏传感器）四种常见传感器的控制原理及应用电路。实践台底板为环氧线路板，配备专用电池盒。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实现功能：可实验酒精传感器和烟雾传感器，传感器的检测反馈至发光二极管和蜂鸣器。通过二极管和蜂鸣器的提醒，认识了解气敏传感器的工作原理。实践台底板为环氧线路板，配备专用电池盒。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力敏传感器应用套件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实现功能：通过按压量程开关受力，检测实时压力数据传输至显示屏中。认识了解力敏的工作原理，实践台底板为环氧线路板，配备专用电池盒。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电子技术组合综合实验箱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w:t>
            </w:r>
            <w:r>
              <w:rPr>
                <w:rFonts w:hint="eastAsia"/>
                <w:sz w:val="18"/>
                <w:szCs w:val="18"/>
                <w:highlight w:val="none"/>
                <w:lang w:val="en-US" w:eastAsia="zh-CN"/>
              </w:rPr>
              <w:t xml:space="preserve">一</w:t>
            </w:r>
            <w:r>
              <w:rPr>
                <w:rFonts w:hint="eastAsia"/>
                <w:sz w:val="18"/>
                <w:szCs w:val="18"/>
                <w:highlight w:val="none"/>
              </w:rPr>
              <w:t xml:space="preserve">）实验箱箱体描述：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箱体外观最大尺寸（mm）：长400×宽300×高190mm（±10）mm；箱体内部最大尺寸（mm）：长380×宽280×高150mm（±10）mm；箱盖上端和箱体前端，均预留手提把手，上端把手规格：长350×宽90mm（±10）mm，前端把手规格：长180×宽65mm（±10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箱盖正面两侧，均预留可拆卸透明卡槽，规格：长90×宽20mm（±10）mm；可用于箱体编号说明卡片，存放标注等使用。箱盖和箱体采用旋扣式锁合装置，转动实验箱前侧的锁止机构既可以锁定箱子，也可以实现多箱子间累计叠加的锁合。箱盖和箱体的两端，采用多挡位可移动式，划扣机构锁合装置，可以实现滑动调节，多挡位的固定锁合，多箱累计摆放时，使其整体结构更加稳定。</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箱底结构预留固定卡槽，实验箱的箱体可实现多个堆叠摆放，多个堆叠手提移动，结构强度支持可达5-8层高。使其使用更加方便快捷，存储占地面积小的特点。多箱累计摆放时，箱底结构的固定卡槽，可固定至专用移动拉伸平板车上，便于多箱承重时的携带和移动，使其移动更加安全可靠。</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4、箱体材质：ABS（丙烯腈-丁二烯-苯乙烯）</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5、箱体内部构造：采用EPV珍珠棉隔离填充材料，实验器材设有固定位置。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6、实现不少于10项独立实验项目，规格≥140×80×20mm。内含电子套件：1、红外发射接收电路模型*1；2、磁敏传感器应用套件*1；3、三人表决器电路套件*1；4、三人抢答器实验套件*1；</w:t>
            </w:r>
            <w:r>
              <w:rPr>
                <w:rFonts w:hint="eastAsia"/>
                <w:sz w:val="18"/>
                <w:szCs w:val="18"/>
                <w:highlight w:val="none"/>
                <w:lang w:val="en-US" w:eastAsia="zh-CN"/>
              </w:rPr>
              <w:t xml:space="preserve">5</w:t>
            </w:r>
            <w:r>
              <w:rPr>
                <w:rFonts w:hint="eastAsia"/>
                <w:sz w:val="18"/>
                <w:szCs w:val="18"/>
                <w:highlight w:val="none"/>
              </w:rPr>
              <w:t xml:space="preserve">、视力保护提醒器实验套件*1；</w:t>
            </w:r>
            <w:r>
              <w:rPr>
                <w:rFonts w:hint="eastAsia"/>
                <w:sz w:val="18"/>
                <w:szCs w:val="18"/>
                <w:highlight w:val="none"/>
                <w:lang w:val="en-US" w:eastAsia="zh-CN"/>
              </w:rPr>
              <w:t xml:space="preserve">6</w:t>
            </w:r>
            <w:r>
              <w:rPr>
                <w:rFonts w:hint="eastAsia"/>
                <w:sz w:val="18"/>
                <w:szCs w:val="18"/>
                <w:highlight w:val="none"/>
              </w:rPr>
              <w:t xml:space="preserve">、半导体开关特性认知与应用套件*1；</w:t>
            </w:r>
            <w:r>
              <w:rPr>
                <w:rFonts w:hint="eastAsia"/>
                <w:sz w:val="18"/>
                <w:szCs w:val="18"/>
                <w:highlight w:val="none"/>
                <w:lang w:val="en-US" w:eastAsia="zh-CN"/>
              </w:rPr>
              <w:t xml:space="preserve">7</w:t>
            </w:r>
            <w:r>
              <w:rPr>
                <w:rFonts w:hint="eastAsia"/>
                <w:sz w:val="18"/>
                <w:szCs w:val="18"/>
                <w:highlight w:val="none"/>
              </w:rPr>
              <w:t xml:space="preserve">、声光控楼梯灯实验套件*1；</w:t>
            </w:r>
            <w:r>
              <w:rPr>
                <w:rFonts w:hint="eastAsia"/>
                <w:sz w:val="18"/>
                <w:szCs w:val="18"/>
                <w:highlight w:val="none"/>
                <w:lang w:val="en-US" w:eastAsia="zh-CN"/>
              </w:rPr>
              <w:t xml:space="preserve">8</w:t>
            </w:r>
            <w:r>
              <w:rPr>
                <w:rFonts w:hint="eastAsia"/>
                <w:sz w:val="18"/>
                <w:szCs w:val="18"/>
                <w:highlight w:val="none"/>
              </w:rPr>
              <w:t xml:space="preserve">、常见继电器认知与应用套件*1；</w:t>
            </w:r>
            <w:r>
              <w:rPr>
                <w:rFonts w:hint="eastAsia"/>
                <w:sz w:val="18"/>
                <w:szCs w:val="18"/>
                <w:highlight w:val="none"/>
                <w:lang w:val="en-US" w:eastAsia="zh-CN"/>
              </w:rPr>
              <w:t xml:space="preserve">9</w:t>
            </w:r>
            <w:r>
              <w:rPr>
                <w:rFonts w:hint="eastAsia"/>
                <w:sz w:val="18"/>
                <w:szCs w:val="18"/>
                <w:highlight w:val="none"/>
              </w:rPr>
              <w:t xml:space="preserve">、光敏报警电路套件*1等。</w:t>
            </w:r>
            <w:r>
              <w:rPr>
                <w:rFonts w:hint="eastAsia"/>
                <w:color w:val="0000ff"/>
                <w:sz w:val="18"/>
                <w:szCs w:val="18"/>
                <w:highlight w:val="none"/>
              </w:rPr>
              <w:t xml:space="preserve">   </w:t>
            </w:r>
            <w:r>
              <w:rPr>
                <w:rFonts w:hint="eastAsia"/>
                <w:sz w:val="18"/>
                <w:szCs w:val="18"/>
                <w:highlight w:val="none"/>
              </w:rPr>
              <w:t xml:space="preserve">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w:t>
            </w:r>
            <w:r>
              <w:rPr>
                <w:rFonts w:hint="eastAsia"/>
                <w:sz w:val="18"/>
                <w:szCs w:val="18"/>
                <w:highlight w:val="none"/>
                <w:lang w:val="en-US" w:eastAsia="zh-CN"/>
              </w:rPr>
              <w:t xml:space="preserve">二</w:t>
            </w:r>
            <w:r>
              <w:rPr>
                <w:rFonts w:hint="eastAsia"/>
                <w:sz w:val="18"/>
                <w:szCs w:val="18"/>
                <w:highlight w:val="none"/>
              </w:rPr>
              <w:t xml:space="preserve">）实验模块：</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供电方式采用供电模块系统，可直接连接电脑端或是DC电源输入接口。</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供电模块底座规格≥81mm*57mm*28mm，壁厚≥2mm。模块底座采用ABS材质注塑一体开模制成，四周采用圆弧角曲面工艺，圆弧角曲面设计表面光滑质感舒适，确保使用过程中不割手划伤等风险。底座兼容积木孔位不低于40个，适合不同积木板的兼容。底部采用标准积木孔位，可与其他积木结构件或电子件兼容，拓展更多活动实验。</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下底座的前后左右四周，采用勾勒纹路条纹，层次分明，激发学生电路实验的兴趣和乐趣。并留有专用标准孔位，配有专用ABS材质注塑成型的连接导杆。可在没有积木板的情况下，通过连接导杆相互连接拼扣，方便拆卸适应不同环境场合。</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3、电路表面带有USB充放电接口，DC电源输入接口，输出电源香蕉线插口，输出电源排针插口。电路板固定在底座盒体上，可以调节供电电压值，5-12V电压范围可调，以适应不同电路对电压的实验需求特征；外形圆弧角一体式设计，握感舒适；数字显示电子表，精确显示电路中的电流电压值变化及具体数值。</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多功能电路组合综合实验箱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sz w:val="18"/>
                <w:szCs w:val="18"/>
                <w:highlight w:val="none"/>
              </w:rPr>
              <w:suppressLineNumbers w:val="0"/>
            </w:pPr>
            <w:r>
              <w:rPr>
                <w:rFonts w:hint="eastAsia"/>
                <w:sz w:val="18"/>
                <w:szCs w:val="18"/>
                <w:highlight w:val="none"/>
              </w:rPr>
              <w:t xml:space="preserve">（1）实验箱箱体描述：</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箱体外观最大尺寸（mm）：长400×宽300×高190mm（±10）mm；箱体内部最大尺寸（mm）：长380×宽280×高150mm（±10）mm；箱盖上端和箱体前端，均预留手提把手，上端把手规格：长350×宽90mm（±10）mm，前端把手规格：长180×宽65mm（±10）mm。</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箱盖正面两侧，均预留可拆卸透明卡槽，规格：长90×宽20mm（±10）mm；可用于箱体编号说明卡片，存放标注等使用。箱盖和箱体采用旋扣式锁合装置，转动实验箱前侧的锁止机构既可以锁定箱子，也可以实现多箱子间累计叠加的锁合。箱盖和箱体的两端，采用多挡位可移动式，划扣机构锁合装置，可以实现滑动调节，多挡位的固定锁合，多箱累计摆放时，使其整体结构更加稳定。</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箱底结构预留固定卡槽，实验箱的箱体可实现多个堆叠摆放，多个堆叠手提移动，结构强度支持可达5-8层高。使其使用更加方便快捷，存储占地面积小的特点。多箱累计摆放时，箱底结构的固定卡槽，可固定至专用移动拉伸平板车上，便于多箱承重时的携带和移动，使其移动更加安全可靠。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4、箱体材质：ABS（丙烯腈-丁二烯-苯乙烯）</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5、箱体内部构造：采用EPV珍珠棉隔离填充材料，实验器材设有固定位置。每个实验电路均采用环氧树脂板台面独立操作模块，电路板插件式结构，可反复使用，无需焊接，带安全电源。提高学生动手能力，可以由学生自己动手组合完成多种模拟电路开闭环电路控制系统实验。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（2）实验模块：</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1、电子元件底座尺寸：≥长65mm*宽41mm*高26mm，ABS材质注塑一体开模制成，四周采用圆弧角曲面工艺，圆弧角曲面设计表面光滑质感舒适，确保使用过程中不割手划伤等风险。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2、底座采用分段式结构兼容积木组件，可以和积木组件任意拼搭。下底座兼容积木孔位不低于18个，适合不同积木板的兼容。                                                                      </w:t>
            </w:r>
            <w:r/>
          </w:p>
          <w:p>
            <w:pPr>
              <w:jc w:val="left"/>
              <w:keepLines w:val="0"/>
              <w:keepNext w:val="0"/>
              <w:widowControl/>
              <w:rPr>
                <w:rFonts w:hint="eastAsia"/>
                <w:sz w:val="18"/>
                <w:szCs w:val="18"/>
                <w:highlight w:val="none"/>
              </w:rPr>
              <w:suppressLineNumbers w:val="0"/>
            </w:pPr>
            <w:r>
              <w:rPr>
                <w:rFonts w:hint="eastAsia"/>
                <w:sz w:val="18"/>
                <w:szCs w:val="18"/>
                <w:highlight w:val="none"/>
              </w:rPr>
              <w:t xml:space="preserve">3、上盖为透明颜色采用圆弧角曲面设计，从外部可以清晰看到电子元器件的内部构造，上盖预留观察调试矩形孔位，可在不拆卸的情况下和实验过程中调节电路实验，上盖表面有电路装饰图，激发学生电路实验的兴趣和乐趣。                                                              </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sz w:val="18"/>
                <w:szCs w:val="18"/>
                <w:highlight w:val="none"/>
              </w:rPr>
              <w:t xml:space="preserve">4、包含四大模块：1、常用电子元器件特性认知套件；2、半导体开关特性认知与应用套件；3、常见继电器认知与应用套件；4、基本数字电路认知／设计套件；其中第1部分可以完成：晶体三极管开关放大、霓虹灯、磁敏传感器应用、光敏报警电路、常见传感器实验； 第2部分可以完成：晶体三极管开关电路、恒温控制系统设计、声光控制楼道灯实验；第3部分可</w:t>
            </w:r>
            <w:r>
              <w:rPr>
                <w:rFonts w:hint="eastAsia"/>
                <w:sz w:val="18"/>
                <w:szCs w:val="18"/>
                <w:highlight w:val="none"/>
              </w:rPr>
              <w:t xml:space="preserve">以完成：直流电磁继电器控制电路、晶闸管控制电路实验；第4部分可以完成：单稳态延时电路、智力竞赛抢答器、电子门铃、三人表决器、基本逻辑门电路、红外遥控风扇、红绿灯控制设计实验；电子方面：均采用拼插式模块化结构，易组装和拆卸，可重复使用；ABS材质，由各种电子元器件、导线、电源、开关、电路板组成。安全环保，可搭建各种电子控制技术模型或装置。                                                                                       </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声敏传感器应用套件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实现功能：模拟声敏控制发光二极管的控制，认识声敏传感器的工作原理及在日常生活中广泛的作用。实践台底板为环氧线路板，配备专用电池盒。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常用电子元器件特性认知套件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140×80×20mm盒装；pcb台面：台面印有清晰的电路原理图，使其功能一目了然，板上设有各种元器件，自锁紧插座，导线连接线等。可使用万用表测量工具测量实时数据；易于组装电路实验，可重复循环使用。 实现功能：为通用技术教学实验专门设计的学生分组装置,可以用于技术与设计和电子控制技术的教学，电路板上集成了继电器、电阻、电容、数码管、二极管、三极管、八位拨码开关等多种常见的电子元器件。学生可以直观的了解电子元器件的特性和使用范畴。是电子技术初学者最好的学习工具，实践台底板为环氧线路板，配备专用电池盒。</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声控闪光电路套件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散件,学生可以通过这个套件的练习，简单认识电路板原理及设计，识别电子元器件的封装特性，练习使用电烙铁的方法，初步了解掌握焊接技术。实验可实现声音控制闪光报警功能，随着声音的大小，实现不规则频率的闪光亮度报警提示功能。电路配有：LED发光二极管模块、芯片、电阻、电容、三极管、声音传感器、电池盒。规格：约78mm*27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太阳能灯小制作套件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子散件,学生可以通过这个套件的练习，简单认识电路板原理及设计，识别电子元器件的封装特性，练习使用电烙铁的方法，初步了解掌握焊接技术。实验可实现太阳能发电照明功能，通过绿色能源太阳能转换为照明电能。结构采用拼插结构，学生自行组装焊接，锻炼动手逻辑思维能力。规格：约110mm*65mm*120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电动机械手制作套件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该套件是由若干零件装配而成，装配效果逼真，可模拟演示机械手的动作原理。使用内六角不锈钢螺丝和尼龙嵌件锁紧螺母组装。三自由度，电机采用五线制步进减速电机，可实现上下、左右、夹紧、 松开。主控器上设有三组电位器，分别调节三组步进电机的转速。电源使用电池盒供电，可也使用电源适配器供电。</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电子焊接学习练习套件（基础级）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光控开关实验,2、触摸延时灯实验,3、触摸开关实验, 4、门窗报警实验,5、光控感应开关实验，6、视力保护提醒器实验, 7、音乐门铃；电阻包；电容包；三极管包；传感器焊线排针等。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电子焊接练习套件（进阶级）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塑料收纳盒包装，盒体尺寸：≥226*156*60mm；电子散件,学生可以通过这个套件的练习，简单认识电路板原理及设计，识别电子元器件的封装特性，练习使用电烙铁的方法，初步了解掌握焊接技术。1、十进制计时器, 2、无线调频话筒 ,3、电子门铃实验 ,4、定时振荡器实验,5、多谐振荡器实验,6、水位控制器套件：7、三极管放大电路套件。电阻包；电容包；三极管包；传感器焊线排针等。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电子焊接练习套件（竞赛级）</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塑料收纳盒包装，盒体尺寸：≥226*156*60mm；电子散件,学生可以通过这个套件的练习，简单认识电路板原理及设计，识别电子元器件的封装特性，练习使用电烙铁的方法，初步了解掌握焊接技术。1、简易密码锁试验套件, 2三极管振荡器套件，3、多级放大电路套件,4、断电报警器电路套件,5、单管放大电路套件，6、脉宽调速控制器套件；7、多路波形发生器套件；电阻包；电容包；三极管包；传感器焊线排针等。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台灯散件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可组装，标准件。可由学生自行焊接、组装，体验设计过程。包括底座、灯罩、LED灯组、开关、弹簧立杆、电线、电池盒、电池弹簧片、螺丝等。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个性化台灯灯罩设计套件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提供微型LED台灯的所需的基本材料，具体包括台灯木质底座、电池座、高亮度LED模块、开关、木质支架。功能：方便老师和学生开展台灯设计教学，其中台灯的外观设计和制作材料，需要老师和学生自已设计制作，使学生体验设计的重要性，能够实现台灯照明及台灯结构连接等功能，上述的材料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视力保护提醒器组装材料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可实现环境光线的强度和距离物体的远近自动发出声光报警提醒功能，模拟视力保护提醒，以此达到视力保护的功能。电路配有：蜂鸣器模块、三极管模块、光敏传感器模块、LED发光二极管模块、电阻模块、电池盒模块，规格;约40mm*39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自制水位控制套件（带水箱）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该套材由控制电路、水泵、水位传感器、上、下水箱、支架、乳胶水管、电池盒等组成。水箱透明有机玻璃材质，配有水嘴，可让学生动手焊接 线路板元件，搭建自动供水系统，了解水箱水位控制的工作过程和原理，能实现对上下双水位的闭环控制。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遥控小车设计与制作套件-太阳能小车组件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材料为木工板、电机、太阳能电路板等，连接方式：拼插、胶合。实现功能：在太阳光照射下自动前进。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全自动洗衣机控制系统设计套件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外壳为手提式翻盖塑料盒，尺寸不小于230*170*43mm,台面为PCB板。使用电池盒供电或者电源适配器均可，面板上设有不少于12路LED指示灯，不少于4路功能按钮；其中包括标准、经济、单独、排水、强洗、弱洗、洗涤、漂洗、脱水等功能。模拟全自动洗衣机基本的运行程序，具有蜂鸣器提醒功能；具有外接接口，可连接电脑，支持在线编程或下载程序。</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升旗定时控制装置设计与制作套件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尺寸：≥250*250*550mm，旗杆：不锈钢材质，高度≥520mm；提供全套自制升旗台自动控制的元器件和材料，含有升旗传动系统和机械定时器材、电机、控制器，便于学生在亲手制作，亲身参与的过程中了解自动升旗开环控制系统的基本组成与工作过程，理解控制器和执行器的作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技术设计1 教学模型实验套件</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水火箭制作试验套装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水火箭又称气压式喷水火箭、水推进火箭，它分为动力舱、箭体、箭头、尾翼、降落伞等部分。可以让学生直观了解导弹,运载火箭的发射升空,回收的过程,导弹的飞行与飞机的飞行原理及不同点。该套装包含火箭头、尾翼、发射架、喷嘴、气压瓶、打气筒等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六面广告宣传灯</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采用透明蓝亚克力材料制作，分体式结构，底座可与灯箱可分离，演示利用齿轮减速原理，底座齿轮带动灯箱齿轮运转。六面体结构，激光雕刻丝印图案，尺寸≥80*100mm。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底座规格:镜面直径≥100mm，底部直径≥120mm，高度≥55mm。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标配:≥7颗LED灯照明，≥18曲音乐播放。</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循迹小车设计制作识别组装调试实验探究（探究循迹小车的技术种类）</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规格：≥300*200*60mm，塑料收纳盒包装。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内含：温湿度计、黑胶布、米尺、包括亚克力底盘、万向轮、配套车轮（连轴、通孔轮）、单片机最小系统板（</w:t>
            </w:r>
            <w:r>
              <w:rPr>
                <w:rFonts w:hint="eastAsia" w:ascii="宋体" w:hAnsi="宋体" w:eastAsia="宋体" w:cs="宋体"/>
                <w:i w:val="0"/>
                <w:iCs w:val="0"/>
                <w:color w:val="000000"/>
                <w:sz w:val="18"/>
                <w:szCs w:val="18"/>
                <w:u w:val="none"/>
                <w:lang w:val="en-US" w:eastAsia="zh-CN" w:bidi="ar"/>
              </w:rPr>
              <w:t xml:space="preserve">带有外部电源接口、循迹模块连接端口、电源接线端口、驱动控制端口）、USB程序自动下载器、单片机USB转串口模块、电池以及配套电池盒（带开关）、2个直流减速电机、配套电机支撑板、配套漆包线、电机驱动模块、两路红外循迹模块、三路循迹红外传感器模块、杜邦线（公对公不少于20CM、公对母不少于20CM、母对母不少于30CM各一排）、螺丝（不少于4个M3*30、2个M3*10、60个M3*6）配套螺母不少于10个，M3内螺纹双通螺柱（不少于20个1cm、10个2cm)、黑色不少于15mm宽的电工胶带、400孔面包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电子实验材料包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包括色环电阻（300Ω、插件式）5个，色环电阻（5.1KΩ、插件式）5个，色环电阻（10KΩ、</w:t>
            </w:r>
            <w:r>
              <w:rPr>
                <w:rFonts w:hint="eastAsia" w:ascii="宋体" w:hAnsi="宋体" w:eastAsia="宋体" w:cs="宋体"/>
                <w:i w:val="0"/>
                <w:iCs w:val="0"/>
                <w:color w:val="000000"/>
                <w:sz w:val="18"/>
                <w:szCs w:val="18"/>
                <w:u w:val="none"/>
                <w:lang w:val="en-US" w:eastAsia="zh-CN" w:bidi="ar"/>
              </w:rPr>
              <w:t xml:space="preserve">插件式）5个，色环电阻（51KΩ、插件式）5个，二极管（1N4001、插件式）5个，发光二极管（5mm、高亮红色LED、插件式）5个，红外线对管（发射二极管+接收二极管、3mm、940nm、插件式）5对，拨动开关（SS12D10、3脚2挡柄高5mm、直插式）5个，三极管（S9013、插件式）5个，三极管（S9014、插件式）5个，蜂鸣器（5V、小型有源蜂鸣器、插件式）5个，热敏电阻（NTC敏电阻、插件式）2个，干簧管（常开玻封干簧管、插件式）5个，干簧管（常开玻封干簧管。开发板、面包板、连接线、杜邦线若干。</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自动翻转卸料装置设计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含不少于5ml、1ml各一支针管，不少于25cm长软管1根，软管能与注射器密闭连接。用于液压模型、螺丝M3×25mm，螺母与螺丝匹配，套管与螺丝匹配，车体结构一套。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自行车仿真模型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仿真型，拆卸方便；具有独立的方向控制系统、传动系统和刹车系统。结合配套教材，教学制作实践使用。成品尺寸:≥185*62*120mm，零件数量不低于50个。</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金属材质，仿真型。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螺杆直径：≥15mm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起升直径：≥23mm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起升高度:≥90mm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调整高度:≥60mm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最低高度:≥148mm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最高高度:≥288mm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底座尺寸:≥85*80mm</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造纸工艺制作设计实验套材</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配套：直径不小于23cm夹网木质框架*1，薄纸*1，纸浆不低于100g*1，搅拌器*1，勺子*1，干花耗材*1，色素*1，装饰片*1包。结合配套教材，教学制作实践使用。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桥梁承重测试仪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让学生发挥日常所学物理学、结构学等知识来实现桥梁建造，根据桥梁的承 重极限评定名次（可通过挂钩式电子称来计量）。材料为松木条，配件包含 钢尺、快干胶、美工刀、夹子等。</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螺丝连接模型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规格：≥200*50*190mm；透明不少于8mm高级亚克力材质，表面激光雕刻纹路。截面倒角抛光，不伤手。各种螺丝连接模型：螺栓连接；外六角M8、M10、内六角M8、M10、圆头M3、M4、M5、M6、沉头M3、M4、M6、M8、</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常用螺母垫片模型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50*190mm；透明不少于8mm高级亚克力材质，表面激光雕刻纹路。截面倒角抛光，不伤手螺母规格：M6、M8、M10；方六角、法兰面、蝶形、盖形、方形、方平垫片、弹簧垫片；垫片规格：6、8、10；平垫片、弹簧垫片；螺纹类型：三角螺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三视图投影演示仪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规格：≥200*200*200mm；透明亚克力材质制成；实体投影，可自由拆装组合，三视图采用合页连接，具有定位单元。采用激光切割、雕刻成型，配合说明书使用，表面倒角抛光不伤手。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点、线、面投影模型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规格：≥200*200*200mm；透明亚克力材质制成；点、线、面实体投影，可自由拆装组合，采用合页连接，具有定位单元。有机玻璃材质，采用激光切割、雕刻成型，表面倒角抛光不伤手。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绘图模型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多种常用机械零件模型各一，材质：ABS材质。中空注塑有色一次成型,臂厚≥3cm,模型的各单元可自由拆装组合,需定位的单元带有是定位键，共计不少于10个单元。</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包装尺寸：≥200×200×200mm，榫卯连接模型，可拆卸。内含：粽角榫、抱肩榫、插肩榫、龙凤榫、四面燕尾榫不少于5种，钉连接、插接连接等模型组。房屋零件设计成榫式结构，零件之间可互相咬合，零件数不少110个，可自由发挥搭建多钟结构形态。</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金工连接方式模型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演示常用连接方法，依据连接件不同的使用场合实现连接。由铆接模型、黏接模型、焊接模型组成，连接处清晰可察，便于理解固定连接和半固定连接的方法，理解连接方式的多种多样。材质：有机玻璃和金属，配合说明书使用，辅助教学。铆接模型：3件/套；有色透明有机玻璃材质；搭铆、单搭板铆接、双搭板铆接三种类型。焊接模型：3件/套；金属材质；坡口型式、搭焊、对焊、角焊。粘接模型：3件/套；有色透明有机玻璃材质，搭粘、角粘、单搭板对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通用技术实验材料</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1.笔筒：材料为木工板，连接方式：拼插、胶合。实现功能：放置笔和其他 小文具。2.书架：材料为木工板，连接方式：拼插、胶合。实现功能：可放 置书本和资料。3.百叶窗：材料为</w:t>
            </w:r>
            <w:r>
              <w:rPr>
                <w:rFonts w:hint="eastAsia" w:ascii="宋体" w:hAnsi="宋体" w:eastAsia="宋体" w:cs="宋体"/>
                <w:i w:val="0"/>
                <w:iCs w:val="0"/>
                <w:color w:val="000000"/>
                <w:sz w:val="18"/>
                <w:szCs w:val="18"/>
                <w:u w:val="none"/>
                <w:lang w:val="en-US" w:eastAsia="zh-CN" w:bidi="ar"/>
              </w:rPr>
              <w:t xml:space="preserve">木工板，连接方式：拼插、胶合。实现功 能：实现百叶窗的闭合动作。4.太阳能小车：材料为木工板、电机、太阳能 电路板等，连接方式：拼插、胶合。实现功能：在太阳光照射下自动前进。5.密码箱：材料为木工板、锁、等，连接方式：拼 插、胶合。实现功能：密码箱的开启功能。6.太阳能水车房子：连接方式：拼插、胶合。实现功能：了解中国古代著名建筑的结构和原理以及新能源的利用。7.踩踏垃圾桶：材料为木工板，连接方式：拼插、胶合。实现功能：具有仿真功能，模拟结构的特性。8.石英钟模型：指针，表芯等材料，实现功能：具有仿真功能。</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钻木取火工具</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规格：40x33cm，采用松木制成，经过熏蒸，打磨，抛光等工艺，预留10个钻槽，可重复使用，配备钨钢轴承，从而降低阻力达到生火的几率性加大。</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中文版活字排版盒</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尺寸：360x260x70mm;精品榉木制成，特点：健康环保安全无污染，配有汉字及数字；锻炼专注力、思维能力、空间想象能力。</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面料样本册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羊毛面料，羊毛大衣呢，麻，反光涂层，棉麻混纺，大衣呢，真丝雪纺，羽绒服面料，化纤混纺，金属丝，烫金，蕾丝等不少于49种面料样卡展示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格雷夫斯水壶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国产仿真型，采用不锈钢材质，≥3.5L容量装，下底直径≥22cm，总高≥24.5cm。水开即响，自动鸣笛的特点。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老式电话</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古典电话，外形典雅庄重，欧美风格，与各类电话线路交换机兼容，即插即用。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怀旧仿古电话机 尺寸：高20cm 长20cm 宽17cm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[材料]:硬塑+电子元件</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伽利略温度计</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规格：7cmX7cmX18cm高，温差范围18-26度</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多功能学习用品盒模型</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规格：23x16x13cm。椴木设计材质，模型结构搭建拼装完成，环保安全无味健康，圆润倒角设计，安装不伤手，多层丰富储存空间，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孔明锁</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含三梁、六梁、二四梁等十多组</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削皮器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不锈钢塑料材质，3件套</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榨汁机</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五种不同榨汁机模型组成；由草模、结构、功能、概念、展示五种不同阶段模型组成，能完全表达不同阶段的设计方案，并在每一阶段分析、调整、发展构思、试验、改进，体现模型制作在不同产品设计的不同阶段不同的作用。材质：草模：亚克力材质。概念模型：亚克力材质。结构模型：亚克力材质。功能模型：亚克力材质，金属连接，手柄可调，展示产品性能和人机关系。展示模型：不锈钢模具成型，流线型设计，工艺外观结构人机关系达到完美展示，表面倒角抛光不伤手。</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培训配置</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纸质教案</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highlight w:val="none"/>
              </w:rPr>
              <w:suppressLineNumbers w:val="0"/>
            </w:pPr>
            <w:r>
              <w:rPr>
                <w:rFonts w:hint="eastAsia"/>
                <w:highlight w:val="none"/>
              </w:rPr>
              <w:t xml:space="preserve">纸质教案：</w:t>
            </w:r>
            <w:r/>
          </w:p>
          <w:p>
            <w:pPr>
              <w:jc w:val="left"/>
              <w:keepLines w:val="0"/>
              <w:keepNext w:val="0"/>
              <w:widowControl/>
              <w:rPr>
                <w:rFonts w:hint="eastAsia"/>
                <w:highlight w:val="none"/>
              </w:rPr>
              <w:suppressLineNumbers w:val="0"/>
            </w:pPr>
            <w:r>
              <w:rPr>
                <w:rFonts w:hint="eastAsia"/>
                <w:highlight w:val="none"/>
              </w:rPr>
              <w:t xml:space="preserve">内容</w:t>
            </w:r>
            <w:r>
              <w:rPr>
                <w:rFonts w:hint="eastAsia"/>
                <w:highlight w:val="none"/>
                <w:lang w:val="en-US" w:eastAsia="zh-CN"/>
              </w:rPr>
              <w:t xml:space="preserve">须包括</w:t>
            </w:r>
            <w:r>
              <w:rPr>
                <w:rFonts w:hint="eastAsia"/>
                <w:highlight w:val="none"/>
              </w:rPr>
              <w:t xml:space="preserve">金工基础课程与木工基础课程两大板块，金工基础课程配备十三类配套套组及多版Word教案，木工基础课程包含十六项手工课题，每项课题均对应含完整教学模块的 Word 教案、配套PPT课件，且第二节至第十六节课另配有带语音、文字步骤与实操演示的教学视频</w:t>
            </w:r>
            <w:r>
              <w:rPr>
                <w:rFonts w:hint="eastAsia" w:eastAsia="宋体"/>
                <w:highlight w:val="none"/>
                <w:lang w:eastAsia="zh-CN"/>
              </w:rPr>
              <w:t xml:space="preserve">（</w:t>
            </w:r>
            <w:r>
              <w:rPr>
                <w:rFonts w:hint="eastAsia" w:ascii="Calibri" w:eastAsia="宋体"/>
                <w:highlight w:val="none"/>
                <w:lang w:val="en-US" w:eastAsia="zh-CN"/>
              </w:rPr>
              <w:t xml:space="preserve">提供优盘或光盘存储介质</w:t>
            </w:r>
            <w:r>
              <w:rPr>
                <w:rFonts w:hint="eastAsia" w:eastAsia="宋体"/>
                <w:highlight w:val="none"/>
                <w:lang w:eastAsia="zh-CN"/>
              </w:rPr>
              <w:t xml:space="preserve">）</w:t>
            </w:r>
            <w:r>
              <w:rPr>
                <w:rFonts w:hint="eastAsia"/>
                <w:highlight w:val="none"/>
              </w:rPr>
              <w:t xml:space="preserve">。</w:t>
            </w:r>
            <w:r/>
          </w:p>
          <w:p>
            <w:pPr>
              <w:jc w:val="left"/>
              <w:keepLines w:val="0"/>
              <w:keepNext w:val="0"/>
              <w:widowControl/>
              <w:rPr>
                <w:rFonts w:hint="eastAsia"/>
                <w:highlight w:val="none"/>
              </w:rPr>
              <w:suppressLineNumbers w:val="0"/>
            </w:pPr>
            <w:r>
              <w:rPr>
                <w:rFonts w:hint="eastAsia"/>
                <w:highlight w:val="none"/>
              </w:rPr>
              <w:t xml:space="preserve">纸质教案（视频）内容：</w:t>
            </w:r>
            <w:r/>
          </w:p>
          <w:p>
            <w:pPr>
              <w:jc w:val="left"/>
              <w:keepLines w:val="0"/>
              <w:keepNext w:val="0"/>
              <w:widowControl/>
              <w:rPr>
                <w:rFonts w:hint="eastAsia"/>
                <w:highlight w:val="none"/>
              </w:rPr>
              <w:suppressLineNumbers w:val="0"/>
            </w:pPr>
            <w:r>
              <w:rPr>
                <w:rFonts w:hint="eastAsia"/>
                <w:highlight w:val="none"/>
              </w:rPr>
              <w:t xml:space="preserve">一、金工基础课程</w:t>
            </w:r>
            <w:r/>
          </w:p>
          <w:p>
            <w:pPr>
              <w:jc w:val="left"/>
              <w:keepLines w:val="0"/>
              <w:keepNext w:val="0"/>
              <w:widowControl/>
              <w:rPr>
                <w:rFonts w:hint="eastAsia"/>
                <w:highlight w:val="none"/>
              </w:rPr>
              <w:suppressLineNumbers w:val="0"/>
            </w:pPr>
            <w:r>
              <w:rPr>
                <w:rFonts w:hint="eastAsia"/>
                <w:highlight w:val="none"/>
              </w:rPr>
              <w:t xml:space="preserve">1.金工综合加工套组一</w:t>
            </w:r>
            <w:r/>
          </w:p>
          <w:p>
            <w:pPr>
              <w:jc w:val="left"/>
              <w:keepLines w:val="0"/>
              <w:keepNext w:val="0"/>
              <w:widowControl/>
              <w:rPr>
                <w:rFonts w:hint="eastAsia"/>
                <w:highlight w:val="none"/>
              </w:rPr>
              <w:suppressLineNumbers w:val="0"/>
            </w:pPr>
            <w:r>
              <w:rPr>
                <w:rFonts w:hint="eastAsia"/>
                <w:highlight w:val="none"/>
              </w:rPr>
              <w:t xml:space="preserve">2.金工综合加工套组二</w:t>
            </w:r>
            <w:r/>
          </w:p>
          <w:p>
            <w:pPr>
              <w:jc w:val="left"/>
              <w:keepLines w:val="0"/>
              <w:keepNext w:val="0"/>
              <w:widowControl/>
              <w:rPr>
                <w:rFonts w:hint="eastAsia"/>
                <w:highlight w:val="none"/>
              </w:rPr>
              <w:suppressLineNumbers w:val="0"/>
            </w:pPr>
            <w:r>
              <w:rPr>
                <w:rFonts w:hint="eastAsia"/>
                <w:highlight w:val="none"/>
              </w:rPr>
              <w:t xml:space="preserve">3.金工工具套组</w:t>
            </w:r>
            <w:r/>
          </w:p>
          <w:p>
            <w:pPr>
              <w:jc w:val="left"/>
              <w:keepLines w:val="0"/>
              <w:keepNext w:val="0"/>
              <w:widowControl/>
              <w:rPr>
                <w:rFonts w:hint="eastAsia"/>
                <w:highlight w:val="none"/>
              </w:rPr>
              <w:suppressLineNumbers w:val="0"/>
            </w:pPr>
            <w:r>
              <w:rPr>
                <w:rFonts w:hint="eastAsia"/>
                <w:highlight w:val="none"/>
              </w:rPr>
              <w:t xml:space="preserve">4.金工铸造套组</w:t>
            </w:r>
            <w:r/>
          </w:p>
          <w:p>
            <w:pPr>
              <w:jc w:val="left"/>
              <w:keepLines w:val="0"/>
              <w:keepNext w:val="0"/>
              <w:widowControl/>
              <w:rPr>
                <w:rFonts w:hint="eastAsia"/>
                <w:highlight w:val="none"/>
              </w:rPr>
              <w:suppressLineNumbers w:val="0"/>
            </w:pPr>
            <w:r>
              <w:rPr>
                <w:rFonts w:hint="eastAsia"/>
                <w:highlight w:val="none"/>
              </w:rPr>
              <w:t xml:space="preserve">5.金工后处理套组</w:t>
            </w:r>
            <w:r/>
          </w:p>
          <w:p>
            <w:pPr>
              <w:jc w:val="left"/>
              <w:keepLines w:val="0"/>
              <w:keepNext w:val="0"/>
              <w:widowControl/>
              <w:rPr>
                <w:rFonts w:hint="eastAsia"/>
                <w:highlight w:val="none"/>
              </w:rPr>
              <w:suppressLineNumbers w:val="0"/>
            </w:pPr>
            <w:r>
              <w:rPr>
                <w:rFonts w:hint="eastAsia"/>
                <w:highlight w:val="none"/>
              </w:rPr>
              <w:t xml:space="preserve">6.金工保护套组</w:t>
            </w:r>
            <w:r/>
          </w:p>
          <w:p>
            <w:pPr>
              <w:jc w:val="left"/>
              <w:keepLines w:val="0"/>
              <w:keepNext w:val="0"/>
              <w:widowControl/>
              <w:rPr>
                <w:rFonts w:hint="eastAsia"/>
                <w:highlight w:val="none"/>
              </w:rPr>
              <w:suppressLineNumbers w:val="0"/>
            </w:pPr>
            <w:r>
              <w:rPr>
                <w:rFonts w:hint="eastAsia"/>
                <w:highlight w:val="none"/>
              </w:rPr>
              <w:t xml:space="preserve">7.金工测量套组</w:t>
            </w:r>
            <w:r/>
          </w:p>
          <w:p>
            <w:pPr>
              <w:jc w:val="left"/>
              <w:keepLines w:val="0"/>
              <w:keepNext w:val="0"/>
              <w:widowControl/>
              <w:rPr>
                <w:rFonts w:hint="eastAsia"/>
                <w:highlight w:val="none"/>
              </w:rPr>
              <w:suppressLineNumbers w:val="0"/>
            </w:pPr>
            <w:r>
              <w:rPr>
                <w:rFonts w:hint="eastAsia"/>
                <w:highlight w:val="none"/>
              </w:rPr>
              <w:t xml:space="preserve">8.金工精密测量套组</w:t>
            </w:r>
            <w:r/>
          </w:p>
          <w:p>
            <w:pPr>
              <w:jc w:val="left"/>
              <w:keepLines w:val="0"/>
              <w:keepNext w:val="0"/>
              <w:widowControl/>
              <w:rPr>
                <w:rFonts w:hint="eastAsia"/>
                <w:highlight w:val="none"/>
              </w:rPr>
              <w:suppressLineNumbers w:val="0"/>
            </w:pPr>
            <w:r>
              <w:rPr>
                <w:rFonts w:hint="eastAsia"/>
                <w:highlight w:val="none"/>
              </w:rPr>
              <w:t xml:space="preserve">9.金属板材套组</w:t>
            </w:r>
            <w:r/>
          </w:p>
          <w:p>
            <w:pPr>
              <w:jc w:val="left"/>
              <w:keepLines w:val="0"/>
              <w:keepNext w:val="0"/>
              <w:widowControl/>
              <w:rPr>
                <w:rFonts w:hint="eastAsia"/>
                <w:highlight w:val="none"/>
              </w:rPr>
              <w:suppressLineNumbers w:val="0"/>
            </w:pPr>
            <w:r>
              <w:rPr>
                <w:rFonts w:hint="eastAsia"/>
                <w:highlight w:val="none"/>
              </w:rPr>
              <w:t xml:space="preserve">10.金属线材套组</w:t>
            </w:r>
            <w:r/>
          </w:p>
          <w:p>
            <w:pPr>
              <w:jc w:val="left"/>
              <w:keepLines w:val="0"/>
              <w:keepNext w:val="0"/>
              <w:widowControl/>
              <w:rPr>
                <w:rFonts w:hint="eastAsia"/>
                <w:highlight w:val="none"/>
              </w:rPr>
              <w:suppressLineNumbers w:val="0"/>
            </w:pPr>
            <w:r>
              <w:rPr>
                <w:rFonts w:hint="eastAsia"/>
                <w:highlight w:val="none"/>
              </w:rPr>
              <w:t xml:space="preserve">11.金工零件套组</w:t>
            </w:r>
            <w:r/>
          </w:p>
          <w:p>
            <w:pPr>
              <w:jc w:val="left"/>
              <w:keepLines w:val="0"/>
              <w:keepNext w:val="0"/>
              <w:widowControl/>
              <w:rPr>
                <w:rFonts w:hint="eastAsia"/>
                <w:highlight w:val="none"/>
              </w:rPr>
              <w:suppressLineNumbers w:val="0"/>
            </w:pPr>
            <w:r>
              <w:rPr>
                <w:rFonts w:hint="eastAsia"/>
                <w:highlight w:val="none"/>
              </w:rPr>
              <w:t xml:space="preserve">12.金工材料包套组</w:t>
            </w:r>
            <w:r/>
          </w:p>
          <w:p>
            <w:pPr>
              <w:jc w:val="left"/>
              <w:keepLines w:val="0"/>
              <w:keepNext w:val="0"/>
              <w:widowControl/>
              <w:rPr>
                <w:rFonts w:hint="eastAsia"/>
                <w:highlight w:val="none"/>
              </w:rPr>
              <w:suppressLineNumbers w:val="0"/>
            </w:pPr>
            <w:r>
              <w:rPr>
                <w:rFonts w:hint="eastAsia"/>
                <w:highlight w:val="none"/>
              </w:rPr>
              <w:t xml:space="preserve">13.焊接套组</w:t>
            </w:r>
            <w:r/>
          </w:p>
          <w:p>
            <w:pPr>
              <w:jc w:val="left"/>
              <w:keepLines w:val="0"/>
              <w:keepNext w:val="0"/>
              <w:widowControl/>
              <w:rPr>
                <w:rFonts w:hint="eastAsia"/>
                <w:highlight w:val="none"/>
              </w:rPr>
              <w:suppressLineNumbers w:val="0"/>
            </w:pPr>
            <w:r>
              <w:rPr>
                <w:rFonts w:hint="eastAsia"/>
                <w:highlight w:val="none"/>
              </w:rPr>
              <w:t xml:space="preserve">金工基础课程内含多个word版本教案</w:t>
            </w:r>
            <w:r/>
          </w:p>
          <w:p>
            <w:pPr>
              <w:jc w:val="left"/>
              <w:keepLines w:val="0"/>
              <w:keepNext w:val="0"/>
              <w:widowControl/>
              <w:rPr>
                <w:rFonts w:hint="eastAsia"/>
                <w:highlight w:val="none"/>
              </w:rPr>
              <w:suppressLineNumbers w:val="0"/>
            </w:pPr>
            <w:r>
              <w:rPr>
                <w:rFonts w:hint="eastAsia"/>
                <w:highlight w:val="none"/>
              </w:rPr>
              <w:t xml:space="preserve">二、木工基础课程</w:t>
            </w:r>
            <w:r/>
          </w:p>
          <w:p>
            <w:pPr>
              <w:jc w:val="left"/>
              <w:keepLines w:val="0"/>
              <w:keepNext w:val="0"/>
              <w:widowControl/>
              <w:rPr>
                <w:rFonts w:hint="eastAsia"/>
                <w:highlight w:val="none"/>
              </w:rPr>
              <w:suppressLineNumbers w:val="0"/>
            </w:pPr>
            <w:r>
              <w:rPr>
                <w:rFonts w:hint="eastAsia"/>
                <w:highlight w:val="none"/>
              </w:rPr>
              <w:t xml:space="preserve">1.《木趣启智一认知卡》</w:t>
            </w:r>
            <w:r/>
          </w:p>
          <w:p>
            <w:pPr>
              <w:jc w:val="left"/>
              <w:keepLines w:val="0"/>
              <w:keepNext w:val="0"/>
              <w:widowControl/>
              <w:rPr>
                <w:rFonts w:hint="eastAsia"/>
                <w:highlight w:val="none"/>
              </w:rPr>
              <w:suppressLineNumbers w:val="0"/>
            </w:pPr>
            <w:r>
              <w:rPr>
                <w:rFonts w:hint="eastAsia"/>
                <w:highlight w:val="none"/>
              </w:rPr>
              <w:t xml:space="preserve">2.《木趣手作一萌鼠摆件》</w:t>
            </w:r>
            <w:r/>
          </w:p>
          <w:p>
            <w:pPr>
              <w:jc w:val="left"/>
              <w:keepLines w:val="0"/>
              <w:keepNext w:val="0"/>
              <w:widowControl/>
              <w:rPr>
                <w:rFonts w:hint="eastAsia"/>
                <w:highlight w:val="none"/>
              </w:rPr>
              <w:suppressLineNumbers w:val="0"/>
            </w:pPr>
            <w:r>
              <w:rPr>
                <w:rFonts w:hint="eastAsia"/>
                <w:highlight w:val="none"/>
              </w:rPr>
              <w:t xml:space="preserve">3.《木趣拼图一智慧森林》</w:t>
            </w:r>
            <w:r/>
          </w:p>
          <w:p>
            <w:pPr>
              <w:jc w:val="left"/>
              <w:keepLines w:val="0"/>
              <w:keepNext w:val="0"/>
              <w:widowControl/>
              <w:rPr>
                <w:rFonts w:hint="eastAsia"/>
                <w:highlight w:val="none"/>
              </w:rPr>
              <w:suppressLineNumbers w:val="0"/>
            </w:pPr>
            <w:r>
              <w:rPr>
                <w:rFonts w:hint="eastAsia"/>
                <w:highlight w:val="none"/>
              </w:rPr>
              <w:t xml:space="preserve">4.《创意木艺一桌上小凳》</w:t>
            </w:r>
            <w:r/>
          </w:p>
          <w:p>
            <w:pPr>
              <w:jc w:val="left"/>
              <w:keepLines w:val="0"/>
              <w:keepNext w:val="0"/>
              <w:widowControl/>
              <w:rPr>
                <w:rFonts w:hint="eastAsia"/>
                <w:highlight w:val="none"/>
              </w:rPr>
              <w:suppressLineNumbers w:val="0"/>
            </w:pPr>
            <w:r>
              <w:rPr>
                <w:rFonts w:hint="eastAsia"/>
                <w:highlight w:val="none"/>
              </w:rPr>
              <w:t xml:space="preserve">5.《木趣手作一未来机器人》</w:t>
            </w:r>
            <w:r/>
          </w:p>
          <w:p>
            <w:pPr>
              <w:jc w:val="left"/>
              <w:keepLines w:val="0"/>
              <w:keepNext w:val="0"/>
              <w:widowControl/>
              <w:rPr>
                <w:rFonts w:hint="eastAsia"/>
                <w:highlight w:val="none"/>
              </w:rPr>
              <w:suppressLineNumbers w:val="0"/>
            </w:pPr>
            <w:r>
              <w:rPr>
                <w:rFonts w:hint="eastAsia"/>
                <w:highlight w:val="none"/>
              </w:rPr>
              <w:t xml:space="preserve">6.《匠心木艺一手作小勺》</w:t>
            </w:r>
            <w:r/>
          </w:p>
          <w:p>
            <w:pPr>
              <w:jc w:val="left"/>
              <w:keepLines w:val="0"/>
              <w:keepNext w:val="0"/>
              <w:widowControl/>
              <w:rPr>
                <w:rFonts w:hint="eastAsia"/>
                <w:highlight w:val="none"/>
              </w:rPr>
              <w:suppressLineNumbers w:val="0"/>
            </w:pPr>
            <w:r>
              <w:rPr>
                <w:rFonts w:hint="eastAsia"/>
                <w:highlight w:val="none"/>
              </w:rPr>
              <w:t xml:space="preserve">7.《木趣手作一伴餐筷子》</w:t>
            </w:r>
            <w:r/>
          </w:p>
          <w:p>
            <w:pPr>
              <w:jc w:val="left"/>
              <w:keepLines w:val="0"/>
              <w:keepNext w:val="0"/>
              <w:widowControl/>
              <w:rPr>
                <w:rFonts w:hint="eastAsia"/>
                <w:highlight w:val="none"/>
              </w:rPr>
              <w:suppressLineNumbers w:val="0"/>
            </w:pPr>
            <w:r>
              <w:rPr>
                <w:rFonts w:hint="eastAsia"/>
                <w:highlight w:val="none"/>
              </w:rPr>
              <w:t xml:space="preserve">8.《木韵妙剪一窗花书签》</w:t>
            </w:r>
            <w:r/>
          </w:p>
          <w:p>
            <w:pPr>
              <w:jc w:val="left"/>
              <w:keepLines w:val="0"/>
              <w:keepNext w:val="0"/>
              <w:widowControl/>
              <w:rPr>
                <w:rFonts w:hint="eastAsia"/>
                <w:highlight w:val="none"/>
              </w:rPr>
              <w:suppressLineNumbers w:val="0"/>
            </w:pPr>
            <w:r>
              <w:rPr>
                <w:rFonts w:hint="eastAsia"/>
                <w:highlight w:val="none"/>
              </w:rPr>
              <w:t xml:space="preserve">9.《蝶影雅集一木艺名片夹》</w:t>
            </w:r>
            <w:r/>
          </w:p>
          <w:p>
            <w:pPr>
              <w:jc w:val="left"/>
              <w:keepLines w:val="0"/>
              <w:keepNext w:val="0"/>
              <w:widowControl/>
              <w:rPr>
                <w:rFonts w:hint="eastAsia"/>
                <w:highlight w:val="none"/>
              </w:rPr>
              <w:suppressLineNumbers w:val="0"/>
            </w:pPr>
            <w:r>
              <w:rPr>
                <w:rFonts w:hint="eastAsia"/>
                <w:highlight w:val="none"/>
              </w:rPr>
              <w:t xml:space="preserve">10.《木艺奇趣一鸱鸺守护者》</w:t>
            </w:r>
            <w:r/>
          </w:p>
          <w:p>
            <w:pPr>
              <w:jc w:val="left"/>
              <w:keepLines w:val="0"/>
              <w:keepNext w:val="0"/>
              <w:widowControl/>
              <w:rPr>
                <w:rFonts w:hint="eastAsia"/>
                <w:highlight w:val="none"/>
              </w:rPr>
              <w:suppressLineNumbers w:val="0"/>
            </w:pPr>
            <w:r>
              <w:rPr>
                <w:rFonts w:hint="eastAsia"/>
                <w:highlight w:val="none"/>
              </w:rPr>
              <w:t xml:space="preserve">11.《木语匠心一树屋建造》</w:t>
            </w:r>
            <w:r/>
          </w:p>
          <w:p>
            <w:pPr>
              <w:jc w:val="left"/>
              <w:keepLines w:val="0"/>
              <w:keepNext w:val="0"/>
              <w:widowControl/>
              <w:rPr>
                <w:rFonts w:hint="eastAsia"/>
                <w:highlight w:val="none"/>
              </w:rPr>
              <w:suppressLineNumbers w:val="0"/>
            </w:pPr>
            <w:r>
              <w:rPr>
                <w:rFonts w:hint="eastAsia"/>
                <w:highlight w:val="none"/>
              </w:rPr>
              <w:t xml:space="preserve">12.《木刻时光一木质冰箱贴》</w:t>
            </w:r>
            <w:r/>
          </w:p>
          <w:p>
            <w:pPr>
              <w:jc w:val="left"/>
              <w:keepLines w:val="0"/>
              <w:keepNext w:val="0"/>
              <w:widowControl/>
              <w:rPr>
                <w:rFonts w:hint="eastAsia"/>
                <w:highlight w:val="none"/>
              </w:rPr>
              <w:suppressLineNumbers w:val="0"/>
            </w:pPr>
            <w:r>
              <w:rPr>
                <w:rFonts w:hint="eastAsia"/>
                <w:highlight w:val="none"/>
              </w:rPr>
              <w:t xml:space="preserve">13.《弦音古韵一木制风铃》</w:t>
            </w:r>
            <w:r/>
          </w:p>
          <w:p>
            <w:pPr>
              <w:jc w:val="left"/>
              <w:keepLines w:val="0"/>
              <w:keepNext w:val="0"/>
              <w:widowControl/>
              <w:rPr>
                <w:rFonts w:hint="eastAsia"/>
                <w:highlight w:val="none"/>
              </w:rPr>
              <w:suppressLineNumbers w:val="0"/>
            </w:pPr>
            <w:r>
              <w:rPr>
                <w:rFonts w:hint="eastAsia"/>
                <w:highlight w:val="none"/>
              </w:rPr>
              <w:t xml:space="preserve">14.《创意绽放一木花之旅》</w:t>
            </w:r>
            <w:r/>
          </w:p>
          <w:p>
            <w:pPr>
              <w:jc w:val="left"/>
              <w:keepLines w:val="0"/>
              <w:keepNext w:val="0"/>
              <w:widowControl/>
              <w:rPr>
                <w:rFonts w:hint="eastAsia"/>
                <w:highlight w:val="none"/>
              </w:rPr>
              <w:suppressLineNumbers w:val="0"/>
            </w:pPr>
            <w:r>
              <w:rPr>
                <w:rFonts w:hint="eastAsia"/>
                <w:highlight w:val="none"/>
              </w:rPr>
              <w:t xml:space="preserve">15.《趣观世界一小窗风情》</w:t>
            </w:r>
            <w:r/>
          </w:p>
          <w:p>
            <w:pPr>
              <w:jc w:val="left"/>
              <w:keepLines w:val="0"/>
              <w:keepNext w:val="0"/>
              <w:widowControl/>
              <w:rPr>
                <w:rFonts w:hint="eastAsia"/>
                <w:highlight w:val="none"/>
              </w:rPr>
              <w:suppressLineNumbers w:val="0"/>
            </w:pPr>
            <w:r>
              <w:rPr>
                <w:rFonts w:hint="eastAsia"/>
                <w:highlight w:val="none"/>
              </w:rPr>
              <w:t xml:space="preserve">16.《木纳珍宝一收纳手作》</w:t>
            </w:r>
            <w:r/>
          </w:p>
          <w:p>
            <w:pPr>
              <w:jc w:val="left"/>
              <w:keepLines w:val="0"/>
              <w:keepNext w:val="0"/>
              <w:widowControl/>
              <w:rPr>
                <w:rFonts w:hint="eastAsia"/>
                <w:highlight w:val="none"/>
              </w:rPr>
              <w:suppressLineNumbers w:val="0"/>
            </w:pPr>
            <w:r>
              <w:rPr>
                <w:rFonts w:hint="eastAsia"/>
                <w:highlight w:val="none"/>
              </w:rPr>
              <w:t xml:space="preserve">要求：木工基础课程内含每节课所需word版本教案(教案内有活动目标、活动重难点、活动准备、活动过程、注意事项、家庭作业);PPT版本课件(课件内含本节课介绍、需要的材料、制作步骤及课后作业);视频(视频内含语音播报、教学步骤文字表达及具体操作步骤演示;只提供第二节至第十六节课教学视频)</w:t>
            </w:r>
            <w:r/>
          </w:p>
          <w:p>
            <w:pPr>
              <w:jc w:val="left"/>
              <w:keepLines w:val="0"/>
              <w:keepNext w:val="0"/>
              <w:widowControl/>
              <w:rPr>
                <w:rFonts w:hint="eastAsia"/>
                <w:highlight w:val="none"/>
              </w:rPr>
              <w:suppressLineNumbers w:val="0"/>
            </w:pPr>
            <w:r>
              <w:rPr>
                <w:rFonts w:hint="eastAsia" w:ascii="Calibri" w:eastAsia="宋体"/>
                <w:highlight w:val="none"/>
                <w:lang w:val="en-US" w:eastAsia="zh-CN"/>
              </w:rPr>
              <w:t xml:space="preserve">三、</w:t>
            </w:r>
            <w:r>
              <w:rPr>
                <w:rFonts w:hint="eastAsia"/>
                <w:highlight w:val="none"/>
              </w:rPr>
              <w:t xml:space="preserve">教室讲解内容：</w:t>
            </w:r>
            <w:r/>
          </w:p>
          <w:p>
            <w:pPr>
              <w:jc w:val="left"/>
              <w:keepLines w:val="0"/>
              <w:keepNext w:val="0"/>
              <w:widowControl/>
              <w:rPr>
                <w:rFonts w:hint="eastAsia"/>
                <w:highlight w:val="none"/>
              </w:rPr>
              <w:suppressLineNumbers w:val="0"/>
            </w:pPr>
            <w:r>
              <w:rPr>
                <w:rFonts w:hint="eastAsia"/>
                <w:highlight w:val="none"/>
              </w:rPr>
              <w:t xml:space="preserve">（1）金工的理论与实践</w:t>
            </w:r>
            <w:r/>
          </w:p>
          <w:p>
            <w:pPr>
              <w:jc w:val="left"/>
              <w:keepLines w:val="0"/>
              <w:keepNext w:val="0"/>
              <w:widowControl/>
              <w:rPr>
                <w:rFonts w:hint="eastAsia"/>
                <w:highlight w:val="none"/>
              </w:rPr>
              <w:suppressLineNumbers w:val="0"/>
            </w:pPr>
            <w:r>
              <w:rPr>
                <w:rFonts w:hint="eastAsia"/>
                <w:highlight w:val="none"/>
              </w:rPr>
              <w:t xml:space="preserve">金工理论与实践针对金属材料进行加工和制造的技术课程，主要包括金属的切削、铣削、车削、钻孔、磨削等各种加工方法，以及机械零件的加工工艺、金属材料的选用、刀具的使用和维护等内容。通过金工课程的学习，学生可以掌握金属加工的基本技能，了解机械制造的过程和原理，为将来的工程技术应用打下基础。</w:t>
            </w:r>
            <w:r/>
          </w:p>
          <w:p>
            <w:pPr>
              <w:jc w:val="left"/>
              <w:keepLines w:val="0"/>
              <w:keepNext w:val="0"/>
              <w:widowControl/>
              <w:rPr>
                <w:rFonts w:hint="eastAsia"/>
                <w:highlight w:val="none"/>
              </w:rPr>
              <w:suppressLineNumbers w:val="0"/>
            </w:pPr>
            <w:r>
              <w:rPr>
                <w:rFonts w:hint="eastAsia"/>
                <w:highlight w:val="none"/>
              </w:rPr>
              <w:t xml:space="preserve">（2）木工的理论与实践</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highlight w:val="none"/>
              </w:rPr>
              <w:t xml:space="preserve">木工理论与实践专注于木材加工技术的实践性课程，涵盖了木材的砍、削、锯、刨、凿等基本加工技能，以及木制品的设计、制作和组装工艺。通过学习木工课程，学生能够掌握木材的特性和加工技巧，培养动手能力和创意思维，同时了解木材加工在建筑、家具制造等领域的应用，为从事相关工作和艺术创作奠定基础。</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次</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评价手册</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评价手册</w:t>
            </w:r>
            <w:r>
              <w:rPr>
                <w:rFonts w:hint="eastAsia" w:ascii="宋体" w:hAnsi="宋体" w:cs="宋体"/>
                <w:i w:val="0"/>
                <w:iCs w:val="0"/>
                <w:color w:val="000000"/>
                <w:sz w:val="18"/>
                <w:szCs w:val="18"/>
                <w:u w:val="none"/>
                <w:lang w:val="en-US" w:eastAsia="zh-CN" w:bidi="ar"/>
              </w:rPr>
              <w:t xml:space="preserve">须</w:t>
            </w:r>
            <w:r>
              <w:rPr>
                <w:rFonts w:hint="eastAsia" w:ascii="宋体" w:hAnsi="宋体" w:eastAsia="宋体" w:cs="宋体"/>
                <w:i w:val="0"/>
                <w:iCs w:val="0"/>
                <w:color w:val="000000"/>
                <w:sz w:val="18"/>
                <w:szCs w:val="18"/>
                <w:u w:val="none"/>
                <w:lang w:val="en-US" w:eastAsia="zh-CN" w:bidi="ar"/>
              </w:rPr>
              <w:t xml:space="preserve">注重评价内容多维、评价方法多样、评价主体多元。既要关注劳动知识技能，更要关注劳动观念、劳动习惯和品质、劳动精神，既要关注劳动成果，更要关注劳动过程表现。重视平时表现评价与学段综合评价结合，定性评价与定量评价结合。以教师评价为主，鼓励学生、让其他学科教师、家长等参与到评价中</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本</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评价奖状套组</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内含：最佳电工技能奖、金工操作能手奖、木工技艺卓越奖、勤奋学习奖、创新设计奖、速度与精度并重奖、最佳团队合作奖、优秀学员奖、技能提升最快奖、安全意识奖、全面发展奖</w:t>
            </w:r>
            <w:r>
              <w:rPr>
                <w:rFonts w:hint="eastAsia" w:ascii="宋体" w:hAnsi="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知识展板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1、规格尺寸：900*600mm/张，每套4张；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2、教室装饰知识展板、UV喷绘，木纹边框；3、版面由专业设计人员设计，美观实用。内容包含相关实验室管理制度、学科知识、科学家等内容。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组</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三、计算机辅材</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140宽度60高度75厘米，台面25mm厚E1级三聚氰胺防火板，桌体主板也是25mm厚E1级三聚氰胺防火板，桌体副班16厚E1级三聚氰胺防火板，板材与板材连接的配件均为不锈钢材质，封边条均是采用2mm厚PVC通过全自动封边机封边。结实耐用，质保六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老师靠背椅。专业办公网布饰面（SGS测试）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PP背架+扶手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中班蝴蝶底盘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85#气杆（行程8cm)升降自如升降时无声响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双层包裹海棉软硬适中回弹性能好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1.5公分厚板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学生学习桌2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长度140宽度60高度75厘米，木板采用电子锯精密开料，桌面2.5厘米实木颗粒环保板，封边利用全自动封边28*2mmPVC同色封边带，对板材截面进行封边，架子加厚4.0厘米方管，管壁厚度0.8毫米，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后面放机箱，带门带锁，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后面封网片，机箱高度43厘米宽度20厘米内径，门可整，侧面后背带有网片0.5毫米，设计有透气孔防止机箱过热，更防盗，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下身铁架表面是经过磷化除锈除油处理.桌脚为耐磨防滑尼龙脚垫.颜色：黑色</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学生学习</w:t>
            </w:r>
            <w:r>
              <w:rPr>
                <w:rFonts w:hint="eastAsia" w:ascii="宋体" w:hAnsi="宋体" w:eastAsia="宋体" w:cs="宋体"/>
                <w:i w:val="0"/>
                <w:iCs w:val="0"/>
                <w:color w:val="auto"/>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尺寸：23*32*45cm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1cm</w:t>
            </w:r>
            <w:r>
              <w:rPr>
                <w:rFonts w:hint="eastAsia" w:ascii="宋体" w:hAnsi="宋体" w:eastAsia="宋体" w:cs="宋体"/>
                <w:i w:val="0"/>
                <w:iCs w:val="0"/>
                <w:color w:val="auto"/>
                <w:sz w:val="18"/>
                <w:szCs w:val="18"/>
                <w:highlight w:val="none"/>
                <w:u w:val="none"/>
                <w:lang w:val="en-US" w:eastAsia="zh-CN" w:bidi="ar"/>
              </w:rPr>
              <w:t xml:space="preserve"> 凳面采用25mm厚度E1级三聚氰胺防火板，凳子为钢木结构，采用截面为25*25mm，管壁厚度为1.0mm厚，质保三年</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53181a"/>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网关路由器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带机量100,带宽1500M,桌面式,5个千兆口,VPN,4WAN,可管理32个AP</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1.24端口千兆口 带光口</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交换机</w:t>
            </w:r>
            <w:r>
              <w:rPr>
                <w:rFonts w:hint="eastAsia" w:ascii="宋体" w:hAnsi="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1.24端口千兆交换机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1.标准机柜,规格0.6米高,柜体使用SPCC冷轧钢板，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机柜</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1.标准机柜,规格1.8米高,柜体使用SPCC冷轧钢板，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低音炮2.1</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基本参数</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失真限制的输出频率</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R/L:2W+2W</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SW:4.5W</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调节形式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低音箱侧面板上旋钮调节主音量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低音单元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4英寸(外径106mm±</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中高音单元</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外径5</w:t>
            </w:r>
            <w:r>
              <w:rPr>
                <w:rFonts w:hint="eastAsia" w:ascii="宋体" w:hAnsi="宋体" w:cs="宋体"/>
                <w:i w:val="0"/>
                <w:iCs w:val="0"/>
                <w:color w:val="000000"/>
                <w:sz w:val="18"/>
                <w:szCs w:val="18"/>
                <w:u w:val="none"/>
                <w:lang w:val="en-US" w:eastAsia="zh-CN" w:bidi="ar"/>
              </w:rPr>
              <w:t xml:space="preserve">0mm</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*90mm±</w:t>
            </w:r>
            <w:r>
              <w:rPr>
                <w:rFonts w:hint="eastAsia" w:ascii="宋体" w:hAnsi="宋体" w:cs="宋体"/>
                <w:i w:val="0"/>
                <w:iCs w:val="0"/>
                <w:color w:val="000000"/>
                <w:sz w:val="18"/>
                <w:szCs w:val="18"/>
                <w:u w:val="none"/>
                <w:lang w:val="en-US" w:eastAsia="zh-CN" w:bidi="ar"/>
              </w:rPr>
              <w:t xml:space="preserve">5mm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低音箱箱体尺寸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162 ±</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(宽W) ×226±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(高H) ×206±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(深D) 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卫星箱箱体尺寸</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(宽W) ×166 ±</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(高H) ×86±</w:t>
            </w:r>
            <w:r>
              <w:rPr>
                <w:rFonts w:hint="eastAsia" w:ascii="宋体" w:hAnsi="宋体" w:cs="宋体"/>
                <w:i w:val="0"/>
                <w:iCs w:val="0"/>
                <w:color w:val="000000"/>
                <w:sz w:val="18"/>
                <w:szCs w:val="18"/>
                <w:u w:val="none"/>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 (深D) 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重量</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净重约2.3±</w:t>
            </w: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kg</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音质</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额定声频响范围</w:t>
            </w:r>
            <w:r/>
          </w:p>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70Hz~20kHz</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电子教室机房管理软件</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同时支持Legacy与UEFI两种方式启动系统，支持管理维护双网卡、双硬盘，支持NVME，M.2新型高速固态硬盘。</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网络数据线</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千兆网线</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箱</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四、理化生实验室补充</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数字化安培力实验器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用于高中物理“安培力”的研究，探究公式F=nBILsinθ中F和各个量之间的关系，也可以验证公式本身。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实验器由底座（含内置电路板、开关、电位器和显示屏等）、永磁铁1对、角度盘、线圈3个。仪器内置了微力传感器和磁场强度传感器。配置了电源适配器，直接接插常规插座即可使用。支持USB连接和蓝牙连接。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线圈（3个）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1、匝数n=100/200（可调），有效长度L=25mm；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2、匝数n=100，有效长度L=37.5mm；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3、匝数n=100，有效长度L=50mm。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范围：0~360°；最小刻度：5°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微力传感器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量程：-1N~1N；分辨率：0.001N；精度：1%F.S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磁场强度传感器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量程：-64mT~64mT；分辨率：0.06mT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内置电流可调的电源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范围：0~1A；分辨率：0.001A；可以显示当下电流的大小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电源适配器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输入：AC100~240V 50/60Hz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输出：DC12V；最大输出电流：1A</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角度盘、方形铁架台底座、角度盘指针、胶木手拧螺丝、多功能铁架台底座、公母支撑杆、通用夹具、匝线圈*2（800匝、1600匝）、红色导线、黑色导线、定位垫片、转接头、水平仪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1.用于安培力实验，探究磁场中的通电导线的线圈匝数、电流大小、电流方向与磁场方向的夹角等因素对安培力的影响。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2.实验器提供稳定测量环境，配合电流传感器和微力传感器，测量通电导线的电流大小及其在磁场中所受到的安培力大小及方向，并在Windows、安卓、iOS系统终端上实时呈现数据。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3.线圈预留导线接口，可接入外部电源，从零开始调节通过线圈的电流大小，从而探究通电导线中电流大小对安培力的影响。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4.具有2种不同匝数的线圈，控制线圈有效长度不变，改变线圈匝数，探究线圈匝数对于安培力的影响。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5.磁铁通过角度盘可0°～360°自由转动来改变磁场与线圈的夹角，角度盘标有清晰的刻度可轻松读出夹角大小，从而探究通电导线电流方向与磁场方向的夹角对安培力的影响。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6.设有通用夹具，线圈更换简便。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7.设有定位垫片，可保证更换线圈后仍处于同一高度。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8.可支持有线、无线两种工作方式。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用于探究磁场中的通电导线的线圈匝数、电流大小、电流方向与磁场方向的夹角等因素对安培力的影响等实验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必修一“力的合成”“力的分解”实验。1）探究力合成的平行四边形定则；2）探究力分解的三角形定则。实验器由基体组件、智能力盘刻度盘、挂钩组件、力臂组件、滑轮组件组成，配合2只力倾角传感器，直接测量力及倾角数值；面板印有角度刻度尺，可读出力的角度大小；配置力臂组件，可固定力传感器位置，并且方便力倾角的角度调节；数据误差小，误差精度5%以内。</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无线转动实验器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用于高中物理力学、机械能、圆周运动方面的实验。量程：0~360°，分辨率:0.125°，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光学编码器:双向的正交编码器，每转360°，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最快速度:30转/秒，通过蓝牙与电脑连接。实验器由三层塔轮和固定螺钉,O型圈,大的铝圆盘(2块),铁质圆环(1个)，质量块(2个)，手紧螺丝, 空心铝杆，铁架台组成。</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电磁定位系统</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量程：521mm*293mm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精度：1mm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分辨率：0.012mm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最大采样频率：200Hz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功耗：0.6W</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重量：1.8KG(含支架)/1.4KG(不含支架)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通信接口：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蓝牙(4.0，双模，内置模块)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USB(TypeC，磁吸口)                   二、功能：                                        小球在电磁定位板的有效范围内，可以得到小球在任意时刻的位置左边（x，y）。从而可以得到小球在平面上的运动轨迹、位移、速度和加速度。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三、组成：电磁定位板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信号源小球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收纳盒 * 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支撑腿 * 2个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数据线 * 2根</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二维平面单摆运动实验器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单摆角度盘：-90°~90°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摆杆：3种（摆长L=50cm、L=40cm、L=35cm各一根）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配件：通用铁架台（2020型材杆）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二、功能： 可完成单摆运动实验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三、组成： 单摆安装座 * 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摆杆 * 3（摆长L=50cm、L=40cm、L=35cm各一根）</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单摆角度盘 * 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二维平面平抛斜抛运动实验器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一、技术参数：                                         出射速度：有“小、中、大”3个档位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角度盘：倾角0°~90°可调；每15°一个固定孔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射速：一次发射一颗小球              </w:t>
            </w:r>
            <w:r>
              <w:rPr>
                <w:rFonts w:hint="eastAsia" w:ascii="宋体" w:hAnsi="宋体" w:cs="宋体"/>
                <w:i w:val="0"/>
                <w:iCs w:val="0"/>
                <w:color w:val="000000"/>
                <w:sz w:val="22"/>
                <w:szCs w:val="22"/>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二、功能：可完成平抛、斜抛运动实验                   三、组成： 弹射器 * 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出射角度盘 * 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二维平面自由落体运动实验器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一、</w:t>
            </w:r>
            <w:r>
              <w:rPr>
                <w:rFonts w:hint="eastAsia" w:ascii="宋体" w:hAnsi="宋体" w:eastAsia="宋体" w:cs="宋体"/>
                <w:i w:val="0"/>
                <w:iCs w:val="0"/>
                <w:color w:val="000000"/>
                <w:sz w:val="22"/>
                <w:szCs w:val="22"/>
                <w:u w:val="none"/>
                <w:lang w:val="en-US" w:eastAsia="zh-CN" w:bidi="ar"/>
              </w:rPr>
              <w:t xml:space="preserve">技术参数：                                          电池：内置锂电池3.7V/1600mAh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开关：触碰开关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配件：小球释放保护环               </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二、功能：可完成自由落体运动实验                   </w:t>
            </w:r>
            <w:r/>
          </w:p>
          <w:p>
            <w:pPr>
              <w:numPr>
                <w:ilvl w:val="0"/>
                <w:numId w:val="0"/>
              </w:num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三、组成：电磁释放器*1</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数据线*1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保护壳体*1</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二维平面运动的合成与分解实验器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铝制支撑杆，双电机、有线遥控器、下滑斜面。下滑倾角可以在0°~30°直接自由调节。搭建好后的尺寸：630±5mm*210±5mm*475mm±5mm。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1.信号源可以安装在电机牵引的模块上，也可以直接从斜面导轨自由下滑。配合电磁定位板，可测量并描绘信号源运动的轨迹，并在Windows、Android、iOS/iPadOS、MacOS、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2.一体式套件，实验搭建方便。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3.双电机各自独立运动，匀速直线运动中的x、y方向的运动速度均可单独调节，组合实现各类运动状态的实验。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4.既可以研究匀速直线运动，也可以研究匀加速直线运动。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运动的合成与分解（包括匀速直线运动和匀加速直线运动）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二维平面圆周运动实验器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铝制支撑架、转动杆组件、电机转动组件。可调旋转半径范围：3~12.5cm。电机参数：电压:6V，转速:281rpm。搭建好后的尺寸：390±5mm*310±5mm*220±5mm。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1.信号源安装在旋转杆对应槽位上，配合电磁定位板，可测量并描绘信号源做圆周运动的轨迹，并在Windows、Android、iOS/iPadOS、MacOS、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2.可以自由调整旋转半径，可以借助普通直流学生电源，对转速进行调节。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3.软件有自动判断转动圈数的能力，帮助分析实验数据。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水平面上的匀速圆周运动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二维平面离心运动实验器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铝制离心轨道、弹射器。弹射器有4个档位，轨道有1/2圆和3/4圆，用户可以自由切换。搭建完成后尺寸：508*208*343mm。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1.用于离心运动实验。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2.弹射器可将信号源弹射出去，配合电磁定位板，可测量并描绘信号源运动的轨迹，并在Windows、Android、iOS/iPadOS、MacOS、 Linux、Harmony OS、统信UOS、麒麟等系统终端上实时呈现数据。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3.弹射器有多个档位，它可以帮助信号源在竖直平面上以不同的速度，做完全或不完全的圆周运动。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4.轨道可实现1/2圆和3/4圆，自由切换。可以对比最高点的离心运动和被轨道束缚时的运动的情况。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4.一体式导轨，弹射器可通过直插入方式与轨道连接,方便安装。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5.配套专用实验软件，预设模板，以表格和曲线等形式自动记录数据变化情况，实验结果直观明显。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离心运动</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平抛运动实验器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平抛轨道组件（含平抛轨道、轨道固定块、光电门托板、螺丝、三角螺栓）、落点接球盒组件（含板夹、复写纸、白纸、接球盒）、定位螺栓、蝶形螺母、钢球组、软尺、铁架台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1.用于探究平抛运动的规律。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2.通过光电门传感器珂直接测量小球水平初速度，利用软尺测量高度和水平位移并输入在软件变量列中，在Windows、安卓、iOS系统终端上实时呈现数据，探究平抛运动的规律。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3.落球盒组件可清晰记录落点位置，得出小球准确的水平位移，有效减少实验误差。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4.平抛轨道设有定位螺栓，可保证在同一高度重复多次实验时小球位置不变。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平抛运动的规律等实验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智能力盘实验器</w:t>
            </w: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人字形底座、铝合金固定杆、刻度盘、支撑杆、滑轮、连接线组件、钩码、梅花螺丝、手紧螺丝、数据线2根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1.用于力的合成、力的分解实验，探究力合成的平行四边形定则。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2.刻度盘设有两个支撑杆，可轻松改变分力的角度，直接测量力的大小，人工读取并输入角度。在Windows、Android、iOS/iPadOS、MacOS、 Linux、Harmony OS、统信UOS、麒麟等系统终端上实时呈现数据，探究力的合成与分解实验。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3.单个支撑杆可围绕刻度盘在0°～180°内进行转动，改变力的角度。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4.连接线组件可保证两个力传感器在转动时，交点始终处于刻度盘的圆心位置，设计科学合理。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5.固定杆设有滑轮，可拓展探究合力竖直向上的情况。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6.采用人字形底座，配有调平螺丝，方便调整仪器保持水平。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7.配套专用实验软件，可在坐标系中自动绘制出合力与分力的矢量图，进行“力的合成”与“力的分解”实验。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探究力合成的平行四边形定则、探究力分解的三角形定则等实验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1.用于测量溶液的pH值。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7.可实现标定功能。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8.连接方式：蓝牙无线。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9.节能方式：传感器打开电源，但无连接或连接无活动，几分钟后自动关闭电源。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10.支持固件空中升级。                                                                                                       11.支持平台：Windows、Android、iOS/iPadOS、MacOS、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由传感器主体和前端探头连接构成。主体正面有电源按钮、电源和蓝牙指示灯、传感器名称；背面有蓝牙编号及电池仓，机身外壳与电池仓用密封圈密封。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1.用于测量物体表面、气体、酸碱等液体的温度。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7.可实现微小的温度变化快速采样。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8.无需校准，即连即用。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9.连接方式：蓝牙无线。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10.节能方式：传感器打开电源，无连接或连接无活动，几分钟后自动关闭电源。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11.支持固件空中升级。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12.可切换单位：℃、℉、K。                                                                                              13.支持平台：Windows、Android、iOS/iPadOS、MacOS、 Linux、Harmony OS、统信UOS、麒麟等。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1.量程：-40℃~125℃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由传感器主体和前端电导率探头连接构成。主体正面有电源按钮、电源和蓝牙指示灯、传感器名称；背面有蓝牙编号及电池仓，机身外壳与电池仓用密封圈密封。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1.用于测量溶液的电导率值和温度值。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3.传感器与数据采集终端（电脑、平板或手机）直接通过蓝牙无线连接，便于运动情况下的数据测量及各种实验环境中的数据采集，无需数据采集器；传感器两种测量二合一，可测量电导率、温度。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6.使用纽扣电池，电池可更换，一枚电池可正常课堂使用2年。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7.测量数据可用于测定总溶解固体。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8.传感器会自动进行温度补偿。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9.可实现标定功能。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10.连接方式：蓝牙无线。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11.节能方式：传感器打开电源，但无连接或连接无活动，几分钟后自动关闭电源。                                             12.支持平台：Windows、Android、iOS/iPadOS、MacOS、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电导率：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1.量程：0~20000μS/cm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2.分辨率：8μS/cm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3.精度：±3%F.S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1.量程：0~60℃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1.用于测量电路中的电流。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6.可实现校零功能。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1.量程：-1A~1A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2.分辨率：0.5mA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4.采样速率：蓝牙：1000次/秒；USB：10000次/秒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1.用于测量气体和液体中的氧气含量。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6.可实现溶解氧标定，气氧校准功能。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溶解氧：0~20 mg/L；氧气：0~100%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溶解氧：0.01 mg/L；氧气：0.1%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溶解氧：±0.5mg/L（10~35℃）；氧气：±2%F.S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1.用于测量气体中二氧化碳的含量。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6.无需校准，即连即用。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1.量程：0~100000 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3.精度：±100ppm(0~1000ppm)；±(100ppm＋5%读数值)(1000~10000ppm)；±10%(10000~50000ppm)；±15%(50000~100000ppm)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1000mAh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1.用于测量大气环境下或密闭空间内的气体的压强。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6.可实现校准功能。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7.连接方式：蓝牙无线或有线。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9.支持固件空中升级。                                                                                                 10.支持平台：Windows、Android、iOS/iPadOS、MacOS、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1.量程：0~400kPa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2.分辨率：0.1kPa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4.采样速率：500次/秒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5.连续使用时间：≥30小时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7.可充电锂电池，电池型号：3.7V 250mAh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无线智能氯离子传感器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一、结构及外观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传感器主体和氯离子探头构成。主体正面有电源按钮、电源和蓝牙指示灯、传感器名称；背面有蓝牙编号及电池仓，机身外壳与电池仓用密封圈密封。主体前端为BNC接口，可与氯离子探头连接用于测量液体氯离子浓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1.用于测量溶液中的氯离子的浓度及其变化情况。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2.传感器内置蓝牙无线模块，使用蓝牙5.0技术，低功耗运行和待机。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3.传感器与数据采集终端（电脑、平板或手机）直接通过蓝牙无线连接，便于运动情况下的数据测量及各种实验环境中的数据采集，无需数据采集器。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4.可脱机进行数据采集。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5.传感器具有唯一蓝牙编号，便于数据终端选择性连接。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6.使用纽扣电池，电池可更换，一枚电池可正常课堂使用1年以上。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7.可实现标定功能。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8.连接方式：蓝牙无线。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9.节能方式：传感器打开电源，但无连接或连接无活动，几分钟后自动关闭电源。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10.支持固件空中升级。                                                                                              11.支持平台：Windows、Android、iOS/iPadOS、MacOS、 Linux、Harmony OS、统信UOS、麒麟等。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三、规格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1.量程：1.8ppm~3550ppm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2.分辨率：1ppm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3.精度：±10%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4.采样速率：100次/秒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5.连续使用时间：≥120小时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6.防水等级：</w:t>
            </w:r>
            <w:r>
              <w:rPr>
                <w:rFonts w:hint="eastAsia" w:ascii="宋体" w:hAnsi="宋体" w:cs="宋体"/>
                <w:i w:val="0"/>
                <w:iCs w:val="0"/>
                <w:color w:val="000000"/>
                <w:sz w:val="22"/>
                <w:szCs w:val="22"/>
                <w:u w:val="none"/>
                <w:lang w:val="en-US" w:eastAsia="zh-CN" w:bidi="ar"/>
              </w:rPr>
              <w:t xml:space="preserve">≥IP67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7.通讯距离：≥30m（空旷无遮挡）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8.电池型号：CR2032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四、典型实验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氯离子的检验等实验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只</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手提式箱式设计，可翻盖，采用ABS材质，外形尺寸（长宽高）：437mm*327mm*170mm（两箱叠加高度H=330mm），最大承重：30-35公斤；箱体底部设有底部凸起，与上部设计凹槽相互咬合，通过独特的纽扣式锁止机构，实现箱子与箱子之前的锁合，可多个垒叠放置，便于携带和搬运，最多可垒5箱；</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光纤光谱仪</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一、组成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光纤光谱仪实验器主体（含开关、工作指示灯、USB接口、漏液孔、电池电源、比色皿槽）、比色皿*10、光纤、USB数据线、干电池*4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1.用于测量强度、吸光度、透光率和荧光等。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2.实验器采用了交叉非对称 C-T 光学系统，结构简单，体积小。内置CCD探测器，无需外接传感器及采集器，可直接与终端连接，在专用软件上，可实现数据连续记录并以数值、图像等多种形式在Windows、Android、iOS/iPadOS、MacOS、 Linux、Harmony OS、统信UOS、麒麟等系统终端上实时呈现，可探究分析叶绿素的吸收光谱、各种色光的光谱测量、高锰酸钾溶液浓度测定等实验，涉及到教学中的多个学科，应用于中学教育的初级教学。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3.采用集成LED钨光光源和两段荧光激光光源，可自由切换，安全实用。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4.具有高质量的衍射光栅，可以将不同光谱的谱线分开，并且入射到反射镜上。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5.配置10个比色皿，可对溶液进行浓度、吸光度、透光率等测量。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6.主体下方设有漏液孔，可有效避免比色皿槽中液体残留损坏测量窗口。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7.配置光纤，可实现对各种色光的光谱测量。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三、实验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锰酸钾溶液浓度测定、硫酸铜溶液浓度测定、测定实验室黄铜样品的铜含量、测定自制硫酸亚铁铵的纯度、测量化学反应速率、分析叶绿素的吸收光谱、探究酶浓度对酶促反应速率的影响、荧光光谱的测量、各种色光的光谱测量、气体放电管的放射光谱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套</w:t>
            </w:r>
            <w:r/>
          </w:p>
        </w:tc>
      </w:tr>
      <w:tr>
        <w:trPr>
          <w:jc w:val="cente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新东高文化墙</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：8000×1200</w:t>
            </w:r>
            <w:r>
              <w:rPr>
                <w:rFonts w:hint="eastAsia" w:ascii="宋体" w:hAnsi="宋体" w:eastAsia="宋体" w:cs="宋体"/>
                <w:i w:val="0"/>
                <w:iCs w:val="0"/>
                <w:color w:val="000000"/>
                <w:sz w:val="22"/>
                <w:szCs w:val="22"/>
                <w:u w:val="none"/>
                <w:lang w:val="en-US" w:eastAsia="zh-CN" w:bidi="ar-SA"/>
              </w:rPr>
              <w:t xml:space="preserve">mm</w:t>
            </w:r>
            <w:r>
              <w:rPr>
                <w:rFonts w:hint="eastAsia" w:ascii="宋体" w:hAnsi="宋体" w:cs="宋体"/>
                <w:i w:val="0"/>
                <w:iCs w:val="0"/>
                <w:color w:val="000000"/>
                <w:sz w:val="22"/>
                <w:szCs w:val="22"/>
                <w:u w:val="none"/>
                <w:lang w:val="en-US" w:eastAsia="zh-CN" w:bidi="ar-SA"/>
              </w:rPr>
              <w:t xml:space="preserve">，材质：8mm高密度PVC雪弗板，UV高清平板喷绘，分辨率≥720dpi，环保UV墨水，防紫外线防褪色，B1级阻燃，无甲醛无异味，符合相关标准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走道大墙面</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：4200×1200mm，材质：8mm高密度PVC雪弗板，UV高清平板喷绘，分辨率≥720dpi，环保UV墨水，防紫外线防褪色，B1级阻燃，无甲醛无异味，符合相关标准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楼梯侧墙标语</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：2400×1100mm，材质：8mm高密度PVC雪弗板，UV高清平板喷绘，分辨率≥720dpi，环保UV墨水，防紫外线防褪色，B1级阻燃，无甲醛无异味，符合相关标准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楼梯转角墙面</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：6000×1300mm，材质：8mm高密度PVC雪弗板，UV高清平板喷绘，分辨率≥720dpi，环保UV墨水，防紫外线防褪色，B1级阻燃，无甲醛无异味，符合相关标准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楼道文化板块1</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：4200×900mm，材质：8mm高密度PVC雪弗板，UV高清平板喷绘，分辨率≥720dpi，环保UV墨水，防紫外线防褪色，B1级阻燃，无甲醛无异味，符合相关标准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楼道文化板块2</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：3300×900mm，材质：8mm高密度PVC雪弗板，UV高清平板喷绘，分辨率≥720dpi，环保UV墨水，防紫外线防褪色，B1级阻燃，无甲醛无异味，符合相关标准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楼道文化板块3</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：2700×900mm，材质：8mm高密度PVC雪弗板，UV高清平板喷绘，分辨率≥720dpi，环保UV墨水，防紫外线防褪色，B1级阻燃，无甲醛无异味，符合相关标准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楼道文化板块4</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：1800×900mm，材质：8mm高密度PVC雪弗板，UV高清平板喷绘，分辨率≥720dpi，环保UV墨水，防紫外线防褪色，B1级阻燃，无甲醛无异味，符合相关标准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楼道文化板块5</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：1000×900mm，材质：8mm高密度PVC雪弗板，UV高清平板喷绘，分辨率≥720dpi，环保UV墨水，防紫外线防褪色，B1级阻燃，无甲醛无异味，符合相关标准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组</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333333"/>
                <w:sz w:val="20"/>
                <w:szCs w:val="20"/>
                <w:u w:val="none"/>
                <w:lang w:val="en-US" w:eastAsia="zh-CN" w:bidi="ar"/>
              </w:rPr>
              <w:t xml:space="preserve">窗户旁标语板块</w:t>
            </w:r>
            <w:r/>
          </w:p>
        </w:tc>
        <w:tc>
          <w:tcPr>
            <w:shd w:val="clear" w:color="auto" w:fill="auto"/>
            <w:tcBorders>
              <w:top w:val="single" w:color="000000" w:sz="4" w:space="0"/>
              <w:left w:val="single" w:color="000000" w:sz="4" w:space="0"/>
              <w:bottom w:val="single" w:color="000000" w:sz="4" w:space="0"/>
              <w:right w:val="single" w:color="000000" w:sz="4" w:space="0"/>
            </w:tcBorders>
            <w:tcW w:w="3173"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t xml:space="preserve">规格尺寸</w:t>
            </w:r>
            <w:r>
              <w:rPr>
                <w:rFonts w:hint="eastAsia" w:ascii="宋体" w:hAnsi="宋体" w:cs="宋体"/>
                <w:i w:val="0"/>
                <w:iCs w:val="0"/>
                <w:color w:val="000000"/>
                <w:sz w:val="22"/>
                <w:szCs w:val="22"/>
                <w:u w:val="none"/>
                <w:lang w:val="en-US" w:eastAsia="zh-CN" w:bidi="ar-SA"/>
              </w:rPr>
              <w:t xml:space="preserve">：600×900mm，材质：8mm高密度PVC雪弗板，UV高清平板喷绘，分辨率≥720dpi，环保UV墨水，防紫外线防褪色，B1级阻燃，无甲醛无异味，符合相关标准</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块</w:t>
            </w:r>
            <w:r/>
          </w:p>
        </w:tc>
      </w:tr>
    </w:tbl>
    <w:p>
      <w:pPr>
        <w:pStyle w:val="735"/>
        <w:numPr>
          <w:ilvl w:val="0"/>
          <w:numId w:val="0"/>
        </w:numPr>
        <w:ind w:left="562"/>
      </w:pPr>
      <w:r/>
      <w:r/>
    </w:p>
    <w:p>
      <w:pPr>
        <w:ind w:firstLine="562"/>
        <w:jc w:val="left"/>
        <w:spacing w:line="360" w:lineRule="auto"/>
        <w:rPr>
          <w:rFonts w:hint="eastAsia" w:ascii="Times New Roman" w:hAnsi="Times New Roman" w:eastAsia="宋体" w:cs="Times New Roman"/>
          <w:b/>
          <w:sz w:val="28"/>
          <w:szCs w:val="28"/>
          <w:highlight w:val="none"/>
          <w:lang w:val="en-US" w:eastAsia="zh-CN"/>
        </w:rPr>
        <w:outlineLvl w:val="1"/>
      </w:pPr>
      <w:r>
        <w:rPr>
          <w:rFonts w:hint="eastAsia" w:ascii="Times New Roman" w:hAnsi="Times New Roman" w:eastAsia="宋体" w:cs="Times New Roman"/>
          <w:b/>
          <w:sz w:val="28"/>
          <w:szCs w:val="28"/>
          <w:highlight w:val="none"/>
          <w:lang w:val="en-US" w:eastAsia="zh-CN"/>
        </w:rPr>
        <w:t xml:space="preserve">四、样品相关要求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1.投标人提交以下样品，并按下表“样品名称”要求对样品标记。</w:t>
      </w:r>
      <w:r/>
    </w:p>
    <w:tbl>
      <w:tblPr>
        <w:tblStyle w:val="728"/>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5337"/>
        <w:gridCol w:w="2717"/>
      </w:tblGrid>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序号</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样品名称</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default" w:ascii="宋体" w:hAnsi="宋体" w:cs="宋体"/>
                <w:i w:val="0"/>
                <w:iCs w:val="0"/>
                <w:color w:val="000000"/>
                <w:sz w:val="22"/>
                <w:szCs w:val="22"/>
                <w:u w:val="none"/>
                <w:lang w:val="en-US" w:eastAsia="zh-CN" w:bidi="ar-SA"/>
              </w:rPr>
              <w:t xml:space="preserve">数量/单位</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数字化安培力实验器</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2</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无线智能溶氧气氧传感器</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3</w:t>
            </w:r>
            <w:r/>
          </w:p>
        </w:tc>
        <w:tc>
          <w:tcPr>
            <w:tcW w:w="533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光纤光谱仪</w:t>
            </w:r>
            <w:r/>
          </w:p>
        </w:tc>
        <w:tc>
          <w:tcPr>
            <w:tcW w:w="2717" w:type="dxa"/>
            <w:vAlign w:val="center"/>
            <w:textDirection w:val="lrTb"/>
            <w:noWrap/>
          </w:tcPr>
          <w:p>
            <w:pPr>
              <w:jc w:val="left"/>
              <w:keepLines w:val="0"/>
              <w:keepNext w:val="0"/>
              <w:widowControl/>
              <w:rPr>
                <w:rFonts w:hint="eastAsia"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1套</w:t>
            </w:r>
            <w:r/>
          </w:p>
        </w:tc>
      </w:tr>
      <w:tr>
        <w:trPr>
          <w:jc w:val="center"/>
        </w:trPr>
        <w:tc>
          <w:tcPr>
            <w:gridSpan w:val="3"/>
            <w:tcW w:w="8870"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说明：</w:t>
            </w:r>
            <w:r>
              <w:rPr>
                <w:rFonts w:hint="eastAsia" w:ascii="宋体" w:hAnsi="宋体" w:cs="宋体"/>
                <w:i w:val="0"/>
                <w:iCs w:val="0"/>
                <w:color w:val="000000"/>
                <w:sz w:val="22"/>
                <w:szCs w:val="22"/>
                <w:u w:val="none"/>
                <w:lang w:val="zh-CN" w:eastAsia="zh-CN" w:bidi="ar-SA"/>
              </w:rPr>
              <w:t xml:space="preserve">样品须能清晰地呈现样品的外观和制造工艺。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rPr>
        <w:t xml:space="preserve">样品接收时</w:t>
      </w:r>
      <w:r>
        <w:rPr>
          <w:rFonts w:hint="eastAsia" w:ascii="宋体" w:hAnsi="宋体" w:eastAsia="宋体" w:cs="宋体"/>
          <w:color w:val="auto"/>
          <w:sz w:val="24"/>
          <w:szCs w:val="24"/>
          <w:highlight w:val="none"/>
        </w:rPr>
        <w:t xml:space="preserve">间：</w:t>
      </w:r>
      <w:r>
        <w:rPr>
          <w:rFonts w:hint="eastAsia" w:ascii="宋体" w:hAnsi="宋体" w:eastAsia="宋体" w:cs="宋体"/>
          <w:color w:val="auto"/>
          <w:sz w:val="24"/>
          <w:szCs w:val="24"/>
          <w:highlight w:val="white"/>
          <w:lang w:val="en-US" w:eastAsia="zh-CN"/>
        </w:rPr>
        <w:t xml:space="preserve">2026年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月</w:t>
      </w:r>
      <w:r>
        <w:rPr>
          <w:rFonts w:hint="eastAsia" w:ascii="宋体" w:hAnsi="宋体" w:cs="宋体"/>
          <w:color w:val="auto"/>
          <w:sz w:val="24"/>
          <w:szCs w:val="24"/>
          <w:highlight w:val="white"/>
          <w:lang w:val="en-US" w:eastAsia="zh-CN"/>
        </w:rPr>
        <w:t xml:space="preserve">24</w:t>
      </w:r>
      <w:r>
        <w:rPr>
          <w:rFonts w:hint="eastAsia" w:ascii="宋体" w:hAnsi="宋体" w:eastAsia="宋体" w:cs="宋体"/>
          <w:color w:val="auto"/>
          <w:sz w:val="24"/>
          <w:szCs w:val="24"/>
          <w:highlight w:val="white"/>
          <w:lang w:val="en-US" w:eastAsia="zh-CN"/>
        </w:rPr>
        <w:t xml:space="preserve">日8:30-</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lang w:val="en-US" w:eastAsia="zh-CN"/>
        </w:rPr>
        <w:t xml:space="preserve">:00</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样品接收地点：</w:t>
      </w:r>
      <w:r>
        <w:rPr>
          <w:rFonts w:hint="eastAsia" w:ascii="宋体" w:hAnsi="宋体" w:eastAsia="宋体" w:cs="宋体"/>
          <w:color w:val="auto"/>
          <w:sz w:val="24"/>
          <w:szCs w:val="24"/>
          <w:highlight w:val="white"/>
          <w:lang w:val="en-US" w:eastAsia="zh-CN"/>
        </w:rPr>
        <w:t xml:space="preserve">东海县公共资源交易中心南五楼开标</w:t>
      </w:r>
      <w:r>
        <w:rPr>
          <w:rFonts w:hint="eastAsia" w:ascii="宋体" w:hAnsi="宋体" w:cs="宋体"/>
          <w:color w:val="auto"/>
          <w:sz w:val="24"/>
          <w:szCs w:val="24"/>
          <w:highlight w:val="white"/>
          <w:lang w:val="en-US" w:eastAsia="zh-CN"/>
        </w:rPr>
        <w:t xml:space="preserve">一</w:t>
      </w:r>
      <w:r>
        <w:rPr>
          <w:rFonts w:hint="eastAsia" w:ascii="宋体" w:hAnsi="宋体" w:eastAsia="宋体" w:cs="宋体"/>
          <w:color w:val="auto"/>
          <w:sz w:val="24"/>
          <w:szCs w:val="24"/>
          <w:highlight w:val="white"/>
          <w:lang w:val="en-US" w:eastAsia="zh-CN"/>
        </w:rPr>
        <w:t xml:space="preserve">室</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样品接收联系人：</w:t>
      </w:r>
      <w:r>
        <w:rPr>
          <w:rFonts w:hint="eastAsia" w:ascii="宋体" w:hAnsi="宋体" w:cs="宋体"/>
          <w:color w:val="auto"/>
          <w:sz w:val="24"/>
          <w:szCs w:val="24"/>
          <w:highlight w:val="white"/>
          <w:lang w:val="en-US" w:eastAsia="zh-CN"/>
        </w:rPr>
        <w:t xml:space="preserve">姜工</w:t>
      </w:r>
      <w:r>
        <w:rPr>
          <w:highlight w:val="white"/>
        </w:rPr>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w:t>
      </w:r>
      <w:r>
        <w:rPr>
          <w:rFonts w:hint="eastAsia" w:ascii="宋体" w:hAnsi="宋体" w:eastAsia="宋体" w:cs="宋体"/>
          <w:color w:val="auto"/>
          <w:sz w:val="24"/>
          <w:szCs w:val="24"/>
          <w:highlight w:val="white"/>
          <w:lang w:val="en-US" w:eastAsia="zh-CN"/>
        </w:rPr>
        <w:t xml:space="preserve">15252824872</w:t>
      </w:r>
      <w:r>
        <w:rPr>
          <w:highlight w:val="white"/>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3.本次</w:t>
      </w:r>
      <w:r>
        <w:rPr>
          <w:rFonts w:hint="eastAsia" w:ascii="宋体" w:hAnsi="宋体" w:eastAsia="宋体" w:cs="宋体"/>
          <w:color w:val="auto"/>
          <w:sz w:val="24"/>
          <w:szCs w:val="24"/>
          <w:highlight w:val="white"/>
          <w:lang w:eastAsia="zh-CN"/>
        </w:rPr>
        <w:t xml:space="preserve">招标</w:t>
      </w:r>
      <w:r>
        <w:rPr>
          <w:rFonts w:hint="eastAsia" w:ascii="宋体" w:hAnsi="宋体" w:eastAsia="宋体" w:cs="宋体"/>
          <w:color w:val="auto"/>
          <w:sz w:val="24"/>
          <w:szCs w:val="24"/>
          <w:highlight w:val="white"/>
        </w:rPr>
        <w:t xml:space="preserve">的样品接收截止时间为</w:t>
      </w:r>
      <w:r>
        <w:rPr>
          <w:rFonts w:hint="eastAsia" w:ascii="宋体" w:hAnsi="宋体" w:eastAsia="宋体" w:cs="宋体"/>
          <w:color w:val="auto"/>
          <w:sz w:val="24"/>
          <w:szCs w:val="24"/>
          <w:highlight w:val="white"/>
          <w:lang w:val="en-US" w:eastAsia="zh-CN"/>
        </w:rPr>
        <w:t xml:space="preserve">2026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24</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9</w:t>
      </w:r>
      <w:bookmarkStart w:id="20" w:name="_GoBack"/>
      <w:r>
        <w:rPr>
          <w:highlight w:val="white"/>
        </w:rPr>
      </w:r>
      <w:bookmarkEnd w:id="20"/>
      <w:r>
        <w:rPr>
          <w:rFonts w:hint="eastAsia" w:ascii="宋体" w:hAnsi="宋体" w:eastAsia="宋体" w:cs="宋体"/>
          <w:color w:val="auto"/>
          <w:sz w:val="24"/>
          <w:szCs w:val="24"/>
          <w:highlight w:val="white"/>
          <w:lang w:val="en-US" w:eastAsia="zh-CN"/>
        </w:rPr>
        <w:t xml:space="preserve">:00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 xml:space="preserve">依据之一</w:t>
      </w:r>
      <w:r>
        <w:rPr>
          <w:rFonts w:hint="eastAsia" w:ascii="宋体" w:hAnsi="宋体" w:eastAsia="宋体" w:cs="宋体"/>
          <w:color w:val="auto"/>
          <w:sz w:val="24"/>
          <w:szCs w:val="24"/>
        </w:rPr>
        <w:t xml:space="preserve">；</w:t>
      </w:r>
      <w:r>
        <w:rPr>
          <w:rFonts w:hint="eastAsia" w:ascii="宋体" w:hAnsi="宋体" w:eastAsia="宋体" w:cs="宋体"/>
          <w:color w:val="000000"/>
          <w:sz w:val="24"/>
          <w:szCs w:val="24"/>
          <w:highlight w:val="none"/>
        </w:rPr>
        <w:t xml:space="preserve">其余样品在采购结果公告发出后七个工作</w:t>
      </w:r>
      <w:r>
        <w:rPr>
          <w:rFonts w:hint="eastAsia" w:ascii="宋体" w:hAnsi="宋体" w:eastAsia="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评标委员会</w:t>
      </w:r>
      <w:r>
        <w:rPr>
          <w:rFonts w:hint="eastAsia" w:ascii="宋体" w:hAnsi="宋体" w:eastAsia="宋体" w:cs="宋体"/>
          <w:b/>
          <w:bCs/>
          <w:color w:val="auto"/>
          <w:sz w:val="24"/>
          <w:szCs w:val="24"/>
          <w:highlight w:val="none"/>
          <w:lang w:val="en-US" w:eastAsia="zh-CN"/>
        </w:rPr>
        <w:t xml:space="preserve">有权利</w:t>
      </w:r>
      <w:r>
        <w:rPr>
          <w:rFonts w:hint="eastAsia" w:ascii="宋体" w:hAnsi="宋体" w:eastAsia="宋体" w:cs="宋体"/>
          <w:b/>
          <w:bCs/>
          <w:color w:val="auto"/>
          <w:sz w:val="24"/>
          <w:szCs w:val="24"/>
          <w:highlight w:val="none"/>
        </w:rPr>
        <w:t xml:space="preserve">现场拆解样品</w:t>
      </w:r>
      <w:r>
        <w:rPr>
          <w:rFonts w:hint="eastAsia" w:ascii="宋体" w:hAnsi="宋体" w:eastAsia="宋体" w:cs="宋体"/>
          <w:b/>
          <w:bCs/>
          <w:color w:val="auto"/>
          <w:sz w:val="24"/>
          <w:szCs w:val="24"/>
          <w:highlight w:val="none"/>
          <w:lang w:val="en-US" w:eastAsia="zh-CN"/>
        </w:rPr>
        <w:t xml:space="preserve">以便评</w:t>
      </w:r>
      <w:r>
        <w:rPr>
          <w:rFonts w:hint="eastAsia" w:ascii="宋体" w:hAnsi="宋体" w:eastAsia="宋体" w:cs="宋体"/>
          <w:b/>
          <w:bCs/>
          <w:color w:val="auto"/>
          <w:sz w:val="24"/>
          <w:szCs w:val="24"/>
          <w:highlight w:val="none"/>
        </w:rPr>
        <w:t xml:space="preserve">判。</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5" w:name="OLE_LINK6"/>
      <w:r>
        <w:rPr>
          <w:rFonts w:hint="eastAsia" w:ascii="宋体" w:hAnsi="宋体" w:eastAsia="宋体" w:cs="宋体"/>
          <w:color w:val="auto"/>
          <w:sz w:val="24"/>
          <w:szCs w:val="24"/>
          <w:lang w:eastAsia="zh-CN"/>
        </w:rPr>
        <w:t xml:space="preserve">供应商</w:t>
      </w:r>
      <w:bookmarkEnd w:id="5"/>
      <w:r>
        <w:rPr>
          <w:rFonts w:hint="eastAsia" w:ascii="宋体" w:hAnsi="宋体" w:eastAsia="宋体" w:cs="宋体"/>
          <w:color w:val="auto"/>
          <w:sz w:val="24"/>
          <w:szCs w:val="24"/>
        </w:rPr>
        <w:t xml:space="preserve">须遵守采购人</w:t>
      </w:r>
      <w:r>
        <w:rPr>
          <w:rFonts w:hint="eastAsia" w:ascii="宋体" w:hAnsi="宋体" w:eastAsia="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eastAsia="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000000"/>
          <w:sz w:val="24"/>
          <w:szCs w:val="24"/>
          <w:highlight w:val="none"/>
        </w:rPr>
        <w:t xml:space="preserve">各供应</w:t>
      </w:r>
      <w:r>
        <w:rPr>
          <w:rFonts w:hint="eastAsia" w:ascii="宋体" w:hAnsi="宋体" w:eastAsia="宋体" w:cs="宋体"/>
          <w:color w:val="000000"/>
          <w:sz w:val="24"/>
          <w:szCs w:val="24"/>
          <w:highlight w:val="none"/>
          <w:lang w:eastAsia="zh-CN"/>
        </w:rPr>
        <w:t xml:space="preserve">商单</w:t>
      </w:r>
      <w:r>
        <w:rPr>
          <w:rFonts w:hint="eastAsia" w:ascii="宋体" w:hAnsi="宋体" w:eastAsia="宋体" w:cs="宋体"/>
          <w:color w:val="000000"/>
          <w:sz w:val="24"/>
          <w:szCs w:val="24"/>
          <w:highlight w:val="none"/>
        </w:rPr>
        <w:t xml:space="preserve">位不允许</w:t>
      </w:r>
      <w:r>
        <w:rPr>
          <w:rFonts w:hint="eastAsia" w:ascii="宋体" w:hAnsi="宋体" w:eastAsia="宋体" w:cs="宋体"/>
          <w:color w:val="000000"/>
          <w:sz w:val="24"/>
          <w:szCs w:val="24"/>
          <w:highlight w:val="none"/>
          <w:lang w:eastAsia="zh-CN"/>
        </w:rPr>
        <w:t xml:space="preserve">查看其他</w:t>
      </w:r>
      <w:r>
        <w:rPr>
          <w:rFonts w:hint="eastAsia" w:ascii="宋体" w:hAnsi="宋体" w:eastAsia="宋体" w:cs="宋体"/>
          <w:color w:val="000000"/>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eastAsia="宋体" w:cs="Times New Roman"/>
          <w:sz w:val="24"/>
          <w:szCs w:val="24"/>
          <w:highlight w:val="none"/>
          <w:lang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strike w:val="0"/>
          <w:color w:val="000000"/>
          <w:sz w:val="24"/>
          <w:szCs w:val="24"/>
          <w:highlight w:val="none"/>
        </w:rPr>
        <w:t xml:space="preserve">其他要求</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u w:val="none"/>
        </w:rPr>
        <w:t xml:space="preserve">送样时提供送样表</w:t>
      </w:r>
      <w:r>
        <w:rPr>
          <w:rFonts w:hint="eastAsia" w:ascii="宋体" w:hAnsi="宋体" w:eastAsia="宋体" w:cs="宋体"/>
          <w:strike w:val="0"/>
          <w:color w:val="000000"/>
          <w:sz w:val="24"/>
          <w:szCs w:val="24"/>
          <w:highlight w:val="none"/>
          <w:u w:val="none"/>
          <w:lang w:eastAsia="zh-CN"/>
        </w:rPr>
        <w:t xml:space="preserve">，</w:t>
      </w:r>
      <w:r>
        <w:rPr>
          <w:rFonts w:hint="eastAsia" w:ascii="宋体" w:hAnsi="宋体" w:eastAsia="宋体" w:cs="宋体"/>
          <w:strike w:val="0"/>
          <w:color w:val="000000"/>
          <w:sz w:val="24"/>
          <w:szCs w:val="24"/>
          <w:highlight w:val="none"/>
          <w:u w:val="none"/>
        </w:rPr>
        <w:t xml:space="preserve">格式</w:t>
      </w:r>
      <w:r>
        <w:rPr>
          <w:rFonts w:hint="eastAsia" w:ascii="宋体" w:hAnsi="宋体" w:eastAsia="宋体" w:cs="宋体"/>
          <w:strike w:val="0"/>
          <w:color w:val="000000"/>
          <w:sz w:val="24"/>
          <w:szCs w:val="24"/>
          <w:highlight w:val="none"/>
          <w:u w:val="none"/>
          <w:lang w:eastAsia="zh-CN"/>
        </w:rPr>
        <w:t xml:space="preserve">如下。</w:t>
      </w:r>
      <w:r/>
    </w:p>
    <w:tbl>
      <w:tblPr>
        <w:tblStyle w:val="706"/>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24"/>
                <w:szCs w:val="24"/>
                <w:highlight w:val="none"/>
              </w:rPr>
              <w:t xml:space="preserve">送  样  表</w:t>
            </w:r>
            <w:r/>
          </w:p>
        </w:tc>
      </w:tr>
      <w:tr>
        <w:trPr>
          <w:jc w:val="center"/>
          <w:trHeight w:val="838"/>
        </w:trPr>
        <w:tc>
          <w:tcPr>
            <w:gridSpan w:val="3"/>
            <w:tcW w:w="4851"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项目名称：</w:t>
            </w:r>
            <w:r>
              <w:rPr>
                <w:rFonts w:hint="eastAsia"/>
                <w:sz w:val="24"/>
                <w:szCs w:val="24"/>
                <w:lang w:eastAsia="zh-CN"/>
              </w:rPr>
              <w:t xml:space="preserve">东海城北高级中学通用实验室装备、音体美器材及实验室器材采购、实验楼廊道文化等采购</w:t>
            </w:r>
            <w:r/>
          </w:p>
        </w:tc>
        <w:tc>
          <w:tcPr>
            <w:gridSpan w:val="4"/>
            <w:tcW w:w="5111" w:type="dxa"/>
            <w:vAlign w:val="center"/>
            <w:textDirection w:val="lrTb"/>
            <w:noWrap w:val="false"/>
          </w:tcPr>
          <w:p>
            <w:pPr>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项目编号：</w:t>
            </w:r>
            <w:r>
              <w:rPr>
                <w:rFonts w:hint="eastAsia"/>
                <w:sz w:val="24"/>
                <w:szCs w:val="24"/>
                <w:lang w:eastAsia="zh-CN"/>
              </w:rPr>
              <w:t xml:space="preserve">JSZC-320722-YTGL-G2026-0001</w:t>
            </w:r>
            <w:r/>
          </w:p>
        </w:tc>
      </w:tr>
      <w:tr>
        <w:trPr>
          <w:jc w:val="center"/>
          <w:trHeight w:val="704"/>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投标单位（盖章）：</w:t>
            </w:r>
            <w:r/>
          </w:p>
        </w:tc>
      </w:tr>
      <w:tr>
        <w:trPr>
          <w:jc w:val="center"/>
          <w:trHeight w:val="108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序号</w:t>
            </w:r>
            <w:r/>
          </w:p>
        </w:tc>
        <w:tc>
          <w:tcPr>
            <w:tcW w:w="276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样品名称（按照招标文件样品要求填写）</w:t>
            </w:r>
            <w:r/>
          </w:p>
        </w:tc>
        <w:tc>
          <w:tcPr>
            <w:gridSpan w:val="2"/>
            <w:tcW w:w="16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送样数量</w:t>
            </w:r>
            <w:r/>
          </w:p>
        </w:tc>
        <w:tc>
          <w:tcPr>
            <w:tcW w:w="126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送样人</w:t>
            </w:r>
            <w:r/>
          </w:p>
        </w:tc>
        <w:tc>
          <w:tcPr>
            <w:tcW w:w="16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联系电话</w:t>
            </w:r>
            <w:r/>
          </w:p>
        </w:tc>
        <w:tc>
          <w:tcPr>
            <w:tcW w:w="183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备注</w:t>
            </w:r>
            <w:r/>
          </w:p>
        </w:tc>
      </w:tr>
      <w:tr>
        <w:trPr>
          <w:jc w:val="center"/>
          <w:trHeight w:val="687"/>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1</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数字化安培力实验器</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c>
          <w:tcPr>
            <w:tcW w:w="1662"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75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2</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无线智能溶氧气氧传感器</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87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3 </w:t>
            </w:r>
            <w:r/>
          </w:p>
        </w:tc>
        <w:tc>
          <w:tcPr>
            <w:tcW w:w="2763"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光纤光谱仪</w:t>
            </w:r>
            <w:r/>
          </w:p>
        </w:tc>
        <w:tc>
          <w:tcPr>
            <w:gridSpan w:val="2"/>
            <w:tcW w:w="1668" w:type="dxa"/>
            <w:vAlign w:val="center"/>
            <w:textDirection w:val="lrTb"/>
            <w:noWrap w:val="false"/>
          </w:tcPr>
          <w:p>
            <w:pPr>
              <w:jc w:val="center"/>
              <w:spacing w:after="0" w:line="360" w:lineRule="auto"/>
              <w:rPr>
                <w:rFonts w:hint="eastAsia" w:ascii="宋体" w:hAnsi="宋体" w:eastAsia="宋体" w:cs="宋体"/>
                <w:strike w:val="0"/>
                <w:color w:val="000000"/>
                <w:sz w:val="24"/>
                <w:szCs w:val="24"/>
                <w:highlight w:val="none"/>
                <w:lang w:val="en-US" w:eastAsia="zh-CN" w:bidi="ar"/>
              </w:rPr>
            </w:pPr>
            <w:r>
              <w:rPr>
                <w:rFonts w:hint="eastAsia" w:ascii="宋体" w:hAnsi="宋体" w:eastAsia="宋体" w:cs="宋体"/>
                <w:b/>
                <w:bCs/>
                <w:color w:val="000000"/>
                <w:sz w:val="18"/>
                <w:szCs w:val="18"/>
                <w:highlight w:val="none"/>
              </w:rPr>
              <w:t xml:space="preserve">1套</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　</w:t>
            </w:r>
            <w:r/>
          </w:p>
        </w:tc>
      </w:tr>
      <w:tr>
        <w:trPr>
          <w:jc w:val="center"/>
          <w:trHeight w:val="526"/>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送达时间：      年   月    日    时   分</w:t>
            </w:r>
            <w:r/>
          </w:p>
        </w:tc>
      </w:tr>
      <w:tr>
        <w:trPr>
          <w:jc w:val="center"/>
          <w:trHeight w:val="562"/>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strike w:val="0"/>
                <w:color w:val="000000"/>
                <w:sz w:val="24"/>
                <w:szCs w:val="24"/>
                <w:highlight w:val="none"/>
                <w:lang w:val="en-US" w:eastAsia="zh-CN" w:bidi="ar"/>
              </w:rPr>
              <w:t xml:space="preserve">接收人（签字）：                              送样人确认（签字）：</w:t>
            </w:r>
            <w:r/>
          </w:p>
        </w:tc>
      </w:tr>
      <w:tr>
        <w:trPr>
          <w:jc w:val="center"/>
          <w:trHeight w:val="870"/>
        </w:trPr>
        <w:tc>
          <w:tcPr>
            <w:gridSpan w:val="7"/>
            <w:tcW w:w="99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SA"/>
              </w:rPr>
              <w:t xml:space="preserve">注：此表填写后一式两份（投标人与招标人各一份）</w:t>
            </w:r>
            <w:r/>
          </w:p>
        </w:tc>
      </w:tr>
    </w:tbl>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五</w:t>
      </w:r>
      <w:r>
        <w:rPr>
          <w:rFonts w:hint="eastAsia" w:ascii="Times New Roman" w:hAnsi="Times New Roman"/>
          <w:b/>
          <w:sz w:val="28"/>
          <w:szCs w:val="28"/>
          <w:highlight w:val="none"/>
        </w:rPr>
        <w:t xml:space="preserve">、辅材、配件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六</w:t>
      </w:r>
      <w:r>
        <w:rPr>
          <w:rFonts w:ascii="Times New Roman" w:hAnsi="Times New Roman"/>
          <w:b/>
          <w:sz w:val="28"/>
          <w:szCs w:val="28"/>
          <w:highlight w:val="none"/>
        </w:rPr>
        <w:t xml:space="preserve">、供货要求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七</w:t>
      </w:r>
      <w:r>
        <w:rPr>
          <w:rFonts w:ascii="Times New Roman" w:hAnsi="Times New Roman"/>
          <w:b/>
          <w:sz w:val="28"/>
          <w:szCs w:val="28"/>
          <w:highlight w:val="none"/>
        </w:rPr>
        <w:t xml:space="preserve">、安装调试要求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1.</w:t>
      </w:r>
      <w:r>
        <w:rPr>
          <w:rFonts w:hint="eastAsia" w:hAnsi="Times New Roman" w:eastAsia="宋体" w:cs="Times New Roman"/>
          <w:b w:val="0"/>
          <w:bCs/>
          <w:color w:val="auto"/>
          <w:sz w:val="24"/>
          <w:highlight w:val="none"/>
          <w:lang w:eastAsia="zh-CN"/>
        </w:rPr>
        <w:t xml:space="preserve">本项目中</w:t>
      </w:r>
      <w:r>
        <w:rPr>
          <w:rFonts w:hint="eastAsia" w:hAnsi="Times New Roman" w:eastAsia="宋体" w:cs="Times New Roman"/>
          <w:b w:val="0"/>
          <w:bCs/>
          <w:color w:val="auto"/>
          <w:sz w:val="24"/>
          <w:highlight w:val="none"/>
          <w:lang w:val="en-US" w:eastAsia="zh-CN"/>
        </w:rPr>
        <w:t xml:space="preserve">实施过程中</w:t>
      </w:r>
      <w:r>
        <w:rPr>
          <w:rFonts w:hint="eastAsia" w:hAnsi="Times New Roman" w:eastAsia="宋体" w:cs="Times New Roman"/>
          <w:b w:val="0"/>
          <w:bCs/>
          <w:color w:val="auto"/>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2.</w:t>
      </w:r>
      <w:r>
        <w:rPr>
          <w:rFonts w:hint="eastAsia" w:hAnsi="Times New Roman" w:eastAsia="宋体" w:cs="Times New Roman"/>
          <w:b w:val="0"/>
          <w:bCs/>
          <w:color w:val="auto"/>
          <w:sz w:val="24"/>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3.</w:t>
      </w:r>
      <w:r>
        <w:rPr>
          <w:rFonts w:hint="eastAsia" w:hAnsi="Times New Roman" w:eastAsia="宋体" w:cs="Times New Roman"/>
          <w:b w:val="0"/>
          <w:bCs/>
          <w:color w:val="auto"/>
          <w:sz w:val="24"/>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4.</w:t>
      </w:r>
      <w:r>
        <w:rPr>
          <w:rFonts w:hint="eastAsia" w:hAnsi="Times New Roman" w:eastAsia="宋体" w:cs="Times New Roman"/>
          <w:b w:val="0"/>
          <w:bCs/>
          <w:color w:val="auto"/>
          <w:sz w:val="24"/>
          <w:highlight w:val="none"/>
          <w:lang w:eastAsia="zh-CN"/>
        </w:rPr>
        <w:t xml:space="preserve">采购人使用该货物的任何一部分，当受第三方提出的侵犯其专利权、商标权或工业设计权的投诉时，一切后果由中标人负责。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6.实施方案</w:t>
      </w:r>
      <w:r>
        <w:rPr>
          <w:rFonts w:hint="eastAsia" w:hAnsi="Times New Roman" w:eastAsia="宋体" w:cs="Times New Roman"/>
          <w:b w:val="0"/>
          <w:bCs/>
          <w:color w:val="auto"/>
          <w:sz w:val="24"/>
          <w:highlight w:val="none"/>
          <w:lang w:eastAsia="zh-CN"/>
        </w:rPr>
        <w:t xml:space="preserve">要求：</w:t>
      </w:r>
      <w:r>
        <w:rPr>
          <w:rFonts w:hint="eastAsia" w:hAnsi="Times New Roman" w:eastAsia="宋体" w:cs="Times New Roman"/>
          <w:b w:val="0"/>
          <w:bCs/>
          <w:color w:val="auto"/>
          <w:sz w:val="24"/>
          <w:highlight w:val="none"/>
          <w:lang w:val="en-US" w:eastAsia="zh-CN"/>
        </w:rPr>
        <w:t xml:space="preserve">供应商需编制实施方案，</w:t>
      </w:r>
      <w:r>
        <w:rPr>
          <w:rFonts w:hint="eastAsia" w:hAnsi="Times New Roman" w:eastAsia="宋体" w:cs="Times New Roman"/>
          <w:b w:val="0"/>
          <w:bCs/>
          <w:color w:val="auto"/>
          <w:sz w:val="24"/>
          <w:highlight w:val="none"/>
          <w:lang w:eastAsia="zh-CN"/>
        </w:rPr>
        <w:t xml:space="preserve">至少应包含项目总体实施计划、设备货源供货计划、运输、安装、调试方案、安装团队人员投入、人员分工、岗位职责、进度保障措施、质量管理体系、质量保障措施、施工安全保障措施等。</w:t>
      </w:r>
      <w:r/>
    </w:p>
    <w:p>
      <w:pPr>
        <w:pStyle w:val="710"/>
        <w:ind w:firstLine="480"/>
        <w:rPr>
          <w:rFonts w:hint="eastAsia" w:ascii="Calibri" w:hAnsi="Times New Roman" w:eastAsia="宋体" w:cs="Times New Roman"/>
          <w:b w:val="0"/>
          <w:bCs/>
          <w:color w:val="auto"/>
          <w:sz w:val="24"/>
          <w:szCs w:val="22"/>
          <w:highlight w:val="none"/>
          <w:lang w:val="en-US" w:eastAsia="zh-CN" w:bidi="ar-SA"/>
        </w:rPr>
      </w:pPr>
      <w:r>
        <w:rPr>
          <w:rFonts w:hint="eastAsia" w:hAnsi="Times New Roman" w:eastAsia="宋体" w:cs="Times New Roman"/>
          <w:b w:val="0"/>
          <w:bCs/>
          <w:color w:val="auto"/>
          <w:sz w:val="24"/>
          <w:highlight w:val="none"/>
          <w:lang w:val="en-US" w:eastAsia="zh-CN"/>
        </w:rPr>
        <w:t xml:space="preserve">7.</w:t>
      </w:r>
      <w:r>
        <w:rPr>
          <w:rFonts w:hint="eastAsia" w:ascii="宋体" w:hAnsi="宋体" w:eastAsia="宋体" w:cs="宋体"/>
          <w:color w:val="auto"/>
          <w:sz w:val="22"/>
          <w:szCs w:val="22"/>
          <w:highlight w:val="none"/>
          <w:lang w:val="en-US" w:eastAsia="zh-CN"/>
        </w:rPr>
        <w:t xml:space="preserve">规划布局</w:t>
      </w:r>
      <w:r>
        <w:rPr>
          <w:rFonts w:hint="eastAsia" w:ascii="宋体" w:hAnsi="宋体" w:eastAsia="宋体" w:cs="宋体"/>
          <w:color w:val="auto"/>
          <w:sz w:val="22"/>
          <w:szCs w:val="22"/>
          <w:highlight w:val="none"/>
        </w:rPr>
        <w:t xml:space="preserve">方案</w:t>
      </w:r>
      <w:r>
        <w:rPr>
          <w:rFonts w:hint="eastAsia" w:cs="宋体"/>
          <w:color w:val="auto"/>
          <w:sz w:val="22"/>
          <w:szCs w:val="22"/>
          <w:highlight w:val="none"/>
          <w:lang w:val="en-US" w:eastAsia="zh-CN"/>
        </w:rPr>
        <w:t xml:space="preserve">要求：</w:t>
      </w:r>
      <w:r>
        <w:rPr>
          <w:rFonts w:hint="eastAsia" w:hAnsi="Times New Roman" w:eastAsia="宋体" w:cs="Times New Roman"/>
          <w:b w:val="0"/>
          <w:bCs/>
          <w:color w:val="auto"/>
          <w:sz w:val="24"/>
          <w:highlight w:val="none"/>
          <w:lang w:val="en-US" w:eastAsia="zh-CN"/>
        </w:rPr>
        <w:t xml:space="preserve">供应商需编制</w:t>
      </w:r>
      <w:r>
        <w:rPr>
          <w:rFonts w:hint="eastAsia" w:ascii="Calibri" w:hAnsi="Times New Roman" w:eastAsia="宋体" w:cs="Times New Roman"/>
          <w:b w:val="0"/>
          <w:bCs/>
          <w:color w:val="auto"/>
          <w:sz w:val="24"/>
          <w:szCs w:val="22"/>
          <w:highlight w:val="none"/>
          <w:lang w:val="en-US" w:eastAsia="zh-CN" w:bidi="ar-SA"/>
        </w:rPr>
        <w:t xml:space="preserve">规划布局方案，根据实际场地出具产品摆放效果图（包括人工智能创客教室、金工木工教室、楼道文化）</w:t>
      </w:r>
      <w:r>
        <w:rPr>
          <w:rFonts w:hint="eastAsia" w:ascii="Calibri" w:hAnsi="Times New Roman" w:cs="Times New Roman"/>
          <w:b w:val="0"/>
          <w:bCs/>
          <w:color w:val="auto"/>
          <w:sz w:val="24"/>
          <w:szCs w:val="22"/>
          <w:highlight w:val="none"/>
          <w:lang w:val="en-US" w:eastAsia="zh-CN" w:bidi="ar-SA"/>
        </w:rPr>
        <w:t xml:space="preserve">。</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lang w:val="en-US" w:eastAsia="zh-CN"/>
        </w:rPr>
        <w:t xml:space="preserve">八</w:t>
      </w:r>
      <w:r>
        <w:rPr>
          <w:rFonts w:hint="eastAsia" w:ascii="Times New Roman" w:hAnsi="Times New Roman"/>
          <w:b/>
          <w:bCs/>
          <w:sz w:val="24"/>
          <w:szCs w:val="24"/>
          <w:highlight w:val="none"/>
        </w:rPr>
        <w:t xml:space="preserve">、国家或行业相关规范标准</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1、《课桌椅》 QB/T 4071-2021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2、《塑料 燃烧性能的测定 水平法和垂直法》 GB/T 2408-2021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3、《实验室家具通用技术条件》 GB/T 24820-2010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4、《金属材料 拉伸试验 第1部分：室温试验方法》 GB/T 228.1-2021</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5、《塑料家具通用技术条件》 GB/T 32487-2016</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6、《电子测量仪器通用规范》 GB/T 6587-2012</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7、《电工电子产品环境试验第2部分:试验方法试险A:低温》 GB/T2423.1-2008</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8、《电工电子产品环境试验第2部分:试验方法试险B:高温》 GB/T2423.2-2008</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9、《漆膜耐霉菌性测定法》 GB/T1741-2020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10、《木家具通用技术条件》 GB/T 3324-2024</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11、《绿色产品评价人造板和木质地板》 GB/T 35601-2017</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12、《室内装饰装修材料人造板及其制品中甲醛释放限量》GB 18580-2017</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13、《木器涂料中有害物质限量》 GB18581-2020</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14、《教学仪器设备产品一般质量要求》 JY 0001-2003</w:t>
      </w:r>
      <w:r/>
    </w:p>
    <w:p>
      <w:pPr>
        <w:ind w:firstLine="480"/>
        <w:jc w:val="left"/>
        <w:spacing w:line="360" w:lineRule="auto"/>
        <w:rPr>
          <w:rFonts w:hint="eastAsia" w:hAnsi="Times New Roman" w:eastAsia="宋体" w:cs="Times New Roman"/>
          <w:b w:val="0"/>
          <w:bCs/>
          <w:color w:val="auto"/>
          <w:sz w:val="24"/>
          <w:highlight w:val="none"/>
          <w:lang w:val="en-US" w:eastAsia="zh-CN"/>
        </w:rPr>
      </w:pPr>
      <w:r>
        <w:rPr>
          <w:rFonts w:hint="eastAsia" w:hAnsi="Times New Roman" w:eastAsia="宋体" w:cs="Times New Roman"/>
          <w:b w:val="0"/>
          <w:bCs/>
          <w:color w:val="auto"/>
          <w:sz w:val="24"/>
          <w:highlight w:val="none"/>
          <w:lang w:val="en-US" w:eastAsia="zh-CN"/>
        </w:rPr>
        <w:t xml:space="preserve">包含但不限于上述国家或行业相关规范标准，合同履约期内如出现新的相关标准政策，则遵循最新要求。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九</w:t>
      </w:r>
      <w:r>
        <w:rPr>
          <w:rFonts w:hint="eastAsia" w:ascii="Times New Roman" w:hAnsi="Times New Roman"/>
          <w:b/>
          <w:sz w:val="28"/>
          <w:szCs w:val="28"/>
          <w:highlight w:val="none"/>
        </w:rPr>
        <w:t xml:space="preserve">、人员配备要求</w:t>
      </w:r>
      <w:r/>
    </w:p>
    <w:p>
      <w:pPr>
        <w:ind w:firstLine="552"/>
        <w:jc w:val="left"/>
        <w:spacing w:line="360" w:lineRule="auto"/>
        <w:widowControl w:val="off"/>
        <w:rPr>
          <w:rFonts w:hint="default" w:ascii="Calibri" w:hAnsi="Calibri" w:eastAsia="宋体" w:cs="Times New Roman"/>
          <w:sz w:val="24"/>
          <w:szCs w:val="22"/>
          <w:lang w:val="en-US" w:eastAsia="zh-CN" w:bidi="ar-SA"/>
        </w:rPr>
      </w:pPr>
      <w:r>
        <w:rPr>
          <w:rFonts w:hint="default" w:ascii="Calibri" w:hAnsi="Calibri" w:eastAsia="宋体" w:cs="Times New Roman"/>
          <w:sz w:val="24"/>
          <w:szCs w:val="22"/>
          <w:lang w:val="en-US" w:eastAsia="zh-CN" w:bidi="ar-SA"/>
        </w:rPr>
        <w:t xml:space="preserve">拟派一名项目负责人协调项目全过程的各项工作，把握项目进度、质量把控、产品验收、包装运输、指导安装、调试及验收等，有实验室设备安装、相关软件运行维护等经验，及时与采购人对接工作，指导项目团队成员认真完成每一项工作。</w:t>
      </w:r>
      <w:r>
        <w:rPr>
          <w:rFonts w:hint="eastAsia" w:ascii="Calibri" w:hAnsi="Calibri" w:eastAsia="宋体" w:cs="Times New Roman"/>
          <w:sz w:val="24"/>
          <w:szCs w:val="22"/>
          <w:lang w:val="en-US" w:eastAsia="zh-CN" w:bidi="ar-SA"/>
        </w:rPr>
        <w:t xml:space="preserve">项目组成人员需为专业人员且具有参与类似项目的经验，以保证项目实施质量。</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十</w:t>
      </w:r>
      <w:r>
        <w:rPr>
          <w:rFonts w:hint="eastAsia" w:ascii="Times New Roman" w:hAnsi="Times New Roman"/>
          <w:b/>
          <w:sz w:val="28"/>
          <w:szCs w:val="28"/>
          <w:highlight w:val="none"/>
        </w:rPr>
        <w:t xml:space="preserve">、履约验收要求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4"/>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一</w:t>
      </w:r>
      <w:r>
        <w:rPr>
          <w:rFonts w:hint="eastAsia" w:ascii="Times New Roman" w:hAnsi="Times New Roman"/>
          <w:b/>
          <w:sz w:val="28"/>
          <w:szCs w:val="28"/>
          <w:highlight w:val="none"/>
        </w:rPr>
        <w:t xml:space="preserve">、培训要求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线上培训随需，支持远程培训、在线互动学习等</w:t>
      </w:r>
      <w:r>
        <w:rPr>
          <w:rFonts w:ascii="Times New Roman" w:hAnsi="Times New Roman"/>
          <w:sz w:val="24"/>
          <w:szCs w:val="24"/>
          <w:highlight w:val="none"/>
        </w:rPr>
        <w:t xml:space="preserve">。</w:t>
      </w:r>
      <w:r/>
    </w:p>
    <w:p>
      <w:pPr>
        <w:pStyle w:val="710"/>
        <w:ind w:firstLine="480"/>
        <w:rPr>
          <w:rFonts w:hint="eastAsia" w:eastAsia="宋体"/>
          <w:highlight w:val="none"/>
          <w:lang w:val="en-US" w:eastAsia="zh-CN"/>
        </w:rPr>
      </w:pPr>
      <w:r>
        <w:rPr>
          <w:rFonts w:hint="eastAsia" w:ascii="Times New Roman" w:hAnsi="Times New Roman"/>
          <w:sz w:val="24"/>
          <w:szCs w:val="24"/>
          <w:highlight w:val="none"/>
          <w:lang w:val="en-US" w:eastAsia="zh-CN"/>
        </w:rPr>
        <w:t xml:space="preserve">3、投标人需提供培训方案，内容包括但不限于培训计划、培训内容、培训对象等。</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二</w:t>
      </w:r>
      <w:r>
        <w:rPr>
          <w:rFonts w:hint="eastAsia" w:ascii="Times New Roman" w:hAnsi="Times New Roman"/>
          <w:b/>
          <w:sz w:val="28"/>
          <w:szCs w:val="28"/>
          <w:highlight w:val="none"/>
        </w:rPr>
        <w:t xml:space="preserve">、售后服务要求</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ascii="Calibri" w:hAnsi="Times New Roman" w:eastAsia="宋体" w:cs="Times New Roman"/>
          <w:b w:val="0"/>
          <w:bCs/>
          <w:color w:val="auto"/>
          <w:sz w:val="24"/>
          <w:szCs w:val="22"/>
          <w:highlight w:val="none"/>
          <w:lang w:val="en-US" w:eastAsia="zh-CN" w:bidi="ar-SA"/>
        </w:rPr>
        <w:t xml:space="preserve">供应商负责产品在使用期间内，提供三年免费保修，在产品保修期内，一旦产品发生质量问题，中标人保证在接到通知2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hAnsi="Times New Roman" w:eastAsia="宋体" w:cs="Times New Roman"/>
          <w:b w:val="0"/>
          <w:bCs/>
          <w:color w:val="auto"/>
          <w:sz w:val="24"/>
          <w:szCs w:val="22"/>
          <w:highlight w:val="none"/>
          <w:lang w:val="en-US" w:eastAsia="zh-CN" w:bidi="ar-SA"/>
        </w:rPr>
        <w:t xml:space="preserve">供应提供</w:t>
      </w:r>
      <w:r>
        <w:rPr>
          <w:rFonts w:hint="eastAsia" w:ascii="Calibri" w:hAnsi="Times New Roman" w:eastAsia="宋体" w:cs="Times New Roman"/>
          <w:b w:val="0"/>
          <w:bCs/>
          <w:color w:val="auto"/>
          <w:sz w:val="24"/>
          <w:szCs w:val="22"/>
          <w:highlight w:val="none"/>
          <w:lang w:val="en-US" w:eastAsia="zh-CN" w:bidi="ar-SA"/>
        </w:rPr>
        <w:t xml:space="preserve">售后服务方案</w:t>
      </w:r>
      <w:r>
        <w:rPr>
          <w:rFonts w:hint="eastAsia" w:hAnsi="Times New Roman" w:eastAsia="宋体" w:cs="Times New Roman"/>
          <w:b w:val="0"/>
          <w:bCs/>
          <w:color w:val="auto"/>
          <w:sz w:val="24"/>
          <w:szCs w:val="22"/>
          <w:highlight w:val="none"/>
          <w:lang w:val="en-US" w:eastAsia="zh-CN" w:bidi="ar-SA"/>
        </w:rPr>
        <w:t xml:space="preserve">，</w:t>
      </w:r>
      <w:r>
        <w:rPr>
          <w:rFonts w:hint="eastAsia" w:ascii="Calibri" w:hAnsi="Times New Roman" w:eastAsia="宋体" w:cs="Times New Roman"/>
          <w:b w:val="0"/>
          <w:bCs/>
          <w:color w:val="auto"/>
          <w:sz w:val="24"/>
          <w:szCs w:val="22"/>
          <w:highlight w:val="none"/>
          <w:lang w:val="en-US" w:eastAsia="zh-CN" w:bidi="ar-SA"/>
        </w:rPr>
        <w:t xml:space="preserve">至少应包含售后服务管理体系、售后服务人员的技术水平及现场服务措施（如响应时间、到达时间、服务范围、应急处理方案等）</w:t>
      </w:r>
      <w:r>
        <w:rPr>
          <w:rFonts w:hint="eastAsia" w:hAnsi="Times New Roman" w:eastAsia="宋体" w:cs="Times New Roman"/>
          <w:b w:val="0"/>
          <w:bCs/>
          <w:color w:val="auto"/>
          <w:sz w:val="24"/>
          <w:szCs w:val="22"/>
          <w:highlight w:val="none"/>
          <w:lang w:val="en-US" w:eastAsia="zh-CN" w:bidi="ar-SA"/>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四</w:t>
      </w:r>
      <w:r>
        <w:rPr>
          <w:rFonts w:hint="eastAsia" w:ascii="Times New Roman" w:hAnsi="Times New Roman"/>
          <w:b/>
          <w:sz w:val="28"/>
          <w:szCs w:val="28"/>
          <w:highlight w:val="none"/>
        </w:rPr>
        <w:t xml:space="preserve">、投标报价要求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4"/>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五</w:t>
      </w:r>
      <w:r>
        <w:rPr>
          <w:rFonts w:hint="eastAsia" w:ascii="Times New Roman" w:hAnsi="Times New Roman"/>
          <w:b/>
          <w:color w:val="auto"/>
          <w:sz w:val="28"/>
          <w:szCs w:val="28"/>
          <w:highlight w:val="none"/>
        </w:rPr>
        <w:t xml:space="preserve">、付款方式与履约保证金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1、付款方式</w:t>
      </w:r>
      <w:r/>
    </w:p>
    <w:p>
      <w:pPr>
        <w:ind w:firstLine="480"/>
        <w:jc w:val="left"/>
        <w:spacing w:line="360" w:lineRule="auto"/>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w:t>
      </w:r>
      <w:r>
        <w:rPr>
          <w:rFonts w:hint="eastAsia" w:ascii="Times New Roman" w:hAnsi="Times New Roman"/>
          <w:i/>
          <w:iCs/>
          <w:color w:val="auto"/>
          <w:sz w:val="24"/>
          <w:szCs w:val="24"/>
          <w:highlight w:val="none"/>
          <w:u w:val="single"/>
          <w:lang w:val="en-US" w:eastAsia="zh-CN"/>
        </w:rPr>
        <w:t xml:space="preserve">100</w:t>
      </w:r>
      <w:r>
        <w:rPr>
          <w:rFonts w:hint="eastAsia" w:ascii="Times New Roman" w:hAnsi="Times New Roman"/>
          <w:i/>
          <w:iCs/>
          <w:color w:val="auto"/>
          <w:sz w:val="24"/>
          <w:szCs w:val="24"/>
          <w:highlight w:val="none"/>
          <w:u w:val="singl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w:t>
      </w:r>
      <w:r>
        <w:rPr>
          <w:rFonts w:hint="eastAsia" w:ascii="Times New Roman" w:hAnsi="Times New Roman"/>
          <w:b/>
          <w:sz w:val="28"/>
          <w:szCs w:val="28"/>
          <w:highlight w:val="none"/>
          <w:lang w:val="en-US" w:eastAsia="zh-CN"/>
        </w:rPr>
        <w:t xml:space="preserve">六</w:t>
      </w:r>
      <w:r>
        <w:rPr>
          <w:rFonts w:hint="eastAsia" w:ascii="Times New Roman" w:hAnsi="Times New Roman"/>
          <w:b/>
          <w:sz w:val="28"/>
          <w:szCs w:val="28"/>
          <w:highlight w:val="none"/>
        </w:rPr>
        <w:t xml:space="preserve">、其他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35"/>
        <w:rPr>
          <w:sz w:val="24"/>
        </w:rPr>
      </w:pPr>
      <w:r>
        <w:rPr>
          <w:sz w:val="24"/>
        </w:rPr>
      </w:r>
      <w:r/>
    </w:p>
    <w:p>
      <w:pPr>
        <w:rPr>
          <w:sz w:val="24"/>
        </w:rPr>
      </w:pPr>
      <w:r>
        <w:rPr>
          <w:sz w:val="24"/>
        </w:rPr>
      </w:r>
      <w:r/>
    </w:p>
    <w:p>
      <w:pPr>
        <w:pStyle w:val="735"/>
        <w:rPr>
          <w:sz w:val="24"/>
        </w:rPr>
      </w:pPr>
      <w:r>
        <w:rPr>
          <w:sz w:val="24"/>
        </w:rPr>
      </w:r>
      <w:r/>
    </w:p>
    <w:p>
      <w:pPr>
        <w:pStyle w:val="884"/>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outlineLvl w:val="1"/>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商务</w:t>
      </w:r>
      <w:r>
        <w:rPr>
          <w:rFonts w:hint="eastAsia" w:ascii="宋体" w:hAnsi="宋体" w:eastAsia="宋体"/>
          <w:color w:val="auto"/>
          <w:sz w:val="24"/>
          <w:szCs w:val="24"/>
          <w:highlight w:val="none"/>
        </w:rPr>
        <w:t xml:space="preserve">技术分（</w:t>
      </w:r>
      <w:r>
        <w:rPr>
          <w:rFonts w:hint="eastAsia" w:ascii="宋体" w:hAnsi="宋体" w:eastAsia="宋体"/>
          <w:color w:val="auto"/>
          <w:sz w:val="24"/>
          <w:szCs w:val="24"/>
          <w:highlight w:val="none"/>
          <w:lang w:val="en-US" w:eastAsia="zh-CN"/>
        </w:rPr>
        <w:t xml:space="preserve">70</w:t>
      </w:r>
      <w:r>
        <w:rPr>
          <w:rFonts w:hint="eastAsia" w:ascii="宋体" w:hAnsi="宋体" w:eastAsia="宋体"/>
          <w:color w:val="auto"/>
          <w:sz w:val="24"/>
          <w:szCs w:val="24"/>
          <w:highlight w:val="none"/>
        </w:rPr>
        <w:t xml:space="preserve">分）</w:t>
      </w:r>
      <w:r/>
    </w:p>
    <w:tbl>
      <w:tblPr>
        <w:tblStyle w:val="706"/>
        <w:tblW w:w="8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141"/>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评审因素</w:t>
            </w:r>
            <w:r/>
          </w:p>
        </w:tc>
        <w:tc>
          <w:tcPr>
            <w:tcW w:w="714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商务部分</w:t>
            </w:r>
            <w:r/>
          </w:p>
          <w:p>
            <w:pPr>
              <w:jc w:val="center"/>
              <w:spacing w:line="276"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（5分）</w:t>
            </w:r>
            <w:r/>
          </w:p>
        </w:tc>
        <w:tc>
          <w:tcPr>
            <w:tcW w:w="7141" w:type="dxa"/>
            <w:vAlign w:val="center"/>
            <w:textDirection w:val="lrTb"/>
            <w:noWrap w:val="false"/>
          </w:tcPr>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bidi="ar-SA"/>
              </w:rPr>
              <w:t xml:space="preserve">1.</w:t>
            </w:r>
            <w:r>
              <w:rPr>
                <w:rFonts w:hint="eastAsia" w:ascii="宋体" w:hAnsi="宋体" w:eastAsia="宋体" w:cs="宋体"/>
                <w:color w:val="auto"/>
                <w:sz w:val="18"/>
                <w:szCs w:val="18"/>
                <w:highlight w:val="none"/>
                <w:lang w:val="en-US" w:eastAsia="zh-CN"/>
              </w:rPr>
              <w:t xml:space="preserve">提供物联编程远程在线课程系统类似“AI物联网编程套装”</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CN"/>
              </w:rPr>
              <w:t xml:space="preserve">软件著作权证书电子扫描件并加盖供应商电子签章，提供</w:t>
            </w:r>
            <w:r>
              <w:rPr>
                <w:rFonts w:hint="eastAsia" w:ascii="宋体" w:hAnsi="宋体" w:eastAsia="宋体" w:cs="宋体"/>
                <w:color w:val="auto"/>
                <w:sz w:val="18"/>
                <w:szCs w:val="18"/>
                <w:highlight w:val="none"/>
                <w:lang w:val="en-US" w:eastAsia="zh-Hans"/>
              </w:rPr>
              <w:t xml:space="preserve">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Hans"/>
              </w:rPr>
              <w:t xml:space="preserve">分</w:t>
            </w:r>
            <w:r>
              <w:rPr>
                <w:rFonts w:hint="eastAsia" w:ascii="宋体" w:hAnsi="宋体" w:eastAsia="宋体" w:cs="宋体"/>
                <w:color w:val="auto"/>
                <w:sz w:val="18"/>
                <w:szCs w:val="18"/>
                <w:highlight w:val="none"/>
                <w:lang w:val="en-US" w:eastAsia="zh-CN"/>
              </w:rPr>
              <w:t xml:space="preserve">；证书名称与本项描述不完全一致但核心功能相近的，由评审委员会现场集体综合判定，没有不得分。</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2.提供</w:t>
            </w:r>
            <w:r>
              <w:rPr>
                <w:rFonts w:hint="eastAsia" w:ascii="宋体" w:hAnsi="宋体" w:eastAsia="宋体" w:cs="宋体"/>
                <w:color w:val="auto"/>
                <w:sz w:val="18"/>
                <w:szCs w:val="18"/>
                <w:highlight w:val="none"/>
                <w:lang w:val="en-US" w:eastAsia="zh-Hans"/>
              </w:rPr>
              <w:t xml:space="preserve">智能识别垃圾桶</w:t>
            </w:r>
            <w:r>
              <w:rPr>
                <w:rFonts w:hint="eastAsia" w:ascii="宋体" w:hAnsi="宋体" w:eastAsia="宋体" w:cs="宋体"/>
                <w:color w:val="auto"/>
                <w:sz w:val="18"/>
                <w:szCs w:val="18"/>
                <w:highlight w:val="none"/>
                <w:lang w:val="en-US" w:eastAsia="zh-CN"/>
              </w:rPr>
              <w:t xml:space="preserve">类似“</w:t>
            </w:r>
            <w:r>
              <w:rPr>
                <w:rFonts w:hint="eastAsia" w:ascii="宋体" w:hAnsi="宋体" w:eastAsia="宋体" w:cs="宋体"/>
                <w:color w:val="auto"/>
                <w:sz w:val="18"/>
                <w:szCs w:val="18"/>
                <w:highlight w:val="none"/>
                <w:lang w:val="en-US" w:eastAsia="zh-Hans"/>
              </w:rPr>
              <w:t xml:space="preserve">AI智能垃圾桶分类系统</w:t>
            </w:r>
            <w:r>
              <w:rPr>
                <w:rFonts w:hint="eastAsia" w:ascii="宋体" w:hAnsi="宋体" w:eastAsia="宋体" w:cs="宋体"/>
                <w:color w:val="auto"/>
                <w:sz w:val="18"/>
                <w:szCs w:val="18"/>
                <w:highlight w:val="none"/>
                <w:lang w:val="en-US" w:eastAsia="zh-CN"/>
              </w:rPr>
              <w:t xml:space="preserve">”</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Hans"/>
              </w:rPr>
              <w:t xml:space="preserve">软件</w:t>
            </w:r>
            <w:r>
              <w:rPr>
                <w:rFonts w:hint="eastAsia" w:ascii="宋体" w:hAnsi="宋体" w:eastAsia="宋体" w:cs="宋体"/>
                <w:color w:val="auto"/>
                <w:sz w:val="18"/>
                <w:szCs w:val="18"/>
                <w:highlight w:val="none"/>
                <w:lang w:val="en-US" w:eastAsia="zh-CN"/>
              </w:rPr>
              <w:t xml:space="preserve">著作权证书电子扫描并加盖供应商电子签章，提供</w:t>
            </w:r>
            <w:r>
              <w:rPr>
                <w:rFonts w:hint="eastAsia" w:ascii="宋体" w:hAnsi="宋体" w:eastAsia="宋体" w:cs="宋体"/>
                <w:color w:val="auto"/>
                <w:sz w:val="18"/>
                <w:szCs w:val="18"/>
                <w:highlight w:val="none"/>
                <w:lang w:val="en-US" w:eastAsia="zh-Hans"/>
              </w:rPr>
              <w:t xml:space="preserve">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Hans"/>
              </w:rPr>
              <w:t xml:space="preserve">分</w:t>
            </w:r>
            <w:r>
              <w:rPr>
                <w:rFonts w:hint="eastAsia" w:ascii="宋体" w:hAnsi="宋体" w:eastAsia="宋体" w:cs="宋体"/>
                <w:color w:val="auto"/>
                <w:sz w:val="18"/>
                <w:szCs w:val="18"/>
                <w:highlight w:val="none"/>
                <w:lang w:val="en-US" w:eastAsia="zh-CN"/>
              </w:rPr>
              <w:t xml:space="preserve">；证书名称与本项描述不完全一致但核心功能相近的，由评审委员会现场集体综合判定，没有不得分</w:t>
            </w:r>
            <w:r>
              <w:rPr>
                <w:rFonts w:hint="eastAsia" w:ascii="宋体" w:hAnsi="宋体" w:eastAsia="宋体" w:cs="宋体"/>
                <w:color w:val="auto"/>
                <w:sz w:val="18"/>
                <w:szCs w:val="18"/>
                <w:highlight w:val="none"/>
                <w:lang w:val="en-US" w:eastAsia="zh-CN"/>
              </w:rPr>
              <w:t xml:space="preserve">。</w:t>
            </w:r>
            <w:r/>
          </w:p>
          <w:p>
            <w:pPr>
              <w:ind w:right="2"/>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3.“AIOT智慧电子中级编程套装”产品恒定湿热性能：提供具备CMA认证资质的第三方检测机构</w:t>
            </w:r>
            <w:r>
              <w:rPr>
                <w:rFonts w:hint="eastAsia" w:ascii="宋体" w:hAnsi="宋体" w:cs="宋体"/>
                <w:color w:val="auto"/>
                <w:sz w:val="18"/>
                <w:szCs w:val="18"/>
                <w:highlight w:val="none"/>
                <w:lang w:val="en-US" w:eastAsia="zh-CN"/>
              </w:rPr>
              <w:t xml:space="preserve">出具的</w:t>
            </w:r>
            <w:r>
              <w:rPr>
                <w:rFonts w:hint="eastAsia" w:ascii="宋体" w:hAnsi="宋体" w:eastAsia="宋体" w:cs="宋体"/>
                <w:color w:val="auto"/>
                <w:sz w:val="18"/>
                <w:szCs w:val="18"/>
                <w:highlight w:val="none"/>
                <w:lang w:val="en-US" w:eastAsia="zh-CN"/>
              </w:rPr>
              <w:t xml:space="preserve">的质量安全性能测试。检测标准：GB/T 2423.3-2016《环境试验 第2部分：试验方法 试验Cab：恒定湿热试验》。具体要求：在40℃、93%RH环境下贮存4小时及以上无变形，检测结果为：合格。提供证书电子扫描件并加盖供应商电子签章，提供得1分，没有不得分。</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项须提供全国认证认可信息公共服务平台（网址：</w:t>
            </w:r>
            <w:r>
              <w:rPr>
                <w:rFonts w:hint="eastAsia" w:ascii="宋体" w:hAnsi="宋体" w:eastAsia="宋体" w:cs="宋体"/>
                <w:color w:val="auto"/>
                <w:sz w:val="18"/>
                <w:szCs w:val="18"/>
                <w:highlight w:val="none"/>
                <w:lang w:val="en-US" w:eastAsia="zh-CN"/>
              </w:rPr>
              <w:fldChar w:fldCharType="begin"/>
            </w:r>
            <w:r>
              <w:rPr>
                <w:rFonts w:hint="eastAsia" w:ascii="宋体" w:hAnsi="宋体" w:eastAsia="宋体" w:cs="宋体"/>
                <w:color w:val="auto"/>
                <w:sz w:val="18"/>
                <w:szCs w:val="18"/>
                <w:highlight w:val="none"/>
                <w:lang w:val="en-US" w:eastAsia="zh-CN"/>
              </w:rPr>
              <w:instrText xml:space="preserve"> HYPERLINK "https://cx.cnca.cn" \t "_blank" </w:instrText>
            </w:r>
            <w:r>
              <w:rPr>
                <w:rFonts w:hint="eastAsia" w:ascii="宋体" w:hAnsi="宋体" w:eastAsia="宋体" w:cs="宋体"/>
                <w:color w:val="auto"/>
                <w:sz w:val="18"/>
                <w:szCs w:val="18"/>
                <w:highlight w:val="none"/>
                <w:lang w:val="en-US" w:eastAsia="zh-CN"/>
              </w:rPr>
              <w:fldChar w:fldCharType="separate"/>
            </w:r>
            <w:r>
              <w:rPr>
                <w:rFonts w:hint="eastAsia" w:ascii="宋体" w:hAnsi="宋体" w:eastAsia="宋体" w:cs="宋体"/>
                <w:color w:val="auto"/>
                <w:sz w:val="18"/>
                <w:szCs w:val="18"/>
                <w:highlight w:val="none"/>
                <w:lang w:val="en-US" w:eastAsia="zh-CN"/>
              </w:rPr>
              <w:t xml:space="preserve">https://cx.cnca.cn</w:t>
            </w:r>
            <w:r>
              <w:rPr>
                <w:rFonts w:hint="eastAsia" w:ascii="宋体" w:hAnsi="宋体" w:eastAsia="宋体" w:cs="宋体"/>
                <w:color w:val="auto"/>
                <w:sz w:val="18"/>
                <w:szCs w:val="18"/>
                <w:highlight w:val="none"/>
                <w:lang w:val="en-US" w:eastAsia="zh-CN"/>
              </w:rPr>
              <w:fldChar w:fldCharType="end"/>
            </w:r>
            <w:r>
              <w:rPr>
                <w:rFonts w:hint="eastAsia" w:ascii="宋体" w:hAnsi="宋体" w:eastAsia="宋体" w:cs="宋体"/>
                <w:color w:val="auto"/>
                <w:sz w:val="18"/>
                <w:szCs w:val="18"/>
                <w:highlight w:val="none"/>
                <w:lang w:val="en-US" w:eastAsia="zh-CN"/>
              </w:rPr>
              <w:t xml:space="preserve">） 检测机构完整CMA资质查询截图；若官网无法查询，可提供检测机构官网CMA资质公示截图替代</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检测机构官网指拥有独立运营的企业门户网站</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；原材料报告、非投标型号报告均不予计分。</w:t>
            </w:r>
            <w:r>
              <w:rPr>
                <w:rFonts w:hint="eastAsia" w:ascii="宋体" w:hAnsi="宋体" w:cs="宋体"/>
                <w:color w:val="auto"/>
                <w:sz w:val="18"/>
                <w:szCs w:val="18"/>
                <w:highlight w:val="none"/>
                <w:lang w:val="en-US" w:eastAsia="zh-CN"/>
              </w:rPr>
              <w:t xml:space="preserve">）</w:t>
            </w:r>
            <w:r/>
          </w:p>
        </w:tc>
      </w:tr>
      <w:tr>
        <w:trPr>
          <w:jc w:val="center"/>
          <w:trHeight w:val="621"/>
        </w:trPr>
        <w:tc>
          <w:tcPr>
            <w:tcW w:w="1660"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技术服务水平</w:t>
            </w:r>
            <w:r/>
          </w:p>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根据投标供应商所投产品对招标文件的响应性进行符合性评审：满足或优于投标文件所列技术参数及要求的，得满分为</w:t>
            </w: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分。 “▲”条款为重要技术指标项，每负偏离一项扣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分，扣完为止；</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注：（1）须按本文件</w:t>
            </w:r>
            <w:r>
              <w:rPr>
                <w:rFonts w:hint="eastAsia" w:ascii="宋体" w:hAnsi="宋体" w:eastAsia="宋体" w:cs="宋体"/>
                <w:color w:val="auto"/>
                <w:sz w:val="18"/>
                <w:szCs w:val="18"/>
                <w:highlight w:val="none"/>
                <w:lang w:val="en-US" w:eastAsia="zh-CN"/>
              </w:rPr>
              <w:t xml:space="preserve">采购需求中《</w:t>
            </w:r>
            <w:r>
              <w:rPr>
                <w:rFonts w:hint="eastAsia" w:ascii="宋体" w:hAnsi="宋体" w:eastAsia="宋体" w:cs="宋体"/>
                <w:color w:val="auto"/>
                <w:sz w:val="18"/>
                <w:szCs w:val="18"/>
                <w:highlight w:val="none"/>
              </w:rPr>
              <w:t xml:space="preserve">货物（标的）技术参数及功能指标</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，在投标文件中提供所需的相关证明文件方可得分。 </w:t>
            </w:r>
            <w:r/>
          </w:p>
          <w:p>
            <w:pPr>
              <w:jc w:val="left"/>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（2）相同产品，相同技术参数不重复扣分。 </w:t>
            </w:r>
            <w:r/>
          </w:p>
        </w:tc>
      </w:tr>
      <w:tr>
        <w:trPr>
          <w:jc w:val="center"/>
          <w:trHeight w:val="325"/>
        </w:trPr>
        <w:tc>
          <w:tcPr>
            <w:tcW w:w="1660" w:type="dxa"/>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产品功能演示(</w:t>
            </w:r>
            <w:r>
              <w:rPr>
                <w:rFonts w:hint="eastAsia" w:ascii="宋体" w:hAnsi="宋体" w:cs="宋体"/>
                <w:color w:val="auto"/>
                <w:sz w:val="22"/>
                <w:szCs w:val="22"/>
                <w:highlight w:val="none"/>
                <w:lang w:val="en-US" w:eastAsia="zh-CN"/>
              </w:rPr>
              <w:t xml:space="preserve">19</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numPr>
                <w:ilvl w:val="0"/>
                <w:numId w:val="0"/>
              </w:numPr>
              <w:ind w:right="-159"/>
              <w:spacing w:line="240" w:lineRule="auto"/>
              <w:rPr>
                <w:rFonts w:hint="eastAsia" w:eastAsia="宋体"/>
                <w:sz w:val="18"/>
                <w:szCs w:val="18"/>
                <w:lang w:eastAsia="zh-CN"/>
              </w:rPr>
            </w:pPr>
            <w:r>
              <w:rPr>
                <w:rFonts w:hint="default" w:ascii="Arial" w:hAnsi="Arial" w:eastAsia="宋体" w:cs="Arial"/>
                <w:sz w:val="18"/>
                <w:szCs w:val="18"/>
                <w:lang w:val="en-US" w:eastAsia="zh-CN" w:bidi="ar-SA"/>
              </w:rPr>
              <w:t xml:space="preserve">1、</w:t>
            </w:r>
            <w:r>
              <w:rPr>
                <w:rFonts w:hint="eastAsia"/>
                <w:b/>
                <w:bCs/>
                <w:sz w:val="18"/>
                <w:szCs w:val="18"/>
              </w:rPr>
              <w:t xml:space="preserve">AI电子智慧语音机器人套装</w:t>
            </w:r>
            <w:r>
              <w:rPr>
                <w:rFonts w:hint="eastAsia" w:eastAsia="宋体"/>
                <w:b/>
                <w:bCs/>
                <w:sz w:val="18"/>
                <w:szCs w:val="18"/>
                <w:lang w:eastAsia="zh-CN"/>
              </w:rPr>
              <w:t xml:space="preserve">（</w:t>
            </w:r>
            <w:r>
              <w:rPr>
                <w:rFonts w:hint="eastAsia" w:ascii="Calibri" w:eastAsia="宋体"/>
                <w:b/>
                <w:bCs/>
                <w:sz w:val="18"/>
                <w:szCs w:val="18"/>
                <w:lang w:val="en-US" w:eastAsia="zh-CN"/>
              </w:rPr>
              <w:t xml:space="preserve">3分</w:t>
            </w:r>
            <w:r>
              <w:rPr>
                <w:rFonts w:hint="eastAsia" w:eastAsia="宋体"/>
                <w:b/>
                <w:bCs/>
                <w:sz w:val="18"/>
                <w:szCs w:val="18"/>
                <w:lang w:eastAsia="zh-CN"/>
              </w:rPr>
              <w:t xml:space="preserve">）</w:t>
            </w:r>
            <w:r/>
          </w:p>
          <w:p>
            <w:pPr>
              <w:ind w:right="-159"/>
              <w:jc w:val="left"/>
              <w:spacing w:line="240" w:lineRule="auto"/>
              <w:rPr>
                <w:rFonts w:hint="eastAsia"/>
                <w:sz w:val="18"/>
                <w:szCs w:val="18"/>
              </w:rPr>
            </w:pPr>
            <w:r>
              <w:rPr>
                <w:rFonts w:hint="eastAsia"/>
                <w:sz w:val="18"/>
                <w:szCs w:val="18"/>
              </w:rPr>
              <w:t xml:space="preserve">投标现场提供：</w:t>
            </w:r>
            <w:r>
              <w:rPr>
                <w:rFonts w:hint="eastAsia"/>
                <w:b w:val="0"/>
                <w:bCs w:val="0"/>
                <w:sz w:val="18"/>
                <w:szCs w:val="18"/>
              </w:rPr>
              <w:t xml:space="preserve">AI电子智慧语音机器人套装</w:t>
            </w:r>
            <w:r>
              <w:rPr>
                <w:rFonts w:hint="eastAsia"/>
                <w:sz w:val="18"/>
                <w:szCs w:val="18"/>
              </w:rPr>
              <w:t xml:space="preserve">产品的三个作品：海草舞</w:t>
            </w:r>
            <w:r>
              <w:rPr>
                <w:rFonts w:hint="eastAsia"/>
                <w:sz w:val="18"/>
                <w:szCs w:val="18"/>
                <w:highlight w:val="none"/>
              </w:rPr>
              <w:t xml:space="preserve">、自动调节座椅</w:t>
            </w:r>
            <w:r>
              <w:rPr>
                <w:rFonts w:hint="eastAsia"/>
                <w:sz w:val="18"/>
                <w:szCs w:val="18"/>
              </w:rPr>
              <w:t xml:space="preserve">、水闸三个机器人作品。(电池及语音识别模块需满足招标文件要求，外壳应为一体式模具壳体，非裸电路板)</w:t>
            </w:r>
            <w:r/>
          </w:p>
          <w:p>
            <w:pPr>
              <w:ind w:right="-159"/>
              <w:spacing w:line="240" w:lineRule="auto"/>
              <w:rPr>
                <w:rFonts w:hint="eastAsia"/>
                <w:sz w:val="18"/>
                <w:szCs w:val="18"/>
              </w:rPr>
            </w:pPr>
            <w:r>
              <w:rPr>
                <w:rFonts w:hint="eastAsia"/>
                <w:sz w:val="18"/>
                <w:szCs w:val="18"/>
              </w:rPr>
              <w:t xml:space="preserve">演示要求：分别对三款作品进行语音指令的控制，当机器人识别到相应的指令即可完成系列动作。</w:t>
            </w:r>
            <w:r/>
          </w:p>
          <w:p>
            <w:pPr>
              <w:ind w:right="-159"/>
              <w:spacing w:line="240" w:lineRule="auto"/>
              <w:rPr>
                <w:rFonts w:hint="eastAsia"/>
                <w:sz w:val="18"/>
                <w:szCs w:val="18"/>
              </w:rPr>
            </w:pPr>
            <w:r>
              <w:rPr>
                <w:rFonts w:hint="eastAsia"/>
                <w:sz w:val="18"/>
                <w:szCs w:val="18"/>
              </w:rPr>
              <w:t xml:space="preserve">海草舞</w:t>
            </w:r>
            <w:r>
              <w:rPr>
                <w:rFonts w:hint="eastAsia" w:eastAsia="宋体"/>
                <w:sz w:val="18"/>
                <w:szCs w:val="18"/>
                <w:lang w:eastAsia="zh-CN"/>
              </w:rPr>
              <w:t xml:space="preserve">（</w:t>
            </w:r>
            <w:r>
              <w:rPr>
                <w:rFonts w:hint="eastAsia" w:ascii="Calibri" w:eastAsia="宋体"/>
                <w:sz w:val="18"/>
                <w:szCs w:val="18"/>
                <w:lang w:val="en-US" w:eastAsia="zh-CN"/>
              </w:rPr>
              <w:t xml:space="preserve">1分</w:t>
            </w:r>
            <w:r>
              <w:rPr>
                <w:rFonts w:hint="eastAsia" w:eastAsia="宋体"/>
                <w:sz w:val="18"/>
                <w:szCs w:val="18"/>
                <w:lang w:eastAsia="zh-CN"/>
              </w:rPr>
              <w:t xml:space="preserve">）</w:t>
            </w:r>
            <w:r>
              <w:rPr>
                <w:rFonts w:hint="eastAsia"/>
                <w:sz w:val="18"/>
                <w:szCs w:val="18"/>
              </w:rPr>
              <w:t xml:space="preserve">：让海草舞机器人可以执行启动、停止、正转、反转、快一点、慢一点的相关动作</w:t>
            </w:r>
            <w:r/>
          </w:p>
          <w:p>
            <w:pPr>
              <w:ind w:right="-159"/>
              <w:spacing w:line="240" w:lineRule="auto"/>
              <w:rPr>
                <w:rFonts w:hint="eastAsia"/>
                <w:sz w:val="18"/>
                <w:szCs w:val="18"/>
                <w:highlight w:val="none"/>
                <w:lang w:eastAsia="zh-CN"/>
              </w:rPr>
            </w:pPr>
            <w:r>
              <w:rPr>
                <w:rFonts w:hint="eastAsia"/>
                <w:sz w:val="18"/>
                <w:szCs w:val="18"/>
              </w:rPr>
              <w:t xml:space="preserve">自动调节</w:t>
            </w:r>
            <w:r>
              <w:rPr>
                <w:rFonts w:hint="eastAsia"/>
                <w:sz w:val="18"/>
                <w:szCs w:val="18"/>
                <w:highlight w:val="none"/>
              </w:rPr>
              <w:t xml:space="preserve">座椅</w:t>
            </w:r>
            <w:r>
              <w:rPr>
                <w:rFonts w:hint="eastAsia" w:eastAsia="宋体"/>
                <w:sz w:val="18"/>
                <w:szCs w:val="18"/>
                <w:highlight w:val="none"/>
                <w:lang w:eastAsia="zh-CN"/>
              </w:rPr>
              <w:t xml:space="preserve">（</w:t>
            </w:r>
            <w:r>
              <w:rPr>
                <w:rFonts w:hint="eastAsia" w:ascii="Times New Roman" w:eastAsia="宋体"/>
                <w:sz w:val="18"/>
                <w:szCs w:val="18"/>
                <w:highlight w:val="none"/>
                <w:lang w:val="en-US" w:eastAsia="zh-CN"/>
              </w:rPr>
              <w:t xml:space="preserve">1分</w:t>
            </w:r>
            <w:r>
              <w:rPr>
                <w:rFonts w:hint="eastAsia" w:eastAsia="宋体"/>
                <w:sz w:val="18"/>
                <w:szCs w:val="18"/>
                <w:highlight w:val="none"/>
                <w:lang w:eastAsia="zh-CN"/>
              </w:rPr>
              <w:t xml:space="preserve">）</w:t>
            </w:r>
            <w:r>
              <w:rPr>
                <w:rFonts w:hint="eastAsia"/>
                <w:sz w:val="18"/>
                <w:szCs w:val="18"/>
                <w:highlight w:val="none"/>
              </w:rPr>
              <w:t xml:space="preserve">：让作品进行抬高椅背、放低椅背的两个动作，作品可以识别并进行动作的完成，且不能散架</w:t>
            </w:r>
            <w:r/>
          </w:p>
          <w:p>
            <w:pPr>
              <w:ind w:right="-159"/>
              <w:spacing w:line="240" w:lineRule="auto"/>
              <w:rPr>
                <w:rFonts w:hint="eastAsia" w:eastAsia="宋体"/>
                <w:sz w:val="18"/>
                <w:szCs w:val="18"/>
                <w:highlight w:val="none"/>
                <w:lang w:eastAsia="zh-CN"/>
              </w:rPr>
            </w:pPr>
            <w:r>
              <w:rPr>
                <w:rFonts w:hint="eastAsia"/>
                <w:sz w:val="18"/>
                <w:szCs w:val="18"/>
                <w:highlight w:val="none"/>
              </w:rPr>
              <w:t xml:space="preserve">水闸</w:t>
            </w:r>
            <w:r>
              <w:rPr>
                <w:rFonts w:hint="eastAsia" w:eastAsia="宋体"/>
                <w:sz w:val="18"/>
                <w:szCs w:val="18"/>
                <w:highlight w:val="none"/>
                <w:lang w:eastAsia="zh-CN"/>
              </w:rPr>
              <w:t xml:space="preserve">（</w:t>
            </w:r>
            <w:r>
              <w:rPr>
                <w:rFonts w:hint="eastAsia" w:ascii="Times New Roman" w:eastAsia="宋体"/>
                <w:sz w:val="18"/>
                <w:szCs w:val="18"/>
                <w:highlight w:val="none"/>
                <w:lang w:val="en-US" w:eastAsia="zh-CN"/>
              </w:rPr>
              <w:t xml:space="preserve">1分</w:t>
            </w:r>
            <w:r>
              <w:rPr>
                <w:rFonts w:hint="eastAsia" w:eastAsia="宋体"/>
                <w:sz w:val="18"/>
                <w:szCs w:val="18"/>
                <w:highlight w:val="none"/>
                <w:lang w:eastAsia="zh-CN"/>
              </w:rPr>
              <w:t xml:space="preserve">）</w:t>
            </w:r>
            <w:r>
              <w:rPr>
                <w:rFonts w:hint="eastAsia"/>
                <w:sz w:val="18"/>
                <w:szCs w:val="18"/>
                <w:highlight w:val="none"/>
              </w:rPr>
              <w:t xml:space="preserve">：让作品进行开闸、关闸的两个动作完成，闸门可以缓慢上升至固定位置（只可以在闸门关闭状态下完成）；闸门下降到初始位置（只可以在闸门升起状态下完成）</w:t>
            </w:r>
            <w:r/>
          </w:p>
          <w:p>
            <w:pPr>
              <w:numPr>
                <w:ilvl w:val="0"/>
                <w:numId w:val="0"/>
              </w:numPr>
              <w:ind w:left="0" w:right="-159" w:firstLine="0"/>
              <w:spacing w:line="240" w:lineRule="auto"/>
              <w:rPr>
                <w:rFonts w:hint="eastAsia" w:ascii="宋体" w:hAnsi="宋体" w:eastAsia="宋体" w:cs="宋体"/>
                <w:b/>
                <w:bCs/>
                <w:i w:val="0"/>
                <w:iCs w:val="0"/>
                <w:color w:val="000000"/>
                <w:sz w:val="18"/>
                <w:szCs w:val="18"/>
                <w:highlight w:val="none"/>
                <w:u w:val="none"/>
                <w:lang w:val="en-US" w:eastAsia="zh-CN" w:bidi="ar"/>
              </w:rPr>
            </w:pPr>
            <w:r>
              <w:rPr>
                <w:rFonts w:hint="default" w:ascii="Arial" w:hAnsi="Arial" w:eastAsia="宋体" w:cs="Arial"/>
                <w:b/>
                <w:bCs/>
                <w:i w:val="0"/>
                <w:iCs w:val="0"/>
                <w:color w:val="000000"/>
                <w:sz w:val="18"/>
                <w:szCs w:val="18"/>
                <w:lang w:val="en-US" w:eastAsia="zh-CN" w:bidi="ar"/>
              </w:rPr>
              <w:t xml:space="preserve">2、</w:t>
            </w:r>
            <w:r>
              <w:rPr>
                <w:rFonts w:hint="eastAsia" w:ascii="宋体" w:hAnsi="宋体" w:eastAsia="宋体" w:cs="宋体"/>
                <w:b/>
                <w:bCs/>
                <w:i w:val="0"/>
                <w:iCs w:val="0"/>
                <w:color w:val="000000"/>
                <w:sz w:val="18"/>
                <w:szCs w:val="18"/>
                <w:highlight w:val="none"/>
                <w:u w:val="none"/>
                <w:lang w:val="en-US" w:eastAsia="zh-CN" w:bidi="ar"/>
              </w:rPr>
              <w:t xml:space="preserve">人形互动机器人</w:t>
            </w:r>
            <w:r>
              <w:rPr>
                <w:rFonts w:hint="eastAsia" w:eastAsia="宋体"/>
                <w:b/>
                <w:bCs/>
                <w:sz w:val="18"/>
                <w:szCs w:val="18"/>
                <w:highlight w:val="none"/>
                <w:lang w:eastAsia="zh-CN"/>
              </w:rPr>
              <w:t xml:space="preserve">（</w:t>
            </w:r>
            <w:r>
              <w:rPr>
                <w:rFonts w:hint="eastAsia"/>
                <w:b/>
                <w:bCs/>
                <w:sz w:val="18"/>
                <w:szCs w:val="18"/>
                <w:highlight w:val="none"/>
                <w:lang w:val="en-US" w:eastAsia="zh-CN"/>
              </w:rPr>
              <w:t xml:space="preserve">4</w:t>
            </w:r>
            <w:r>
              <w:rPr>
                <w:rFonts w:hint="eastAsia" w:ascii="Calibri" w:eastAsia="宋体"/>
                <w:b/>
                <w:bCs/>
                <w:sz w:val="18"/>
                <w:szCs w:val="18"/>
                <w:highlight w:val="none"/>
                <w:lang w:val="en-US" w:eastAsia="zh-CN"/>
              </w:rPr>
              <w:t xml:space="preserve">分</w:t>
            </w:r>
            <w:r>
              <w:rPr>
                <w:rFonts w:hint="eastAsia" w:eastAsia="宋体"/>
                <w:b/>
                <w:bCs/>
                <w:sz w:val="18"/>
                <w:szCs w:val="18"/>
                <w:highlight w:val="none"/>
                <w:lang w:eastAsia="zh-CN"/>
              </w:rPr>
              <w:t xml:space="preserve">）</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1、支持在单个手机端同时、同屏进行双人双手环训练对抗。</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2、通过无线手环，同屏、同时实时采集两位训练者的身心数据，并在单个手机端同屏反馈各训练者的HR（心率）、HRV、PNN50、B/M（身心指数）等数值及动画场景。</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3、训练过程中，同时、同屏显示两个训练者各自的动画场景，动画场景在同屏上随其身心指数变化而实时动态变化，形成互动，直观反映训练效果。</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jc w:val="both"/>
              <w:spacing w:line="240" w:lineRule="auto"/>
              <w:widowControl w:val="off"/>
              <w:rPr>
                <w:rFonts w:hint="eastAsia" w:ascii="宋体" w:hAnsi="宋体" w:eastAsia="宋体" w:cs="宋体"/>
                <w:b w:val="0"/>
                <w:bCs w:val="0"/>
                <w:i w:val="0"/>
                <w:iCs w:val="0"/>
                <w:color w:val="000000"/>
                <w:sz w:val="18"/>
                <w:szCs w:val="18"/>
                <w:highlight w:val="none"/>
                <w:u w:val="none"/>
                <w:lang w:val="en-US" w:eastAsia="zh-CN" w:bidi="ar"/>
              </w:rPr>
            </w:pPr>
            <w:r>
              <w:rPr>
                <w:rFonts w:hint="eastAsia" w:ascii="宋体" w:hAnsi="宋体" w:eastAsia="宋体" w:cs="宋体"/>
                <w:b w:val="0"/>
                <w:bCs w:val="0"/>
                <w:i w:val="0"/>
                <w:iCs w:val="0"/>
                <w:color w:val="000000"/>
                <w:sz w:val="18"/>
                <w:szCs w:val="18"/>
                <w:highlight w:val="none"/>
                <w:u w:val="none"/>
                <w:lang w:val="en-US" w:eastAsia="zh-CN" w:bidi="ar"/>
              </w:rPr>
              <w:t xml:space="preserve">4、训练完成后同时、同屏自动生成报告，报告内容包括HR（心率）、HRV、PNN50、B/M（身心指数）、HR（心率）曲线图及对抗排名。</w:t>
            </w:r>
            <w:r>
              <w:rPr>
                <w:rFonts w:hint="eastAsia" w:ascii="Segoe UI Emoji" w:hAnsi="Segoe UI Emoji" w:eastAsia="宋体" w:cs="Segoe UI Emoji"/>
                <w:i w:val="0"/>
                <w:iCs w:val="0"/>
                <w:caps w:val="0"/>
                <w:color w:val="000000"/>
                <w:spacing w:val="0"/>
                <w:sz w:val="18"/>
                <w:szCs w:val="18"/>
                <w:highlight w:val="none"/>
                <w:lang w:val="en-US" w:eastAsia="zh-CN"/>
              </w:rPr>
              <w:t xml:space="preserve">（</w:t>
            </w:r>
            <w:r>
              <w:rPr>
                <w:rFonts w:hint="eastAsia" w:ascii="Segoe UI Emoji" w:hAnsi="Segoe UI Emoji" w:cs="Segoe UI Emoji"/>
                <w:i w:val="0"/>
                <w:iCs w:val="0"/>
                <w:caps w:val="0"/>
                <w:color w:val="000000"/>
                <w:spacing w:val="0"/>
                <w:sz w:val="18"/>
                <w:szCs w:val="18"/>
                <w:highlight w:val="none"/>
                <w:lang w:val="en-US" w:eastAsia="zh-CN"/>
              </w:rPr>
              <w:t xml:space="preserve">1</w:t>
            </w:r>
            <w:r>
              <w:rPr>
                <w:rFonts w:hint="eastAsia" w:ascii="Segoe UI Emoji" w:hAnsi="Segoe UI Emoji" w:eastAsia="宋体" w:cs="Segoe UI Emoji"/>
                <w:i w:val="0"/>
                <w:iCs w:val="0"/>
                <w:caps w:val="0"/>
                <w:color w:val="000000"/>
                <w:spacing w:val="0"/>
                <w:sz w:val="18"/>
                <w:szCs w:val="18"/>
                <w:highlight w:val="none"/>
                <w:lang w:val="en-US" w:eastAsia="zh-CN"/>
              </w:rPr>
              <w:t xml:space="preserve">分）</w:t>
            </w:r>
            <w:r/>
          </w:p>
          <w:p>
            <w:pPr>
              <w:numPr>
                <w:ilvl w:val="0"/>
                <w:numId w:val="0"/>
              </w:numPr>
              <w:ind w:right="-159"/>
              <w:spacing w:line="240" w:lineRule="auto"/>
              <w:rPr>
                <w:rFonts w:hint="eastAsia" w:ascii="Calibri" w:hAnsi="Calibri" w:eastAsia="宋体" w:cs="Times New Roman"/>
                <w:b/>
                <w:bCs/>
                <w:sz w:val="18"/>
                <w:szCs w:val="18"/>
                <w:highlight w:val="none"/>
                <w:lang w:val="en-US" w:eastAsia="zh-CN"/>
              </w:rPr>
            </w:pPr>
            <w:r>
              <w:rPr>
                <w:rFonts w:hint="eastAsia" w:cs="Times New Roman"/>
                <w:b/>
                <w:bCs/>
                <w:sz w:val="18"/>
                <w:szCs w:val="18"/>
                <w:highlight w:val="none"/>
                <w:lang w:val="en-US" w:eastAsia="zh-CN"/>
              </w:rPr>
              <w:t xml:space="preserve">3、</w:t>
            </w:r>
            <w:r>
              <w:rPr>
                <w:rFonts w:hint="eastAsia" w:ascii="Calibri" w:hAnsi="Calibri" w:eastAsia="宋体" w:cs="Times New Roman"/>
                <w:b/>
                <w:bCs/>
                <w:sz w:val="18"/>
                <w:szCs w:val="18"/>
                <w:highlight w:val="none"/>
                <w:lang w:val="en-US" w:eastAsia="zh-CN"/>
              </w:rPr>
              <w:t xml:space="preserve">线上课程</w:t>
            </w:r>
            <w:r>
              <w:rPr>
                <w:rFonts w:hint="eastAsia" w:cs="Times New Roman"/>
                <w:b/>
                <w:bCs/>
                <w:sz w:val="18"/>
                <w:szCs w:val="18"/>
                <w:highlight w:val="none"/>
                <w:lang w:val="en-US" w:eastAsia="zh-CN"/>
              </w:rPr>
              <w:t xml:space="preserve">服务</w:t>
            </w:r>
            <w:r>
              <w:rPr>
                <w:rFonts w:hint="eastAsia" w:eastAsia="宋体" w:cs="Times New Roman"/>
                <w:b/>
                <w:bCs/>
                <w:sz w:val="18"/>
                <w:szCs w:val="18"/>
                <w:highlight w:val="none"/>
                <w:lang w:val="en-US" w:eastAsia="zh-CN"/>
              </w:rPr>
              <w:t xml:space="preserve">（</w:t>
            </w:r>
            <w:r>
              <w:rPr>
                <w:rFonts w:hint="eastAsia" w:cs="Times New Roman"/>
                <w:b/>
                <w:bCs/>
                <w:sz w:val="18"/>
                <w:szCs w:val="18"/>
                <w:highlight w:val="none"/>
                <w:lang w:val="en-US" w:eastAsia="zh-CN"/>
              </w:rPr>
              <w:t xml:space="preserve">4</w:t>
            </w:r>
            <w:r>
              <w:rPr>
                <w:rFonts w:hint="eastAsia" w:eastAsia="宋体" w:cs="Times New Roman"/>
                <w:b/>
                <w:bCs/>
                <w:sz w:val="18"/>
                <w:szCs w:val="18"/>
                <w:highlight w:val="none"/>
                <w:lang w:val="en-US" w:eastAsia="zh-CN"/>
              </w:rPr>
              <w:t xml:space="preserve">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highlight w:val="none"/>
                <w:lang w:val="en-US" w:eastAsia="zh-CN"/>
              </w:rPr>
              <w:t xml:space="preserve">1、金工课程内容提交</w:t>
            </w:r>
            <w:r>
              <w:rPr>
                <w:rFonts w:hint="eastAsia" w:ascii="Segoe UI Emoji" w:hAnsi="Segoe UI Emoji" w:eastAsia="宋体" w:cs="Segoe UI Emoji"/>
                <w:i w:val="0"/>
                <w:iCs w:val="0"/>
                <w:caps w:val="0"/>
                <w:color w:val="000000"/>
                <w:spacing w:val="0"/>
                <w:sz w:val="18"/>
                <w:szCs w:val="18"/>
                <w:lang w:val="en-US" w:eastAsia="zh-CN"/>
              </w:rPr>
              <w:t xml:space="preserve">要求（</w:t>
            </w:r>
            <w:r>
              <w:rPr>
                <w:rFonts w:hint="eastAsia" w:ascii="Segoe UI Emoji" w:hAnsi="Segoe UI Emoji" w:cs="Segoe UI Emoji"/>
                <w:i w:val="0"/>
                <w:iCs w:val="0"/>
                <w:caps w:val="0"/>
                <w:color w:val="000000"/>
                <w:spacing w:val="0"/>
                <w:sz w:val="18"/>
                <w:szCs w:val="18"/>
                <w:lang w:val="en-US" w:eastAsia="zh-CN"/>
              </w:rPr>
              <w:t xml:space="preserve">1</w:t>
            </w:r>
            <w:r>
              <w:rPr>
                <w:rFonts w:hint="eastAsia" w:ascii="Segoe UI Emoji" w:hAnsi="Segoe UI Emoji" w:eastAsia="宋体" w:cs="Segoe UI Emoji"/>
                <w:i w:val="0"/>
                <w:iCs w:val="0"/>
                <w:caps w:val="0"/>
                <w:color w:val="000000"/>
                <w:spacing w:val="0"/>
                <w:sz w:val="18"/>
                <w:szCs w:val="18"/>
                <w:lang w:val="en-US" w:eastAsia="zh-CN"/>
              </w:rPr>
              <w:t xml:space="preserve">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default" w:ascii="Segoe UI Emoji" w:hAnsi="Segoe UI Emoji" w:eastAsia="宋体" w:cs="Segoe UI Emoji"/>
                <w:i w:val="0"/>
                <w:iCs w:val="0"/>
                <w:caps w:val="0"/>
                <w:color w:val="000000"/>
                <w:spacing w:val="0"/>
                <w:sz w:val="18"/>
                <w:szCs w:val="18"/>
                <w:lang w:val="en-US" w:eastAsia="zh-CN"/>
              </w:rPr>
              <w:t xml:space="preserve">需提供清单列表中全部13类金工课程相关内容，其中金工基础课程须严格按照清单所示，提交Word版本教案，教案内容需贴合课程实际教学需求，确保完整、详实。</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2、木工课程内容提交要求（3分）</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default" w:ascii="Segoe UI Emoji" w:hAnsi="Segoe UI Emoji" w:eastAsia="宋体" w:cs="Segoe UI Emoji"/>
                <w:i w:val="0"/>
                <w:iCs w:val="0"/>
                <w:caps w:val="0"/>
                <w:color w:val="000000"/>
                <w:spacing w:val="0"/>
                <w:sz w:val="18"/>
                <w:szCs w:val="18"/>
                <w:lang w:val="en-US" w:eastAsia="zh-CN"/>
              </w:rPr>
              <w:t xml:space="preserve">需提供清单列表中全部16节木工基础课程相关内容，每节课程须按以下要求逐一提交对应材料，不得遗漏：</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①</w:t>
            </w:r>
            <w:r>
              <w:rPr>
                <w:rFonts w:hint="default" w:ascii="Segoe UI Emoji" w:hAnsi="Segoe UI Emoji" w:eastAsia="宋体" w:cs="Segoe UI Emoji"/>
                <w:i w:val="0"/>
                <w:iCs w:val="0"/>
                <w:caps w:val="0"/>
                <w:color w:val="000000"/>
                <w:spacing w:val="0"/>
                <w:sz w:val="18"/>
                <w:szCs w:val="18"/>
                <w:lang w:val="en-US" w:eastAsia="zh-CN"/>
              </w:rPr>
              <w:t xml:space="preserve">Word版本教案</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：教案需包含六大核心模块，具体为：活动目标、活动重难点、活动准备、活动过程、注意事项、家庭作业，各模块内容需具体、可落地，贴合木工基础教学特点。</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②</w:t>
            </w:r>
            <w:r>
              <w:rPr>
                <w:rFonts w:hint="default" w:ascii="Segoe UI Emoji" w:hAnsi="Segoe UI Emoji" w:eastAsia="宋体" w:cs="Segoe UI Emoji"/>
                <w:i w:val="0"/>
                <w:iCs w:val="0"/>
                <w:caps w:val="0"/>
                <w:color w:val="000000"/>
                <w:spacing w:val="0"/>
                <w:sz w:val="18"/>
                <w:szCs w:val="18"/>
                <w:lang w:val="en-US" w:eastAsia="zh-CN"/>
              </w:rPr>
              <w:t xml:space="preserve">PPT版本课件</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：课件需涵盖</w:t>
            </w:r>
            <w:r>
              <w:rPr>
                <w:rFonts w:hint="eastAsia" w:ascii="Segoe UI Emoji" w:hAnsi="Segoe UI Emoji" w:eastAsia="宋体" w:cs="Segoe UI Emoji"/>
                <w:i w:val="0"/>
                <w:iCs w:val="0"/>
                <w:caps w:val="0"/>
                <w:color w:val="000000"/>
                <w:spacing w:val="0"/>
                <w:sz w:val="18"/>
                <w:szCs w:val="18"/>
                <w:lang w:val="en-US" w:eastAsia="zh-CN"/>
              </w:rPr>
              <w:t xml:space="preserve">四</w:t>
            </w:r>
            <w:r>
              <w:rPr>
                <w:rFonts w:hint="default" w:ascii="Segoe UI Emoji" w:hAnsi="Segoe UI Emoji" w:eastAsia="宋体" w:cs="Segoe UI Emoji"/>
                <w:i w:val="0"/>
                <w:iCs w:val="0"/>
                <w:caps w:val="0"/>
                <w:color w:val="000000"/>
                <w:spacing w:val="0"/>
                <w:sz w:val="18"/>
                <w:szCs w:val="18"/>
                <w:lang w:val="en-US" w:eastAsia="zh-CN"/>
              </w:rPr>
              <w:t xml:space="preserve">大核心内容，具体为：本节课介绍、所需材料说明、制作步骤详解及课后作业布置，课件设计需简洁明了、重点突出，适配教学场景。</w:t>
            </w:r>
            <w:r/>
          </w:p>
          <w:p>
            <w:pPr>
              <w:keepLines w:val="0"/>
              <w:keepNext w:val="0"/>
              <w:pageBreakBefore w:val="0"/>
              <w:spacing w:line="240" w:lineRule="auto"/>
              <w:widowControl w:val="off"/>
              <w:rPr>
                <w:rFonts w:hint="eastAsia" w:ascii="Segoe UI Emoji" w:hAnsi="Segoe UI Emoji" w:eastAsia="宋体" w:cs="Segoe UI Emoji"/>
                <w:i w:val="0"/>
                <w:iCs w:val="0"/>
                <w:caps w:val="0"/>
                <w:color w:val="000000"/>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③</w:t>
            </w:r>
            <w:r>
              <w:rPr>
                <w:rFonts w:hint="default" w:ascii="Segoe UI Emoji" w:hAnsi="Segoe UI Emoji" w:eastAsia="宋体" w:cs="Segoe UI Emoji"/>
                <w:i w:val="0"/>
                <w:iCs w:val="0"/>
                <w:caps w:val="0"/>
                <w:color w:val="000000"/>
                <w:spacing w:val="0"/>
                <w:sz w:val="18"/>
                <w:szCs w:val="18"/>
                <w:lang w:val="en-US" w:eastAsia="zh-CN"/>
              </w:rPr>
              <w:t xml:space="preserve">教学视频</w:t>
            </w:r>
            <w:r>
              <w:rPr>
                <w:rFonts w:hint="eastAsia" w:eastAsia="宋体"/>
                <w:sz w:val="18"/>
                <w:szCs w:val="18"/>
                <w:lang w:eastAsia="zh-CN"/>
              </w:rPr>
              <w:t xml:space="preserve">（</w:t>
            </w:r>
            <w:r>
              <w:rPr>
                <w:rFonts w:hint="eastAsia" w:ascii="Times New Roman" w:eastAsia="宋体"/>
                <w:sz w:val="18"/>
                <w:szCs w:val="18"/>
                <w:lang w:val="en-US" w:eastAsia="zh-CN"/>
              </w:rPr>
              <w:t xml:space="preserve">1分</w:t>
            </w:r>
            <w:r>
              <w:rPr>
                <w:rFonts w:hint="eastAsia" w:eastAsia="宋体"/>
                <w:sz w:val="18"/>
                <w:szCs w:val="18"/>
                <w:lang w:eastAsia="zh-CN"/>
              </w:rPr>
              <w:t xml:space="preserve">）</w:t>
            </w:r>
            <w:r>
              <w:rPr>
                <w:rFonts w:hint="default" w:ascii="Segoe UI Emoji" w:hAnsi="Segoe UI Emoji" w:eastAsia="宋体" w:cs="Segoe UI Emoji"/>
                <w:i w:val="0"/>
                <w:iCs w:val="0"/>
                <w:caps w:val="0"/>
                <w:color w:val="000000"/>
                <w:spacing w:val="0"/>
                <w:sz w:val="18"/>
                <w:szCs w:val="18"/>
                <w:lang w:val="en-US" w:eastAsia="zh-CN"/>
              </w:rPr>
              <w:t xml:space="preserve">：视频需满足三大要求，具体为：包含清晰语音播报、同步呈现教学步骤文字说明、完整演示具体操作流程；视频提交范围限定为第2节至第16节木工基础课程。</w:t>
            </w:r>
            <w:r/>
          </w:p>
          <w:p>
            <w:pPr>
              <w:keepLines w:val="0"/>
              <w:keepNext w:val="0"/>
              <w:pageBreakBefore w:val="0"/>
              <w:spacing w:line="240" w:lineRule="auto"/>
              <w:widowControl w:val="off"/>
              <w:rPr>
                <w:rFonts w:hint="default" w:ascii="Segoe UI Emoji" w:hAnsi="Segoe UI Emoji" w:eastAsia="宋体" w:cs="Segoe UI Emoji"/>
                <w:i w:val="0"/>
                <w:iCs w:val="0"/>
                <w:caps w:val="0"/>
                <w:color w:val="auto"/>
                <w:spacing w:val="0"/>
                <w:sz w:val="18"/>
                <w:szCs w:val="18"/>
                <w:lang w:val="en-US" w:eastAsia="zh-CN"/>
              </w:rPr>
            </w:pPr>
            <w:r>
              <w:rPr>
                <w:rFonts w:hint="eastAsia" w:ascii="Segoe UI Emoji" w:hAnsi="Segoe UI Emoji" w:eastAsia="宋体" w:cs="Segoe UI Emoji"/>
                <w:i w:val="0"/>
                <w:iCs w:val="0"/>
                <w:caps w:val="0"/>
                <w:color w:val="000000"/>
                <w:spacing w:val="0"/>
                <w:sz w:val="18"/>
                <w:szCs w:val="18"/>
                <w:lang w:val="en-US" w:eastAsia="zh-CN"/>
              </w:rPr>
              <w:t xml:space="preserve">注：</w:t>
            </w:r>
            <w:r>
              <w:rPr>
                <w:rFonts w:hint="default" w:ascii="Segoe UI Emoji" w:hAnsi="Segoe UI Emoji" w:eastAsia="宋体" w:cs="Segoe UI Emoji"/>
                <w:i w:val="0"/>
                <w:iCs w:val="0"/>
                <w:caps w:val="0"/>
                <w:color w:val="000000"/>
                <w:spacing w:val="0"/>
                <w:sz w:val="18"/>
                <w:szCs w:val="18"/>
                <w:lang w:val="en-US" w:eastAsia="zh-CN"/>
              </w:rPr>
              <w:t xml:space="preserve">投标人需确保所有提交材料（教案、课</w:t>
            </w:r>
            <w:r>
              <w:rPr>
                <w:rFonts w:hint="default" w:ascii="Segoe UI Emoji" w:hAnsi="Segoe UI Emoji" w:eastAsia="宋体" w:cs="Segoe UI Emoji"/>
                <w:i w:val="0"/>
                <w:iCs w:val="0"/>
                <w:caps w:val="0"/>
                <w:color w:val="auto"/>
                <w:spacing w:val="0"/>
                <w:sz w:val="18"/>
                <w:szCs w:val="18"/>
                <w:lang w:val="en-US" w:eastAsia="zh-CN"/>
              </w:rPr>
              <w:t xml:space="preserve">件、16节课程</w:t>
            </w:r>
            <w:r>
              <w:rPr>
                <w:rFonts w:hint="eastAsia" w:ascii="Segoe UI Emoji" w:hAnsi="Segoe UI Emoji" w:cs="Segoe UI Emoji"/>
                <w:i w:val="0"/>
                <w:iCs w:val="0"/>
                <w:caps w:val="0"/>
                <w:color w:val="auto"/>
                <w:spacing w:val="0"/>
                <w:sz w:val="18"/>
                <w:szCs w:val="18"/>
                <w:lang w:val="en-US" w:eastAsia="zh-CN"/>
              </w:rPr>
              <w:t xml:space="preserve">主要片段</w:t>
            </w:r>
            <w:r>
              <w:rPr>
                <w:rFonts w:hint="default" w:ascii="Segoe UI Emoji" w:hAnsi="Segoe UI Emoji" w:eastAsia="宋体" w:cs="Segoe UI Emoji"/>
                <w:i w:val="0"/>
                <w:iCs w:val="0"/>
                <w:caps w:val="0"/>
                <w:color w:val="auto"/>
                <w:spacing w:val="0"/>
                <w:sz w:val="18"/>
                <w:szCs w:val="18"/>
                <w:lang w:val="en-US" w:eastAsia="zh-CN"/>
              </w:rPr>
              <w:t xml:space="preserve">视频）均与清单列表中的课程一一对应，格式规范、内容真实有效，符合投标文件相关要求。</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cs="Times New Roman"/>
                <w:b/>
                <w:bCs/>
                <w:sz w:val="18"/>
                <w:szCs w:val="18"/>
                <w:highlight w:val="none"/>
                <w:lang w:val="en-US" w:eastAsia="zh-CN" w:bidi="zh-CN"/>
              </w:rPr>
              <w:t xml:space="preserve">4</w:t>
            </w:r>
            <w:r>
              <w:rPr>
                <w:rFonts w:hint="eastAsia" w:ascii="宋体" w:hAnsi="宋体" w:eastAsia="宋体" w:cs="Times New Roman"/>
                <w:b/>
                <w:bCs/>
                <w:sz w:val="18"/>
                <w:szCs w:val="18"/>
                <w:highlight w:val="none"/>
                <w:lang w:val="en-US" w:eastAsia="zh-CN" w:bidi="zh-CN"/>
              </w:rPr>
              <w:t xml:space="preserve">、理化生实验室：</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以下功能如有且进行线上演示并经评审委员会确认的可加分。演示时间整体不超过20分钟，无演示不得分：</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eastAsia="宋体" w:cs="Times New Roman"/>
                <w:b/>
                <w:bCs/>
                <w:sz w:val="18"/>
                <w:szCs w:val="18"/>
                <w:highlight w:val="none"/>
                <w:lang w:val="en-US" w:eastAsia="zh-CN" w:bidi="zh-CN"/>
              </w:rPr>
              <w:t xml:space="preserve">（一）数字化安培力实验器（</w:t>
            </w:r>
            <w:r>
              <w:rPr>
                <w:rFonts w:hint="eastAsia" w:ascii="宋体" w:hAnsi="宋体" w:cs="Times New Roman"/>
                <w:b/>
                <w:bCs/>
                <w:sz w:val="18"/>
                <w:szCs w:val="18"/>
                <w:highlight w:val="none"/>
                <w:lang w:val="en-US" w:eastAsia="zh-CN" w:bidi="zh-CN"/>
              </w:rPr>
              <w:t xml:space="preserve">5</w:t>
            </w:r>
            <w:r>
              <w:rPr>
                <w:rFonts w:hint="eastAsia" w:ascii="宋体" w:hAnsi="宋体" w:eastAsia="宋体" w:cs="Times New Roman"/>
                <w:b/>
                <w:bCs/>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使用数字化安培力实验器完成探究安培力F和导线有效长度L的关系</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1、能够验证出F和L成正比关系，数据一次拟合后直线接近（0，0）点，满足得0.5分；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2、必须是真实的改变有效长度L，不能通过改变匝数n来代替，满足得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3、至少需要3个不同的长度L，且这3个L数值必须有明显区别，满足得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4、实验中n、B、I、L这4个物理量中，必须要至少能够自主改变其中的3个量，满足得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5、力传感器分辨率不低于0.001N，电流传感器分辨率不低于0.001A，满足得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6、支持蓝牙通信，无线连接，用蓝牙连接步骤来证明，满足得0.5分；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7、所用实验软件带有摄像头功能，可以实现现实实验与视频展示同步，满足得</w:t>
            </w:r>
            <w:r>
              <w:rPr>
                <w:rFonts w:hint="eastAsia" w:ascii="宋体" w:hAnsi="宋体" w:cs="Times New Roman"/>
                <w:b w:val="0"/>
                <w:bCs w:val="0"/>
                <w:sz w:val="18"/>
                <w:szCs w:val="18"/>
                <w:highlight w:val="none"/>
                <w:lang w:val="en-US" w:eastAsia="zh-CN" w:bidi="zh-CN"/>
              </w:rPr>
              <w:t xml:space="preserve">1</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8、实验软件可以将学生的实验信息提供给老师端，满足得0.5分。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9、在平台上可以在线查到指导手册，并且指导手册中必须包括：操作步骤、器材图、软件结果图。满足得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bCs/>
                <w:sz w:val="18"/>
                <w:szCs w:val="18"/>
                <w:highlight w:val="none"/>
                <w:lang w:val="en-US" w:eastAsia="zh-CN" w:bidi="zh-CN"/>
              </w:rPr>
            </w:pPr>
            <w:r>
              <w:rPr>
                <w:rFonts w:hint="eastAsia" w:ascii="宋体" w:hAnsi="宋体" w:eastAsia="宋体" w:cs="Times New Roman"/>
                <w:b/>
                <w:bCs/>
                <w:sz w:val="18"/>
                <w:szCs w:val="18"/>
                <w:highlight w:val="none"/>
                <w:lang w:val="en-US" w:eastAsia="zh-CN" w:bidi="zh-CN"/>
              </w:rPr>
              <w:t xml:space="preserve">（二）光纤光谱仪（</w:t>
            </w:r>
            <w:r>
              <w:rPr>
                <w:rFonts w:hint="eastAsia" w:ascii="宋体" w:hAnsi="宋体" w:cs="Times New Roman"/>
                <w:b/>
                <w:bCs/>
                <w:sz w:val="18"/>
                <w:szCs w:val="18"/>
                <w:highlight w:val="none"/>
                <w:lang w:val="en-US" w:eastAsia="zh-CN" w:bidi="zh-CN"/>
              </w:rPr>
              <w:t xml:space="preserve">3</w:t>
            </w:r>
            <w:r>
              <w:rPr>
                <w:rFonts w:hint="eastAsia" w:ascii="宋体" w:hAnsi="宋体" w:eastAsia="宋体" w:cs="Times New Roman"/>
                <w:b/>
                <w:bCs/>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使用光纤光谱仪完成分析叶绿素的可见光吸收光谱实验</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1、要求使用计算机、光谱仪完成该实验,满足得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2、软件可以直观地呈现叶绿素和类胡萝卜素的吸收光谱,满足得</w:t>
            </w:r>
            <w:r>
              <w:rPr>
                <w:rFonts w:hint="eastAsia" w:ascii="宋体" w:hAnsi="宋体" w:cs="Times New Roman"/>
                <w:b w:val="0"/>
                <w:bCs w:val="0"/>
                <w:sz w:val="18"/>
                <w:szCs w:val="18"/>
                <w:highlight w:val="none"/>
                <w:lang w:val="en-US" w:eastAsia="zh-CN" w:bidi="zh-CN"/>
              </w:rPr>
              <w:t xml:space="preserve">1</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3、可读取其中任意一个波长的对应的吸光度的数据,满足得0.5分；</w:t>
            </w:r>
            <w:r/>
          </w:p>
          <w:p>
            <w:pPr>
              <w:numPr>
                <w:ilvl w:val="0"/>
                <w:numId w:val="0"/>
              </w:numPr>
              <w:jc w:val="both"/>
              <w:widowControl w:val="off"/>
              <w:rPr>
                <w:rFonts w:hint="eastAsia" w:ascii="宋体" w:hAnsi="宋体" w:eastAsia="宋体" w:cs="Times New Roman"/>
                <w:b w:val="0"/>
                <w:bCs w:val="0"/>
                <w:sz w:val="18"/>
                <w:szCs w:val="18"/>
                <w:highlight w:val="none"/>
                <w:lang w:val="en-US" w:eastAsia="zh-CN" w:bidi="zh-CN"/>
              </w:rPr>
            </w:pPr>
            <w:r>
              <w:rPr>
                <w:rFonts w:hint="eastAsia" w:ascii="宋体" w:hAnsi="宋体" w:eastAsia="宋体" w:cs="Times New Roman"/>
                <w:b w:val="0"/>
                <w:bCs w:val="0"/>
                <w:sz w:val="18"/>
                <w:szCs w:val="18"/>
                <w:highlight w:val="none"/>
                <w:lang w:val="en-US" w:eastAsia="zh-CN" w:bidi="zh-CN"/>
              </w:rPr>
              <w:t xml:space="preserve">4要求测得的吸收光谱曲线图在波长380nm-500nm和600nm-700nm两个范围内均出现吸收峰,满足得</w:t>
            </w:r>
            <w:r>
              <w:rPr>
                <w:rFonts w:hint="eastAsia" w:ascii="宋体" w:hAnsi="宋体" w:cs="Times New Roman"/>
                <w:b w:val="0"/>
                <w:bCs w:val="0"/>
                <w:sz w:val="18"/>
                <w:szCs w:val="18"/>
                <w:highlight w:val="none"/>
                <w:lang w:val="en-US" w:eastAsia="zh-CN" w:bidi="zh-CN"/>
              </w:rPr>
              <w:t xml:space="preserve">0.5</w:t>
            </w:r>
            <w:r>
              <w:rPr>
                <w:rFonts w:hint="eastAsia" w:ascii="宋体" w:hAnsi="宋体" w:eastAsia="宋体" w:cs="Times New Roman"/>
                <w:b w:val="0"/>
                <w:bCs w:val="0"/>
                <w:sz w:val="18"/>
                <w:szCs w:val="18"/>
                <w:highlight w:val="none"/>
                <w:lang w:val="en-US" w:eastAsia="zh-CN" w:bidi="zh-CN"/>
              </w:rPr>
              <w:t xml:space="preserve">分；</w:t>
            </w:r>
            <w:r/>
          </w:p>
          <w:p>
            <w:pPr>
              <w:numPr>
                <w:ilvl w:val="0"/>
                <w:numId w:val="0"/>
              </w:numPr>
              <w:jc w:val="both"/>
              <w:widowControl w:val="off"/>
              <w:rPr>
                <w:rFonts w:hint="eastAsia" w:ascii="宋体" w:hAnsi="宋体" w:eastAsia="宋体" w:cs="宋体"/>
                <w:sz w:val="18"/>
                <w:szCs w:val="18"/>
                <w:lang w:val="en-US" w:eastAsia="zh-CN" w:bidi="zh-CN"/>
              </w:rPr>
            </w:pPr>
            <w:r>
              <w:rPr>
                <w:rFonts w:hint="eastAsia" w:ascii="宋体" w:hAnsi="宋体" w:eastAsia="宋体" w:cs="Times New Roman"/>
                <w:b w:val="0"/>
                <w:bCs w:val="0"/>
                <w:sz w:val="18"/>
                <w:szCs w:val="18"/>
                <w:highlight w:val="none"/>
                <w:lang w:val="en-US" w:eastAsia="zh-CN" w:bidi="zh-CN"/>
              </w:rPr>
              <w:t xml:space="preserve">5、可以得出“叶绿素主要吸收蓝紫光和红光”的实验结论,满足得0.5分；</w:t>
            </w:r>
            <w:r/>
          </w:p>
        </w:tc>
      </w:tr>
      <w:tr>
        <w:trPr>
          <w:jc w:val="center"/>
          <w:trHeight w:val="2547"/>
        </w:trPr>
        <w:tc>
          <w:tcPr>
            <w:tcW w:w="1660" w:type="dxa"/>
            <w:vAlign w:val="center"/>
            <w:vMerge w:val="restart"/>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样品1（</w:t>
            </w:r>
            <w:r>
              <w:rPr>
                <w:rFonts w:hint="eastAsia" w:ascii="宋体" w:hAnsi="宋体" w:eastAsia="宋体" w:cs="宋体"/>
                <w:b/>
                <w:bCs/>
                <w:color w:val="000000"/>
                <w:sz w:val="18"/>
                <w:szCs w:val="18"/>
                <w:highlight w:val="none"/>
              </w:rPr>
              <w:t xml:space="preserve">数字化安培力实验器</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2313"/>
        </w:trPr>
        <w:tc>
          <w:tcPr>
            <w:tcW w:w="1660" w:type="dxa"/>
            <w:vAlign w:val="center"/>
            <w:vMerge w:val="restart"/>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样品2（</w:t>
            </w:r>
            <w:r>
              <w:rPr>
                <w:rFonts w:hint="eastAsia" w:ascii="宋体" w:hAnsi="宋体" w:eastAsia="宋体" w:cs="宋体"/>
                <w:b/>
                <w:bCs/>
                <w:color w:val="000000"/>
                <w:sz w:val="18"/>
                <w:szCs w:val="18"/>
                <w:highlight w:val="none"/>
              </w:rPr>
              <w:t xml:space="preserve">无线智能溶氧气氧传感器</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ind w:right="0"/>
              <w:pageBreakBefore w:val="0"/>
              <w:spacing w:line="240"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241"/>
        </w:trPr>
        <w:tc>
          <w:tcPr>
            <w:tcW w:w="1660" w:type="dxa"/>
            <w:vAlign w:val="center"/>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样品3（</w:t>
            </w:r>
            <w:r>
              <w:rPr>
                <w:rFonts w:hint="eastAsia" w:ascii="宋体" w:hAnsi="宋体" w:eastAsia="宋体" w:cs="宋体"/>
                <w:b/>
                <w:bCs/>
                <w:color w:val="000000"/>
                <w:sz w:val="18"/>
                <w:szCs w:val="18"/>
                <w:highlight w:val="none"/>
              </w:rPr>
              <w:t xml:space="preserve">光纤光谱仪</w:t>
            </w:r>
            <w:r>
              <w:rPr>
                <w:rFonts w:hint="eastAsia" w:ascii="宋体" w:hAnsi="宋体" w:cs="宋体"/>
                <w:color w:val="auto"/>
                <w:sz w:val="22"/>
                <w:szCs w:val="22"/>
                <w:highlight w:val="none"/>
                <w:lang w:val="en-US" w:eastAsia="zh-CN"/>
              </w:rPr>
              <w:t xml:space="preserve">）（4分）</w:t>
            </w:r>
            <w:r/>
          </w:p>
        </w:tc>
        <w:tc>
          <w:tcPr>
            <w:tcW w:w="7141" w:type="dxa"/>
            <w:vAlign w:val="center"/>
            <w:textDirection w:val="lrTb"/>
            <w:noWrap w:val="false"/>
          </w:tcPr>
          <w:p>
            <w:pPr>
              <w:ind w:right="0"/>
              <w:pageBreakBefore w:val="0"/>
              <w:spacing w:line="240" w:lineRule="auto"/>
              <w:widowControl w:val="off"/>
              <w:rPr>
                <w:rFonts w:hint="eastAsia" w:ascii="宋体" w:hAnsi="宋体" w:eastAsia="宋体" w:cs="宋体"/>
                <w:b w:val="0"/>
                <w:bCs w:val="0"/>
                <w:color w:val="000000"/>
                <w:sz w:val="18"/>
                <w:szCs w:val="18"/>
                <w:highlight w:val="none"/>
                <w:lang w:eastAsia="zh-CN"/>
              </w:rPr>
            </w:pPr>
            <w:r>
              <w:rPr>
                <w:rFonts w:hint="eastAsia" w:ascii="宋体" w:hAnsi="宋体" w:eastAsia="宋体" w:cs="宋体"/>
                <w:b w:val="0"/>
                <w:bCs w:val="0"/>
                <w:color w:val="000000"/>
                <w:sz w:val="18"/>
                <w:szCs w:val="18"/>
                <w:highlight w:val="none"/>
                <w:lang w:val="en-US" w:eastAsia="zh-CN"/>
              </w:rPr>
              <w:t xml:space="preserve">评委</w:t>
            </w:r>
            <w:r>
              <w:rPr>
                <w:rFonts w:hint="eastAsia" w:ascii="宋体" w:hAnsi="宋体" w:eastAsia="宋体" w:cs="宋体"/>
                <w:b w:val="0"/>
                <w:bCs w:val="0"/>
                <w:color w:val="000000"/>
                <w:sz w:val="18"/>
                <w:szCs w:val="18"/>
                <w:highlight w:val="none"/>
              </w:rPr>
              <w:t xml:space="preserve">从样品的瑕疵性（工艺有瑕疵</w:t>
            </w:r>
            <w:r>
              <w:rPr>
                <w:rFonts w:hint="eastAsia" w:ascii="宋体" w:hAnsi="宋体" w:eastAsia="宋体" w:cs="宋体"/>
                <w:b w:val="0"/>
                <w:bCs w:val="0"/>
                <w:color w:val="000000"/>
                <w:sz w:val="18"/>
                <w:szCs w:val="18"/>
                <w:highlight w:val="none"/>
                <w:lang w:val="en-US" w:eastAsia="zh-CN"/>
              </w:rPr>
              <w:t xml:space="preserve">是指</w:t>
            </w:r>
            <w:r>
              <w:rPr>
                <w:rFonts w:hint="eastAsia" w:ascii="宋体" w:hAnsi="宋体" w:eastAsia="宋体" w:cs="宋体"/>
                <w:b w:val="0"/>
                <w:bCs w:val="0"/>
                <w:color w:val="000000"/>
                <w:sz w:val="18"/>
                <w:szCs w:val="18"/>
                <w:highlight w:val="none"/>
              </w:rPr>
              <w:t xml:space="preserve">脱胶、明显透胶、鼓泡、凹陷、压痕、表面划伤、麻点</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表面存在裂缝、叠缝、波纹不均匀、不圆滑、锈蚀现象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零件间结合牢固</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涂层存在手感不光滑，有明显粒子、涨边或不平整现象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电镀层存在剥落、返锈、毛刺、起泡、针孔、裂纹、花斑、划痕、烧焦现象</w:t>
            </w:r>
            <w:r>
              <w:rPr>
                <w:rFonts w:hint="eastAsia" w:ascii="宋体" w:hAnsi="宋体" w:eastAsia="宋体" w:cs="宋体"/>
                <w:b w:val="0"/>
                <w:bCs w:val="0"/>
                <w:color w:val="000000"/>
                <w:sz w:val="18"/>
                <w:szCs w:val="18"/>
                <w:highlight w:val="none"/>
                <w:lang w:eastAsia="zh-CN"/>
              </w:rPr>
              <w:t xml:space="preserve">、</w:t>
            </w:r>
            <w:r>
              <w:rPr>
                <w:rFonts w:hint="eastAsia" w:ascii="宋体" w:hAnsi="宋体" w:eastAsia="宋体" w:cs="宋体"/>
                <w:b w:val="0"/>
                <w:bCs w:val="0"/>
                <w:color w:val="000000"/>
                <w:sz w:val="18"/>
                <w:szCs w:val="18"/>
                <w:highlight w:val="none"/>
              </w:rPr>
              <w:t xml:space="preserve">人体接触或收藏物品的部位有毛刺、刃口、棱角等）进行打分（评标委员会可要求现场拆解样品进行判断）</w:t>
            </w:r>
            <w:r>
              <w:rPr>
                <w:rFonts w:hint="eastAsia" w:ascii="宋体" w:hAnsi="宋体" w:eastAsia="宋体" w:cs="宋体"/>
                <w:b w:val="0"/>
                <w:bCs w:val="0"/>
                <w:color w:val="000000"/>
                <w:sz w:val="18"/>
                <w:szCs w:val="18"/>
                <w:highlight w:val="none"/>
                <w:lang w:eastAsia="zh-CN"/>
              </w:rPr>
              <w:t xml:space="preserve">：</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1）工艺精良，无严重瑕疵，轻微瑕疵≤1 处，得 4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2）工艺较好，无严重瑕疵，轻微瑕疵 2～3 处，得 3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3）工艺一般，无严重瑕疵，轻微瑕疵≥4 处或存在 1 处一般瑕疵，得 2 分；</w:t>
            </w:r>
            <w:r/>
          </w:p>
          <w:p>
            <w:pPr>
              <w:numPr>
                <w:ilvl w:val="0"/>
                <w:numId w:val="0"/>
              </w:numPr>
              <w:ind w:right="0"/>
              <w:pageBreakBefore w:val="0"/>
              <w:spacing w:line="240" w:lineRule="auto"/>
              <w:widowControl w:val="off"/>
              <w:rPr>
                <w:rFonts w:hint="eastAsia" w:ascii="宋体" w:hAnsi="宋体" w:eastAsia="宋体" w:cs="宋体"/>
                <w:b w:val="0"/>
                <w:bCs w:val="0"/>
                <w:color w:val="000000"/>
                <w:sz w:val="18"/>
                <w:szCs w:val="18"/>
                <w:lang w:val="en-US" w:eastAsia="zh-CN" w:bidi="ar-SA"/>
              </w:rPr>
            </w:pPr>
            <w:r>
              <w:rPr>
                <w:rFonts w:hint="eastAsia" w:ascii="宋体" w:hAnsi="宋体" w:eastAsia="宋体" w:cs="宋体"/>
                <w:b w:val="0"/>
                <w:bCs w:val="0"/>
                <w:color w:val="000000"/>
                <w:sz w:val="18"/>
                <w:szCs w:val="18"/>
                <w:lang w:val="en-US" w:eastAsia="zh-CN" w:bidi="ar-SA"/>
              </w:rPr>
              <w:t xml:space="preserve">4）工艺较差，存在 2 处及以上一般瑕疵或 1 处严重瑕疵，得 1 分；</w:t>
            </w:r>
            <w:r/>
          </w:p>
          <w:p>
            <w:pPr>
              <w:ind w:right="0"/>
              <w:pageBreakBefore w:val="0"/>
              <w:spacing w:line="240"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lang w:val="en-US" w:eastAsia="zh-CN" w:bidi="ar-SA"/>
              </w:rPr>
              <w:t xml:space="preserve">未提供样品或存在≥2 处严重瑕疵，本项得 0 分</w:t>
            </w:r>
            <w:r/>
          </w:p>
        </w:tc>
      </w:tr>
      <w:tr>
        <w:trPr>
          <w:jc w:val="center"/>
          <w:trHeight w:val="621"/>
        </w:trPr>
        <w:tc>
          <w:tcPr>
            <w:tcW w:w="1660" w:type="dxa"/>
            <w:vAlign w:val="center"/>
            <w:textDirection w:val="lrTb"/>
            <w:noWrap w:val="false"/>
          </w:tcPr>
          <w:p>
            <w:pPr>
              <w:ind w:right="-159"/>
              <w:jc w:val="center"/>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实施</w:t>
            </w:r>
            <w:r>
              <w:rPr>
                <w:rFonts w:hint="eastAsia" w:ascii="宋体" w:hAnsi="宋体" w:cs="宋体"/>
                <w:color w:val="auto"/>
                <w:sz w:val="22"/>
                <w:szCs w:val="22"/>
                <w:highlight w:val="none"/>
                <w:lang w:val="en-US" w:eastAsia="zh-CN"/>
              </w:rPr>
              <w:t xml:space="preserve">方案</w:t>
            </w:r>
            <w:r/>
          </w:p>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rPr>
              <w:t xml:space="preserve">实施方案至少应包含项目总体实施计划、设备货源供货计划、运输、安装、调试方案、安装团队人员投入、人员分工、岗位职责、进度保障措施、质量管理体系、质量保障措施、施工安全保障措施等。</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1、</w:t>
            </w:r>
            <w:r>
              <w:rPr>
                <w:rFonts w:hint="eastAsia" w:ascii="宋体" w:hAnsi="宋体" w:eastAsia="宋体" w:cs="宋体"/>
                <w:b w:val="0"/>
                <w:bCs w:val="0"/>
                <w:color w:val="000000"/>
                <w:sz w:val="18"/>
                <w:szCs w:val="18"/>
              </w:rPr>
              <w:t xml:space="preserve">实施方案内容详实完整，覆盖项目总体实施计划、设备货源供货计划、运输、安装、调试方案、安装团队人员投入、人员分工、岗位职责、进度保障措施、质量管理体系、质量保障措施、施工安全保障措施等全部要求模块；方案落地实施性极强，配套服务保障措施完备具体，具备细化、可落地的完善服务承诺的得 </w:t>
            </w:r>
            <w:r>
              <w:rPr>
                <w:rFonts w:hint="eastAsia" w:ascii="宋体" w:hAnsi="宋体" w:eastAsia="宋体" w:cs="宋体"/>
                <w:b w:val="0"/>
                <w:bCs w:val="0"/>
                <w:color w:val="000000"/>
                <w:sz w:val="18"/>
                <w:szCs w:val="18"/>
                <w:lang w:val="en-US" w:eastAsia="zh-CN"/>
              </w:rPr>
              <w:t xml:space="preserve">7</w:t>
            </w:r>
            <w:r>
              <w:rPr>
                <w:rFonts w:hint="eastAsia" w:ascii="宋体" w:hAnsi="宋体" w:eastAsia="宋体" w:cs="宋体"/>
                <w:b w:val="0"/>
                <w:bCs w:val="0"/>
                <w:color w:val="000000"/>
                <w:sz w:val="18"/>
                <w:szCs w:val="18"/>
              </w:rPr>
              <w:t xml:space="preserve"> 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2、</w:t>
            </w:r>
            <w:r>
              <w:rPr>
                <w:rFonts w:hint="eastAsia" w:ascii="宋体" w:hAnsi="宋体" w:eastAsia="宋体" w:cs="宋体"/>
                <w:b w:val="0"/>
                <w:bCs w:val="0"/>
                <w:color w:val="000000"/>
                <w:sz w:val="18"/>
                <w:szCs w:val="18"/>
              </w:rPr>
              <w:t xml:space="preserve">实施方案覆盖全部要求模块，内容较为详实完整，整体实施性较强；服务保障措施配套齐全，拥有内容较为完善、具备可操作性的服务承诺，仅少量细节内容存在精简、细化不足情况的得</w:t>
            </w:r>
            <w:r>
              <w:rPr>
                <w:rFonts w:hint="eastAsia" w:ascii="宋体" w:hAnsi="宋体" w:cs="宋体"/>
                <w:b w:val="0"/>
                <w:bCs w:val="0"/>
                <w:color w:val="000000"/>
                <w:sz w:val="18"/>
                <w:szCs w:val="18"/>
                <w:lang w:val="en-US" w:eastAsia="zh-CN"/>
              </w:rPr>
              <w:t xml:space="preserve">5</w:t>
            </w:r>
            <w:r>
              <w:rPr>
                <w:rFonts w:hint="eastAsia" w:ascii="宋体" w:hAnsi="宋体" w:eastAsia="宋体" w:cs="宋体"/>
                <w:b w:val="0"/>
                <w:bCs w:val="0"/>
                <w:color w:val="000000"/>
                <w:sz w:val="18"/>
                <w:szCs w:val="18"/>
              </w:rPr>
              <w:t xml:space="preserve"> 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3、</w:t>
            </w:r>
            <w:r>
              <w:rPr>
                <w:rFonts w:hint="eastAsia" w:ascii="宋体" w:hAnsi="宋体" w:eastAsia="宋体" w:cs="宋体"/>
                <w:b w:val="0"/>
                <w:bCs w:val="0"/>
                <w:color w:val="000000"/>
                <w:sz w:val="18"/>
                <w:szCs w:val="18"/>
              </w:rPr>
              <w:t xml:space="preserve">实施方案基本覆盖主要要求模块，存在少量内容简略、缺次要细分内容问题；方案具备基础实施可行性，服务保障措施及服务承诺内容常规，仅满足基础要求，细化程度不足的得</w:t>
            </w:r>
            <w:r>
              <w:rPr>
                <w:rFonts w:hint="eastAsia" w:ascii="宋体" w:hAnsi="宋体" w:eastAsia="宋体" w:cs="宋体"/>
                <w:b w:val="0"/>
                <w:bCs w:val="0"/>
                <w:color w:val="000000"/>
                <w:sz w:val="18"/>
                <w:szCs w:val="18"/>
                <w:lang w:val="en-US" w:eastAsia="zh-CN"/>
              </w:rPr>
              <w:t xml:space="preserve">3</w:t>
            </w:r>
            <w:r>
              <w:rPr>
                <w:rFonts w:hint="eastAsia" w:ascii="宋体" w:hAnsi="宋体" w:eastAsia="宋体" w:cs="宋体"/>
                <w:b w:val="0"/>
                <w:bCs w:val="0"/>
                <w:color w:val="000000"/>
                <w:sz w:val="18"/>
                <w:szCs w:val="18"/>
              </w:rPr>
              <w:t xml:space="preserve">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b w:val="0"/>
                <w:bCs w:val="0"/>
                <w:color w:val="000000"/>
                <w:sz w:val="18"/>
                <w:szCs w:val="18"/>
                <w:lang w:val="en-US" w:eastAsia="zh-CN"/>
              </w:rPr>
              <w:t xml:space="preserve">4、</w:t>
            </w:r>
            <w:r>
              <w:rPr>
                <w:rFonts w:hint="eastAsia" w:ascii="宋体" w:hAnsi="宋体" w:eastAsia="宋体" w:cs="宋体"/>
                <w:b w:val="0"/>
                <w:bCs w:val="0"/>
                <w:color w:val="000000"/>
                <w:sz w:val="18"/>
                <w:szCs w:val="18"/>
                <w:lang w:val="en-US" w:eastAsia="zh-CN"/>
              </w:rPr>
              <w:t xml:space="preserve">实施方案仅罗列部分核心模块，多处关键内容缺失、表述简略空洞；实施落地性弱，服务保障措施、服务承诺内容简单笼统，无细化落地条款</w:t>
            </w:r>
            <w:r>
              <w:rPr>
                <w:rFonts w:hint="eastAsia" w:ascii="宋体" w:hAnsi="宋体" w:cs="宋体"/>
                <w:b w:val="0"/>
                <w:bCs w:val="0"/>
                <w:color w:val="000000"/>
                <w:sz w:val="18"/>
                <w:szCs w:val="18"/>
                <w:lang w:val="en-US" w:eastAsia="zh-CN"/>
              </w:rPr>
              <w:t xml:space="preserve">的得1分</w:t>
            </w:r>
            <w:r>
              <w:rPr>
                <w:rFonts w:hint="eastAsia" w:ascii="宋体" w:hAnsi="宋体" w:eastAsia="宋体" w:cs="宋体"/>
                <w:b w:val="0"/>
                <w:bCs w:val="0"/>
                <w:color w:val="000000"/>
                <w:sz w:val="18"/>
                <w:szCs w:val="18"/>
                <w:lang w:val="en-US" w:eastAsia="zh-CN"/>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eastAsia="zh-CN"/>
              </w:rPr>
              <w:t xml:space="preserve">该项</w:t>
            </w:r>
            <w:r>
              <w:rPr>
                <w:rFonts w:hint="eastAsia" w:ascii="宋体" w:hAnsi="宋体" w:eastAsia="宋体" w:cs="宋体"/>
                <w:color w:val="auto"/>
                <w:sz w:val="18"/>
                <w:szCs w:val="18"/>
                <w:highlight w:val="none"/>
                <w:lang w:val="en-US" w:eastAsia="zh-CN"/>
              </w:rPr>
              <w:t xml:space="preserve">未</w:t>
            </w:r>
            <w:r>
              <w:rPr>
                <w:rFonts w:hint="eastAsia" w:ascii="宋体" w:hAnsi="宋体" w:eastAsia="宋体" w:cs="宋体"/>
                <w:color w:val="auto"/>
                <w:sz w:val="18"/>
                <w:szCs w:val="18"/>
                <w:highlight w:val="none"/>
              </w:rPr>
              <w:t xml:space="preserve">见阐述不得分。</w:t>
            </w:r>
            <w:r/>
          </w:p>
        </w:tc>
      </w:tr>
      <w:tr>
        <w:trPr>
          <w:jc w:val="center"/>
          <w:trHeight w:val="621"/>
        </w:trPr>
        <w:tc>
          <w:tcPr>
            <w:shd w:val="clear" w:color="auto" w:fill="auto"/>
            <w:tcW w:w="1660" w:type="dxa"/>
            <w:vAlign w:val="center"/>
            <w:textDirection w:val="lrTb"/>
            <w:noWrap w:val="false"/>
          </w:tcPr>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规划布局</w:t>
            </w:r>
            <w:r>
              <w:rPr>
                <w:rFonts w:hint="eastAsia" w:ascii="宋体" w:hAnsi="宋体" w:eastAsia="宋体" w:cs="宋体"/>
                <w:color w:val="auto"/>
                <w:sz w:val="22"/>
                <w:szCs w:val="22"/>
                <w:highlight w:val="none"/>
              </w:rPr>
              <w:t xml:space="preserve">方案</w:t>
            </w:r>
            <w:r/>
          </w:p>
          <w:p>
            <w:pPr>
              <w:ind w:right="-159"/>
              <w:jc w:val="center"/>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shd w:val="clear" w:color="auto" w:fill="auto"/>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rPr>
            </w:pPr>
            <w:r>
              <w:rPr>
                <w:rFonts w:hint="eastAsia" w:ascii="宋体" w:hAnsi="宋体" w:eastAsia="宋体" w:cs="宋体"/>
                <w:b w:val="0"/>
                <w:bCs w:val="0"/>
                <w:color w:val="000000"/>
                <w:sz w:val="18"/>
                <w:szCs w:val="18"/>
                <w:lang w:val="en-US" w:eastAsia="zh-CN"/>
              </w:rPr>
              <w:t xml:space="preserve">供应商需编制规划布局方案，</w:t>
            </w:r>
            <w:r>
              <w:rPr>
                <w:rFonts w:hint="eastAsia" w:ascii="宋体" w:hAnsi="宋体" w:eastAsia="宋体" w:cs="宋体"/>
                <w:b w:val="0"/>
                <w:bCs w:val="0"/>
                <w:color w:val="000000"/>
                <w:sz w:val="18"/>
                <w:szCs w:val="18"/>
              </w:rPr>
              <w:t xml:space="preserve">根据实际场地出具产品摆放效果图（包括</w:t>
            </w:r>
            <w:r>
              <w:rPr>
                <w:rFonts w:hint="eastAsia" w:ascii="宋体" w:hAnsi="宋体" w:eastAsia="宋体" w:cs="宋体"/>
                <w:b w:val="0"/>
                <w:bCs w:val="0"/>
                <w:color w:val="000000"/>
                <w:sz w:val="18"/>
                <w:szCs w:val="18"/>
                <w:lang w:val="en-US" w:eastAsia="zh-CN"/>
              </w:rPr>
              <w:t xml:space="preserve">人工智能创客</w:t>
            </w:r>
            <w:r>
              <w:rPr>
                <w:rFonts w:hint="eastAsia" w:ascii="宋体" w:hAnsi="宋体" w:eastAsia="宋体" w:cs="宋体"/>
                <w:b w:val="0"/>
                <w:bCs w:val="0"/>
                <w:color w:val="000000"/>
                <w:sz w:val="18"/>
                <w:szCs w:val="18"/>
              </w:rPr>
              <w:t xml:space="preserve">教室、</w:t>
            </w:r>
            <w:r>
              <w:rPr>
                <w:rFonts w:hint="eastAsia" w:ascii="宋体" w:hAnsi="宋体" w:eastAsia="宋体" w:cs="宋体"/>
                <w:b w:val="0"/>
                <w:bCs w:val="0"/>
                <w:color w:val="000000"/>
                <w:sz w:val="18"/>
                <w:szCs w:val="18"/>
                <w:lang w:val="en-US" w:eastAsia="zh-CN"/>
              </w:rPr>
              <w:t xml:space="preserve">金工木工教</w:t>
            </w:r>
            <w:r>
              <w:rPr>
                <w:rFonts w:hint="eastAsia" w:ascii="宋体" w:hAnsi="宋体" w:eastAsia="宋体" w:cs="宋体"/>
                <w:b w:val="0"/>
                <w:bCs w:val="0"/>
                <w:color w:val="000000"/>
                <w:sz w:val="18"/>
                <w:szCs w:val="18"/>
              </w:rPr>
              <w:t xml:space="preserve">室、</w:t>
            </w:r>
            <w:r>
              <w:rPr>
                <w:rFonts w:hint="eastAsia" w:ascii="宋体" w:hAnsi="宋体" w:eastAsia="宋体" w:cs="宋体"/>
                <w:b w:val="0"/>
                <w:bCs w:val="0"/>
                <w:color w:val="000000"/>
                <w:sz w:val="18"/>
                <w:szCs w:val="18"/>
                <w:lang w:val="en-US" w:eastAsia="zh-CN"/>
              </w:rPr>
              <w:t xml:space="preserve">楼道文化</w:t>
            </w:r>
            <w:r>
              <w:rPr>
                <w:rFonts w:hint="eastAsia" w:ascii="宋体" w:hAnsi="宋体" w:eastAsia="宋体" w:cs="宋体"/>
                <w:b w:val="0"/>
                <w:bCs w:val="0"/>
                <w:color w:val="000000"/>
                <w:sz w:val="18"/>
                <w:szCs w:val="18"/>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bidi="ar-SA"/>
              </w:rPr>
              <w:t xml:space="preserve">1</w:t>
            </w:r>
            <w:r>
              <w:rPr>
                <w:rFonts w:hint="eastAsia" w:ascii="宋体" w:hAnsi="宋体" w:eastAsia="宋体" w:cs="宋体"/>
                <w:b w:val="0"/>
                <w:bCs w:val="0"/>
                <w:color w:val="auto"/>
                <w:sz w:val="18"/>
                <w:szCs w:val="18"/>
                <w:lang w:val="en-US" w:eastAsia="zh-CN" w:bidi="ar-SA"/>
              </w:rPr>
              <w:t xml:space="preserve">、</w:t>
            </w:r>
            <w:r>
              <w:rPr>
                <w:rFonts w:hint="eastAsia" w:ascii="Segoe UI Emoji" w:hAnsi="Segoe UI Emoji" w:eastAsia="宋体" w:cs="Segoe UI Emoji"/>
                <w:i w:val="0"/>
                <w:iCs w:val="0"/>
                <w:caps w:val="0"/>
                <w:color w:val="auto"/>
                <w:spacing w:val="0"/>
                <w:sz w:val="18"/>
                <w:szCs w:val="18"/>
                <w:lang w:val="en-US" w:eastAsia="zh-CN"/>
              </w:rPr>
              <w:t xml:space="preserve">供应商已编制完整规划布局方案，并根据实际场地出具产品摆放效果图，涵盖人工智能创客教室、金工木工教室</w:t>
            </w:r>
            <w:r>
              <w:rPr>
                <w:rFonts w:hint="eastAsia" w:ascii="宋体" w:hAnsi="宋体" w:eastAsia="宋体" w:cs="宋体"/>
                <w:b w:val="0"/>
                <w:bCs w:val="0"/>
                <w:color w:val="000000"/>
                <w:sz w:val="18"/>
                <w:szCs w:val="18"/>
                <w:lang w:val="en-US" w:eastAsia="zh-CN"/>
              </w:rPr>
              <w:t xml:space="preserve">、楼道文化等内容；功能室效果图不少于 4 张，深化设计方案完整，效果图布局合理、内容完整、视觉美观，能够清晰体现场地利用、功能分区、产品配置及整体设计效果的得7分； </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2、供应商已编制较完整规划布局方案，并根据实际场地出具产品摆放效果图，涵盖人工智能创客教室、金工木工教室、楼道文化等内容；功能室效果图不少于 4 张，深化设计方案较完整，效果图布局较合理、内容较完整、视觉较美观，整体能够较好反映项目实施效果，仅部分细节不够深入的得5分； </w:t>
            </w:r>
            <w:r/>
          </w:p>
          <w:p>
            <w:pPr>
              <w:numPr>
                <w:ilvl w:val="0"/>
                <w:numId w:val="0"/>
              </w:numPr>
              <w:ind w:right="-159"/>
              <w:keepLines w:val="0"/>
              <w:keepNext w:val="0"/>
              <w:pageBreakBefore w:val="0"/>
              <w:spacing w:line="240" w:lineRule="auto"/>
              <w:widowControl w:val="off"/>
              <w:rPr>
                <w:rFonts w:hint="eastAsia" w:ascii="宋体" w:hAnsi="宋体" w:eastAsia="宋体" w:cs="宋体"/>
                <w:b w:val="0"/>
                <w:bCs w:val="0"/>
                <w:color w:val="auto"/>
                <w:sz w:val="18"/>
                <w:szCs w:val="18"/>
                <w:highlight w:val="none"/>
              </w:rPr>
            </w:pPr>
            <w:r>
              <w:rPr>
                <w:rFonts w:hint="eastAsia" w:ascii="宋体" w:hAnsi="宋体" w:cs="宋体"/>
                <w:b w:val="0"/>
                <w:bCs w:val="0"/>
                <w:color w:val="auto"/>
                <w:sz w:val="18"/>
                <w:szCs w:val="18"/>
                <w:highlight w:val="none"/>
                <w:lang w:val="en-US" w:eastAsia="zh-CN"/>
              </w:rPr>
              <w:t xml:space="preserve">3、</w:t>
            </w:r>
            <w:r>
              <w:rPr>
                <w:rFonts w:hint="eastAsia" w:ascii="Segoe UI Emoji" w:hAnsi="Segoe UI Emoji" w:eastAsia="宋体" w:cs="Segoe UI Emoji"/>
                <w:i w:val="0"/>
                <w:iCs w:val="0"/>
                <w:caps w:val="0"/>
                <w:color w:val="auto"/>
                <w:spacing w:val="0"/>
                <w:sz w:val="18"/>
                <w:szCs w:val="18"/>
                <w:highlight w:val="none"/>
                <w:lang w:val="en-US" w:eastAsia="zh-CN"/>
              </w:rPr>
              <w:t xml:space="preserve">供应商已提供规划布局方案及产品摆放效果图，但功能室效果图少于 4 张，或深化设计方案完整度一般；效果图布局基本合理、内容基本清晰、视觉表现一般，虽能满足基础评审要求，但在场地利用、功能分区、产品配置或细节深化方面存在不足</w:t>
            </w:r>
            <w:r>
              <w:rPr>
                <w:rFonts w:hint="eastAsia" w:ascii="宋体" w:hAnsi="宋体" w:eastAsia="宋体" w:cs="宋体"/>
                <w:b w:val="0"/>
                <w:bCs w:val="0"/>
                <w:color w:val="auto"/>
                <w:sz w:val="18"/>
                <w:szCs w:val="18"/>
                <w:highlight w:val="none"/>
              </w:rPr>
              <w:t xml:space="preserve">的得 </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rPr>
              <w:t xml:space="preserve"> 分。 </w:t>
            </w:r>
            <w:r/>
          </w:p>
          <w:p>
            <w:pPr>
              <w:numPr>
                <w:ilvl w:val="0"/>
                <w:numId w:val="0"/>
              </w:numPr>
              <w:ind w:right="-159"/>
              <w:keepLines w:val="0"/>
              <w:keepNext w:val="0"/>
              <w:pageBreakBefore w:val="0"/>
              <w:spacing w:line="240" w:lineRule="auto"/>
              <w:widowControl w:val="off"/>
              <w:rPr>
                <w:rFonts w:hint="default"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4、供应商仅简单罗列规划布局内容，未按实际场地出具完整产品摆放效果图，或效果图数量严重不足、内容表述空洞、布局不够清晰、美观性较差，无法充分体现项目设计意图和实施效果的得1分</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18"/>
                <w:szCs w:val="18"/>
                <w:lang w:val="en-US" w:eastAsia="zh-CN" w:bidi="zh-CN"/>
              </w:rPr>
            </w:pPr>
            <w:r>
              <w:rPr>
                <w:rFonts w:hint="eastAsia" w:ascii="宋体" w:hAnsi="宋体" w:cs="宋体"/>
                <w:color w:val="auto"/>
                <w:sz w:val="18"/>
                <w:szCs w:val="18"/>
                <w:highlight w:val="none"/>
                <w:lang w:val="en-US" w:eastAsia="zh-CN" w:bidi="zh-CN"/>
              </w:rPr>
              <w:t xml:space="preserve">5、</w:t>
            </w:r>
            <w:r>
              <w:rPr>
                <w:rFonts w:hint="eastAsia" w:ascii="宋体" w:hAnsi="宋体" w:eastAsia="宋体" w:cs="宋体"/>
                <w:color w:val="auto"/>
                <w:sz w:val="18"/>
                <w:szCs w:val="18"/>
                <w:highlight w:val="none"/>
                <w:lang w:val="zh-CN" w:eastAsia="zh-CN" w:bidi="zh-CN"/>
              </w:rPr>
              <w:t xml:space="preserve">该项</w:t>
            </w:r>
            <w:r>
              <w:rPr>
                <w:rFonts w:hint="eastAsia" w:ascii="宋体" w:hAnsi="宋体" w:eastAsia="宋体" w:cs="宋体"/>
                <w:color w:val="auto"/>
                <w:sz w:val="18"/>
                <w:szCs w:val="18"/>
                <w:highlight w:val="none"/>
                <w:lang w:val="en-US" w:eastAsia="zh-CN" w:bidi="zh-CN"/>
              </w:rPr>
              <w:t xml:space="preserve">未</w:t>
            </w:r>
            <w:r>
              <w:rPr>
                <w:rFonts w:hint="eastAsia" w:ascii="宋体" w:hAnsi="宋体" w:cs="宋体"/>
                <w:color w:val="auto"/>
                <w:sz w:val="18"/>
                <w:szCs w:val="18"/>
                <w:highlight w:val="none"/>
                <w:lang w:val="en-US" w:eastAsia="zh-CN" w:bidi="zh-CN"/>
              </w:rPr>
              <w:t xml:space="preserve">提供</w:t>
            </w:r>
            <w:r>
              <w:rPr>
                <w:rFonts w:hint="eastAsia" w:ascii="宋体" w:hAnsi="宋体" w:eastAsia="宋体" w:cs="宋体"/>
                <w:color w:val="auto"/>
                <w:sz w:val="18"/>
                <w:szCs w:val="18"/>
                <w:highlight w:val="none"/>
                <w:lang w:val="zh-CN" w:eastAsia="zh-CN" w:bidi="zh-CN"/>
              </w:rPr>
              <w:t xml:space="preserve">不得分。</w:t>
            </w:r>
            <w:r/>
          </w:p>
        </w:tc>
      </w:tr>
      <w:tr>
        <w:trPr>
          <w:jc w:val="center"/>
          <w:trHeight w:val="621"/>
        </w:trPr>
        <w:tc>
          <w:tcPr>
            <w:tcW w:w="1660" w:type="dxa"/>
            <w:vAlign w:val="center"/>
            <w:textDirection w:val="lrTb"/>
            <w:noWrap w:val="false"/>
          </w:tcPr>
          <w:p>
            <w:pPr>
              <w:ind w:right="0"/>
              <w:pageBreakBefore w:val="0"/>
              <w:spacing w:line="36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售后服务方案</w:t>
            </w:r>
            <w:r/>
          </w:p>
          <w:p>
            <w:pPr>
              <w:ind w:right="0"/>
              <w:pageBreakBefore w:val="0"/>
              <w:spacing w:line="36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（7分）</w:t>
            </w:r>
            <w:r/>
          </w:p>
        </w:tc>
        <w:tc>
          <w:tcPr>
            <w:tcW w:w="71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售后服务方案至少应包含售后服务管理体系、售后服务人员的技术水平及现场服务措施（如响应时间、到达时间、服务范围、应急处理方案等）。</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完整覆盖全部要求模块，方案内容完整详实、逻辑清晰、落地性强，各项售后保障措施细化具体，可直接落地执行的得7分；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完整覆盖全部要求模块，方案内容较完整详细、表述清晰，售后各项措施具备可操作性，仅少量细节内容简略，无关键缺失的得5分；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基本覆盖核心要求模块，方案整体完整可行，基础售后内容齐全，但内容深度不足、措施表述笼统，细化程度一般的得3分；</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仅简单提及部分售后内容，关键模块存在缺失，方案内容单薄、表述模糊，现场服务、应急处置等核心措施无具体说明，可行性弱</w:t>
            </w:r>
            <w:r>
              <w:rPr>
                <w:rFonts w:hint="eastAsia" w:ascii="宋体" w:hAnsi="宋体" w:eastAsia="宋体" w:cs="宋体"/>
                <w:color w:val="auto"/>
                <w:sz w:val="18"/>
                <w:szCs w:val="18"/>
                <w:highlight w:val="none"/>
              </w:rPr>
              <w:t xml:space="preserve">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rPr>
                <w:rFonts w:hint="eastAsia" w:ascii="宋体" w:hAnsi="宋体" w:eastAsia="宋体" w:cs="宋体"/>
                <w:b w:val="0"/>
                <w:bCs w:val="0"/>
                <w:color w:val="000000"/>
                <w:sz w:val="18"/>
                <w:szCs w:val="18"/>
                <w:lang w:val="en-US" w:eastAsia="zh-CN"/>
              </w:rPr>
              <w:t xml:space="preserve">；</w:t>
            </w:r>
            <w:r/>
          </w:p>
          <w:p>
            <w:pPr>
              <w:ind w:right="0"/>
              <w:keepLines w:val="0"/>
              <w:keepNext w:val="0"/>
              <w:pageBreakBefore w:val="0"/>
              <w:spacing w:line="240" w:lineRule="auto"/>
              <w:widowControl w:val="off"/>
              <w:rPr>
                <w:rFonts w:hint="eastAsia" w:ascii="宋体" w:hAnsi="宋体" w:eastAsia="宋体" w:cs="宋体"/>
                <w:b w:val="0"/>
                <w:bCs w:val="0"/>
                <w:color w:val="000000"/>
                <w:sz w:val="18"/>
                <w:szCs w:val="18"/>
                <w:lang w:val="en-US" w:eastAsia="zh-CN"/>
              </w:rPr>
            </w:pPr>
            <w:r>
              <w:rPr>
                <w:rFonts w:hint="eastAsia" w:ascii="宋体" w:hAnsi="宋体" w:eastAsia="宋体" w:cs="宋体"/>
                <w:b w:val="0"/>
                <w:bCs w:val="0"/>
                <w:color w:val="000000"/>
                <w:sz w:val="18"/>
                <w:szCs w:val="18"/>
                <w:lang w:val="en-US" w:eastAsia="zh-CN"/>
              </w:rPr>
              <w:t xml:space="preserve">5、不提供方案不得分。</w:t>
            </w:r>
            <w:r/>
          </w:p>
        </w:tc>
      </w:tr>
      <w:tr>
        <w:trPr>
          <w:jc w:val="center"/>
          <w:trHeight w:val="621"/>
        </w:trPr>
        <w:tc>
          <w:tcPr>
            <w:tcW w:w="1660" w:type="dxa"/>
            <w:vAlign w:val="center"/>
            <w:textDirection w:val="lrTb"/>
            <w:noWrap w:val="false"/>
          </w:tcPr>
          <w:p>
            <w:pPr>
              <w:ind w:right="-159"/>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培训方案</w:t>
            </w:r>
            <w:r/>
          </w:p>
          <w:p>
            <w:pPr>
              <w:ind w:right="-159"/>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tcW w:w="7141" w:type="dxa"/>
            <w:vAlign w:val="center"/>
            <w:textDirection w:val="lrTb"/>
            <w:noWrap w:val="false"/>
          </w:tcPr>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根据投标人提供的培训方案进行评分，内容包括但不限于培训计划、培训内容、培训对象等：</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 内容丰富，科学合理，培训形式多样，具有可操作性的得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 内容较丰富，较合理，培训形式较多样，可操作性较强的得</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 内容简单，合理性一般，形式单一，可操作性一般的得</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p>
            <w:pPr>
              <w:ind w:right="-159"/>
              <w:jc w:val="left"/>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该项未见阐述不得分。</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4"/>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rPr>
          <w:rFonts w:hint="eastAsia" w:ascii="黑体" w:hAnsi="黑体" w:eastAsia="黑体"/>
          <w:b/>
          <w:color w:val="auto"/>
          <w:sz w:val="32"/>
          <w:szCs w:val="32"/>
          <w:u w:val="single"/>
          <w:lang w:val="en-US" w:eastAsia="zh-CN"/>
        </w:rPr>
        <w:t xml:space="preserve">    </w:t>
      </w:r>
      <w:r>
        <w:rPr>
          <w:rFonts w:hint="eastAsia" w:ascii="黑体" w:hAnsi="黑体" w:eastAsia="黑体"/>
          <w:b/>
          <w:color w:val="auto"/>
          <w:sz w:val="32"/>
          <w:szCs w:val="32"/>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rPr>
          <w:rFonts w:hint="eastAsia" w:ascii="Arial" w:hAnsi="Arial" w:cs="Arial"/>
          <w:sz w:val="36"/>
          <w:u w:val="single"/>
          <w:lang w:val="en-US" w:eastAsia="zh-CN"/>
        </w:rPr>
        <w:t xml:space="preserve">      </w:t>
      </w:r>
      <w:r>
        <w:rPr>
          <w:rFonts w:hint="eastAsia" w:ascii="Arial" w:hAnsi="Arial" w:cs="Arial"/>
          <w:sz w:val="36"/>
        </w:rPr>
        <w:t xml:space="preserve">）</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rPr>
          <w:rFonts w:hint="eastAsia" w:ascii="宋体" w:hAnsi="宋体" w:cs="Times New Roman"/>
          <w:b/>
          <w:sz w:val="24"/>
          <w:szCs w:val="24"/>
          <w:u w:val="single"/>
          <w:lang w:val="en-US" w:eastAsia="zh-CN"/>
        </w:rPr>
        <w:t xml:space="preserve">       </w:t>
      </w:r>
      <w:r>
        <w:rPr>
          <w:rFonts w:hint="eastAsia" w:ascii="宋体" w:hAnsi="宋体" w:eastAsia="宋体" w:cs="Times New Roman"/>
          <w:b/>
          <w:sz w:val="24"/>
          <w:szCs w:val="24"/>
        </w:rPr>
        <w:t xml:space="preserve">）</w:t>
      </w:r>
      <w:r/>
    </w:p>
    <w:tbl>
      <w:tblPr>
        <w:tblStyle w:val="70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59"/>
        <w:gridCol w:w="628"/>
        <w:gridCol w:w="943"/>
        <w:gridCol w:w="613"/>
        <w:gridCol w:w="379"/>
        <w:gridCol w:w="245"/>
        <w:gridCol w:w="493"/>
        <w:gridCol w:w="452"/>
        <w:gridCol w:w="657"/>
        <w:gridCol w:w="802"/>
        <w:gridCol w:w="816"/>
        <w:gridCol w:w="919"/>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cs="Times New Roman"/>
                <w:b/>
                <w:bCs/>
                <w:sz w:val="24"/>
                <w:szCs w:val="32"/>
                <w:u w:val="single"/>
                <w:lang w:val="en-US" w:eastAsia="zh-CN"/>
              </w:rPr>
              <w:t xml:space="preserve">      </w:t>
            </w:r>
            <w:r>
              <w:rPr>
                <w:rFonts w:hint="eastAsia" w:ascii="宋体" w:hAnsi="宋体" w:eastAsia="宋体" w:cs="Times New Roman"/>
                <w:b/>
                <w:bCs/>
                <w:sz w:val="24"/>
                <w:szCs w:val="32"/>
              </w:rPr>
              <w:t xml:space="preserve">%。</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rPr>
          <w:rFonts w:hint="eastAsia" w:ascii="Arial" w:hAnsi="Arial" w:cs="Arial"/>
          <w:i/>
          <w:iCs/>
          <w:sz w:val="36"/>
          <w:u w:val="single"/>
          <w:lang w:val="en-US" w:eastAsia="zh-CN"/>
        </w:rPr>
        <w:t xml:space="preserve">  </w:t>
      </w:r>
      <w:r>
        <w:rPr>
          <w:rFonts w:hint="eastAsia" w:ascii="Arial" w:hAnsi="Arial" w:cs="Arial"/>
          <w:i/>
          <w:iCs/>
          <w:sz w:val="36"/>
          <w:u w:val="single"/>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6955056"/>
            <w:r/>
            <w:bookmarkEnd w:id="8"/>
            <w:r/>
            <w:bookmarkStart w:id="9" w:name="_Hlt24879081"/>
            <w:r/>
            <w:bookmarkEnd w:id="9"/>
            <w:r/>
            <w:bookmarkStart w:id="10" w:name="_Hlt26671343"/>
            <w:r/>
            <w:bookmarkEnd w:id="10"/>
            <w:r/>
            <w:bookmarkStart w:id="11" w:name="_Hlt26782999"/>
            <w:r/>
            <w:bookmarkEnd w:id="11"/>
            <w:r/>
            <w:bookmarkStart w:id="12" w:name="_Hlt26580838"/>
            <w:r/>
            <w:bookmarkEnd w:id="12"/>
            <w:r/>
            <w:bookmarkStart w:id="13" w:name="_Hlt26671372"/>
            <w:r/>
            <w:bookmarkEnd w:id="13"/>
            <w:r/>
            <w:bookmarkStart w:id="14" w:name="_Hlt26955064"/>
            <w:r/>
            <w:bookmarkEnd w:id="14"/>
            <w:r/>
            <w:bookmarkStart w:id="15" w:name="_Hlt26609391"/>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格式2__法定代表人授权书"/>
      <w:r/>
      <w:bookmarkEnd w:id="16"/>
      <w:r/>
      <w:bookmarkStart w:id="17" w:name="_Hlt26955066"/>
      <w:r/>
      <w:bookmarkEnd w:id="17"/>
      <w:r/>
      <w:bookmarkStart w:id="18" w:name="_Hlt26609389"/>
      <w:r/>
      <w:bookmarkEnd w:id="18"/>
      <w:r/>
      <w:bookmarkStart w:id="19" w:name="_Hlt26671374"/>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rPr>
          <w:rFonts w:hint="eastAsia" w:ascii="Arial" w:hAnsi="Arial" w:cs="Arial"/>
          <w:iCs/>
          <w:sz w:val="36"/>
          <w:u w:val="single"/>
          <w:lang w:val="en-US" w:eastAsia="zh-CN"/>
        </w:rPr>
        <w:t xml:space="preserve">  </w:t>
      </w:r>
      <w:r>
        <w:rPr>
          <w:rFonts w:hint="eastAsia" w:ascii="Arial" w:hAnsi="Arial" w:cs="Arial"/>
          <w:iCs/>
          <w:sz w:val="36"/>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rPr>
          <w:rFonts w:hint="eastAsia" w:ascii="Arial" w:hAnsi="Arial" w:cs="Arial"/>
          <w:iCs/>
          <w:sz w:val="36"/>
          <w:u w:val="single"/>
          <w:lang w:val="en-US" w:eastAsia="zh-CN"/>
        </w:rPr>
        <w:t xml:space="preserve">   </w:t>
      </w:r>
      <w:r>
        <w:rPr>
          <w:rFonts w:hint="eastAsia" w:ascii="Arial" w:hAnsi="Arial" w:cs="Arial"/>
          <w:iCs/>
          <w:sz w:val="36"/>
        </w:rPr>
        <w:t xml:space="preserve">）</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rPr>
          <w:rFonts w:hint="eastAsia" w:ascii="Arial" w:hAnsi="Arial" w:cs="Arial"/>
          <w:iCs/>
          <w:sz w:val="36"/>
          <w:u w:val="single"/>
          <w:lang w:val="en-US" w:eastAsia="zh-CN"/>
        </w:rPr>
        <w:t xml:space="preserve">    </w:t>
      </w:r>
      <w:r>
        <w:rPr>
          <w:rFonts w:hint="eastAsia" w:ascii="Arial" w:hAnsi="Arial" w:eastAsia="宋体" w:cs="Arial"/>
          <w:iCs/>
          <w:sz w:val="36"/>
        </w:rPr>
        <w:t xml:space="preserve">）</w:t>
      </w:r>
      <w:r/>
    </w:p>
    <w:p>
      <w:pPr>
        <w:pStyle w:val="726"/>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0"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21"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22"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3"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4"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6"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27"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32"/>
          <w:rFonts w:hint="eastAsia" w:ascii="方正魏碑_GBK" w:hAnsi="方正魏碑_GBK" w:eastAsia="方正魏碑_GBK" w:cs="方正魏碑_GBK"/>
          <w:i w:val="0"/>
          <w:color w:val="ff0000"/>
          <w:u w:val="single"/>
          <w:shd w:val="clear" w:color="auto" w:fill="ffffff"/>
        </w:rPr>
        <w:t xml:space="preserve">（产品名称1）</w:t>
      </w:r>
      <w:r>
        <w:rPr>
          <w:rStyle w:val="732"/>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32"/>
          <w:rFonts w:hint="eastAsia" w:ascii="方正魏碑_GBK" w:hAnsi="方正魏碑_GBK" w:eastAsia="方正魏碑_GBK" w:cs="方正魏碑_GBK"/>
          <w:i w:val="0"/>
          <w:color w:val="ff0000"/>
          <w:u w:val="single"/>
          <w:shd w:val="clear" w:color="auto" w:fill="ffffff"/>
        </w:rPr>
        <w:t xml:space="preserve">（厂名）</w:t>
      </w:r>
      <w:r>
        <w:rPr>
          <w:rStyle w:val="732"/>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32"/>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32"/>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32"/>
          <w:rFonts w:hint="eastAsia" w:ascii="方正魏碑_GBK" w:hAnsi="方正魏碑_GBK" w:eastAsia="方正魏碑_GBK" w:cs="方正魏碑_GBK"/>
          <w:i w:val="0"/>
          <w:color w:val="ff0000"/>
          <w:u w:val="single"/>
          <w:shd w:val="clear" w:color="auto" w:fill="ffffff"/>
        </w:rPr>
        <w:t xml:space="preserve">（规定</w:t>
      </w:r>
      <w:r>
        <w:rPr>
          <w:rStyle w:val="732"/>
          <w:rFonts w:ascii="方正魏碑_GBK" w:hAnsi="方正魏碑_GBK" w:eastAsia="方正魏碑_GBK" w:cs="方正魏碑_GBK"/>
          <w:i w:val="0"/>
          <w:color w:val="ff0000"/>
          <w:u w:val="single"/>
          <w:shd w:val="clear" w:color="auto" w:fill="ffffff"/>
        </w:rPr>
        <w:t xml:space="preserve">比例</w:t>
      </w:r>
      <w:r>
        <w:rPr>
          <w:rStyle w:val="732"/>
          <w:rFonts w:hint="eastAsia" w:ascii="方正魏碑_GBK" w:hAnsi="方正魏碑_GBK" w:eastAsia="方正魏碑_GBK" w:cs="方正魏碑_GBK"/>
          <w:i w:val="0"/>
          <w:color w:val="ff0000"/>
          <w:u w:val="single"/>
          <w:shd w:val="clear" w:color="auto" w:fill="ffffff"/>
        </w:rPr>
        <w:t xml:space="preserve">）</w:t>
      </w:r>
      <w:r>
        <w:rPr>
          <w:rStyle w:val="732"/>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32"/>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w:t>
      </w:r>
      <w:r>
        <w:rPr>
          <w:rStyle w:val="732"/>
          <w:rFonts w:ascii="方正魏碑_GBK" w:hAnsi="方正魏碑_GBK" w:eastAsia="方正魏碑_GBK" w:cs="方正魏碑_GBK"/>
          <w:i w:val="0"/>
          <w:color w:val="ff0000"/>
          <w:u w:val="single"/>
          <w:shd w:val="clear" w:color="auto" w:fill="ffffff"/>
        </w:rPr>
        <w:t xml:space="preserve">组件</w:t>
      </w:r>
      <w:r>
        <w:rPr>
          <w:rStyle w:val="732"/>
          <w:rFonts w:hint="eastAsia" w:ascii="方正魏碑_GBK" w:hAnsi="方正魏碑_GBK" w:eastAsia="方正魏碑_GBK" w:cs="方正魏碑_GBK"/>
          <w:i w:val="0"/>
          <w:color w:val="ff0000"/>
          <w:u w:val="single"/>
          <w:shd w:val="clear" w:color="auto" w:fill="ffffff"/>
        </w:rPr>
        <w:t xml:space="preserve">）</w:t>
      </w:r>
      <w:r>
        <w:rPr>
          <w:rStyle w:val="732"/>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32"/>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（关键工序）</w:t>
      </w:r>
      <w:r>
        <w:rPr>
          <w:rStyle w:val="732"/>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28"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29"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30"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1"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2"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3"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4"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32"/>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32"/>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32"/>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32"/>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32"/>
          <w:rFonts w:hint="eastAsia" w:ascii="方正魏碑_GBK" w:hAnsi="方正魏碑_GBK" w:eastAsia="方正魏碑_GBK" w:cs="方正魏碑_GBK"/>
          <w:i w:val="0"/>
          <w:color w:val="ff0000"/>
          <w:u w:val="single"/>
          <w:shd w:val="clear" w:color="auto" w:fill="ffffff"/>
        </w:rPr>
        <w:t xml:space="preserve">（规定</w:t>
      </w:r>
      <w:r>
        <w:rPr>
          <w:rStyle w:val="732"/>
          <w:rFonts w:ascii="方正魏碑_GBK" w:hAnsi="方正魏碑_GBK" w:eastAsia="方正魏碑_GBK" w:cs="方正魏碑_GBK"/>
          <w:i w:val="0"/>
          <w:color w:val="ff0000"/>
          <w:u w:val="single"/>
          <w:shd w:val="clear" w:color="auto" w:fill="ffffff"/>
        </w:rPr>
        <w:t xml:space="preserve">比例</w:t>
      </w:r>
      <w:r>
        <w:rPr>
          <w:rStyle w:val="732"/>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32"/>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w:t>
      </w:r>
      <w:r>
        <w:rPr>
          <w:rStyle w:val="732"/>
          <w:rFonts w:ascii="方正魏碑_GBK" w:hAnsi="方正魏碑_GBK" w:eastAsia="方正魏碑_GBK" w:cs="方正魏碑_GBK"/>
          <w:i w:val="0"/>
          <w:color w:val="ff0000"/>
          <w:u w:val="single"/>
          <w:shd w:val="clear" w:color="auto" w:fill="ffffff"/>
        </w:rPr>
        <w:t xml:space="preserve">组件</w:t>
      </w:r>
      <w:r>
        <w:rPr>
          <w:rStyle w:val="732"/>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32"/>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32"/>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6"/>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6"/>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6"/>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6"/>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6"/>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6"/>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6"/>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Cambria">
    <w:panose1 w:val="02040503050406030204"/>
  </w:font>
  <w:font w:name="Courier New">
    <w:panose1 w:val="02070309020205020404"/>
  </w:font>
  <w:font w:name="Calibri">
    <w:panose1 w:val="020F0502020204030204"/>
  </w:font>
  <w:font w:name="微软雅黑">
    <w:panose1 w:val="020B0503020204020204"/>
  </w:font>
  <w:font w:name="Arial">
    <w:panose1 w:val="020B0604020202020204"/>
  </w:font>
  <w:font w:name="Segoe UI Emoji">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705"/>
    <w:link w:val="696"/>
    <w:uiPriority w:val="9"/>
    <w:rPr>
      <w:rFonts w:ascii="Arial" w:hAnsi="Arial" w:eastAsia="Arial" w:cs="Arial"/>
      <w:sz w:val="40"/>
      <w:szCs w:val="40"/>
    </w:rPr>
  </w:style>
  <w:style w:type="character" w:styleId="659">
    <w:name w:val="Heading 2 Char"/>
    <w:basedOn w:val="705"/>
    <w:link w:val="697"/>
    <w:uiPriority w:val="9"/>
    <w:rPr>
      <w:rFonts w:ascii="Arial" w:hAnsi="Arial" w:eastAsia="Arial" w:cs="Arial"/>
      <w:sz w:val="34"/>
    </w:rPr>
  </w:style>
  <w:style w:type="character" w:styleId="660">
    <w:name w:val="Heading 3 Char"/>
    <w:basedOn w:val="705"/>
    <w:link w:val="698"/>
    <w:uiPriority w:val="9"/>
    <w:rPr>
      <w:rFonts w:ascii="Arial" w:hAnsi="Arial" w:eastAsia="Arial" w:cs="Arial"/>
      <w:sz w:val="30"/>
      <w:szCs w:val="30"/>
    </w:rPr>
  </w:style>
  <w:style w:type="character" w:styleId="661">
    <w:name w:val="Heading 4 Char"/>
    <w:basedOn w:val="705"/>
    <w:link w:val="699"/>
    <w:uiPriority w:val="9"/>
    <w:rPr>
      <w:rFonts w:ascii="Arial" w:hAnsi="Arial" w:eastAsia="Arial" w:cs="Arial"/>
      <w:b/>
      <w:bCs/>
      <w:sz w:val="26"/>
      <w:szCs w:val="26"/>
    </w:rPr>
  </w:style>
  <w:style w:type="character" w:styleId="662">
    <w:name w:val="Heading 5 Char"/>
    <w:basedOn w:val="705"/>
    <w:link w:val="700"/>
    <w:uiPriority w:val="9"/>
    <w:rPr>
      <w:rFonts w:ascii="Arial" w:hAnsi="Arial" w:eastAsia="Arial" w:cs="Arial"/>
      <w:b/>
      <w:bCs/>
      <w:sz w:val="24"/>
      <w:szCs w:val="24"/>
    </w:rPr>
  </w:style>
  <w:style w:type="character" w:styleId="663">
    <w:name w:val="Heading 6 Char"/>
    <w:basedOn w:val="705"/>
    <w:link w:val="701"/>
    <w:uiPriority w:val="9"/>
    <w:rPr>
      <w:rFonts w:ascii="Arial" w:hAnsi="Arial" w:eastAsia="Arial" w:cs="Arial"/>
      <w:b/>
      <w:bCs/>
      <w:sz w:val="22"/>
      <w:szCs w:val="22"/>
    </w:rPr>
  </w:style>
  <w:style w:type="character" w:styleId="664">
    <w:name w:val="Heading 7 Char"/>
    <w:basedOn w:val="705"/>
    <w:link w:val="702"/>
    <w:uiPriority w:val="9"/>
    <w:rPr>
      <w:rFonts w:ascii="Arial" w:hAnsi="Arial" w:eastAsia="Arial" w:cs="Arial"/>
      <w:b/>
      <w:bCs/>
      <w:i/>
      <w:iCs/>
      <w:sz w:val="22"/>
      <w:szCs w:val="22"/>
    </w:rPr>
  </w:style>
  <w:style w:type="character" w:styleId="665">
    <w:name w:val="Heading 8 Char"/>
    <w:basedOn w:val="705"/>
    <w:link w:val="703"/>
    <w:uiPriority w:val="9"/>
    <w:rPr>
      <w:rFonts w:ascii="Arial" w:hAnsi="Arial" w:eastAsia="Arial" w:cs="Arial"/>
      <w:i/>
      <w:iCs/>
      <w:sz w:val="22"/>
      <w:szCs w:val="22"/>
    </w:rPr>
  </w:style>
  <w:style w:type="character" w:styleId="666">
    <w:name w:val="Heading 9 Char"/>
    <w:basedOn w:val="705"/>
    <w:link w:val="704"/>
    <w:uiPriority w:val="9"/>
    <w:rPr>
      <w:rFonts w:ascii="Arial" w:hAnsi="Arial" w:eastAsia="Arial" w:cs="Arial"/>
      <w:i/>
      <w:iCs/>
      <w:sz w:val="21"/>
      <w:szCs w:val="21"/>
    </w:rPr>
  </w:style>
  <w:style w:type="character" w:styleId="667">
    <w:name w:val="Title Char"/>
    <w:basedOn w:val="705"/>
    <w:link w:val="727"/>
    <w:uiPriority w:val="10"/>
    <w:rPr>
      <w:sz w:val="48"/>
      <w:szCs w:val="48"/>
    </w:rPr>
  </w:style>
  <w:style w:type="character" w:styleId="668">
    <w:name w:val="Subtitle Char"/>
    <w:basedOn w:val="705"/>
    <w:link w:val="720"/>
    <w:uiPriority w:val="11"/>
    <w:rPr>
      <w:sz w:val="24"/>
      <w:szCs w:val="24"/>
    </w:rPr>
  </w:style>
  <w:style w:type="character" w:styleId="669">
    <w:name w:val="Quote Char"/>
    <w:link w:val="749"/>
    <w:uiPriority w:val="29"/>
    <w:rPr>
      <w:i/>
    </w:rPr>
  </w:style>
  <w:style w:type="character" w:styleId="670">
    <w:name w:val="Intense Quote Char"/>
    <w:link w:val="751"/>
    <w:uiPriority w:val="30"/>
    <w:rPr>
      <w:i/>
    </w:rPr>
  </w:style>
  <w:style w:type="character" w:styleId="671">
    <w:name w:val="Header Char"/>
    <w:basedOn w:val="705"/>
    <w:link w:val="717"/>
    <w:uiPriority w:val="99"/>
  </w:style>
  <w:style w:type="character" w:styleId="672">
    <w:name w:val="Caption Char"/>
    <w:basedOn w:val="708"/>
    <w:link w:val="716"/>
    <w:uiPriority w:val="99"/>
  </w:style>
  <w:style w:type="table" w:styleId="673">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3">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4">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5">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6">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0">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1">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2">
    <w:name w:val="Footnote Text Char"/>
    <w:link w:val="721"/>
    <w:uiPriority w:val="99"/>
    <w:rPr>
      <w:sz w:val="18"/>
    </w:rPr>
  </w:style>
  <w:style w:type="character" w:styleId="693">
    <w:name w:val="Endnote Text Char"/>
    <w:link w:val="715"/>
    <w:uiPriority w:val="99"/>
    <w:rPr>
      <w:sz w:val="20"/>
    </w:rPr>
  </w:style>
  <w:style w:type="paragraph" w:styleId="694">
    <w:name w:val="TOC Heading"/>
    <w:uiPriority w:val="39"/>
    <w:unhideWhenUsed/>
  </w:style>
  <w:style w:type="paragraph" w:styleId="69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6">
    <w:name w:val="Heading 1"/>
    <w:basedOn w:val="695"/>
    <w:next w:val="695"/>
    <w:link w:val="737"/>
    <w:uiPriority w:val="9"/>
    <w:qFormat/>
    <w:pPr>
      <w:keepLines/>
      <w:keepNext/>
      <w:spacing w:before="480" w:after="200"/>
      <w:outlineLvl w:val="0"/>
    </w:pPr>
    <w:rPr>
      <w:rFonts w:ascii="Arial" w:hAnsi="Arial" w:eastAsia="Arial" w:cs="Arial"/>
      <w:sz w:val="40"/>
      <w:szCs w:val="40"/>
    </w:rPr>
  </w:style>
  <w:style w:type="paragraph" w:styleId="697">
    <w:name w:val="Heading 2"/>
    <w:basedOn w:val="696"/>
    <w:next w:val="695"/>
    <w:link w:val="738"/>
    <w:uiPriority w:val="9"/>
    <w:unhideWhenUsed/>
    <w:qFormat/>
    <w:pPr>
      <w:spacing w:before="360"/>
      <w:outlineLvl w:val="1"/>
    </w:pPr>
    <w:rPr>
      <w:sz w:val="34"/>
    </w:rPr>
  </w:style>
  <w:style w:type="paragraph" w:styleId="698">
    <w:name w:val="Heading 3"/>
    <w:basedOn w:val="697"/>
    <w:next w:val="695"/>
    <w:link w:val="739"/>
    <w:uiPriority w:val="9"/>
    <w:unhideWhenUsed/>
    <w:qFormat/>
    <w:pPr>
      <w:spacing w:before="320"/>
      <w:outlineLvl w:val="2"/>
    </w:pPr>
    <w:rPr>
      <w:sz w:val="30"/>
      <w:szCs w:val="30"/>
    </w:rPr>
  </w:style>
  <w:style w:type="paragraph" w:styleId="699">
    <w:name w:val="Heading 4"/>
    <w:basedOn w:val="695"/>
    <w:next w:val="695"/>
    <w:link w:val="740"/>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1"/>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2"/>
    <w:uiPriority w:val="9"/>
    <w:unhideWhenUsed/>
    <w:qFormat/>
    <w:pPr>
      <w:keepLines/>
      <w:keepNext/>
      <w:spacing w:before="320" w:after="200"/>
      <w:outlineLvl w:val="5"/>
    </w:pPr>
    <w:rPr>
      <w:rFonts w:ascii="Arial" w:hAnsi="Arial" w:eastAsia="Arial" w:cs="Arial"/>
      <w:b/>
      <w:bCs/>
      <w:sz w:val="22"/>
    </w:rPr>
  </w:style>
  <w:style w:type="paragraph" w:styleId="702">
    <w:name w:val="Heading 7"/>
    <w:basedOn w:val="695"/>
    <w:next w:val="695"/>
    <w:link w:val="743"/>
    <w:uiPriority w:val="9"/>
    <w:unhideWhenUsed/>
    <w:qFormat/>
    <w:pPr>
      <w:keepLines/>
      <w:keepNext/>
      <w:spacing w:before="320" w:after="200"/>
      <w:outlineLvl w:val="6"/>
    </w:pPr>
    <w:rPr>
      <w:rFonts w:ascii="Arial" w:hAnsi="Arial" w:eastAsia="Arial" w:cs="Arial"/>
      <w:b/>
      <w:bCs/>
      <w:i/>
      <w:iCs/>
      <w:sz w:val="22"/>
    </w:rPr>
  </w:style>
  <w:style w:type="paragraph" w:styleId="703">
    <w:name w:val="Heading 8"/>
    <w:basedOn w:val="695"/>
    <w:next w:val="695"/>
    <w:link w:val="744"/>
    <w:uiPriority w:val="9"/>
    <w:unhideWhenUsed/>
    <w:qFormat/>
    <w:pPr>
      <w:keepLines/>
      <w:keepNext/>
      <w:spacing w:before="320" w:after="200"/>
      <w:outlineLvl w:val="7"/>
    </w:pPr>
    <w:rPr>
      <w:rFonts w:ascii="Arial" w:hAnsi="Arial" w:eastAsia="Arial" w:cs="Arial"/>
      <w:i/>
      <w:iCs/>
      <w:sz w:val="22"/>
    </w:rPr>
  </w:style>
  <w:style w:type="paragraph" w:styleId="704">
    <w:name w:val="Heading 9"/>
    <w:basedOn w:val="695"/>
    <w:next w:val="695"/>
    <w:link w:val="745"/>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spacing w:after="57"/>
    </w:pPr>
  </w:style>
  <w:style w:type="paragraph" w:styleId="708">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5"/>
    <w:uiPriority w:val="99"/>
    <w:semiHidden/>
    <w:unhideWhenUsed/>
    <w:qFormat/>
    <w:pPr>
      <w:jc w:val="left"/>
    </w:pPr>
  </w:style>
  <w:style w:type="paragraph" w:styleId="710">
    <w:name w:val="Body Text"/>
    <w:basedOn w:val="695"/>
    <w:uiPriority w:val="1"/>
    <w:qFormat/>
    <w:rPr>
      <w:rFonts w:ascii="宋体" w:hAnsi="宋体" w:eastAsia="宋体" w:cs="宋体"/>
      <w:sz w:val="24"/>
      <w:szCs w:val="24"/>
      <w:lang w:val="zh-CN" w:eastAsia="zh-CN" w:bidi="zh-CN"/>
    </w:rPr>
  </w:style>
  <w:style w:type="paragraph" w:styleId="711">
    <w:name w:val="toc 5"/>
    <w:basedOn w:val="695"/>
    <w:next w:val="695"/>
    <w:uiPriority w:val="39"/>
    <w:unhideWhenUsed/>
    <w:qFormat/>
    <w:pPr>
      <w:ind w:left="1134"/>
      <w:spacing w:after="57"/>
    </w:pPr>
  </w:style>
  <w:style w:type="paragraph" w:styleId="712">
    <w:name w:val="toc 3"/>
    <w:basedOn w:val="695"/>
    <w:next w:val="695"/>
    <w:uiPriority w:val="39"/>
    <w:unhideWhenUsed/>
    <w:qFormat/>
    <w:pPr>
      <w:ind w:left="567"/>
      <w:spacing w:after="57"/>
    </w:pPr>
  </w:style>
  <w:style w:type="paragraph" w:styleId="713">
    <w:name w:val="Plain Text"/>
    <w:basedOn w:val="695"/>
    <w:uiPriority w:val="0"/>
    <w:qFormat/>
    <w:rPr>
      <w:rFonts w:ascii="宋体" w:hAnsi="Courier New"/>
      <w:szCs w:val="20"/>
    </w:rPr>
  </w:style>
  <w:style w:type="paragraph" w:styleId="714">
    <w:name w:val="toc 8"/>
    <w:basedOn w:val="695"/>
    <w:next w:val="695"/>
    <w:uiPriority w:val="39"/>
    <w:unhideWhenUsed/>
    <w:qFormat/>
    <w:pPr>
      <w:ind w:left="1984"/>
      <w:spacing w:after="57"/>
    </w:pPr>
  </w:style>
  <w:style w:type="paragraph" w:styleId="715">
    <w:name w:val="endnote text"/>
    <w:basedOn w:val="695"/>
    <w:link w:val="882"/>
    <w:uiPriority w:val="99"/>
    <w:semiHidden/>
    <w:unhideWhenUsed/>
    <w:qFormat/>
    <w:rPr>
      <w:sz w:val="20"/>
    </w:rPr>
  </w:style>
  <w:style w:type="paragraph" w:styleId="716">
    <w:name w:val="Footer"/>
    <w:basedOn w:val="695"/>
    <w:link w:val="755"/>
    <w:uiPriority w:val="99"/>
    <w:unhideWhenUsed/>
    <w:qFormat/>
    <w:pPr>
      <w:tabs>
        <w:tab w:val="center" w:pos="7143" w:leader="none"/>
        <w:tab w:val="right" w:pos="14287" w:leader="none"/>
      </w:tabs>
    </w:pPr>
  </w:style>
  <w:style w:type="paragraph" w:styleId="717">
    <w:name w:val="Header"/>
    <w:basedOn w:val="695"/>
    <w:link w:val="753"/>
    <w:uiPriority w:val="99"/>
    <w:unhideWhenUsed/>
    <w:qFormat/>
    <w:pPr>
      <w:tabs>
        <w:tab w:val="center" w:pos="7143" w:leader="none"/>
        <w:tab w:val="right" w:pos="14287" w:leader="none"/>
      </w:tabs>
    </w:pPr>
  </w:style>
  <w:style w:type="paragraph" w:styleId="718">
    <w:name w:val="toc 1"/>
    <w:basedOn w:val="695"/>
    <w:next w:val="695"/>
    <w:uiPriority w:val="39"/>
    <w:unhideWhenUsed/>
    <w:qFormat/>
    <w:pPr>
      <w:spacing w:after="57"/>
    </w:pPr>
  </w:style>
  <w:style w:type="paragraph" w:styleId="719">
    <w:name w:val="toc 4"/>
    <w:basedOn w:val="695"/>
    <w:next w:val="695"/>
    <w:uiPriority w:val="39"/>
    <w:unhideWhenUsed/>
    <w:qFormat/>
    <w:pPr>
      <w:ind w:left="850"/>
      <w:spacing w:after="57"/>
    </w:pPr>
  </w:style>
  <w:style w:type="paragraph" w:styleId="720">
    <w:name w:val="Subtitle"/>
    <w:basedOn w:val="695"/>
    <w:next w:val="695"/>
    <w:link w:val="748"/>
    <w:uiPriority w:val="11"/>
    <w:qFormat/>
    <w:pPr>
      <w:spacing w:before="200" w:after="200"/>
    </w:pPr>
    <w:rPr>
      <w:sz w:val="24"/>
      <w:szCs w:val="24"/>
    </w:rPr>
  </w:style>
  <w:style w:type="paragraph" w:styleId="721">
    <w:name w:val="footnote text"/>
    <w:basedOn w:val="695"/>
    <w:link w:val="881"/>
    <w:uiPriority w:val="99"/>
    <w:semiHidden/>
    <w:unhideWhenUsed/>
    <w:qFormat/>
    <w:pPr>
      <w:spacing w:after="40"/>
    </w:pPr>
    <w:rPr>
      <w:sz w:val="18"/>
    </w:rPr>
  </w:style>
  <w:style w:type="paragraph" w:styleId="722">
    <w:name w:val="toc 6"/>
    <w:basedOn w:val="695"/>
    <w:next w:val="695"/>
    <w:uiPriority w:val="39"/>
    <w:unhideWhenUsed/>
    <w:qFormat/>
    <w:pPr>
      <w:ind w:left="1417"/>
      <w:spacing w:after="57"/>
    </w:pPr>
  </w:style>
  <w:style w:type="paragraph" w:styleId="723">
    <w:name w:val="table of figures"/>
    <w:basedOn w:val="695"/>
    <w:next w:val="695"/>
    <w:uiPriority w:val="99"/>
    <w:unhideWhenUsed/>
    <w:qFormat/>
  </w:style>
  <w:style w:type="paragraph" w:styleId="724">
    <w:name w:val="toc 2"/>
    <w:basedOn w:val="695"/>
    <w:next w:val="695"/>
    <w:uiPriority w:val="39"/>
    <w:unhideWhenUsed/>
    <w:qFormat/>
    <w:pPr>
      <w:ind w:left="283"/>
      <w:spacing w:after="57"/>
    </w:pPr>
  </w:style>
  <w:style w:type="paragraph" w:styleId="725">
    <w:name w:val="toc 9"/>
    <w:basedOn w:val="695"/>
    <w:next w:val="695"/>
    <w:uiPriority w:val="39"/>
    <w:unhideWhenUsed/>
    <w:qFormat/>
    <w:pPr>
      <w:ind w:left="2268"/>
      <w:spacing w:after="57"/>
    </w:pPr>
  </w:style>
  <w:style w:type="paragraph" w:styleId="726">
    <w:name w:val="Normal (Web)"/>
    <w:basedOn w:val="695"/>
    <w:uiPriority w:val="99"/>
    <w:qFormat/>
    <w:pPr>
      <w:jc w:val="left"/>
      <w:spacing w:before="100" w:beforeAutospacing="1" w:after="100" w:afterAutospacing="1"/>
      <w:widowControl/>
    </w:pPr>
    <w:rPr>
      <w:rFonts w:ascii="宋体" w:hAnsi="宋体" w:eastAsia="宋体" w:cs="宋体"/>
      <w:sz w:val="24"/>
      <w:szCs w:val="24"/>
    </w:rPr>
  </w:style>
  <w:style w:type="paragraph" w:styleId="727">
    <w:name w:val="Title"/>
    <w:basedOn w:val="695"/>
    <w:next w:val="695"/>
    <w:link w:val="747"/>
    <w:uiPriority w:val="10"/>
    <w:qFormat/>
    <w:pPr>
      <w:contextualSpacing/>
      <w:spacing w:before="300" w:after="200"/>
    </w:pPr>
    <w:rPr>
      <w:sz w:val="48"/>
      <w:szCs w:val="48"/>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5"/>
    <w:uiPriority w:val="22"/>
    <w:qFormat/>
    <w:rPr>
      <w:b/>
    </w:rPr>
  </w:style>
  <w:style w:type="character" w:styleId="730">
    <w:name w:val="endnote reference"/>
    <w:uiPriority w:val="99"/>
    <w:semiHidden/>
    <w:unhideWhenUsed/>
    <w:qFormat/>
    <w:rPr>
      <w:vertAlign w:val="superscript"/>
    </w:rPr>
  </w:style>
  <w:style w:type="character" w:styleId="731">
    <w:name w:val="FollowedHyperlink"/>
    <w:basedOn w:val="705"/>
    <w:uiPriority w:val="99"/>
    <w:semiHidden/>
    <w:unhideWhenUsed/>
    <w:qFormat/>
    <w:rPr>
      <w:color w:val="800080"/>
      <w:u w:val="single"/>
    </w:rPr>
  </w:style>
  <w:style w:type="character" w:styleId="732">
    <w:name w:val="Emphasis"/>
    <w:uiPriority w:val="0"/>
    <w:qFormat/>
    <w:rPr>
      <w:i/>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正文文本1"/>
    <w:next w:val="695"/>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36">
    <w:name w:val="List Paragraph"/>
    <w:basedOn w:val="695"/>
    <w:uiPriority w:val="34"/>
    <w:qFormat/>
    <w:pPr>
      <w:contextualSpacing/>
      <w:ind w:left="720"/>
    </w:pPr>
  </w:style>
  <w:style w:type="character" w:styleId="737" w:customStyle="1">
    <w:name w:val="标题 1 字符"/>
    <w:link w:val="696"/>
    <w:uiPriority w:val="9"/>
    <w:qFormat/>
    <w:rPr>
      <w:rFonts w:ascii="Arial" w:hAnsi="Arial" w:eastAsia="Arial" w:cs="Arial"/>
      <w:sz w:val="40"/>
      <w:szCs w:val="40"/>
    </w:rPr>
  </w:style>
  <w:style w:type="character" w:styleId="738" w:customStyle="1">
    <w:name w:val="标题 2 字符"/>
    <w:link w:val="697"/>
    <w:uiPriority w:val="9"/>
    <w:qFormat/>
    <w:rPr>
      <w:rFonts w:ascii="Arial" w:hAnsi="Arial" w:eastAsia="Arial" w:cs="Arial"/>
      <w:sz w:val="34"/>
    </w:rPr>
  </w:style>
  <w:style w:type="character" w:styleId="739" w:customStyle="1">
    <w:name w:val="标题 3 字符"/>
    <w:link w:val="698"/>
    <w:uiPriority w:val="9"/>
    <w:qFormat/>
    <w:rPr>
      <w:rFonts w:ascii="Arial" w:hAnsi="Arial" w:eastAsia="Arial" w:cs="Arial"/>
      <w:sz w:val="30"/>
      <w:szCs w:val="30"/>
    </w:rPr>
  </w:style>
  <w:style w:type="character" w:styleId="740" w:customStyle="1">
    <w:name w:val="标题 4 字符"/>
    <w:link w:val="699"/>
    <w:uiPriority w:val="9"/>
    <w:qFormat/>
    <w:rPr>
      <w:rFonts w:ascii="Arial" w:hAnsi="Arial" w:eastAsia="Arial" w:cs="Arial"/>
      <w:b/>
      <w:bCs/>
      <w:sz w:val="26"/>
      <w:szCs w:val="26"/>
    </w:rPr>
  </w:style>
  <w:style w:type="character" w:styleId="741" w:customStyle="1">
    <w:name w:val="标题 5 字符"/>
    <w:link w:val="700"/>
    <w:uiPriority w:val="9"/>
    <w:qFormat/>
    <w:rPr>
      <w:rFonts w:ascii="Arial" w:hAnsi="Arial" w:eastAsia="Arial" w:cs="Arial"/>
      <w:b/>
      <w:bCs/>
      <w:sz w:val="24"/>
      <w:szCs w:val="24"/>
    </w:rPr>
  </w:style>
  <w:style w:type="character" w:styleId="742" w:customStyle="1">
    <w:name w:val="标题 6 字符"/>
    <w:link w:val="701"/>
    <w:uiPriority w:val="9"/>
    <w:qFormat/>
    <w:rPr>
      <w:rFonts w:ascii="Arial" w:hAnsi="Arial" w:eastAsia="Arial" w:cs="Arial"/>
      <w:b/>
      <w:bCs/>
      <w:sz w:val="22"/>
      <w:szCs w:val="22"/>
    </w:rPr>
  </w:style>
  <w:style w:type="character" w:styleId="743" w:customStyle="1">
    <w:name w:val="标题 7 字符"/>
    <w:link w:val="702"/>
    <w:uiPriority w:val="9"/>
    <w:qFormat/>
    <w:rPr>
      <w:rFonts w:ascii="Arial" w:hAnsi="Arial" w:eastAsia="Arial" w:cs="Arial"/>
      <w:b/>
      <w:bCs/>
      <w:i/>
      <w:iCs/>
      <w:sz w:val="22"/>
      <w:szCs w:val="22"/>
    </w:rPr>
  </w:style>
  <w:style w:type="character" w:styleId="744" w:customStyle="1">
    <w:name w:val="标题 8 字符"/>
    <w:link w:val="703"/>
    <w:uiPriority w:val="9"/>
    <w:qFormat/>
    <w:rPr>
      <w:rFonts w:ascii="Arial" w:hAnsi="Arial" w:eastAsia="Arial" w:cs="Arial"/>
      <w:i/>
      <w:iCs/>
      <w:sz w:val="22"/>
      <w:szCs w:val="22"/>
    </w:rPr>
  </w:style>
  <w:style w:type="character" w:styleId="745" w:customStyle="1">
    <w:name w:val="标题 9 字符"/>
    <w:link w:val="704"/>
    <w:uiPriority w:val="9"/>
    <w:qFormat/>
    <w:rPr>
      <w:rFonts w:ascii="Arial" w:hAnsi="Arial" w:eastAsia="Arial" w:cs="Arial"/>
      <w:i/>
      <w:iCs/>
      <w:sz w:val="21"/>
      <w:szCs w:val="21"/>
    </w:rPr>
  </w:style>
  <w:style w:type="paragraph" w:styleId="746">
    <w:name w:val="No Spacing"/>
    <w:uiPriority w:val="1"/>
    <w:qFormat/>
    <w:rPr>
      <w:rFonts w:ascii="Times New Roman" w:hAnsi="Times New Roman" w:eastAsia="宋体" w:cs="Times New Roman"/>
      <w:lang w:val="en-US" w:eastAsia="zh-CN" w:bidi="ar-SA"/>
    </w:rPr>
  </w:style>
  <w:style w:type="character" w:styleId="747" w:customStyle="1">
    <w:name w:val="标题 字符"/>
    <w:link w:val="727"/>
    <w:uiPriority w:val="10"/>
    <w:qFormat/>
    <w:rPr>
      <w:sz w:val="48"/>
      <w:szCs w:val="48"/>
    </w:rPr>
  </w:style>
  <w:style w:type="character" w:styleId="748" w:customStyle="1">
    <w:name w:val="副标题 字符"/>
    <w:link w:val="720"/>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引用 字符"/>
    <w:link w:val="749"/>
    <w:uiPriority w:val="29"/>
    <w:qFormat/>
    <w:rPr>
      <w:i/>
    </w:rPr>
  </w:style>
  <w:style w:type="paragraph" w:styleId="751">
    <w:name w:val="Intense Quote"/>
    <w:basedOn w:val="695"/>
    <w:next w:val="695"/>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字符"/>
    <w:link w:val="751"/>
    <w:uiPriority w:val="30"/>
    <w:qFormat/>
    <w:rPr>
      <w:i/>
    </w:rPr>
  </w:style>
  <w:style w:type="character" w:styleId="753" w:customStyle="1">
    <w:name w:val="页眉 字符"/>
    <w:link w:val="717"/>
    <w:uiPriority w:val="99"/>
    <w:qFormat/>
  </w:style>
  <w:style w:type="character" w:styleId="754" w:customStyle="1">
    <w:name w:val="Footer Char"/>
    <w:uiPriority w:val="99"/>
    <w:qFormat/>
  </w:style>
  <w:style w:type="character" w:styleId="755" w:customStyle="1">
    <w:name w:val="页脚 字符"/>
    <w:link w:val="716"/>
    <w:uiPriority w:val="99"/>
    <w:qFormat/>
  </w:style>
  <w:style w:type="table" w:styleId="7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脚注文本 字符"/>
    <w:link w:val="721"/>
    <w:uiPriority w:val="99"/>
    <w:qFormat/>
    <w:rPr>
      <w:sz w:val="18"/>
    </w:rPr>
  </w:style>
  <w:style w:type="character" w:styleId="882" w:customStyle="1">
    <w:name w:val="尾注文本 字符"/>
    <w:link w:val="715"/>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paragraph" w:styleId="884" w:customStyle="1">
    <w:name w:val="标题 11"/>
    <w:basedOn w:val="695"/>
    <w:next w:val="695"/>
    <w:link w:val="889"/>
    <w:uiPriority w:val="9"/>
    <w:qFormat/>
    <w:pPr>
      <w:keepLines/>
      <w:keepNext/>
      <w:spacing w:before="340" w:after="330" w:line="578" w:lineRule="auto"/>
      <w:outlineLvl w:val="0"/>
    </w:pPr>
    <w:rPr>
      <w:rFonts w:ascii="Times New Roman" w:hAnsi="Times New Roman"/>
      <w:b/>
      <w:bCs/>
      <w:sz w:val="44"/>
      <w:szCs w:val="44"/>
    </w:rPr>
  </w:style>
  <w:style w:type="paragraph" w:styleId="885" w:customStyle="1">
    <w:name w:val="标题 21"/>
    <w:basedOn w:val="695"/>
    <w:next w:val="695"/>
    <w:link w:val="890"/>
    <w:uiPriority w:val="9"/>
    <w:qFormat/>
    <w:pPr>
      <w:keepLines/>
      <w:keepNext/>
      <w:spacing w:before="260" w:after="260" w:line="416" w:lineRule="auto"/>
      <w:outlineLvl w:val="1"/>
    </w:pPr>
    <w:rPr>
      <w:rFonts w:ascii="Cambria" w:hAnsi="Cambria"/>
      <w:b/>
      <w:bCs/>
      <w:sz w:val="32"/>
      <w:szCs w:val="32"/>
    </w:rPr>
  </w:style>
  <w:style w:type="paragraph" w:styleId="886" w:customStyle="1">
    <w:name w:val="标题 31"/>
    <w:basedOn w:val="695"/>
    <w:next w:val="695"/>
    <w:link w:val="891"/>
    <w:uiPriority w:val="9"/>
    <w:qFormat/>
    <w:pPr>
      <w:keepLines/>
      <w:keepNext/>
      <w:spacing w:before="260" w:after="260" w:line="416" w:lineRule="auto"/>
      <w:outlineLvl w:val="2"/>
    </w:pPr>
    <w:rPr>
      <w:rFonts w:ascii="Times New Roman" w:hAnsi="Times New Roman"/>
      <w:b/>
      <w:bCs/>
      <w:sz w:val="32"/>
      <w:szCs w:val="32"/>
    </w:rPr>
  </w:style>
  <w:style w:type="character" w:styleId="887" w:customStyle="1">
    <w:name w:val="默认段落字体1"/>
    <w:uiPriority w:val="1"/>
    <w:unhideWhenUsed/>
    <w:qFormat/>
  </w:style>
  <w:style w:type="table" w:styleId="888"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9" w:customStyle="1">
    <w:name w:val="标题 1 Char"/>
    <w:link w:val="884"/>
    <w:uiPriority w:val="9"/>
    <w:qFormat/>
    <w:rPr>
      <w:b/>
      <w:bCs/>
      <w:sz w:val="44"/>
      <w:szCs w:val="44"/>
    </w:rPr>
  </w:style>
  <w:style w:type="character" w:styleId="890" w:customStyle="1">
    <w:name w:val="标题 2 Char"/>
    <w:link w:val="885"/>
    <w:uiPriority w:val="9"/>
    <w:qFormat/>
    <w:rPr>
      <w:rFonts w:ascii="Cambria" w:hAnsi="Cambria" w:eastAsia="宋体" w:cs="Times New Roman"/>
      <w:b/>
      <w:bCs/>
      <w:sz w:val="32"/>
      <w:szCs w:val="32"/>
    </w:rPr>
  </w:style>
  <w:style w:type="character" w:styleId="891" w:customStyle="1">
    <w:name w:val="标题 3 Char"/>
    <w:link w:val="886"/>
    <w:uiPriority w:val="9"/>
    <w:qFormat/>
    <w:rPr>
      <w:b/>
      <w:bCs/>
      <w:sz w:val="32"/>
      <w:szCs w:val="32"/>
    </w:rPr>
  </w:style>
  <w:style w:type="paragraph" w:styleId="892" w:customStyle="1">
    <w:name w:val="文档结构图1"/>
    <w:basedOn w:val="695"/>
    <w:link w:val="893"/>
    <w:uiPriority w:val="99"/>
    <w:unhideWhenUsed/>
    <w:qFormat/>
    <w:rPr>
      <w:rFonts w:ascii="宋体" w:hAnsi="Times New Roman"/>
      <w:sz w:val="18"/>
      <w:szCs w:val="18"/>
    </w:rPr>
  </w:style>
  <w:style w:type="character" w:styleId="893" w:customStyle="1">
    <w:name w:val="文档结构图 Char"/>
    <w:link w:val="892"/>
    <w:uiPriority w:val="99"/>
    <w:semiHidden/>
    <w:qFormat/>
    <w:rPr>
      <w:rFonts w:ascii="宋体" w:eastAsia="宋体"/>
      <w:sz w:val="18"/>
      <w:szCs w:val="18"/>
    </w:rPr>
  </w:style>
  <w:style w:type="paragraph" w:styleId="894" w:customStyle="1">
    <w:name w:val="批注文字1"/>
    <w:basedOn w:val="695"/>
    <w:link w:val="895"/>
    <w:uiPriority w:val="0"/>
    <w:qFormat/>
    <w:pPr>
      <w:ind w:firstLine="922"/>
      <w:jc w:val="left"/>
      <w:spacing w:line="360" w:lineRule="auto"/>
    </w:pPr>
    <w:rPr>
      <w:rFonts w:ascii="Times New Roman" w:hAnsi="Times New Roman"/>
      <w:sz w:val="20"/>
      <w:szCs w:val="24"/>
    </w:rPr>
  </w:style>
  <w:style w:type="character" w:styleId="895" w:customStyle="1">
    <w:name w:val="批注文字 Char"/>
    <w:link w:val="894"/>
    <w:uiPriority w:val="0"/>
    <w:qFormat/>
    <w:rPr>
      <w:rFonts w:ascii="Times New Roman" w:hAnsi="Times New Roman" w:eastAsia="宋体" w:cs="Times New Roman"/>
      <w:szCs w:val="24"/>
    </w:rPr>
  </w:style>
  <w:style w:type="paragraph" w:styleId="896" w:customStyle="1">
    <w:name w:val="纯文本1"/>
    <w:basedOn w:val="695"/>
    <w:link w:val="897"/>
    <w:uiPriority w:val="0"/>
    <w:qFormat/>
    <w:rPr>
      <w:rFonts w:ascii="宋体" w:hAnsi="Courier New"/>
      <w:sz w:val="20"/>
      <w:szCs w:val="20"/>
    </w:rPr>
  </w:style>
  <w:style w:type="character" w:styleId="897" w:customStyle="1">
    <w:name w:val="纯文本 Char"/>
    <w:link w:val="896"/>
    <w:uiPriority w:val="0"/>
    <w:qFormat/>
    <w:rPr>
      <w:rFonts w:ascii="宋体" w:hAnsi="Courier New" w:eastAsia="宋体" w:cs="Times New Roman"/>
      <w:szCs w:val="20"/>
    </w:rPr>
  </w:style>
  <w:style w:type="paragraph" w:styleId="898" w:customStyle="1">
    <w:name w:val="日期1"/>
    <w:basedOn w:val="695"/>
    <w:next w:val="695"/>
    <w:link w:val="899"/>
    <w:uiPriority w:val="99"/>
    <w:unhideWhenUsed/>
    <w:qFormat/>
    <w:pPr>
      <w:ind w:left="100"/>
    </w:pPr>
  </w:style>
  <w:style w:type="character" w:styleId="899" w:customStyle="1">
    <w:name w:val="日期 Char"/>
    <w:link w:val="898"/>
    <w:uiPriority w:val="99"/>
    <w:semiHidden/>
    <w:qFormat/>
  </w:style>
  <w:style w:type="paragraph" w:styleId="900" w:customStyle="1">
    <w:name w:val="批注框文本1"/>
    <w:basedOn w:val="695"/>
    <w:link w:val="901"/>
    <w:uiPriority w:val="99"/>
    <w:unhideWhenUsed/>
    <w:qFormat/>
    <w:rPr>
      <w:rFonts w:ascii="Times New Roman" w:hAnsi="Times New Roman"/>
      <w:sz w:val="18"/>
      <w:szCs w:val="18"/>
    </w:rPr>
  </w:style>
  <w:style w:type="character" w:styleId="901" w:customStyle="1">
    <w:name w:val="批注框文本 Char"/>
    <w:link w:val="900"/>
    <w:uiPriority w:val="99"/>
    <w:semiHidden/>
    <w:qFormat/>
    <w:rPr>
      <w:sz w:val="18"/>
      <w:szCs w:val="18"/>
    </w:rPr>
  </w:style>
  <w:style w:type="paragraph" w:styleId="902" w:customStyle="1">
    <w:name w:val="页脚1"/>
    <w:basedOn w:val="695"/>
    <w:link w:val="903"/>
    <w:uiPriority w:val="99"/>
    <w:unhideWhenUsed/>
    <w:qFormat/>
    <w:pPr>
      <w:jc w:val="left"/>
      <w:tabs>
        <w:tab w:val="center" w:pos="4153" w:leader="none"/>
        <w:tab w:val="right" w:pos="8306" w:leader="none"/>
      </w:tabs>
    </w:pPr>
    <w:rPr>
      <w:rFonts w:ascii="Times New Roman" w:hAnsi="Times New Roman"/>
      <w:sz w:val="18"/>
      <w:szCs w:val="18"/>
    </w:rPr>
  </w:style>
  <w:style w:type="character" w:styleId="903" w:customStyle="1">
    <w:name w:val="页脚 Char"/>
    <w:link w:val="902"/>
    <w:uiPriority w:val="99"/>
    <w:qFormat/>
    <w:rPr>
      <w:sz w:val="18"/>
      <w:szCs w:val="18"/>
    </w:rPr>
  </w:style>
  <w:style w:type="paragraph" w:styleId="904" w:customStyle="1">
    <w:name w:val="页眉1"/>
    <w:basedOn w:val="695"/>
    <w:link w:val="905"/>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5" w:customStyle="1">
    <w:name w:val="页眉 Char"/>
    <w:link w:val="904"/>
    <w:uiPriority w:val="99"/>
    <w:semiHidden/>
    <w:qFormat/>
    <w:rPr>
      <w:sz w:val="18"/>
      <w:szCs w:val="18"/>
    </w:rPr>
  </w:style>
  <w:style w:type="paragraph" w:styleId="906" w:customStyle="1">
    <w:name w:val="目录 11"/>
    <w:basedOn w:val="695"/>
    <w:next w:val="695"/>
    <w:uiPriority w:val="39"/>
    <w:unhideWhenUsed/>
    <w:qFormat/>
  </w:style>
  <w:style w:type="table" w:styleId="907" w:customStyle="1">
    <w:name w:val="网格型1"/>
    <w:basedOn w:val="888"/>
    <w:uiPriority w:val="59"/>
    <w:qFormat/>
    <w:tblPr/>
  </w:style>
  <w:style w:type="character" w:styleId="908" w:customStyle="1">
    <w:name w:val="超链接1"/>
    <w:uiPriority w:val="99"/>
    <w:qFormat/>
    <w:rPr>
      <w:color w:val="0000ff"/>
      <w:u w:val="none"/>
    </w:rPr>
  </w:style>
  <w:style w:type="character" w:styleId="909" w:customStyle="1">
    <w:name w:val="批注引用1"/>
    <w:uiPriority w:val="0"/>
    <w:qFormat/>
    <w:rPr>
      <w:sz w:val="21"/>
      <w:szCs w:val="21"/>
    </w:rPr>
  </w:style>
  <w:style w:type="paragraph" w:styleId="910" w:customStyle="1">
    <w:name w:val="Default"/>
    <w:link w:val="911"/>
    <w:uiPriority w:val="99"/>
    <w:qFormat/>
    <w:pPr>
      <w:widowControl w:val="off"/>
    </w:pPr>
    <w:rPr>
      <w:rFonts w:ascii="MS Mincho" w:hAnsi="Calibri" w:eastAsia="宋体" w:cs="Times New Roman"/>
      <w:color w:val="000000"/>
      <w:szCs w:val="24"/>
      <w:lang w:val="en-US" w:eastAsia="zh-CN" w:bidi="ar-SA"/>
    </w:rPr>
  </w:style>
  <w:style w:type="character" w:styleId="911" w:customStyle="1">
    <w:name w:val="Default Char"/>
    <w:link w:val="910"/>
    <w:uiPriority w:val="99"/>
    <w:qFormat/>
    <w:rPr>
      <w:rFonts w:ascii="MS Mincho" w:hAnsi="Calibri"/>
      <w:color w:val="000000"/>
      <w:szCs w:val="24"/>
      <w:lang w:bidi="ar-SA"/>
    </w:rPr>
  </w:style>
  <w:style w:type="paragraph" w:styleId="912" w:customStyle="1">
    <w:name w:val="正文首行缩进11"/>
    <w:basedOn w:val="913"/>
    <w:uiPriority w:val="0"/>
    <w:qFormat/>
    <w:pPr>
      <w:ind w:firstLine="200"/>
      <w:spacing w:line="360" w:lineRule="auto"/>
    </w:pPr>
    <w:rPr>
      <w:rFonts w:ascii="仿宋_GB2312" w:hAnsi="Times New Roman" w:eastAsia="仿宋_GB2312"/>
      <w:sz w:val="30"/>
      <w:szCs w:val="30"/>
    </w:rPr>
  </w:style>
  <w:style w:type="paragraph" w:styleId="913" w:customStyle="1">
    <w:name w:val="正文文本11"/>
    <w:basedOn w:val="695"/>
    <w:next w:val="695"/>
    <w:uiPriority w:val="0"/>
    <w:qFormat/>
    <w:rPr>
      <w:rFonts w:ascii="楷体_GB2312" w:hAnsi="Arial" w:eastAsia="楷体_GB2312"/>
      <w:sz w:val="28"/>
      <w:szCs w:val="28"/>
      <w:lang w:eastAsia="en-US"/>
    </w:rPr>
  </w:style>
  <w:style w:type="paragraph" w:styleId="914" w:customStyle="1">
    <w:name w:val="Table Paragraph"/>
    <w:basedOn w:val="695"/>
    <w:uiPriority w:val="1"/>
    <w:qFormat/>
    <w:rPr>
      <w:rFonts w:ascii="宋体" w:hAnsi="宋体" w:cs="宋体"/>
      <w:szCs w:val="24"/>
      <w:lang w:val="zh-CN" w:bidi="zh-CN"/>
    </w:rPr>
  </w:style>
  <w:style w:type="paragraph" w:styleId="915"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6" w:customStyle="1">
    <w:name w:val="图表名称"/>
    <w:basedOn w:val="695"/>
    <w:uiPriority w:val="0"/>
    <w:qFormat/>
    <w:pPr>
      <w:jc w:val="center"/>
    </w:pPr>
    <w:rPr>
      <w:b/>
      <w:bCs/>
      <w:szCs w:val="21"/>
    </w:rPr>
  </w:style>
  <w:style w:type="character" w:styleId="917" w:customStyle="1">
    <w:name w:val="font61"/>
    <w:basedOn w:val="705"/>
    <w:uiPriority w:val="0"/>
    <w:qFormat/>
    <w:rPr>
      <w:rFonts w:hint="eastAsia" w:ascii="等线" w:hAnsi="等线" w:eastAsia="等线"/>
      <w:color w:val="4472c4"/>
      <w:sz w:val="20"/>
      <w:szCs w:val="20"/>
      <w:u w:val="none"/>
    </w:rPr>
  </w:style>
  <w:style w:type="character" w:styleId="918" w:customStyle="1">
    <w:name w:val="font41"/>
    <w:basedOn w:val="705"/>
    <w:uiPriority w:val="0"/>
    <w:qFormat/>
    <w:rPr>
      <w:rFonts w:hint="default" w:ascii="Calibri" w:hAnsi="Calibri" w:cs="Calibri"/>
      <w:b/>
      <w:bCs/>
      <w:color w:val="000000"/>
      <w:sz w:val="21"/>
      <w:szCs w:val="21"/>
      <w:u w:val="none"/>
    </w:rPr>
  </w:style>
  <w:style w:type="character" w:styleId="919" w:customStyle="1">
    <w:name w:val="font51"/>
    <w:basedOn w:val="705"/>
    <w:uiPriority w:val="0"/>
    <w:qFormat/>
    <w:rPr>
      <w:rFonts w:hint="eastAsia" w:ascii="宋体" w:hAnsi="宋体" w:eastAsia="宋体"/>
      <w:color w:val="4472c4"/>
      <w:sz w:val="21"/>
      <w:szCs w:val="21"/>
      <w:u w:val="none"/>
    </w:rPr>
  </w:style>
  <w:style w:type="paragraph" w:styleId="920" w:customStyle="1">
    <w:name w:val="表字体"/>
    <w:basedOn w:val="695"/>
    <w:uiPriority w:val="0"/>
    <w:qFormat/>
    <w:pPr>
      <w:jc w:val="center"/>
      <w:spacing w:line="240" w:lineRule="atLeast"/>
    </w:pPr>
    <w:rPr>
      <w:color w:val="000000"/>
      <w:szCs w:val="20"/>
    </w:rPr>
  </w:style>
  <w:style w:type="character" w:styleId="921" w:customStyle="1">
    <w:name w:val="font31"/>
    <w:basedOn w:val="705"/>
    <w:uiPriority w:val="0"/>
    <w:qFormat/>
    <w:rPr>
      <w:rFonts w:hint="eastAsia" w:ascii="宋体" w:hAnsi="宋体" w:eastAsia="宋体"/>
      <w:color w:val="000000"/>
      <w:sz w:val="20"/>
      <w:szCs w:val="20"/>
      <w:u w:val="none"/>
    </w:rPr>
  </w:style>
  <w:style w:type="table" w:styleId="922" w:customStyle="1">
    <w:name w:val="通用表格"/>
    <w:basedOn w:val="706"/>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23" w:customStyle="1">
    <w:name w:val="font81"/>
    <w:basedOn w:val="705"/>
    <w:uiPriority w:val="0"/>
    <w:qFormat/>
    <w:rPr>
      <w:rFonts w:hint="default" w:ascii="Times New Roman" w:hAnsi="Times New Roman" w:cs="Times New Roman"/>
      <w:color w:val="000000"/>
      <w:sz w:val="21"/>
      <w:szCs w:val="21"/>
      <w:u w:val="none"/>
    </w:rPr>
  </w:style>
  <w:style w:type="character" w:styleId="924" w:customStyle="1">
    <w:name w:val="font91"/>
    <w:basedOn w:val="705"/>
    <w:uiPriority w:val="0"/>
    <w:qFormat/>
    <w:rPr>
      <w:rFonts w:hint="eastAsia" w:ascii="宋体" w:hAnsi="宋体" w:eastAsia="宋体" w:cs="宋体"/>
      <w:color w:val="000000"/>
      <w:sz w:val="21"/>
      <w:szCs w:val="21"/>
      <w:u w:val="none"/>
    </w:rPr>
  </w:style>
  <w:style w:type="character" w:styleId="925" w:customStyle="1">
    <w:name w:val="font21"/>
    <w:basedOn w:val="705"/>
    <w:uiPriority w:val="0"/>
    <w:qFormat/>
    <w:rPr>
      <w:rFonts w:hint="default" w:ascii="Times New Roman" w:hAnsi="Times New Roman" w:cs="Times New Roman"/>
      <w:color w:val="000000"/>
      <w:sz w:val="21"/>
      <w:szCs w:val="21"/>
      <w:u w:val="none"/>
    </w:rPr>
  </w:style>
  <w:style w:type="character" w:styleId="926" w:customStyle="1">
    <w:name w:val="font11"/>
    <w:basedOn w:val="705"/>
    <w:uiPriority w:val="0"/>
    <w:qFormat/>
    <w:rPr>
      <w:rFonts w:hint="eastAsia" w:ascii="宋体" w:hAnsi="宋体" w:eastAsia="宋体" w:cs="宋体"/>
      <w:color w:val="000000"/>
      <w:sz w:val="21"/>
      <w:szCs w:val="21"/>
      <w:u w:val="none"/>
    </w:rPr>
  </w:style>
  <w:style w:type="paragraph" w:styleId="927" w:customStyle="1">
    <w:name w:val="修订1"/>
    <w:hidden/>
    <w:uiPriority w:val="99"/>
    <w:unhideWhenUsed/>
    <w:qFormat/>
    <w:rPr>
      <w:rFonts w:ascii="Calibri" w:hAnsi="Calibri" w:eastAsia="宋体" w:cs="Times New Roman"/>
      <w:sz w:val="21"/>
      <w:szCs w:val="22"/>
      <w:lang w:val="en-US" w:eastAsia="zh-CN" w:bidi="ar-SA"/>
    </w:rPr>
  </w:style>
  <w:style w:type="paragraph" w:styleId="928" w:customStyle="1">
    <w:name w:val="正文文本 21"/>
    <w:basedOn w:val="695"/>
    <w:uiPriority w:val="0"/>
    <w:qFormat/>
    <w:pPr>
      <w:jc w:val="center"/>
      <w:widowControl/>
    </w:pPr>
    <w:rPr>
      <w:rFonts w:ascii="楷体_GB2312" w:hAnsi="Times New Roman" w:eastAsia="楷体_GB2312"/>
      <w:sz w:val="28"/>
      <w:szCs w:val="28"/>
      <w:lang w:val="en-US" w:eastAsia="en-US"/>
    </w:rPr>
  </w:style>
  <w:style w:type="paragraph" w:styleId="929" w:customStyle="1">
    <w:name w:val="列表段落"/>
    <w:basedOn w:val="695"/>
    <w:uiPriority w:val="34"/>
    <w:qFormat/>
    <w:pPr>
      <w:ind w:firstLine="420"/>
    </w:pPr>
    <w:rPr>
      <w:rFonts w:ascii="Calibri" w:hAnsi="Calibri"/>
      <w:szCs w:val="22"/>
    </w:rPr>
  </w:style>
  <w:style w:type="paragraph" w:styleId="930"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云途2</cp:lastModifiedBy>
  <cp:revision>15</cp:revision>
  <dcterms:created xsi:type="dcterms:W3CDTF">2024-08-14T05:18:00Z</dcterms:created>
  <dcterms:modified xsi:type="dcterms:W3CDTF">2026-08-19T05:25:02Z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2052-12.1.0.28043</vt:lpwstr>
  </property>
  <property fmtid="{D5CDD505-2E9C-101B-9397-08002B2CF9AE}" pid="4" name="ICV">
    <vt:lpwstr>0664B1B7B132437B8927D6BBD2F8160C_13</vt:lpwstr>
  </property>
</Properties>
</file>