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r>
      <w:r>
        <w:rPr>
          <w:color w:val="000000" w:themeColor="text1"/>
        </w:rPr>
      </w:r>
    </w:p>
    <w:p>
      <w:pPr>
        <w:ind w:left="0"/>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r>
      <w:r>
        <w:rPr>
          <w:color w:val="000000" w:themeColor="text1"/>
        </w:rPr>
      </w:r>
    </w:p>
    <w:p>
      <w:pPr>
        <w:pStyle w:val="1179"/>
        <w:rPr>
          <w:rFonts w:hint="eastAsia"/>
          <w:color w:val="000000" w:themeColor="text1"/>
        </w:rPr>
      </w:pPr>
      <w:r>
        <w:rPr>
          <w:rFonts w:hint="eastAsia"/>
          <w:color w:val="000000" w:themeColor="text1"/>
        </w:rPr>
      </w:r>
      <w:r>
        <w:rPr>
          <w:color w:val="000000" w:themeColor="text1"/>
        </w:rPr>
      </w:r>
    </w:p>
    <w:p>
      <w:pPr>
        <w:ind w:left="0"/>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t xml:space="preserve">苏</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州</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政</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府</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采</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购</w:t>
      </w:r>
      <w:r>
        <w:rPr>
          <w:color w:val="000000" w:themeColor="text1"/>
        </w:rPr>
      </w:r>
    </w:p>
    <w:p>
      <w:pPr>
        <w:ind w:left="0"/>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t xml:space="preserve">竞争性磋商文件</w:t>
      </w:r>
      <w:r>
        <w:rPr>
          <w:color w:val="000000" w:themeColor="text1"/>
        </w:rPr>
      </w:r>
    </w:p>
    <w:p>
      <w:pPr>
        <w:ind w:left="0"/>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left="0"/>
        <w:jc w:val="left"/>
        <w:spacing w:line="480" w:lineRule="auto"/>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pStyle w:val="1179"/>
        <w:rPr>
          <w:rFonts w:hint="eastAsia"/>
          <w:color w:val="000000" w:themeColor="text1"/>
        </w:rPr>
      </w:pPr>
      <w:r>
        <w:rPr>
          <w:rFonts w:hint="eastAsia"/>
          <w:color w:val="000000" w:themeColor="text1"/>
        </w:rPr>
      </w:r>
      <w:r>
        <w:rPr>
          <w:color w:val="000000" w:themeColor="text1"/>
        </w:rPr>
      </w:r>
    </w:p>
    <w:tbl>
      <w:tblPr>
        <w:tblStyle w:val="1350"/>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6134"/>
      </w:tblGrid>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color w:val="000000" w:themeColor="text1"/>
                <w:highlight w:val="none"/>
              </w:rPr>
            </w:pPr>
            <w:r>
              <w:rPr>
                <w:rStyle w:val="1360"/>
                <w:rFonts w:ascii="宋体" w:hAnsi="宋体" w:eastAsia="宋体"/>
                <w:b/>
                <w:color w:val="000000" w:themeColor="text1"/>
                <w:spacing w:val="-6"/>
                <w:sz w:val="32"/>
                <w:highlight w:val="none"/>
              </w:rPr>
              <w:t xml:space="preserve">采购编号：</w:t>
            </w:r>
            <w:r>
              <w:rPr>
                <w:color w:val="000000" w:themeColor="text1"/>
              </w:rPr>
            </w:r>
          </w:p>
        </w:tc>
        <w:tc>
          <w:tcPr>
            <w:tcW w:w="6134"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b/>
                <w:color w:val="000000" w:themeColor="text1"/>
                <w:spacing w:val="-6"/>
                <w:sz w:val="32"/>
                <w:highlight w:val="none"/>
              </w:rPr>
            </w:pPr>
            <w:r>
              <w:rPr>
                <w:rStyle w:val="1360"/>
                <w:rFonts w:hint="eastAsia" w:ascii="宋体" w:hAnsi="宋体" w:eastAsia="宋体"/>
                <w:b/>
                <w:color w:val="000000" w:themeColor="text1"/>
                <w:spacing w:val="-6"/>
                <w:sz w:val="32"/>
                <w:highlight w:val="none"/>
                <w:lang w:val="en-US" w:eastAsia="zh-CN"/>
              </w:rPr>
              <w:t xml:space="preserve">JSZC-320506-JSZQ-C2026-0008</w:t>
            </w:r>
            <w:r>
              <w:rPr>
                <w:color w:val="000000" w:themeColor="text1"/>
              </w:rPr>
            </w:r>
          </w:p>
        </w:tc>
      </w:tr>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color w:val="000000" w:themeColor="text1"/>
                <w:highlight w:val="none"/>
              </w:rPr>
            </w:pPr>
            <w:r>
              <w:rPr>
                <w:rStyle w:val="1360"/>
                <w:rFonts w:ascii="宋体" w:hAnsi="宋体" w:eastAsia="宋体"/>
                <w:b/>
                <w:color w:val="000000" w:themeColor="text1"/>
                <w:spacing w:val="-6"/>
                <w:sz w:val="32"/>
                <w:highlight w:val="none"/>
              </w:rPr>
              <w:t xml:space="preserve">采 购 人：</w:t>
            </w:r>
            <w:r>
              <w:rPr>
                <w:color w:val="000000" w:themeColor="text1"/>
              </w:rPr>
            </w:r>
          </w:p>
        </w:tc>
        <w:tc>
          <w:tcPr>
            <w:tcW w:w="6134"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color w:val="000000" w:themeColor="text1"/>
                <w:highlight w:val="none"/>
              </w:rPr>
            </w:pPr>
            <w:r>
              <w:rPr>
                <w:rFonts w:hint="eastAsia" w:ascii="宋体" w:hAnsi="宋体"/>
                <w:b/>
                <w:color w:val="000000" w:themeColor="text1"/>
                <w:spacing w:val="-6"/>
                <w:sz w:val="32"/>
                <w:highlight w:val="none"/>
                <w:lang w:val="en-US" w:eastAsia="zh-CN"/>
              </w:rPr>
              <w:t xml:space="preserve">苏州市吴中区甪直镇人民政府</w:t>
            </w:r>
            <w:r>
              <w:rPr>
                <w:color w:val="000000" w:themeColor="text1"/>
              </w:rPr>
            </w:r>
          </w:p>
        </w:tc>
      </w:tr>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color w:val="000000" w:themeColor="text1"/>
                <w:highlight w:val="none"/>
              </w:rPr>
            </w:pPr>
            <w:r>
              <w:rPr>
                <w:rStyle w:val="1360"/>
                <w:rFonts w:ascii="宋体" w:hAnsi="宋体" w:eastAsia="宋体"/>
                <w:b/>
                <w:color w:val="000000" w:themeColor="text1"/>
                <w:spacing w:val="-6"/>
                <w:sz w:val="32"/>
                <w:highlight w:val="none"/>
              </w:rPr>
              <w:t xml:space="preserve">采购内容：</w:t>
            </w:r>
            <w:r>
              <w:rPr>
                <w:color w:val="000000" w:themeColor="text1"/>
              </w:rPr>
            </w:r>
          </w:p>
        </w:tc>
        <w:tc>
          <w:tcPr>
            <w:tcW w:w="6134"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color w:val="000000" w:themeColor="text1"/>
                <w:highlight w:val="none"/>
              </w:rPr>
            </w:pPr>
            <w:r>
              <w:rPr>
                <w:rFonts w:hint="eastAsia" w:ascii="宋体" w:hAnsi="宋体" w:cs="Times New Roman"/>
                <w:b/>
                <w:color w:val="000000" w:themeColor="text1"/>
                <w:spacing w:val="-6"/>
                <w:sz w:val="32"/>
                <w:highlight w:val="none"/>
                <w:lang w:val="en-US" w:eastAsia="zh-CN"/>
              </w:rPr>
              <w:t xml:space="preserve">2026-2027年度绕城高速甪直、车坊段绿化养护</w:t>
            </w:r>
            <w:r>
              <w:rPr>
                <w:color w:val="000000" w:themeColor="text1"/>
              </w:rPr>
            </w:r>
          </w:p>
        </w:tc>
      </w:tr>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color w:val="000000" w:themeColor="text1"/>
                <w:highlight w:val="none"/>
              </w:rPr>
            </w:pPr>
            <w:r>
              <w:rPr>
                <w:rStyle w:val="1360"/>
                <w:rFonts w:ascii="宋体" w:hAnsi="宋体" w:eastAsia="宋体"/>
                <w:b/>
                <w:color w:val="000000" w:themeColor="text1"/>
                <w:spacing w:val="-6"/>
                <w:sz w:val="32"/>
                <w:highlight w:val="none"/>
              </w:rPr>
              <w:t xml:space="preserve">采购类别：</w:t>
            </w:r>
            <w:r>
              <w:rPr>
                <w:color w:val="000000" w:themeColor="text1"/>
              </w:rPr>
            </w:r>
          </w:p>
        </w:tc>
        <w:tc>
          <w:tcPr>
            <w:tcW w:w="6134" w:type="dxa"/>
            <w:vAlign w:val="center"/>
            <w:textDirection w:val="lrTb"/>
            <w:noWrap w:val="false"/>
          </w:tcPr>
          <w:p>
            <w:pPr>
              <w:ind w:left="0"/>
              <w:jc w:val="both"/>
              <w:keepLines w:val="0"/>
              <w:keepNext w:val="0"/>
              <w:pageBreakBefore w:val="0"/>
              <w:spacing w:line="360" w:lineRule="auto"/>
              <w:widowControl w:val="off"/>
              <w:rPr>
                <w:rStyle w:val="1360"/>
                <w:rFonts w:ascii="宋体" w:hAnsi="宋体" w:eastAsia="宋体"/>
                <w:color w:val="000000" w:themeColor="text1"/>
                <w:highlight w:val="none"/>
              </w:rPr>
            </w:pPr>
            <w:r>
              <w:rPr>
                <w:rStyle w:val="1360"/>
                <w:rFonts w:hint="eastAsia" w:ascii="宋体" w:hAnsi="宋体"/>
                <w:b/>
                <w:color w:val="000000" w:themeColor="text1"/>
                <w:spacing w:val="-6"/>
                <w:sz w:val="32"/>
                <w:highlight w:val="none"/>
                <w:lang w:val="en-US" w:eastAsia="zh-CN"/>
              </w:rPr>
              <w:t xml:space="preserve">服务</w:t>
            </w:r>
            <w:r>
              <w:rPr>
                <w:rStyle w:val="1360"/>
                <w:rFonts w:hint="eastAsia" w:ascii="宋体" w:hAnsi="宋体" w:eastAsia="宋体"/>
                <w:b/>
                <w:color w:val="000000" w:themeColor="text1"/>
                <w:spacing w:val="-6"/>
                <w:sz w:val="32"/>
                <w:highlight w:val="none"/>
                <w:lang w:val="en-US" w:eastAsia="zh-CN"/>
              </w:rPr>
              <w:t xml:space="preserve">类</w:t>
            </w:r>
            <w:r>
              <w:rPr>
                <w:color w:val="000000" w:themeColor="text1"/>
              </w:rPr>
            </w:r>
          </w:p>
        </w:tc>
      </w:tr>
    </w:tbl>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pStyle w:val="1338"/>
        <w:rPr>
          <w:rFonts w:hint="eastAsia"/>
          <w:color w:val="000000" w:themeColor="text1"/>
          <w:highlight w:val="none"/>
        </w:rPr>
      </w:pPr>
      <w:r>
        <w:rPr>
          <w:rFonts w:hint="eastAsia"/>
          <w:color w:val="000000" w:themeColor="text1"/>
          <w:highlight w:val="none"/>
        </w:rPr>
      </w:r>
      <w:r>
        <w:rPr>
          <w:color w:val="000000" w:themeColor="text1"/>
        </w:rPr>
      </w:r>
    </w:p>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ind w:left="0" w:firstLine="1606"/>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ind w:left="0" w:firstLine="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ind w:left="0" w:firstLine="1606"/>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p>
    <w:p>
      <w:pPr>
        <w:pStyle w:val="1335"/>
        <w:ind w:left="0"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left="0"/>
        <w:jc w:val="center"/>
        <w:keepLines w:val="0"/>
        <w:keepNext w:val="0"/>
        <w:pageBreakBefore w:val="0"/>
        <w:spacing w:line="360" w:lineRule="auto"/>
        <w:widowControl/>
        <w:rPr>
          <w:rFonts w:hint="eastAsia" w:ascii="宋体" w:hAnsi="宋体" w:eastAsia="宋体" w:cs="宋体"/>
          <w:b/>
          <w:color w:val="000000" w:themeColor="text1"/>
          <w:sz w:val="32"/>
          <w:highlight w:val="none"/>
        </w:rPr>
      </w:pPr>
      <w:r>
        <w:rPr>
          <w:rFonts w:hint="eastAsia" w:ascii="宋体" w:hAnsi="宋体" w:cs="宋体"/>
          <w:b/>
          <w:color w:val="000000" w:themeColor="text1"/>
          <w:sz w:val="32"/>
          <w:highlight w:val="none"/>
          <w:lang w:eastAsia="zh-CN"/>
        </w:rPr>
        <w:t xml:space="preserve">江苏正琦工程咨询有限公司</w:t>
      </w:r>
      <w:r>
        <w:rPr>
          <w:color w:val="000000" w:themeColor="text1"/>
        </w:rPr>
      </w:r>
    </w:p>
    <w:p>
      <w:pPr>
        <w:ind w:left="0"/>
        <w:jc w:val="center"/>
        <w:keepLines w:val="0"/>
        <w:keepNext w:val="0"/>
        <w:pageBreakBefore w:val="0"/>
        <w:spacing w:line="360" w:lineRule="auto"/>
        <w:widowControl/>
        <w:rPr>
          <w:rFonts w:hint="eastAsia" w:ascii="宋体" w:hAnsi="宋体" w:eastAsia="宋体" w:cs="宋体"/>
          <w:b/>
          <w:color w:val="000000" w:themeColor="text1"/>
          <w:sz w:val="32"/>
          <w:highlight w:val="none"/>
        </w:rPr>
      </w:pPr>
      <w:r>
        <w:rPr>
          <w:rFonts w:hint="eastAsia" w:ascii="宋体" w:hAnsi="宋体" w:cs="宋体"/>
          <w:b/>
          <w:color w:val="000000" w:themeColor="text1"/>
          <w:sz w:val="32"/>
          <w:highlight w:val="none"/>
          <w:lang w:val="en-US" w:eastAsia="zh-CN"/>
        </w:rPr>
        <w:t xml:space="preserve">二〇二六</w:t>
      </w:r>
      <w:r>
        <w:rPr>
          <w:rFonts w:hint="eastAsia" w:ascii="宋体" w:hAnsi="宋体" w:eastAsia="宋体" w:cs="宋体"/>
          <w:b/>
          <w:color w:val="000000" w:themeColor="text1"/>
          <w:sz w:val="32"/>
          <w:highlight w:val="none"/>
          <w:lang w:eastAsia="zh-CN"/>
        </w:rPr>
        <w:t xml:space="preserve">年</w:t>
      </w:r>
      <w:r>
        <w:rPr>
          <w:rFonts w:hint="eastAsia" w:ascii="宋体" w:hAnsi="宋体" w:cs="宋体"/>
          <w:b/>
          <w:color w:val="000000" w:themeColor="text1"/>
          <w:sz w:val="32"/>
          <w:highlight w:val="none"/>
          <w:lang w:val="en-US" w:eastAsia="zh-CN"/>
        </w:rPr>
        <w:t xml:space="preserve">八</w:t>
      </w:r>
      <w:r>
        <w:rPr>
          <w:rFonts w:hint="eastAsia" w:ascii="宋体" w:hAnsi="宋体" w:eastAsia="宋体" w:cs="宋体"/>
          <w:b/>
          <w:color w:val="000000" w:themeColor="text1"/>
          <w:sz w:val="32"/>
          <w:highlight w:val="none"/>
        </w:rPr>
        <w:t xml:space="preserve">月</w:t>
      </w:r>
      <w:r>
        <w:rPr>
          <w:color w:val="000000" w:themeColor="text1"/>
        </w:rPr>
      </w:r>
    </w:p>
    <w:p>
      <w:pPr>
        <w:ind w:left="0"/>
        <w:rPr>
          <w:rFonts w:hint="eastAsia" w:ascii="宋体" w:hAnsi="宋体" w:eastAsia="宋体" w:cs="宋体"/>
          <w:color w:val="000000" w:themeColor="text1"/>
          <w:sz w:val="48"/>
          <w:highlight w:val="none"/>
        </w:rPr>
        <w:sectPr>
          <w:footerReference w:type="default" r:id="rId10"/>
          <w:footerReference w:type="even" r:id="rId11"/>
          <w:footnotePr/>
          <w:endnotePr/>
          <w:type w:val="nextPage"/>
          <w:pgSz w:w="11906" w:h="16838" w:orient="portrait"/>
          <w:pgMar w:top="1417" w:right="1247" w:bottom="1417" w:left="1247" w:header="850" w:footer="992" w:gutter="0"/>
          <w:pgNumType w:start="0"/>
          <w:cols w:num="1" w:sep="0" w:space="0" w:equalWidth="1"/>
          <w:docGrid w:linePitch="360"/>
          <w:titlePg/>
        </w:sectPr>
      </w:pPr>
      <w:r>
        <w:rPr>
          <w:rFonts w:hint="eastAsia" w:ascii="宋体" w:hAnsi="宋体" w:eastAsia="宋体" w:cs="宋体"/>
          <w:color w:val="000000" w:themeColor="text1"/>
          <w:sz w:val="48"/>
          <w:highlight w:val="none"/>
        </w:rPr>
      </w:r>
      <w:r>
        <w:rPr>
          <w:color w:val="000000" w:themeColor="text1"/>
        </w:rPr>
      </w:r>
    </w:p>
    <w:p>
      <w:pPr>
        <w:ind w:left="0"/>
        <w:jc w:val="center"/>
        <w:rPr>
          <w:rFonts w:hint="eastAsia" w:ascii="宋体" w:hAnsi="宋体" w:eastAsia="宋体" w:cs="宋体"/>
          <w:b/>
          <w:color w:val="000000" w:themeColor="text1"/>
          <w:spacing w:val="20"/>
          <w:sz w:val="44"/>
          <w:szCs w:val="44"/>
          <w:highlight w:val="none"/>
        </w:rPr>
        <w:outlineLvl w:val="0"/>
      </w:pPr>
      <w:r>
        <w:rPr>
          <w:color w:val="000000" w:themeColor="text1"/>
        </w:rPr>
      </w:r>
      <w:bookmarkStart w:id="0" w:name="_Toc12299"/>
      <w:r>
        <w:rPr>
          <w:color w:val="000000" w:themeColor="text1"/>
        </w:rPr>
      </w:r>
      <w:bookmarkStart w:id="1" w:name="_Toc15681"/>
      <w:r>
        <w:rPr>
          <w:color w:val="000000" w:themeColor="text1"/>
        </w:rPr>
      </w:r>
      <w:bookmarkStart w:id="2" w:name="_Toc19771"/>
      <w:r>
        <w:rPr>
          <w:color w:val="000000" w:themeColor="text1"/>
        </w:rPr>
      </w:r>
      <w:bookmarkStart w:id="3" w:name="_Toc16121"/>
      <w:r>
        <w:rPr>
          <w:color w:val="000000" w:themeColor="text1"/>
        </w:rPr>
      </w:r>
      <w:bookmarkStart w:id="4" w:name="_Toc12642"/>
      <w:r>
        <w:rPr>
          <w:color w:val="000000" w:themeColor="text1"/>
        </w:rPr>
      </w:r>
      <w:bookmarkStart w:id="5" w:name="_Toc17003"/>
      <w:r>
        <w:rPr>
          <w:rFonts w:hint="eastAsia" w:ascii="宋体" w:hAnsi="宋体" w:eastAsia="宋体" w:cs="宋体"/>
          <w:b/>
          <w:color w:val="000000" w:themeColor="text1"/>
          <w:spacing w:val="20"/>
          <w:sz w:val="44"/>
          <w:szCs w:val="44"/>
          <w:highlight w:val="none"/>
        </w:rPr>
        <w:t xml:space="preserve">前 附 表</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tbl>
      <w:tblPr>
        <w:tblStyle w:val="1149"/>
        <w:tblW w:w="10110"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1742"/>
        <w:gridCol w:w="7605"/>
      </w:tblGrid>
      <w:tr>
        <w:trPr>
          <w:jc w:val="center"/>
          <w:trHeight w:val="4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内容</w:t>
            </w:r>
            <w:r>
              <w:rPr>
                <w:color w:val="000000" w:themeColor="text1"/>
              </w:rPr>
            </w:r>
          </w:p>
        </w:tc>
      </w:tr>
      <w:tr>
        <w:trPr>
          <w:jc w:val="center"/>
          <w:trHeight w:val="4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rPr>
              <w:t xml:space="preserve">编号</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JSZC-320506-JSZQ-C2026-0008</w:t>
            </w:r>
            <w:r>
              <w:rPr>
                <w:color w:val="000000" w:themeColor="text1"/>
              </w:rP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2026-2027年度绕城高速甪直、车坊段绿化养护</w:t>
            </w:r>
            <w:r>
              <w:rPr>
                <w:color w:val="000000" w:themeColor="text1"/>
              </w:rPr>
            </w:r>
          </w:p>
        </w:tc>
      </w:tr>
      <w:tr>
        <w:trPr>
          <w:jc w:val="cente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w:t>
            </w:r>
            <w:r>
              <w:rPr>
                <w:rFonts w:hint="eastAsia" w:ascii="宋体" w:hAnsi="宋体" w:eastAsia="宋体" w:cs="宋体"/>
                <w:color w:val="000000" w:themeColor="text1"/>
                <w:sz w:val="24"/>
                <w:szCs w:val="24"/>
                <w:highlight w:val="none"/>
              </w:rPr>
              <w:t xml:space="preserve">保证金</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本项目不收取</w:t>
            </w:r>
            <w:r>
              <w:rPr>
                <w:rFonts w:hint="eastAsia" w:ascii="宋体" w:hAnsi="宋体" w:cs="宋体"/>
                <w:color w:val="000000" w:themeColor="text1"/>
                <w:sz w:val="24"/>
                <w:szCs w:val="24"/>
                <w:highlight w:val="none"/>
              </w:rPr>
              <w:t xml:space="preserve">投标（响应）</w:t>
            </w:r>
            <w:r>
              <w:rPr>
                <w:rFonts w:hint="eastAsia" w:ascii="宋体" w:hAnsi="宋体" w:eastAsia="宋体" w:cs="宋体"/>
                <w:color w:val="000000" w:themeColor="text1"/>
                <w:sz w:val="24"/>
                <w:szCs w:val="24"/>
                <w:highlight w:val="none"/>
              </w:rPr>
              <w:t xml:space="preserve">保证金（采购文件</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涉及</w:t>
            </w:r>
            <w:r>
              <w:rPr>
                <w:rFonts w:hint="eastAsia" w:ascii="宋体" w:hAnsi="宋体" w:cs="宋体"/>
                <w:color w:val="000000" w:themeColor="text1"/>
                <w:sz w:val="24"/>
                <w:szCs w:val="24"/>
                <w:highlight w:val="none"/>
              </w:rPr>
              <w:t xml:space="preserve">投标（响应）</w:t>
            </w:r>
            <w:r>
              <w:rPr>
                <w:rFonts w:hint="eastAsia" w:ascii="宋体" w:hAnsi="宋体" w:eastAsia="宋体" w:cs="宋体"/>
                <w:color w:val="000000" w:themeColor="text1"/>
                <w:sz w:val="24"/>
                <w:szCs w:val="24"/>
                <w:highlight w:val="none"/>
              </w:rPr>
              <w:t xml:space="preserve">保证金</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条款均不适用）</w:t>
            </w:r>
            <w:r>
              <w:rPr>
                <w:color w:val="000000" w:themeColor="text1"/>
              </w:rP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响应文件有效期</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响应文件提交截止之日起</w:t>
            </w:r>
            <w:r>
              <w:rPr>
                <w:rFonts w:hint="eastAsia" w:ascii="宋体" w:hAnsi="宋体" w:cs="宋体"/>
                <w:color w:val="000000" w:themeColor="text1"/>
                <w:sz w:val="24"/>
                <w:szCs w:val="24"/>
                <w:highlight w:val="none"/>
                <w:lang w:val="en-US" w:eastAsia="zh-CN"/>
              </w:rPr>
              <w:t xml:space="preserve">六十</w:t>
            </w:r>
            <w:r>
              <w:rPr>
                <w:rFonts w:hint="eastAsia" w:ascii="宋体" w:hAnsi="宋体" w:eastAsia="宋体" w:cs="宋体"/>
                <w:color w:val="000000" w:themeColor="text1"/>
                <w:sz w:val="24"/>
                <w:szCs w:val="24"/>
                <w:highlight w:val="none"/>
              </w:rPr>
              <w:t xml:space="preserve">天（日历日）</w:t>
            </w:r>
            <w:r>
              <w:rPr>
                <w:color w:val="000000" w:themeColor="text1"/>
              </w:rPr>
            </w:r>
          </w:p>
        </w:tc>
      </w:tr>
      <w:tr>
        <w:trPr>
          <w:jc w:val="center"/>
          <w:trHeight w:val="2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询问和质疑</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rPr>
            </w:r>
          </w:p>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质疑函提交地址：</w:t>
            </w:r>
            <w:r>
              <w:rPr>
                <w:rFonts w:hint="eastAsia" w:ascii="宋体" w:hAnsi="宋体" w:eastAsia="宋体" w:cs="宋体"/>
                <w:color w:val="000000" w:themeColor="text1"/>
                <w:sz w:val="24"/>
                <w:szCs w:val="24"/>
                <w:highlight w:val="none"/>
                <w:lang w:eastAsia="zh-CN"/>
              </w:rPr>
              <w:t xml:space="preserve">苏州市相城区月星环球港写字楼1812室</w:t>
            </w: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highlight w:val="none"/>
                <w:lang w:val="zh-TW" w:eastAsia="zh-TW"/>
              </w:rPr>
              <w:t xml:space="preserve">0512-66836556</w:t>
            </w: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val="en-US" w:eastAsia="zh-CN"/>
              </w:rPr>
              <w:t xml:space="preserve">储海童、吴晴叶</w:t>
            </w:r>
            <w:r>
              <w:rPr>
                <w:rFonts w:hint="eastAsia" w:ascii="宋体" w:hAnsi="宋体" w:eastAsia="宋体" w:cs="宋体"/>
                <w:color w:val="000000" w:themeColor="text1"/>
                <w:sz w:val="24"/>
                <w:szCs w:val="24"/>
                <w:highlight w:val="none"/>
              </w:rPr>
              <w:t xml:space="preserve">。</w:t>
            </w:r>
            <w:r>
              <w:rPr>
                <w:color w:val="000000" w:themeColor="text1"/>
              </w:rPr>
            </w:r>
          </w:p>
        </w:tc>
      </w:tr>
      <w:tr>
        <w:trPr>
          <w:jc w:val="center"/>
          <w:trHeight w:val="10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响应文件网上</w:t>
            </w:r>
            <w:r>
              <w:rPr>
                <w:color w:val="000000" w:themeColor="text1"/>
              </w:rPr>
            </w:r>
          </w:p>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提交截止时间</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年08</w:t>
            </w:r>
            <w:r>
              <w:rPr>
                <w:rFonts w:hint="eastAsia" w:ascii="宋体" w:hAnsi="宋体" w:eastAsia="宋体" w:cs="宋体"/>
                <w:color w:val="000000" w:themeColor="text1"/>
                <w:sz w:val="24"/>
                <w:szCs w:val="24"/>
                <w:highlight w:val="none"/>
                <w:lang w:eastAsia="zh-CN"/>
              </w:rPr>
            </w:r>
            <w:r>
              <w:rPr>
                <w:rFonts w:hint="eastAsia" w:ascii="宋体" w:hAnsi="宋体" w:cs="宋体"/>
                <w:color w:val="000000" w:themeColor="text1"/>
                <w:sz w:val="24"/>
                <w:szCs w:val="24"/>
                <w:highlight w:val="none"/>
                <w:lang w:val="en-US" w:eastAsia="zh-CN"/>
              </w:rPr>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eastAsia="zh-CN"/>
              </w:rPr>
              <w:t xml:space="preserve">25日</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eastAsia="zh-CN"/>
              </w:rPr>
              <w:t xml:space="preserve">点</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0分</w:t>
            </w:r>
            <w:r>
              <w:rPr>
                <w:rFonts w:hint="eastAsia" w:ascii="宋体" w:hAnsi="宋体" w:eastAsia="宋体" w:cs="宋体"/>
                <w:color w:val="000000" w:themeColor="text1"/>
                <w:sz w:val="24"/>
                <w:szCs w:val="24"/>
                <w:highlight w:val="none"/>
              </w:rPr>
              <w:t xml:space="preserve">（北京时间）</w:t>
            </w:r>
            <w:r>
              <w:rPr>
                <w:color w:val="000000" w:themeColor="text1"/>
              </w:rP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响应文件必须在截止时间前完成提交（上传），逾期提交（上传）的响应文件恕不接受。</w:t>
            </w:r>
            <w:r>
              <w:rPr>
                <w:color w:val="000000" w:themeColor="text1"/>
              </w:rPr>
            </w:r>
          </w:p>
        </w:tc>
      </w:tr>
      <w:tr>
        <w:trPr>
          <w:jc w:val="center"/>
          <w:trHeight w:val="1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开启时间</w:t>
            </w:r>
            <w:r>
              <w:rPr>
                <w:color w:val="000000" w:themeColor="text1"/>
              </w:rPr>
            </w:r>
          </w:p>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开启地点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年08</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eastAsia="zh-CN"/>
              </w:rPr>
              <w:t xml:space="preserve">25日</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eastAsia="zh-CN"/>
              </w:rPr>
              <w:t xml:space="preserve">点</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0分</w:t>
            </w:r>
            <w:r>
              <w:rPr>
                <w:rFonts w:hint="eastAsia" w:ascii="宋体" w:hAnsi="宋体" w:eastAsia="宋体" w:cs="宋体"/>
                <w:color w:val="000000" w:themeColor="text1"/>
                <w:sz w:val="24"/>
                <w:szCs w:val="24"/>
                <w:highlight w:val="none"/>
              </w:rPr>
              <w:t xml:space="preserve">（北京时间）</w:t>
            </w:r>
            <w:r>
              <w:rPr>
                <w:color w:val="000000" w:themeColor="text1"/>
              </w:rP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“苏采云”系统（网址：http://jszfcg.jsczt.cn/）</w:t>
            </w:r>
            <w:r>
              <w:rPr>
                <w:color w:val="000000" w:themeColor="text1"/>
              </w:rP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color w:val="000000" w:themeColor="text1"/>
              </w:rPr>
            </w:r>
          </w:p>
        </w:tc>
      </w:tr>
      <w:tr>
        <w:trPr>
          <w:jc w:val="cente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响应文件份数</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本项目采用电子响应文件，响应单位按照采购文件要求制作上传电子响应文件，响应单位无需提供纸质响应文件。</w:t>
            </w:r>
            <w:r>
              <w:rPr>
                <w:color w:val="000000" w:themeColor="text1"/>
              </w:rPr>
            </w:r>
          </w:p>
        </w:tc>
      </w:tr>
      <w:tr>
        <w:trPr>
          <w:jc w:val="center"/>
          <w:trHeight w:val="5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现场踏勘</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本项目不组织统一勘察</w:t>
            </w:r>
            <w:r>
              <w:rPr>
                <w:color w:val="000000" w:themeColor="text1"/>
              </w:rPr>
            </w:r>
          </w:p>
        </w:tc>
      </w:tr>
      <w:tr>
        <w:trPr>
          <w:jc w:val="center"/>
          <w:trHeight w:val="6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本项目不收取履约保证金（采购文件中涉及履约保证金的条款均不适用）</w:t>
            </w:r>
            <w:r>
              <w:rPr>
                <w:color w:val="000000" w:themeColor="text1"/>
              </w:rPr>
            </w:r>
          </w:p>
        </w:tc>
      </w:tr>
      <w:tr>
        <w:trPr>
          <w:jc w:val="center"/>
          <w:trHeight w:val="1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成交通知书</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确定出成交单位后，采购代理机构在法定时间内向成交单位发出成交通知书。成交通知书将成为合同的组成部分。</w:t>
            </w:r>
            <w:r>
              <w:rPr>
                <w:color w:val="000000" w:themeColor="text1"/>
              </w:rP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请成交单位在成交结果公告届满之日起30日内,使用CA证书登录“苏采云”系统及时下载成交通知书。</w:t>
            </w:r>
            <w:r>
              <w:rPr>
                <w:color w:val="000000" w:themeColor="text1"/>
              </w:rP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2"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代理服务费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5" w:type="dxa"/>
            <w:vAlign w:val="center"/>
            <w:textDirection w:val="lrTb"/>
            <w:noWrap w:val="false"/>
          </w:tcPr>
          <w:p>
            <w:pPr>
              <w:pStyle w:val="1369"/>
              <w:ind w:left="0" w:firstLine="0"/>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本项目代理服务费由采购人支付。</w:t>
            </w:r>
            <w:r>
              <w:rPr>
                <w:color w:val="000000" w:themeColor="text1"/>
              </w:rPr>
            </w:r>
          </w:p>
          <w:p>
            <w:pPr>
              <w:pStyle w:val="1369"/>
              <w:ind w:left="0" w:firstLine="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代理服务费收费标准：</w:t>
            </w:r>
            <w:r>
              <w:rPr>
                <w:rFonts w:hint="eastAsia" w:ascii="宋体" w:hAnsi="宋体" w:eastAsia="宋体" w:cs="宋体"/>
                <w:color w:val="000000" w:themeColor="text1"/>
                <w:sz w:val="24"/>
                <w:szCs w:val="24"/>
                <w:highlight w:val="none"/>
                <w:lang w:val="en-US" w:eastAsia="zh-CN"/>
              </w:rPr>
              <w:t xml:space="preserve">预算金额100万元以下部分，费率为该部分预算金额的1.5%；预算金额100万元（含）－500万元部分，费率为该部分预算金额的1.1%；代理服务费以预算金额为基数依据，按以上规定的标准和差额定率累进法计算（例：预算金额为150万</w:t>
            </w:r>
            <w:r>
              <w:rPr>
                <w:rFonts w:hint="eastAsia" w:ascii="宋体" w:hAnsi="宋体" w:cs="宋体"/>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，则代理服务费=100万</w:t>
            </w:r>
            <w:r>
              <w:rPr>
                <w:rFonts w:hint="eastAsia" w:ascii="宋体" w:hAnsi="宋体" w:cs="宋体"/>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*1.5%+（150万</w:t>
            </w:r>
            <w:r>
              <w:rPr>
                <w:rFonts w:hint="eastAsia" w:ascii="宋体" w:hAnsi="宋体" w:cs="宋体"/>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－100万</w:t>
            </w:r>
            <w:r>
              <w:rPr>
                <w:rFonts w:hint="eastAsia" w:ascii="宋体" w:hAnsi="宋体" w:cs="宋体"/>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）*1.1%，不满</w:t>
            </w:r>
            <w:r>
              <w:rPr>
                <w:rFonts w:hint="eastAsia" w:ascii="宋体" w:hAnsi="宋体" w:cs="宋体"/>
                <w:color w:val="000000" w:themeColor="text1"/>
                <w:sz w:val="24"/>
                <w:szCs w:val="24"/>
                <w:highlight w:val="none"/>
                <w:lang w:val="en-US" w:eastAsia="zh-CN"/>
              </w:rPr>
              <w:t xml:space="preserve">3000</w:t>
            </w:r>
            <w:r>
              <w:rPr>
                <w:rFonts w:hint="eastAsia" w:ascii="宋体" w:hAnsi="宋体" w:eastAsia="宋体" w:cs="宋体"/>
                <w:color w:val="000000" w:themeColor="text1"/>
                <w:sz w:val="24"/>
                <w:szCs w:val="24"/>
                <w:highlight w:val="none"/>
                <w:lang w:val="en-US" w:eastAsia="zh-CN"/>
              </w:rPr>
              <w:t xml:space="preserve">元按</w:t>
            </w:r>
            <w:r>
              <w:rPr>
                <w:rFonts w:hint="eastAsia" w:ascii="宋体" w:hAnsi="宋体" w:cs="宋体"/>
                <w:color w:val="000000" w:themeColor="text1"/>
                <w:sz w:val="24"/>
                <w:szCs w:val="24"/>
                <w:highlight w:val="none"/>
                <w:lang w:val="en-US" w:eastAsia="zh-CN"/>
              </w:rPr>
              <w:t xml:space="preserve">3000</w:t>
            </w:r>
            <w:r>
              <w:rPr>
                <w:rFonts w:hint="eastAsia" w:ascii="宋体" w:hAnsi="宋体" w:eastAsia="宋体" w:cs="宋体"/>
                <w:color w:val="000000" w:themeColor="text1"/>
                <w:sz w:val="24"/>
                <w:szCs w:val="24"/>
                <w:highlight w:val="none"/>
                <w:lang w:val="en-US" w:eastAsia="zh-CN"/>
              </w:rPr>
              <w:t xml:space="preserve">元收取）</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本项目代理服务费21243.48元。</w:t>
            </w:r>
            <w:r>
              <w:rPr>
                <w:color w:val="000000" w:themeColor="text1"/>
              </w:rPr>
            </w:r>
          </w:p>
        </w:tc>
      </w:tr>
    </w:tbl>
    <w:p>
      <w:pPr>
        <w:ind w:left="0" w:right="0" w:firstLine="0"/>
        <w:jc w:val="center"/>
        <w:spacing w:before="0" w:after="0" w:line="240" w:lineRule="auto"/>
        <w:rPr>
          <w:rFonts w:hint="eastAsia" w:ascii="宋体" w:hAnsi="宋体" w:eastAsia="宋体" w:cs="宋体"/>
          <w:b/>
          <w:color w:val="000000" w:themeColor="text1"/>
          <w:sz w:val="44"/>
          <w:szCs w:val="44"/>
          <w:highlight w:val="none"/>
        </w:rPr>
        <w:sectPr>
          <w:footerReference w:type="default" r:id="rId12"/>
          <w:footerReference w:type="first" r:id="rId13"/>
          <w:footnotePr/>
          <w:endnotePr/>
          <w:type w:val="nextPage"/>
          <w:pgSz w:w="11906" w:h="16838" w:orient="portrait"/>
          <w:pgMar w:top="1417" w:right="1247" w:bottom="1417" w:left="1247" w:header="850" w:footer="992" w:gutter="0"/>
          <w:pgNumType w:start="1"/>
          <w:cols w:num="1" w:sep="0" w:space="0" w:equalWidth="1"/>
          <w:docGrid w:linePitch="360"/>
          <w:titlePg/>
        </w:sectPr>
      </w:pPr>
      <w:r>
        <w:rPr>
          <w:color w:val="000000" w:themeColor="text1"/>
        </w:rPr>
      </w:r>
      <w:bookmarkStart w:id="6" w:name="_Toc7166"/>
      <w:r>
        <w:rPr>
          <w:color w:val="000000" w:themeColor="text1"/>
        </w:rPr>
      </w:r>
      <w:bookmarkStart w:id="7" w:name="_Toc28592"/>
      <w:r>
        <w:rPr>
          <w:color w:val="000000" w:themeColor="text1"/>
        </w:rPr>
      </w:r>
      <w:bookmarkStart w:id="8" w:name="_Toc19808"/>
      <w:r>
        <w:rPr>
          <w:color w:val="000000" w:themeColor="text1"/>
        </w:rPr>
      </w:r>
      <w:bookmarkStart w:id="9" w:name="_Toc57376405"/>
      <w:r>
        <w:rPr>
          <w:color w:val="000000" w:themeColor="text1"/>
        </w:rPr>
      </w:r>
      <w:bookmarkStart w:id="10" w:name="_Toc58248879"/>
      <w:r>
        <w:rPr>
          <w:color w:val="000000" w:themeColor="text1"/>
        </w:rPr>
      </w:r>
      <w:r>
        <w:rPr>
          <w:color w:val="000000" w:themeColor="text1"/>
        </w:rPr>
      </w:r>
    </w:p>
    <w:p>
      <w:pPr>
        <w:ind w:left="0" w:right="0" w:firstLine="0"/>
        <w:jc w:val="center"/>
        <w:spacing w:before="0" w:after="0" w:line="240" w:lineRule="auto"/>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t xml:space="preserve">目</w:t>
      </w:r>
      <w:r>
        <w:rPr>
          <w:rFonts w:hint="eastAsia" w:ascii="宋体" w:hAnsi="宋体" w:eastAsia="宋体"/>
          <w:b/>
          <w:bCs/>
          <w:color w:val="000000" w:themeColor="text1"/>
          <w:sz w:val="44"/>
          <w:szCs w:val="44"/>
          <w:highlight w:val="none"/>
          <w:lang w:val="en-US" w:eastAsia="zh-CN"/>
        </w:rPr>
        <w:t xml:space="preserve">  </w:t>
      </w:r>
      <w:r>
        <w:rPr>
          <w:rFonts w:ascii="宋体" w:hAnsi="宋体" w:eastAsia="宋体"/>
          <w:b/>
          <w:bCs/>
          <w:color w:val="000000" w:themeColor="text1"/>
          <w:sz w:val="44"/>
          <w:szCs w:val="44"/>
          <w:highlight w:val="none"/>
        </w:rPr>
        <w:t xml:space="preserve">录</w:t>
      </w:r>
      <w:r>
        <w:rPr>
          <w:color w:val="000000" w:themeColor="text1"/>
        </w:rPr>
      </w:r>
    </w:p>
    <w:p>
      <w:pPr>
        <w:pStyle w:val="1356"/>
        <w:rPr>
          <w:color w:val="000000" w:themeColor="text1"/>
          <w:highlight w:val="none"/>
        </w:rPr>
      </w:pPr>
      <w:r>
        <w:rPr>
          <w:color w:val="000000" w:themeColor="text1"/>
          <w:highlight w:val="none"/>
        </w:rPr>
      </w:r>
      <w:r>
        <w:rPr>
          <w:color w:val="000000" w:themeColor="text1"/>
        </w:rPr>
      </w:r>
    </w:p>
    <w:p>
      <w:pPr>
        <w:pStyle w:val="1364"/>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TOC \o "1-1" \h \u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_Toc4309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第一章 磋商邀请函</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_Toc4309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1364"/>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_Toc17517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第二章 磋商须知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_Toc17517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8</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1364"/>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_Toc9971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第三章 响应文件格式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_Toc9971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1364"/>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_Toc18918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第四章 采购内容</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_Toc18918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1364"/>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_Toc31272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第五章 合同及主要条款</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_Toc31272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45</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1364"/>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_Toc29694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第六章 评审办法和评分标准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_Toc29694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1330"/>
        <w:ind w:left="0" w:firstLine="0"/>
        <w:jc w:val="center"/>
        <w:keepLines w:val="0"/>
        <w:keepNext w:val="0"/>
        <w:pageBreakBefore w:val="0"/>
        <w:spacing w:line="360" w:lineRule="auto"/>
        <w:widowControl/>
        <w:rPr>
          <w:rFonts w:hint="eastAsia" w:ascii="宋体" w:hAnsi="宋体" w:eastAsia="宋体" w:cs="宋体"/>
          <w:b/>
          <w:color w:val="000000" w:themeColor="text1"/>
          <w:sz w:val="44"/>
          <w:szCs w:val="44"/>
          <w:highlight w:val="none"/>
        </w:rPr>
        <w:outlineLvl w:val="9"/>
      </w:pPr>
      <w:r>
        <w:rPr>
          <w:rFonts w:hint="eastAsia" w:ascii="宋体" w:hAnsi="宋体" w:eastAsia="宋体" w:cs="宋体"/>
          <w:color w:val="000000" w:themeColor="text1"/>
          <w:sz w:val="28"/>
          <w:szCs w:val="28"/>
          <w:highlight w:val="none"/>
        </w:rPr>
        <w:fldChar w:fldCharType="end"/>
      </w:r>
      <w:bookmarkStart w:id="124" w:name="_GoBack"/>
      <w:r>
        <w:rPr>
          <w:color w:val="000000" w:themeColor="text1"/>
        </w:rPr>
      </w:r>
      <w:bookmarkEnd w:id="124"/>
      <w:r>
        <w:rPr>
          <w:color w:val="000000" w:themeColor="text1"/>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sectPr>
          <w:footerReference w:type="default" r:id="rId14"/>
          <w:footerReference w:type="first" r:id="rId15"/>
          <w:footnotePr/>
          <w:endnotePr/>
          <w:type w:val="nextPage"/>
          <w:pgSz w:w="11906" w:h="16838" w:orient="portrait"/>
          <w:pgMar w:top="1417" w:right="1247" w:bottom="1417" w:left="1247" w:header="850" w:footer="992" w:gutter="0"/>
          <w:cols w:num="1" w:sep="0" w:space="0" w:equalWidth="1"/>
          <w:docGrid w:linePitch="360"/>
          <w:titlePg/>
        </w:sectPr>
        <w:outlineLvl w:val="9"/>
      </w:pPr>
      <w:r>
        <w:rPr>
          <w:rFonts w:hint="eastAsia" w:ascii="宋体" w:hAnsi="宋体" w:eastAsia="宋体" w:cs="宋体"/>
          <w:b/>
          <w:color w:val="000000" w:themeColor="text1"/>
          <w:sz w:val="44"/>
          <w:szCs w:val="44"/>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pPr>
      <w:r>
        <w:rPr>
          <w:color w:val="000000" w:themeColor="text1"/>
        </w:rPr>
      </w:r>
      <w:bookmarkStart w:id="11" w:name="_Toc22054"/>
      <w:r>
        <w:rPr>
          <w:color w:val="000000" w:themeColor="text1"/>
        </w:rPr>
      </w:r>
      <w:bookmarkStart w:id="12" w:name="_Toc4309"/>
      <w:r>
        <w:rPr>
          <w:color w:val="000000" w:themeColor="text1"/>
        </w:rPr>
      </w:r>
      <w:bookmarkStart w:id="13" w:name="_Toc4540"/>
      <w:r>
        <w:rPr>
          <w:rFonts w:hint="eastAsia" w:ascii="宋体" w:hAnsi="宋体" w:eastAsia="宋体" w:cs="宋体"/>
          <w:b/>
          <w:color w:val="000000" w:themeColor="text1"/>
          <w:sz w:val="44"/>
          <w:szCs w:val="44"/>
          <w:highlight w:val="none"/>
        </w:rPr>
        <w:t xml:space="preserve">第一章 磋商邀请函</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rPr>
          <w:color w:val="000000" w:themeColor="text1"/>
        </w:rPr>
      </w:r>
    </w:p>
    <w:p>
      <w:pPr>
        <w:pStyle w:val="1330"/>
        <w:ind w:left="0" w:firstLine="0"/>
        <w:jc w:val="both"/>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ind w:left="0" w:firstLine="480"/>
        <w:jc w:val="left"/>
        <w:keepLines w:val="0"/>
        <w:keepNext w:val="0"/>
        <w:pageBreakBefore w:val="0"/>
        <w:spacing w:line="360" w:lineRule="auto"/>
        <w:rPr>
          <w:rFonts w:hint="eastAsia" w:ascii="宋体" w:hAnsi="宋体" w:cs="宋体"/>
          <w:color w:val="000000" w:themeColor="text1"/>
          <w:sz w:val="24"/>
          <w:szCs w:val="24"/>
          <w:highlight w:val="none"/>
        </w:rPr>
        <w:sectPr>
          <w:footerReference w:type="default" r:id="rId16"/>
          <w:footerReference w:type="first" r:id="rId17"/>
          <w:footnotePr/>
          <w:endnotePr/>
          <w:type w:val="nextPage"/>
          <w:pgSz w:w="11906" w:h="16838" w:orient="portrait"/>
          <w:pgMar w:top="1417" w:right="1247" w:bottom="1417" w:left="1247" w:header="850" w:footer="992" w:gutter="0"/>
          <w:cols w:num="1" w:sep="0" w:space="0" w:equalWidth="1"/>
          <w:docGrid w:linePitch="360"/>
          <w:titlePg/>
        </w:sectPr>
        <w:outlineLvl w:val="9"/>
      </w:pPr>
      <w:r>
        <w:rPr>
          <w:color w:val="000000" w:themeColor="text1"/>
        </w:rPr>
      </w:r>
      <w:bookmarkStart w:id="14" w:name="_Toc16571"/>
      <w:r>
        <w:rPr>
          <w:color w:val="000000" w:themeColor="text1"/>
        </w:rPr>
      </w:r>
      <w:bookmarkStart w:id="15" w:name="_Toc3644"/>
      <w:r>
        <w:rPr>
          <w:color w:val="000000" w:themeColor="text1"/>
        </w:rPr>
      </w:r>
      <w:r>
        <w:rPr>
          <w:color w:val="000000" w:themeColor="text1"/>
        </w:rPr>
      </w:r>
    </w:p>
    <w:p>
      <w:pPr>
        <w:ind w:left="0"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eastAsia="zh-CN"/>
        </w:rPr>
        <w:t xml:space="preserve">江苏正琦工程咨询有限公司</w:t>
      </w:r>
      <w:r>
        <w:rPr>
          <w:rFonts w:hint="eastAsia" w:ascii="宋体" w:hAnsi="宋体" w:eastAsia="宋体" w:cs="宋体"/>
          <w:color w:val="000000" w:themeColor="text1"/>
          <w:sz w:val="24"/>
          <w:szCs w:val="24"/>
          <w:highlight w:val="none"/>
        </w:rPr>
        <w:t xml:space="preserve">受</w:t>
      </w:r>
      <w:r>
        <w:rPr>
          <w:rFonts w:hint="eastAsia" w:ascii="宋体" w:hAnsi="宋体" w:cs="宋体"/>
          <w:color w:val="000000" w:themeColor="text1"/>
          <w:sz w:val="24"/>
          <w:szCs w:val="24"/>
          <w:highlight w:val="none"/>
          <w:u w:val="single"/>
          <w:lang w:val="en-US" w:eastAsia="zh-CN"/>
        </w:rPr>
        <w:t xml:space="preserve">苏州市吴中区甪直镇人民政府</w:t>
      </w:r>
      <w:r>
        <w:rPr>
          <w:rFonts w:hint="eastAsia" w:ascii="宋体" w:hAnsi="宋体" w:eastAsia="宋体" w:cs="宋体"/>
          <w:color w:val="000000" w:themeColor="text1"/>
          <w:sz w:val="24"/>
          <w:szCs w:val="24"/>
          <w:highlight w:val="none"/>
        </w:rPr>
        <w:t xml:space="preserve">的委托，就</w:t>
      </w:r>
      <w:r>
        <w:rPr>
          <w:rFonts w:hint="eastAsia" w:ascii="宋体" w:hAnsi="宋体" w:cs="宋体"/>
          <w:color w:val="000000" w:themeColor="text1"/>
          <w:sz w:val="24"/>
          <w:szCs w:val="24"/>
          <w:highlight w:val="none"/>
          <w:u w:val="single"/>
          <w:lang w:val="en-US" w:eastAsia="zh-CN"/>
        </w:rPr>
        <w:t xml:space="preserve">2026-2027年度绕城高速甪直、车坊段绿化养护</w:t>
      </w:r>
      <w:r>
        <w:rPr>
          <w:rFonts w:hint="eastAsia" w:ascii="宋体" w:hAnsi="宋体" w:eastAsia="宋体" w:cs="宋体"/>
          <w:color w:val="000000" w:themeColor="text1"/>
          <w:sz w:val="24"/>
          <w:szCs w:val="24"/>
          <w:highlight w:val="none"/>
        </w:rPr>
        <w:t xml:space="preserve">采用竞争性磋商方式进行采购。欢迎符合资格条件的供应商前来报名参加磋商。</w:t>
      </w:r>
      <w:bookmarkEnd w:id="14"/>
      <w:r>
        <w:rPr>
          <w:color w:val="000000" w:themeColor="text1"/>
        </w:rPr>
      </w:r>
      <w:bookmarkEnd w:id="15"/>
      <w:r>
        <w:rPr>
          <w:color w:val="000000" w:themeColor="text1"/>
        </w:rPr>
      </w:r>
      <w:r>
        <w:rPr>
          <w:color w:val="000000" w:themeColor="text1"/>
        </w:rPr>
      </w:r>
    </w:p>
    <w:p>
      <w:pPr>
        <w:ind w:left="0" w:firstLine="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color w:val="000000" w:themeColor="text1"/>
        </w:rPr>
      </w:r>
      <w:bookmarkStart w:id="16" w:name="_Toc14794"/>
      <w:r>
        <w:rPr>
          <w:color w:val="000000" w:themeColor="text1"/>
        </w:rPr>
      </w:r>
      <w:bookmarkStart w:id="17" w:name="_Toc19838"/>
      <w:r>
        <w:rPr>
          <w:rFonts w:hint="eastAsia" w:ascii="宋体" w:hAnsi="宋体" w:eastAsia="宋体" w:cs="宋体"/>
          <w:b/>
          <w:bCs/>
          <w:color w:val="000000" w:themeColor="text1"/>
          <w:sz w:val="24"/>
          <w:szCs w:val="24"/>
          <w:highlight w:val="none"/>
        </w:rPr>
        <w:t xml:space="preserve">一、项目基本情况：</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rPr>
        <w:t xml:space="preserve">编号：</w:t>
      </w:r>
      <w:r>
        <w:rPr>
          <w:rFonts w:hint="eastAsia" w:ascii="宋体" w:hAnsi="宋体" w:eastAsia="宋体" w:cs="宋体"/>
          <w:color w:val="000000" w:themeColor="text1"/>
          <w:sz w:val="24"/>
          <w:szCs w:val="24"/>
          <w:highlight w:val="none"/>
          <w:lang w:val="en-US" w:eastAsia="zh-CN"/>
        </w:rPr>
        <w:t xml:space="preserve">JSZC-320506-JSZQ-C2026-0008</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2、项目名称：</w:t>
      </w:r>
      <w:r>
        <w:rPr>
          <w:rFonts w:hint="eastAsia" w:ascii="宋体" w:hAnsi="宋体" w:eastAsia="宋体" w:cs="宋体"/>
          <w:color w:val="000000" w:themeColor="text1"/>
          <w:sz w:val="24"/>
          <w:szCs w:val="24"/>
          <w:highlight w:val="none"/>
          <w:lang w:val="en-US" w:eastAsia="zh-CN"/>
        </w:rPr>
        <w:t xml:space="preserve">2026-2027年度绕城高速甪直、车坊段绿化养护</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3、采购方式：竞争性磋商</w:t>
      </w:r>
      <w:bookmarkEnd w:id="16"/>
      <w:r>
        <w:rPr>
          <w:color w:val="000000" w:themeColor="text1"/>
        </w:rPr>
      </w:r>
      <w:bookmarkEnd w:id="17"/>
      <w:r>
        <w:rPr>
          <w:color w:val="000000" w:themeColor="text1"/>
        </w:rPr>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color w:val="000000" w:themeColor="text1"/>
        </w:rPr>
      </w:r>
      <w:bookmarkStart w:id="18" w:name="_Toc2412"/>
      <w:r>
        <w:rPr>
          <w:color w:val="000000" w:themeColor="text1"/>
        </w:rPr>
      </w:r>
      <w:bookmarkStart w:id="19" w:name="_Toc6217"/>
      <w:r>
        <w:rPr>
          <w:color w:val="000000" w:themeColor="text1"/>
        </w:rPr>
      </w:r>
      <w:bookmarkStart w:id="20" w:name="_Toc58248880"/>
      <w:r>
        <w:rPr>
          <w:color w:val="000000" w:themeColor="text1"/>
        </w:rPr>
      </w:r>
      <w:bookmarkStart w:id="21" w:name="_Toc57376406"/>
      <w:r>
        <w:rPr>
          <w:rFonts w:hint="eastAsia" w:ascii="宋体" w:hAnsi="宋体" w:eastAsia="宋体" w:cs="宋体"/>
          <w:color w:val="000000" w:themeColor="text1"/>
          <w:sz w:val="24"/>
          <w:szCs w:val="24"/>
          <w:highlight w:val="none"/>
          <w:lang w:val="en-US" w:eastAsia="zh-CN"/>
        </w:rPr>
        <w:t xml:space="preserve">4、预算金额：人民币壹佰伍拾陆万柒仟伍佰捌拾玖元整（¥1567589.00）</w:t>
      </w:r>
      <w:r>
        <w:rPr>
          <w:color w:val="000000" w:themeColor="text1"/>
        </w:rP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5、最高限价：人民币壹佰伍拾陆万柒仟伍佰捌拾玖元整（¥1567589.00）</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6、采购需求：2026-2027年度绕城高速甪直、车坊段绿化养护，详见采购文件。</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合同履行期限：</w:t>
      </w:r>
      <w:r>
        <w:rPr>
          <w:rFonts w:hint="eastAsia" w:ascii="宋体" w:hAnsi="宋体" w:eastAsia="宋体" w:cs="宋体"/>
          <w:color w:val="000000" w:themeColor="text1"/>
          <w:sz w:val="24"/>
          <w:szCs w:val="24"/>
          <w:highlight w:val="none"/>
          <w:lang w:val="en-US" w:eastAsia="zh-CN"/>
        </w:rPr>
        <w:t xml:space="preserve">绕城高速甪直</w:t>
      </w:r>
      <w:r>
        <w:rPr>
          <w:rFonts w:hint="eastAsia" w:ascii="宋体" w:hAnsi="宋体" w:cs="宋体"/>
          <w:color w:val="000000" w:themeColor="text1"/>
          <w:sz w:val="24"/>
          <w:szCs w:val="24"/>
          <w:highlight w:val="none"/>
          <w:lang w:val="en-US" w:eastAsia="zh-CN"/>
        </w:rPr>
        <w:t xml:space="preserve">段绿化养护期12个月、</w:t>
      </w:r>
      <w:r>
        <w:rPr>
          <w:rFonts w:hint="eastAsia" w:ascii="宋体" w:hAnsi="宋体" w:eastAsia="宋体" w:cs="宋体"/>
          <w:color w:val="000000" w:themeColor="text1"/>
          <w:sz w:val="24"/>
          <w:szCs w:val="24"/>
          <w:highlight w:val="none"/>
          <w:lang w:val="en-US" w:eastAsia="zh-CN"/>
        </w:rPr>
        <w:t xml:space="preserve">绕城高速</w:t>
      </w:r>
      <w:r>
        <w:rPr>
          <w:rFonts w:hint="eastAsia" w:ascii="宋体" w:hAnsi="宋体" w:cs="宋体"/>
          <w:color w:val="000000" w:themeColor="text1"/>
          <w:sz w:val="24"/>
          <w:szCs w:val="24"/>
          <w:highlight w:val="none"/>
          <w:lang w:val="en-US" w:eastAsia="zh-CN"/>
        </w:rPr>
        <w:t xml:space="preserve">车坊段绿化养护期10个月</w:t>
      </w:r>
      <w:r>
        <w:rPr>
          <w:rFonts w:hint="eastAsia" w:ascii="宋体" w:hAnsi="宋体" w:eastAsia="宋体" w:cs="宋体"/>
          <w:color w:val="000000" w:themeColor="text1"/>
          <w:sz w:val="24"/>
          <w:szCs w:val="24"/>
          <w:highlight w:val="none"/>
          <w:lang w:eastAsia="zh-CN"/>
        </w:rPr>
        <w:t xml:space="preserve">（具体以采购单位通知时间为准）</w:t>
      </w:r>
      <w:r>
        <w:rPr>
          <w:rFonts w:hint="eastAsia" w:ascii="宋体" w:hAnsi="宋体" w:cs="宋体"/>
          <w:color w:val="000000" w:themeColor="text1"/>
          <w:sz w:val="24"/>
          <w:szCs w:val="24"/>
          <w:highlight w:val="none"/>
          <w:lang w:eastAsia="zh-CN"/>
        </w:rPr>
        <w:t xml:space="preserve">。</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本项目（是/否）接受联合体：否 </w:t>
      </w:r>
      <w:r>
        <w:rPr>
          <w:color w:val="000000" w:themeColor="text1"/>
        </w:rPr>
      </w:r>
    </w:p>
    <w:p>
      <w:pPr>
        <w:ind w:left="0" w:firstLine="0"/>
        <w:keepLines w:val="0"/>
        <w:keepNext w:val="0"/>
        <w:pageBreakBefore w:val="0"/>
        <w:spacing w:line="360" w:lineRule="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二、申请人</w:t>
      </w:r>
      <w:r>
        <w:rPr>
          <w:rFonts w:hint="eastAsia" w:ascii="宋体" w:hAnsi="宋体" w:eastAsia="宋体" w:cs="宋体"/>
          <w:b/>
          <w:bCs/>
          <w:color w:val="000000" w:themeColor="text1"/>
          <w:sz w:val="24"/>
          <w:szCs w:val="24"/>
          <w:highlight w:val="none"/>
          <w:lang w:val="en-US" w:eastAsia="zh-CN"/>
        </w:rPr>
        <w:t xml:space="preserve">的</w:t>
      </w:r>
      <w:r>
        <w:rPr>
          <w:rFonts w:hint="eastAsia" w:ascii="宋体" w:hAnsi="宋体" w:eastAsia="宋体" w:cs="宋体"/>
          <w:b/>
          <w:bCs/>
          <w:color w:val="000000" w:themeColor="text1"/>
          <w:sz w:val="24"/>
          <w:szCs w:val="24"/>
          <w:highlight w:val="none"/>
        </w:rPr>
        <w:t xml:space="preserve">资格要求：</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1、满足《中华人民共和国政府采购法》第二十二条规定：</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（1）具有独立承担民事责任的能力；</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（2）具有良好的商业信誉和健全的财务会计制度；</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（3）具有履行合同所必需的设备和专业技术能力；</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（4）有依法缴纳税收和社会保障资金的良好记录；</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（5）参加政府采购活动近三年内，在经营活动中没有重大违法记录；</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（6）法律、行政法规规定的其他条件</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szCs w:val="24"/>
          <w:highlight w:val="none"/>
        </w:rPr>
        <w:t xml:space="preserve">根据《政府采购促进中小企业发展管理办法》的相关规定，</w:t>
      </w:r>
      <w:r>
        <w:rPr>
          <w:rFonts w:hint="eastAsia" w:ascii="宋体" w:hAnsi="宋体" w:cs="宋体"/>
          <w:b/>
          <w:bCs/>
          <w:color w:val="000000" w:themeColor="text1"/>
          <w:sz w:val="24"/>
          <w:szCs w:val="24"/>
          <w:highlight w:val="none"/>
        </w:rPr>
        <w:t xml:space="preserve">本项目专门面向中小企业</w:t>
      </w:r>
      <w:r>
        <w:rPr>
          <w:rFonts w:hint="eastAsia" w:ascii="宋体" w:hAnsi="宋体" w:cs="宋体"/>
          <w:color w:val="000000" w:themeColor="text1"/>
          <w:sz w:val="24"/>
          <w:szCs w:val="24"/>
          <w:highlight w:val="none"/>
        </w:rPr>
        <w:t xml:space="preserve">，</w:t>
      </w:r>
      <w:r>
        <w:rPr>
          <w:rFonts w:hint="eastAsia" w:ascii="宋体" w:hAnsi="宋体" w:eastAsia="宋体" w:cs="宋体"/>
          <w:b/>
          <w:bCs/>
          <w:i w:val="0"/>
          <w:iCs w:val="0"/>
          <w:caps w:val="0"/>
          <w:color w:val="000000" w:themeColor="text1"/>
          <w:spacing w:val="0"/>
          <w:sz w:val="24"/>
          <w:szCs w:val="24"/>
          <w:shd w:val="clear" w:color="auto" w:fill="ffffff"/>
        </w:rPr>
        <w:t xml:space="preserve">所属行业为其他未列明行业</w:t>
      </w:r>
      <w:r>
        <w:rPr>
          <w:rFonts w:hint="eastAsia" w:ascii="宋体" w:hAnsi="宋体" w:cs="宋体"/>
          <w:b/>
          <w:bCs/>
          <w:i w:val="0"/>
          <w:iCs w:val="0"/>
          <w:caps w:val="0"/>
          <w:color w:val="000000" w:themeColor="text1"/>
          <w:spacing w:val="0"/>
          <w:sz w:val="24"/>
          <w:szCs w:val="24"/>
          <w:shd w:val="clear" w:color="auto" w:fill="ffffff"/>
          <w:lang w:eastAsia="zh-CN"/>
        </w:rPr>
        <w:t xml:space="preserve">，</w:t>
      </w:r>
      <w:r>
        <w:rPr>
          <w:rFonts w:hint="eastAsia" w:ascii="宋体" w:hAnsi="宋体" w:cs="宋体"/>
          <w:color w:val="000000" w:themeColor="text1"/>
          <w:sz w:val="24"/>
          <w:szCs w:val="24"/>
          <w:highlight w:val="none"/>
        </w:rPr>
        <w:t xml:space="preserve">供应商应为中小微企业、监狱企业、残疾人福利性单位</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3、本项目的特定资格要求：</w:t>
      </w:r>
      <w:r>
        <w:rPr>
          <w:color w:val="000000" w:themeColor="text1"/>
        </w:rPr>
      </w:r>
    </w:p>
    <w:p>
      <w:pPr>
        <w:ind w:left="0" w:firstLine="480"/>
        <w:keepLines w:val="0"/>
        <w:keepNext w:val="0"/>
        <w:pageBreakBefore w:val="0"/>
        <w:spacing w:line="360" w:lineRule="auto"/>
        <w:widowControl w:val="off"/>
        <w:rPr>
          <w:rStyle w:val="1360"/>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未被“信用中国”网站（www.creditchina.gov.cn）列入失信被执行人、重大税收</w:t>
      </w:r>
      <w:r>
        <w:rPr>
          <w:rStyle w:val="1360"/>
          <w:rFonts w:hint="eastAsia" w:ascii="宋体" w:hAnsi="宋体" w:eastAsia="宋体" w:cs="宋体"/>
          <w:color w:val="000000" w:themeColor="text1"/>
          <w:sz w:val="24"/>
          <w:szCs w:val="24"/>
          <w:highlight w:val="none"/>
          <w:lang w:eastAsia="zh-CN"/>
        </w:rPr>
        <w:t xml:space="preserve">违法案件当事人名单、政府采购严重失信行为记录名单</w:t>
      </w:r>
      <w:r>
        <w:rPr>
          <w:rStyle w:val="1360"/>
          <w:rFonts w:hint="eastAsia" w:ascii="宋体" w:hAnsi="宋体" w:cs="宋体"/>
          <w:color w:val="000000" w:themeColor="text1"/>
          <w:sz w:val="24"/>
          <w:szCs w:val="24"/>
          <w:highlight w:val="none"/>
          <w:lang w:eastAsia="zh-CN"/>
        </w:rPr>
        <w:t xml:space="preserve">；</w:t>
      </w:r>
      <w:r>
        <w:rPr>
          <w:color w:val="000000" w:themeColor="text1"/>
        </w:rPr>
      </w:r>
    </w:p>
    <w:p>
      <w:pPr>
        <w:ind w:left="0" w:firstLine="480"/>
        <w:keepLines w:val="0"/>
        <w:keepNext w:val="0"/>
        <w:pageBreakBefore w:val="0"/>
        <w:spacing w:line="360" w:lineRule="auto"/>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cs="宋体"/>
          <w:color w:val="000000" w:themeColor="text1"/>
          <w:sz w:val="24"/>
          <w:szCs w:val="24"/>
          <w:highlight w:val="none"/>
          <w:lang w:eastAsia="zh-CN"/>
        </w:rPr>
        <w:t xml:space="preserve">（</w:t>
      </w:r>
      <w:r>
        <w:rPr>
          <w:rStyle w:val="1360"/>
          <w:rFonts w:hint="eastAsia" w:ascii="宋体" w:hAnsi="宋体" w:cs="宋体"/>
          <w:color w:val="000000" w:themeColor="text1"/>
          <w:sz w:val="24"/>
          <w:szCs w:val="24"/>
          <w:highlight w:val="none"/>
          <w:lang w:val="en-US" w:eastAsia="zh-CN"/>
        </w:rPr>
        <w:t xml:space="preserve">2</w:t>
      </w:r>
      <w:r>
        <w:rPr>
          <w:rStyle w:val="1360"/>
          <w:rFonts w:hint="eastAsia" w:ascii="宋体" w:hAnsi="宋体" w:cs="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left="0" w:firstLine="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三、获取采购文件：</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报名截止</w:t>
      </w:r>
      <w:r>
        <w:rPr>
          <w:rFonts w:hint="eastAsia" w:ascii="宋体" w:hAnsi="宋体" w:cs="宋体"/>
          <w:color w:val="000000" w:themeColor="text1"/>
          <w:sz w:val="24"/>
          <w:szCs w:val="24"/>
          <w:highlight w:val="none"/>
        </w:rPr>
        <w:t xml:space="preserve">时间：自本项目采购公告发布之日起</w:t>
      </w:r>
      <w:r>
        <w:rPr>
          <w:rFonts w:hint="eastAsia" w:ascii="宋体" w:hAnsi="宋体" w:cs="宋体"/>
          <w:color w:val="000000" w:themeColor="text1"/>
          <w:sz w:val="24"/>
          <w:highlight w:val="none"/>
        </w:rPr>
        <w:t xml:space="preserve">5个工作日</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2、地点：“苏采云”系统下载（网址：</w:t>
      </w: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HYPERLINK "http://jszfcg.jsczt.cn/）"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http://jszfcg.jsczt.cn/）</w:t>
      </w:r>
      <w:r>
        <w:rPr>
          <w:rFonts w:hint="eastAsia" w:ascii="宋体" w:hAnsi="宋体" w:cs="宋体"/>
          <w:color w:val="000000" w:themeColor="text1"/>
          <w:sz w:val="24"/>
          <w:szCs w:val="24"/>
          <w:highlight w:val="none"/>
        </w:rPr>
        <w:fldChar w:fldCharType="end"/>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3、方式：网上获取</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（1）CA证书办理</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（2）参与采购活动</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（3）电子投标准备</w:t>
      </w:r>
      <w:r>
        <w:rPr>
          <w:color w:val="000000" w:themeColor="text1"/>
        </w:rPr>
      </w:r>
    </w:p>
    <w:p>
      <w:pPr>
        <w:ind w:left="0" w:firstLine="482"/>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在系统操作过程中如有疑问，请按以下方式联系：</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CA技术咨询电话：400-608-6099；</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签章使用问题：025-83633811、025-83633812、15380932027、15371015030；</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“苏采云”平台技术咨询电话：0519-86722802、13914088964、18261002950；智能客服：登录苏采云系统后，联系系统右下方智能客服图标进行咨询。</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4、售价：免费</w:t>
      </w:r>
      <w:r>
        <w:rPr>
          <w:color w:val="000000" w:themeColor="text1"/>
        </w:rPr>
      </w:r>
    </w:p>
    <w:p>
      <w:pPr>
        <w:ind w:left="0" w:firstLine="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四、提交响应文件截止时间、开标时间和地点</w:t>
      </w:r>
      <w:r>
        <w:rPr>
          <w:rFonts w:hint="eastAsia" w:ascii="宋体" w:hAnsi="宋体" w:cs="宋体"/>
          <w:b/>
          <w:bCs/>
          <w:color w:val="000000" w:themeColor="text1"/>
          <w:sz w:val="24"/>
          <w:szCs w:val="24"/>
          <w:highlight w:val="none"/>
          <w:lang w:eastAsia="zh-CN"/>
        </w:rPr>
        <w:t xml:space="preserve">：</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1、提交响应文件截止时间：</w:t>
      </w:r>
      <w:r>
        <w:rPr>
          <w:rFonts w:hint="eastAsia" w:ascii="宋体" w:hAnsi="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lang w:eastAsia="zh-CN"/>
        </w:rPr>
        <w:t xml:space="preserve">年</w:t>
      </w:r>
      <w:r>
        <w:rPr>
          <w:rFonts w:hint="eastAsia" w:ascii="宋体" w:hAnsi="宋体" w:cs="宋体"/>
          <w:color w:val="000000" w:themeColor="text1"/>
          <w:sz w:val="24"/>
          <w:szCs w:val="24"/>
          <w:highlight w:val="none"/>
          <w:lang w:eastAsia="zh-CN"/>
        </w:rPr>
        <w:t xml:space="preserve">08月</w:t>
      </w:r>
      <w:r>
        <w:rPr>
          <w:rFonts w:hint="eastAsia" w:ascii="宋体" w:hAnsi="宋体" w:cs="宋体"/>
          <w:color w:val="000000" w:themeColor="text1"/>
          <w:sz w:val="24"/>
          <w:szCs w:val="24"/>
          <w:highlight w:val="none"/>
          <w:lang w:eastAsia="zh-CN"/>
        </w:rPr>
        <w:t xml:space="preserve">25日</w:t>
      </w:r>
      <w:r>
        <w:rPr>
          <w:rFonts w:hint="eastAsia" w:ascii="宋体" w:hAnsi="宋体" w:cs="宋体"/>
          <w:color w:val="000000" w:themeColor="text1"/>
          <w:sz w:val="24"/>
          <w:szCs w:val="24"/>
          <w:highlight w:val="none"/>
          <w:lang w:val="en-US" w:eastAsia="zh-CN"/>
        </w:rPr>
        <w:t xml:space="preserve">09</w:t>
      </w:r>
      <w:r>
        <w:rPr>
          <w:rFonts w:hint="eastAsia" w:ascii="宋体" w:hAnsi="宋体" w:cs="宋体"/>
          <w:color w:val="000000" w:themeColor="text1"/>
          <w:sz w:val="24"/>
          <w:szCs w:val="24"/>
          <w:highlight w:val="none"/>
          <w:lang w:eastAsia="zh-CN"/>
        </w:rPr>
        <w:t xml:space="preserve">点</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eastAsia="zh-CN"/>
        </w:rPr>
        <w:t xml:space="preserve">0分</w:t>
      </w:r>
      <w:r>
        <w:rPr>
          <w:rFonts w:hint="eastAsia" w:ascii="宋体" w:hAnsi="宋体" w:cs="宋体"/>
          <w:color w:val="000000" w:themeColor="text1"/>
          <w:sz w:val="24"/>
          <w:szCs w:val="24"/>
          <w:highlight w:val="none"/>
        </w:rPr>
        <w:t xml:space="preserve">（北京时间）；</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eastAsia="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w:t>
      </w:r>
      <w:r>
        <w:rPr>
          <w:rFonts w:hint="eastAsia" w:ascii="宋体" w:hAnsi="宋体" w:eastAsia="宋体" w:cs="宋体"/>
          <w:color w:val="000000" w:themeColor="text1"/>
          <w:sz w:val="24"/>
          <w:szCs w:val="24"/>
          <w:highlight w:val="none"/>
          <w:lang w:eastAsia="zh-CN"/>
        </w:rPr>
        <w:t xml:space="preserve">08月</w:t>
      </w:r>
      <w:r>
        <w:rPr>
          <w:rFonts w:hint="eastAsia" w:ascii="宋体" w:hAnsi="宋体" w:eastAsia="宋体" w:cs="宋体"/>
          <w:color w:val="000000" w:themeColor="text1"/>
          <w:sz w:val="24"/>
          <w:szCs w:val="24"/>
          <w:highlight w:val="none"/>
          <w:lang w:eastAsia="zh-CN"/>
        </w:rPr>
        <w:t xml:space="preserve">25日</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eastAsia="zh-CN"/>
        </w:rPr>
        <w:t xml:space="preserve">点30分</w:t>
      </w:r>
      <w:r>
        <w:rPr>
          <w:rFonts w:hint="eastAsia" w:ascii="宋体" w:hAnsi="宋体" w:eastAsia="宋体" w:cs="宋体"/>
          <w:color w:val="000000" w:themeColor="text1"/>
          <w:sz w:val="24"/>
          <w:szCs w:val="24"/>
          <w:highlight w:val="none"/>
          <w:lang w:eastAsia="zh-CN"/>
        </w:rPr>
        <w:t xml:space="preserve">（北京时间）</w:t>
      </w:r>
      <w:r>
        <w:rPr>
          <w:rFonts w:hint="eastAsia" w:ascii="宋体" w:hAnsi="宋体" w:cs="宋体"/>
          <w:color w:val="000000" w:themeColor="text1"/>
          <w:sz w:val="24"/>
          <w:szCs w:val="24"/>
          <w:highlight w:val="none"/>
        </w:rPr>
        <w:t xml:space="preserve">；</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highlight w:val="none"/>
        </w:rPr>
        <w:t xml:space="preserve">供应商应充分考虑到网络环境、网络带宽等风险因素，如因供应商自身原因造成的电子响应文件上传不成功由供应商自行承担全部责任。</w:t>
      </w:r>
      <w:r>
        <w:rPr>
          <w:color w:val="000000" w:themeColor="text1"/>
        </w:rPr>
      </w:r>
    </w:p>
    <w:p>
      <w:pPr>
        <w:ind w:left="0" w:firstLine="48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color w:val="000000" w:themeColor="text1"/>
        </w:rP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b/>
          <w:bCs/>
          <w:color w:val="000000" w:themeColor="text1"/>
          <w:sz w:val="24"/>
          <w:szCs w:val="24"/>
          <w:highlight w:val="none"/>
        </w:rPr>
        <w:t xml:space="preserve">请供应商确保电脑、系统及其他设备（视频输入输出设备等）无误，且开标直至项目结束始终保持系统在线状态。</w:t>
      </w:r>
      <w:r>
        <w:rPr>
          <w:color w:val="000000" w:themeColor="text1"/>
        </w:rPr>
      </w:r>
    </w:p>
    <w:p>
      <w:pPr>
        <w:ind w:left="0" w:firstLine="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五、其他补充事宜</w:t>
      </w:r>
      <w:r>
        <w:rPr>
          <w:rFonts w:hint="eastAsia" w:ascii="宋体" w:hAnsi="宋体" w:cs="宋体"/>
          <w:b/>
          <w:bCs/>
          <w:color w:val="000000" w:themeColor="text1"/>
          <w:sz w:val="24"/>
          <w:szCs w:val="24"/>
          <w:highlight w:val="none"/>
          <w:lang w:val="en-US" w:eastAsia="zh-CN"/>
        </w:rPr>
        <w:t xml:space="preserve">：</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、政府采购管理监督电话：0512-65283947。</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、本采购信息公告媒体：</w:t>
      </w:r>
      <w:r>
        <w:rPr>
          <w:rFonts w:hint="eastAsia" w:ascii="宋体" w:hAnsi="宋体" w:cs="宋体"/>
          <w:color w:val="000000" w:themeColor="text1"/>
          <w:sz w:val="24"/>
          <w:szCs w:val="24"/>
          <w:highlight w:val="none"/>
          <w:lang w:eastAsia="zh-CN"/>
        </w:rPr>
        <w:t xml:space="preserve">苏州市政府采购网、江苏政府采购网</w:t>
      </w:r>
      <w:r>
        <w:rPr>
          <w:rFonts w:hint="eastAsia" w:ascii="宋体" w:hAnsi="宋体" w:cs="宋体"/>
          <w:color w:val="000000" w:themeColor="text1"/>
          <w:sz w:val="24"/>
          <w:szCs w:val="24"/>
          <w:highlight w:val="none"/>
        </w:rPr>
        <w:t xml:space="preserve">。</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、投标（响应）保证金：本项目无需提交响应保证金。项目不收投标（响应）保证金的，投标（响应）人应在投标（响应）文件中提交《投标（响应）保证承诺书》（格式见采购文件第三章）。</w:t>
      </w:r>
      <w:r>
        <w:rPr>
          <w:color w:val="000000" w:themeColor="text1"/>
        </w:rP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color w:val="000000" w:themeColor="text1"/>
        </w:rP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如不同</w:t>
      </w:r>
      <w:r>
        <w:rPr>
          <w:rFonts w:hint="eastAsia" w:ascii="宋体" w:hAnsi="宋体" w:cs="宋体"/>
          <w:color w:val="000000" w:themeColor="text1"/>
          <w:sz w:val="24"/>
          <w:szCs w:val="24"/>
          <w:highlight w:val="none"/>
          <w:lang w:val="en-US" w:eastAsia="zh-CN"/>
        </w:rPr>
        <w:t xml:space="preserve">供应商的</w:t>
      </w:r>
      <w:r>
        <w:rPr>
          <w:rFonts w:hint="eastAsia" w:ascii="宋体" w:hAnsi="宋体" w:cs="宋体"/>
          <w:color w:val="000000" w:themeColor="text1"/>
          <w:sz w:val="24"/>
          <w:szCs w:val="24"/>
          <w:highlight w:val="none"/>
        </w:rPr>
        <w:t xml:space="preserve">响应文件制作机器码一致，则</w:t>
      </w:r>
      <w:r>
        <w:rPr>
          <w:rFonts w:hint="eastAsia" w:ascii="宋体" w:hAnsi="宋体" w:cs="宋体"/>
          <w:color w:val="000000" w:themeColor="text1"/>
          <w:sz w:val="24"/>
          <w:szCs w:val="24"/>
          <w:highlight w:val="none"/>
          <w:lang w:val="en-US" w:eastAsia="zh-CN"/>
        </w:rPr>
        <w:t xml:space="preserve">视为</w:t>
      </w:r>
      <w:r>
        <w:rPr>
          <w:rFonts w:hint="eastAsia" w:ascii="宋体" w:hAnsi="宋体" w:cs="宋体"/>
          <w:color w:val="000000" w:themeColor="text1"/>
          <w:sz w:val="24"/>
          <w:szCs w:val="24"/>
          <w:highlight w:val="none"/>
        </w:rPr>
        <w:t xml:space="preserve">无效响应</w:t>
      </w:r>
      <w:r>
        <w:rPr>
          <w:rFonts w:hint="eastAsia" w:ascii="宋体" w:hAnsi="宋体" w:cs="宋体"/>
          <w:color w:val="000000" w:themeColor="text1"/>
          <w:sz w:val="24"/>
          <w:szCs w:val="24"/>
          <w:highlight w:val="none"/>
          <w:lang w:eastAsia="zh-CN"/>
        </w:rPr>
        <w:t xml:space="preserve">。</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cs="宋体"/>
          <w:b w:val="0"/>
          <w:bCs w:val="0"/>
          <w:color w:val="000000" w:themeColor="text1"/>
          <w:sz w:val="24"/>
          <w:szCs w:val="24"/>
          <w:highlight w:val="none"/>
          <w:lang w:val="en-US" w:eastAsia="zh-CN"/>
        </w:rPr>
        <w:t xml:space="preserve">6、本项目支持政府采购合同信用融资。</w:t>
      </w:r>
      <w:r>
        <w:rPr>
          <w:color w:val="000000" w:themeColor="text1"/>
        </w:rPr>
      </w:r>
    </w:p>
    <w:p>
      <w:pPr>
        <w:ind w:left="0" w:firstLine="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六、凡对本次采购提出询问，请按以下方式联系：</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1、采购人信息</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名称：</w:t>
      </w:r>
      <w:r>
        <w:rPr>
          <w:rFonts w:hint="eastAsia" w:ascii="宋体" w:hAnsi="宋体" w:cs="宋体"/>
          <w:color w:val="000000" w:themeColor="text1"/>
          <w:sz w:val="24"/>
          <w:szCs w:val="24"/>
          <w:highlight w:val="none"/>
          <w:lang w:val="en-US" w:eastAsia="zh-CN"/>
        </w:rPr>
        <w:t xml:space="preserve">苏州市吴中区甪直镇人民政府</w:t>
      </w:r>
      <w:r>
        <w:rPr>
          <w:color w:val="000000" w:themeColor="text1"/>
        </w:rPr>
      </w:r>
    </w:p>
    <w:p>
      <w:pPr>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地址：苏州市吴中区甪直镇鸣市路21号</w:t>
      </w:r>
      <w:r>
        <w:rPr>
          <w:color w:val="000000" w:themeColor="text1"/>
        </w:rP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联系人：</w:t>
      </w:r>
      <w:r>
        <w:rPr>
          <w:rFonts w:hint="eastAsia" w:ascii="宋体" w:hAnsi="宋体" w:eastAsia="宋体"/>
          <w:color w:val="000000" w:themeColor="text1"/>
          <w:sz w:val="24"/>
          <w:szCs w:val="24"/>
          <w:highlight w:val="none"/>
          <w:lang w:val="zh-TW" w:eastAsia="zh-TW"/>
        </w:rPr>
        <w:t xml:space="preserve">卢德喜</w:t>
      </w:r>
      <w:r>
        <w:rPr>
          <w:color w:val="000000" w:themeColor="text1"/>
        </w:rPr>
      </w:r>
    </w:p>
    <w:p>
      <w:pPr>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电话：</w:t>
      </w:r>
      <w:r>
        <w:rPr>
          <w:rFonts w:hint="eastAsia" w:ascii="宋体" w:hAnsi="宋体" w:eastAsia="宋体"/>
          <w:color w:val="000000" w:themeColor="text1"/>
          <w:sz w:val="24"/>
          <w:szCs w:val="24"/>
          <w:highlight w:val="none"/>
          <w:lang w:val="zh-TW" w:eastAsia="zh-TW"/>
        </w:rPr>
        <w:t xml:space="preserve">0512-65026687</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2、采购代理机构信息</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名称：</w:t>
      </w:r>
      <w:r>
        <w:rPr>
          <w:rFonts w:hint="eastAsia" w:ascii="宋体" w:hAnsi="宋体" w:cs="宋体"/>
          <w:color w:val="000000" w:themeColor="text1"/>
          <w:sz w:val="24"/>
          <w:szCs w:val="24"/>
          <w:highlight w:val="none"/>
          <w:lang w:val="en-US" w:eastAsia="zh-CN"/>
        </w:rPr>
        <w:t xml:space="preserve">江苏正琦工程咨询有限公司</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地址：</w:t>
      </w:r>
      <w:r>
        <w:rPr>
          <w:rFonts w:hint="eastAsia" w:ascii="宋体" w:hAnsi="宋体" w:eastAsia="宋体" w:cs="宋体"/>
          <w:b w:val="0"/>
          <w:bCs/>
          <w:color w:val="000000" w:themeColor="text1"/>
          <w:sz w:val="24"/>
          <w:szCs w:val="24"/>
          <w:highlight w:val="none"/>
          <w:lang w:val="en-US" w:eastAsia="zh-CN"/>
        </w:rPr>
        <w:t xml:space="preserve">苏州市相城区月星环球港写字楼1812室</w:t>
      </w:r>
      <w:r>
        <w:rPr>
          <w:color w:val="000000" w:themeColor="text1"/>
        </w:rP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联系人：</w:t>
      </w:r>
      <w:r>
        <w:rPr>
          <w:rFonts w:hint="eastAsia" w:ascii="宋体" w:hAnsi="宋体" w:eastAsia="宋体" w:cs="宋体"/>
          <w:b w:val="0"/>
          <w:bCs/>
          <w:color w:val="000000" w:themeColor="text1"/>
          <w:sz w:val="24"/>
          <w:szCs w:val="24"/>
          <w:highlight w:val="none"/>
          <w:lang w:val="en-US" w:eastAsia="zh-CN"/>
        </w:rPr>
        <w:t xml:space="preserve">储海童、吴晴叶</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电话：</w:t>
      </w:r>
      <w:r>
        <w:rPr>
          <w:rFonts w:hint="eastAsia" w:ascii="宋体" w:hAnsi="宋体" w:eastAsia="宋体"/>
          <w:color w:val="000000" w:themeColor="text1"/>
          <w:sz w:val="24"/>
          <w:szCs w:val="24"/>
          <w:highlight w:val="none"/>
          <w:lang w:val="zh-TW" w:eastAsia="zh-TW"/>
        </w:rPr>
        <w:t xml:space="preserve">0512-66836556</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rPr>
        <w:t xml:space="preserve">项目联系方式：</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项目联系人：储海童、吴晴叶</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电话：</w:t>
      </w:r>
      <w:r>
        <w:rPr>
          <w:rFonts w:hint="eastAsia" w:ascii="宋体" w:hAnsi="宋体" w:eastAsia="宋体"/>
          <w:color w:val="000000" w:themeColor="text1"/>
          <w:sz w:val="24"/>
          <w:szCs w:val="24"/>
          <w:highlight w:val="none"/>
          <w:lang w:val="zh-TW" w:eastAsia="zh-TW"/>
        </w:rPr>
        <w:t xml:space="preserve">0512-66836556</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r>
      <w:r>
        <w:rPr>
          <w:color w:val="000000" w:themeColor="text1"/>
        </w:rPr>
      </w:r>
    </w:p>
    <w:p>
      <w:pPr>
        <w:pStyle w:val="133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br w:type="page" w:clear="all"/>
      </w:r>
      <w:bookmarkStart w:id="22" w:name="_Toc11400"/>
      <w:r>
        <w:rPr>
          <w:color w:val="000000" w:themeColor="text1"/>
        </w:rPr>
      </w:r>
      <w:r>
        <w:rPr>
          <w:color w:val="000000" w:themeColor="text1"/>
        </w:rPr>
      </w:r>
    </w:p>
    <w:p>
      <w:pPr>
        <w:rPr>
          <w:rFonts w:hint="eastAsia"/>
          <w:color w:val="000000" w:themeColor="text1"/>
          <w:highlight w:val="none"/>
        </w:rPr>
      </w:pPr>
      <w:r>
        <w:rPr>
          <w:color w:val="000000" w:themeColor="text1"/>
        </w:rPr>
      </w:r>
      <w:bookmarkStart w:id="23" w:name="_Toc29635"/>
      <w:r>
        <w:rPr>
          <w:color w:val="000000" w:themeColor="text1"/>
        </w:rPr>
      </w:r>
      <w:bookmarkStart w:id="24" w:name="_Toc17517"/>
      <w:r>
        <w:rPr>
          <w:color w:val="000000" w:themeColor="text1"/>
        </w:rPr>
      </w:r>
      <w:bookmarkStart w:id="25" w:name="_Toc31645"/>
      <w:r>
        <w:rPr>
          <w:color w:val="000000" w:themeColor="text1"/>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jc w:val="center"/>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t xml:space="preserve">第二章  </w:t>
      </w:r>
      <w:bookmarkStart w:id="26" w:name="投标人须知"/>
      <w:r>
        <w:rPr>
          <w:color w:val="000000" w:themeColor="text1"/>
        </w:rPr>
      </w:r>
      <w:bookmarkEnd w:id="26"/>
      <w:r>
        <w:rPr>
          <w:rFonts w:hint="eastAsia" w:ascii="宋体" w:hAnsi="宋体" w:eastAsia="宋体" w:cs="宋体"/>
          <w:b/>
          <w:color w:val="000000" w:themeColor="text1"/>
          <w:sz w:val="44"/>
          <w:szCs w:val="44"/>
          <w:highlight w:val="none"/>
        </w:rPr>
        <w:t xml:space="preserve">磋商须知</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rPr>
          <w:color w:val="000000" w:themeColor="text1"/>
        </w:rPr>
      </w:r>
    </w:p>
    <w:p>
      <w:pPr>
        <w:pStyle w:val="1331"/>
        <w:ind w:left="0" w:firstLine="0"/>
        <w:jc w:val="both"/>
        <w:keepLines w:val="0"/>
        <w:keepNext w:val="0"/>
        <w:pageBreakBefore w:val="0"/>
        <w:spacing w:before="0" w:after="0" w:line="360" w:lineRule="auto"/>
        <w:widowControl/>
        <w:rPr>
          <w:rFonts w:hint="eastAsia" w:ascii="宋体" w:hAnsi="宋体" w:eastAsia="宋体" w:cs="宋体"/>
          <w:b/>
          <w:i w:val="0"/>
          <w:iCs w:val="0"/>
          <w:color w:val="000000" w:themeColor="text1"/>
          <w:sz w:val="24"/>
          <w:szCs w:val="24"/>
          <w:highlight w:val="none"/>
        </w:rPr>
        <w:outlineLvl w:val="1"/>
      </w:pPr>
      <w:r>
        <w:rPr>
          <w:color w:val="000000" w:themeColor="text1"/>
        </w:rPr>
      </w:r>
      <w:bookmarkStart w:id="27" w:name="_Toc57376407"/>
      <w:r>
        <w:rPr>
          <w:color w:val="000000" w:themeColor="text1"/>
        </w:rPr>
      </w:r>
      <w:bookmarkStart w:id="28" w:name="_Toc7264"/>
      <w:r>
        <w:rPr>
          <w:color w:val="000000" w:themeColor="text1"/>
        </w:rPr>
      </w:r>
      <w:bookmarkStart w:id="29" w:name="_Toc58248881"/>
      <w:r>
        <w:rPr>
          <w:color w:val="000000" w:themeColor="text1"/>
        </w:rPr>
      </w:r>
      <w:bookmarkStart w:id="30" w:name="_Toc24711"/>
      <w:r>
        <w:rPr>
          <w:rFonts w:hint="eastAsia" w:ascii="宋体" w:hAnsi="宋体" w:eastAsia="宋体" w:cs="宋体"/>
          <w:b/>
          <w:i w:val="0"/>
          <w:iCs w:val="0"/>
          <w:color w:val="000000" w:themeColor="text1"/>
          <w:sz w:val="24"/>
          <w:szCs w:val="24"/>
          <w:highlight w:val="none"/>
        </w:rPr>
        <w:br w:type="page" w:clear="all"/>
      </w:r>
      <w:bookmarkStart w:id="31" w:name="_Toc18877"/>
      <w:r>
        <w:rPr>
          <w:color w:val="000000" w:themeColor="text1"/>
        </w:rPr>
      </w:r>
      <w:bookmarkStart w:id="32" w:name="_Toc16525"/>
      <w:r>
        <w:rPr>
          <w:rFonts w:hint="eastAsia" w:ascii="宋体" w:hAnsi="宋体" w:eastAsia="宋体" w:cs="宋体"/>
          <w:b/>
          <w:i w:val="0"/>
          <w:iCs w:val="0"/>
          <w:color w:val="000000" w:themeColor="text1"/>
          <w:sz w:val="24"/>
          <w:szCs w:val="24"/>
          <w:highlight w:val="none"/>
        </w:rPr>
        <w:t xml:space="preserve">一、响应文件的组成及要求</w:t>
      </w:r>
      <w:bookmarkEnd w:id="31"/>
      <w:r>
        <w:rPr>
          <w:color w:val="000000" w:themeColor="text1"/>
        </w:rPr>
      </w:r>
      <w:bookmarkEnd w:id="32"/>
      <w:r>
        <w:rPr>
          <w:color w:val="000000" w:themeColor="text1"/>
        </w:rPr>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1、响应文件一（报价部分）(格式见第三章)：</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1.1磋商响应函；</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1.2磋商报价表；</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w:t>
      </w:r>
      <w:r>
        <w:rPr>
          <w:rFonts w:hint="eastAsia" w:ascii="宋体" w:hAnsi="宋体" w:eastAsia="宋体" w:cs="宋体"/>
          <w:color w:val="000000" w:themeColor="text1"/>
          <w:sz w:val="24"/>
          <w:szCs w:val="24"/>
          <w:highlight w:val="none"/>
          <w:lang w:eastAsia="zh-CN"/>
        </w:rPr>
        <w:t xml:space="preserve">磋商报价明细表</w:t>
      </w:r>
      <w:r>
        <w:rPr>
          <w:rFonts w:hint="eastAsia" w:ascii="宋体" w:hAnsi="宋体" w:eastAsia="宋体" w:cs="宋体"/>
          <w:color w:val="000000" w:themeColor="text1"/>
          <w:sz w:val="24"/>
          <w:szCs w:val="24"/>
          <w:highlight w:val="none"/>
        </w:rPr>
        <w:t xml:space="preserve">；</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2、响应文件二（资格及技术部分）</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部分格式见第三章</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2.1关于资格文件的声明函；</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2.2磋商响应单位基本情况表；</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2.3磋商响应单位《营业执照》</w:t>
      </w:r>
      <w:r>
        <w:rPr>
          <w:rFonts w:hint="eastAsia" w:ascii="宋体" w:hAnsi="宋体" w:cs="宋体"/>
          <w:color w:val="000000" w:themeColor="text1"/>
          <w:sz w:val="24"/>
          <w:szCs w:val="24"/>
          <w:highlight w:val="none"/>
          <w:lang w:val="en-US" w:eastAsia="zh-CN"/>
        </w:rPr>
        <w:t xml:space="preserve">扫描件</w:t>
      </w:r>
      <w:r>
        <w:rPr>
          <w:rFonts w:hint="eastAsia" w:ascii="宋体" w:hAnsi="宋体" w:eastAsia="宋体" w:cs="宋体"/>
          <w:color w:val="000000" w:themeColor="text1"/>
          <w:sz w:val="24"/>
          <w:szCs w:val="24"/>
          <w:highlight w:val="none"/>
        </w:rPr>
        <w:t xml:space="preserve">或相应主体资格证明文件；</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2.4磋商响应单位法定代表人身份证</w:t>
      </w:r>
      <w:r>
        <w:rPr>
          <w:rFonts w:hint="eastAsia" w:ascii="宋体" w:hAnsi="宋体" w:cs="宋体"/>
          <w:color w:val="000000" w:themeColor="text1"/>
          <w:sz w:val="24"/>
          <w:szCs w:val="24"/>
          <w:highlight w:val="none"/>
          <w:lang w:val="en-US" w:eastAsia="zh-CN"/>
        </w:rPr>
        <w:t xml:space="preserve">扫描件</w:t>
      </w:r>
      <w:r>
        <w:rPr>
          <w:rFonts w:hint="eastAsia" w:ascii="宋体" w:hAnsi="宋体" w:eastAsia="宋体" w:cs="宋体"/>
          <w:color w:val="000000" w:themeColor="text1"/>
          <w:sz w:val="24"/>
          <w:szCs w:val="24"/>
          <w:highlight w:val="none"/>
        </w:rPr>
        <w:t xml:space="preserve">；</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2.5磋商响应单位</w:t>
      </w:r>
      <w:r>
        <w:rPr>
          <w:rFonts w:hint="eastAsia" w:ascii="宋体" w:hAnsi="宋体" w:cs="宋体"/>
          <w:color w:val="000000" w:themeColor="text1"/>
          <w:sz w:val="24"/>
          <w:szCs w:val="24"/>
          <w:highlight w:val="none"/>
          <w:lang w:val="en-US" w:eastAsia="zh-CN"/>
        </w:rPr>
        <w:t xml:space="preserve">委托</w:t>
      </w:r>
      <w:r>
        <w:rPr>
          <w:rFonts w:hint="eastAsia" w:ascii="宋体" w:hAnsi="宋体" w:eastAsia="宋体" w:cs="宋体"/>
          <w:color w:val="000000" w:themeColor="text1"/>
          <w:sz w:val="24"/>
          <w:szCs w:val="24"/>
          <w:highlight w:val="none"/>
        </w:rPr>
        <w:t xml:space="preserve">代理人身份证</w:t>
      </w:r>
      <w:r>
        <w:rPr>
          <w:rFonts w:hint="eastAsia" w:ascii="宋体" w:hAnsi="宋体" w:cs="宋体"/>
          <w:color w:val="000000" w:themeColor="text1"/>
          <w:sz w:val="24"/>
          <w:szCs w:val="24"/>
          <w:highlight w:val="none"/>
          <w:lang w:val="en-US" w:eastAsia="zh-CN"/>
        </w:rPr>
        <w:t xml:space="preserve">扫描件</w:t>
      </w:r>
      <w:r>
        <w:rPr>
          <w:rStyle w:val="1360"/>
          <w:rFonts w:hint="eastAsia" w:ascii="宋体" w:hAnsi="宋体" w:eastAsia="宋体" w:cs="宋体"/>
          <w:color w:val="000000" w:themeColor="text1"/>
          <w:sz w:val="24"/>
          <w:szCs w:val="24"/>
          <w:highlight w:val="none"/>
        </w:rPr>
        <w:t xml:space="preserve">、法定代表人授权委托书</w:t>
      </w:r>
      <w:r>
        <w:rPr>
          <w:rFonts w:hint="eastAsia" w:ascii="宋体" w:hAnsi="宋体" w:eastAsia="宋体" w:cs="宋体"/>
          <w:color w:val="000000" w:themeColor="text1"/>
          <w:sz w:val="24"/>
          <w:szCs w:val="24"/>
          <w:highlight w:val="none"/>
        </w:rPr>
        <w:t xml:space="preserve">（如有授权）；</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w:t>
      </w:r>
      <w:r>
        <w:rPr>
          <w:rStyle w:val="1360"/>
          <w:rFonts w:hint="eastAsia" w:ascii="宋体" w:hAnsi="宋体" w:eastAsia="宋体" w:cs="宋体"/>
          <w:color w:val="000000" w:themeColor="text1"/>
          <w:sz w:val="24"/>
          <w:szCs w:val="24"/>
          <w:highlight w:val="none"/>
        </w:rPr>
        <w:t xml:space="preserve">合格供应商的基本条件、特定</w:t>
      </w:r>
      <w:r>
        <w:rPr>
          <w:rStyle w:val="1360"/>
          <w:rFonts w:hint="eastAsia" w:ascii="宋体" w:hAnsi="宋体" w:eastAsia="宋体" w:cs="宋体"/>
          <w:color w:val="000000" w:themeColor="text1"/>
          <w:sz w:val="24"/>
          <w:szCs w:val="24"/>
          <w:highlight w:val="none"/>
          <w:lang w:val="en-US" w:eastAsia="zh-CN"/>
        </w:rPr>
        <w:t xml:space="preserve">资格</w:t>
      </w:r>
      <w:r>
        <w:rPr>
          <w:rStyle w:val="1360"/>
          <w:rFonts w:hint="eastAsia" w:ascii="宋体" w:hAnsi="宋体" w:eastAsia="宋体" w:cs="宋体"/>
          <w:color w:val="000000" w:themeColor="text1"/>
          <w:sz w:val="24"/>
          <w:szCs w:val="24"/>
          <w:highlight w:val="none"/>
        </w:rPr>
        <w:t xml:space="preserve">所</w:t>
      </w:r>
      <w:r>
        <w:rPr>
          <w:rStyle w:val="1360"/>
          <w:rFonts w:hint="eastAsia" w:ascii="宋体" w:hAnsi="宋体" w:cs="宋体"/>
          <w:color w:val="000000" w:themeColor="text1"/>
          <w:sz w:val="24"/>
          <w:szCs w:val="24"/>
          <w:highlight w:val="none"/>
          <w:lang w:val="en-US" w:eastAsia="zh-CN"/>
        </w:rPr>
        <w:t xml:space="preserve">须</w:t>
      </w:r>
      <w:r>
        <w:rPr>
          <w:rStyle w:val="1360"/>
          <w:rFonts w:hint="eastAsia" w:ascii="宋体" w:hAnsi="宋体" w:eastAsia="宋体" w:cs="宋体"/>
          <w:color w:val="000000" w:themeColor="text1"/>
          <w:sz w:val="24"/>
          <w:szCs w:val="24"/>
          <w:highlight w:val="none"/>
        </w:rPr>
        <w:t xml:space="preserve">提供的相应证明材料，具体包括：</w:t>
      </w:r>
      <w:r>
        <w:rPr>
          <w:color w:val="000000" w:themeColor="text1"/>
        </w:rPr>
      </w:r>
    </w:p>
    <w:p>
      <w:pPr>
        <w:pStyle w:val="1335"/>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2.6.1具有独立承担民事责任的能力证明。包括法人或者其他组织的营业执照等证明文件，自然人的身份证明；</w:t>
      </w:r>
      <w:r>
        <w:rPr>
          <w:color w:val="000000" w:themeColor="text1"/>
        </w:rPr>
      </w:r>
    </w:p>
    <w:p>
      <w:pPr>
        <w:pStyle w:val="1335"/>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w:t>
      </w:r>
      <w:r>
        <w:rPr>
          <w:rFonts w:hint="eastAsia" w:ascii="宋体" w:hAnsi="宋体" w:cs="宋体"/>
          <w:color w:val="000000" w:themeColor="text1"/>
          <w:sz w:val="24"/>
          <w:szCs w:val="24"/>
          <w:highlight w:val="none"/>
        </w:rPr>
        <w:t xml:space="preserve">具有良好的商业信誉和健全的财务会计制度证明。包括但不限于最近一期经审计的财务报告或提供银行出具的资信证明</w:t>
      </w:r>
      <w:r>
        <w:rPr>
          <w:rFonts w:hint="eastAsia" w:ascii="宋体" w:hAnsi="宋体" w:eastAsia="宋体" w:cs="宋体"/>
          <w:color w:val="000000" w:themeColor="text1"/>
          <w:sz w:val="24"/>
          <w:szCs w:val="24"/>
          <w:highlight w:val="none"/>
        </w:rPr>
        <w:t xml:space="preserve">；</w:t>
      </w:r>
      <w:r>
        <w:rPr>
          <w:color w:val="000000" w:themeColor="text1"/>
        </w:rPr>
      </w:r>
    </w:p>
    <w:p>
      <w:pPr>
        <w:pStyle w:val="1335"/>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Style w:val="1360"/>
          <w:rFonts w:hint="eastAsia" w:ascii="宋体" w:hAnsi="宋体" w:cs="宋体"/>
          <w:color w:val="000000" w:themeColor="text1"/>
          <w:sz w:val="24"/>
          <w:szCs w:val="24"/>
          <w:highlight w:val="none"/>
        </w:rPr>
        <w:t xml:space="preserve">履行合同所必备的设备和专业技术能力的证明材料。包括履行合同所必需的设备和专业技术能力的书面声明等材料</w:t>
      </w:r>
      <w:r>
        <w:rPr>
          <w:rStyle w:val="1360"/>
          <w:rFonts w:hint="eastAsia" w:ascii="宋体" w:hAnsi="宋体" w:eastAsia="宋体" w:cs="宋体"/>
          <w:color w:val="000000" w:themeColor="text1"/>
          <w:sz w:val="24"/>
          <w:szCs w:val="24"/>
          <w:highlight w:val="none"/>
        </w:rPr>
        <w:t xml:space="preserve">；</w:t>
      </w:r>
      <w:r>
        <w:rPr>
          <w:color w:val="000000" w:themeColor="text1"/>
        </w:rPr>
      </w:r>
    </w:p>
    <w:p>
      <w:pPr>
        <w:pStyle w:val="1335"/>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2.6.4</w:t>
      </w:r>
      <w:r>
        <w:rPr>
          <w:rFonts w:hint="eastAsia" w:ascii="宋体" w:hAnsi="宋体" w:cs="宋体"/>
          <w:color w:val="000000" w:themeColor="text1"/>
          <w:sz w:val="24"/>
          <w:szCs w:val="24"/>
          <w:highlight w:val="none"/>
        </w:rPr>
        <w:t xml:space="preserve">有依法缴纳税收和社会保障资金的良好记录。</w:t>
      </w:r>
      <w:r>
        <w:rPr>
          <w:rStyle w:val="1360"/>
          <w:rFonts w:hint="eastAsia" w:ascii="宋体" w:hAnsi="宋体" w:cs="宋体"/>
          <w:color w:val="000000" w:themeColor="text1"/>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360"/>
          <w:rFonts w:hint="eastAsia" w:ascii="宋体" w:hAnsi="宋体" w:eastAsia="宋体" w:cs="宋体"/>
          <w:color w:val="000000" w:themeColor="text1"/>
          <w:sz w:val="24"/>
          <w:szCs w:val="24"/>
          <w:highlight w:val="none"/>
          <w:lang w:eastAsia="zh-CN"/>
        </w:rPr>
        <w:t xml:space="preserve">；</w:t>
      </w:r>
      <w:r>
        <w:rPr>
          <w:color w:val="000000" w:themeColor="text1"/>
        </w:rPr>
      </w:r>
    </w:p>
    <w:p>
      <w:pPr>
        <w:pStyle w:val="1335"/>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2.6.5参加政府采购活动前三年内在经营活动中没有重大违法记录的书面声明函；</w:t>
      </w:r>
      <w:r>
        <w:rPr>
          <w:color w:val="000000" w:themeColor="text1"/>
        </w:rPr>
      </w:r>
    </w:p>
    <w:p>
      <w:pPr>
        <w:pStyle w:val="1335"/>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left="0" w:firstLine="480"/>
        <w:keepLines w:val="0"/>
        <w:keepNext w:val="0"/>
        <w:pageBreakBefore w:val="0"/>
        <w:spacing w:line="360" w:lineRule="auto"/>
        <w:tabs>
          <w:tab w:val="left" w:pos="567" w:leader="none"/>
          <w:tab w:val="left" w:pos="900" w:leader="none"/>
        </w:tabs>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2.6.7</w:t>
      </w:r>
      <w:r>
        <w:rPr>
          <w:rFonts w:hint="eastAsia" w:ascii="宋体" w:hAnsi="宋体" w:eastAsia="宋体" w:cs="宋体"/>
          <w:color w:val="000000" w:themeColor="text1"/>
          <w:sz w:val="24"/>
          <w:szCs w:val="24"/>
          <w:highlight w:val="none"/>
          <w:lang w:eastAsia="zh-CN"/>
        </w:rPr>
        <w:t xml:space="preserve">特定资格要求：</w:t>
      </w:r>
      <w:r>
        <w:rPr>
          <w:color w:val="000000" w:themeColor="text1"/>
        </w:rPr>
      </w:r>
    </w:p>
    <w:p>
      <w:pPr>
        <w:pStyle w:val="1348"/>
        <w:ind w:left="0" w:right="0" w:firstLine="480"/>
        <w:jc w:val="both"/>
        <w:keepLines w:val="0"/>
        <w:keepNext w:val="0"/>
        <w:spacing w:before="0" w:beforeAutospacing="0" w:after="0" w:afterAutospacing="0" w:line="360" w:lineRule="auto"/>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2.6.7.1</w:t>
      </w:r>
      <w:r>
        <w:rPr>
          <w:rFonts w:ascii="宋体" w:hAnsi="宋体" w:eastAsia="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rPr>
      </w:r>
    </w:p>
    <w:p>
      <w:pPr>
        <w:ind w:left="0" w:firstLine="480"/>
        <w:spacing w:line="360" w:lineRule="auto"/>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2.6.8《中小企业声明函》或《残疾人福利性单位声明函》或省级以上监狱管理局、戒毒管理局（含新疆生产建设兵团）出具的属于监狱企业的证明文件；</w:t>
      </w:r>
      <w:r>
        <w:rPr>
          <w:color w:val="000000" w:themeColor="text1"/>
        </w:rPr>
      </w:r>
    </w:p>
    <w:p>
      <w:pPr>
        <w:ind w:left="0" w:firstLine="482"/>
        <w:keepLines w:val="0"/>
        <w:keepNext w:val="0"/>
        <w:pageBreakBefore w:val="0"/>
        <w:spacing w:line="360" w:lineRule="auto"/>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b/>
          <w:bCs/>
          <w:color w:val="000000" w:themeColor="text1"/>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ascii="宋体" w:hAnsi="宋体" w:eastAsia="宋体"/>
          <w:color w:val="000000" w:themeColor="text1"/>
          <w:highlight w:val="none"/>
        </w:rPr>
      </w:pPr>
      <w:r>
        <w:rPr>
          <w:rStyle w:val="1360"/>
          <w:rFonts w:hint="eastAsia" w:ascii="宋体" w:hAnsi="宋体" w:cs="宋体"/>
          <w:color w:val="000000" w:themeColor="text1"/>
          <w:sz w:val="24"/>
          <w:szCs w:val="24"/>
          <w:highlight w:val="none"/>
          <w:lang w:val="en-US" w:eastAsia="zh-CN"/>
        </w:rPr>
        <w:t xml:space="preserve">2.7《拟投入本项目的设备清单</w:t>
      </w:r>
      <w:r>
        <w:rPr>
          <w:rStyle w:val="1360"/>
          <w:rFonts w:hint="eastAsia" w:ascii="宋体" w:hAnsi="宋体" w:eastAsia="宋体"/>
          <w:color w:val="000000" w:themeColor="text1"/>
          <w:highlight w:val="none"/>
          <w:lang w:val="en-US" w:eastAsia="zh-CN"/>
        </w:rPr>
        <w:t xml:space="preserve">》</w:t>
      </w:r>
      <w:r>
        <w:rPr>
          <w:rStyle w:val="1360"/>
          <w:rFonts w:ascii="宋体" w:hAnsi="宋体" w:eastAsia="宋体"/>
          <w:color w:val="000000" w:themeColor="text1"/>
          <w:highlight w:val="none"/>
        </w:rPr>
        <w:t xml:space="preserve">；</w:t>
      </w:r>
      <w:r>
        <w:rPr>
          <w:color w:val="000000" w:themeColor="text1"/>
        </w:rPr>
      </w:r>
    </w:p>
    <w:p>
      <w:pPr>
        <w:ind w:left="0" w:firstLine="480"/>
        <w:keepLines w:val="0"/>
        <w:keepNext w:val="0"/>
        <w:pageBreakBefore w:val="0"/>
        <w:spacing w:line="360" w:lineRule="auto"/>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2.8</w:t>
      </w:r>
      <w:r>
        <w:rPr>
          <w:rStyle w:val="1360"/>
          <w:rFonts w:hint="eastAsia" w:ascii="宋体" w:hAnsi="宋体" w:eastAsia="宋体" w:cs="宋体"/>
          <w:color w:val="000000" w:themeColor="text1"/>
          <w:sz w:val="24"/>
          <w:szCs w:val="24"/>
          <w:highlight w:val="none"/>
        </w:rPr>
        <w:t xml:space="preserve">《商务条款偏离表》</w:t>
      </w:r>
      <w:r>
        <w:rPr>
          <w:rStyle w:val="1360"/>
          <w:rFonts w:hint="eastAsia" w:ascii="宋体" w:hAnsi="宋体" w:eastAsia="宋体" w:cs="宋体"/>
          <w:color w:val="000000" w:themeColor="text1"/>
          <w:sz w:val="24"/>
          <w:szCs w:val="24"/>
          <w:highlight w:val="none"/>
          <w:lang w:eastAsia="zh-CN"/>
        </w:rPr>
        <w:t xml:space="preserve">；</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w:t>
      </w:r>
      <w:r>
        <w:rPr>
          <w:rStyle w:val="1360"/>
          <w:rFonts w:hint="eastAsia" w:ascii="宋体" w:hAnsi="宋体" w:cs="宋体"/>
          <w:color w:val="000000" w:themeColor="text1"/>
          <w:sz w:val="24"/>
          <w:szCs w:val="24"/>
          <w:highlight w:val="none"/>
          <w:lang w:val="en-US" w:eastAsia="zh-CN"/>
        </w:rPr>
        <w:t xml:space="preserve">9</w:t>
      </w:r>
      <w:r>
        <w:rPr>
          <w:rStyle w:val="1360"/>
          <w:rFonts w:hint="eastAsia" w:ascii="宋体" w:hAnsi="宋体" w:eastAsia="宋体" w:cs="宋体"/>
          <w:color w:val="000000" w:themeColor="text1"/>
          <w:sz w:val="24"/>
          <w:szCs w:val="24"/>
          <w:highlight w:val="none"/>
        </w:rPr>
        <w:t xml:space="preserve">《拟投入本项目人员配备一览表》；</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hint="eastAsia" w:ascii="宋体" w:hAnsi="宋体" w:eastAsia="宋体"/>
          <w:color w:val="000000" w:themeColor="text1"/>
          <w:highlight w:val="none"/>
        </w:rPr>
      </w:pPr>
      <w:r>
        <w:rPr>
          <w:rStyle w:val="1360"/>
          <w:rFonts w:hint="eastAsia" w:ascii="宋体" w:hAnsi="宋体" w:eastAsia="宋体"/>
          <w:color w:val="000000" w:themeColor="text1"/>
          <w:highlight w:val="none"/>
        </w:rPr>
        <w:t xml:space="preserve">2.1</w:t>
      </w:r>
      <w:r>
        <w:rPr>
          <w:rStyle w:val="1360"/>
          <w:rFonts w:hint="eastAsia" w:ascii="宋体" w:hAnsi="宋体"/>
          <w:color w:val="000000" w:themeColor="text1"/>
          <w:highlight w:val="none"/>
          <w:lang w:val="en-US" w:eastAsia="zh-CN"/>
        </w:rPr>
        <w:t xml:space="preserve">0服务方案</w:t>
      </w:r>
      <w:r>
        <w:rPr>
          <w:rStyle w:val="1360"/>
          <w:rFonts w:hint="eastAsia" w:ascii="宋体" w:hAnsi="宋体" w:eastAsia="宋体"/>
          <w:color w:val="000000" w:themeColor="text1"/>
          <w:highlight w:val="none"/>
        </w:rPr>
        <w:t xml:space="preserve">；</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hint="eastAsia" w:ascii="宋体" w:hAnsi="宋体" w:eastAsia="宋体"/>
          <w:color w:val="000000" w:themeColor="text1"/>
          <w:highlight w:val="none"/>
        </w:rPr>
      </w:pPr>
      <w:r>
        <w:rPr>
          <w:rStyle w:val="1360"/>
          <w:rFonts w:hint="eastAsia" w:ascii="宋体" w:hAnsi="宋体" w:eastAsia="宋体"/>
          <w:color w:val="000000" w:themeColor="text1"/>
          <w:highlight w:val="none"/>
        </w:rPr>
        <w:t xml:space="preserve">2.1</w:t>
      </w:r>
      <w:r>
        <w:rPr>
          <w:rStyle w:val="1360"/>
          <w:rFonts w:hint="eastAsia" w:ascii="宋体" w:hAnsi="宋体"/>
          <w:color w:val="000000" w:themeColor="text1"/>
          <w:highlight w:val="none"/>
          <w:lang w:val="en-US" w:eastAsia="zh-CN"/>
        </w:rPr>
        <w:t xml:space="preserve">1</w:t>
      </w:r>
      <w:r>
        <w:rPr>
          <w:rStyle w:val="1360"/>
          <w:rFonts w:hint="eastAsia" w:ascii="宋体" w:hAnsi="宋体" w:eastAsia="宋体"/>
          <w:color w:val="000000" w:themeColor="text1"/>
          <w:highlight w:val="none"/>
        </w:rPr>
        <w:t xml:space="preserve">《</w:t>
      </w:r>
      <w:r>
        <w:rPr>
          <w:rStyle w:val="1360"/>
          <w:rFonts w:hint="eastAsia" w:ascii="宋体" w:hAnsi="宋体"/>
          <w:color w:val="000000" w:themeColor="text1"/>
          <w:highlight w:val="none"/>
          <w:lang w:val="en-US" w:eastAsia="zh-CN"/>
        </w:rPr>
        <w:t xml:space="preserve">服务要求偏离表</w:t>
      </w:r>
      <w:r>
        <w:rPr>
          <w:rStyle w:val="1360"/>
          <w:rFonts w:hint="eastAsia" w:ascii="宋体" w:hAnsi="宋体" w:eastAsia="宋体"/>
          <w:color w:val="000000" w:themeColor="text1"/>
          <w:highlight w:val="none"/>
        </w:rPr>
        <w:t xml:space="preserve">》；</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2.1</w:t>
      </w:r>
      <w:r>
        <w:rPr>
          <w:rFonts w:hint="eastAsia" w:ascii="宋体" w:hAnsi="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lang w:val="en-US" w:eastAsia="zh-CN"/>
        </w:rPr>
        <w:t xml:space="preserve">《</w:t>
      </w:r>
      <w:r>
        <w:rPr>
          <w:rFonts w:hint="eastAsia" w:ascii="宋体" w:hAnsi="宋体" w:eastAsia="宋体" w:cs="宋体"/>
          <w:color w:val="000000" w:themeColor="text1"/>
          <w:szCs w:val="21"/>
          <w:highlight w:val="none"/>
        </w:rPr>
        <w:t xml:space="preserve">安全责任承诺书》</w:t>
      </w:r>
      <w:r>
        <w:rPr>
          <w:rFonts w:hint="eastAsia" w:ascii="宋体" w:hAnsi="宋体" w:eastAsia="宋体" w:cs="宋体"/>
          <w:color w:val="000000" w:themeColor="text1"/>
          <w:szCs w:val="21"/>
          <w:highlight w:val="none"/>
          <w:lang w:eastAsia="zh-CN"/>
        </w:rPr>
        <w:t xml:space="preserve">；</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2.1</w:t>
      </w:r>
      <w:r>
        <w:rPr>
          <w:rStyle w:val="1360"/>
          <w:rFonts w:hint="eastAsia" w:ascii="宋体" w:hAnsi="宋体" w:cs="宋体"/>
          <w:color w:val="000000" w:themeColor="text1"/>
          <w:sz w:val="24"/>
          <w:szCs w:val="24"/>
          <w:highlight w:val="none"/>
          <w:lang w:val="en-US" w:eastAsia="zh-CN"/>
        </w:rPr>
        <w:t xml:space="preserve">3</w:t>
      </w:r>
      <w:r>
        <w:rPr>
          <w:rStyle w:val="1360"/>
          <w:rFonts w:hint="eastAsia" w:ascii="宋体" w:hAnsi="宋体" w:eastAsia="宋体" w:cs="宋体"/>
          <w:color w:val="000000" w:themeColor="text1"/>
          <w:sz w:val="24"/>
          <w:szCs w:val="24"/>
          <w:highlight w:val="none"/>
        </w:rPr>
        <w:t xml:space="preserve">《投标（响应）保证承诺书》</w:t>
      </w:r>
      <w:r>
        <w:rPr>
          <w:rStyle w:val="1360"/>
          <w:rFonts w:hint="eastAsia" w:ascii="宋体" w:hAnsi="宋体" w:cs="宋体"/>
          <w:color w:val="000000" w:themeColor="text1"/>
          <w:sz w:val="24"/>
          <w:szCs w:val="24"/>
          <w:highlight w:val="none"/>
          <w:lang w:eastAsia="zh-CN"/>
        </w:rPr>
        <w:t xml:space="preserve">、</w:t>
      </w:r>
      <w:r>
        <w:rPr>
          <w:rStyle w:val="1360"/>
          <w:rFonts w:hint="eastAsia" w:ascii="宋体" w:hAnsi="宋体" w:cs="宋体"/>
          <w:color w:val="000000" w:themeColor="text1"/>
          <w:szCs w:val="24"/>
          <w:highlight w:val="none"/>
        </w:rPr>
        <w:t xml:space="preserve">《响应单位与其他单位存在控股、管理关系情况表》</w:t>
      </w:r>
      <w:r>
        <w:rPr>
          <w:rStyle w:val="1360"/>
          <w:rFonts w:hint="eastAsia" w:ascii="宋体" w:hAnsi="宋体" w:eastAsia="宋体" w:cs="宋体"/>
          <w:color w:val="000000" w:themeColor="text1"/>
          <w:sz w:val="24"/>
          <w:szCs w:val="24"/>
          <w:highlight w:val="none"/>
        </w:rPr>
        <w:t xml:space="preserve">；</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2.1</w:t>
      </w:r>
      <w:r>
        <w:rPr>
          <w:rStyle w:val="1360"/>
          <w:rFonts w:hint="eastAsia" w:ascii="宋体" w:hAnsi="宋体" w:cs="宋体"/>
          <w:color w:val="000000" w:themeColor="text1"/>
          <w:sz w:val="24"/>
          <w:szCs w:val="24"/>
          <w:highlight w:val="none"/>
          <w:lang w:val="en-US" w:eastAsia="zh-CN"/>
        </w:rPr>
        <w:t xml:space="preserve">4</w:t>
      </w:r>
      <w:r>
        <w:rPr>
          <w:rStyle w:val="1360"/>
          <w:rFonts w:hint="eastAsia" w:ascii="宋体" w:hAnsi="宋体" w:eastAsia="宋体" w:cs="宋体"/>
          <w:color w:val="000000" w:themeColor="text1"/>
          <w:sz w:val="24"/>
          <w:szCs w:val="24"/>
          <w:highlight w:val="none"/>
        </w:rPr>
        <w:t xml:space="preserve">磋商采购文件中要求必须提供的其他相关证明材料；</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2.1</w:t>
      </w:r>
      <w:r>
        <w:rPr>
          <w:rStyle w:val="1360"/>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《企业类似项目一览表》</w:t>
      </w:r>
      <w:r>
        <w:rPr>
          <w:rStyle w:val="1360"/>
          <w:rFonts w:hint="eastAsia" w:ascii="宋体" w:hAnsi="宋体" w:eastAsia="宋体" w:cs="宋体"/>
          <w:color w:val="000000" w:themeColor="text1"/>
          <w:sz w:val="24"/>
          <w:szCs w:val="24"/>
          <w:highlight w:val="none"/>
        </w:rPr>
        <w:t xml:space="preserve">；</w:t>
      </w:r>
      <w:r>
        <w:rPr>
          <w:color w:val="000000" w:themeColor="text1"/>
        </w:rPr>
      </w:r>
    </w:p>
    <w:p>
      <w:pPr>
        <w:pStyle w:val="1374"/>
        <w:ind w:left="0" w:firstLine="480"/>
        <w:jc w:val="both"/>
        <w:keepLines w:val="0"/>
        <w:keepNext w:val="0"/>
        <w:pageBreakBefore w:val="0"/>
        <w:spacing w:line="360" w:lineRule="auto"/>
        <w:widowControl w:val="off"/>
        <w:tabs>
          <w:tab w:val="left" w:pos="0" w:leader="none"/>
        </w:tabs>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w:t>
      </w:r>
      <w:r>
        <w:rPr>
          <w:rStyle w:val="1360"/>
          <w:rFonts w:hint="eastAsia" w:ascii="宋体" w:hAnsi="宋体" w:cs="宋体"/>
          <w:color w:val="000000" w:themeColor="text1"/>
          <w:sz w:val="24"/>
          <w:szCs w:val="24"/>
          <w:highlight w:val="none"/>
          <w:lang w:val="en-US" w:eastAsia="zh-CN"/>
        </w:rPr>
        <w:t xml:space="preserve">16</w:t>
      </w:r>
      <w:r>
        <w:rPr>
          <w:rStyle w:val="1360"/>
          <w:rFonts w:hint="eastAsia" w:ascii="宋体" w:hAnsi="宋体" w:eastAsia="宋体" w:cs="宋体"/>
          <w:color w:val="000000" w:themeColor="text1"/>
          <w:sz w:val="24"/>
          <w:szCs w:val="24"/>
          <w:highlight w:val="none"/>
        </w:rPr>
        <w:t xml:space="preserve">其它有关资格证明文件：</w:t>
      </w:r>
      <w:r>
        <w:rPr>
          <w:color w:val="000000" w:themeColor="text1"/>
        </w:rPr>
      </w:r>
    </w:p>
    <w:p>
      <w:pPr>
        <w:ind w:left="0" w:firstLine="480"/>
        <w:keepLines w:val="0"/>
        <w:keepNext w:val="0"/>
        <w:pageBreakBefore w:val="0"/>
        <w:spacing w:line="360" w:lineRule="auto"/>
        <w:widowControl w:val="off"/>
        <w:tabs>
          <w:tab w:val="left" w:pos="753" w:leader="none"/>
        </w:tabs>
        <w:rPr>
          <w:rStyle w:val="1360"/>
          <w:rFonts w:hint="eastAsia" w:ascii="宋体" w:hAnsi="宋体" w:eastAsia="宋体" w:cs="宋体"/>
          <w:b w:val="0"/>
          <w:bCs w:val="0"/>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2.1</w:t>
      </w:r>
      <w:r>
        <w:rPr>
          <w:rStyle w:val="1360"/>
          <w:rFonts w:hint="eastAsia" w:ascii="宋体" w:hAnsi="宋体" w:cs="宋体"/>
          <w:color w:val="000000" w:themeColor="text1"/>
          <w:sz w:val="24"/>
          <w:szCs w:val="24"/>
          <w:highlight w:val="none"/>
          <w:lang w:val="en-US" w:eastAsia="zh-CN"/>
        </w:rPr>
        <w:t xml:space="preserve">6</w:t>
      </w:r>
      <w:r>
        <w:rPr>
          <w:rStyle w:val="1360"/>
          <w:rFonts w:hint="eastAsia" w:ascii="宋体" w:hAnsi="宋体" w:eastAsia="宋体" w:cs="宋体"/>
          <w:color w:val="000000" w:themeColor="text1"/>
          <w:sz w:val="24"/>
          <w:szCs w:val="24"/>
          <w:highlight w:val="none"/>
        </w:rPr>
        <w:t xml:space="preserve">.1其他可以证明磋商供应商资信、资质和货物、服务质量的证书、文件、推荐信等资料</w:t>
      </w:r>
      <w:r>
        <w:rPr>
          <w:rStyle w:val="1360"/>
          <w:rFonts w:hint="eastAsia" w:ascii="宋体" w:hAnsi="宋体" w:cs="宋体"/>
          <w:b w:val="0"/>
          <w:bCs w:val="0"/>
          <w:color w:val="000000" w:themeColor="text1"/>
          <w:sz w:val="24"/>
          <w:szCs w:val="24"/>
          <w:highlight w:val="none"/>
          <w:lang w:eastAsia="zh-CN"/>
        </w:rPr>
        <w:t xml:space="preserve">。</w:t>
      </w:r>
      <w:r>
        <w:rPr>
          <w:color w:val="000000" w:themeColor="text1"/>
        </w:rPr>
      </w:r>
    </w:p>
    <w:p>
      <w:pPr>
        <w:pStyle w:val="1335"/>
        <w:ind w:left="0" w:firstLine="482"/>
        <w:spacing w:line="360" w:lineRule="auto"/>
        <w:widowControl w:val="off"/>
        <w:rPr>
          <w:rStyle w:val="1360"/>
          <w:rFonts w:hint="eastAsia" w:ascii="宋体" w:hAnsi="宋体" w:cs="宋体"/>
          <w:b/>
          <w:color w:val="000000" w:themeColor="text1"/>
          <w:sz w:val="24"/>
          <w:szCs w:val="24"/>
          <w:highlight w:val="none"/>
        </w:rPr>
        <w:outlineLvl w:val="1"/>
      </w:pPr>
      <w:r>
        <w:rPr>
          <w:rStyle w:val="1360"/>
          <w:rFonts w:hint="eastAsia" w:ascii="宋体" w:hAnsi="宋体" w:cs="宋体"/>
          <w:b/>
          <w:color w:val="000000" w:themeColor="text1"/>
          <w:sz w:val="24"/>
          <w:szCs w:val="24"/>
          <w:highlight w:val="none"/>
        </w:rPr>
        <w:t xml:space="preserve">注1：以上2.6.1-2.6.</w:t>
      </w:r>
      <w:r>
        <w:rPr>
          <w:rStyle w:val="1360"/>
          <w:rFonts w:hint="eastAsia" w:ascii="宋体" w:hAnsi="宋体" w:cs="宋体"/>
          <w:b/>
          <w:color w:val="000000" w:themeColor="text1"/>
          <w:sz w:val="24"/>
          <w:szCs w:val="24"/>
          <w:highlight w:val="none"/>
          <w:lang w:val="en-US" w:eastAsia="zh-CN"/>
        </w:rPr>
        <w:t xml:space="preserve">8</w:t>
      </w:r>
      <w:r>
        <w:rPr>
          <w:rStyle w:val="1360"/>
          <w:rFonts w:hint="eastAsia" w:ascii="宋体" w:hAnsi="宋体" w:cs="宋体"/>
          <w:b/>
          <w:color w:val="000000" w:themeColor="text1"/>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color w:val="000000" w:themeColor="text1"/>
        </w:rPr>
      </w:r>
    </w:p>
    <w:p>
      <w:pPr>
        <w:pStyle w:val="1335"/>
        <w:ind w:left="0" w:firstLine="482"/>
        <w:spacing w:line="360" w:lineRule="auto"/>
        <w:widowControl w:val="off"/>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注2：以上1.1-2.5</w:t>
      </w:r>
      <w:r>
        <w:rPr>
          <w:rFonts w:hint="eastAsia" w:ascii="宋体" w:hAnsi="宋体" w:cs="宋体"/>
          <w:b/>
          <w:color w:val="000000" w:themeColor="text1"/>
          <w:sz w:val="24"/>
          <w:szCs w:val="24"/>
          <w:highlight w:val="none"/>
          <w:lang w:eastAsia="zh-CN"/>
        </w:rPr>
        <w:t xml:space="preserve">，</w:t>
      </w:r>
      <w:r>
        <w:rPr>
          <w:rFonts w:hint="eastAsia" w:ascii="宋体" w:hAnsi="宋体" w:cs="宋体"/>
          <w:b/>
          <w:color w:val="000000" w:themeColor="text1"/>
          <w:sz w:val="24"/>
          <w:szCs w:val="24"/>
          <w:highlight w:val="none"/>
        </w:rPr>
        <w:t xml:space="preserve">2.7-2.1</w:t>
      </w: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为符合性审查须提供的资料，响应供应商必须提供并加盖电子公章。否则，磋商响应文件将被认定为未实质性响应。</w:t>
      </w:r>
      <w:r>
        <w:rPr>
          <w:color w:val="000000" w:themeColor="text1"/>
        </w:rPr>
      </w:r>
    </w:p>
    <w:p>
      <w:pPr>
        <w:pStyle w:val="1335"/>
        <w:ind w:left="0" w:firstLine="482"/>
        <w:spacing w:line="360" w:lineRule="auto"/>
        <w:rPr>
          <w:rStyle w:val="1360"/>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注3：制作电子响应文件时必须与响应文件制作软件目录一一对应，将相关资料上传至相应模块。</w:t>
      </w:r>
      <w:r>
        <w:rPr>
          <w:color w:val="000000" w:themeColor="text1"/>
        </w:rPr>
      </w:r>
    </w:p>
    <w:p>
      <w:pPr>
        <w:pStyle w:val="1335"/>
        <w:ind w:left="0" w:firstLine="482"/>
        <w:spacing w:line="360" w:lineRule="auto"/>
        <w:rPr>
          <w:rFonts w:hint="eastAsia" w:ascii="宋体" w:hAnsi="宋体" w:cs="宋体"/>
          <w:b/>
          <w:bCs/>
          <w:color w:val="000000" w:themeColor="text1"/>
          <w:sz w:val="24"/>
          <w:szCs w:val="24"/>
          <w:highlight w:val="none"/>
        </w:rPr>
      </w:pPr>
      <w:r>
        <w:rPr>
          <w:rStyle w:val="1360"/>
          <w:rFonts w:hint="eastAsia" w:ascii="宋体" w:hAnsi="宋体" w:cs="宋体"/>
          <w:b/>
          <w:bCs/>
          <w:color w:val="000000" w:themeColor="text1"/>
          <w:sz w:val="24"/>
          <w:szCs w:val="24"/>
          <w:highlight w:val="none"/>
        </w:rPr>
        <w:t xml:space="preserve">注4：</w:t>
      </w:r>
      <w:r>
        <w:rPr>
          <w:rFonts w:hint="eastAsia" w:ascii="宋体" w:hAnsi="宋体" w:cs="宋体"/>
          <w:b/>
          <w:bCs/>
          <w:color w:val="000000" w:themeColor="text1"/>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p>
    <w:p>
      <w:pPr>
        <w:pStyle w:val="1335"/>
        <w:ind w:left="0" w:firstLine="482"/>
        <w:keepLines w:val="0"/>
        <w:keepNext w:val="0"/>
        <w:pageBreakBefore w:val="0"/>
        <w:spacing w:line="360" w:lineRule="auto"/>
        <w:rPr>
          <w:rFonts w:hint="eastAsia" w:ascii="宋体" w:hAnsi="宋体" w:eastAsia="宋体" w:cs="宋体"/>
          <w:color w:val="000000" w:themeColor="text1"/>
          <w:sz w:val="24"/>
          <w:szCs w:val="24"/>
          <w:highlight w:val="none"/>
        </w:rPr>
      </w:pPr>
      <w:r>
        <w:rPr>
          <w:rStyle w:val="1360"/>
          <w:rFonts w:hint="eastAsia" w:ascii="宋体" w:hAnsi="宋体" w:cs="宋体"/>
          <w:b/>
          <w:bCs/>
          <w:color w:val="000000" w:themeColor="text1"/>
          <w:sz w:val="24"/>
          <w:szCs w:val="24"/>
          <w:highlight w:val="none"/>
        </w:rPr>
        <w:t xml:space="preserve">注5：</w:t>
      </w:r>
      <w:r>
        <w:rPr>
          <w:rFonts w:hint="eastAsia" w:ascii="宋体" w:hAnsi="宋体" w:cs="宋体"/>
          <w:b/>
          <w:bCs/>
          <w:color w:val="000000" w:themeColor="text1"/>
          <w:sz w:val="24"/>
          <w:szCs w:val="24"/>
          <w:highlight w:val="none"/>
        </w:rPr>
        <w:t xml:space="preserve">磋商过程中如有问题采购代理机构工作人员会及时通过《</w:t>
      </w:r>
      <w:r>
        <w:rPr>
          <w:rFonts w:hint="eastAsia" w:ascii="宋体" w:hAnsi="宋体" w:cs="宋体"/>
          <w:b/>
          <w:bCs/>
          <w:color w:val="000000" w:themeColor="text1"/>
          <w:sz w:val="24"/>
          <w:szCs w:val="24"/>
          <w:highlight w:val="none"/>
          <w:lang w:eastAsia="zh-CN"/>
        </w:rPr>
        <w:t xml:space="preserve">投标供应商确认函</w:t>
      </w:r>
      <w:r>
        <w:rPr>
          <w:rFonts w:hint="eastAsia" w:ascii="宋体" w:hAnsi="宋体" w:cs="宋体"/>
          <w:b/>
          <w:bCs/>
          <w:color w:val="000000" w:themeColor="text1"/>
          <w:sz w:val="24"/>
          <w:szCs w:val="24"/>
          <w:highlight w:val="none"/>
        </w:rPr>
        <w:t xml:space="preserve">》留存的手机号与供应商联系。请供应商确保该手机号磋商当日通讯畅通，否则导致的对供应商不利的后果由供应商自行承担。</w:t>
      </w:r>
      <w:r>
        <w:rPr>
          <w:color w:val="000000" w:themeColor="text1"/>
        </w:rPr>
      </w:r>
    </w:p>
    <w:p>
      <w:pPr>
        <w:pStyle w:val="1335"/>
        <w:ind w:left="0" w:firstLine="0"/>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1"/>
      </w:pPr>
      <w:r>
        <w:rPr>
          <w:color w:val="000000" w:themeColor="text1"/>
        </w:rPr>
      </w:r>
      <w:bookmarkStart w:id="33" w:name="_Toc5566"/>
      <w:r>
        <w:rPr>
          <w:color w:val="000000" w:themeColor="text1"/>
        </w:rPr>
      </w:r>
      <w:bookmarkStart w:id="34" w:name="_Toc26176"/>
      <w:r>
        <w:rPr>
          <w:rFonts w:hint="eastAsia" w:ascii="宋体" w:hAnsi="宋体" w:eastAsia="宋体" w:cs="宋体"/>
          <w:b/>
          <w:color w:val="000000" w:themeColor="text1"/>
          <w:sz w:val="24"/>
          <w:szCs w:val="24"/>
          <w:highlight w:val="none"/>
        </w:rPr>
        <w:t xml:space="preserve">二、磋商程序</w:t>
      </w:r>
      <w:bookmarkEnd w:id="33"/>
      <w:r>
        <w:rPr>
          <w:color w:val="000000" w:themeColor="text1"/>
        </w:rPr>
      </w:r>
      <w:bookmarkEnd w:id="34"/>
      <w:r>
        <w:rPr>
          <w:color w:val="000000" w:themeColor="text1"/>
        </w:rPr>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1、采购代理机构按本须知规定的时间、地点主持磋商采购活动。</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如在系统规定的解密时间内未能完成解密的视为放弃参与本项目。</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3、在磋商响应文件网上递交截止时间止成功解密的磋商供应商少于三家，则本次采购失败。</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如不同</w:t>
      </w:r>
      <w:r>
        <w:rPr>
          <w:rFonts w:hint="eastAsia" w:ascii="宋体" w:hAnsi="宋体" w:cs="宋体"/>
          <w:color w:val="000000" w:themeColor="text1"/>
          <w:sz w:val="24"/>
          <w:szCs w:val="24"/>
          <w:highlight w:val="none"/>
          <w:lang w:val="en-US" w:eastAsia="zh-CN"/>
        </w:rPr>
        <w:t xml:space="preserve">供应商的</w:t>
      </w:r>
      <w:r>
        <w:rPr>
          <w:rFonts w:hint="eastAsia" w:ascii="宋体" w:hAnsi="宋体" w:cs="宋体"/>
          <w:color w:val="000000" w:themeColor="text1"/>
          <w:sz w:val="24"/>
          <w:szCs w:val="24"/>
          <w:highlight w:val="none"/>
        </w:rPr>
        <w:t xml:space="preserve">响应文件制作机器码一致，则</w:t>
      </w:r>
      <w:r>
        <w:rPr>
          <w:rFonts w:hint="eastAsia" w:ascii="宋体" w:hAnsi="宋体" w:cs="宋体"/>
          <w:color w:val="000000" w:themeColor="text1"/>
          <w:sz w:val="24"/>
          <w:szCs w:val="24"/>
          <w:highlight w:val="none"/>
          <w:lang w:val="en-US" w:eastAsia="zh-CN"/>
        </w:rPr>
        <w:t xml:space="preserve">视为</w:t>
      </w:r>
      <w:r>
        <w:rPr>
          <w:rFonts w:hint="eastAsia" w:ascii="宋体" w:hAnsi="宋体" w:cs="宋体"/>
          <w:color w:val="000000" w:themeColor="text1"/>
          <w:sz w:val="24"/>
          <w:szCs w:val="24"/>
          <w:highlight w:val="none"/>
        </w:rPr>
        <w:t xml:space="preserve">无效响应</w:t>
      </w:r>
      <w:r>
        <w:rPr>
          <w:rFonts w:hint="eastAsia" w:ascii="宋体" w:hAnsi="宋体" w:cs="宋体"/>
          <w:color w:val="000000" w:themeColor="text1"/>
          <w:sz w:val="24"/>
          <w:szCs w:val="24"/>
          <w:highlight w:val="none"/>
          <w:lang w:eastAsia="zh-CN"/>
        </w:rPr>
        <w:t xml:space="preserve">。</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、由磋商小组审查供应商解密的响应文件。</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、磋商小组要求供应商澄清、说明或者更正响应文件应当以书面形式做出。供应商的澄清、说明或者更正应当由其单位加盖电子公章。</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p>
    <w:p>
      <w:pPr>
        <w:pStyle w:val="1335"/>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10</w:t>
      </w:r>
      <w:r>
        <w:rPr>
          <w:rFonts w:hint="eastAsia" w:ascii="宋体" w:hAnsi="宋体" w:cs="宋体"/>
          <w:b/>
          <w:bCs/>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rPr>
      </w:r>
    </w:p>
    <w:p>
      <w:pPr>
        <w:pStyle w:val="1335"/>
        <w:ind w:left="0" w:firstLine="48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themeColor="text1"/>
          <w:sz w:val="24"/>
          <w:szCs w:val="24"/>
          <w:highlight w:val="none"/>
        </w:rPr>
        <w:t xml:space="preserve">（此处规定时间的计算以系统中的倒计时间为准，系统中的线上最后报价只有一次机会，提交后无法撤回，请供应商慎重提交）</w:t>
      </w:r>
      <w:r>
        <w:rPr>
          <w:color w:val="000000" w:themeColor="text1"/>
        </w:rPr>
      </w:r>
    </w:p>
    <w:p>
      <w:pPr>
        <w:pStyle w:val="1335"/>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已提交响应文件的供应商，在提交最后报价之前，可以根据磋商情况退出磋商，并在“苏采云”系统中提交“退出磋商函”并加盖CA电子公章。</w:t>
      </w:r>
      <w:r>
        <w:rPr>
          <w:color w:val="000000" w:themeColor="text1"/>
        </w:rPr>
      </w:r>
    </w:p>
    <w:p>
      <w:pPr>
        <w:pStyle w:val="1335"/>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*进入项目评审流程后，建议各供应商法定代表人或授权委托人始终保持通讯顺畅，时刻关注不见面开标大厅，不离开不见面开标大厅。</w:t>
      </w:r>
      <w:r>
        <w:rPr>
          <w:color w:val="000000" w:themeColor="text1"/>
        </w:rPr>
      </w:r>
    </w:p>
    <w:p>
      <w:pPr>
        <w:pStyle w:val="1335"/>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异常低价投标审查</w:t>
      </w:r>
      <w:r>
        <w:rPr>
          <w:color w:val="000000" w:themeColor="text1"/>
        </w:rPr>
      </w:r>
    </w:p>
    <w:p>
      <w:pPr>
        <w:pStyle w:val="1335"/>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根据财政部《关于推动解决政府采购异常低价问题的通知》（财库〔2026〕2号）的通知，评审过程中出现下列情形之一的，评审委员会应当启动异常低价投标（响应）审查程序： </w:t>
      </w:r>
      <w:r>
        <w:rPr>
          <w:color w:val="000000" w:themeColor="text1"/>
        </w:rPr>
      </w:r>
    </w:p>
    <w:p>
      <w:pPr>
        <w:pStyle w:val="1335"/>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rPr>
      </w:r>
    </w:p>
    <w:p>
      <w:pPr>
        <w:pStyle w:val="1335"/>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rPr>
      </w:r>
    </w:p>
    <w:p>
      <w:pPr>
        <w:pStyle w:val="1335"/>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（3）投标（响应）报价低于采购项目最高限价（未设定最高限价的采购项目，以采购项目预算金额作为最高限价）45%的，即投标（响应）报价&lt;采购项目最高限价×45%；</w:t>
      </w:r>
      <w:r>
        <w:rPr>
          <w:color w:val="000000" w:themeColor="text1"/>
        </w:rPr>
      </w:r>
    </w:p>
    <w:p>
      <w:pPr>
        <w:pStyle w:val="1335"/>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（4）评审委员会基于专业判断，认为供应商报价过低，有可能影响产品质量或者不能诚信履约的其他情形。</w:t>
      </w:r>
      <w:r>
        <w:rPr>
          <w:color w:val="000000" w:themeColor="text1"/>
        </w:rPr>
      </w:r>
    </w:p>
    <w:p>
      <w:pPr>
        <w:pStyle w:val="1335"/>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启动异常低价投标（响应）审查后，属于上述4项情形的，评审委员会应当要求相关供应商在评审现场</w:t>
      </w:r>
      <w:r>
        <w:rPr>
          <w:rFonts w:hint="eastAsia" w:ascii="宋体" w:hAnsi="宋体" w:eastAsia="宋体" w:cs="宋体"/>
          <w:b/>
          <w:bCs/>
          <w:color w:val="000000" w:themeColor="text1"/>
          <w:sz w:val="24"/>
          <w:szCs w:val="24"/>
          <w:highlight w:val="none"/>
          <w:lang w:val="en-US" w:eastAsia="zh-CN"/>
        </w:rPr>
        <w:t xml:space="preserve">30分钟内</w:t>
      </w:r>
      <w:r>
        <w:rPr>
          <w:rFonts w:hint="eastAsia" w:ascii="宋体" w:hAnsi="宋体" w:eastAsia="宋体" w:cs="宋体"/>
          <w:color w:val="000000" w:themeColor="text1"/>
          <w:sz w:val="24"/>
          <w:szCs w:val="24"/>
          <w:highlight w:val="none"/>
          <w:lang w:val="en-US" w:eastAsia="zh-CN"/>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rPr>
      </w:r>
    </w:p>
    <w:p>
      <w:pPr>
        <w:pStyle w:val="1335"/>
        <w:ind w:left="0" w:firstLine="48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pStyle w:val="1335"/>
        <w:ind w:left="0" w:firstLine="48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rPr>
        <w:t xml:space="preserve">、磋商小组根据磋商成交原则确定成交供应商，并将结果通知所有参加磋商的供应商。</w:t>
      </w:r>
      <w:r>
        <w:rPr>
          <w:color w:val="000000" w:themeColor="text1"/>
        </w:rPr>
      </w:r>
    </w:p>
    <w:p>
      <w:pPr>
        <w:pStyle w:val="1335"/>
        <w:ind w:left="0" w:firstLine="480"/>
        <w:keepLines w:val="0"/>
        <w:keepNext w:val="0"/>
        <w:pageBreakBefore w:val="0"/>
        <w:spacing w:line="360" w:lineRule="auto"/>
        <w:widowControl w:val="off"/>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15</w:t>
      </w:r>
      <w:r>
        <w:rPr>
          <w:rFonts w:hint="eastAsia" w:ascii="宋体" w:hAnsi="宋体" w:cs="宋体"/>
          <w:color w:val="000000" w:themeColor="text1"/>
          <w:sz w:val="24"/>
          <w:szCs w:val="24"/>
          <w:highlight w:val="none"/>
        </w:rPr>
        <w:t xml:space="preserve">、如磋商过程中出现本采购文件未尽事宜，由磋商小组根据政府采购有关法律、法规讨论决定。</w:t>
      </w:r>
      <w:r>
        <w:rPr>
          <w:color w:val="000000" w:themeColor="text1"/>
        </w:rPr>
      </w:r>
    </w:p>
    <w:p>
      <w:pPr>
        <w:pStyle w:val="1335"/>
        <w:ind w:left="0" w:firstLine="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35" w:name="_Toc15747"/>
      <w:r>
        <w:rPr>
          <w:color w:val="000000" w:themeColor="text1"/>
        </w:rPr>
      </w:r>
      <w:bookmarkStart w:id="36" w:name="_Toc7726"/>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质疑</w:t>
      </w:r>
      <w:bookmarkEnd w:id="35"/>
      <w:r>
        <w:rPr>
          <w:color w:val="000000" w:themeColor="text1"/>
        </w:rPr>
      </w:r>
      <w:bookmarkEnd w:id="36"/>
      <w:r>
        <w:rPr>
          <w:color w:val="000000" w:themeColor="text1"/>
        </w:rPr>
      </w:r>
      <w:r>
        <w:rPr>
          <w:color w:val="000000" w:themeColor="text1"/>
        </w:rPr>
      </w:r>
    </w:p>
    <w:p>
      <w:pPr>
        <w:pStyle w:val="1335"/>
        <w:ind w:left="0"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、本次采购文件要求供应商在法定质疑期内一次性提出针对同一采购程序环节的质疑。</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（1）供应商的姓名或者名称（以提供的营业执照复印件为准）、地址、邮编、联系人及联系电话；</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（2）质疑项目的名称、编号；</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（3）具体、明确的质疑事项和与质疑事项相关的请求；</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（4）事实依据；</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（5）必要的法律依据；</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（6）提出质疑的日期。</w:t>
      </w:r>
      <w:r>
        <w:rPr>
          <w:color w:val="000000" w:themeColor="text1"/>
        </w:rPr>
      </w:r>
    </w:p>
    <w:p>
      <w:pPr>
        <w:pStyle w:val="1335"/>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p>
    <w:p>
      <w:pPr>
        <w:pStyle w:val="1335"/>
        <w:ind w:left="0" w:firstLine="482"/>
        <w:keepLines w:val="0"/>
        <w:keepNext w:val="0"/>
        <w:pageBreakBefore w:val="0"/>
        <w:spacing w:line="360" w:lineRule="auto"/>
        <w:widowControl w:val="off"/>
        <w:rPr>
          <w:b/>
          <w:color w:val="000000" w:themeColor="text1"/>
          <w:sz w:val="24"/>
          <w:szCs w:val="24"/>
          <w:highlight w:val="none"/>
        </w:rPr>
        <w:outlineLvl w:val="9"/>
      </w:pPr>
      <w:r>
        <w:rPr>
          <w:rFonts w:hint="eastAsia"/>
          <w:b/>
          <w:color w:val="000000" w:themeColor="text1"/>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b/>
          <w:color w:val="000000" w:themeColor="text1"/>
          <w:sz w:val="24"/>
          <w:szCs w:val="24"/>
          <w:highlight w:val="none"/>
        </w:rPr>
        <w:t xml:space="preserve">https://czju.suzhou.gov.cn/zfcg/html/content/20180305093615738.shtml</w:t>
      </w:r>
      <w:r>
        <w:rPr>
          <w:rFonts w:hint="eastAsia" w:ascii="宋体" w:hAnsi="宋体"/>
          <w:color w:val="000000" w:themeColor="text1"/>
          <w:sz w:val="24"/>
          <w:szCs w:val="24"/>
          <w:highlight w:val="none"/>
        </w:rPr>
        <w:t xml:space="preserve">。</w:t>
      </w:r>
      <w:r>
        <w:rPr>
          <w:color w:val="000000" w:themeColor="text1"/>
        </w:rPr>
      </w:r>
    </w:p>
    <w:p>
      <w:pPr>
        <w:pStyle w:val="1335"/>
        <w:ind w:left="0" w:firstLine="480"/>
        <w:keepLines w:val="0"/>
        <w:keepNext w:val="0"/>
        <w:pageBreakBefore w:val="0"/>
        <w:spacing w:line="360" w:lineRule="auto"/>
        <w:widowControl w:val="off"/>
        <w:rPr>
          <w:rFonts w:ascii="宋体" w:hAnsi="宋体"/>
          <w:color w:val="000000" w:themeColor="text1"/>
          <w:sz w:val="24"/>
          <w:szCs w:val="24"/>
          <w:highlight w:val="none"/>
        </w:rPr>
        <w:outlineLvl w:val="9"/>
      </w:pP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000000" w:themeColor="text1"/>
          <w:sz w:val="24"/>
          <w:szCs w:val="24"/>
          <w:highlight w:val="none"/>
        </w:rPr>
        <w:t xml:space="preserve">因此凡是对采购文件提出质疑的供应商，必须是依法获取采购文件，请将合法获取采购文件的证明材料（即《</w:t>
      </w:r>
      <w:r>
        <w:rPr>
          <w:rFonts w:hint="eastAsia" w:ascii="宋体" w:hAnsi="宋体"/>
          <w:color w:val="000000" w:themeColor="text1"/>
          <w:sz w:val="24"/>
          <w:szCs w:val="24"/>
          <w:highlight w:val="none"/>
          <w:lang w:eastAsia="zh-CN"/>
        </w:rPr>
        <w:t xml:space="preserve">投标供应商确认函</w:t>
      </w:r>
      <w:r>
        <w:rPr>
          <w:rFonts w:hint="eastAsia" w:ascii="宋体" w:hAnsi="宋体"/>
          <w:color w:val="000000" w:themeColor="text1"/>
          <w:sz w:val="24"/>
          <w:szCs w:val="24"/>
          <w:highlight w:val="none"/>
        </w:rPr>
        <w:t xml:space="preserve">》）与质疑函一起递交，否则不予受理。</w:t>
      </w:r>
      <w:r>
        <w:rPr>
          <w:color w:val="000000" w:themeColor="text1"/>
        </w:rPr>
      </w:r>
    </w:p>
    <w:p>
      <w:pPr>
        <w:pStyle w:val="1335"/>
        <w:ind w:left="0"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、接收质疑函的方式：书面形式（当场送达或邮寄方式）</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bCs/>
          <w:color w:val="000000" w:themeColor="text1"/>
          <w:sz w:val="24"/>
          <w:szCs w:val="24"/>
          <w:highlight w:val="none"/>
        </w:rPr>
        <w:t xml:space="preserve">质疑递交联系人、联系电话及地址详见采购公告。</w:t>
      </w:r>
      <w:r>
        <w:rPr>
          <w:color w:val="000000" w:themeColor="text1"/>
        </w:rPr>
      </w:r>
    </w:p>
    <w:p>
      <w:pPr>
        <w:pStyle w:val="1335"/>
        <w:ind w:left="0" w:firstLine="0"/>
        <w:keepLines w:val="0"/>
        <w:keepNext w:val="0"/>
        <w:pageBreakBefore w:val="0"/>
        <w:spacing w:line="360" w:lineRule="auto"/>
        <w:widowControl w:val="off"/>
        <w:rPr>
          <w:rFonts w:ascii="宋体" w:hAnsi="宋体" w:eastAsia="宋体" w:cs="宋体"/>
          <w:b/>
          <w:color w:val="000000" w:themeColor="text1"/>
          <w:sz w:val="24"/>
          <w:szCs w:val="24"/>
          <w:highlight w:val="none"/>
        </w:rPr>
        <w:outlineLvl w:val="1"/>
      </w:pPr>
      <w:r>
        <w:rPr>
          <w:color w:val="000000" w:themeColor="text1"/>
        </w:rPr>
      </w:r>
      <w:bookmarkStart w:id="37" w:name="_Toc11527"/>
      <w:r>
        <w:rPr>
          <w:color w:val="000000" w:themeColor="text1"/>
        </w:rPr>
      </w:r>
      <w:bookmarkStart w:id="38" w:name="_Toc31942"/>
      <w:r>
        <w:rPr>
          <w:rFonts w:hint="eastAsia" w:ascii="宋体" w:hAnsi="宋体" w:cs="宋体"/>
          <w:b/>
          <w:color w:val="000000" w:themeColor="text1"/>
          <w:sz w:val="24"/>
          <w:szCs w:val="24"/>
          <w:highlight w:val="none"/>
          <w:lang w:val="en-US" w:eastAsia="zh-CN"/>
        </w:rPr>
        <w:t xml:space="preserve">四、勘察现场</w:t>
      </w:r>
      <w:bookmarkEnd w:id="37"/>
      <w:r>
        <w:rPr>
          <w:color w:val="000000" w:themeColor="text1"/>
        </w:rPr>
      </w:r>
      <w:bookmarkEnd w:id="38"/>
      <w:r>
        <w:rPr>
          <w:color w:val="000000" w:themeColor="text1"/>
        </w:rPr>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1、本项目不组织统一勘察现场。</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color w:val="000000" w:themeColor="text1"/>
        </w:rPr>
      </w:r>
    </w:p>
    <w:p>
      <w:pPr>
        <w:pStyle w:val="1335"/>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color w:val="000000" w:themeColor="text1"/>
        </w:rPr>
      </w:r>
    </w:p>
    <w:p>
      <w:pPr>
        <w:pStyle w:val="1335"/>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color w:val="000000" w:themeColor="text1"/>
        </w:rPr>
      </w:r>
    </w:p>
    <w:p>
      <w:pPr>
        <w:pStyle w:val="1335"/>
        <w:ind w:left="0" w:firstLine="0"/>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1"/>
      </w:pPr>
      <w:r>
        <w:rPr>
          <w:color w:val="000000" w:themeColor="text1"/>
        </w:rPr>
      </w:r>
      <w:bookmarkStart w:id="39" w:name="_Toc19329"/>
      <w:r>
        <w:rPr>
          <w:color w:val="000000" w:themeColor="text1"/>
        </w:rPr>
      </w:r>
      <w:bookmarkStart w:id="40" w:name="_Toc2426"/>
      <w:r>
        <w:rPr>
          <w:rFonts w:hint="eastAsia" w:ascii="宋体" w:hAnsi="宋体" w:eastAsia="宋体" w:cs="宋体"/>
          <w:b/>
          <w:color w:val="000000" w:themeColor="text1"/>
          <w:sz w:val="24"/>
          <w:szCs w:val="24"/>
          <w:highlight w:val="none"/>
          <w:lang w:val="en-US" w:eastAsia="zh-CN"/>
        </w:rPr>
        <w:t xml:space="preserve">五</w:t>
      </w:r>
      <w:r>
        <w:rPr>
          <w:rFonts w:hint="eastAsia" w:ascii="宋体" w:hAnsi="宋体" w:eastAsia="宋体" w:cs="宋体"/>
          <w:b/>
          <w:color w:val="000000" w:themeColor="text1"/>
          <w:sz w:val="24"/>
          <w:szCs w:val="24"/>
          <w:highlight w:val="none"/>
        </w:rPr>
        <w:t xml:space="preserve">、项目的终止</w:t>
      </w:r>
      <w:bookmarkEnd w:id="39"/>
      <w:r>
        <w:rPr>
          <w:color w:val="000000" w:themeColor="text1"/>
        </w:rPr>
      </w:r>
      <w:bookmarkEnd w:id="40"/>
      <w:r>
        <w:rPr>
          <w:color w:val="000000" w:themeColor="text1"/>
        </w:rPr>
      </w:r>
      <w:r>
        <w:rPr>
          <w:color w:val="000000" w:themeColor="text1"/>
        </w:rPr>
      </w:r>
    </w:p>
    <w:p>
      <w:pPr>
        <w:pStyle w:val="1335"/>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出现下列情形之一的，将终止竞争性磋商采购活动：</w:t>
      </w:r>
      <w:r>
        <w:rPr>
          <w:color w:val="000000" w:themeColor="text1"/>
        </w:rPr>
      </w:r>
    </w:p>
    <w:p>
      <w:pPr>
        <w:pStyle w:val="1335"/>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1、因情况变化，不再符合规定的竞争性磋商采购方式适用情形的；</w:t>
      </w:r>
      <w:r>
        <w:rPr>
          <w:color w:val="000000" w:themeColor="text1"/>
        </w:rPr>
      </w:r>
    </w:p>
    <w:p>
      <w:pPr>
        <w:pStyle w:val="1335"/>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2、出现影响采购公正的违法、违规行为的；</w:t>
      </w:r>
      <w:r>
        <w:rPr>
          <w:color w:val="000000" w:themeColor="text1"/>
        </w:rPr>
      </w:r>
    </w:p>
    <w:p>
      <w:pPr>
        <w:pStyle w:val="1335"/>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3、在采购过程中符合要求的供应商或者报价未超过采购预算</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最高限价</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的供应商不足3家的；</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4、在采购活动中因重大变故，采购任务取消的。</w:t>
      </w:r>
      <w:r>
        <w:rPr>
          <w:color w:val="000000" w:themeColor="text1"/>
        </w:rPr>
      </w:r>
    </w:p>
    <w:p>
      <w:pPr>
        <w:pStyle w:val="1335"/>
        <w:ind w:left="0" w:firstLine="0"/>
        <w:keepLines w:val="0"/>
        <w:keepNext w:val="0"/>
        <w:pageBreakBefore w:val="0"/>
        <w:spacing w:line="360" w:lineRule="auto"/>
        <w:widowControl w:val="off"/>
        <w:rPr>
          <w:rFonts w:ascii="宋体" w:hAnsi="宋体" w:eastAsia="宋体" w:cs="宋体"/>
          <w:b/>
          <w:color w:val="000000" w:themeColor="text1"/>
          <w:sz w:val="24"/>
          <w:szCs w:val="24"/>
          <w:highlight w:val="none"/>
        </w:rPr>
        <w:outlineLvl w:val="1"/>
      </w:pPr>
      <w:r>
        <w:rPr>
          <w:color w:val="000000" w:themeColor="text1"/>
        </w:rPr>
      </w:r>
      <w:bookmarkStart w:id="41" w:name="_Toc565"/>
      <w:r>
        <w:rPr>
          <w:color w:val="000000" w:themeColor="text1"/>
        </w:rPr>
      </w:r>
      <w:bookmarkStart w:id="42" w:name="_Toc31063"/>
      <w:r>
        <w:rPr>
          <w:rFonts w:hint="eastAsia" w:ascii="宋体" w:hAnsi="宋体" w:eastAsia="宋体" w:cs="宋体"/>
          <w:b/>
          <w:color w:val="000000" w:themeColor="text1"/>
          <w:sz w:val="24"/>
          <w:szCs w:val="24"/>
          <w:highlight w:val="none"/>
          <w:lang w:val="en-US" w:eastAsia="zh-CN"/>
        </w:rPr>
        <w:t xml:space="preserve">六、其他要求</w:t>
      </w:r>
      <w:bookmarkEnd w:id="41"/>
      <w:r>
        <w:rPr>
          <w:color w:val="000000" w:themeColor="text1"/>
        </w:rPr>
      </w:r>
      <w:bookmarkEnd w:id="42"/>
      <w:r>
        <w:rPr>
          <w:color w:val="000000" w:themeColor="text1"/>
        </w:rPr>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Style w:val="1360"/>
          <w:rFonts w:hint="eastAsia" w:ascii="宋体" w:hAnsi="宋体" w:eastAsia="宋体"/>
          <w:color w:val="000000" w:themeColor="text1"/>
          <w:sz w:val="24"/>
          <w:szCs w:val="24"/>
          <w:highlight w:val="none"/>
        </w:rPr>
        <w:t xml:space="preserve">磋商</w:t>
      </w:r>
      <w:r>
        <w:rPr>
          <w:rStyle w:val="1360"/>
          <w:rFonts w:ascii="宋体" w:hAnsi="宋体" w:eastAsia="宋体"/>
          <w:color w:val="000000" w:themeColor="text1"/>
          <w:sz w:val="24"/>
          <w:szCs w:val="24"/>
          <w:highlight w:val="none"/>
        </w:rPr>
        <w:t xml:space="preserve">供应商</w:t>
      </w:r>
      <w:r>
        <w:rPr>
          <w:rStyle w:val="1360"/>
          <w:rFonts w:hint="eastAsia" w:ascii="宋体" w:hAnsi="宋体" w:eastAsia="宋体"/>
          <w:color w:val="000000" w:themeColor="text1"/>
          <w:sz w:val="24"/>
          <w:szCs w:val="24"/>
          <w:highlight w:val="none"/>
        </w:rPr>
        <w:t xml:space="preserve">需</w:t>
      </w:r>
      <w:r>
        <w:rPr>
          <w:rStyle w:val="1360"/>
          <w:rFonts w:ascii="宋体" w:hAnsi="宋体" w:eastAsia="宋体"/>
          <w:color w:val="000000" w:themeColor="text1"/>
          <w:sz w:val="24"/>
          <w:szCs w:val="24"/>
          <w:highlight w:val="none"/>
        </w:rPr>
        <w:t xml:space="preserve">在响应文件中明确</w:t>
      </w:r>
      <w:r>
        <w:rPr>
          <w:rStyle w:val="1360"/>
          <w:rFonts w:hint="eastAsia" w:ascii="宋体" w:hAnsi="宋体"/>
          <w:color w:val="000000" w:themeColor="text1"/>
          <w:sz w:val="24"/>
          <w:szCs w:val="24"/>
          <w:highlight w:val="none"/>
          <w:lang w:val="en-US" w:eastAsia="zh-CN"/>
        </w:rPr>
        <w:t xml:space="preserve">实施</w:t>
      </w:r>
      <w:r>
        <w:rPr>
          <w:rStyle w:val="1360"/>
          <w:rFonts w:ascii="宋体" w:hAnsi="宋体" w:eastAsia="宋体"/>
          <w:color w:val="000000" w:themeColor="text1"/>
          <w:sz w:val="24"/>
          <w:szCs w:val="24"/>
          <w:highlight w:val="none"/>
        </w:rPr>
        <w:t xml:space="preserve">内容</w:t>
      </w:r>
      <w:r>
        <w:rPr>
          <w:rStyle w:val="1360"/>
          <w:rFonts w:hint="eastAsia" w:ascii="宋体" w:hAnsi="宋体" w:eastAsia="宋体"/>
          <w:color w:val="000000" w:themeColor="text1"/>
          <w:sz w:val="24"/>
          <w:szCs w:val="24"/>
          <w:highlight w:val="none"/>
        </w:rPr>
        <w:t xml:space="preserve">和实施方案</w:t>
      </w:r>
      <w:r>
        <w:rPr>
          <w:rStyle w:val="1360"/>
          <w:rFonts w:ascii="宋体" w:hAnsi="宋体" w:eastAsia="宋体"/>
          <w:color w:val="000000" w:themeColor="text1"/>
          <w:sz w:val="24"/>
          <w:szCs w:val="24"/>
          <w:highlight w:val="none"/>
        </w:rPr>
        <w:t xml:space="preserve">。</w:t>
      </w:r>
      <w:r>
        <w:rPr>
          <w:color w:val="000000" w:themeColor="text1"/>
        </w:rPr>
      </w:r>
    </w:p>
    <w:p>
      <w:pPr>
        <w:pStyle w:val="1335"/>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2、磋商供应商必须承诺文件中提出的全部要求，如果其中某些条款不响应时，应在文件中逐条列出，未列出的视同响应。</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3、磋商供应商应对所投项目的全部内容进行报价，只投其中部分内容者或出现选择性报价的，其响应文件将被拒绝。</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4、其他要求：</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4.1供应商在项目进行过程中产生的任何安全、损坏等责任事故一律由供应商自行承担。如遇突发情况，供应商需协助采购人完成需要配合的服务。</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4.2供应商需严格按采购文件中规定的时间完成项目全部工作内容，如在实施的过程中出现错误、误差的，供应商需及时更正至采购人确认并经主管部门验收合格。</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4.3本项目不允许转包、分包，发现查实者一律取消合同。</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4.4供应商应对服务危险性、潜在危险认真考虑周全，对所有项目安全负责，并承担由此可能产生的一切费用，采购人不承担任何责任；如需采购人配合的工作，供应商需及时通知采购方。</w:t>
      </w:r>
      <w:r>
        <w:rPr>
          <w:color w:val="000000" w:themeColor="text1"/>
        </w:rPr>
      </w:r>
    </w:p>
    <w:p>
      <w:pPr>
        <w:pStyle w:val="1335"/>
        <w:ind w:left="0" w:firstLine="480"/>
        <w:keepLines w:val="0"/>
        <w:keepNext w:val="0"/>
        <w:pageBreakBefore w:val="0"/>
        <w:spacing w:line="360" w:lineRule="auto"/>
        <w:widowControl w:val="off"/>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5、履约保证金：本项目无需提交履约保证金。</w:t>
      </w:r>
      <w:r>
        <w:rPr>
          <w:color w:val="000000" w:themeColor="text1"/>
        </w:rPr>
      </w:r>
    </w:p>
    <w:p>
      <w:pPr>
        <w:pStyle w:val="1335"/>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、服务费：</w:t>
      </w:r>
      <w:bookmarkStart w:id="43" w:name="_Toc31110"/>
      <w:r>
        <w:rPr>
          <w:color w:val="000000" w:themeColor="text1"/>
        </w:rPr>
      </w:r>
      <w:bookmarkStart w:id="44" w:name="_Toc30450"/>
      <w:r>
        <w:rPr>
          <w:color w:val="000000" w:themeColor="text1"/>
        </w:rPr>
      </w:r>
      <w:bookmarkStart w:id="45" w:name="_Toc5270"/>
      <w:r>
        <w:rPr>
          <w:rFonts w:hint="eastAsia" w:ascii="宋体" w:hAnsi="宋体" w:cs="宋体"/>
          <w:color w:val="000000" w:themeColor="text1"/>
          <w:sz w:val="24"/>
          <w:szCs w:val="24"/>
          <w:highlight w:val="none"/>
          <w:lang w:val="en-US" w:eastAsia="zh-CN"/>
        </w:rPr>
        <w:t xml:space="preserve">详见前附表。</w:t>
      </w:r>
      <w:r>
        <w:rPr>
          <w:color w:val="000000" w:themeColor="text1"/>
        </w:rPr>
      </w:r>
    </w:p>
    <w:p>
      <w:pPr>
        <w:ind w:left="0" w:firstLine="0"/>
        <w:keepLines w:val="0"/>
        <w:keepNext w:val="0"/>
        <w:pageBreakBefore w:val="0"/>
        <w:spacing w:line="360" w:lineRule="auto"/>
        <w:widowControl w:val="off"/>
        <w:tabs>
          <w:tab w:val="left" w:pos="420"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七、政府采购政策</w:t>
      </w:r>
      <w:bookmarkEnd w:id="43"/>
      <w:r>
        <w:rPr>
          <w:color w:val="000000" w:themeColor="text1"/>
        </w:rPr>
      </w:r>
      <w:bookmarkEnd w:id="44"/>
      <w:r>
        <w:rPr>
          <w:color w:val="000000" w:themeColor="text1"/>
        </w:rPr>
      </w:r>
      <w:bookmarkEnd w:id="45"/>
      <w:r>
        <w:rPr>
          <w:color w:val="000000" w:themeColor="text1"/>
        </w:rPr>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1、小、微企业</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 w:val="24"/>
          <w:szCs w:val="24"/>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 w:val="24"/>
          <w:szCs w:val="24"/>
          <w:highlight w:val="none"/>
          <w:lang w:val="en-US" w:eastAsia="zh-CN"/>
        </w:rPr>
        <w:t xml:space="preserve">服务类项目中供应商若使用退休人员，将不享受相关扶持政策。</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根据《政府采购促进中小企业发展管理办法》（财库〔2020〕46号）及《中小企业划型标准规定》（工信部联企业〔2011〕300号），本采购项目对应的中小企业划分标准所属行业为：其他未列明行业。</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2、残疾人福利性单位</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3、监狱企业</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4、绿色采购</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cs="宋体"/>
          <w:color w:val="000000" w:themeColor="text1"/>
          <w:sz w:val="24"/>
          <w:szCs w:val="24"/>
          <w:highlight w:val="none"/>
          <w:cs/>
          <w:lang w:val="en-US" w:eastAsia="zh-CN"/>
        </w:rPr>
        <w:t xml:space="preserve">“</w:t>
      </w:r>
      <w:r>
        <w:rPr>
          <w:rFonts w:hint="eastAsia" w:ascii="宋体" w:hAnsi="宋体" w:eastAsia="宋体" w:cs="宋体"/>
          <w:color w:val="000000" w:themeColor="text1"/>
          <w:sz w:val="24"/>
          <w:szCs w:val="24"/>
          <w:highlight w:val="none"/>
          <w:lang w:val="en-US" w:eastAsia="zh-CN"/>
        </w:rPr>
        <w:t xml:space="preserve">中国政府采购网</w:t>
      </w:r>
      <w:r>
        <w:rPr>
          <w:rFonts w:hint="cs" w:ascii="宋体" w:hAnsi="宋体" w:eastAsia="宋体" w:cs="宋体"/>
          <w:color w:val="000000" w:themeColor="text1"/>
          <w:sz w:val="24"/>
          <w:szCs w:val="24"/>
          <w:highlight w:val="none"/>
          <w:cs/>
          <w:lang w:val="en-US" w:eastAsia="zh-CN"/>
        </w:rPr>
        <w:t xml:space="preserve">”</w:t>
      </w:r>
      <w:r>
        <w:rPr>
          <w:rFonts w:hint="eastAsia" w:ascii="宋体" w:hAnsi="宋体" w:eastAsia="宋体" w:cs="宋体"/>
          <w:color w:val="000000" w:themeColor="text1"/>
          <w:sz w:val="24"/>
          <w:szCs w:val="24"/>
          <w:highlight w:val="none"/>
          <w:lang w:val="en-US" w:eastAsia="zh-CN"/>
        </w:rPr>
        <w:t xml:space="preserve">（http://www.ccgp.gov.cn）查询,并在响应文件中提供由国家确定的认证机构出具的、处于有效期之内的节能产品认证证书复印件，否则视为未实质性响应。</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5、针对中小型企业、残疾人福利企业和监狱企业的评审：</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本项目为专门面向中小企业采购的项目，不再执行价格评审优惠的扶持政策。</w:t>
      </w:r>
      <w:r>
        <w:rPr>
          <w:rFonts w:hint="eastAsia" w:ascii="宋体" w:hAnsi="宋体" w:eastAsia="宋体" w:cs="宋体"/>
          <w:color w:val="000000" w:themeColor="text1"/>
          <w:sz w:val="24"/>
          <w:szCs w:val="24"/>
          <w:highlight w:val="none"/>
          <w:lang w:val="en-US" w:eastAsia="zh-CN"/>
        </w:rPr>
        <w:t xml:space="preserve">供应商必须提供《中小企业声明函》或《残疾人福利性单位声明函》或由省级以上监狱管理局、戒毒管理局（含新疆生产建设兵团）出具的属于监狱企业的证明文件。</w:t>
      </w:r>
      <w:r>
        <w:rPr>
          <w:color w:val="000000" w:themeColor="text1"/>
        </w:rPr>
      </w:r>
    </w:p>
    <w:p>
      <w:pPr>
        <w:pStyle w:val="13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若供应商提供的声明函或认定证明为虚假材料，按“政府采购法”相关规定处理并报请政府监管部门给予行政处罚。</w:t>
      </w:r>
      <w:r>
        <w:rPr>
          <w:color w:val="000000" w:themeColor="text1"/>
        </w:rPr>
      </w:r>
    </w:p>
    <w:p>
      <w:pPr>
        <w:ind w:left="0" w:firstLine="0"/>
        <w:keepLines w:val="0"/>
        <w:keepNext w:val="0"/>
        <w:pageBreakBefore w:val="0"/>
        <w:spacing w:line="360" w:lineRule="auto"/>
        <w:widowControl w:val="off"/>
        <w:tabs>
          <w:tab w:val="left" w:pos="567"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八、信用记录</w:t>
      </w:r>
      <w:r>
        <w:rPr>
          <w:color w:val="000000" w:themeColor="text1"/>
        </w:rPr>
      </w:r>
    </w:p>
    <w:p>
      <w:pPr>
        <w:ind w:left="0" w:firstLine="482"/>
        <w:keepLines w:val="0"/>
        <w:keepNext w:val="0"/>
        <w:pageBreakBefore w:val="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color w:val="000000" w:themeColor="text1"/>
        </w:rP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rPr>
      </w:r>
    </w:p>
    <w:p>
      <w:pPr>
        <w:ind w:left="0" w:firstLine="480"/>
        <w:spacing w:line="360" w:lineRule="auto"/>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color w:val="000000" w:themeColor="text1"/>
        </w:rPr>
      </w:r>
    </w:p>
    <w:p>
      <w:pPr>
        <w:ind w:left="0" w:firstLine="0"/>
        <w:keepLines w:val="0"/>
        <w:keepNext w:val="0"/>
        <w:pageBreakBefore w:val="0"/>
        <w:spacing w:line="360" w:lineRule="auto"/>
        <w:widowControl w:val="off"/>
        <w:tabs>
          <w:tab w:val="left" w:pos="567"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rPr>
        <w:t xml:space="preserve">九</w:t>
      </w:r>
      <w:r>
        <w:rPr>
          <w:rFonts w:hint="eastAsia" w:ascii="宋体" w:hAnsi="宋体" w:cs="宋体"/>
          <w:b/>
          <w:bCs/>
          <w:color w:val="000000" w:themeColor="text1"/>
          <w:sz w:val="24"/>
          <w:szCs w:val="24"/>
          <w:highlight w:val="none"/>
        </w:rPr>
        <w:t xml:space="preserve">、成交通知书</w:t>
      </w:r>
      <w:r>
        <w:rPr>
          <w:color w:val="000000" w:themeColor="text1"/>
        </w:rP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1、确定出成交单位后，采购代理机构在法定时间内向成交单位发出成交通知书。</w:t>
      </w:r>
      <w:r>
        <w:rPr>
          <w:color w:val="000000" w:themeColor="text1"/>
        </w:rP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2、成交通知书将成为合同的组成部分。</w:t>
      </w:r>
      <w:r>
        <w:rPr>
          <w:color w:val="000000" w:themeColor="text1"/>
        </w:rP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3、采购人或采购代理机构对未成交单位不承担解释未成交原因的义务。</w:t>
      </w:r>
      <w:r>
        <w:rPr>
          <w:color w:val="000000" w:themeColor="text1"/>
        </w:rPr>
      </w:r>
    </w:p>
    <w:p>
      <w:pPr>
        <w:ind w:left="0" w:firstLine="480"/>
        <w:spacing w:line="360" w:lineRule="auto"/>
        <w:widowControl w:val="off"/>
        <w:tabs>
          <w:tab w:val="left" w:pos="567"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lang w:val="zh-CN"/>
        </w:rPr>
        <w:t xml:space="preserve">4、请成交单位在成交结果公告届满之日起30日内,使用CA证书登录</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苏采云</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系统及时下载成交通知书。因系统存储空间有限，自成交结果公告届满之日起30日后，</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苏采云</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系统不再保证提供下载中标通知书服务,因未及时下载而造成的不利后果由中标人自行承担。</w:t>
      </w:r>
      <w:r>
        <w:rPr>
          <w:color w:val="000000" w:themeColor="text1"/>
        </w:rPr>
      </w:r>
    </w:p>
    <w:p>
      <w:pPr>
        <w:ind w:left="0" w:firstLine="0"/>
        <w:keepLines w:val="0"/>
        <w:keepNext w:val="0"/>
        <w:pageBreakBefore w:val="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w:t>
      </w:r>
      <w:r>
        <w:rPr>
          <w:rFonts w:hint="eastAsia" w:ascii="宋体" w:hAnsi="宋体" w:cs="宋体"/>
          <w:b/>
          <w:bCs/>
          <w:color w:val="000000" w:themeColor="text1"/>
          <w:sz w:val="24"/>
          <w:szCs w:val="24"/>
          <w:highlight w:val="none"/>
        </w:rPr>
        <w:t xml:space="preserve">、凡涉及采购文件的补充说明和修改，均以网上发布的通知为准。</w:t>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br w:type="page" w:clear="all"/>
      </w:r>
      <w:bookmarkStart w:id="46" w:name="_Toc14106"/>
      <w:r>
        <w:rPr>
          <w:color w:val="000000" w:themeColor="text1"/>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p>
    <w:p>
      <w:pPr>
        <w:pStyle w:val="1330"/>
        <w:jc w:val="center"/>
        <w:keepLines w:val="0"/>
        <w:keepNext w:val="0"/>
        <w:pageBreakBefore w:val="0"/>
        <w:spacing w:before="0" w:after="0" w:line="360" w:lineRule="auto"/>
        <w:rPr>
          <w:rFonts w:hint="eastAsia" w:ascii="宋体" w:hAnsi="宋体" w:eastAsia="宋体" w:cs="宋体"/>
          <w:b/>
          <w:color w:val="000000" w:themeColor="text1"/>
          <w:sz w:val="44"/>
          <w:szCs w:val="44"/>
          <w:highlight w:val="none"/>
        </w:rPr>
      </w:pPr>
      <w:r>
        <w:rPr>
          <w:color w:val="000000" w:themeColor="text1"/>
        </w:rPr>
      </w:r>
      <w:bookmarkStart w:id="47" w:name="_Toc1201"/>
      <w:r>
        <w:rPr>
          <w:color w:val="000000" w:themeColor="text1"/>
        </w:rPr>
      </w:r>
      <w:bookmarkStart w:id="48" w:name="_Toc9971"/>
      <w:r>
        <w:rPr>
          <w:color w:val="000000" w:themeColor="text1"/>
        </w:rPr>
      </w:r>
      <w:bookmarkStart w:id="49" w:name="_Toc4028"/>
      <w:r>
        <w:rPr>
          <w:rFonts w:hint="eastAsia" w:ascii="宋体" w:hAnsi="宋体" w:eastAsia="宋体" w:cs="宋体"/>
          <w:b/>
          <w:color w:val="000000" w:themeColor="text1"/>
          <w:sz w:val="44"/>
          <w:szCs w:val="44"/>
          <w:highlight w:val="none"/>
        </w:rPr>
        <w:t xml:space="preserve">第三章  </w:t>
      </w:r>
      <w:bookmarkStart w:id="50" w:name="投标文件格式"/>
      <w:r>
        <w:rPr>
          <w:color w:val="000000" w:themeColor="text1"/>
        </w:rPr>
      </w:r>
      <w:bookmarkEnd w:id="50"/>
      <w:r>
        <w:rPr>
          <w:rFonts w:hint="eastAsia" w:ascii="宋体" w:hAnsi="宋体" w:eastAsia="宋体" w:cs="宋体"/>
          <w:b/>
          <w:color w:val="000000" w:themeColor="text1"/>
          <w:sz w:val="44"/>
          <w:szCs w:val="44"/>
          <w:highlight w:val="none"/>
        </w:rPr>
        <w:t xml:space="preserve">响应文件格式</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r>
        <w:rPr>
          <w:color w:val="000000" w:themeColor="text1"/>
        </w:rPr>
      </w:r>
    </w:p>
    <w:p>
      <w:pPr>
        <w:ind w:left="0"/>
        <w:jc w:val="left"/>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p>
    <w:p>
      <w:pPr>
        <w:ind w:left="0" w:firstLine="422"/>
        <w:jc w:val="left"/>
        <w:keepLines w:val="0"/>
        <w:keepNext w:val="0"/>
        <w:pageBreakBefore w:val="0"/>
        <w:spacing w:line="360" w:lineRule="auto"/>
        <w:widowControl/>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说明：</w:t>
      </w:r>
      <w:r>
        <w:rPr>
          <w:color w:val="000000" w:themeColor="text1"/>
        </w:rPr>
      </w:r>
    </w:p>
    <w:p>
      <w:pPr>
        <w:ind w:left="0" w:firstLine="420"/>
        <w:jc w:val="left"/>
        <w:keepLines w:val="0"/>
        <w:keepNext w:val="0"/>
        <w:pageBreakBefore w:val="0"/>
        <w:spacing w:before="0" w:after="0" w:line="360" w:lineRule="auto"/>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对本章所有的格式，供应商可根据自身情况进行补充和修改，但补充和修改不得造成与本格式内容有实质性的违背。</w:t>
      </w:r>
      <w:r>
        <w:rPr>
          <w:color w:val="000000" w:themeColor="text1"/>
        </w:rPr>
      </w:r>
    </w:p>
    <w:p>
      <w:pPr>
        <w:ind w:left="0" w:firstLine="0"/>
        <w:jc w:val="left"/>
        <w:keepLines w:val="0"/>
        <w:keepNext w:val="0"/>
        <w:pageBreakBefore w:val="0"/>
        <w:spacing w:before="0" w:after="0" w:line="360" w:lineRule="auto"/>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44"/>
          <w:szCs w:val="44"/>
          <w:highlight w:val="none"/>
        </w:rPr>
        <w:br w:type="page" w:clear="all"/>
      </w:r>
      <w:bookmarkStart w:id="51" w:name="_Toc17036"/>
      <w:r>
        <w:rPr>
          <w:color w:val="000000" w:themeColor="text1"/>
        </w:rPr>
      </w:r>
      <w:bookmarkStart w:id="52" w:name="_Toc3821"/>
      <w:r>
        <w:rPr>
          <w:color w:val="000000" w:themeColor="text1"/>
        </w:rPr>
      </w:r>
      <w:bookmarkStart w:id="53" w:name="_Toc7097"/>
      <w:r>
        <w:rPr>
          <w:color w:val="000000" w:themeColor="text1"/>
        </w:rPr>
      </w:r>
      <w:bookmarkStart w:id="54" w:name="_Toc30994"/>
      <w:r>
        <w:rPr>
          <w:rFonts w:hint="eastAsia" w:ascii="宋体" w:hAnsi="宋体" w:eastAsia="宋体" w:cs="宋体"/>
          <w:b/>
          <w:color w:val="000000" w:themeColor="text1"/>
          <w:sz w:val="24"/>
          <w:szCs w:val="24"/>
          <w:highlight w:val="none"/>
        </w:rPr>
        <w:t xml:space="preserve">附件1</w:t>
      </w:r>
      <w:bookmarkEnd w:id="51"/>
      <w:r>
        <w:rPr>
          <w:color w:val="000000" w:themeColor="text1"/>
        </w:rPr>
      </w:r>
      <w:bookmarkEnd w:id="52"/>
      <w:r>
        <w:rPr>
          <w:rFonts w:hint="eastAsia" w:ascii="宋体" w:hAnsi="宋体" w:eastAsia="宋体" w:cs="宋体"/>
          <w:b/>
          <w:color w:val="000000" w:themeColor="text1"/>
          <w:sz w:val="24"/>
          <w:szCs w:val="24"/>
          <w:highlight w:val="none"/>
        </w:rPr>
        <w:t xml:space="preserve">、磋商响应函</w:t>
      </w:r>
      <w:bookmarkEnd w:id="53"/>
      <w:r>
        <w:rPr>
          <w:color w:val="000000" w:themeColor="text1"/>
        </w:rPr>
      </w:r>
      <w:bookmarkEnd w:id="54"/>
      <w:r>
        <w:rPr>
          <w:color w:val="000000" w:themeColor="text1"/>
        </w:rPr>
      </w:r>
      <w:r>
        <w:rPr>
          <w:color w:val="000000" w:themeColor="text1"/>
        </w:rPr>
      </w:r>
    </w:p>
    <w:p>
      <w:pPr>
        <w:ind w:left="0" w:firstLine="42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磋商响应函</w:t>
      </w:r>
      <w:r>
        <w:rPr>
          <w:color w:val="000000" w:themeColor="text1"/>
        </w:rPr>
      </w:r>
    </w:p>
    <w:p>
      <w:pPr>
        <w:pStyle w:val="1363"/>
        <w:ind w:left="0" w:firstLine="0"/>
        <w:keepLines w:val="0"/>
        <w:keepNext w:val="0"/>
        <w:pageBreakBefore w:val="0"/>
        <w:spacing w:line="340" w:lineRule="exact"/>
        <w:widowControl w:val="off"/>
        <w:rPr>
          <w:rStyle w:val="1360"/>
          <w:rFonts w:hint="eastAsia" w:hAnsi="宋体" w:cs="宋体"/>
          <w:color w:val="000000" w:themeColor="text1"/>
          <w:sz w:val="24"/>
          <w:szCs w:val="24"/>
          <w:highlight w:val="none"/>
          <w:u w:val="single"/>
        </w:rPr>
      </w:pPr>
      <w:r>
        <w:rPr>
          <w:rFonts w:hint="eastAsia" w:hAnsi="宋体" w:cs="宋体"/>
          <w:color w:val="000000" w:themeColor="text1"/>
          <w:sz w:val="24"/>
          <w:szCs w:val="24"/>
          <w:highlight w:val="none"/>
          <w:u w:val="single"/>
          <w:lang w:val="zh-CN"/>
        </w:rPr>
      </w:r>
      <w:r>
        <w:rPr>
          <w:color w:val="000000" w:themeColor="text1"/>
        </w:rPr>
      </w:r>
    </w:p>
    <w:p>
      <w:pPr>
        <w:pStyle w:val="1363"/>
        <w:ind w:left="0" w:firstLine="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u w:val="single"/>
        </w:rPr>
      </w:pPr>
      <w:r>
        <w:rPr>
          <w:rStyle w:val="1360"/>
          <w:rFonts w:hint="eastAsia" w:hAnsi="宋体" w:cs="宋体"/>
          <w:color w:val="000000" w:themeColor="text1"/>
          <w:sz w:val="24"/>
          <w:szCs w:val="24"/>
          <w:highlight w:val="none"/>
          <w:u w:val="single"/>
          <w:lang w:val="zh-CN"/>
        </w:rPr>
        <w:t xml:space="preserve">江苏正琦工程咨询有限公司</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zh-CN"/>
        </w:rPr>
        <w:t xml:space="preserve">我方收到贵公司</w:t>
      </w:r>
      <w:r>
        <w:rPr>
          <w:rStyle w:val="1360"/>
          <w:rFonts w:hint="eastAsia" w:ascii="宋体" w:hAnsi="宋体" w:eastAsia="宋体" w:cs="宋体"/>
          <w:color w:val="000000" w:themeColor="text1"/>
          <w:sz w:val="24"/>
          <w:szCs w:val="24"/>
          <w:highlight w:val="none"/>
          <w:u w:val="single"/>
          <w:lang w:val="zh-CN"/>
        </w:rPr>
        <w:t xml:space="preserve">           </w:t>
      </w:r>
      <w:r>
        <w:rPr>
          <w:rStyle w:val="1360"/>
          <w:rFonts w:hint="eastAsia" w:ascii="宋体" w:hAnsi="宋体" w:eastAsia="宋体" w:cs="宋体"/>
          <w:color w:val="000000" w:themeColor="text1"/>
          <w:sz w:val="24"/>
          <w:szCs w:val="24"/>
          <w:highlight w:val="none"/>
          <w:lang w:val="zh-CN"/>
        </w:rPr>
        <w:t xml:space="preserve">号磋商采购文件，经仔细阅读和研究，我方决定参加磋商。并向贵公司承诺：</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1、我们愿意按照采购文件的一切要求向采购人提供所需服务</w:t>
      </w:r>
      <w:r>
        <w:rPr>
          <w:rStyle w:val="1360"/>
          <w:rFonts w:hint="eastAsia" w:ascii="宋体" w:hAnsi="宋体" w:eastAsia="宋体" w:cs="宋体"/>
          <w:color w:val="000000" w:themeColor="text1"/>
          <w:sz w:val="24"/>
          <w:szCs w:val="24"/>
          <w:highlight w:val="none"/>
          <w:lang w:eastAsia="zh-CN"/>
        </w:rPr>
        <w:t xml:space="preserve">。</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2、如果我们的磋商响应文件被接受，我们将严格履行采购文件中规定的每一项要求，按期、按质、按量履行合同的义务。</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3、我们已详细审查全部采购文件，包括更正公告(如有)。我们完全理解并同意放弃对这方面有不明及误解的权力。</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4、我们同意按采购文件中的规定，本磋商响应文件的有效期限为响应文件提交截止之日起</w:t>
      </w:r>
      <w:r>
        <w:rPr>
          <w:rStyle w:val="1360"/>
          <w:rFonts w:hint="eastAsia" w:ascii="宋体" w:hAnsi="宋体" w:eastAsia="宋体" w:cs="宋体"/>
          <w:color w:val="000000" w:themeColor="text1"/>
          <w:sz w:val="24"/>
          <w:szCs w:val="24"/>
          <w:highlight w:val="none"/>
          <w:lang w:val="en-US" w:eastAsia="zh-CN"/>
        </w:rPr>
        <w:t xml:space="preserve">60</w:t>
      </w:r>
      <w:r>
        <w:rPr>
          <w:rStyle w:val="1360"/>
          <w:rFonts w:hint="eastAsia" w:ascii="宋体" w:hAnsi="宋体" w:eastAsia="宋体" w:cs="宋体"/>
          <w:color w:val="000000" w:themeColor="text1"/>
          <w:sz w:val="24"/>
          <w:szCs w:val="24"/>
          <w:highlight w:val="none"/>
        </w:rPr>
        <w:t xml:space="preserve">天。</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5、我们愿意提供磋商采购单位在采购文件中要求的所有资料。</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6</w:t>
      </w:r>
      <w:r>
        <w:rPr>
          <w:rStyle w:val="1360"/>
          <w:rFonts w:hint="eastAsia" w:ascii="宋体" w:hAnsi="宋体" w:eastAsia="宋体" w:cs="宋体"/>
          <w:color w:val="000000" w:themeColor="text1"/>
          <w:sz w:val="24"/>
          <w:szCs w:val="24"/>
          <w:highlight w:val="none"/>
        </w:rPr>
        <w:t xml:space="preserve">、我们承诺该磋商响应文件在磋商开始后的全过程中保持有效，不作任何更改和变动。</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7</w:t>
      </w:r>
      <w:r>
        <w:rPr>
          <w:rStyle w:val="1360"/>
          <w:rFonts w:hint="eastAsia" w:ascii="宋体" w:hAnsi="宋体" w:eastAsia="宋体" w:cs="宋体"/>
          <w:color w:val="000000" w:themeColor="text1"/>
          <w:sz w:val="24"/>
          <w:szCs w:val="24"/>
          <w:highlight w:val="none"/>
        </w:rPr>
        <w:t xml:space="preserve">、我们承诺我公司符合采购文件中“申请人</w:t>
      </w:r>
      <w:r>
        <w:rPr>
          <w:rStyle w:val="1360"/>
          <w:rFonts w:hint="eastAsia" w:ascii="宋体" w:hAnsi="宋体" w:eastAsia="宋体" w:cs="宋体"/>
          <w:color w:val="000000" w:themeColor="text1"/>
          <w:sz w:val="24"/>
          <w:szCs w:val="24"/>
          <w:highlight w:val="none"/>
          <w:lang w:val="en-US" w:eastAsia="zh-CN"/>
        </w:rPr>
        <w:t xml:space="preserve">的</w:t>
      </w:r>
      <w:r>
        <w:rPr>
          <w:rStyle w:val="1360"/>
          <w:rFonts w:hint="eastAsia" w:ascii="宋体" w:hAnsi="宋体" w:eastAsia="宋体" w:cs="宋体"/>
          <w:color w:val="000000" w:themeColor="text1"/>
          <w:sz w:val="24"/>
          <w:szCs w:val="24"/>
          <w:highlight w:val="none"/>
        </w:rPr>
        <w:t xml:space="preserve">资格要求”的要求，若与真实情况不符，本公司愿意承担由此而产生的一切后果。</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8</w:t>
      </w:r>
      <w:r>
        <w:rPr>
          <w:rStyle w:val="1360"/>
          <w:rFonts w:hint="eastAsia" w:ascii="宋体" w:hAnsi="宋体" w:eastAsia="宋体" w:cs="宋体"/>
          <w:color w:val="000000" w:themeColor="text1"/>
          <w:sz w:val="24"/>
          <w:szCs w:val="24"/>
          <w:highlight w:val="none"/>
        </w:rPr>
        <w:t xml:space="preserve">、我们声明：我们在参加本次政府采购活动前3年内在经营活动中没有重大违法记录。</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9</w:t>
      </w:r>
      <w:r>
        <w:rPr>
          <w:rStyle w:val="1360"/>
          <w:rFonts w:hint="eastAsia" w:ascii="宋体" w:hAnsi="宋体" w:eastAsia="宋体" w:cs="宋体"/>
          <w:color w:val="000000" w:themeColor="text1"/>
          <w:sz w:val="24"/>
          <w:szCs w:val="24"/>
          <w:highlight w:val="none"/>
        </w:rPr>
        <w:t xml:space="preserve">、综合说明：</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（1）伴随服务及配合措施；（2）要求</w:t>
      </w:r>
      <w:r>
        <w:rPr>
          <w:rStyle w:val="1360"/>
          <w:rFonts w:hint="eastAsia" w:ascii="宋体" w:hAnsi="宋体" w:eastAsia="宋体" w:cs="宋体"/>
          <w:color w:val="000000" w:themeColor="text1"/>
          <w:sz w:val="24"/>
          <w:szCs w:val="24"/>
          <w:highlight w:val="none"/>
          <w:lang w:val="en-US" w:eastAsia="zh-CN"/>
        </w:rPr>
        <w:t xml:space="preserve">采购人</w:t>
      </w:r>
      <w:r>
        <w:rPr>
          <w:rStyle w:val="1360"/>
          <w:rFonts w:hint="eastAsia" w:ascii="宋体" w:hAnsi="宋体" w:eastAsia="宋体" w:cs="宋体"/>
          <w:color w:val="000000" w:themeColor="text1"/>
          <w:sz w:val="24"/>
          <w:szCs w:val="24"/>
          <w:highlight w:val="none"/>
        </w:rPr>
        <w:t xml:space="preserve">提供的配合；（3）对采购文件有不同意见的偏离说明；（4）其它说明。</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所有有关磋商响应文件的函电，请按下列地址联系：</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单位：                             联系人：</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地址：                             邮政编码：</w:t>
      </w:r>
      <w:r>
        <w:rPr>
          <w:color w:val="000000" w:themeColor="text1"/>
        </w:rPr>
      </w:r>
    </w:p>
    <w:p>
      <w:pPr>
        <w:pStyle w:val="1363"/>
        <w:ind w:left="0" w:firstLine="480"/>
        <w:keepLines w:val="0"/>
        <w:keepNext w:val="0"/>
        <w:pageBreakBefore w:val="0"/>
        <w:spacing w:line="340" w:lineRule="exact"/>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联系电话：                         传真：</w:t>
      </w:r>
      <w:r>
        <w:rPr>
          <w:color w:val="000000" w:themeColor="text1"/>
        </w:rPr>
      </w:r>
    </w:p>
    <w:p>
      <w:pPr>
        <w:pStyle w:val="1363"/>
        <w:ind w:left="0" w:firstLine="480"/>
        <w:keepLines w:val="0"/>
        <w:keepNext w:val="0"/>
        <w:pageBreakBefore w:val="0"/>
        <w:spacing w:line="340" w:lineRule="exact"/>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电子邮箱：</w:t>
      </w:r>
      <w:r>
        <w:rPr>
          <w:rFonts w:hint="eastAsia" w:ascii="宋体" w:hAnsi="宋体" w:eastAsia="宋体" w:cs="宋体"/>
          <w:color w:val="000000" w:themeColor="text1"/>
          <w:sz w:val="24"/>
          <w:szCs w:val="24"/>
          <w:highlight w:val="none"/>
          <w:lang w:val="zh-CN"/>
        </w:rPr>
        <w:t xml:space="preserve">                                                    </w:t>
      </w:r>
      <w:r>
        <w:rPr>
          <w:color w:val="000000" w:themeColor="text1"/>
        </w:rPr>
      </w:r>
    </w:p>
    <w:p>
      <w:pPr>
        <w:ind w:left="0" w:right="-20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keepLines w:val="0"/>
        <w:keepNext w:val="0"/>
        <w:pageBreakBefore w:val="0"/>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1"/>
          <w:szCs w:val="21"/>
          <w:highlight w:val="none"/>
        </w:rPr>
        <w:br w:type="page" w:clear="all"/>
      </w:r>
      <w:bookmarkStart w:id="55" w:name="_Toc6183"/>
      <w:r>
        <w:rPr>
          <w:color w:val="000000" w:themeColor="text1"/>
        </w:rPr>
      </w:r>
      <w:bookmarkStart w:id="56" w:name="_Toc23169"/>
      <w:r>
        <w:rPr>
          <w:rFonts w:hint="eastAsia" w:ascii="宋体" w:hAnsi="宋体" w:eastAsia="宋体" w:cs="宋体"/>
          <w:b/>
          <w:color w:val="000000" w:themeColor="text1"/>
          <w:sz w:val="24"/>
          <w:szCs w:val="24"/>
          <w:highlight w:val="none"/>
        </w:rPr>
        <w:t xml:space="preserve">附件2、磋商报价表</w:t>
      </w:r>
      <w:bookmarkEnd w:id="55"/>
      <w:r>
        <w:rPr>
          <w:color w:val="000000" w:themeColor="text1"/>
        </w:rPr>
      </w:r>
      <w:bookmarkEnd w:id="56"/>
      <w:r>
        <w:rPr>
          <w:color w:val="000000" w:themeColor="text1"/>
        </w:rPr>
      </w:r>
      <w:r>
        <w:rPr>
          <w:color w:val="000000" w:themeColor="text1"/>
        </w:rPr>
      </w:r>
    </w:p>
    <w:p>
      <w:pPr>
        <w:ind w:left="0" w:firstLine="42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磋商报价表</w:t>
      </w:r>
      <w:r>
        <w:rPr>
          <w:color w:val="000000" w:themeColor="text1"/>
        </w:rPr>
      </w:r>
    </w:p>
    <w:tbl>
      <w:tblPr>
        <w:tblStyle w:val="1149"/>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7595"/>
      </w:tblGrid>
      <w:tr>
        <w:trPr>
          <w:cantSplit/>
          <w:jc w:val="center"/>
          <w:trHeight w:val="680"/>
        </w:trPr>
        <w:tc>
          <w:tcPr>
            <w:tcW w:w="2025"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lang w:val="en-US" w:eastAsia="zh-CN"/>
              </w:rPr>
              <w:t xml:space="preserve">采购</w:t>
            </w:r>
            <w:r>
              <w:rPr>
                <w:rFonts w:hint="eastAsia" w:ascii="宋体" w:hAnsi="宋体" w:eastAsia="宋体" w:cs="宋体"/>
                <w:b w:val="0"/>
                <w:bCs/>
                <w:color w:val="000000" w:themeColor="text1"/>
                <w:sz w:val="24"/>
                <w:szCs w:val="24"/>
                <w:highlight w:val="none"/>
              </w:rPr>
              <w:t xml:space="preserve">编号</w:t>
            </w:r>
            <w:r>
              <w:rPr>
                <w:color w:val="000000" w:themeColor="text1"/>
              </w:rPr>
            </w:r>
          </w:p>
        </w:tc>
        <w:tc>
          <w:tcPr>
            <w:tcW w:w="7597"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p>
        </w:tc>
      </w:tr>
      <w:tr>
        <w:trPr>
          <w:cantSplit/>
          <w:jc w:val="center"/>
          <w:trHeight w:val="680"/>
        </w:trPr>
        <w:tc>
          <w:tcPr>
            <w:tcW w:w="2025"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项目名称</w:t>
            </w:r>
            <w:r>
              <w:rPr>
                <w:color w:val="000000" w:themeColor="text1"/>
              </w:rPr>
            </w:r>
          </w:p>
        </w:tc>
        <w:tc>
          <w:tcPr>
            <w:tcW w:w="7597"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p>
        </w:tc>
      </w:tr>
      <w:tr>
        <w:trPr>
          <w:cantSplit/>
          <w:jc w:val="center"/>
          <w:trHeight w:val="635"/>
        </w:trPr>
        <w:tc>
          <w:tcPr>
            <w:tcW w:w="2025"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投标报价（元）</w:t>
            </w:r>
            <w:r>
              <w:rPr>
                <w:color w:val="000000" w:themeColor="text1"/>
              </w:rPr>
            </w:r>
          </w:p>
        </w:tc>
        <w:tc>
          <w:tcPr>
            <w:tcW w:w="7597" w:type="dxa"/>
            <w:vAlign w:val="center"/>
            <w:textDirection w:val="lrTb"/>
            <w:noWrap w:val="false"/>
          </w:tcPr>
          <w:p>
            <w:pPr>
              <w:ind w:left="0" w:firstLine="0"/>
              <w:spacing w:line="32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p>
        </w:tc>
      </w:tr>
      <w:tr>
        <w:trPr>
          <w:cantSplit/>
          <w:jc w:val="center"/>
          <w:trHeight w:val="635"/>
        </w:trPr>
        <w:tc>
          <w:tcPr>
            <w:tcW w:w="2025" w:type="dxa"/>
            <w:vAlign w:val="center"/>
            <w:textDirection w:val="lrTb"/>
            <w:noWrap w:val="false"/>
          </w:tcPr>
          <w:p>
            <w:pPr>
              <w:ind w:left="0"/>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服务期限</w:t>
            </w:r>
            <w:r>
              <w:rPr>
                <w:color w:val="000000" w:themeColor="text1"/>
              </w:rPr>
            </w:r>
          </w:p>
        </w:tc>
        <w:tc>
          <w:tcPr>
            <w:tcW w:w="7597" w:type="dxa"/>
            <w:vAlign w:val="center"/>
            <w:textDirection w:val="lrTb"/>
            <w:noWrap w:val="false"/>
          </w:tcPr>
          <w:p>
            <w:pPr>
              <w:ind w:left="0" w:firstLine="0"/>
              <w:spacing w:line="32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p>
        </w:tc>
      </w:tr>
    </w:tbl>
    <w:p>
      <w:pPr>
        <w:ind w:left="0" w:right="-20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color w:val="000000" w:themeColor="text1"/>
        </w:rPr>
      </w:r>
      <w:bookmarkStart w:id="57" w:name="_Toc29741"/>
      <w:r>
        <w:rPr>
          <w:color w:val="000000" w:themeColor="text1"/>
        </w:rPr>
      </w:r>
      <w:bookmarkStart w:id="58" w:name="_Toc14239"/>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firstLine="0"/>
        <w:spacing w:line="360" w:lineRule="auto"/>
        <w:rPr>
          <w:rFonts w:ascii="宋体" w:hAnsi="宋体" w:cs="宋体"/>
          <w:b/>
          <w:bCs/>
          <w:color w:val="000000" w:themeColor="text1"/>
          <w:sz w:val="21"/>
          <w:szCs w:val="21"/>
          <w:highlight w:val="none"/>
        </w:rPr>
        <w:outlineLvl w:val="0"/>
      </w:pPr>
      <w:r>
        <w:rPr>
          <w:rFonts w:ascii="宋体" w:hAnsi="宋体" w:cs="宋体"/>
          <w:b/>
          <w:bCs/>
          <w:color w:val="000000" w:themeColor="text1"/>
          <w:sz w:val="21"/>
          <w:szCs w:val="21"/>
          <w:highlight w:val="none"/>
        </w:rPr>
      </w:r>
      <w:r>
        <w:rPr>
          <w:color w:val="000000" w:themeColor="text1"/>
        </w:rPr>
      </w:r>
    </w:p>
    <w:p>
      <w:pPr>
        <w:pStyle w:val="1357"/>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p>
    <w:p>
      <w:pP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p>
    <w:p>
      <w:pPr>
        <w:pStyle w:val="1357"/>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p>
    <w:p>
      <w:pP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p>
    <w:p>
      <w:pPr>
        <w:pStyle w:val="1357"/>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p>
    <w:p>
      <w:pPr>
        <w:pStyle w:val="1357"/>
        <w:rPr>
          <w:color w:val="000000" w:themeColor="text1"/>
          <w:highlight w:val="none"/>
        </w:rPr>
      </w:pPr>
      <w:r>
        <w:rPr>
          <w:color w:val="000000" w:themeColor="text1"/>
          <w:highlight w:val="none"/>
        </w:rPr>
      </w:r>
      <w:r>
        <w:rPr>
          <w:color w:val="000000" w:themeColor="text1"/>
        </w:rPr>
      </w:r>
    </w:p>
    <w:p>
      <w:pPr>
        <w:pStyle w:val="1357"/>
        <w:rPr>
          <w:color w:val="000000" w:themeColor="text1"/>
          <w:highlight w:val="none"/>
        </w:rPr>
      </w:pPr>
      <w:r>
        <w:rPr>
          <w:color w:val="000000" w:themeColor="text1"/>
          <w:highlight w:val="none"/>
        </w:rPr>
      </w:r>
      <w:r>
        <w:rPr>
          <w:color w:val="000000" w:themeColor="text1"/>
        </w:rPr>
      </w:r>
    </w:p>
    <w:p>
      <w:pPr>
        <w:pStyle w:val="1357"/>
        <w:rPr>
          <w:color w:val="000000" w:themeColor="text1"/>
          <w:highlight w:val="none"/>
        </w:rPr>
      </w:pPr>
      <w:r>
        <w:rPr>
          <w:color w:val="000000" w:themeColor="text1"/>
          <w:highlight w:val="none"/>
        </w:rPr>
      </w:r>
      <w:r>
        <w:rPr>
          <w:color w:val="000000" w:themeColor="text1"/>
        </w:rPr>
      </w:r>
    </w:p>
    <w:p>
      <w:pPr>
        <w:pStyle w:val="1357"/>
        <w:rPr>
          <w:color w:val="000000" w:themeColor="text1"/>
          <w:highlight w:val="none"/>
        </w:rPr>
      </w:pPr>
      <w:r>
        <w:rPr>
          <w:color w:val="000000" w:themeColor="text1"/>
          <w:highlight w:val="none"/>
        </w:rPr>
      </w:r>
      <w:r>
        <w:rPr>
          <w:color w:val="000000" w:themeColor="text1"/>
        </w:rPr>
      </w:r>
    </w:p>
    <w:p>
      <w:pPr>
        <w:pStyle w:val="1357"/>
        <w:rPr>
          <w:color w:val="000000" w:themeColor="text1"/>
          <w:highlight w:val="none"/>
        </w:rPr>
      </w:pPr>
      <w:r>
        <w:rPr>
          <w:color w:val="000000" w:themeColor="text1"/>
          <w:highlight w:val="none"/>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1357"/>
        <w:rPr>
          <w:rFonts w:hint="eastAsia"/>
          <w:color w:val="000000" w:themeColor="text1"/>
          <w:highlight w:val="none"/>
        </w:rPr>
      </w:pPr>
      <w:r>
        <w:rPr>
          <w:rFonts w:hint="eastAsia"/>
          <w:color w:val="000000" w:themeColor="text1"/>
          <w:highlight w:val="none"/>
          <w:lang w:eastAsia="zh-CN"/>
        </w:rPr>
      </w:r>
      <w:r>
        <w:rPr>
          <w:color w:val="000000" w:themeColor="text1"/>
        </w:rPr>
      </w:r>
    </w:p>
    <w:p>
      <w:pPr>
        <w:ind w:left="0" w:right="40"/>
        <w:jc w:val="left"/>
        <w:keepLines w:val="0"/>
        <w:keepNext w:val="0"/>
        <w:pageBreakBefore w:val="0"/>
        <w:spacing w:line="360" w:lineRule="auto"/>
        <w:widowControl/>
        <w:rPr>
          <w:rFonts w:hint="default"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附件3、</w:t>
      </w:r>
      <w:bookmarkEnd w:id="57"/>
      <w:r>
        <w:rPr>
          <w:color w:val="000000" w:themeColor="text1"/>
        </w:rPr>
      </w:r>
      <w:bookmarkEnd w:id="58"/>
      <w:r>
        <w:rPr>
          <w:color w:val="000000" w:themeColor="text1"/>
        </w:rPr>
      </w:r>
      <w:bookmarkStart w:id="59" w:name="_Toc16434"/>
      <w:r>
        <w:rPr>
          <w:color w:val="000000" w:themeColor="text1"/>
        </w:rPr>
      </w:r>
      <w:bookmarkStart w:id="60" w:name="_Toc31009"/>
      <w:r>
        <w:rPr>
          <w:rFonts w:hint="eastAsia" w:ascii="宋体" w:hAnsi="宋体" w:cs="宋体"/>
          <w:b/>
          <w:color w:val="000000" w:themeColor="text1"/>
          <w:sz w:val="24"/>
          <w:szCs w:val="24"/>
          <w:highlight w:val="none"/>
          <w:lang w:val="en-US" w:eastAsia="zh-CN"/>
        </w:rPr>
        <w:t xml:space="preserve">磋商报价明细表</w:t>
      </w:r>
      <w:r>
        <w:rPr>
          <w:color w:val="000000" w:themeColor="text1"/>
        </w:rPr>
      </w:r>
    </w:p>
    <w:p>
      <w:pPr>
        <w:ind w:left="0" w:right="40"/>
        <w:jc w:val="center"/>
        <w:keepLines w:val="0"/>
        <w:keepNext w:val="0"/>
        <w:pageBreakBefore w:val="0"/>
        <w:spacing w:line="360" w:lineRule="auto"/>
        <w:widowControl/>
        <w:rPr>
          <w:rFonts w:hint="default" w:ascii="宋体" w:hAnsi="宋体" w:eastAsia="宋体" w:cs="宋体"/>
          <w:b/>
          <w:color w:val="000000" w:themeColor="text1"/>
          <w:sz w:val="24"/>
          <w:szCs w:val="24"/>
          <w:highlight w:val="none"/>
        </w:rPr>
        <w:outlineLvl w:val="1"/>
      </w:pPr>
      <w:r>
        <w:rPr>
          <w:rFonts w:hint="eastAsia" w:ascii="宋体" w:hAnsi="宋体" w:cs="宋体"/>
          <w:b/>
          <w:color w:val="000000" w:themeColor="text1"/>
          <w:sz w:val="24"/>
          <w:szCs w:val="24"/>
          <w:highlight w:val="none"/>
          <w:lang w:val="en-US" w:eastAsia="zh-CN"/>
        </w:rPr>
        <w:t xml:space="preserve">磋商报价明细表</w:t>
      </w:r>
      <w:r>
        <w:rPr>
          <w:color w:val="000000" w:themeColor="text1"/>
        </w:rPr>
      </w:r>
    </w:p>
    <w:tbl>
      <w:tblPr>
        <w:tblStyle w:val="1149"/>
        <w:tblW w:w="10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335"/>
        <w:gridCol w:w="1440"/>
        <w:gridCol w:w="2175"/>
        <w:gridCol w:w="1680"/>
        <w:gridCol w:w="1565"/>
        <w:gridCol w:w="1005"/>
        <w:gridCol w:w="865"/>
      </w:tblGrid>
      <w:tr>
        <w:trPr>
          <w:cantSplit/>
          <w:jc w:val="center"/>
          <w:trHeight w:val="719"/>
        </w:trPr>
        <w:tc>
          <w:tcPr>
            <w:tcW w:w="67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序号</w:t>
            </w:r>
            <w:r>
              <w:rPr>
                <w:color w:val="000000" w:themeColor="text1"/>
              </w:rPr>
            </w:r>
          </w:p>
        </w:tc>
        <w:tc>
          <w:tcPr>
            <w:tcW w:w="13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项目内容</w:t>
            </w:r>
            <w:r>
              <w:rPr>
                <w:color w:val="000000" w:themeColor="text1"/>
              </w:rPr>
            </w:r>
          </w:p>
        </w:tc>
        <w:tc>
          <w:tcPr>
            <w:tcW w:w="144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位置</w:t>
            </w:r>
            <w:r>
              <w:rPr>
                <w:color w:val="000000" w:themeColor="text1"/>
              </w:rPr>
            </w:r>
          </w:p>
        </w:tc>
        <w:tc>
          <w:tcPr>
            <w:tcW w:w="217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绿化养护面积(m²)</w:t>
            </w:r>
            <w:r>
              <w:rPr>
                <w:color w:val="000000" w:themeColor="text1"/>
              </w:rPr>
            </w:r>
          </w:p>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a</w:t>
            </w:r>
            <w:r>
              <w:rPr>
                <w:color w:val="000000" w:themeColor="text1"/>
              </w:rPr>
            </w:r>
          </w:p>
        </w:tc>
        <w:tc>
          <w:tcPr>
            <w:tcW w:w="168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单价最高限价（元/m²）</w:t>
            </w:r>
            <w:r>
              <w:rPr>
                <w:color w:val="000000" w:themeColor="text1"/>
              </w:rPr>
            </w:r>
          </w:p>
        </w:tc>
        <w:tc>
          <w:tcPr>
            <w:tcW w:w="15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投标单价（元/m²）</w:t>
            </w:r>
            <w:r>
              <w:rPr>
                <w:color w:val="000000" w:themeColor="text1"/>
              </w:rPr>
            </w:r>
          </w:p>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b</w:t>
            </w:r>
            <w:r>
              <w:rPr>
                <w:color w:val="000000" w:themeColor="text1"/>
              </w:rPr>
            </w:r>
          </w:p>
        </w:tc>
        <w:tc>
          <w:tcPr>
            <w:tcW w:w="100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合计（元）c=a*b</w:t>
            </w:r>
            <w:r>
              <w:rPr>
                <w:color w:val="000000" w:themeColor="text1"/>
              </w:rPr>
            </w:r>
          </w:p>
        </w:tc>
        <w:tc>
          <w:tcPr>
            <w:tcW w:w="8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服务期限</w:t>
            </w:r>
            <w:r>
              <w:rPr>
                <w:color w:val="000000" w:themeColor="text1"/>
              </w:rPr>
            </w:r>
          </w:p>
        </w:tc>
      </w:tr>
      <w:tr>
        <w:trPr>
          <w:cantSplit/>
          <w:jc w:val="center"/>
          <w:trHeight w:val="623"/>
        </w:trPr>
        <w:tc>
          <w:tcPr>
            <w:tcW w:w="673"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p>
        </w:tc>
        <w:tc>
          <w:tcPr>
            <w:tcW w:w="133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甪直段绿化养护</w:t>
            </w:r>
            <w:r>
              <w:rPr>
                <w:color w:val="000000" w:themeColor="text1"/>
              </w:rPr>
            </w:r>
          </w:p>
        </w:tc>
        <w:tc>
          <w:tcPr>
            <w:tcW w:w="14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钢丝网片内</w:t>
            </w:r>
            <w:r>
              <w:rPr>
                <w:color w:val="000000" w:themeColor="text1"/>
              </w:rPr>
            </w:r>
          </w:p>
        </w:tc>
        <w:tc>
          <w:tcPr>
            <w:tcW w:w="217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46700</w:t>
            </w:r>
            <w:r>
              <w:rPr>
                <w:rStyle w:val="1360"/>
                <w:rFonts w:hint="eastAsia" w:ascii="宋体" w:hAnsi="宋体" w:cs="宋体"/>
                <w:color w:val="000000" w:themeColor="text1"/>
                <w:sz w:val="24"/>
                <w:szCs w:val="24"/>
                <w:highlight w:val="none"/>
                <w:lang w:val="en-US" w:eastAsia="zh-CN"/>
              </w:rPr>
              <w:t xml:space="preserve">.00</w:t>
            </w:r>
            <w:r>
              <w:rPr>
                <w:color w:val="000000" w:themeColor="text1"/>
              </w:rPr>
            </w:r>
          </w:p>
        </w:tc>
        <w:tc>
          <w:tcPr>
            <w:tcW w:w="168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3.5</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5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10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865" w:type="dxa"/>
            <w:vAlign w:val="center"/>
            <w:vMerge w:val="restart"/>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12个月</w:t>
            </w:r>
            <w:r>
              <w:rPr>
                <w:color w:val="000000" w:themeColor="text1"/>
              </w:rPr>
            </w:r>
          </w:p>
        </w:tc>
      </w:tr>
      <w:tr>
        <w:trPr>
          <w:cantSplit/>
          <w:jc w:val="center"/>
          <w:trHeight w:val="623"/>
        </w:trPr>
        <w:tc>
          <w:tcPr>
            <w:tcW w:w="673"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w:t>
            </w:r>
            <w:r>
              <w:rPr>
                <w:color w:val="000000" w:themeColor="text1"/>
              </w:rPr>
            </w:r>
          </w:p>
        </w:tc>
        <w:tc>
          <w:tcPr>
            <w:tcW w:w="133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钢丝网片外</w:t>
            </w:r>
            <w:r>
              <w:rPr>
                <w:color w:val="000000" w:themeColor="text1"/>
              </w:rPr>
            </w:r>
          </w:p>
        </w:tc>
        <w:tc>
          <w:tcPr>
            <w:tcW w:w="217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513359</w:t>
            </w:r>
            <w:r>
              <w:rPr>
                <w:rStyle w:val="1360"/>
                <w:rFonts w:hint="eastAsia" w:ascii="宋体" w:hAnsi="宋体" w:cs="宋体"/>
                <w:color w:val="000000" w:themeColor="text1"/>
                <w:sz w:val="24"/>
                <w:szCs w:val="24"/>
                <w:highlight w:val="none"/>
                <w:lang w:val="en-US" w:eastAsia="zh-CN"/>
              </w:rPr>
              <w:t xml:space="preserve">.00</w:t>
            </w:r>
            <w:r>
              <w:rPr>
                <w:color w:val="000000" w:themeColor="text1"/>
              </w:rPr>
            </w:r>
          </w:p>
        </w:tc>
        <w:tc>
          <w:tcPr>
            <w:tcW w:w="168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1.5</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5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10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865" w:type="dxa"/>
            <w:vAlign w:val="center"/>
            <w:vMerge w:val="continue"/>
            <w:textDirection w:val="lrTb"/>
            <w:noWrap w:val="false"/>
          </w:tcPr>
          <w:p>
            <w:pPr>
              <w:ind w:left="0"/>
              <w:jc w:val="center"/>
              <w:keepLines w:val="0"/>
              <w:keepNext w:val="0"/>
              <w:pageBreakBefore w:val="0"/>
              <w:widowControl w:val="off"/>
              <w:rPr>
                <w:rStyle w:val="1360"/>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cantSplit/>
          <w:jc w:val="center"/>
          <w:trHeight w:val="623"/>
        </w:trPr>
        <w:tc>
          <w:tcPr>
            <w:tcW w:w="673"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p>
        </w:tc>
        <w:tc>
          <w:tcPr>
            <w:tcW w:w="1335" w:type="dxa"/>
            <w:vAlign w:val="center"/>
            <w:vMerge w:val="restart"/>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车坊段绿化养护</w:t>
            </w:r>
            <w:r>
              <w:rPr>
                <w:color w:val="000000" w:themeColor="text1"/>
              </w:rPr>
            </w:r>
          </w:p>
        </w:tc>
        <w:tc>
          <w:tcPr>
            <w:tcW w:w="144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钢丝网片内</w:t>
            </w:r>
            <w:r>
              <w:rPr>
                <w:color w:val="000000" w:themeColor="text1"/>
              </w:rPr>
            </w:r>
          </w:p>
        </w:tc>
        <w:tc>
          <w:tcPr>
            <w:tcW w:w="217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44300</w:t>
            </w:r>
            <w:r>
              <w:rPr>
                <w:rStyle w:val="1360"/>
                <w:rFonts w:hint="eastAsia" w:ascii="宋体" w:hAnsi="宋体" w:cs="宋体"/>
                <w:color w:val="000000" w:themeColor="text1"/>
                <w:sz w:val="24"/>
                <w:szCs w:val="24"/>
                <w:highlight w:val="none"/>
                <w:lang w:val="en-US" w:eastAsia="zh-CN"/>
              </w:rPr>
              <w:t xml:space="preserve">.00</w:t>
            </w:r>
            <w:r>
              <w:rPr>
                <w:color w:val="000000" w:themeColor="text1"/>
              </w:rPr>
            </w:r>
          </w:p>
        </w:tc>
        <w:tc>
          <w:tcPr>
            <w:tcW w:w="168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2.9</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5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10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865" w:type="dxa"/>
            <w:vAlign w:val="center"/>
            <w:vMerge w:val="restart"/>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10个月</w:t>
            </w:r>
            <w:r>
              <w:rPr>
                <w:color w:val="000000" w:themeColor="text1"/>
              </w:rPr>
            </w:r>
          </w:p>
        </w:tc>
      </w:tr>
      <w:tr>
        <w:trPr>
          <w:cantSplit/>
          <w:jc w:val="center"/>
          <w:trHeight w:val="582"/>
        </w:trPr>
        <w:tc>
          <w:tcPr>
            <w:tcW w:w="67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p>
        </w:tc>
        <w:tc>
          <w:tcPr>
            <w:tcW w:w="1335" w:type="dxa"/>
            <w:vAlign w:val="center"/>
            <w:vMerge w:val="continue"/>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4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钢丝网片外</w:t>
            </w:r>
            <w:r>
              <w:rPr>
                <w:color w:val="000000" w:themeColor="text1"/>
              </w:rPr>
            </w:r>
          </w:p>
        </w:tc>
        <w:tc>
          <w:tcPr>
            <w:tcW w:w="217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421358</w:t>
            </w:r>
            <w:r>
              <w:rPr>
                <w:rStyle w:val="1360"/>
                <w:rFonts w:hint="eastAsia" w:ascii="宋体" w:hAnsi="宋体" w:cs="宋体"/>
                <w:color w:val="000000" w:themeColor="text1"/>
                <w:sz w:val="24"/>
                <w:szCs w:val="24"/>
                <w:highlight w:val="none"/>
                <w:lang w:val="en-US" w:eastAsia="zh-CN"/>
              </w:rPr>
              <w:t xml:space="preserve">.00</w:t>
            </w:r>
            <w:r>
              <w:rPr>
                <w:color w:val="000000" w:themeColor="text1"/>
              </w:rPr>
            </w:r>
          </w:p>
        </w:tc>
        <w:tc>
          <w:tcPr>
            <w:tcW w:w="1680"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1.2</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5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10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c>
          <w:tcPr>
            <w:tcW w:w="865" w:type="dxa"/>
            <w:vAlign w:val="center"/>
            <w:vMerge w:val="continue"/>
            <w:textDirection w:val="lrTb"/>
            <w:noWrap w:val="false"/>
          </w:tcPr>
          <w:p>
            <w:pPr>
              <w:pStyle w:val="1369"/>
              <w:ind w:firstLine="422"/>
              <w:spacing w:line="360" w:lineRule="auto"/>
              <w:rPr>
                <w:rFonts w:hint="eastAsia"/>
                <w:b w:val="0"/>
                <w:bCs/>
                <w:szCs w:val="21"/>
              </w:rPr>
            </w:pPr>
            <w:r>
              <w:rPr>
                <w:rFonts w:hint="eastAsia"/>
                <w:b w:val="0"/>
                <w:bCs/>
                <w:szCs w:val="21"/>
              </w:rPr>
            </w:r>
            <w:r/>
          </w:p>
        </w:tc>
      </w:tr>
      <w:tr>
        <w:trPr>
          <w:cantSplit/>
          <w:jc w:val="center"/>
          <w:trHeight w:val="867"/>
        </w:trPr>
        <w:tc>
          <w:tcPr>
            <w:gridSpan w:val="2"/>
            <w:tcW w:w="2008"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投标报价(元）</w:t>
            </w:r>
            <w:r>
              <w:rPr>
                <w:color w:val="000000" w:themeColor="text1"/>
              </w:rPr>
            </w:r>
          </w:p>
        </w:tc>
        <w:tc>
          <w:tcPr>
            <w:gridSpan w:val="6"/>
            <w:tcW w:w="8730" w:type="dxa"/>
            <w:vAlign w:val="center"/>
            <w:textDirection w:val="lrTb"/>
            <w:noWrap w:val="false"/>
          </w:tcPr>
          <w:p>
            <w:pPr>
              <w:pStyle w:val="1369"/>
              <w:ind w:firstLine="422"/>
              <w:spacing w:line="360" w:lineRule="auto"/>
              <w:rPr>
                <w:rFonts w:hint="eastAsia"/>
                <w:b w:val="0"/>
                <w:bCs/>
                <w:color w:val="000000" w:themeColor="text1"/>
                <w:szCs w:val="21"/>
              </w:rPr>
            </w:pPr>
            <w:r>
              <w:rPr>
                <w:rFonts w:hint="eastAsia"/>
                <w:b w:val="0"/>
                <w:bCs/>
                <w:color w:val="000000" w:themeColor="text1"/>
                <w:szCs w:val="21"/>
              </w:rPr>
            </w:r>
            <w:r>
              <w:rPr>
                <w:color w:val="000000" w:themeColor="text1"/>
              </w:rPr>
            </w:r>
          </w:p>
        </w:tc>
      </w:tr>
    </w:tbl>
    <w:p>
      <w:pPr>
        <w:ind w:left="0" w:firstLine="480"/>
        <w:jc w:val="left"/>
        <w:keepLines w:val="0"/>
        <w:keepNext w:val="0"/>
        <w:pageBreakBefore w:val="0"/>
        <w:spacing w:line="360" w:lineRule="auto"/>
        <w:widowControl/>
        <w:rPr>
          <w:rFonts w:hint="default"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注：投标单价不得超过单价最高限价，否则为无效标。投标单价、投标报价保留小数点后2位。</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pStyle w:val="1141"/>
        <w:rPr>
          <w:rFonts w:hint="eastAsia"/>
          <w:color w:val="000000" w:themeColor="text1"/>
        </w:rPr>
        <w:sectPr>
          <w:footerReference w:type="default" r:id="rId18"/>
          <w:footerReference w:type="first" r:id="rId19"/>
          <w:footnotePr/>
          <w:endnotePr/>
          <w:type w:val="nextPage"/>
          <w:pgSz w:w="11906" w:h="16838" w:orient="portrait"/>
          <w:pgMar w:top="1417" w:right="1247" w:bottom="1417" w:left="1247" w:header="850" w:footer="992" w:gutter="0"/>
          <w:cols w:num="1" w:sep="0" w:space="0" w:equalWidth="1"/>
          <w:docGrid w:linePitch="360"/>
          <w:titlePg/>
        </w:sectPr>
      </w:pPr>
      <w:r>
        <w:rPr>
          <w:rFonts w:hint="eastAsia"/>
          <w:color w:val="000000" w:themeColor="text1"/>
        </w:rPr>
      </w:r>
      <w:r>
        <w:rPr>
          <w:color w:val="000000" w:themeColor="text1"/>
        </w:rPr>
      </w:r>
    </w:p>
    <w:p>
      <w:pPr>
        <w:ind w:left="0"/>
        <w:jc w:val="left"/>
        <w:keepLines w:val="0"/>
        <w:keepNext w:val="0"/>
        <w:pageBreakBefore w:val="0"/>
        <w:widowControl/>
        <w:rPr>
          <w:rFonts w:hint="eastAsia" w:ascii="宋体" w:hAnsi="宋体" w:eastAsia="宋体" w:cs="宋体"/>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附件4、法定代表人授权委托书</w:t>
      </w:r>
      <w:bookmarkEnd w:id="59"/>
      <w:r>
        <w:rPr>
          <w:color w:val="000000" w:themeColor="text1"/>
        </w:rPr>
      </w:r>
      <w:bookmarkEnd w:id="60"/>
      <w:r>
        <w:rPr>
          <w:color w:val="000000" w:themeColor="text1"/>
        </w:rPr>
      </w:r>
      <w:r>
        <w:rPr>
          <w:color w:val="000000" w:themeColor="text1"/>
        </w:rPr>
      </w:r>
    </w:p>
    <w:p>
      <w:pPr>
        <w:ind w:left="0" w:firstLine="42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法定代表人授权委托书</w:t>
      </w:r>
      <w:r>
        <w:rPr>
          <w:color w:val="000000" w:themeColor="text1"/>
        </w:rP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本授权委托书声明：我</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（姓名）系</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rPr>
        <w:t xml:space="preserve">供应商名称）的法定代表人，现授权委托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（姓名）为我公司授权代表（即代理人），以本公司的名义参</w:t>
      </w:r>
      <w:r>
        <w:rPr>
          <w:rFonts w:hint="eastAsia" w:ascii="宋体" w:hAnsi="宋体" w:eastAsia="宋体" w:cs="宋体"/>
          <w:color w:val="000000" w:themeColor="text1"/>
          <w:sz w:val="24"/>
          <w:szCs w:val="24"/>
          <w:highlight w:val="none"/>
          <w:u w:val="none"/>
        </w:rPr>
        <w:t xml:space="preserve">加</w:t>
      </w:r>
      <w:r>
        <w:rPr>
          <w:rFonts w:hint="eastAsia" w:ascii="宋体" w:hAnsi="宋体" w:cs="宋体"/>
          <w:color w:val="000000" w:themeColor="text1"/>
          <w:sz w:val="24"/>
          <w:szCs w:val="24"/>
          <w:highlight w:val="none"/>
          <w:u w:val="single"/>
          <w:lang w:eastAsia="zh-CN"/>
        </w:rPr>
        <w:t xml:space="preserve">江苏正琦工程咨询有限公司</w:t>
      </w:r>
      <w:r>
        <w:rPr>
          <w:rFonts w:hint="eastAsia" w:ascii="宋体" w:hAnsi="宋体" w:eastAsia="宋体" w:cs="宋体"/>
          <w:color w:val="000000" w:themeColor="text1"/>
          <w:sz w:val="24"/>
          <w:szCs w:val="24"/>
          <w:highlight w:val="none"/>
        </w:rPr>
        <w:t xml:space="preserve">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号（项目编号）的竞争性磋商活动。代理人在磋商活动过程中所签署的一切文件和处理与这有关的一切事务，我均予以承认。</w:t>
      </w:r>
      <w:r>
        <w:rPr>
          <w:color w:val="000000" w:themeColor="text1"/>
        </w:rP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color w:val="000000" w:themeColor="text1"/>
        </w:rP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代理人无转委托权。特此委托。</w:t>
      </w:r>
      <w:r>
        <w:rPr>
          <w:color w:val="000000" w:themeColor="text1"/>
        </w:rPr>
      </w:r>
    </w:p>
    <w:p>
      <w:pPr>
        <w:ind w:left="0"/>
        <w:jc w:val="left"/>
        <w:keepLines w:val="0"/>
        <w:keepNext w:val="0"/>
        <w:pageBreakBefore w:val="0"/>
        <w:widowControl/>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jc w:val="left"/>
        <w:keepLines w:val="0"/>
        <w:keepNext w:val="0"/>
        <w:pageBreakBefore w:val="0"/>
        <w:widowControl/>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ind w:left="0"/>
        <w:jc w:val="left"/>
        <w:keepLines w:val="0"/>
        <w:keepNext w:val="0"/>
        <w:pageBreakBefore w:val="0"/>
        <w:widowControl/>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ind w:left="0"/>
        <w:jc w:val="left"/>
        <w:keepLines w:val="0"/>
        <w:keepNext w:val="0"/>
        <w:pageBreakBefore w:val="0"/>
        <w:widowControl/>
        <w:rPr>
          <w:rFonts w:hint="eastAsia" w:ascii="宋体" w:hAnsi="宋体" w:eastAsia="宋体" w:cs="宋体"/>
          <w:color w:val="000000" w:themeColor="text1"/>
          <w:sz w:val="24"/>
          <w:szCs w:val="24"/>
          <w:highlight w:val="none"/>
        </w:rPr>
        <w:outlineLvl w:val="1"/>
      </w:pPr>
      <w:r>
        <w:rPr>
          <w:rFonts w:hint="eastAsia" w:ascii="宋体" w:hAnsi="宋体" w:eastAsia="宋体" w:cs="宋体"/>
          <w:b/>
          <w:color w:val="000000" w:themeColor="text1"/>
          <w:sz w:val="21"/>
          <w:szCs w:val="21"/>
          <w:highlight w:val="none"/>
        </w:rPr>
        <w:br w:type="page" w:clear="all"/>
      </w:r>
      <w:bookmarkStart w:id="61" w:name="_Toc22586"/>
      <w:r>
        <w:rPr>
          <w:color w:val="000000" w:themeColor="text1"/>
        </w:rPr>
      </w:r>
      <w:bookmarkStart w:id="62" w:name="_Toc31308"/>
      <w:r>
        <w:rPr>
          <w:rFonts w:hint="eastAsia" w:ascii="宋体" w:hAnsi="宋体" w:eastAsia="宋体" w:cs="宋体"/>
          <w:b/>
          <w:color w:val="000000" w:themeColor="text1"/>
          <w:sz w:val="24"/>
          <w:szCs w:val="24"/>
          <w:highlight w:val="none"/>
        </w:rPr>
        <w:t xml:space="preserve">附件5、关于资格文件的声明函</w:t>
      </w:r>
      <w:bookmarkEnd w:id="61"/>
      <w:r>
        <w:rPr>
          <w:color w:val="000000" w:themeColor="text1"/>
        </w:rPr>
      </w:r>
      <w:bookmarkEnd w:id="62"/>
      <w:r>
        <w:rPr>
          <w:color w:val="000000" w:themeColor="text1"/>
        </w:rPr>
      </w:r>
      <w:r>
        <w:rPr>
          <w:color w:val="000000" w:themeColor="text1"/>
        </w:rPr>
      </w:r>
    </w:p>
    <w:p>
      <w:pPr>
        <w:ind w:left="0" w:firstLine="42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关于资格文件的声明函</w:t>
      </w:r>
      <w:r>
        <w:rPr>
          <w:color w:val="000000" w:themeColor="text1"/>
        </w:rPr>
      </w:r>
    </w:p>
    <w:p>
      <w:pPr>
        <w:ind w:left="0" w:firstLine="42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u w:val="single"/>
          <w:lang w:eastAsia="zh-CN"/>
        </w:rPr>
        <w:t xml:space="preserve">江苏正琦工程咨询有限公司</w:t>
      </w:r>
      <w:r>
        <w:rPr>
          <w:rFonts w:hint="eastAsia" w:ascii="宋体" w:hAnsi="宋体" w:eastAsia="宋体" w:cs="宋体"/>
          <w:color w:val="000000" w:themeColor="text1"/>
          <w:sz w:val="24"/>
          <w:szCs w:val="24"/>
          <w:highlight w:val="none"/>
        </w:rPr>
        <w:t xml:space="preserve">：</w:t>
      </w:r>
      <w:r>
        <w:rPr>
          <w:color w:val="000000" w:themeColor="text1"/>
        </w:rPr>
      </w:r>
    </w:p>
    <w:p>
      <w:pPr>
        <w:ind w:left="0"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本公司愿就由贵公司组织实施的编号为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w:t>
      </w:r>
      <w:r>
        <w:rPr>
          <w:rFonts w:hint="eastAsia" w:ascii="宋体" w:hAnsi="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rPr>
        <w:t xml:space="preserve">编号）的磋商采购活动进行响应。本公司所提交的响应文件中所有关于磋商资格的文件、证明和陈述均是真实的、准确的。若与真实情况不符，本公司愿意承担由此而产生的一切后果。</w:t>
      </w:r>
      <w:r>
        <w:rPr>
          <w:color w:val="000000" w:themeColor="text1"/>
        </w:rP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jc w:val="left"/>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1"/>
          <w:szCs w:val="21"/>
          <w:highlight w:val="none"/>
        </w:rPr>
        <w:br w:type="page" w:clear="all"/>
      </w:r>
      <w:bookmarkStart w:id="63" w:name="_Toc30056"/>
      <w:r>
        <w:rPr>
          <w:color w:val="000000" w:themeColor="text1"/>
        </w:rPr>
      </w:r>
      <w:bookmarkStart w:id="64" w:name="_Toc1609"/>
      <w:r>
        <w:rPr>
          <w:rFonts w:hint="eastAsia" w:ascii="宋体" w:hAnsi="宋体" w:eastAsia="宋体" w:cs="宋体"/>
          <w:b/>
          <w:color w:val="000000" w:themeColor="text1"/>
          <w:sz w:val="24"/>
          <w:szCs w:val="24"/>
          <w:highlight w:val="none"/>
        </w:rPr>
        <w:t xml:space="preserve">附件6、磋商响应单位基本情况表</w:t>
      </w:r>
      <w:bookmarkEnd w:id="63"/>
      <w:r>
        <w:rPr>
          <w:color w:val="000000" w:themeColor="text1"/>
        </w:rPr>
      </w:r>
      <w:bookmarkEnd w:id="64"/>
      <w:r>
        <w:rPr>
          <w:color w:val="000000" w:themeColor="text1"/>
        </w:rPr>
      </w:r>
      <w:r>
        <w:rPr>
          <w:color w:val="000000" w:themeColor="text1"/>
        </w:rPr>
      </w:r>
    </w:p>
    <w:p>
      <w:pPr>
        <w:ind w:left="0"/>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磋商响应单位基本情况表</w:t>
      </w:r>
      <w:r>
        <w:rPr>
          <w:color w:val="000000" w:themeColor="text1"/>
        </w:rPr>
      </w:r>
    </w:p>
    <w:tbl>
      <w:tblPr>
        <w:tblStyle w:val="114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法定代表人</w:t>
            </w:r>
            <w:r>
              <w:rPr>
                <w:color w:val="000000" w:themeColor="text1"/>
              </w:rPr>
            </w:r>
          </w:p>
        </w:tc>
        <w:tc>
          <w:tcPr>
            <w:tcW w:w="2005"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c>
          <w:tcPr>
            <w:tcW w:w="1461"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成立日期</w:t>
            </w:r>
            <w:r>
              <w:rPr>
                <w:color w:val="000000" w:themeColor="text1"/>
              </w:rPr>
            </w:r>
          </w:p>
        </w:tc>
        <w:tc>
          <w:tcPr>
            <w:gridSpan w:val="2"/>
            <w:tcW w:w="3292"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企业地址</w:t>
            </w:r>
            <w:r>
              <w:rPr>
                <w:color w:val="000000" w:themeColor="text1"/>
              </w:rPr>
            </w:r>
          </w:p>
        </w:tc>
        <w:tc>
          <w:tcPr>
            <w:tcW w:w="2005"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c>
          <w:tcPr>
            <w:tcW w:w="1461"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注册资本</w:t>
            </w:r>
            <w:r>
              <w:rPr>
                <w:color w:val="000000" w:themeColor="text1"/>
              </w:rPr>
            </w:r>
          </w:p>
        </w:tc>
        <w:tc>
          <w:tcPr>
            <w:gridSpan w:val="2"/>
            <w:tcW w:w="3292" w:type="dxa"/>
            <w:vAlign w:val="top"/>
            <w:textDirection w:val="lrTb"/>
            <w:noWrap w:val="false"/>
          </w:tcPr>
          <w:p>
            <w:pPr>
              <w:pStyle w:val="1374"/>
              <w:ind w:left="0" w:firstLine="120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万元</w:t>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经营范围</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职工人数</w:t>
            </w:r>
            <w:r>
              <w:rPr>
                <w:color w:val="000000" w:themeColor="text1"/>
              </w:rPr>
            </w:r>
          </w:p>
        </w:tc>
        <w:tc>
          <w:tcPr>
            <w:tcW w:w="2005"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c>
          <w:tcPr>
            <w:gridSpan w:val="2"/>
            <w:tcW w:w="3517"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其中：有中高级以上职称的人数</w:t>
            </w:r>
            <w:r>
              <w:rPr>
                <w:color w:val="000000" w:themeColor="text1"/>
              </w:rPr>
            </w:r>
          </w:p>
        </w:tc>
        <w:tc>
          <w:tcPr>
            <w:tcW w:w="1236"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center"/>
            <w:textDirection w:val="lrTb"/>
            <w:noWrap w:val="false"/>
          </w:tcPr>
          <w:p>
            <w:pPr>
              <w:pStyle w:val="1374"/>
              <w:ind w:left="0" w:firstLine="0"/>
              <w:jc w:val="both"/>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资产总计</w:t>
            </w:r>
            <w:r>
              <w:rPr>
                <w:color w:val="000000" w:themeColor="text1"/>
              </w:rPr>
            </w:r>
          </w:p>
        </w:tc>
        <w:tc>
          <w:tcPr>
            <w:tcW w:w="2005" w:type="dxa"/>
            <w:vAlign w:val="center"/>
            <w:textDirection w:val="lrTb"/>
            <w:noWrap w:val="false"/>
          </w:tcPr>
          <w:p>
            <w:pPr>
              <w:pStyle w:val="1374"/>
              <w:ind w:left="0" w:firstLine="0"/>
              <w:jc w:val="center"/>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         万元</w:t>
            </w:r>
            <w:r>
              <w:rPr>
                <w:color w:val="000000" w:themeColor="text1"/>
              </w:rPr>
            </w:r>
          </w:p>
        </w:tc>
        <w:tc>
          <w:tcPr>
            <w:tcW w:w="1461" w:type="dxa"/>
            <w:vAlign w:val="center"/>
            <w:textDirection w:val="lrTb"/>
            <w:noWrap w:val="false"/>
          </w:tcPr>
          <w:p>
            <w:pPr>
              <w:pStyle w:val="1374"/>
              <w:ind w:left="0" w:firstLine="0"/>
              <w:jc w:val="both"/>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净资产</w:t>
            </w:r>
            <w:r>
              <w:rPr>
                <w:color w:val="000000" w:themeColor="text1"/>
              </w:rPr>
            </w:r>
          </w:p>
        </w:tc>
        <w:tc>
          <w:tcPr>
            <w:gridSpan w:val="2"/>
            <w:tcW w:w="3292" w:type="dxa"/>
            <w:vAlign w:val="center"/>
            <w:textDirection w:val="lrTb"/>
            <w:noWrap w:val="false"/>
          </w:tcPr>
          <w:p>
            <w:pPr>
              <w:pStyle w:val="1374"/>
              <w:ind w:left="0" w:firstLine="0"/>
              <w:jc w:val="center"/>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                万元</w:t>
            </w:r>
            <w:r>
              <w:rPr>
                <w:color w:val="000000" w:themeColor="text1"/>
              </w:rPr>
            </w:r>
          </w:p>
        </w:tc>
      </w:tr>
      <w:tr>
        <w:trPr>
          <w:cantSplit/>
          <w:jc w:val="center"/>
        </w:trPr>
        <w:tc>
          <w:tcPr>
            <w:tcW w:w="2510" w:type="dxa"/>
            <w:vAlign w:val="center"/>
            <w:textDirection w:val="lrTb"/>
            <w:noWrap w:val="false"/>
          </w:tcPr>
          <w:p>
            <w:pPr>
              <w:pStyle w:val="1374"/>
              <w:ind w:left="0" w:firstLine="0"/>
              <w:jc w:val="both"/>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股东权益</w:t>
            </w:r>
            <w:r>
              <w:rPr>
                <w:color w:val="000000" w:themeColor="text1"/>
              </w:rPr>
            </w:r>
          </w:p>
        </w:tc>
        <w:tc>
          <w:tcPr>
            <w:tcW w:w="2005" w:type="dxa"/>
            <w:vAlign w:val="center"/>
            <w:textDirection w:val="lrTb"/>
            <w:noWrap w:val="false"/>
          </w:tcPr>
          <w:p>
            <w:pPr>
              <w:pStyle w:val="1374"/>
              <w:ind w:left="0" w:firstLine="0"/>
              <w:jc w:val="center"/>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         万元</w:t>
            </w:r>
            <w:r>
              <w:rPr>
                <w:color w:val="000000" w:themeColor="text1"/>
              </w:rPr>
            </w:r>
          </w:p>
        </w:tc>
        <w:tc>
          <w:tcPr>
            <w:tcW w:w="1461" w:type="dxa"/>
            <w:vAlign w:val="center"/>
            <w:textDirection w:val="lrTb"/>
            <w:noWrap w:val="false"/>
          </w:tcPr>
          <w:p>
            <w:pPr>
              <w:pStyle w:val="1374"/>
              <w:ind w:left="0" w:firstLine="0"/>
              <w:jc w:val="both"/>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销售收入</w:t>
            </w:r>
            <w:r>
              <w:rPr>
                <w:color w:val="000000" w:themeColor="text1"/>
              </w:rPr>
            </w:r>
          </w:p>
        </w:tc>
        <w:tc>
          <w:tcPr>
            <w:gridSpan w:val="2"/>
            <w:tcW w:w="3292" w:type="dxa"/>
            <w:vAlign w:val="center"/>
            <w:textDirection w:val="lrTb"/>
            <w:noWrap w:val="false"/>
          </w:tcPr>
          <w:p>
            <w:pPr>
              <w:pStyle w:val="1374"/>
              <w:ind w:left="0" w:firstLine="0"/>
              <w:jc w:val="center"/>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20</w:t>
            </w:r>
            <w:r>
              <w:rPr>
                <w:rStyle w:val="1360"/>
                <w:rFonts w:hint="eastAsia" w:ascii="宋体" w:hAnsi="宋体" w:eastAsia="宋体"/>
                <w:color w:val="000000" w:themeColor="text1"/>
                <w:szCs w:val="24"/>
                <w:highlight w:val="none"/>
              </w:rPr>
              <w:t xml:space="preserve">2</w:t>
            </w:r>
            <w:r>
              <w:rPr>
                <w:rStyle w:val="1360"/>
                <w:rFonts w:hint="eastAsia" w:ascii="宋体" w:hAnsi="宋体"/>
                <w:color w:val="000000" w:themeColor="text1"/>
                <w:szCs w:val="24"/>
                <w:highlight w:val="none"/>
                <w:u w:val="single"/>
                <w:lang w:val="en-US" w:eastAsia="zh-CN"/>
              </w:rPr>
              <w:t xml:space="preserve"> </w:t>
            </w:r>
            <w:r>
              <w:rPr>
                <w:rStyle w:val="1360"/>
                <w:rFonts w:ascii="宋体" w:hAnsi="宋体" w:eastAsia="宋体"/>
                <w:color w:val="000000" w:themeColor="text1"/>
                <w:szCs w:val="24"/>
                <w:highlight w:val="none"/>
              </w:rPr>
              <w:t xml:space="preserve">年          万元</w:t>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实现利润</w:t>
            </w:r>
            <w:r>
              <w:rPr>
                <w:color w:val="000000" w:themeColor="text1"/>
              </w:rPr>
            </w:r>
          </w:p>
        </w:tc>
        <w:tc>
          <w:tcPr>
            <w:tcW w:w="2005"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20</w:t>
            </w:r>
            <w:r>
              <w:rPr>
                <w:rStyle w:val="1360"/>
                <w:rFonts w:hint="eastAsia" w:ascii="宋体" w:hAnsi="宋体" w:eastAsia="宋体"/>
                <w:color w:val="000000" w:themeColor="text1"/>
                <w:szCs w:val="24"/>
                <w:highlight w:val="none"/>
              </w:rPr>
              <w:t xml:space="preserve">2</w:t>
            </w:r>
            <w:r>
              <w:rPr>
                <w:rStyle w:val="1360"/>
                <w:rFonts w:hint="eastAsia" w:ascii="宋体" w:hAnsi="宋体"/>
                <w:color w:val="000000" w:themeColor="text1"/>
                <w:szCs w:val="24"/>
                <w:highlight w:val="none"/>
                <w:u w:val="single"/>
                <w:lang w:val="en-US" w:eastAsia="zh-CN"/>
              </w:rPr>
              <w:t xml:space="preserve"> </w:t>
            </w:r>
            <w:r>
              <w:rPr>
                <w:rStyle w:val="1360"/>
                <w:rFonts w:ascii="宋体" w:hAnsi="宋体" w:eastAsia="宋体"/>
                <w:color w:val="000000" w:themeColor="text1"/>
                <w:szCs w:val="24"/>
                <w:highlight w:val="none"/>
              </w:rPr>
              <w:t xml:space="preserve">年    万元</w:t>
            </w:r>
            <w:r>
              <w:rPr>
                <w:color w:val="000000" w:themeColor="text1"/>
              </w:rPr>
            </w:r>
          </w:p>
        </w:tc>
        <w:tc>
          <w:tcPr>
            <w:tcW w:w="1461"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c>
          <w:tcPr>
            <w:gridSpan w:val="2"/>
            <w:tcW w:w="3292"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营业面积（含厂房面积）</w:t>
            </w:r>
            <w:r>
              <w:rPr>
                <w:color w:val="000000" w:themeColor="text1"/>
              </w:rPr>
            </w:r>
          </w:p>
        </w:tc>
        <w:tc>
          <w:tcPr>
            <w:tcW w:w="2005" w:type="dxa"/>
            <w:vAlign w:val="center"/>
            <w:textDirection w:val="lrTb"/>
            <w:noWrap w:val="false"/>
          </w:tcPr>
          <w:p>
            <w:pPr>
              <w:pStyle w:val="1374"/>
              <w:ind w:left="0" w:firstLine="0"/>
              <w:jc w:val="both"/>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        平方米</w:t>
            </w:r>
            <w:r>
              <w:rPr>
                <w:color w:val="000000" w:themeColor="text1"/>
              </w:rPr>
            </w:r>
          </w:p>
        </w:tc>
        <w:tc>
          <w:tcPr>
            <w:tcW w:w="1461"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其中：</w:t>
            </w:r>
            <w:r>
              <w:rPr>
                <w:color w:val="000000" w:themeColor="text1"/>
              </w:rPr>
            </w:r>
          </w:p>
        </w:tc>
        <w:tc>
          <w:tcPr>
            <w:gridSpan w:val="2"/>
            <w:tcW w:w="3292"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自有面积         平方米</w:t>
            </w:r>
            <w:r>
              <w:rPr>
                <w:color w:val="000000" w:themeColor="text1"/>
              </w:rPr>
            </w:r>
          </w:p>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承租面积         平方米</w:t>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单位简历及内设机构情况</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单位优势及特长</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近三年来完成或正在履行的重大合同情况</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最近</w:t>
            </w:r>
            <w:r>
              <w:rPr>
                <w:rStyle w:val="1360"/>
                <w:rFonts w:hint="eastAsia" w:ascii="宋体" w:hAnsi="宋体" w:eastAsia="宋体"/>
                <w:color w:val="000000" w:themeColor="text1"/>
                <w:szCs w:val="24"/>
                <w:highlight w:val="none"/>
              </w:rPr>
              <w:t xml:space="preserve">3</w:t>
            </w:r>
            <w:r>
              <w:rPr>
                <w:rStyle w:val="1360"/>
                <w:rFonts w:ascii="宋体" w:hAnsi="宋体" w:eastAsia="宋体"/>
                <w:color w:val="000000" w:themeColor="text1"/>
                <w:szCs w:val="24"/>
                <w:highlight w:val="none"/>
              </w:rPr>
              <w:t xml:space="preserve">年内在经营过程中受到何种奖励或处分（包括情况和结果）</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最近3年内有无因售假、售劣或是其他原因被消费者投诉或起诉的情况及说明（包括解决方式和结果）</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最近3年内主要负责人有无因经济犯罪被司法机关追究的情况及说明</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获得技术认证的工程师及简介</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r>
        <w:trPr>
          <w:cantSplit/>
          <w:jc w:val="center"/>
          <w:trHeight w:val="560"/>
        </w:trPr>
        <w:tc>
          <w:tcPr>
            <w:tcW w:w="2510"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Style w:val="1360"/>
                <w:rFonts w:ascii="宋体" w:hAnsi="宋体" w:eastAsia="宋体"/>
                <w:color w:val="000000" w:themeColor="text1"/>
                <w:szCs w:val="24"/>
                <w:highlight w:val="none"/>
              </w:rPr>
              <w:t xml:space="preserve">其他需要说明的情况</w:t>
            </w:r>
            <w:r>
              <w:rPr>
                <w:color w:val="000000" w:themeColor="text1"/>
              </w:rPr>
            </w:r>
          </w:p>
        </w:tc>
        <w:tc>
          <w:tcPr>
            <w:gridSpan w:val="4"/>
            <w:tcW w:w="6758" w:type="dxa"/>
            <w:vAlign w:val="top"/>
            <w:textDirection w:val="lrTb"/>
            <w:noWrap w:val="false"/>
          </w:tcPr>
          <w:p>
            <w:pPr>
              <w:pStyle w:val="1374"/>
              <w:ind w:left="0" w:firstLine="0"/>
              <w:keepLines w:val="0"/>
              <w:keepNext w:val="0"/>
              <w:pageBreakBefore w:val="0"/>
              <w:widowControl w:val="off"/>
              <w:rPr>
                <w:rStyle w:val="1360"/>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p>
        </w:tc>
      </w:tr>
    </w:tbl>
    <w:p>
      <w:pPr>
        <w:ind w:left="0" w:firstLine="31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color w:val="000000" w:themeColor="text1"/>
        </w:rPr>
      </w:r>
      <w:bookmarkStart w:id="65" w:name="_Toc7945"/>
      <w:r>
        <w:rPr>
          <w:color w:val="000000" w:themeColor="text1"/>
        </w:rPr>
      </w:r>
      <w:bookmarkStart w:id="66" w:name="_Toc241"/>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right="300" w:firstLine="840"/>
        <w:jc w:val="right"/>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bookmarkEnd w:id="65"/>
      <w:r>
        <w:rPr>
          <w:color w:val="000000" w:themeColor="text1"/>
        </w:rPr>
      </w:r>
      <w:bookmarkEnd w:id="66"/>
      <w:r>
        <w:rPr>
          <w:color w:val="000000" w:themeColor="text1"/>
        </w:rPr>
      </w:r>
      <w:r>
        <w:rPr>
          <w:color w:val="000000" w:themeColor="text1"/>
        </w:rPr>
      </w:r>
    </w:p>
    <w:p>
      <w:pPr>
        <w:ind w:left="0"/>
        <w:jc w:val="left"/>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1"/>
      </w:pPr>
      <w:r>
        <w:rPr>
          <w:color w:val="000000" w:themeColor="text1"/>
        </w:rPr>
      </w:r>
      <w:bookmarkStart w:id="67" w:name="_Toc22822"/>
      <w:r>
        <w:rPr>
          <w:color w:val="000000" w:themeColor="text1"/>
        </w:rPr>
      </w:r>
      <w:bookmarkStart w:id="68" w:name="_Toc21574"/>
      <w:r>
        <w:rPr>
          <w:color w:val="000000" w:themeColor="text1"/>
        </w:rPr>
      </w:r>
      <w:bookmarkStart w:id="69" w:name="_Toc19621"/>
      <w:r>
        <w:rPr>
          <w:rFonts w:hint="eastAsia" w:ascii="宋体" w:hAnsi="宋体" w:eastAsia="宋体" w:cs="宋体"/>
          <w:b/>
          <w:color w:val="000000" w:themeColor="text1"/>
          <w:sz w:val="21"/>
          <w:szCs w:val="21"/>
          <w:highlight w:val="none"/>
          <w:lang w:val="en-US" w:eastAsia="zh-CN"/>
        </w:rPr>
        <w:br w:type="page" w:clear="all"/>
      </w:r>
      <w:bookmarkStart w:id="70" w:name="_Toc6741"/>
      <w:r>
        <w:rPr>
          <w:rFonts w:hint="eastAsia" w:ascii="宋体" w:hAnsi="宋体" w:eastAsia="宋体" w:cs="宋体"/>
          <w:b/>
          <w:color w:val="000000" w:themeColor="text1"/>
          <w:sz w:val="24"/>
          <w:szCs w:val="24"/>
          <w:highlight w:val="none"/>
          <w:lang w:val="en-US" w:eastAsia="zh-CN"/>
        </w:rPr>
        <w:t xml:space="preserve">附件7、拟投入本项目</w:t>
      </w:r>
      <w:r>
        <w:rPr>
          <w:rFonts w:hint="eastAsia" w:ascii="宋体" w:hAnsi="宋体" w:cs="宋体"/>
          <w:b/>
          <w:color w:val="000000" w:themeColor="text1"/>
          <w:sz w:val="24"/>
          <w:szCs w:val="24"/>
          <w:highlight w:val="none"/>
          <w:lang w:val="en-US" w:eastAsia="zh-CN"/>
        </w:rPr>
        <w:t xml:space="preserve">的</w:t>
      </w:r>
      <w:r>
        <w:rPr>
          <w:rFonts w:hint="eastAsia" w:ascii="宋体" w:hAnsi="宋体" w:eastAsia="宋体" w:cs="宋体"/>
          <w:b/>
          <w:color w:val="000000" w:themeColor="text1"/>
          <w:sz w:val="24"/>
          <w:szCs w:val="24"/>
          <w:highlight w:val="none"/>
          <w:lang w:val="en-US" w:eastAsia="zh-CN"/>
        </w:rPr>
        <w:t xml:space="preserve">设备清单</w:t>
      </w:r>
      <w:bookmarkEnd w:id="67"/>
      <w:r>
        <w:rPr>
          <w:color w:val="000000" w:themeColor="text1"/>
        </w:rPr>
      </w:r>
      <w:bookmarkEnd w:id="70"/>
      <w:r>
        <w:rPr>
          <w:color w:val="000000" w:themeColor="text1"/>
        </w:rPr>
      </w:r>
      <w:r>
        <w:rPr>
          <w:color w:val="000000" w:themeColor="text1"/>
        </w:rPr>
      </w:r>
    </w:p>
    <w:p>
      <w:pPr>
        <w:ind w:left="0"/>
        <w:jc w:val="center"/>
        <w:keepLines w:val="0"/>
        <w:keepNext w:val="0"/>
        <w:pageBreakBefore w:val="0"/>
        <w:spacing w:line="360" w:lineRule="auto"/>
        <w:widowControl/>
        <w:rPr>
          <w:rFonts w:hint="eastAsia" w:ascii="宋体" w:hAnsi="宋体" w:eastAsia="宋体" w:cs="宋体"/>
          <w:b/>
          <w:color w:val="000000" w:themeColor="text1"/>
          <w:sz w:val="24"/>
          <w:szCs w:val="24"/>
          <w:highlight w:val="none"/>
        </w:rPr>
      </w:pPr>
      <w:r>
        <w:rPr>
          <w:rStyle w:val="1360"/>
          <w:rFonts w:hint="eastAsia" w:ascii="宋体" w:hAnsi="宋体" w:eastAsia="宋体" w:cs="宋体"/>
          <w:b/>
          <w:color w:val="000000" w:themeColor="text1"/>
          <w:sz w:val="24"/>
          <w:szCs w:val="24"/>
          <w:highlight w:val="none"/>
        </w:rPr>
        <w:t xml:space="preserve">拟投入本项目</w:t>
      </w:r>
      <w:r>
        <w:rPr>
          <w:rStyle w:val="1360"/>
          <w:rFonts w:hint="eastAsia" w:ascii="宋体" w:hAnsi="宋体" w:cs="宋体"/>
          <w:b/>
          <w:color w:val="000000" w:themeColor="text1"/>
          <w:sz w:val="24"/>
          <w:szCs w:val="24"/>
          <w:highlight w:val="none"/>
          <w:lang w:val="en-US" w:eastAsia="zh-CN"/>
        </w:rPr>
        <w:t xml:space="preserve">的</w:t>
      </w:r>
      <w:r>
        <w:rPr>
          <w:rStyle w:val="1360"/>
          <w:rFonts w:hint="eastAsia" w:ascii="宋体" w:hAnsi="宋体" w:eastAsia="宋体" w:cs="宋体"/>
          <w:b/>
          <w:color w:val="000000" w:themeColor="text1"/>
          <w:sz w:val="24"/>
          <w:szCs w:val="24"/>
          <w:highlight w:val="none"/>
        </w:rPr>
        <w:t xml:space="preserve">设备清单</w:t>
      </w:r>
      <w:r>
        <w:rPr>
          <w:color w:val="000000" w:themeColor="text1"/>
        </w:rPr>
      </w:r>
    </w:p>
    <w:tbl>
      <w:tblPr>
        <w:tblStyle w:val="11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341"/>
        <w:gridCol w:w="1365"/>
        <w:gridCol w:w="1230"/>
        <w:gridCol w:w="1005"/>
        <w:gridCol w:w="2760"/>
        <w:gridCol w:w="898"/>
      </w:tblGrid>
      <w:tr>
        <w:trPr>
          <w:jc w:val="center"/>
          <w:trHeight w:val="454"/>
        </w:trPr>
        <w:tc>
          <w:tcPr>
            <w:tcW w:w="717"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序号</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设备名称</w:t>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型号</w:t>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单位</w:t>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数量</w:t>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设备性质（自有/租赁）</w:t>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备注</w:t>
            </w:r>
            <w:r>
              <w:rPr>
                <w:color w:val="000000" w:themeColor="text1"/>
              </w:rPr>
            </w:r>
          </w:p>
        </w:tc>
      </w:tr>
      <w:tr>
        <w:trPr>
          <w:jc w:val="center"/>
          <w:trHeight w:val="454"/>
        </w:trPr>
        <w:tc>
          <w:tcPr>
            <w:tcW w:w="717"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1</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r>
      <w:tr>
        <w:trPr>
          <w:jc w:val="center"/>
          <w:trHeight w:val="454"/>
        </w:trPr>
        <w:tc>
          <w:tcPr>
            <w:tcW w:w="717"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2</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r>
      <w:tr>
        <w:trPr>
          <w:jc w:val="center"/>
          <w:trHeight w:val="454"/>
        </w:trPr>
        <w:tc>
          <w:tcPr>
            <w:tcW w:w="717"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3</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r>
      <w:tr>
        <w:trPr>
          <w:jc w:val="center"/>
          <w:trHeight w:val="454"/>
        </w:trPr>
        <w:tc>
          <w:tcPr>
            <w:tcW w:w="717" w:type="dxa"/>
            <w:vAlign w:val="center"/>
            <w:textDirection w:val="lrTb"/>
            <w:noWrap w:val="false"/>
          </w:tcPr>
          <w:p>
            <w:pPr>
              <w:ind w:left="0"/>
              <w:jc w:val="center"/>
              <w:spacing w:line="340" w:lineRule="exact"/>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4</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r>
      <w:tr>
        <w:trPr>
          <w:jc w:val="center"/>
          <w:trHeight w:val="454"/>
        </w:trPr>
        <w:tc>
          <w:tcPr>
            <w:tcW w:w="717" w:type="dxa"/>
            <w:vAlign w:val="center"/>
            <w:textDirection w:val="lrTb"/>
            <w:noWrap w:val="false"/>
          </w:tcPr>
          <w:p>
            <w:pPr>
              <w:ind w:left="0"/>
              <w:jc w:val="center"/>
              <w:spacing w:line="340" w:lineRule="exact"/>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5</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r>
      <w:tr>
        <w:trPr>
          <w:jc w:val="center"/>
          <w:trHeight w:val="454"/>
        </w:trPr>
        <w:tc>
          <w:tcPr>
            <w:tcW w:w="717" w:type="dxa"/>
            <w:vAlign w:val="center"/>
            <w:textDirection w:val="lrTb"/>
            <w:noWrap w:val="false"/>
          </w:tcPr>
          <w:p>
            <w:pPr>
              <w:ind w:left="0"/>
              <w:jc w:val="center"/>
              <w:spacing w:line="340" w:lineRule="exact"/>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6</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r>
      <w:tr>
        <w:trPr>
          <w:jc w:val="center"/>
          <w:trHeight w:val="454"/>
        </w:trPr>
        <w:tc>
          <w:tcPr>
            <w:tcW w:w="717" w:type="dxa"/>
            <w:vAlign w:val="center"/>
            <w:textDirection w:val="lrTb"/>
            <w:noWrap w:val="false"/>
          </w:tcPr>
          <w:p>
            <w:pPr>
              <w:ind w:left="0"/>
              <w:jc w:val="center"/>
              <w:spacing w:line="340" w:lineRule="exact"/>
              <w:widowControl w:val="off"/>
              <w:rPr>
                <w:rFonts w:hint="eastAsia"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t xml:space="preserve">…</w:t>
            </w:r>
            <w:r>
              <w:rPr>
                <w:color w:val="000000" w:themeColor="text1"/>
              </w:rPr>
            </w:r>
          </w:p>
        </w:tc>
        <w:tc>
          <w:tcPr>
            <w:tcW w:w="1341"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36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23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1005"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2760"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c>
          <w:tcPr>
            <w:tcW w:w="898" w:type="dxa"/>
            <w:vAlign w:val="center"/>
            <w:textDirection w:val="lrTb"/>
            <w:noWrap w:val="false"/>
          </w:tcPr>
          <w:p>
            <w:pPr>
              <w:ind w:left="0"/>
              <w:jc w:val="center"/>
              <w:spacing w:line="340" w:lineRule="exact"/>
              <w:widowControl w:val="off"/>
              <w:rPr>
                <w:rFonts w:hint="default" w:ascii="宋体" w:hAnsi="宋体" w:eastAsia="宋体" w:cs="Times New Roman"/>
                <w:bCs/>
                <w:color w:val="000000" w:themeColor="text1"/>
                <w:sz w:val="24"/>
                <w:szCs w:val="24"/>
                <w:highlight w:val="none"/>
              </w:rPr>
            </w:pPr>
            <w:r>
              <w:rPr>
                <w:rFonts w:hint="default" w:ascii="宋体" w:hAnsi="宋体" w:eastAsia="宋体" w:cs="Times New Roman"/>
                <w:bCs/>
                <w:color w:val="000000" w:themeColor="text1"/>
                <w:sz w:val="24"/>
                <w:szCs w:val="24"/>
                <w:highlight w:val="none"/>
              </w:rPr>
            </w:r>
            <w:r>
              <w:rPr>
                <w:color w:val="000000" w:themeColor="text1"/>
              </w:rPr>
            </w:r>
          </w:p>
        </w:tc>
      </w:tr>
    </w:tbl>
    <w:p>
      <w:pPr>
        <w:pStyle w:val="1374"/>
        <w:ind w:left="0" w:firstLine="0"/>
        <w:jc w:val="both"/>
        <w:spacing w:line="360" w:lineRule="auto"/>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pStyle w:val="1374"/>
        <w:ind w:left="0" w:firstLine="0"/>
        <w:jc w:val="both"/>
        <w:keepLines w:val="0"/>
        <w:keepNext w:val="0"/>
        <w:pageBreakBefore w:val="0"/>
        <w:spacing w:line="240" w:lineRule="auto"/>
        <w:widowControl w:val="off"/>
        <w:rPr>
          <w:rStyle w:val="1360"/>
          <w:rFonts w:hint="eastAsia" w:ascii="宋体" w:hAnsi="宋体" w:eastAsia="宋体" w:cs="宋体"/>
          <w:b/>
          <w:color w:val="000000" w:themeColor="text1"/>
          <w:sz w:val="24"/>
          <w:szCs w:val="24"/>
          <w:highlight w:val="none"/>
        </w:rPr>
        <w:outlineLvl w:val="1"/>
      </w:pPr>
      <w:r>
        <w:rPr>
          <w:rStyle w:val="1360"/>
          <w:rFonts w:hint="eastAsia" w:ascii="宋体" w:hAnsi="宋体" w:eastAsia="宋体" w:cs="宋体"/>
          <w:b/>
          <w:bCs/>
          <w:color w:val="000000" w:themeColor="text1"/>
          <w:sz w:val="21"/>
          <w:szCs w:val="21"/>
          <w:highlight w:val="none"/>
          <w:lang w:val="en-US" w:eastAsia="zh-CN"/>
        </w:rPr>
        <w:br w:type="page" w:clear="all"/>
      </w:r>
      <w:bookmarkStart w:id="71" w:name="_Toc540"/>
      <w:r>
        <w:rPr>
          <w:color w:val="000000" w:themeColor="text1"/>
        </w:rPr>
      </w:r>
      <w:bookmarkStart w:id="72" w:name="_Toc10321"/>
      <w:r>
        <w:rPr>
          <w:rStyle w:val="1360"/>
          <w:rFonts w:hint="eastAsia" w:ascii="宋体" w:hAnsi="宋体" w:eastAsia="宋体" w:cs="宋体"/>
          <w:b/>
          <w:color w:val="000000" w:themeColor="text1"/>
          <w:sz w:val="24"/>
          <w:szCs w:val="24"/>
          <w:highlight w:val="none"/>
          <w:lang w:val="en-US" w:eastAsia="zh-CN"/>
        </w:rPr>
        <w:t xml:space="preserve">附件8</w:t>
      </w:r>
      <w:r>
        <w:rPr>
          <w:rStyle w:val="1360"/>
          <w:rFonts w:hint="eastAsia" w:ascii="宋体" w:hAnsi="宋体" w:eastAsia="宋体" w:cs="宋体"/>
          <w:b/>
          <w:color w:val="000000" w:themeColor="text1"/>
          <w:sz w:val="24"/>
          <w:szCs w:val="24"/>
          <w:highlight w:val="none"/>
        </w:rPr>
        <w:t xml:space="preserve">、商务条款偏离表</w:t>
      </w:r>
      <w:bookmarkEnd w:id="71"/>
      <w:r>
        <w:rPr>
          <w:color w:val="000000" w:themeColor="text1"/>
        </w:rPr>
      </w:r>
      <w:bookmarkEnd w:id="72"/>
      <w:r>
        <w:rPr>
          <w:color w:val="000000" w:themeColor="text1"/>
        </w:rPr>
      </w:r>
      <w:r>
        <w:rPr>
          <w:color w:val="000000" w:themeColor="text1"/>
        </w:rPr>
      </w:r>
    </w:p>
    <w:p>
      <w:pPr>
        <w:pStyle w:val="1370"/>
        <w:ind w:left="0" w:firstLine="0"/>
        <w:jc w:val="center"/>
        <w:keepLines w:val="0"/>
        <w:keepNext w:val="0"/>
        <w:pageBreakBefore w:val="0"/>
        <w:spacing w:line="240" w:lineRule="auto"/>
        <w:widowControl w:val="off"/>
        <w:rPr>
          <w:rStyle w:val="1360"/>
          <w:rFonts w:hint="eastAsia" w:ascii="宋体" w:hAnsi="宋体" w:eastAsia="宋体" w:cs="宋体"/>
          <w:b/>
          <w:color w:val="000000" w:themeColor="text1"/>
          <w:sz w:val="24"/>
          <w:szCs w:val="24"/>
          <w:highlight w:val="none"/>
        </w:rPr>
      </w:pPr>
      <w:r>
        <w:rPr>
          <w:rStyle w:val="1360"/>
          <w:rFonts w:hint="eastAsia" w:ascii="宋体" w:hAnsi="宋体" w:eastAsia="宋体" w:cs="宋体"/>
          <w:b/>
          <w:color w:val="000000" w:themeColor="text1"/>
          <w:sz w:val="24"/>
          <w:szCs w:val="24"/>
          <w:highlight w:val="none"/>
        </w:rPr>
        <w:t xml:space="preserve">商务条款偏离表</w:t>
      </w:r>
      <w:r>
        <w:rPr>
          <w:color w:val="000000" w:themeColor="text1"/>
        </w:rPr>
      </w:r>
    </w:p>
    <w:tbl>
      <w:tblPr>
        <w:tblStyle w:val="114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86"/>
        </w:trPr>
        <w:tc>
          <w:tcPr>
            <w:tcW w:w="708" w:type="dxa"/>
            <w:vAlign w:val="top"/>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序号</w:t>
            </w:r>
            <w:r>
              <w:rPr>
                <w:color w:val="000000" w:themeColor="text1"/>
              </w:rPr>
            </w:r>
          </w:p>
        </w:tc>
        <w:tc>
          <w:tcPr>
            <w:tcW w:w="1920" w:type="dxa"/>
            <w:vAlign w:val="top"/>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采购文件条目号</w:t>
            </w:r>
            <w:r>
              <w:rPr>
                <w:color w:val="000000" w:themeColor="text1"/>
              </w:rPr>
            </w:r>
          </w:p>
        </w:tc>
        <w:tc>
          <w:tcPr>
            <w:tcW w:w="2400" w:type="dxa"/>
            <w:vAlign w:val="top"/>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采购文件的商务条款</w:t>
            </w:r>
            <w:r>
              <w:rPr>
                <w:color w:val="000000" w:themeColor="text1"/>
              </w:rPr>
            </w:r>
          </w:p>
        </w:tc>
        <w:tc>
          <w:tcPr>
            <w:tcW w:w="2400" w:type="dxa"/>
            <w:vAlign w:val="top"/>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响应文件的商务条款</w:t>
            </w:r>
            <w:r>
              <w:rPr>
                <w:color w:val="000000" w:themeColor="text1"/>
              </w:rPr>
            </w:r>
          </w:p>
        </w:tc>
        <w:tc>
          <w:tcPr>
            <w:tcW w:w="1097" w:type="dxa"/>
            <w:vAlign w:val="top"/>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说明</w:t>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9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bl>
    <w:p>
      <w:pPr>
        <w:ind w:left="0" w:firstLine="420"/>
        <w:keepLines w:val="0"/>
        <w:keepNext w:val="0"/>
        <w:pageBreakBefore w:val="0"/>
        <w:spacing w:line="360" w:lineRule="auto"/>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color w:val="000000" w:themeColor="text1"/>
        </w:rPr>
      </w:r>
    </w:p>
    <w:p>
      <w:pPr>
        <w:ind w:left="0" w:firstLine="420"/>
        <w:keepLines w:val="0"/>
        <w:keepNext w:val="0"/>
        <w:pageBreakBefore w:val="0"/>
        <w:spacing w:line="360" w:lineRule="auto"/>
        <w:widowControl w:val="off"/>
        <w:rPr>
          <w:rStyle w:val="1360"/>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pStyle w:val="1370"/>
        <w:ind w:left="0" w:firstLine="0"/>
        <w:keepLines w:val="0"/>
        <w:keepNext w:val="0"/>
        <w:pageBreakBefore w:val="0"/>
        <w:widowControl w:val="off"/>
        <w:rPr>
          <w:rStyle w:val="1360"/>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1370"/>
        <w:ind w:left="0" w:firstLine="0"/>
        <w:keepLines w:val="0"/>
        <w:keepNext w:val="0"/>
        <w:pageBreakBefore w:val="0"/>
        <w:widowControl w:val="off"/>
        <w:rPr>
          <w:rStyle w:val="1360"/>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1370"/>
        <w:ind w:left="0" w:firstLine="0"/>
        <w:keepLines w:val="0"/>
        <w:keepNext w:val="0"/>
        <w:pageBreakBefore w:val="0"/>
        <w:widowControl w:val="off"/>
        <w:rPr>
          <w:rStyle w:val="1360"/>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1370"/>
        <w:ind w:left="0" w:firstLine="0"/>
        <w:keepLines w:val="0"/>
        <w:keepNext w:val="0"/>
        <w:pageBreakBefore w:val="0"/>
        <w:widowControl w:val="off"/>
        <w:rPr>
          <w:rStyle w:val="1360"/>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1370"/>
        <w:ind w:left="0" w:firstLine="0"/>
        <w:keepLines w:val="0"/>
        <w:keepNext w:val="0"/>
        <w:pageBreakBefore w:val="0"/>
        <w:widowControl w:val="off"/>
        <w:rPr>
          <w:rStyle w:val="1360"/>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p>
    <w:p>
      <w:pPr>
        <w:pStyle w:val="1374"/>
        <w:ind w:left="0" w:firstLine="0"/>
        <w:jc w:val="both"/>
        <w:keepLines w:val="0"/>
        <w:keepNext w:val="0"/>
        <w:pageBreakBefore w:val="0"/>
        <w:spacing w:line="240" w:lineRule="auto"/>
        <w:widowControl w:val="off"/>
        <w:rPr>
          <w:rStyle w:val="1360"/>
          <w:rFonts w:hint="eastAsia" w:ascii="宋体" w:hAnsi="宋体" w:eastAsia="宋体" w:cs="宋体"/>
          <w:b/>
          <w:color w:val="000000" w:themeColor="text1"/>
          <w:sz w:val="24"/>
          <w:szCs w:val="24"/>
          <w:highlight w:val="none"/>
        </w:rPr>
        <w:outlineLvl w:val="1"/>
      </w:pPr>
      <w:r>
        <w:rPr>
          <w:rStyle w:val="1360"/>
          <w:rFonts w:hint="eastAsia" w:ascii="宋体" w:hAnsi="宋体" w:eastAsia="宋体" w:cs="宋体"/>
          <w:b/>
          <w:color w:val="000000" w:themeColor="text1"/>
          <w:sz w:val="24"/>
          <w:szCs w:val="24"/>
          <w:highlight w:val="none"/>
          <w:lang w:val="en-US" w:eastAsia="zh-CN"/>
        </w:rPr>
        <w:t xml:space="preserve">格式9、服务要求偏离表</w:t>
      </w:r>
      <w:r>
        <w:rPr>
          <w:color w:val="000000" w:themeColor="text1"/>
        </w:rPr>
      </w:r>
    </w:p>
    <w:p>
      <w:pPr>
        <w:pStyle w:val="1370"/>
        <w:ind w:left="0" w:firstLine="0"/>
        <w:jc w:val="center"/>
        <w:keepLines w:val="0"/>
        <w:keepNext w:val="0"/>
        <w:pageBreakBefore w:val="0"/>
        <w:spacing w:line="240" w:lineRule="auto"/>
        <w:widowControl w:val="off"/>
        <w:rPr>
          <w:rStyle w:val="1360"/>
          <w:rFonts w:hint="eastAsia" w:ascii="宋体" w:hAnsi="宋体" w:eastAsia="宋体" w:cs="宋体"/>
          <w:b/>
          <w:color w:val="000000" w:themeColor="text1"/>
          <w:sz w:val="24"/>
          <w:szCs w:val="24"/>
          <w:highlight w:val="none"/>
        </w:rPr>
      </w:pPr>
      <w:r>
        <w:rPr>
          <w:rStyle w:val="1360"/>
          <w:rFonts w:hint="eastAsia" w:ascii="宋体" w:hAnsi="宋体" w:eastAsia="宋体" w:cs="宋体"/>
          <w:b/>
          <w:color w:val="000000" w:themeColor="text1"/>
          <w:sz w:val="24"/>
          <w:szCs w:val="24"/>
          <w:highlight w:val="none"/>
          <w:lang w:val="zh-CN"/>
        </w:rPr>
        <w:t xml:space="preserve">服</w:t>
      </w:r>
      <w:r>
        <w:rPr>
          <w:rStyle w:val="1360"/>
          <w:rFonts w:hint="eastAsia" w:ascii="宋体" w:hAnsi="宋体" w:eastAsia="宋体" w:cs="宋体"/>
          <w:b/>
          <w:color w:val="000000" w:themeColor="text1"/>
          <w:sz w:val="24"/>
          <w:szCs w:val="24"/>
          <w:highlight w:val="none"/>
          <w:lang w:val="zh-CN" w:eastAsia="zh-CN"/>
        </w:rPr>
        <w:t xml:space="preserve">务要求偏离表</w:t>
      </w:r>
      <w:r>
        <w:rPr>
          <w:color w:val="000000" w:themeColor="text1"/>
        </w:rPr>
      </w:r>
    </w:p>
    <w:tbl>
      <w:tblPr>
        <w:tblStyle w:val="1149"/>
        <w:tblW w:w="924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38"/>
        <w:gridCol w:w="1820"/>
        <w:gridCol w:w="1639"/>
        <w:gridCol w:w="1456"/>
        <w:gridCol w:w="1718"/>
        <w:gridCol w:w="1777"/>
      </w:tblGrid>
      <w:tr>
        <w:trPr>
          <w:jc w:val="center"/>
        </w:trPr>
        <w:tc>
          <w:tcPr>
            <w:tcW w:w="838" w:type="dxa"/>
            <w:vAlign w:val="center"/>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序号</w:t>
            </w:r>
            <w:r>
              <w:rPr>
                <w:color w:val="000000" w:themeColor="text1"/>
              </w:rPr>
            </w:r>
          </w:p>
        </w:tc>
        <w:tc>
          <w:tcPr>
            <w:tcW w:w="1820" w:type="dxa"/>
            <w:vAlign w:val="center"/>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项目名称</w:t>
            </w:r>
            <w:r>
              <w:rPr>
                <w:color w:val="000000" w:themeColor="text1"/>
              </w:rPr>
            </w:r>
          </w:p>
        </w:tc>
        <w:tc>
          <w:tcPr>
            <w:tcW w:w="1639" w:type="dxa"/>
            <w:vAlign w:val="center"/>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采购要求</w:t>
            </w:r>
            <w:r>
              <w:rPr>
                <w:color w:val="000000" w:themeColor="text1"/>
              </w:rPr>
            </w:r>
          </w:p>
        </w:tc>
        <w:tc>
          <w:tcPr>
            <w:tcW w:w="1456" w:type="dxa"/>
            <w:vAlign w:val="center"/>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响应要求</w:t>
            </w:r>
            <w:r>
              <w:rPr>
                <w:color w:val="000000" w:themeColor="text1"/>
              </w:rPr>
            </w:r>
          </w:p>
        </w:tc>
        <w:tc>
          <w:tcPr>
            <w:tcW w:w="1718" w:type="dxa"/>
            <w:vAlign w:val="center"/>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偏离/响应</w:t>
            </w:r>
            <w:r>
              <w:rPr>
                <w:color w:val="000000" w:themeColor="text1"/>
              </w:rPr>
            </w:r>
          </w:p>
        </w:tc>
        <w:tc>
          <w:tcPr>
            <w:tcW w:w="1777" w:type="dxa"/>
            <w:vAlign w:val="center"/>
            <w:textDirection w:val="lrTb"/>
            <w:noWrap w:val="false"/>
          </w:tcPr>
          <w:p>
            <w:pPr>
              <w:ind w:left="0"/>
              <w:jc w:val="center"/>
              <w:spacing w:before="240" w:after="240"/>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说明</w:t>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jc w:val="center"/>
        </w:trPr>
        <w:tc>
          <w:tcPr>
            <w:tcW w:w="838" w:type="dxa"/>
            <w:vAlign w:val="top"/>
            <w:textDirection w:val="lrTb"/>
            <w:noWrap w:val="false"/>
          </w:tcPr>
          <w:p>
            <w:pPr>
              <w:spacing w:before="240" w:after="240"/>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820"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639"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456"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18"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777" w:type="dxa"/>
            <w:vAlign w:val="top"/>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bl>
    <w:p>
      <w:pPr>
        <w:pStyle w:val="1370"/>
        <w:ind w:left="0" w:firstLine="482"/>
        <w:keepLines w:val="0"/>
        <w:keepNext w:val="0"/>
        <w:pageBreakBefore w:val="0"/>
        <w:spacing w:line="240" w:lineRule="auto"/>
        <w:widowControl w:val="off"/>
        <w:rPr>
          <w:rStyle w:val="1360"/>
          <w:rFonts w:hint="eastAsia" w:ascii="宋体" w:hAnsi="宋体" w:eastAsia="宋体" w:cs="宋体"/>
          <w:b w:val="0"/>
          <w:bCs/>
          <w:color w:val="000000" w:themeColor="text1"/>
          <w:sz w:val="24"/>
          <w:szCs w:val="24"/>
          <w:highlight w:val="none"/>
        </w:rPr>
      </w:pPr>
      <w:r>
        <w:rPr>
          <w:rStyle w:val="1360"/>
          <w:rFonts w:hint="eastAsia" w:ascii="宋体" w:hAnsi="宋体" w:eastAsia="宋体" w:cs="宋体"/>
          <w:b w:val="0"/>
          <w:bCs/>
          <w:color w:val="000000" w:themeColor="text1"/>
          <w:sz w:val="24"/>
          <w:szCs w:val="24"/>
          <w:highlight w:val="none"/>
        </w:rPr>
        <w:t xml:space="preserve">注：1、供应商应对照磋商采购文件技术要求等，所响应的物与磋商采购文件的规定有偏离的，应在此表中声明与技术要求条文的偏差和例外。</w:t>
      </w:r>
      <w:r>
        <w:rPr>
          <w:color w:val="000000" w:themeColor="text1"/>
        </w:rPr>
      </w:r>
    </w:p>
    <w:p>
      <w:pPr>
        <w:pStyle w:val="1370"/>
        <w:ind w:left="0" w:firstLine="482"/>
        <w:keepLines w:val="0"/>
        <w:keepNext w:val="0"/>
        <w:pageBreakBefore w:val="0"/>
        <w:spacing w:line="240" w:lineRule="auto"/>
        <w:widowControl w:val="off"/>
        <w:rPr>
          <w:rStyle w:val="1360"/>
          <w:rFonts w:hint="eastAsia" w:ascii="宋体" w:hAnsi="宋体" w:eastAsia="宋体" w:cs="宋体"/>
          <w:b w:val="0"/>
          <w:bCs/>
          <w:color w:val="000000" w:themeColor="text1"/>
          <w:sz w:val="24"/>
          <w:szCs w:val="24"/>
          <w:highlight w:val="none"/>
        </w:rPr>
      </w:pPr>
      <w:r>
        <w:rPr>
          <w:rStyle w:val="1360"/>
          <w:rFonts w:hint="eastAsia" w:ascii="宋体" w:hAnsi="宋体" w:eastAsia="宋体" w:cs="宋体"/>
          <w:b w:val="0"/>
          <w:bCs/>
          <w:color w:val="000000" w:themeColor="text1"/>
          <w:sz w:val="24"/>
          <w:szCs w:val="24"/>
          <w:highlight w:val="none"/>
        </w:rPr>
        <w:t xml:space="preserve">2、未在上表中说明的，如在响应文件其他内容中已有文字说明的，则以已有文字说明为准，否则，将被认为完全响应磋商采购文件的规定。但该表不作为供应商对所响应的物关于技术要求等详细描述和说明的替代。</w:t>
      </w:r>
      <w:r>
        <w:rPr>
          <w:color w:val="000000" w:themeColor="text1"/>
        </w:rPr>
      </w:r>
    </w:p>
    <w:p>
      <w:pPr>
        <w:pStyle w:val="1381"/>
        <w:ind w:firstLine="420"/>
        <w:spacing w:line="360" w:lineRule="auto"/>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pStyle w:val="1370"/>
        <w:ind w:left="0" w:firstLine="0"/>
        <w:keepLines w:val="0"/>
        <w:keepNext w:val="0"/>
        <w:pageBreakBefore w:val="0"/>
        <w:widowControl w:val="off"/>
        <w:rPr>
          <w:rStyle w:val="1360"/>
          <w:rFonts w:hint="eastAsia" w:ascii="宋体" w:hAnsi="宋体" w:eastAsia="宋体" w:cs="宋体"/>
          <w:color w:val="000000" w:themeColor="text1"/>
          <w:sz w:val="24"/>
          <w:szCs w:val="24"/>
          <w:highlight w:val="none"/>
        </w:rPr>
        <w:outlineLvl w:val="1"/>
      </w:pPr>
      <w:r>
        <w:rPr>
          <w:rStyle w:val="1360"/>
          <w:rFonts w:hint="eastAsia" w:ascii="宋体" w:hAnsi="宋体" w:eastAsia="宋体" w:cs="宋体"/>
          <w:b/>
          <w:color w:val="000000" w:themeColor="text1"/>
          <w:sz w:val="21"/>
          <w:szCs w:val="21"/>
          <w:highlight w:val="none"/>
        </w:rPr>
        <w:br w:type="page" w:clear="all"/>
      </w:r>
      <w:bookmarkStart w:id="73" w:name="_Toc3166"/>
      <w:r>
        <w:rPr>
          <w:color w:val="000000" w:themeColor="text1"/>
        </w:rPr>
      </w:r>
      <w:bookmarkStart w:id="74" w:name="_Toc23227"/>
      <w:r>
        <w:rPr>
          <w:color w:val="000000" w:themeColor="text1"/>
        </w:rPr>
      </w:r>
      <w:bookmarkStart w:id="75" w:name="_Toc5258"/>
      <w:r>
        <w:rPr>
          <w:rStyle w:val="1360"/>
          <w:rFonts w:hint="eastAsia" w:ascii="宋体" w:hAnsi="宋体" w:eastAsia="宋体" w:cs="宋体"/>
          <w:b/>
          <w:color w:val="000000" w:themeColor="text1"/>
          <w:sz w:val="24"/>
          <w:szCs w:val="24"/>
          <w:highlight w:val="none"/>
          <w:lang w:val="en-US" w:eastAsia="zh-CN"/>
        </w:rPr>
        <w:t xml:space="preserve">附件</w:t>
      </w:r>
      <w:r>
        <w:rPr>
          <w:rStyle w:val="1360"/>
          <w:rFonts w:hint="eastAsia" w:ascii="宋体" w:hAnsi="宋体" w:cs="宋体"/>
          <w:b/>
          <w:color w:val="000000" w:themeColor="text1"/>
          <w:sz w:val="24"/>
          <w:szCs w:val="24"/>
          <w:highlight w:val="none"/>
          <w:lang w:val="en-US" w:eastAsia="zh-CN"/>
        </w:rPr>
        <w:t xml:space="preserve">10</w:t>
      </w:r>
      <w:r>
        <w:rPr>
          <w:rStyle w:val="1360"/>
          <w:rFonts w:hint="eastAsia" w:ascii="宋体" w:hAnsi="宋体" w:eastAsia="宋体" w:cs="宋体"/>
          <w:b/>
          <w:color w:val="000000" w:themeColor="text1"/>
          <w:sz w:val="24"/>
          <w:szCs w:val="24"/>
          <w:highlight w:val="none"/>
        </w:rPr>
        <w:t xml:space="preserve">、拟投入本项目人员配备一览表</w:t>
      </w:r>
      <w:bookmarkEnd w:id="73"/>
      <w:r>
        <w:rPr>
          <w:color w:val="000000" w:themeColor="text1"/>
        </w:rPr>
      </w:r>
      <w:bookmarkEnd w:id="74"/>
      <w:r>
        <w:rPr>
          <w:color w:val="000000" w:themeColor="text1"/>
        </w:rPr>
      </w:r>
      <w:bookmarkEnd w:id="75"/>
      <w:r>
        <w:rPr>
          <w:color w:val="000000" w:themeColor="text1"/>
        </w:rPr>
      </w:r>
      <w:r>
        <w:rPr>
          <w:color w:val="000000" w:themeColor="text1"/>
        </w:rPr>
      </w:r>
    </w:p>
    <w:p>
      <w:pPr>
        <w:pStyle w:val="1370"/>
        <w:ind w:left="0" w:firstLine="0"/>
        <w:jc w:val="center"/>
        <w:keepLines w:val="0"/>
        <w:keepNext w:val="0"/>
        <w:pageBreakBefore w:val="0"/>
        <w:widowControl w:val="off"/>
        <w:rPr>
          <w:rStyle w:val="1360"/>
          <w:rFonts w:hint="eastAsia" w:ascii="宋体" w:hAnsi="宋体" w:eastAsia="宋体" w:cs="宋体"/>
          <w:b/>
          <w:color w:val="000000" w:themeColor="text1"/>
          <w:sz w:val="24"/>
          <w:szCs w:val="24"/>
          <w:highlight w:val="none"/>
        </w:rPr>
      </w:pPr>
      <w:r>
        <w:rPr>
          <w:rStyle w:val="1360"/>
          <w:rFonts w:hint="eastAsia" w:ascii="宋体" w:hAnsi="宋体" w:eastAsia="宋体" w:cs="宋体"/>
          <w:b/>
          <w:color w:val="000000" w:themeColor="text1"/>
          <w:sz w:val="24"/>
          <w:szCs w:val="24"/>
          <w:highlight w:val="none"/>
        </w:rPr>
        <w:t xml:space="preserve">拟投入本项目人员配备一览表</w:t>
      </w:r>
      <w:r>
        <w:rPr>
          <w:color w:val="000000" w:themeColor="text1"/>
        </w:rPr>
      </w:r>
    </w:p>
    <w:tbl>
      <w:tblPr>
        <w:tblStyle w:val="11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133"/>
        <w:gridCol w:w="1106"/>
        <w:gridCol w:w="875"/>
        <w:gridCol w:w="708"/>
        <w:gridCol w:w="1274"/>
        <w:gridCol w:w="1275"/>
        <w:gridCol w:w="1095"/>
        <w:gridCol w:w="1335"/>
        <w:gridCol w:w="731"/>
      </w:tblGrid>
      <w:tr>
        <w:trPr>
          <w:jc w:val="center"/>
          <w:trHeight w:val="337"/>
        </w:trPr>
        <w:tc>
          <w:tcPr>
            <w:tcW w:w="736" w:type="dxa"/>
            <w:vAlign w:val="center"/>
            <w:vMerge w:val="restart"/>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序号</w:t>
            </w:r>
            <w:r>
              <w:rPr>
                <w:color w:val="000000" w:themeColor="text1"/>
              </w:rPr>
            </w:r>
          </w:p>
        </w:tc>
        <w:tc>
          <w:tcPr>
            <w:tcW w:w="1133" w:type="dxa"/>
            <w:vAlign w:val="center"/>
            <w:vMerge w:val="restart"/>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岗位</w:t>
            </w:r>
            <w:r>
              <w:rPr>
                <w:color w:val="000000" w:themeColor="text1"/>
              </w:rPr>
            </w:r>
          </w:p>
        </w:tc>
        <w:tc>
          <w:tcPr>
            <w:tcW w:w="1106" w:type="dxa"/>
            <w:vAlign w:val="center"/>
            <w:vMerge w:val="restart"/>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姓名</w:t>
            </w:r>
            <w:r>
              <w:rPr>
                <w:color w:val="000000" w:themeColor="text1"/>
              </w:rPr>
            </w:r>
          </w:p>
        </w:tc>
        <w:tc>
          <w:tcPr>
            <w:tcW w:w="875" w:type="dxa"/>
            <w:vAlign w:val="center"/>
            <w:vMerge w:val="restart"/>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性别</w:t>
            </w:r>
            <w:r>
              <w:rPr>
                <w:color w:val="000000" w:themeColor="text1"/>
              </w:rPr>
            </w:r>
          </w:p>
        </w:tc>
        <w:tc>
          <w:tcPr>
            <w:tcW w:w="708" w:type="dxa"/>
            <w:vAlign w:val="center"/>
            <w:vMerge w:val="restart"/>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年龄</w:t>
            </w:r>
            <w:r>
              <w:rPr>
                <w:color w:val="000000" w:themeColor="text1"/>
              </w:rPr>
            </w:r>
          </w:p>
        </w:tc>
        <w:tc>
          <w:tcPr>
            <w:tcW w:w="1274" w:type="dxa"/>
            <w:vAlign w:val="center"/>
            <w:vMerge w:val="restart"/>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学历</w:t>
            </w:r>
            <w:r>
              <w:rPr>
                <w:color w:val="000000" w:themeColor="text1"/>
              </w:rPr>
            </w:r>
          </w:p>
        </w:tc>
        <w:tc>
          <w:tcPr>
            <w:tcW w:w="1275" w:type="dxa"/>
            <w:vAlign w:val="center"/>
            <w:vMerge w:val="restart"/>
            <w:textDirection w:val="lrTb"/>
            <w:noWrap w:val="false"/>
          </w:tcPr>
          <w:p>
            <w:pPr>
              <w:ind w:left="0"/>
              <w:jc w:val="center"/>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专业</w:t>
            </w:r>
            <w:r>
              <w:rPr>
                <w:color w:val="000000" w:themeColor="text1"/>
              </w:rPr>
            </w:r>
          </w:p>
        </w:tc>
        <w:tc>
          <w:tcPr>
            <w:gridSpan w:val="2"/>
            <w:tcW w:w="2430" w:type="dxa"/>
            <w:vAlign w:val="center"/>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从事工作</w:t>
            </w:r>
            <w:r>
              <w:rPr>
                <w:color w:val="000000" w:themeColor="text1"/>
              </w:rPr>
            </w:r>
          </w:p>
        </w:tc>
        <w:tc>
          <w:tcPr>
            <w:tcW w:w="731" w:type="dxa"/>
            <w:vAlign w:val="center"/>
            <w:vMerge w:val="restart"/>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备注</w:t>
            </w:r>
            <w:r>
              <w:rPr>
                <w:color w:val="000000" w:themeColor="text1"/>
              </w:rPr>
            </w:r>
          </w:p>
        </w:tc>
      </w:tr>
      <w:tr>
        <w:trPr>
          <w:jc w:val="center"/>
          <w:trHeight w:val="130"/>
        </w:trPr>
        <w:tc>
          <w:tcPr>
            <w:tcW w:w="73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3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0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87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708"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4"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95" w:type="dxa"/>
            <w:vAlign w:val="center"/>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年限</w:t>
            </w:r>
            <w:r>
              <w:rPr>
                <w:color w:val="000000" w:themeColor="text1"/>
              </w:rPr>
            </w:r>
          </w:p>
        </w:tc>
        <w:tc>
          <w:tcPr>
            <w:tcW w:w="1335" w:type="dxa"/>
            <w:vAlign w:val="center"/>
            <w:textDirection w:val="lrTb"/>
            <w:noWrap w:val="false"/>
          </w:tcPr>
          <w:p>
            <w:pPr>
              <w:ind w:left="0"/>
              <w:jc w:val="center"/>
              <w:spacing w:line="360" w:lineRule="auto"/>
              <w:widowControl w:val="off"/>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t xml:space="preserve">工作领域</w:t>
            </w:r>
            <w:r>
              <w:rPr>
                <w:color w:val="000000" w:themeColor="text1"/>
              </w:rPr>
            </w:r>
          </w:p>
        </w:tc>
        <w:tc>
          <w:tcPr>
            <w:tcW w:w="731"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cantSplit/>
          <w:jc w:val="center"/>
          <w:trHeight w:val="495"/>
        </w:trPr>
        <w:tc>
          <w:tcPr>
            <w:tcW w:w="736"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center"/>
            <w:textDirection w:val="lrTb"/>
            <w:noWrap w:val="false"/>
          </w:tcPr>
          <w:p>
            <w:pPr>
              <w:jc w:val="cente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r>
        <w:trPr>
          <w:cantSplit/>
          <w:jc w:val="center"/>
          <w:trHeight w:val="495"/>
        </w:trPr>
        <w:tc>
          <w:tcPr>
            <w:tcW w:w="736"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33"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106"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8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08"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4"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27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09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1335" w:type="dxa"/>
            <w:vAlign w:val="center"/>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c>
          <w:tcPr>
            <w:tcW w:w="731" w:type="dxa"/>
            <w:vAlign w:val="top"/>
            <w:textDirection w:val="lrTb"/>
            <w:noWrap w:val="false"/>
          </w:tcPr>
          <w:p>
            <w:pPr>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rPr>
            </w:r>
          </w:p>
        </w:tc>
      </w:tr>
    </w:tbl>
    <w:p>
      <w:pPr>
        <w:pStyle w:val="137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pStyle w:val="1370"/>
        <w:ind w:left="0" w:firstLine="0"/>
        <w:keepLines w:val="0"/>
        <w:keepNext w:val="0"/>
        <w:pageBreakBefore w:val="0"/>
        <w:widowControl w:val="off"/>
        <w:rPr>
          <w:rStyle w:val="1360"/>
          <w:rFonts w:hint="eastAsia" w:ascii="宋体" w:hAnsi="宋体" w:eastAsia="宋体" w:cs="宋体"/>
          <w:b/>
          <w:color w:val="000000" w:themeColor="text1"/>
          <w:sz w:val="24"/>
          <w:szCs w:val="24"/>
          <w:highlight w:val="none"/>
        </w:rPr>
        <w:outlineLvl w:val="1"/>
      </w:pPr>
      <w:r>
        <w:rPr>
          <w:rStyle w:val="1360"/>
          <w:rFonts w:hint="eastAsia" w:ascii="宋体" w:hAnsi="宋体" w:eastAsia="宋体" w:cs="宋体"/>
          <w:color w:val="000000" w:themeColor="text1"/>
          <w:sz w:val="21"/>
          <w:szCs w:val="21"/>
          <w:highlight w:val="none"/>
        </w:rPr>
        <w:br w:type="page" w:clear="all"/>
      </w:r>
      <w:bookmarkStart w:id="76" w:name="_Toc20041"/>
      <w:r>
        <w:rPr>
          <w:color w:val="000000" w:themeColor="text1"/>
        </w:rPr>
      </w:r>
      <w:bookmarkStart w:id="77" w:name="_Toc11052"/>
      <w:r>
        <w:rPr>
          <w:rStyle w:val="1360"/>
          <w:rFonts w:hint="eastAsia" w:ascii="宋体" w:hAnsi="宋体" w:eastAsia="宋体" w:cs="宋体"/>
          <w:b/>
          <w:bCs/>
          <w:color w:val="000000" w:themeColor="text1"/>
          <w:sz w:val="24"/>
          <w:szCs w:val="24"/>
          <w:highlight w:val="none"/>
          <w:lang w:val="en-US" w:eastAsia="zh-CN"/>
        </w:rPr>
        <w:t xml:space="preserve">附件</w:t>
      </w:r>
      <w:r>
        <w:rPr>
          <w:rStyle w:val="1360"/>
          <w:rFonts w:hint="eastAsia" w:ascii="宋体" w:hAnsi="宋体" w:cs="宋体"/>
          <w:b/>
          <w:bCs/>
          <w:color w:val="000000" w:themeColor="text1"/>
          <w:sz w:val="24"/>
          <w:szCs w:val="24"/>
          <w:highlight w:val="none"/>
          <w:lang w:val="en-US" w:eastAsia="zh-CN"/>
        </w:rPr>
        <w:t xml:space="preserve">11</w:t>
      </w:r>
      <w:r>
        <w:rPr>
          <w:rStyle w:val="1360"/>
          <w:rFonts w:hint="eastAsia" w:ascii="宋体" w:hAnsi="宋体" w:eastAsia="宋体" w:cs="宋体"/>
          <w:b/>
          <w:bCs/>
          <w:color w:val="000000" w:themeColor="text1"/>
          <w:sz w:val="24"/>
          <w:szCs w:val="24"/>
          <w:highlight w:val="none"/>
          <w:lang w:val="en-US" w:eastAsia="zh-CN"/>
        </w:rPr>
        <w:t xml:space="preserve">、</w:t>
      </w:r>
      <w:bookmarkEnd w:id="76"/>
      <w:r>
        <w:rPr>
          <w:color w:val="000000" w:themeColor="text1"/>
        </w:rPr>
      </w:r>
      <w:bookmarkEnd w:id="77"/>
      <w:r>
        <w:rPr>
          <w:rFonts w:hint="eastAsia" w:ascii="宋体" w:hAnsi="宋体" w:eastAsia="宋体" w:cs="宋体"/>
          <w:b/>
          <w:color w:val="000000" w:themeColor="text1"/>
          <w:szCs w:val="24"/>
          <w:highlight w:val="none"/>
        </w:rPr>
        <w:t xml:space="preserve">服务方案</w:t>
      </w:r>
      <w:r>
        <w:rPr>
          <w:color w:val="000000" w:themeColor="text1"/>
        </w:rPr>
      </w:r>
    </w:p>
    <w:p>
      <w:pPr>
        <w:pStyle w:val="1370"/>
        <w:ind w:left="0" w:firstLine="0"/>
        <w:jc w:val="center"/>
        <w:keepLines w:val="0"/>
        <w:keepNext w:val="0"/>
        <w:pageBreakBefore w:val="0"/>
        <w:widowControl w:val="off"/>
        <w:rPr>
          <w:rStyle w:val="1360"/>
          <w:rFonts w:hint="eastAsia" w:ascii="宋体" w:hAnsi="宋体" w:eastAsia="宋体" w:cs="宋体"/>
          <w:b/>
          <w:color w:val="000000" w:themeColor="text1"/>
          <w:sz w:val="24"/>
          <w:szCs w:val="24"/>
          <w:highlight w:val="none"/>
        </w:rPr>
      </w:pPr>
      <w:r>
        <w:rPr>
          <w:rStyle w:val="1360"/>
          <w:rFonts w:hint="eastAsia" w:ascii="宋体" w:hAnsi="宋体" w:cs="宋体"/>
          <w:b/>
          <w:color w:val="000000" w:themeColor="text1"/>
          <w:sz w:val="24"/>
          <w:szCs w:val="24"/>
          <w:highlight w:val="none"/>
          <w:lang w:val="en-US" w:eastAsia="zh-CN"/>
        </w:rPr>
        <w:t xml:space="preserve">服务方案</w:t>
      </w:r>
      <w:r>
        <w:rPr>
          <w:color w:val="000000" w:themeColor="text1"/>
        </w:rPr>
      </w:r>
    </w:p>
    <w:tbl>
      <w:tblPr>
        <w:tblStyle w:val="11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jc w:val="center"/>
          <w:trHeight w:val="691"/>
        </w:trPr>
        <w:tc>
          <w:tcPr>
            <w:tcW w:w="9042" w:type="dxa"/>
            <w:textDirection w:val="lrTb"/>
            <w:noWrap w:val="false"/>
          </w:tcPr>
          <w:p>
            <w:pPr>
              <w:ind w:left="0"/>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提示：</w:t>
            </w:r>
            <w:r>
              <w:rPr>
                <w:color w:val="000000" w:themeColor="text1"/>
              </w:rPr>
            </w:r>
          </w:p>
          <w:p>
            <w:pPr>
              <w:numPr>
                <w:ilvl w:val="0"/>
                <w:numId w:val="2"/>
              </w:numPr>
              <w:ind w:left="0"/>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供应商应根据本次采购项目要求，对方案实施进行说明与描述。</w:t>
            </w:r>
            <w:r>
              <w:rPr>
                <w:color w:val="000000" w:themeColor="text1"/>
              </w:rPr>
            </w:r>
          </w:p>
          <w:p>
            <w:pPr>
              <w:numPr>
                <w:ilvl w:val="0"/>
                <w:numId w:val="2"/>
              </w:numPr>
              <w:ind w:left="0"/>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供应商可根据自身情况编写，本页不够可另加页附后。</w:t>
            </w:r>
            <w:r>
              <w:rPr>
                <w:color w:val="000000" w:themeColor="text1"/>
              </w:rPr>
            </w:r>
          </w:p>
        </w:tc>
      </w:tr>
      <w:tr>
        <w:trPr>
          <w:jc w:val="center"/>
          <w:trHeight w:val="9418"/>
        </w:trPr>
        <w:tc>
          <w:tcPr>
            <w:tcW w:w="9042" w:type="dxa"/>
            <w:vAlign w:val="bottom"/>
            <w:textDirection w:val="lrTb"/>
            <w:noWrap w:val="false"/>
          </w:tcPr>
          <w:p>
            <w:pPr>
              <w:jc w:val="center"/>
              <w:spacing w:line="360" w:lineRule="auto"/>
              <w:tabs>
                <w:tab w:val="left" w:pos="1320" w:leader="none"/>
              </w:tabs>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jc w:val="center"/>
              <w:spacing w:line="360" w:lineRule="auto"/>
              <w:tabs>
                <w:tab w:val="left" w:pos="1320" w:leader="none"/>
              </w:tabs>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jc w:val="center"/>
              <w:spacing w:line="360" w:lineRule="auto"/>
              <w:tabs>
                <w:tab w:val="left" w:pos="1320" w:leader="none"/>
              </w:tabs>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jc w:val="center"/>
              <w:spacing w:line="360" w:lineRule="auto"/>
              <w:tabs>
                <w:tab w:val="left" w:pos="1320" w:leader="none"/>
              </w:tabs>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jc w:val="center"/>
              <w:spacing w:line="360" w:lineRule="auto"/>
              <w:tabs>
                <w:tab w:val="left" w:pos="1320" w:leader="none"/>
              </w:tabs>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jc w:val="center"/>
              <w:spacing w:line="360" w:lineRule="auto"/>
              <w:tabs>
                <w:tab w:val="left" w:pos="1320" w:leader="none"/>
              </w:tabs>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p>
            <w:pPr>
              <w:ind w:firstLine="210"/>
              <w:jc w:val="center"/>
              <w:spacing w:line="360" w:lineRule="auto"/>
              <w:tabs>
                <w:tab w:val="left" w:pos="1320" w:leader="none"/>
              </w:tabs>
              <w:rPr>
                <w:rFonts w:ascii="宋体" w:hAnsi="宋体" w:eastAsia="宋体"/>
                <w:color w:val="000000" w:themeColor="text1"/>
                <w:sz w:val="21"/>
                <w:szCs w:val="21"/>
                <w:highlight w:val="none"/>
                <w:u w:val="single"/>
              </w:rPr>
            </w:pPr>
            <w:r>
              <w:rPr>
                <w:rFonts w:ascii="宋体" w:hAnsi="宋体" w:eastAsia="宋体"/>
                <w:color w:val="000000" w:themeColor="text1"/>
                <w:sz w:val="21"/>
                <w:szCs w:val="21"/>
                <w:highlight w:val="none"/>
                <w:u w:val="single"/>
              </w:rPr>
            </w:r>
            <w:r>
              <w:rPr>
                <w:color w:val="000000" w:themeColor="text1"/>
              </w:rPr>
            </w:r>
          </w:p>
        </w:tc>
      </w:tr>
    </w:tbl>
    <w:p>
      <w:pPr>
        <w:pStyle w:val="137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color w:val="000000" w:themeColor="text1"/>
        </w:rPr>
      </w:r>
      <w:bookmarkStart w:id="78" w:name="_Toc5921"/>
      <w:r>
        <w:rPr>
          <w:color w:val="000000" w:themeColor="text1"/>
        </w:rPr>
      </w:r>
      <w:bookmarkStart w:id="79" w:name="_Toc22341"/>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firstLine="0"/>
        <w:jc w:val="left"/>
        <w:spacing w:line="360" w:lineRule="auto"/>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151"/>
        <w:ind w:left="0" w:firstLine="0"/>
        <w:jc w:val="both"/>
        <w:spacing w:line="360" w:lineRule="auto"/>
        <w:rPr>
          <w:rFonts w:hint="eastAsia" w:ascii="宋体" w:hAnsi="宋体" w:eastAsia="宋体" w:cs="宋体"/>
          <w:b/>
          <w:color w:val="000000" w:themeColor="text1"/>
          <w:sz w:val="24"/>
          <w:szCs w:val="24"/>
          <w:highlight w:val="none"/>
        </w:rPr>
        <w:outlineLvl w:val="1"/>
      </w:pPr>
      <w:r>
        <w:rPr>
          <w:rStyle w:val="1360"/>
          <w:rFonts w:hint="eastAsia" w:ascii="宋体" w:hAnsi="宋体" w:eastAsia="宋体" w:cs="宋体"/>
          <w:b/>
          <w:bCs/>
          <w:color w:val="000000" w:themeColor="text1"/>
          <w:sz w:val="21"/>
          <w:szCs w:val="21"/>
          <w:highlight w:val="none"/>
        </w:rPr>
        <w:br w:type="page" w:clear="all"/>
      </w:r>
      <w:bookmarkStart w:id="80" w:name="_Toc16765"/>
      <w:r>
        <w:rPr>
          <w:color w:val="000000" w:themeColor="text1"/>
        </w:rPr>
      </w:r>
      <w:bookmarkStart w:id="81" w:name="_Toc31721"/>
      <w:r>
        <w:rPr>
          <w:rStyle w:val="1360"/>
          <w:rFonts w:hint="eastAsia" w:ascii="宋体" w:hAnsi="宋体" w:eastAsia="宋体" w:cs="宋体"/>
          <w:b/>
          <w:bCs/>
          <w:color w:val="000000" w:themeColor="text1"/>
          <w:szCs w:val="24"/>
          <w:highlight w:val="none"/>
        </w:rPr>
        <w:t xml:space="preserve">附件1</w:t>
      </w:r>
      <w:r>
        <w:rPr>
          <w:rStyle w:val="1360"/>
          <w:rFonts w:hint="eastAsia" w:ascii="宋体" w:hAnsi="宋体" w:cs="宋体"/>
          <w:b/>
          <w:bCs/>
          <w:color w:val="000000" w:themeColor="text1"/>
          <w:szCs w:val="24"/>
          <w:highlight w:val="none"/>
          <w:lang w:val="en-US" w:eastAsia="zh-CN"/>
        </w:rPr>
        <w:t xml:space="preserve">2</w:t>
      </w:r>
      <w:r>
        <w:rPr>
          <w:rStyle w:val="1360"/>
          <w:rFonts w:hint="eastAsia" w:ascii="宋体" w:hAnsi="宋体" w:eastAsia="宋体" w:cs="宋体"/>
          <w:b/>
          <w:bCs/>
          <w:color w:val="000000" w:themeColor="text1"/>
          <w:szCs w:val="24"/>
          <w:highlight w:val="none"/>
        </w:rPr>
        <w:t xml:space="preserve">、</w:t>
      </w:r>
      <w:bookmarkEnd w:id="80"/>
      <w:r>
        <w:rPr>
          <w:color w:val="000000" w:themeColor="text1"/>
        </w:rPr>
      </w:r>
      <w:bookmarkEnd w:id="81"/>
      <w:r>
        <w:rPr>
          <w:rFonts w:hint="eastAsia" w:ascii="宋体" w:hAnsi="宋体" w:eastAsia="宋体" w:cs="宋体"/>
          <w:b/>
          <w:color w:val="000000" w:themeColor="text1"/>
          <w:sz w:val="24"/>
          <w:szCs w:val="24"/>
          <w:highlight w:val="none"/>
          <w:lang w:val="en-US" w:eastAsia="zh-CN"/>
        </w:rPr>
        <w:t xml:space="preserve">投标（响应）保证承诺函</w:t>
      </w:r>
      <w:r>
        <w:rPr>
          <w:color w:val="000000" w:themeColor="text1"/>
        </w:rPr>
      </w:r>
    </w:p>
    <w:p>
      <w:pPr>
        <w:pStyle w:val="1370"/>
        <w:ind w:left="0" w:firstLine="0"/>
        <w:jc w:val="center"/>
        <w:keepLines w:val="0"/>
        <w:keepNext w:val="0"/>
        <w:pageBreakBefore w:val="0"/>
        <w:widowControl w:val="off"/>
        <w:rPr>
          <w:rStyle w:val="1360"/>
          <w:rFonts w:hint="eastAsia" w:ascii="宋体" w:hAnsi="宋体" w:eastAsia="宋体" w:cs="宋体"/>
          <w:b/>
          <w:color w:val="000000" w:themeColor="text1"/>
          <w:sz w:val="24"/>
          <w:szCs w:val="24"/>
          <w:highlight w:val="none"/>
        </w:rPr>
      </w:pPr>
      <w:r>
        <w:rPr>
          <w:rStyle w:val="1360"/>
          <w:rFonts w:hint="eastAsia" w:ascii="宋体" w:hAnsi="宋体" w:eastAsia="宋体" w:cs="宋体"/>
          <w:b/>
          <w:color w:val="000000" w:themeColor="text1"/>
          <w:sz w:val="24"/>
          <w:szCs w:val="24"/>
          <w:highlight w:val="none"/>
          <w:lang w:val="en-US" w:eastAsia="zh-CN"/>
        </w:rPr>
        <w:t xml:space="preserve">投标（响应）保证承诺书</w:t>
      </w:r>
      <w:r>
        <w:rPr>
          <w:color w:val="000000" w:themeColor="text1"/>
        </w:rPr>
      </w:r>
    </w:p>
    <w:p>
      <w:pPr>
        <w:ind w:left="0" w:firstLine="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rPr>
        <w:t xml:space="preserve">         （采购代理机构名称）</w:t>
      </w:r>
      <w:r>
        <w:rPr>
          <w:color w:val="000000" w:themeColor="text1"/>
        </w:rPr>
      </w:r>
    </w:p>
    <w:p>
      <w:pPr>
        <w:ind w:left="0"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我（单位/本人，以下统称我单位）自愿参加</w:t>
      </w:r>
      <w:r>
        <w:rPr>
          <w:rFonts w:hint="eastAsia" w:ascii="宋体" w:hAnsi="宋体" w:eastAsia="宋体" w:cs="宋体"/>
          <w:color w:val="000000" w:themeColor="text1"/>
          <w:sz w:val="24"/>
          <w:szCs w:val="24"/>
          <w:highlight w:val="none"/>
          <w:u w:val="single"/>
        </w:rPr>
        <w:t xml:space="preserve">        （项目名称和采购编号）</w:t>
      </w:r>
      <w:r>
        <w:rPr>
          <w:rFonts w:hint="eastAsia" w:ascii="宋体" w:hAnsi="宋体" w:eastAsia="宋体" w:cs="宋体"/>
          <w:color w:val="000000" w:themeColor="text1"/>
          <w:sz w:val="24"/>
          <w:szCs w:val="24"/>
          <w:highlight w:val="none"/>
        </w:rPr>
        <w:t xml:space="preserve">的投标（响应）,并做出如下承诺：</w:t>
      </w:r>
      <w:r>
        <w:rPr>
          <w:color w:val="000000" w:themeColor="text1"/>
        </w:rPr>
      </w:r>
    </w:p>
    <w:p>
      <w:pPr>
        <w:ind w:left="0"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none"/>
          <w:u w:val="single"/>
        </w:rPr>
        <w:t xml:space="preserve">（或采购人）</w:t>
      </w:r>
      <w:r>
        <w:rPr>
          <w:rFonts w:hint="eastAsia" w:ascii="宋体" w:hAnsi="宋体" w:eastAsia="宋体" w:cs="宋体"/>
          <w:color w:val="000000" w:themeColor="text1"/>
          <w:sz w:val="24"/>
          <w:szCs w:val="24"/>
          <w:highlight w:val="none"/>
        </w:rPr>
        <w:t xml:space="preserve">支付本采购文件公布的预算金额（或最高限价）的2%作为违约赔偿金（数量不确定的单价采购须约定具体金额）。</w:t>
      </w:r>
      <w:r>
        <w:rPr>
          <w:color w:val="000000" w:themeColor="text1"/>
        </w:rPr>
      </w:r>
    </w:p>
    <w:p>
      <w:pPr>
        <w:ind w:left="0"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1.自响应截止时间至本项目发布成交公告为止，撤销响应；</w:t>
      </w:r>
      <w:r>
        <w:rPr>
          <w:color w:val="000000" w:themeColor="text1"/>
        </w:rPr>
      </w:r>
    </w:p>
    <w:p>
      <w:pPr>
        <w:ind w:left="0"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2.成交后不依法与采购人签订合同；</w:t>
      </w:r>
      <w:r>
        <w:rPr>
          <w:color w:val="000000" w:themeColor="text1"/>
        </w:rPr>
      </w:r>
    </w:p>
    <w:p>
      <w:pPr>
        <w:ind w:left="0" w:firstLine="480"/>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3.中标后不按本采购文件规定向采购人提交履约保证金（如有）；</w:t>
      </w:r>
      <w:r>
        <w:rPr>
          <w:color w:val="000000" w:themeColor="text1"/>
        </w:rPr>
      </w:r>
    </w:p>
    <w:p>
      <w:pPr>
        <w:ind w:left="0"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二、我单位知晓上述行为的法律后果，承认本承诺书作为贵方</w:t>
      </w:r>
      <w:r>
        <w:rPr>
          <w:rFonts w:hint="eastAsia" w:ascii="宋体" w:hAnsi="宋体" w:eastAsia="宋体" w:cs="宋体"/>
          <w:color w:val="000000" w:themeColor="text1"/>
          <w:sz w:val="24"/>
          <w:szCs w:val="24"/>
          <w:highlight w:val="none"/>
          <w:u w:val="single"/>
        </w:rPr>
        <w:t xml:space="preserve">（或采购人）</w:t>
      </w:r>
      <w:r>
        <w:rPr>
          <w:rFonts w:hint="eastAsia" w:ascii="宋体" w:hAnsi="宋体" w:eastAsia="宋体" w:cs="宋体"/>
          <w:color w:val="000000" w:themeColor="text1"/>
          <w:sz w:val="24"/>
          <w:szCs w:val="24"/>
          <w:highlight w:val="none"/>
        </w:rPr>
        <w:t xml:space="preserve">要求我单位履行违约赔偿义务的依据作用。</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firstLine="0"/>
        <w:jc w:val="left"/>
        <w:spacing w:line="360" w:lineRule="auto"/>
        <w:rPr>
          <w:rFonts w:ascii="宋体" w:hAnsi="宋体" w:cs="宋体"/>
          <w:b/>
          <w:bCs/>
          <w:color w:val="000000" w:themeColor="text1"/>
          <w:sz w:val="21"/>
          <w:szCs w:val="21"/>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附件</w:t>
      </w:r>
      <w:r>
        <w:rPr>
          <w:rFonts w:hint="eastAsia" w:ascii="宋体" w:hAnsi="宋体" w:cs="宋体"/>
          <w:b/>
          <w:color w:val="000000" w:themeColor="text1"/>
          <w:sz w:val="24"/>
          <w:szCs w:val="24"/>
          <w:highlight w:val="none"/>
          <w:lang w:val="en-US" w:eastAsia="zh-CN"/>
        </w:rPr>
        <w:t xml:space="preserve">13</w:t>
      </w:r>
      <w:r>
        <w:rPr>
          <w:rFonts w:hint="eastAsia" w:ascii="宋体" w:hAnsi="宋体" w:eastAsia="宋体" w:cs="宋体"/>
          <w:b/>
          <w:color w:val="000000" w:themeColor="text1"/>
          <w:sz w:val="24"/>
          <w:szCs w:val="24"/>
          <w:highlight w:val="none"/>
        </w:rPr>
        <w:t xml:space="preserve">、安全责任承诺书</w:t>
      </w:r>
      <w:r>
        <w:rPr>
          <w:color w:val="000000" w:themeColor="text1"/>
        </w:rPr>
      </w:r>
    </w:p>
    <w:p>
      <w:pPr>
        <w:ind w:left="0" w:firstLine="3467"/>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安全责任承诺书</w:t>
      </w:r>
      <w:r>
        <w:rPr>
          <w:color w:val="000000" w:themeColor="text1"/>
        </w:rP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color w:val="000000" w:themeColor="text1"/>
        </w:rPr>
      </w:r>
    </w:p>
    <w:p>
      <w:pPr>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rPr>
      </w:r>
    </w:p>
    <w:p>
      <w:pPr>
        <w:pStyle w:val="1374"/>
        <w:ind w:left="0" w:firstLine="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附件</w:t>
      </w:r>
      <w:r>
        <w:rPr>
          <w:rFonts w:hint="eastAsia" w:ascii="宋体" w:hAnsi="宋体" w:cs="宋体"/>
          <w:b/>
          <w:color w:val="000000" w:themeColor="text1"/>
          <w:sz w:val="24"/>
          <w:szCs w:val="24"/>
          <w:highlight w:val="none"/>
          <w:lang w:val="en-US" w:eastAsia="zh-CN"/>
        </w:rPr>
        <w:t xml:space="preserve">14</w:t>
      </w:r>
      <w:r>
        <w:rPr>
          <w:rFonts w:hint="eastAsia" w:ascii="宋体" w:hAnsi="宋体" w:eastAsia="宋体" w:cs="宋体"/>
          <w:b/>
          <w:color w:val="000000" w:themeColor="text1"/>
          <w:sz w:val="24"/>
          <w:szCs w:val="24"/>
          <w:highlight w:val="none"/>
        </w:rPr>
        <w:t xml:space="preserve">、中小企业声明函</w:t>
      </w:r>
      <w:bookmarkEnd w:id="68"/>
      <w:r>
        <w:rPr>
          <w:color w:val="000000" w:themeColor="text1"/>
        </w:rPr>
      </w:r>
      <w:bookmarkEnd w:id="69"/>
      <w:r>
        <w:rPr>
          <w:color w:val="000000" w:themeColor="text1"/>
        </w:rPr>
      </w:r>
      <w:bookmarkEnd w:id="78"/>
      <w:r>
        <w:rPr>
          <w:color w:val="000000" w:themeColor="text1"/>
        </w:rPr>
      </w:r>
      <w:bookmarkEnd w:id="79"/>
      <w:r>
        <w:rPr>
          <w:color w:val="000000" w:themeColor="text1"/>
        </w:rPr>
      </w:r>
      <w:r>
        <w:rPr>
          <w:color w:val="000000" w:themeColor="text1"/>
        </w:rPr>
      </w:r>
    </w:p>
    <w:p>
      <w:pPr>
        <w:pStyle w:val="1374"/>
        <w:ind w:left="0" w:firstLine="0"/>
        <w:jc w:val="center"/>
        <w:keepLines w:val="0"/>
        <w:keepNext w:val="0"/>
        <w:pageBreakBefore w:val="0"/>
        <w:spacing w:line="360" w:lineRule="auto"/>
        <w:widowControl w:val="off"/>
        <w:rPr>
          <w:rStyle w:val="1360"/>
          <w:rFonts w:hint="eastAsia" w:ascii="宋体" w:hAnsi="宋体" w:eastAsia="宋体" w:cs="宋体"/>
          <w:b/>
          <w:color w:val="000000" w:themeColor="text1"/>
          <w:sz w:val="24"/>
          <w:szCs w:val="24"/>
          <w:highlight w:val="none"/>
        </w:rPr>
        <w:outlineLvl w:val="9"/>
      </w:pPr>
      <w:r>
        <w:rPr>
          <w:rStyle w:val="1360"/>
          <w:rFonts w:hint="eastAsia" w:ascii="宋体" w:hAnsi="宋体" w:eastAsia="宋体" w:cs="宋体"/>
          <w:b/>
          <w:color w:val="000000" w:themeColor="text1"/>
          <w:sz w:val="24"/>
          <w:szCs w:val="24"/>
          <w:highlight w:val="none"/>
        </w:rPr>
        <w:t xml:space="preserve">中小企业声明函</w:t>
      </w:r>
      <w:r>
        <w:rPr>
          <w:color w:val="000000" w:themeColor="text1"/>
        </w:rPr>
      </w:r>
    </w:p>
    <w:p>
      <w:pPr>
        <w:pStyle w:val="1365"/>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365"/>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rPr>
        <w:t xml:space="preserve">采购活动，服务全部由符合政策要求的中小企业承接。相关企业的具体情况如下：</w:t>
      </w:r>
      <w:r>
        <w:rPr>
          <w:color w:val="000000" w:themeColor="text1"/>
        </w:rPr>
      </w:r>
    </w:p>
    <w:p>
      <w:pPr>
        <w:pStyle w:val="1365"/>
        <w:numPr>
          <w:ilvl w:val="0"/>
          <w:numId w:val="0"/>
        </w:num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1.</w:t>
      </w: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其他未列明行业</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（中型企业、小型企业、微型企业）；</w:t>
      </w:r>
      <w:r>
        <w:rPr>
          <w:color w:val="000000" w:themeColor="text1"/>
        </w:rP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p>
    <w:p>
      <w:pPr>
        <w:pStyle w:val="1365"/>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365"/>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p>
    <w:p>
      <w:pPr>
        <w:pStyle w:val="1365"/>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rP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注：从业人员、营业收入、资产总额填报上一年度数据，无上一年度数据的新成立企业可不填报。</w:t>
      </w:r>
      <w:r>
        <w:rPr>
          <w:color w:val="000000" w:themeColor="text1"/>
        </w:rPr>
      </w:r>
    </w:p>
    <w:p>
      <w:pPr>
        <w:pStyle w:val="1335"/>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335"/>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pStyle w:val="1335"/>
        <w:ind w:left="0" w:firstLine="0"/>
        <w:jc w:val="left"/>
        <w:spacing w:line="360" w:lineRule="auto"/>
        <w:rPr>
          <w:rFonts w:hint="eastAsia" w:ascii="宋体" w:hAnsi="宋体" w:cs="宋体"/>
          <w:b/>
          <w:bCs/>
          <w:color w:val="000000" w:themeColor="text1"/>
          <w:sz w:val="21"/>
          <w:szCs w:val="21"/>
          <w:highlight w:val="none"/>
        </w:rPr>
        <w:outlineLvl w:val="1"/>
      </w:pPr>
      <w:r>
        <w:rPr>
          <w:rFonts w:hint="eastAsia" w:ascii="宋体" w:hAnsi="宋体" w:eastAsia="宋体" w:cs="宋体"/>
          <w:b/>
          <w:bCs/>
          <w:color w:val="000000" w:themeColor="text1"/>
          <w:sz w:val="21"/>
          <w:szCs w:val="21"/>
          <w:highlight w:val="none"/>
        </w:rPr>
        <w:br w:type="page" w:clear="all"/>
      </w:r>
      <w:bookmarkStart w:id="82" w:name="_Toc14042"/>
      <w:r>
        <w:rPr>
          <w:color w:val="000000" w:themeColor="text1"/>
        </w:rPr>
      </w:r>
      <w:bookmarkStart w:id="83" w:name="_Toc17742"/>
      <w:r>
        <w:rPr>
          <w:rFonts w:hint="eastAsia" w:ascii="宋体" w:hAnsi="宋体" w:cs="宋体"/>
          <w:b/>
          <w:bCs/>
          <w:color w:val="000000" w:themeColor="text1"/>
          <w:sz w:val="21"/>
          <w:szCs w:val="21"/>
          <w:highlight w:val="none"/>
        </w:rPr>
        <w:t xml:space="preserve">附：中小企业划型标准规定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pStyle w:val="1335"/>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p>
    <w:p>
      <w:pPr>
        <w:pStyle w:val="1335"/>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p>
    <w:p>
      <w:pPr>
        <w:pStyle w:val="1335"/>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p>
    <w:p>
      <w:pPr>
        <w:pStyle w:val="1335"/>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p>
    <w:p>
      <w:pPr>
        <w:pStyle w:val="1335"/>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p>
    <w:p>
      <w:pPr>
        <w:pStyle w:val="1335"/>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p>
    <w:p>
      <w:pPr>
        <w:pStyle w:val="1335"/>
        <w:ind w:left="0" w:right="0" w:firstLine="0"/>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rPr>
        <w:outlineLvl w:val="1"/>
      </w:pPr>
      <w:r>
        <w:rPr>
          <w:rFonts w:hint="eastAsia" w:ascii="宋体" w:hAnsi="宋体" w:eastAsia="宋体" w:cs="宋体"/>
          <w:b/>
          <w:bCs/>
          <w:color w:val="000000" w:themeColor="text1"/>
          <w:sz w:val="21"/>
          <w:szCs w:val="21"/>
          <w:highlight w:val="none"/>
        </w:rPr>
      </w:r>
      <w:r>
        <w:rPr>
          <w:color w:val="000000" w:themeColor="text1"/>
        </w:rPr>
      </w:r>
    </w:p>
    <w:p>
      <w:pPr>
        <w:pStyle w:val="1335"/>
        <w:ind w:left="0" w:right="0" w:firstLine="0"/>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1"/>
          <w:szCs w:val="21"/>
          <w:highlight w:val="none"/>
        </w:rPr>
        <w:br w:type="page" w:clear="all"/>
      </w:r>
      <w:r>
        <w:rPr>
          <w:rFonts w:hint="eastAsia" w:ascii="宋体" w:hAnsi="宋体" w:eastAsia="宋体" w:cs="宋体"/>
          <w:b/>
          <w:bCs/>
          <w:color w:val="000000" w:themeColor="text1"/>
          <w:sz w:val="24"/>
          <w:szCs w:val="24"/>
          <w:highlight w:val="none"/>
        </w:rPr>
        <w:t xml:space="preserve">附件</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zh-CN"/>
        </w:rPr>
        <w:t xml:space="preserve">残疾人福利性单位声明函</w:t>
      </w:r>
      <w:bookmarkEnd w:id="82"/>
      <w:r>
        <w:rPr>
          <w:color w:val="000000" w:themeColor="text1"/>
        </w:rPr>
      </w:r>
      <w:bookmarkEnd w:id="83"/>
      <w:r>
        <w:rPr>
          <w:color w:val="000000" w:themeColor="text1"/>
        </w:rPr>
      </w:r>
      <w:r>
        <w:rPr>
          <w:color w:val="000000" w:themeColor="text1"/>
        </w:rPr>
      </w:r>
    </w:p>
    <w:p>
      <w:pPr>
        <w:ind w:left="0" w:firstLine="0"/>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残疾人福利性单位声明函</w:t>
      </w:r>
      <w:r>
        <w:rPr>
          <w:color w:val="000000" w:themeColor="text1"/>
        </w:rPr>
      </w:r>
    </w:p>
    <w:p>
      <w:pPr>
        <w:ind w:left="0" w:firstLine="480"/>
        <w:spacing w:line="360" w:lineRule="auto"/>
        <w:rPr>
          <w:rFonts w:hint="eastAsia" w:ascii="宋体" w:hAnsi="宋体" w:eastAsia="宋体" w:cs="宋体"/>
          <w:color w:val="000000" w:themeColor="text1"/>
          <w:sz w:val="24"/>
          <w:szCs w:val="24"/>
          <w:highlight w:val="none"/>
          <w:u w:val="single"/>
        </w:rPr>
      </w:pPr>
      <w:r>
        <w:rPr>
          <w:color w:val="000000" w:themeColor="text1"/>
        </w:rPr>
      </w:r>
      <w:bookmarkStart w:id="84" w:name="_Toc15378"/>
      <w:r>
        <w:rPr>
          <w:color w:val="000000" w:themeColor="text1"/>
        </w:rPr>
      </w:r>
      <w:bookmarkStart w:id="85" w:name="_Toc3869"/>
      <w:r>
        <w:rPr>
          <w:color w:val="000000" w:themeColor="text1"/>
        </w:rPr>
      </w:r>
      <w:bookmarkStart w:id="86" w:name="_Toc32206"/>
      <w:r>
        <w:rPr>
          <w:color w:val="000000" w:themeColor="text1"/>
        </w:rPr>
      </w:r>
      <w:r>
        <w:rPr>
          <w:color w:val="000000" w:themeColor="text1"/>
        </w:rP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u w:val="single"/>
          <w:lang w:val="zh-CN"/>
        </w:rPr>
        <w:t xml:space="preserve">江苏正琦工程咨询有限公司</w:t>
      </w:r>
      <w:r>
        <w:rPr>
          <w:rFonts w:hint="eastAsia" w:ascii="宋体" w:hAnsi="宋体" w:eastAsia="宋体" w:cs="宋体"/>
          <w:color w:val="000000" w:themeColor="text1"/>
          <w:sz w:val="24"/>
          <w:szCs w:val="24"/>
          <w:highlight w:val="none"/>
          <w:lang w:val="zh-CN"/>
        </w:rPr>
        <w:t xml:space="preserve">：</w:t>
      </w:r>
      <w:bookmarkEnd w:id="84"/>
      <w:r>
        <w:rPr>
          <w:color w:val="000000" w:themeColor="text1"/>
        </w:rPr>
      </w:r>
      <w:bookmarkEnd w:id="85"/>
      <w:r>
        <w:rPr>
          <w:color w:val="000000" w:themeColor="text1"/>
        </w:rPr>
      </w:r>
      <w:bookmarkEnd w:id="86"/>
      <w:r>
        <w:rPr>
          <w:color w:val="000000" w:themeColor="text1"/>
        </w:rPr>
      </w:r>
      <w:r>
        <w:rPr>
          <w:color w:val="000000" w:themeColor="text1"/>
        </w:rPr>
      </w:r>
    </w:p>
    <w:p>
      <w:pPr>
        <w:ind w:left="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highlight w:val="none"/>
          <w:lang w:val="zh-CN"/>
        </w:rPr>
        <w:t xml:space="preserve">贵中心组织实施的编号为</w:t>
      </w:r>
      <w:r>
        <w:rPr>
          <w:rFonts w:hint="eastAsia" w:ascii="宋体" w:hAnsi="宋体" w:eastAsia="宋体" w:cs="宋体"/>
          <w:color w:val="000000" w:themeColor="text1"/>
          <w:sz w:val="24"/>
          <w:szCs w:val="24"/>
          <w:highlight w:val="none"/>
          <w:u w:val="single"/>
          <w:lang w:val="zh-CN"/>
        </w:rPr>
        <w:t xml:space="preserve">              </w:t>
      </w:r>
      <w:r>
        <w:rPr>
          <w:rFonts w:hint="eastAsia" w:ascii="宋体" w:hAnsi="宋体" w:eastAsia="宋体" w:cs="宋体"/>
          <w:color w:val="000000" w:themeColor="text1"/>
          <w:sz w:val="24"/>
          <w:szCs w:val="24"/>
          <w:highlight w:val="none"/>
          <w:lang w:val="zh-CN"/>
        </w:rPr>
        <w:t xml:space="preserve">号的采购活动</w:t>
      </w:r>
      <w:r>
        <w:rPr>
          <w:rFonts w:hint="eastAsia" w:ascii="宋体" w:hAnsi="宋体" w:eastAsia="宋体" w:cs="宋体"/>
          <w:color w:val="000000" w:themeColor="text1"/>
          <w:sz w:val="24"/>
          <w:szCs w:val="24"/>
          <w:highlight w:val="none"/>
        </w:rPr>
        <w:t xml:space="preserve">提供本单位制造的货物（由本单位承担工程/提供服务），或者提供其他残疾人福利性单位制造的货物（不包括使用非残疾人福利性单位注册商标的货物）。</w:t>
      </w:r>
      <w:r>
        <w:rPr>
          <w:color w:val="000000" w:themeColor="text1"/>
        </w:rP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color w:val="000000" w:themeColor="text1"/>
        </w:rPr>
      </w:r>
    </w:p>
    <w:p>
      <w:pPr>
        <w:pStyle w:val="1371"/>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ind w:left="0" w:right="480"/>
        <w:jc w:val="both"/>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ind w:left="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ind w:left="0" w:right="480"/>
        <w:jc w:val="both"/>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ind w:left="0"/>
        <w:jc w:val="center"/>
        <w:spacing w:line="48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ind w:left="0"/>
        <w:spacing w:line="48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ind w:left="0" w:firstLine="0"/>
        <w:keepLines w:val="0"/>
        <w:keepNext w:val="0"/>
        <w:pageBreakBefore w:val="0"/>
        <w:spacing w:line="480" w:lineRule="auto"/>
        <w:widowControl/>
        <w:rPr>
          <w:rFonts w:ascii="宋体" w:hAnsi="宋体" w:cs="宋体"/>
          <w:color w:val="000000" w:themeColor="text1"/>
          <w:sz w:val="24"/>
          <w:highlight w:val="none"/>
        </w:rPr>
      </w:pPr>
      <w:r>
        <w:rPr>
          <w:color w:val="000000" w:themeColor="text1"/>
        </w:rPr>
      </w:r>
      <w:bookmarkStart w:id="87" w:name="_Toc16554"/>
      <w:r>
        <w:rPr>
          <w:color w:val="000000" w:themeColor="text1"/>
        </w:rPr>
      </w:r>
      <w:bookmarkStart w:id="88" w:name="_Toc31383"/>
      <w:r>
        <w:rPr>
          <w:color w:val="000000" w:themeColor="text1"/>
        </w:rPr>
      </w:r>
      <w:r>
        <w:rPr>
          <w:color w:val="000000" w:themeColor="text1"/>
        </w:rPr>
      </w:r>
    </w:p>
    <w:p>
      <w:pPr>
        <w:ind w:left="0"/>
        <w:jc w:val="left"/>
        <w:keepLines w:val="0"/>
        <w:keepNext w:val="0"/>
        <w:pageBreakBefore w:val="0"/>
        <w:spacing w:line="480" w:lineRule="exact"/>
        <w:widowControl/>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r>
      <w:r>
        <w:rPr>
          <w:color w:val="000000" w:themeColor="text1"/>
        </w:rPr>
      </w:r>
    </w:p>
    <w:p>
      <w:pPr>
        <w:ind w:left="0"/>
        <w:jc w:val="left"/>
        <w:keepLines w:val="0"/>
        <w:keepNext w:val="0"/>
        <w:pageBreakBefore w:val="0"/>
        <w:spacing w:line="480" w:lineRule="exact"/>
        <w:widowControl/>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r>
      <w:r>
        <w:rPr>
          <w:color w:val="000000" w:themeColor="text1"/>
        </w:rPr>
      </w:r>
    </w:p>
    <w:p>
      <w:pPr>
        <w:ind w:left="0"/>
        <w:jc w:val="left"/>
        <w:keepLines w:val="0"/>
        <w:keepNext w:val="0"/>
        <w:pageBreakBefore w:val="0"/>
        <w:spacing w:line="480" w:lineRule="exact"/>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color w:val="000000" w:themeColor="text1"/>
          <w:sz w:val="21"/>
          <w:szCs w:val="21"/>
          <w:highlight w:val="none"/>
        </w:rPr>
        <w:br w:type="page" w:clear="all"/>
      </w:r>
      <w:r>
        <w:rPr>
          <w:rFonts w:hint="eastAsia" w:ascii="宋体" w:hAnsi="宋体" w:eastAsia="宋体" w:cs="宋体"/>
          <w:b/>
          <w:color w:val="000000" w:themeColor="text1"/>
          <w:sz w:val="24"/>
          <w:szCs w:val="24"/>
          <w:highlight w:val="none"/>
        </w:rPr>
        <w:t xml:space="preserve">附件</w:t>
      </w:r>
      <w:r>
        <w:rPr>
          <w:rFonts w:hint="eastAsia" w:ascii="宋体" w:hAnsi="宋体" w:cs="宋体"/>
          <w:b/>
          <w:color w:val="000000" w:themeColor="text1"/>
          <w:sz w:val="24"/>
          <w:szCs w:val="24"/>
          <w:highlight w:val="none"/>
          <w:lang w:val="en-US" w:eastAsia="zh-CN"/>
        </w:rPr>
        <w:t xml:space="preserve">16</w:t>
      </w:r>
      <w:r>
        <w:rPr>
          <w:rFonts w:hint="eastAsia" w:ascii="宋体" w:hAnsi="宋体" w:eastAsia="宋体" w:cs="宋体"/>
          <w:b/>
          <w:color w:val="000000" w:themeColor="text1"/>
          <w:sz w:val="24"/>
          <w:szCs w:val="24"/>
          <w:highlight w:val="none"/>
        </w:rPr>
        <w:t xml:space="preserve">、企业类似项目一览表</w:t>
      </w:r>
      <w:bookmarkEnd w:id="87"/>
      <w:r>
        <w:rPr>
          <w:color w:val="000000" w:themeColor="text1"/>
        </w:rPr>
      </w:r>
      <w:bookmarkEnd w:id="88"/>
      <w:r>
        <w:rPr>
          <w:color w:val="000000" w:themeColor="text1"/>
        </w:rPr>
      </w:r>
      <w:r>
        <w:rPr>
          <w:color w:val="000000" w:themeColor="text1"/>
        </w:rPr>
      </w:r>
    </w:p>
    <w:p>
      <w:pPr>
        <w:ind w:left="0"/>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ind w:left="0"/>
        <w:jc w:val="center"/>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企业类似项目一览表</w:t>
      </w:r>
      <w:r>
        <w:rPr>
          <w:color w:val="000000" w:themeColor="text1"/>
        </w:rPr>
      </w:r>
    </w:p>
    <w:p>
      <w:pPr>
        <w:ind w:left="0"/>
        <w:jc w:val="center"/>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bl>
      <w:tblPr>
        <w:tblStyle w:val="11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2146"/>
        <w:gridCol w:w="1065"/>
      </w:tblGrid>
      <w:tr>
        <w:trPr>
          <w:jc w:val="center"/>
          <w:trHeight w:val="793"/>
        </w:trPr>
        <w:tc>
          <w:tcPr>
            <w:tcW w:w="861" w:type="dxa"/>
            <w:vAlign w:val="center"/>
            <w:textDirection w:val="lrTb"/>
            <w:noWrap w:val="false"/>
          </w:tcPr>
          <w:p>
            <w:pPr>
              <w:pStyle w:val="1151"/>
              <w:ind w:left="0" w:firstLine="0"/>
              <w:jc w:val="center"/>
              <w:spacing w:before="120" w:after="120"/>
              <w:widowControl w:val="off"/>
              <w:rPr>
                <w:rFonts w:hint="eastAsia" w:ascii="宋体" w:hAnsi="宋体" w:eastAsia="宋体" w:cs="Times New Roman"/>
                <w:bCs/>
                <w:color w:val="000000" w:themeColor="text1"/>
                <w:szCs w:val="22"/>
                <w:highlight w:val="none"/>
              </w:rPr>
            </w:pPr>
            <w:r>
              <w:rPr>
                <w:rFonts w:hint="default" w:ascii="宋体" w:hAnsi="宋体" w:eastAsia="宋体" w:cs="Times New Roman"/>
                <w:bCs/>
                <w:color w:val="000000" w:themeColor="text1"/>
                <w:szCs w:val="22"/>
                <w:highlight w:val="none"/>
                <w:lang w:val="en-US" w:eastAsia="zh-CN"/>
              </w:rPr>
              <w:t xml:space="preserve">序号</w:t>
            </w:r>
            <w:r>
              <w:rPr>
                <w:color w:val="000000" w:themeColor="text1"/>
              </w:rPr>
            </w:r>
          </w:p>
        </w:tc>
        <w:tc>
          <w:tcPr>
            <w:tcW w:w="1649" w:type="dxa"/>
            <w:vAlign w:val="center"/>
            <w:textDirection w:val="lrTb"/>
            <w:noWrap w:val="false"/>
          </w:tcPr>
          <w:p>
            <w:pPr>
              <w:pStyle w:val="1151"/>
              <w:ind w:left="0" w:firstLine="0"/>
              <w:jc w:val="center"/>
              <w:spacing w:before="120" w:after="120"/>
              <w:widowControl w:val="off"/>
              <w:rPr>
                <w:rFonts w:hint="eastAsia" w:ascii="宋体" w:hAnsi="宋体" w:eastAsia="宋体" w:cs="Times New Roman"/>
                <w:bCs/>
                <w:color w:val="000000" w:themeColor="text1"/>
                <w:szCs w:val="22"/>
                <w:highlight w:val="none"/>
              </w:rPr>
            </w:pPr>
            <w:r>
              <w:rPr>
                <w:rFonts w:hint="default" w:ascii="宋体" w:hAnsi="宋体" w:eastAsia="宋体" w:cs="Times New Roman"/>
                <w:bCs/>
                <w:color w:val="000000" w:themeColor="text1"/>
                <w:szCs w:val="22"/>
                <w:highlight w:val="none"/>
                <w:lang w:val="en-US" w:eastAsia="zh-CN"/>
              </w:rPr>
              <w:t xml:space="preserve">项目名称</w:t>
            </w:r>
            <w:r>
              <w:rPr>
                <w:color w:val="000000" w:themeColor="text1"/>
              </w:rPr>
            </w:r>
          </w:p>
        </w:tc>
        <w:tc>
          <w:tcPr>
            <w:tcW w:w="1506" w:type="dxa"/>
            <w:vAlign w:val="center"/>
            <w:textDirection w:val="lrTb"/>
            <w:noWrap w:val="false"/>
          </w:tcPr>
          <w:p>
            <w:pPr>
              <w:pStyle w:val="1151"/>
              <w:ind w:left="0" w:firstLine="0"/>
              <w:jc w:val="center"/>
              <w:spacing w:before="120" w:after="120"/>
              <w:widowControl w:val="off"/>
              <w:rPr>
                <w:rFonts w:hint="eastAsia" w:ascii="宋体" w:hAnsi="宋体" w:eastAsia="宋体" w:cs="Times New Roman"/>
                <w:bCs/>
                <w:color w:val="000000" w:themeColor="text1"/>
                <w:szCs w:val="22"/>
                <w:highlight w:val="none"/>
              </w:rPr>
            </w:pPr>
            <w:r>
              <w:rPr>
                <w:rFonts w:hint="eastAsia" w:ascii="宋体" w:hAnsi="宋体" w:eastAsia="宋体" w:cs="Times New Roman"/>
                <w:bCs/>
                <w:color w:val="000000" w:themeColor="text1"/>
                <w:szCs w:val="22"/>
                <w:highlight w:val="none"/>
                <w:lang w:val="en-US" w:eastAsia="zh-CN"/>
              </w:rPr>
              <w:t xml:space="preserve">采购单位</w:t>
            </w:r>
            <w:r>
              <w:rPr>
                <w:color w:val="000000" w:themeColor="text1"/>
              </w:rPr>
            </w:r>
          </w:p>
        </w:tc>
        <w:tc>
          <w:tcPr>
            <w:tcW w:w="1506" w:type="dxa"/>
            <w:vAlign w:val="center"/>
            <w:textDirection w:val="lrTb"/>
            <w:noWrap w:val="false"/>
          </w:tcPr>
          <w:p>
            <w:pPr>
              <w:pStyle w:val="1151"/>
              <w:ind w:left="0" w:firstLine="0"/>
              <w:jc w:val="center"/>
              <w:spacing w:before="120" w:after="120"/>
              <w:widowControl w:val="off"/>
              <w:rPr>
                <w:rFonts w:hint="eastAsia" w:ascii="宋体" w:hAnsi="宋体" w:eastAsia="宋体" w:cs="Times New Roman"/>
                <w:bCs/>
                <w:color w:val="000000" w:themeColor="text1"/>
                <w:szCs w:val="22"/>
                <w:highlight w:val="none"/>
              </w:rPr>
            </w:pPr>
            <w:r>
              <w:rPr>
                <w:rFonts w:hint="eastAsia" w:ascii="宋体" w:hAnsi="宋体" w:eastAsia="宋体" w:cs="Times New Roman"/>
                <w:bCs/>
                <w:color w:val="000000" w:themeColor="text1"/>
                <w:szCs w:val="22"/>
                <w:highlight w:val="none"/>
                <w:lang w:val="en-US" w:eastAsia="zh-CN"/>
              </w:rPr>
              <w:t xml:space="preserve">签订时间</w:t>
            </w:r>
            <w:r>
              <w:rPr>
                <w:color w:val="000000" w:themeColor="text1"/>
              </w:rPr>
            </w:r>
          </w:p>
        </w:tc>
        <w:tc>
          <w:tcPr>
            <w:tcW w:w="2146" w:type="dxa"/>
            <w:vAlign w:val="center"/>
            <w:textDirection w:val="lrTb"/>
            <w:noWrap w:val="false"/>
          </w:tcPr>
          <w:p>
            <w:pPr>
              <w:pStyle w:val="1151"/>
              <w:ind w:left="0" w:firstLine="0"/>
              <w:jc w:val="center"/>
              <w:spacing w:before="120" w:after="120"/>
              <w:widowControl w:val="off"/>
              <w:rPr>
                <w:rFonts w:hint="eastAsia" w:ascii="宋体" w:hAnsi="宋体" w:eastAsia="宋体" w:cs="Times New Roman"/>
                <w:bCs/>
                <w:color w:val="000000" w:themeColor="text1"/>
                <w:szCs w:val="22"/>
                <w:highlight w:val="none"/>
              </w:rPr>
            </w:pPr>
            <w:r>
              <w:rPr>
                <w:rFonts w:hint="default" w:ascii="宋体" w:hAnsi="宋体" w:eastAsia="宋体" w:cs="Times New Roman"/>
                <w:bCs/>
                <w:color w:val="000000" w:themeColor="text1"/>
                <w:szCs w:val="22"/>
                <w:highlight w:val="none"/>
                <w:lang w:val="en-US" w:eastAsia="zh-CN"/>
              </w:rPr>
              <w:t xml:space="preserve">合同金额（万元）</w:t>
            </w:r>
            <w:r>
              <w:rPr>
                <w:color w:val="000000" w:themeColor="text1"/>
              </w:rPr>
            </w:r>
          </w:p>
        </w:tc>
        <w:tc>
          <w:tcPr>
            <w:tcW w:w="1065" w:type="dxa"/>
            <w:vAlign w:val="center"/>
            <w:textDirection w:val="lrTb"/>
            <w:noWrap w:val="false"/>
          </w:tcPr>
          <w:p>
            <w:pPr>
              <w:pStyle w:val="1151"/>
              <w:ind w:left="0" w:firstLine="0"/>
              <w:jc w:val="center"/>
              <w:spacing w:before="120" w:after="120"/>
              <w:widowControl w:val="off"/>
              <w:rPr>
                <w:rFonts w:hint="eastAsia" w:ascii="宋体" w:hAnsi="宋体" w:eastAsia="宋体" w:cs="Times New Roman"/>
                <w:bCs/>
                <w:color w:val="000000" w:themeColor="text1"/>
                <w:szCs w:val="22"/>
                <w:highlight w:val="none"/>
              </w:rPr>
            </w:pPr>
            <w:r>
              <w:rPr>
                <w:rFonts w:hint="default" w:ascii="宋体" w:hAnsi="宋体" w:eastAsia="宋体" w:cs="Times New Roman"/>
                <w:bCs/>
                <w:color w:val="000000" w:themeColor="text1"/>
                <w:szCs w:val="22"/>
                <w:highlight w:val="none"/>
                <w:lang w:val="en-US" w:eastAsia="zh-CN"/>
              </w:rPr>
              <w:t xml:space="preserve">备注</w:t>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14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bl>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ind w:left="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keepLines w:val="0"/>
        <w:keepNext w:val="0"/>
        <w:pageBreakBefore w:val="0"/>
        <w:widowControl w:val="off"/>
        <w:rPr>
          <w:rFonts w:hint="eastAsia" w:ascii="宋体" w:hAnsi="宋体" w:eastAsia="宋体" w:cs="宋体"/>
          <w:b/>
          <w:color w:val="000000" w:themeColor="text1"/>
          <w:sz w:val="24"/>
          <w:szCs w:val="24"/>
          <w:highlight w:val="none"/>
        </w:rPr>
        <w:outlineLvl w:val="1"/>
      </w:pPr>
      <w:r>
        <w:rPr>
          <w:rFonts w:hint="eastAsia" w:ascii="宋体" w:hAnsi="宋体" w:eastAsia="宋体" w:cs="宋体"/>
          <w:color w:val="000000" w:themeColor="text1"/>
          <w:sz w:val="21"/>
          <w:szCs w:val="21"/>
          <w:highlight w:val="none"/>
        </w:rPr>
        <w:br w:type="page" w:clear="all"/>
      </w:r>
      <w:bookmarkStart w:id="89" w:name="_Toc9516"/>
      <w:r>
        <w:rPr>
          <w:color w:val="000000" w:themeColor="text1"/>
        </w:rPr>
      </w:r>
      <w:bookmarkStart w:id="90" w:name="_Toc346"/>
      <w:r>
        <w:rPr>
          <w:rFonts w:hint="eastAsia" w:ascii="宋体" w:hAnsi="宋体" w:eastAsia="宋体" w:cs="宋体"/>
          <w:b/>
          <w:color w:val="000000" w:themeColor="text1"/>
          <w:sz w:val="24"/>
          <w:szCs w:val="24"/>
          <w:highlight w:val="none"/>
          <w:lang w:val="en-US" w:eastAsia="zh-CN"/>
        </w:rPr>
        <w:t xml:space="preserve">附件</w:t>
      </w:r>
      <w:r>
        <w:rPr>
          <w:rFonts w:hint="eastAsia" w:ascii="宋体" w:hAnsi="宋体" w:cs="宋体"/>
          <w:b/>
          <w:color w:val="000000" w:themeColor="text1"/>
          <w:sz w:val="24"/>
          <w:szCs w:val="24"/>
          <w:highlight w:val="none"/>
          <w:lang w:val="en-US" w:eastAsia="zh-CN"/>
        </w:rPr>
        <w:t xml:space="preserve">17</w:t>
      </w:r>
      <w:r>
        <w:rPr>
          <w:rFonts w:hint="eastAsia" w:ascii="宋体" w:hAnsi="宋体" w:eastAsia="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rPr>
        <w:t xml:space="preserve">响应单位与其他单位存在控股、管理关系情况表</w:t>
      </w:r>
      <w:bookmarkEnd w:id="89"/>
      <w:r>
        <w:rPr>
          <w:color w:val="000000" w:themeColor="text1"/>
        </w:rPr>
      </w:r>
      <w:bookmarkEnd w:id="90"/>
      <w:r>
        <w:rPr>
          <w:color w:val="000000" w:themeColor="text1"/>
        </w:rPr>
      </w:r>
      <w:r>
        <w:rPr>
          <w:color w:val="000000" w:themeColor="text1"/>
        </w:rPr>
      </w:r>
    </w:p>
    <w:p>
      <w:pPr>
        <w:pStyle w:val="1338"/>
        <w:ind w:firstLine="0"/>
        <w:jc w:val="left"/>
        <w:keepLines w:val="0"/>
        <w:keepNext w:val="0"/>
        <w:pageBreakBefore w:val="0"/>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jc w:val="center"/>
        <w:keepLines w:val="0"/>
        <w:keepNext w:val="0"/>
        <w:pageBreakBefore w:val="0"/>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响应单位与其他单位存在控股、管理关系情况表</w:t>
      </w:r>
      <w:r>
        <w:rPr>
          <w:color w:val="000000" w:themeColor="text1"/>
        </w:rPr>
      </w:r>
    </w:p>
    <w:tbl>
      <w:tblPr>
        <w:tblStyle w:val="1149"/>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firstLine="0"/>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与</w:t>
            </w:r>
            <w:r>
              <w:rPr>
                <w:rFonts w:hint="eastAsia" w:ascii="宋体" w:hAnsi="宋体" w:eastAsia="宋体" w:cs="宋体"/>
                <w:b/>
                <w:bCs/>
                <w:color w:val="000000" w:themeColor="text1"/>
                <w:sz w:val="24"/>
                <w:szCs w:val="24"/>
                <w:highlight w:val="none"/>
                <w:lang w:val="en-US" w:eastAsia="zh-CN"/>
              </w:rPr>
              <w:t xml:space="preserve">响应</w:t>
            </w:r>
            <w:r>
              <w:rPr>
                <w:rFonts w:hint="eastAsia" w:ascii="宋体" w:hAnsi="宋体" w:eastAsia="宋体" w:cs="宋体"/>
                <w:b/>
                <w:bCs/>
                <w:color w:val="000000" w:themeColor="text1"/>
                <w:sz w:val="24"/>
                <w:szCs w:val="24"/>
                <w:highlight w:val="none"/>
              </w:rPr>
              <w:t xml:space="preserve">单位存在控股、管理关系的单位名称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firstLine="0"/>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控股、管理关系情况说明</w:t>
            </w:r>
            <w:r>
              <w:rPr>
                <w:color w:val="000000" w:themeColor="text1"/>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c>
      </w:tr>
    </w:tbl>
    <w:p>
      <w:pPr>
        <w:ind w:left="0" w:firstLine="482"/>
        <w:jc w:val="left"/>
        <w:keepLines w:val="0"/>
        <w:keepNext w:val="0"/>
        <w:pageBreakBefore w:val="0"/>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注：响应单位应当按实填写所有与之有控股、管理关系的情况。</w:t>
      </w:r>
      <w:r>
        <w:rPr>
          <w:color w:val="000000" w:themeColor="text1"/>
        </w:rPr>
      </w:r>
    </w:p>
    <w:p>
      <w:pPr>
        <w:jc w:val="left"/>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p>
    <w:p>
      <w:pPr>
        <w:pStyle w:val="1338"/>
        <w:ind w:left="0" w:firstLine="0"/>
        <w:rPr>
          <w:rFonts w:hint="eastAsia"/>
          <w:color w:val="000000" w:themeColor="text1"/>
          <w:highlight w:val="none"/>
        </w:rPr>
      </w:pPr>
      <w:r>
        <w:rPr>
          <w:rFonts w:hint="eastAsia"/>
          <w:color w:val="000000" w:themeColor="text1"/>
          <w:highlight w:val="none"/>
        </w:rPr>
      </w:r>
      <w:r>
        <w:rPr>
          <w:color w:val="000000" w:themeColor="text1"/>
        </w:rPr>
      </w:r>
    </w:p>
    <w:p>
      <w:pPr>
        <w:ind w:left="0"/>
        <w:jc w:val="center"/>
        <w:spacing w:line="360" w:lineRule="auto"/>
        <w:rPr>
          <w:rFonts w:hint="eastAsia" w:ascii="宋体" w:hAnsi="宋体" w:eastAsia="宋体" w:cs="宋体"/>
          <w:b/>
          <w:color w:val="000000" w:themeColor="text1"/>
          <w:sz w:val="44"/>
          <w:szCs w:val="44"/>
          <w:highlight w:val="none"/>
        </w:rPr>
        <w:outlineLvl w:val="9"/>
      </w:pPr>
      <w:r>
        <w:rPr>
          <w:color w:val="000000" w:themeColor="text1"/>
        </w:rPr>
      </w:r>
      <w:bookmarkStart w:id="91" w:name="_Toc4098"/>
      <w:r>
        <w:rPr>
          <w:color w:val="000000" w:themeColor="text1"/>
        </w:rPr>
      </w:r>
      <w:bookmarkStart w:id="92" w:name="_Toc23660"/>
      <w:r>
        <w:rPr>
          <w:color w:val="000000" w:themeColor="text1"/>
        </w:rPr>
      </w:r>
      <w:bookmarkStart w:id="93" w:name="_Toc58248882"/>
      <w:r>
        <w:rPr>
          <w:color w:val="000000" w:themeColor="text1"/>
        </w:rPr>
      </w:r>
      <w:bookmarkStart w:id="94" w:name="_Toc57376408"/>
      <w:r>
        <w:rPr>
          <w:color w:val="000000" w:themeColor="text1"/>
        </w:rPr>
      </w:r>
      <w:bookmarkStart w:id="95" w:name="_Toc6898"/>
      <w:r>
        <w:rPr>
          <w:rFonts w:hint="eastAsia" w:ascii="宋体" w:hAnsi="宋体" w:eastAsia="宋体" w:cs="宋体"/>
          <w:b/>
          <w:color w:val="000000" w:themeColor="text1"/>
          <w:sz w:val="44"/>
          <w:szCs w:val="44"/>
          <w:highlight w:val="none"/>
        </w:rPr>
        <w:br w:type="page" w:clear="all"/>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numPr>
          <w:ilvl w:val="0"/>
          <w:numId w:val="3"/>
        </w:numPr>
        <w:ind w:left="0"/>
        <w:jc w:val="center"/>
        <w:spacing w:line="360" w:lineRule="auto"/>
        <w:rPr>
          <w:rFonts w:hint="eastAsia" w:ascii="宋体" w:hAnsi="宋体" w:eastAsia="宋体" w:cs="宋体"/>
          <w:b/>
          <w:color w:val="000000" w:themeColor="text1"/>
          <w:sz w:val="44"/>
          <w:szCs w:val="44"/>
          <w:highlight w:val="none"/>
        </w:rPr>
        <w:outlineLvl w:val="0"/>
      </w:pPr>
      <w:r>
        <w:rPr>
          <w:rFonts w:hint="eastAsia" w:ascii="宋体" w:hAnsi="宋体" w:eastAsia="宋体" w:cs="宋体"/>
          <w:b/>
          <w:color w:val="000000" w:themeColor="text1"/>
          <w:sz w:val="44"/>
          <w:szCs w:val="44"/>
          <w:highlight w:val="none"/>
        </w:rPr>
        <w:t xml:space="preserve"> </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Start w:id="96" w:name="招标书"/>
      <w:r>
        <w:rPr>
          <w:color w:val="000000" w:themeColor="text1"/>
        </w:rPr>
      </w:r>
      <w:bookmarkEnd w:id="96"/>
      <w:r>
        <w:rPr>
          <w:color w:val="000000" w:themeColor="text1"/>
        </w:rPr>
      </w:r>
      <w:bookmarkStart w:id="97" w:name="_Toc19236"/>
      <w:r>
        <w:rPr>
          <w:color w:val="000000" w:themeColor="text1"/>
        </w:rPr>
      </w:r>
      <w:bookmarkStart w:id="98" w:name="_Toc31953"/>
      <w:r>
        <w:rPr>
          <w:color w:val="000000" w:themeColor="text1"/>
        </w:rPr>
      </w:r>
      <w:bookmarkStart w:id="99" w:name="_Toc18918"/>
      <w:r>
        <w:rPr>
          <w:rFonts w:hint="eastAsia" w:ascii="宋体" w:hAnsi="宋体" w:eastAsia="宋体" w:cs="宋体"/>
          <w:b/>
          <w:color w:val="000000" w:themeColor="text1"/>
          <w:sz w:val="44"/>
          <w:szCs w:val="44"/>
          <w:highlight w:val="none"/>
        </w:rPr>
        <w:t xml:space="preserve">采购内容</w:t>
      </w:r>
      <w:bookmarkEnd w:id="95"/>
      <w:r>
        <w:rPr>
          <w:color w:val="000000" w:themeColor="text1"/>
        </w:rPr>
      </w:r>
      <w:bookmarkEnd w:id="97"/>
      <w:r>
        <w:rPr>
          <w:color w:val="000000" w:themeColor="text1"/>
        </w:rPr>
      </w:r>
      <w:bookmarkEnd w:id="98"/>
      <w:r>
        <w:rPr>
          <w:color w:val="000000" w:themeColor="text1"/>
        </w:rPr>
      </w:r>
      <w:bookmarkEnd w:id="99"/>
      <w:r>
        <w:rPr>
          <w:color w:val="000000" w:themeColor="text1"/>
        </w:rPr>
      </w:r>
      <w:r>
        <w:rPr>
          <w:color w:val="000000" w:themeColor="text1"/>
        </w:rPr>
      </w:r>
    </w:p>
    <w:p>
      <w:pPr>
        <w:pStyle w:val="1338"/>
        <w:numPr>
          <w:ilvl w:val="0"/>
          <w:numId w:val="0"/>
        </w:numPr>
        <w:ind w:left="2560"/>
        <w:rPr>
          <w:rFonts w:hint="eastAsia"/>
          <w:color w:val="000000" w:themeColor="text1"/>
          <w:highlight w:val="none"/>
        </w:rPr>
      </w:pPr>
      <w:r>
        <w:rPr>
          <w:rFonts w:hint="eastAsia"/>
          <w:color w:val="000000" w:themeColor="text1"/>
          <w:highlight w:val="none"/>
        </w:rPr>
      </w:r>
      <w:r>
        <w:rPr>
          <w:color w:val="000000" w:themeColor="text1"/>
        </w:rPr>
      </w:r>
    </w:p>
    <w:p>
      <w:pPr>
        <w:ind w:left="0" w:firstLine="0"/>
        <w:jc w:val="center"/>
        <w:keepLines w:val="0"/>
        <w:keepNext w:val="0"/>
        <w:pageBreakBefore w:val="0"/>
        <w:spacing w:line="360" w:lineRule="auto"/>
        <w:widowControl/>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br w:type="page" w:clear="all"/>
      </w:r>
      <w:r>
        <w:rPr>
          <w:rStyle w:val="1360"/>
          <w:rFonts w:ascii="宋体" w:hAnsi="宋体" w:eastAsia="宋体"/>
          <w:b/>
          <w:color w:val="000000" w:themeColor="text1"/>
          <w:sz w:val="28"/>
          <w:szCs w:val="28"/>
          <w:highlight w:val="none"/>
        </w:rPr>
        <w:t xml:space="preserve">采购内容</w:t>
      </w:r>
      <w:r>
        <w:rPr>
          <w:color w:val="000000" w:themeColor="text1"/>
        </w:rPr>
      </w:r>
    </w:p>
    <w:p>
      <w:pPr>
        <w:ind w:left="0" w:firstLine="480"/>
        <w:jc w:val="both"/>
        <w:keepLines w:val="0"/>
        <w:keepNext w:val="0"/>
        <w:pageBreakBefore w:val="0"/>
        <w:spacing w:line="351"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eastAsia="zh-CN"/>
        </w:rPr>
        <w:t xml:space="preserve">江苏正琦工程咨询有限公司</w:t>
      </w:r>
      <w:r>
        <w:rPr>
          <w:rFonts w:hint="eastAsia" w:ascii="宋体" w:hAnsi="宋体" w:eastAsia="宋体" w:cs="宋体"/>
          <w:color w:val="000000" w:themeColor="text1"/>
          <w:sz w:val="24"/>
          <w:szCs w:val="24"/>
          <w:highlight w:val="none"/>
        </w:rPr>
        <w:t xml:space="preserve">受</w:t>
      </w:r>
      <w:r>
        <w:rPr>
          <w:rFonts w:hint="eastAsia" w:ascii="宋体" w:hAnsi="宋体" w:cs="宋体"/>
          <w:color w:val="000000" w:themeColor="text1"/>
          <w:sz w:val="24"/>
          <w:szCs w:val="24"/>
          <w:highlight w:val="none"/>
          <w:u w:val="single"/>
          <w:lang w:val="en-US" w:eastAsia="zh-CN"/>
        </w:rPr>
        <w:t xml:space="preserve">苏州市吴中区甪直镇人民政府</w:t>
      </w:r>
      <w:r>
        <w:rPr>
          <w:rFonts w:hint="eastAsia" w:ascii="宋体" w:hAnsi="宋体" w:eastAsia="宋体" w:cs="宋体"/>
          <w:color w:val="000000" w:themeColor="text1"/>
          <w:sz w:val="24"/>
          <w:szCs w:val="24"/>
          <w:highlight w:val="none"/>
        </w:rPr>
        <w:t xml:space="preserve">的委托，就其拟采购的</w:t>
      </w:r>
      <w:r>
        <w:rPr>
          <w:rFonts w:hint="eastAsia" w:ascii="宋体" w:hAnsi="宋体" w:cs="宋体"/>
          <w:color w:val="000000" w:themeColor="text1"/>
          <w:sz w:val="24"/>
          <w:szCs w:val="24"/>
          <w:highlight w:val="none"/>
          <w:u w:val="single"/>
          <w:lang w:val="en-US" w:eastAsia="zh-CN"/>
        </w:rPr>
        <w:t xml:space="preserve">2026-2027年度绕城高速甪直、车坊段绿化养护</w:t>
      </w:r>
      <w:r>
        <w:rPr>
          <w:rFonts w:hint="eastAsia" w:ascii="宋体" w:hAnsi="宋体" w:eastAsia="宋体" w:cs="宋体"/>
          <w:color w:val="000000" w:themeColor="text1"/>
          <w:sz w:val="24"/>
          <w:szCs w:val="24"/>
          <w:highlight w:val="none"/>
          <w:u w:val="none"/>
        </w:rPr>
        <w:t xml:space="preserve">采</w:t>
      </w:r>
      <w:r>
        <w:rPr>
          <w:rFonts w:hint="eastAsia" w:ascii="宋体" w:hAnsi="宋体" w:eastAsia="宋体" w:cs="宋体"/>
          <w:color w:val="000000" w:themeColor="text1"/>
          <w:sz w:val="24"/>
          <w:szCs w:val="24"/>
          <w:highlight w:val="none"/>
        </w:rPr>
        <w:t xml:space="preserve">用竞争性磋商方式进行采购。欢迎符合资格条件的供应商前来报名参加磋商。</w:t>
      </w:r>
      <w:r>
        <w:rPr>
          <w:color w:val="000000" w:themeColor="text1"/>
        </w:rPr>
      </w:r>
    </w:p>
    <w:p>
      <w:pPr>
        <w:ind w:left="0" w:firstLine="0"/>
        <w:keepLines w:val="0"/>
        <w:keepNext w:val="0"/>
        <w:pageBreakBefore w:val="0"/>
        <w:spacing w:line="351" w:lineRule="auto"/>
        <w:widowControl w:val="off"/>
        <w:rPr>
          <w:rFonts w:hint="default" w:ascii="宋体" w:hAnsi="宋体" w:cs="宋体"/>
          <w:b/>
          <w:bCs/>
          <w:color w:val="000000" w:themeColor="text1"/>
          <w:sz w:val="24"/>
          <w:szCs w:val="24"/>
          <w:highlight w:val="none"/>
        </w:rPr>
        <w:outlineLvl w:val="1"/>
      </w:pPr>
      <w:r>
        <w:rPr>
          <w:color w:val="000000" w:themeColor="text1"/>
        </w:rPr>
      </w:r>
      <w:bookmarkStart w:id="100" w:name="_Toc4893"/>
      <w:r>
        <w:rPr>
          <w:color w:val="000000" w:themeColor="text1"/>
        </w:rPr>
      </w:r>
      <w:bookmarkStart w:id="101" w:name="_Toc14261"/>
      <w:r>
        <w:rPr>
          <w:color w:val="000000" w:themeColor="text1"/>
        </w:rPr>
      </w:r>
      <w:bookmarkStart w:id="102" w:name="_Toc30080"/>
      <w:r>
        <w:rPr>
          <w:color w:val="000000" w:themeColor="text1"/>
        </w:rPr>
      </w:r>
      <w:bookmarkStart w:id="103" w:name="_Toc63066515"/>
      <w:r>
        <w:rPr>
          <w:color w:val="000000" w:themeColor="text1"/>
        </w:rPr>
      </w:r>
      <w:bookmarkStart w:id="104" w:name="_Toc8564"/>
      <w:r>
        <w:rPr>
          <w:color w:val="000000" w:themeColor="text1"/>
        </w:rPr>
      </w:r>
      <w:bookmarkStart w:id="105" w:name="_Toc58248884"/>
      <w:r>
        <w:rPr>
          <w:color w:val="000000" w:themeColor="text1"/>
        </w:rPr>
      </w:r>
      <w:bookmarkStart w:id="106" w:name="_Toc27667"/>
      <w:r>
        <w:rPr>
          <w:color w:val="000000" w:themeColor="text1"/>
        </w:rPr>
      </w:r>
      <w:bookmarkStart w:id="107" w:name="_Toc57376410"/>
      <w:r>
        <w:rPr>
          <w:rFonts w:hint="eastAsia" w:ascii="宋体" w:hAnsi="宋体" w:cs="宋体"/>
          <w:b/>
          <w:bCs/>
          <w:color w:val="000000" w:themeColor="text1"/>
          <w:sz w:val="24"/>
          <w:szCs w:val="24"/>
          <w:highlight w:val="none"/>
          <w:lang w:val="en-US" w:eastAsia="zh-CN"/>
        </w:rPr>
        <w:t xml:space="preserve">一、项目基本情况：</w:t>
      </w:r>
      <w:bookmarkEnd w:id="100"/>
      <w:r>
        <w:rPr>
          <w:color w:val="000000" w:themeColor="text1"/>
        </w:rPr>
      </w:r>
      <w:bookmarkEnd w:id="101"/>
      <w:r>
        <w:rPr>
          <w:color w:val="000000" w:themeColor="text1"/>
        </w:rPr>
      </w:r>
      <w:bookmarkEnd w:id="102"/>
      <w:r>
        <w:rPr>
          <w:color w:val="000000" w:themeColor="text1"/>
        </w:rPr>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1、采购编号：JSZC-320506-JSZQ-C2026-0008</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2、项目名称：2026-2027年度绕城高速甪直、车坊段绿化养护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3、采购预算：人民币壹佰伍拾陆万柒仟伍佰捌拾玖元整（¥1567589.00）</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4、最高限价：人民币壹佰伍拾陆万柒仟伍佰捌拾玖元整（¥1567589.00）</w:t>
      </w:r>
      <w:r>
        <w:rPr>
          <w:color w:val="000000" w:themeColor="text1"/>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5、服务期限：绕城高速甪直</w:t>
      </w:r>
      <w:r>
        <w:rPr>
          <w:rFonts w:hint="eastAsia" w:ascii="宋体" w:hAnsi="宋体" w:cs="宋体"/>
          <w:color w:val="000000" w:themeColor="text1"/>
          <w:sz w:val="24"/>
          <w:szCs w:val="24"/>
          <w:highlight w:val="none"/>
          <w:lang w:val="en-US" w:eastAsia="zh-CN"/>
        </w:rPr>
        <w:t xml:space="preserve">段绿化养护期12个月、</w:t>
      </w:r>
      <w:r>
        <w:rPr>
          <w:rFonts w:hint="eastAsia" w:ascii="宋体" w:hAnsi="宋体" w:eastAsia="宋体" w:cs="宋体"/>
          <w:color w:val="000000" w:themeColor="text1"/>
          <w:sz w:val="24"/>
          <w:szCs w:val="24"/>
          <w:highlight w:val="none"/>
          <w:lang w:val="en-US" w:eastAsia="zh-CN"/>
        </w:rPr>
        <w:t xml:space="preserve">绕城高速</w:t>
      </w:r>
      <w:r>
        <w:rPr>
          <w:rFonts w:hint="eastAsia" w:ascii="宋体" w:hAnsi="宋体" w:cs="宋体"/>
          <w:color w:val="000000" w:themeColor="text1"/>
          <w:sz w:val="24"/>
          <w:szCs w:val="24"/>
          <w:highlight w:val="none"/>
          <w:lang w:val="en-US" w:eastAsia="zh-CN"/>
        </w:rPr>
        <w:t xml:space="preserve">车坊段绿化养护期10个月</w:t>
      </w:r>
      <w:r>
        <w:rPr>
          <w:rFonts w:hint="eastAsia" w:ascii="宋体" w:hAnsi="宋体" w:eastAsia="宋体" w:cs="宋体"/>
          <w:color w:val="000000" w:themeColor="text1"/>
          <w:sz w:val="24"/>
          <w:szCs w:val="24"/>
          <w:highlight w:val="none"/>
          <w:lang w:eastAsia="zh-CN"/>
        </w:rPr>
        <w:t xml:space="preserve">（具体以采购单位通知时间为准）</w:t>
      </w:r>
      <w:r>
        <w:rPr>
          <w:rFonts w:hint="eastAsia" w:ascii="宋体" w:hAnsi="宋体" w:cs="宋体"/>
          <w:color w:val="000000" w:themeColor="text1"/>
          <w:sz w:val="24"/>
          <w:szCs w:val="24"/>
          <w:highlight w:val="none"/>
          <w:lang w:eastAsia="zh-CN"/>
        </w:rPr>
        <w:t xml:space="preserve">。</w:t>
      </w:r>
      <w:r>
        <w:rPr>
          <w:color w:val="000000" w:themeColor="text1"/>
        </w:rPr>
      </w:r>
    </w:p>
    <w:p>
      <w:pPr>
        <w:numPr>
          <w:ilvl w:val="0"/>
          <w:numId w:val="0"/>
        </w:numPr>
        <w:keepLines w:val="0"/>
        <w:keepNext w:val="0"/>
        <w:pageBreakBefore w:val="0"/>
        <w:spacing w:line="351"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二、采购需求：</w:t>
      </w:r>
      <w:r>
        <w:rPr>
          <w:color w:val="000000" w:themeColor="text1"/>
        </w:rPr>
      </w:r>
    </w:p>
    <w:p>
      <w:pPr>
        <w:ind w:left="0" w:firstLine="48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1、标段范围：</w:t>
      </w:r>
      <w:r>
        <w:rPr>
          <w:color w:val="000000" w:themeColor="text1"/>
        </w:rPr>
      </w:r>
    </w:p>
    <w:tbl>
      <w:tblPr>
        <w:tblStyle w:val="1149"/>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651"/>
        <w:gridCol w:w="1623"/>
        <w:gridCol w:w="1935"/>
        <w:gridCol w:w="1665"/>
        <w:gridCol w:w="1240"/>
      </w:tblGrid>
      <w:tr>
        <w:trPr>
          <w:cantSplit/>
          <w:jc w:val="center"/>
          <w:trHeight w:val="719"/>
        </w:trPr>
        <w:tc>
          <w:tcPr>
            <w:tcW w:w="86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cs="宋体"/>
                <w:color w:val="000000" w:themeColor="text1"/>
                <w:sz w:val="24"/>
                <w:szCs w:val="24"/>
                <w:highlight w:val="none"/>
                <w:lang w:val="en-US" w:eastAsia="zh-CN"/>
              </w:rPr>
              <w:t xml:space="preserve">序号</w:t>
            </w:r>
            <w:r>
              <w:rPr>
                <w:color w:val="000000" w:themeColor="text1"/>
              </w:rPr>
            </w:r>
          </w:p>
        </w:tc>
        <w:tc>
          <w:tcPr>
            <w:tcW w:w="1651"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项目内容</w:t>
            </w:r>
            <w:r>
              <w:rPr>
                <w:color w:val="000000" w:themeColor="text1"/>
              </w:rPr>
            </w:r>
          </w:p>
        </w:tc>
        <w:tc>
          <w:tcPr>
            <w:tcW w:w="1623"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位置</w:t>
            </w:r>
            <w:r>
              <w:rPr>
                <w:color w:val="000000" w:themeColor="text1"/>
              </w:rPr>
            </w:r>
          </w:p>
        </w:tc>
        <w:tc>
          <w:tcPr>
            <w:tcW w:w="19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绿化养护面积</w:t>
            </w:r>
            <w:r>
              <w:rPr>
                <w:color w:val="000000" w:themeColor="text1"/>
              </w:rPr>
            </w:r>
          </w:p>
        </w:tc>
        <w:tc>
          <w:tcPr>
            <w:tcW w:w="166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单价最高限价（元/m²）</w:t>
            </w:r>
            <w:r>
              <w:rPr>
                <w:color w:val="000000" w:themeColor="text1"/>
              </w:rPr>
            </w:r>
          </w:p>
        </w:tc>
        <w:tc>
          <w:tcPr>
            <w:tcW w:w="12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服务期限</w:t>
            </w:r>
            <w:r>
              <w:rPr>
                <w:color w:val="000000" w:themeColor="text1"/>
              </w:rPr>
            </w:r>
          </w:p>
        </w:tc>
      </w:tr>
      <w:tr>
        <w:trPr>
          <w:cantSplit/>
          <w:jc w:val="center"/>
          <w:trHeight w:val="623"/>
        </w:trPr>
        <w:tc>
          <w:tcPr>
            <w:tcW w:w="863"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p>
        </w:tc>
        <w:tc>
          <w:tcPr>
            <w:tcW w:w="1651"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甪直段绿化养护</w:t>
            </w:r>
            <w:r>
              <w:rPr>
                <w:color w:val="000000" w:themeColor="text1"/>
              </w:rPr>
            </w:r>
          </w:p>
        </w:tc>
        <w:tc>
          <w:tcPr>
            <w:tcW w:w="162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钢丝网片内</w:t>
            </w:r>
            <w:r>
              <w:rPr>
                <w:color w:val="000000" w:themeColor="text1"/>
              </w:rPr>
            </w:r>
          </w:p>
        </w:tc>
        <w:tc>
          <w:tcPr>
            <w:tcW w:w="19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约46700</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66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3.5</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240" w:type="dxa"/>
            <w:vAlign w:val="center"/>
            <w:vMerge w:val="restart"/>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12个月</w:t>
            </w:r>
            <w:r>
              <w:rPr>
                <w:color w:val="000000" w:themeColor="text1"/>
              </w:rPr>
            </w:r>
          </w:p>
        </w:tc>
      </w:tr>
      <w:tr>
        <w:trPr>
          <w:cantSplit/>
          <w:jc w:val="center"/>
          <w:trHeight w:val="623"/>
        </w:trPr>
        <w:tc>
          <w:tcPr>
            <w:tcW w:w="863"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w:t>
            </w:r>
            <w:r>
              <w:rPr>
                <w:color w:val="000000" w:themeColor="text1"/>
              </w:rPr>
            </w:r>
          </w:p>
        </w:tc>
        <w:tc>
          <w:tcPr>
            <w:tcW w:w="1651"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2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钢丝网片外</w:t>
            </w:r>
            <w:r>
              <w:rPr>
                <w:color w:val="000000" w:themeColor="text1"/>
              </w:rPr>
            </w:r>
          </w:p>
        </w:tc>
        <w:tc>
          <w:tcPr>
            <w:tcW w:w="19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约513359</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66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1.5</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240" w:type="dxa"/>
            <w:vAlign w:val="center"/>
            <w:vMerge w:val="continue"/>
            <w:textDirection w:val="lrTb"/>
            <w:noWrap w:val="false"/>
          </w:tcPr>
          <w:p>
            <w:pPr>
              <w:ind w:left="0"/>
              <w:jc w:val="center"/>
              <w:keepLines w:val="0"/>
              <w:keepNext w:val="0"/>
              <w:pageBreakBefore w:val="0"/>
              <w:widowControl w:val="off"/>
              <w:rPr>
                <w:rStyle w:val="1360"/>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cantSplit/>
          <w:jc w:val="center"/>
          <w:trHeight w:val="623"/>
        </w:trPr>
        <w:tc>
          <w:tcPr>
            <w:tcW w:w="863"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p>
        </w:tc>
        <w:tc>
          <w:tcPr>
            <w:tcW w:w="1651" w:type="dxa"/>
            <w:vAlign w:val="center"/>
            <w:vMerge w:val="restart"/>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车坊段绿化养护</w:t>
            </w:r>
            <w:r>
              <w:rPr>
                <w:color w:val="000000" w:themeColor="text1"/>
              </w:rPr>
            </w:r>
          </w:p>
        </w:tc>
        <w:tc>
          <w:tcPr>
            <w:tcW w:w="1623"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钢丝网片内</w:t>
            </w:r>
            <w:r>
              <w:rPr>
                <w:color w:val="000000" w:themeColor="text1"/>
              </w:rPr>
            </w:r>
          </w:p>
        </w:tc>
        <w:tc>
          <w:tcPr>
            <w:tcW w:w="193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约44300</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66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2.9</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240" w:type="dxa"/>
            <w:vAlign w:val="center"/>
            <w:vMerge w:val="restart"/>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10个月</w:t>
            </w:r>
            <w:r>
              <w:rPr>
                <w:color w:val="000000" w:themeColor="text1"/>
              </w:rPr>
            </w:r>
          </w:p>
        </w:tc>
      </w:tr>
      <w:tr>
        <w:trPr>
          <w:cantSplit/>
          <w:jc w:val="center"/>
          <w:trHeight w:val="582"/>
        </w:trPr>
        <w:tc>
          <w:tcPr>
            <w:tcW w:w="86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p>
        </w:tc>
        <w:tc>
          <w:tcPr>
            <w:tcW w:w="1651" w:type="dxa"/>
            <w:vAlign w:val="center"/>
            <w:vMerge w:val="continue"/>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23"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钢丝网片外</w:t>
            </w:r>
            <w:r>
              <w:rPr>
                <w:color w:val="000000" w:themeColor="text1"/>
              </w:rPr>
            </w:r>
          </w:p>
        </w:tc>
        <w:tc>
          <w:tcPr>
            <w:tcW w:w="19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约421358</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66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1.2</w:t>
            </w:r>
            <w:r>
              <w:rPr>
                <w:rStyle w:val="1360"/>
                <w:rFonts w:hint="eastAsia" w:ascii="宋体" w:hAnsi="宋体" w:cs="宋体"/>
                <w:color w:val="000000" w:themeColor="text1"/>
                <w:sz w:val="24"/>
                <w:szCs w:val="24"/>
                <w:highlight w:val="none"/>
                <w:lang w:val="en-US" w:eastAsia="zh-CN"/>
              </w:rPr>
              <w:t xml:space="preserve">0</w:t>
            </w:r>
            <w:r>
              <w:rPr>
                <w:color w:val="000000" w:themeColor="text1"/>
              </w:rPr>
            </w:r>
          </w:p>
        </w:tc>
        <w:tc>
          <w:tcPr>
            <w:tcW w:w="1240" w:type="dxa"/>
            <w:vAlign w:val="center"/>
            <w:vMerge w:val="continue"/>
            <w:textDirection w:val="lrTb"/>
            <w:noWrap w:val="false"/>
          </w:tcPr>
          <w:p>
            <w:pPr>
              <w:pStyle w:val="1369"/>
              <w:ind w:firstLine="422"/>
              <w:spacing w:line="360" w:lineRule="auto"/>
              <w:rPr>
                <w:rFonts w:hint="eastAsia"/>
                <w:b w:val="0"/>
                <w:bCs/>
                <w:szCs w:val="21"/>
              </w:rPr>
            </w:pPr>
            <w:r>
              <w:rPr>
                <w:rFonts w:hint="eastAsia"/>
                <w:b w:val="0"/>
                <w:bCs/>
                <w:szCs w:val="21"/>
              </w:rPr>
            </w:r>
            <w:r/>
          </w:p>
        </w:tc>
      </w:tr>
    </w:tbl>
    <w:p>
      <w:pPr>
        <w:ind w:left="0" w:firstLine="48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2、人员、作业车辆和设备设施要求：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（1）项目组人员</w:t>
      </w:r>
      <w:r>
        <w:rPr>
          <w:color w:val="000000" w:themeColor="text1"/>
        </w:rPr>
      </w:r>
    </w:p>
    <w:p>
      <w:pPr>
        <w:ind w:left="0" w:firstLine="482"/>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响应单位需为本项目配备项目负责人1人、</w:t>
      </w:r>
      <w:r>
        <w:rPr>
          <w:rFonts w:hint="eastAsia" w:ascii="宋体" w:hAnsi="宋体" w:eastAsia="宋体" w:cs="宋体"/>
          <w:bCs/>
          <w:color w:val="000000" w:themeColor="text1"/>
          <w:sz w:val="24"/>
          <w:szCs w:val="24"/>
          <w:highlight w:val="none"/>
          <w:lang w:val="en-US" w:eastAsia="zh-CN"/>
        </w:rPr>
        <w:t xml:space="preserve">为本项目配备的其他项目组人员（项目负责人除外）至少</w:t>
      </w: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en-US" w:eastAsia="zh-CN"/>
        </w:rPr>
        <w:t xml:space="preserve">人</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响应文件中提供以上人员的最新一期社保缴费证明材料扫描件，未提供的投标无效。</w:t>
      </w:r>
      <w:r>
        <w:rPr>
          <w:color w:val="000000" w:themeColor="text1"/>
        </w:rPr>
      </w:r>
    </w:p>
    <w:p>
      <w:pPr>
        <w:numPr>
          <w:ilvl w:val="0"/>
          <w:numId w:val="0"/>
        </w:num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（2）</w:t>
      </w:r>
      <w:r>
        <w:rPr>
          <w:rFonts w:hint="eastAsia" w:ascii="宋体" w:hAnsi="宋体" w:eastAsia="宋体" w:cs="宋体"/>
          <w:color w:val="000000" w:themeColor="text1"/>
          <w:sz w:val="24"/>
          <w:szCs w:val="24"/>
          <w:highlight w:val="none"/>
          <w:lang w:val="en-US" w:eastAsia="zh-CN"/>
        </w:rPr>
        <w:t xml:space="preserve">作业人员</w:t>
      </w:r>
      <w:r>
        <w:rPr>
          <w:color w:val="000000" w:themeColor="text1"/>
        </w:rPr>
      </w:r>
    </w:p>
    <w:p>
      <w:pPr>
        <w:ind w:left="0" w:firstLine="482"/>
        <w:spacing w:line="360" w:lineRule="auto"/>
        <w:widowControl w:val="off"/>
        <w:rPr>
          <w:rFonts w:hint="default"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响应单位需为本项目配备可以满足本项目养护需求的人员（根据绿化养护面积配比养护人员数量）。当养护任务较重或有重大活动、突击任务时，无条件增加养护人员</w:t>
      </w:r>
      <w:r>
        <w:rPr>
          <w:rFonts w:hint="eastAsia" w:ascii="宋体" w:hAnsi="宋体" w:cs="宋体"/>
          <w:b w:val="0"/>
          <w:bCs w:val="0"/>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响应文件中提供承诺书，未提供的投标无效。</w:t>
      </w:r>
      <w:r>
        <w:rPr>
          <w:color w:val="000000" w:themeColor="text1"/>
        </w:rPr>
      </w:r>
    </w:p>
    <w:p>
      <w:pPr>
        <w:numPr>
          <w:ilvl w:val="0"/>
          <w:numId w:val="0"/>
        </w:num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（3）</w:t>
      </w:r>
      <w:r>
        <w:rPr>
          <w:rFonts w:hint="eastAsia" w:ascii="宋体" w:hAnsi="宋体" w:eastAsia="宋体" w:cs="宋体"/>
          <w:color w:val="000000" w:themeColor="text1"/>
          <w:sz w:val="24"/>
          <w:szCs w:val="24"/>
          <w:highlight w:val="none"/>
          <w:lang w:val="en-US" w:eastAsia="zh-CN"/>
        </w:rPr>
        <w:t xml:space="preserve">作业车辆最低要求数量</w:t>
      </w:r>
      <w:r>
        <w:rPr>
          <w:color w:val="000000" w:themeColor="text1"/>
        </w:rPr>
      </w:r>
    </w:p>
    <w:tbl>
      <w:tblPr>
        <w:tblStyle w:val="1149"/>
        <w:tblW w:w="8555" w:type="dxa"/>
        <w:jc w:val="center"/>
        <w:tblLayout w:type="fixed"/>
        <w:tblCellMar>
          <w:left w:w="108" w:type="dxa"/>
          <w:top w:w="0" w:type="dxa"/>
          <w:right w:w="108" w:type="dxa"/>
          <w:bottom w:w="0" w:type="dxa"/>
        </w:tblCellMar>
        <w:tblLook w:val="04A0" w:firstRow="1" w:lastRow="0" w:firstColumn="1" w:lastColumn="0" w:noHBand="0" w:noVBand="1"/>
      </w:tblPr>
      <w:tblGrid>
        <w:gridCol w:w="757"/>
        <w:gridCol w:w="2475"/>
        <w:gridCol w:w="1483"/>
        <w:gridCol w:w="1357"/>
        <w:gridCol w:w="1221"/>
        <w:gridCol w:w="1262"/>
      </w:tblGrid>
      <w:tr>
        <w:trPr>
          <w:jc w:val="center"/>
          <w:trHeight w:val="391"/>
        </w:trPr>
        <w:tc>
          <w:tcPr>
            <w:tcBorders>
              <w:top w:val="single" w:color="auto" w:sz="4" w:space="0"/>
              <w:left w:val="single" w:color="auto" w:sz="4" w:space="0"/>
              <w:bottom w:val="single" w:color="auto" w:sz="4" w:space="0"/>
              <w:right w:val="single" w:color="auto" w:sz="4" w:space="0"/>
            </w:tcBorders>
            <w:tcW w:w="757"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47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养护区域</w:t>
            </w:r>
            <w:r>
              <w:rPr>
                <w:color w:val="000000" w:themeColor="text1"/>
              </w:rPr>
            </w:r>
          </w:p>
        </w:tc>
        <w:tc>
          <w:tcPr>
            <w:tcBorders>
              <w:top w:val="single" w:color="auto" w:sz="4" w:space="0"/>
              <w:left w:val="single" w:color="auto" w:sz="4" w:space="0"/>
              <w:bottom w:val="single" w:color="auto" w:sz="4" w:space="0"/>
              <w:right w:val="single" w:color="auto" w:sz="4" w:space="0"/>
            </w:tcBorders>
            <w:tcW w:w="148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绿地</w:t>
            </w:r>
            <w:r>
              <w:rPr>
                <w:color w:val="000000" w:themeColor="text1"/>
              </w:rPr>
            </w:r>
          </w:p>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类型</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作业车辆</w:t>
            </w:r>
            <w:r>
              <w:rPr>
                <w:color w:val="000000" w:themeColor="text1"/>
              </w:rPr>
            </w:r>
          </w:p>
        </w:tc>
      </w:tr>
      <w:tr>
        <w:trPr>
          <w:jc w:val="center"/>
          <w:trHeight w:val="598"/>
        </w:trPr>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7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清运卡车（辆）</w:t>
            </w:r>
            <w:r>
              <w:rPr>
                <w:color w:val="000000" w:themeColor="text1"/>
              </w:rP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巡视车（辆）</w:t>
            </w:r>
            <w:r>
              <w:rPr>
                <w:color w:val="000000" w:themeColor="text1"/>
              </w:rP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水车（辆）</w:t>
            </w:r>
            <w:r>
              <w:rPr>
                <w:color w:val="000000" w:themeColor="text1"/>
              </w:rPr>
            </w:r>
          </w:p>
        </w:tc>
      </w:tr>
      <w:tr>
        <w:trPr>
          <w:jc w:val="center"/>
          <w:trHeight w:val="487"/>
        </w:trPr>
        <w:tc>
          <w:tcPr>
            <w:shd w:val="clear" w:color="auto" w:fill="ffffff"/>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甪直段绿化养护</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道路绿化</w:t>
            </w:r>
            <w:r>
              <w:rPr>
                <w:color w:val="000000" w:themeColor="text1"/>
              </w:rP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r>
      <w:tr>
        <w:trPr>
          <w:jc w:val="center"/>
          <w:trHeight w:val="487"/>
        </w:trPr>
        <w:tc>
          <w:tcPr>
            <w:shd w:val="clear" w:color="auto" w:fill="ffffff"/>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车坊</w:t>
            </w:r>
            <w:r>
              <w:rPr>
                <w:rStyle w:val="1360"/>
                <w:rFonts w:hint="eastAsia" w:ascii="宋体" w:hAnsi="宋体" w:eastAsia="宋体" w:cs="宋体"/>
                <w:color w:val="000000" w:themeColor="text1"/>
                <w:sz w:val="24"/>
                <w:szCs w:val="24"/>
                <w:highlight w:val="none"/>
              </w:rPr>
              <w:t xml:space="preserve">段</w:t>
            </w:r>
            <w:r>
              <w:rPr>
                <w:rFonts w:hint="eastAsia" w:ascii="宋体" w:hAnsi="宋体" w:eastAsia="宋体" w:cs="宋体"/>
                <w:color w:val="000000" w:themeColor="text1"/>
                <w:sz w:val="24"/>
                <w:szCs w:val="24"/>
                <w:highlight w:val="none"/>
                <w:lang w:val="en-US" w:eastAsia="zh-CN"/>
              </w:rPr>
              <w:t xml:space="preserve">绿化养护</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道路绿化</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r>
    </w:tbl>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注：投入本项目清运卡车： 核定载质量≥1.6吨；巡视车：轿车；水车：核定载质量≥4.0吨。</w:t>
      </w:r>
      <w:r>
        <w:rPr>
          <w:color w:val="000000" w:themeColor="text1"/>
        </w:rPr>
      </w:r>
    </w:p>
    <w:p>
      <w:pPr>
        <w:ind w:left="0" w:firstLine="482"/>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①投标时车辆可现自有或已租赁，也可以承诺中标后购买或租赁。车辆为现自有的，响应文件中提供车辆行驶证（包括行驶证上车辆照片）、机动车登记证书、交强险保单的扫描件；车辆为已租赁的，响应文件中提供响应单位的租赁协议、车辆行驶证（包括行驶证上车辆照片）、机动车登记证书、租赁期内任意一期的租赁费用发票、交强险保单的扫描件；②投标时车辆可以承诺中标后购买或租赁，响应文件中提供承诺书，格式自拟；未按上述要求提供的投标无效。</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（4）设施设备最低要求配置表</w:t>
      </w:r>
      <w:r>
        <w:rPr>
          <w:color w:val="000000" w:themeColor="text1"/>
        </w:rPr>
      </w:r>
    </w:p>
    <w:tbl>
      <w:tblPr>
        <w:tblStyle w:val="1149"/>
        <w:tblW w:w="10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3"/>
        <w:gridCol w:w="1320"/>
        <w:gridCol w:w="1185"/>
        <w:gridCol w:w="1170"/>
        <w:gridCol w:w="1770"/>
        <w:gridCol w:w="1110"/>
        <w:gridCol w:w="1200"/>
        <w:gridCol w:w="1185"/>
        <w:gridCol w:w="1025"/>
      </w:tblGrid>
      <w:tr>
        <w:trPr>
          <w:jc w:val="center"/>
          <w:trHeight w:val="450"/>
        </w:trPr>
        <w:tc>
          <w:tcPr>
            <w:tcW w:w="52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序号</w:t>
            </w:r>
            <w:r>
              <w:rPr>
                <w:color w:val="000000" w:themeColor="text1"/>
              </w:rPr>
            </w:r>
          </w:p>
        </w:tc>
        <w:tc>
          <w:tcPr>
            <w:tcW w:w="132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养护区域</w:t>
            </w:r>
            <w:r>
              <w:rPr>
                <w:color w:val="000000" w:themeColor="text1"/>
              </w:rPr>
            </w:r>
          </w:p>
        </w:tc>
        <w:tc>
          <w:tcPr>
            <w:gridSpan w:val="7"/>
            <w:tcW w:w="864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设施配备最低要求</w:t>
            </w:r>
            <w:r>
              <w:rPr>
                <w:color w:val="000000" w:themeColor="text1"/>
              </w:rPr>
            </w:r>
          </w:p>
        </w:tc>
      </w:tr>
      <w:tr>
        <w:trPr>
          <w:jc w:val="center"/>
          <w:trHeight w:val="1109"/>
        </w:trPr>
        <w:tc>
          <w:tcPr>
            <w:tcW w:w="52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手推式草坪修剪机（台）</w:t>
            </w:r>
            <w:r>
              <w:rPr>
                <w:color w:val="000000" w:themeColor="text1"/>
              </w:rPr>
            </w:r>
          </w:p>
        </w:tc>
        <w:tc>
          <w:tcPr>
            <w:tcW w:w="117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电动高杆锯（部）</w:t>
            </w:r>
            <w:r>
              <w:rPr>
                <w:color w:val="000000" w:themeColor="text1"/>
              </w:rPr>
            </w:r>
          </w:p>
        </w:tc>
        <w:tc>
          <w:tcPr>
            <w:tcW w:w="177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电动绿篱机（台）        （80V以上）</w:t>
            </w:r>
            <w:r>
              <w:rPr>
                <w:color w:val="000000" w:themeColor="text1"/>
              </w:rPr>
            </w:r>
          </w:p>
        </w:tc>
        <w:tc>
          <w:tcPr>
            <w:tcW w:w="111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电动割草机（台）</w:t>
            </w:r>
            <w:r>
              <w:rPr>
                <w:color w:val="000000" w:themeColor="text1"/>
              </w:rPr>
            </w:r>
          </w:p>
        </w:tc>
        <w:tc>
          <w:tcPr>
            <w:tcW w:w="12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电动碎枝机（台）</w:t>
            </w:r>
            <w:r>
              <w:rPr>
                <w:color w:val="000000" w:themeColor="text1"/>
              </w:rPr>
            </w:r>
          </w:p>
        </w:tc>
        <w:tc>
          <w:tcPr>
            <w:tcW w:w="118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打药一体机（台）</w:t>
            </w:r>
            <w:r>
              <w:rPr>
                <w:color w:val="000000" w:themeColor="text1"/>
              </w:rPr>
            </w:r>
          </w:p>
        </w:tc>
        <w:tc>
          <w:tcPr>
            <w:tcW w:w="102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水泵（台）</w:t>
            </w:r>
            <w:r>
              <w:rPr>
                <w:color w:val="000000" w:themeColor="text1"/>
              </w:rPr>
            </w:r>
          </w:p>
        </w:tc>
      </w:tr>
      <w:tr>
        <w:trPr>
          <w:jc w:val="center"/>
          <w:trHeight w:val="534"/>
        </w:trPr>
        <w:tc>
          <w:tcPr>
            <w:shd w:val="clear" w:color="auto" w:fill="ffffff"/>
            <w:tcW w:w="52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w:t>
            </w:r>
            <w:r>
              <w:rPr>
                <w:color w:val="000000" w:themeColor="text1"/>
              </w:rPr>
            </w:r>
          </w:p>
        </w:tc>
        <w:tc>
          <w:tcPr>
            <w:shd w:val="clear" w:color="auto" w:fill="ffffff"/>
            <w:tcW w:w="13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甪直段绿化养护</w:t>
            </w:r>
            <w:r>
              <w:rPr>
                <w:color w:val="000000" w:themeColor="text1"/>
              </w:rPr>
            </w:r>
          </w:p>
        </w:tc>
        <w:tc>
          <w:tcPr>
            <w:shd w:val="clear" w:color="auto" w:fill="auto"/>
            <w:tcW w:w="118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ffffff"/>
            <w:tcW w:w="117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tcW w:w="177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tcW w:w="111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tcW w:w="12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tcW w:w="118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tcW w:w="102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w:t>
            </w:r>
            <w:r>
              <w:rPr>
                <w:color w:val="000000" w:themeColor="text1"/>
              </w:rPr>
            </w:r>
          </w:p>
        </w:tc>
      </w:tr>
      <w:tr>
        <w:trPr>
          <w:jc w:val="center"/>
          <w:trHeight w:val="534"/>
        </w:trPr>
        <w:tc>
          <w:tcPr>
            <w:shd w:val="clear" w:color="auto" w:fill="ffffff"/>
            <w:tcW w:w="523"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w:t>
            </w:r>
            <w:r>
              <w:rPr>
                <w:color w:val="000000" w:themeColor="text1"/>
              </w:rPr>
            </w:r>
          </w:p>
        </w:tc>
        <w:tc>
          <w:tcPr>
            <w:shd w:val="clear" w:color="auto" w:fill="ffffff"/>
            <w:tcW w:w="13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车坊</w:t>
            </w:r>
            <w:r>
              <w:rPr>
                <w:rStyle w:val="1360"/>
                <w:rFonts w:hint="eastAsia" w:ascii="宋体" w:hAnsi="宋体" w:eastAsia="宋体" w:cs="宋体"/>
                <w:color w:val="000000" w:themeColor="text1"/>
                <w:sz w:val="24"/>
                <w:szCs w:val="24"/>
                <w:highlight w:val="none"/>
              </w:rPr>
              <w:t xml:space="preserve">段</w:t>
            </w:r>
            <w:r>
              <w:rPr>
                <w:rFonts w:hint="eastAsia" w:ascii="宋体" w:hAnsi="宋体" w:eastAsia="宋体" w:cs="宋体"/>
                <w:color w:val="000000" w:themeColor="text1"/>
                <w:sz w:val="24"/>
                <w:szCs w:val="24"/>
                <w:highlight w:val="none"/>
                <w:lang w:val="en-US" w:eastAsia="zh-CN"/>
              </w:rPr>
              <w:t xml:space="preserve">绿化养护</w:t>
            </w:r>
            <w:r>
              <w:rPr>
                <w:color w:val="000000" w:themeColor="text1"/>
              </w:rPr>
            </w:r>
          </w:p>
        </w:tc>
        <w:tc>
          <w:tcPr>
            <w:shd w:val="clear" w:color="auto" w:fill="auto"/>
            <w:tcW w:w="118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ffffff"/>
            <w:tcW w:w="11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W w:w="17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W w:w="111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W w:w="12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W w:w="118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1</w:t>
            </w:r>
            <w:r>
              <w:rPr>
                <w:color w:val="000000" w:themeColor="text1"/>
              </w:rPr>
            </w:r>
          </w:p>
        </w:tc>
        <w:tc>
          <w:tcPr>
            <w:shd w:val="clear" w:color="auto" w:fill="auto"/>
            <w:tcW w:w="102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2</w:t>
            </w:r>
            <w:r>
              <w:rPr>
                <w:color w:val="000000" w:themeColor="text1"/>
              </w:rPr>
            </w:r>
          </w:p>
        </w:tc>
      </w:tr>
    </w:tbl>
    <w:p>
      <w:pPr>
        <w:ind w:left="0" w:firstLine="482"/>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①投标时设施设备可现自有或已租赁，也可以承诺中标后购买或租赁。设施设备为现自有的，响应文件中提供购置发票扫描件；设施设备为租赁的，响应文件中提供租赁协议、购置发票扫描件、租赁期内任意一期的租赁费用发票扫描件；②投标时设施设备可以承诺中标后购买或租赁，响应文件中提供承诺书，格式自拟；未按上述要求提供的投标无效。</w:t>
      </w:r>
      <w:r>
        <w:rPr>
          <w:color w:val="000000" w:themeColor="text1"/>
        </w:rPr>
      </w:r>
    </w:p>
    <w:p>
      <w:pPr>
        <w:ind w:left="0" w:firstLine="48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3、绿化养护具体要求：</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（1）绿化（地）养护总体要求：</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1.1植物生长旺盛，株形丰满，叶色生长季节无异常黄叶，无枯枝败叶，无病虫害。</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1.2绿地养护质量标准要求:植物保存率100%，设施完好率100%。</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1.3绿地、花坛、行道树树穴内无杂草，无垃圾。</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1.4植株无歪斜，倒伏现象，草坪内种植的树木须在树穴周围对草坪切边，并做成相应的种植区。</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1.5要对植物表面进行经常性喷洒，保持植物表面整洁干净。</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（2）绿化养护要求：</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2.1乔木</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树冠完整，主侧枝分布均匀，数量适宜，内膛通风透光，不得出现因剥芽、修剪面产生的树皮拉伤现象。同一道路同一树种的行道树形留养一致，补植行道树与原分枝高度相距不超过40CM，涂白高度相距不超过5CM，树与建筑、各类线路的矛盾处理合理，不影响交通视线。树木修剪的切口平整，易冻害的树木冬季有防寒措施。</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2.2灌木</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枝叶细密，紧凑丰满，根据设计要求修剪成形。直线的要求线条整齐，定型高度一致；曲线造型的线条圆滑流畅，节奏变换一致，不脱脚。日常修剪及时到位，不能出现单枝（芽）超出5CM未修剪现象，无修后枝叶残留或散落不清。</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2.3球类</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球形丰满、完整，球面光滑密实，不脱脚。同一要求的球类大小保持一致。日常修剪及时到位，不能出现单枝（芽）超出5CM未修剪现象，无修后枝叶残留或散落不清。</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2.4攀援植物</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主蔓清晰明显，生长健壮，成型迅速，剥芽及时，茎叶不影响行视线，过长茎蔓抑制到位，残花枯藤清理干净，观赏类花期正常。</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2.5露地花卉</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花坛花境内四季有花（叶），花坛图案清晰，色彩鲜艳，花朵繁茂；同一品种花期一致，层次分明，高矮有序；种植土内无石块、垃圾、草屑、残茎；主体花坛要摆放稳固，不影响交通视线；花卉摆放或种植符合设计要求。</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2.6地被植物</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修剪整齐，边缘线条清晰，种植地内土壤保持疏松，残花清理及时，无杂草；木本地被冬季休眠期高度保持在40CM以内。观赏期内群体与单株均能发挥最佳观赏功能。</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2.7草坪</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终年修剪整齐，边缘线清晰，无各类杂草，无垃圾，无毡化现象和馒头状突起，土壤不板结，龟裂，无积水现象。</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2.8设施维护</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小游园及街巷绿地内的的园林建筑、园路广场等基础设施维护良好，保持整洁，无墙面破损、路面残缺、油漆剥落等，小修小补要及时进行。桌椅、垃圾桶、指示牌、围栏等园林设施完整、安全，破损的要及时维修和更换。</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2.9卫生保洁</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绿地（包括水面）、设施应巡视保洁，及时清理，做到无垃圾、石子砖块、白色污染（树挂）；绿色废弃物（如树枝、树叶草屑等）要做到日产日清。</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2.10绿化养护台帐</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应建立完整的绿化养护台帐，绿化资料记录详细，分类清楚，数据详实。</w:t>
      </w:r>
      <w:r>
        <w:rPr>
          <w:color w:val="000000" w:themeColor="text1"/>
        </w:rPr>
      </w:r>
    </w:p>
    <w:p>
      <w:pPr>
        <w:ind w:left="0" w:firstLine="48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4、安全文明作业要求：</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成交单位在养护期内除应做好安全防范和文明作业措施，在第一时间内发现安全隐患，采取有效措施。成交单位作业人员履行职责期间（包括上下班途中）发生自身或造成第三方的人生伤害、事故责任等，产生的一切费用，均由成交单位负责。</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（1）成交单位需对养护人员进行安全教育和培训，项目负责人须每月做好现场安全培训并形成台账报采购人备案。</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（2）成交单位应文明作业，及时清理绿化垃圾，不得随意堆放。</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（3）养护期间成交单位应落实警示隔离设施，如未安排到位发生安全事故，所有责任由成交单位负责承担。</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（4）若养护期间，未及时检查加固树木及清除枯枝危膀，发生树木倾覆、断枝掉落等造成伤人伤物安全事故，所有责任由成交单位负责承担。</w:t>
      </w:r>
      <w:r>
        <w:rPr>
          <w:color w:val="000000" w:themeColor="text1"/>
        </w:rPr>
      </w:r>
    </w:p>
    <w:p>
      <w:pPr>
        <w:ind w:left="0" w:firstLine="482"/>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（5）绿化养护人员必须定岗定位，着装上岗。</w:t>
      </w:r>
      <w:r>
        <w:rPr>
          <w:color w:val="000000" w:themeColor="text1"/>
        </w:rPr>
      </w:r>
    </w:p>
    <w:p>
      <w:pPr>
        <w:ind w:left="0" w:firstLine="48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5、其他要求：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（1）成交单位应按采购人要求对绑扎苗木的钢丝绳、铁丝等进行更换，每年至少更换一次。</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（2）对于长势不良、蓬形不佳且严重影响景观效果的苗木，在移交时一律认为是缺棵苗，如移交双方在移交过程中对苗木认定有争议的，由采购人现场确认。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（3）对施工临时开口处缺苗的补种方法，由采购人根据现场的实际情况决定。</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（4）对苗木赔偿清单中所列苗木，在绿化养护移交时，若采购人根据现场实际情况决定不补种的，则不与成交单位发生赔偿费用。</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三、综合说明及其它要求：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1、响应单位提供的服务能够至少达到以上要求，同时明确详细的养护管理方案。</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2、响应单位必须承诺招标文件中提出的全部综合管理要求，如果其中某些条款不响应时，应在文件中逐条列出，未列出的视同响应。</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3、响应单位应充分考虑绿地绿化养护承包期间劳务、相应的人身安全保</w:t>
      </w:r>
      <w:r>
        <w:rPr>
          <w:rFonts w:hint="eastAsia" w:ascii="宋体" w:hAnsi="宋体" w:eastAsia="宋体" w:cs="宋体"/>
          <w:color w:val="000000" w:themeColor="text1"/>
          <w:sz w:val="24"/>
          <w:szCs w:val="24"/>
          <w:highlight w:val="none"/>
          <w:lang w:val="en-US" w:eastAsia="zh-CN"/>
        </w:rPr>
        <w:t xml:space="preserve">险、赔偿、突发事件抢险等所需的全部费用的市场风险系数，并计入总报价。除非合同中另有规定，响应单位对本项目的报价应包括完成本项工作所需的人工费（包括人员工资、保险等）、养护工具、消杀药品和工具车辆等相关机械设备使用费等养护过程中发生的一切费用，还包括耗材、劳保、工作服、各种税费及政策性文件规定及合同包含的所有风险、责任等各项应有费用。投标报价为最终报价，除非因特殊原因并经买卖双方协商同意，响应单位不得再要求追加任何费用。同时，除非合同条款中另有规定，否则，响应单位所报价格在合同实施期间不因市场变化因素而变动。</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5、本项目的安全生产费用应按国家相关规定提取，并考虑在投标总价中。</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6、成交单位须为投入本项目人员购买 “意外伤害险”，险种不低于以下要求: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（1）意外身故、残疾赔偿金不低于：50万元/人；</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（2）意外伤害医疗赔偿金不低于：2.5万元/人；</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（3）意外住院补贴赔偿金不低于：60元/天/人，最高180天。</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7、养护交接时间:成交单位根据采购文件要求，向采购人提出养护进场申请，由采购人进行审核，审核通过后，由采购人根据绿化移交进度，通知进场时间，并按实际养护期结算费用。</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8、首次养护进场申请附相关资料须有成交单位为投入本项目服务人员购买的意外伤害险保单、作业车辆和设施设备购买凭证、服装购买凭证、履约保证金缴纳凭证（如有）、项目部证明材料等。</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9、档案资料管理：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成交单位需建立日常管理工作台帐，在每月底按统一格式向采购人提供相关养护保洁资料，包括但不限于：病虫害防治计划、月度工作计划、养护工作日志、施肥除虫补种记录、肥料农药等采购凭证、半年度年度总结、考勤表、垃圾清运重量回单、人员变更信息、工资和加班费发放、自查考核情况等，并尽量提供佐证照片，确保资料信息的真实性和规范性。月度工作计划需根据养护月历和现场实际情况，合理安排病虫害防治、浇水、苗木补种、施肥等工作。</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val="en-US" w:eastAsia="zh-CN"/>
        </w:rPr>
        <w:t xml:space="preserve">因养护考核制度的更新和修改，参照新的制度执行。</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lang w:val="en-US" w:eastAsia="zh-CN"/>
        </w:rPr>
        <w:t xml:space="preserve">最终总报价较第一次投标报价有下浮的，</w:t>
      </w:r>
      <w:r>
        <w:rPr>
          <w:rFonts w:hint="eastAsia" w:ascii="宋体" w:hAnsi="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lang w:val="en-US" w:eastAsia="zh-CN"/>
        </w:rPr>
        <w:t xml:space="preserve">单价按照同比例下浮。</w:t>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color w:val="000000" w:themeColor="text1"/>
        </w:rPr>
      </w:r>
      <w:bookmarkStart w:id="108" w:name="合同的特殊条款"/>
      <w:r>
        <w:rPr>
          <w:color w:val="000000" w:themeColor="text1"/>
        </w:rPr>
      </w:r>
      <w:bookmarkEnd w:id="108"/>
      <w:r>
        <w:rPr>
          <w:color w:val="000000" w:themeColor="text1"/>
        </w:rPr>
      </w:r>
      <w:bookmarkStart w:id="109" w:name="_Toc26294"/>
      <w:r>
        <w:rPr>
          <w:color w:val="000000" w:themeColor="text1"/>
        </w:rPr>
      </w:r>
      <w:bookmarkStart w:id="110" w:name="_Toc31272"/>
      <w:r>
        <w:rPr>
          <w:color w:val="000000" w:themeColor="text1"/>
        </w:rPr>
      </w:r>
      <w:bookmarkStart w:id="111" w:name="_Toc3589"/>
      <w:r>
        <w:rPr>
          <w:color w:val="000000" w:themeColor="text1"/>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numPr>
          <w:ilvl w:val="0"/>
          <w:numId w:val="3"/>
        </w:numPr>
        <w:ind w:left="0" w:firstLine="0"/>
        <w:jc w:val="center"/>
        <w:keepLines w:val="0"/>
        <w:keepNext w:val="0"/>
        <w:pageBreakBefore w:val="0"/>
        <w:spacing w:before="340" w:after="330" w:line="579" w:lineRule="auto"/>
        <w:widowControl/>
        <w:rPr>
          <w:rFonts w:hint="eastAsia" w:ascii="宋体" w:hAnsi="宋体" w:eastAsia="宋体" w:cs="宋体"/>
          <w:b/>
          <w:color w:val="000000" w:themeColor="text1"/>
          <w:sz w:val="44"/>
          <w:szCs w:val="44"/>
          <w:highlight w:val="none"/>
        </w:rPr>
        <w:outlineLvl w:val="0"/>
      </w:pPr>
      <w:r>
        <w:rPr>
          <w:rFonts w:hint="eastAsia" w:ascii="宋体" w:hAnsi="宋体" w:eastAsia="宋体" w:cs="宋体"/>
          <w:b/>
          <w:color w:val="000000" w:themeColor="text1"/>
          <w:sz w:val="44"/>
          <w:szCs w:val="44"/>
          <w:highlight w:val="none"/>
        </w:rPr>
        <w:t xml:space="preserve">合同及主要条款</w:t>
      </w:r>
      <w:bookmarkEnd w:id="103"/>
      <w:r>
        <w:rPr>
          <w:color w:val="000000" w:themeColor="text1"/>
        </w:rPr>
      </w:r>
      <w:bookmarkEnd w:id="109"/>
      <w:r>
        <w:rPr>
          <w:color w:val="000000" w:themeColor="text1"/>
        </w:rPr>
      </w:r>
      <w:bookmarkEnd w:id="110"/>
      <w:r>
        <w:rPr>
          <w:color w:val="000000" w:themeColor="text1"/>
        </w:rPr>
      </w:r>
      <w:bookmarkEnd w:id="111"/>
      <w:r>
        <w:rPr>
          <w:color w:val="000000" w:themeColor="text1"/>
        </w:rPr>
      </w:r>
      <w:r>
        <w:rPr>
          <w:color w:val="000000" w:themeColor="text1"/>
        </w:rPr>
      </w:r>
    </w:p>
    <w:p>
      <w:pPr>
        <w:pStyle w:val="1338"/>
        <w:numPr>
          <w:ilvl w:val="0"/>
          <w:numId w:val="0"/>
        </w:numPr>
        <w:rPr>
          <w:rFonts w:hint="eastAsia"/>
          <w:color w:val="000000" w:themeColor="text1"/>
          <w:highlight w:val="none"/>
        </w:rPr>
      </w:pPr>
      <w:r>
        <w:rPr>
          <w:rFonts w:hint="eastAsia"/>
          <w:color w:val="000000" w:themeColor="text1"/>
          <w:highlight w:val="none"/>
        </w:rPr>
      </w:r>
      <w:r>
        <w:rPr>
          <w:color w:val="000000" w:themeColor="text1"/>
        </w:rPr>
      </w:r>
    </w:p>
    <w:p>
      <w:pPr>
        <w:ind w:left="0" w:firstLine="480"/>
        <w:jc w:val="center"/>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44"/>
          <w:szCs w:val="44"/>
          <w:highlight w:val="none"/>
        </w:rPr>
        <w:br w:type="page" w:clear="all"/>
      </w:r>
      <w:bookmarkStart w:id="112" w:name="_Toc32730"/>
      <w:r>
        <w:rPr>
          <w:rFonts w:hint="eastAsia" w:ascii="宋体" w:hAnsi="宋体" w:eastAsia="宋体" w:cs="宋体"/>
          <w:b/>
          <w:bCs/>
          <w:color w:val="000000" w:themeColor="text1"/>
          <w:sz w:val="36"/>
          <w:szCs w:val="36"/>
          <w:highlight w:val="none"/>
          <w:lang w:val="en-US" w:eastAsia="zh-CN"/>
        </w:rPr>
        <w:t xml:space="preserve">合同主要条款</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甲方: </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联系人:</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联系地址:</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联系电话:</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 </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联系人:</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联系地址:</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联系电话:</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采购编号：                    </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根据甲方核准采购计划，依据甲方委托</w:t>
      </w:r>
      <w:r>
        <w:rPr>
          <w:rFonts w:hint="eastAsia" w:ascii="宋体" w:hAnsi="宋体" w:cs="宋体"/>
          <w:color w:val="000000" w:themeColor="text1"/>
          <w:sz w:val="24"/>
          <w:szCs w:val="24"/>
          <w:highlight w:val="none"/>
          <w:lang w:val="en-US" w:eastAsia="zh-CN"/>
        </w:rPr>
        <w:t xml:space="preserve">江苏正琦工程咨询有限公司</w:t>
      </w:r>
      <w:r>
        <w:rPr>
          <w:rFonts w:hint="eastAsia" w:ascii="宋体" w:hAnsi="宋体" w:eastAsia="宋体" w:cs="宋体"/>
          <w:color w:val="000000" w:themeColor="text1"/>
          <w:sz w:val="24"/>
          <w:szCs w:val="24"/>
          <w:highlight w:val="none"/>
          <w:lang w:val="en-US" w:eastAsia="zh-CN"/>
        </w:rPr>
        <w:t xml:space="preserve">进行本项目2026-2027年度绕城高速甪直、车坊段绿化养护JSZC-320506-JSZQ-C2026-0008磋商的成交结果，确定乙方为本次成交供应商，现依照磋商文件、乙方的响应文件及相关文件的内容，签订本合同书。</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一、服务范围：</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甲方聘请乙方提供以下服务：</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1、本合同项下的服务指：2026-2027年度绕城高速甪直、车坊段绿化养护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2、养护期限：</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（1）甪直段：   年   月   日至   年   月   日（按实际养护天数结算）</w:t>
      </w:r>
      <w:r>
        <w:rPr>
          <w:color w:val="000000" w:themeColor="text1"/>
        </w:rPr>
      </w:r>
    </w:p>
    <w:p>
      <w:pPr>
        <w:ind w:left="0" w:firstLine="480"/>
        <w:spacing w:line="360" w:lineRule="auto"/>
        <w:widowControl w:val="off"/>
        <w:tabs>
          <w:tab w:val="left" w:pos="567" w:leader="none"/>
        </w:tabs>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（2）车坊段：   年   月   日至   年   月   日（按实际养护天数结算）</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二、下列文件为本合同不可分割部分与本合同具有同等法律效力：</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1、成交通知书；   </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2、乙方成交的响应文件；   </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3、采购文件及其附件； </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4、合同附件（如有）；   </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5、乙方在采购过程中所作的其它承诺、声明、书面澄清等。</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Times New Roman"/>
          <w:b/>
          <w:bCs/>
          <w:color w:val="000000" w:themeColor="text1"/>
          <w:sz w:val="24"/>
          <w:szCs w:val="24"/>
          <w:highlight w:val="none"/>
        </w:rPr>
        <w:t xml:space="preserve">合同金额及付款方式：</w:t>
      </w:r>
      <w:r>
        <w:rPr>
          <w:color w:val="000000" w:themeColor="text1"/>
        </w:rPr>
      </w:r>
    </w:p>
    <w:p>
      <w:pPr>
        <w:ind w:left="0" w:firstLine="480"/>
        <w:spacing w:line="360" w:lineRule="auto"/>
        <w:widowControl w:val="off"/>
        <w:tabs>
          <w:tab w:val="left" w:pos="567" w:leader="none"/>
        </w:tabs>
        <w:rPr>
          <w:rFonts w:hint="default" w:ascii="宋体" w:hAnsi="宋体" w:eastAsia="宋体" w:cs="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合同</w:t>
      </w:r>
      <w:r>
        <w:rPr>
          <w:rFonts w:hint="eastAsia" w:ascii="宋体" w:hAnsi="宋体" w:cs="Times New Roman"/>
          <w:color w:val="000000" w:themeColor="text1"/>
          <w:sz w:val="24"/>
          <w:szCs w:val="24"/>
          <w:highlight w:val="none"/>
          <w:lang w:val="en-US" w:eastAsia="zh-CN"/>
        </w:rPr>
        <w:t xml:space="preserve">金额</w:t>
      </w:r>
      <w:r>
        <w:rPr>
          <w:rFonts w:hint="eastAsia" w:ascii="宋体" w:hAnsi="宋体" w:eastAsia="宋体" w:cs="Times New Roman"/>
          <w:color w:val="000000" w:themeColor="text1"/>
          <w:sz w:val="24"/>
          <w:szCs w:val="24"/>
          <w:highlight w:val="none"/>
        </w:rPr>
        <w:t xml:space="preserve">为：</w:t>
      </w:r>
      <w:r>
        <w:rPr>
          <w:rFonts w:hint="eastAsia" w:ascii="宋体" w:hAnsi="宋体" w:eastAsia="宋体" w:cs="Times New Roman"/>
          <w:color w:val="000000" w:themeColor="text1"/>
          <w:sz w:val="24"/>
          <w:szCs w:val="24"/>
          <w:highlight w:val="none"/>
          <w:u w:val="single"/>
        </w:rPr>
        <w:t xml:space="preserve">大写人民币：        ¥：</w:t>
      </w:r>
      <w:r>
        <w:rPr>
          <w:rFonts w:hint="eastAsia" w:ascii="宋体" w:hAnsi="宋体" w:eastAsia="宋体" w:cs="Times New Roman"/>
          <w:color w:val="000000" w:themeColor="text1"/>
          <w:sz w:val="24"/>
          <w:szCs w:val="24"/>
          <w:highlight w:val="none"/>
          <w:u w:val="single"/>
          <w:lang w:val="en-US" w:eastAsia="zh-CN"/>
        </w:rPr>
        <w:t xml:space="preserve">       </w:t>
      </w:r>
      <w:r>
        <w:rPr>
          <w:rFonts w:hint="eastAsia" w:ascii="宋体" w:hAnsi="宋体" w:cs="Times New Roman"/>
          <w:color w:val="000000" w:themeColor="text1"/>
          <w:sz w:val="24"/>
          <w:szCs w:val="24"/>
          <w:highlight w:val="none"/>
          <w:u w:val="none"/>
          <w:lang w:val="en-US" w:eastAsia="zh-CN"/>
        </w:rPr>
        <w:t xml:space="preserve">。合同金额</w:t>
      </w:r>
      <w:r>
        <w:rPr>
          <w:rFonts w:hint="eastAsia" w:ascii="宋体" w:hAnsi="宋体" w:eastAsia="宋体" w:cs="宋体"/>
          <w:color w:val="000000" w:themeColor="text1"/>
          <w:sz w:val="24"/>
          <w:szCs w:val="24"/>
          <w:highlight w:val="none"/>
          <w:lang w:val="en-US" w:eastAsia="zh-CN"/>
        </w:rPr>
        <w:t xml:space="preserve">包括完成本项工作所需的人工费（包括人员工资、保险等）、养护工具、消杀药品和工具车辆等相关机械设备使用费等养护过程中发生的一切费用，还包括耗材、劳保、工作服、各种税费及政策性文件规定及合同包含的所有风险、责任等各项应有费用。</w:t>
      </w:r>
      <w:r>
        <w:rPr>
          <w:color w:val="000000" w:themeColor="text1"/>
        </w:rPr>
      </w:r>
    </w:p>
    <w:p>
      <w:pPr>
        <w:ind w:left="0" w:firstLine="480"/>
        <w:spacing w:line="360" w:lineRule="auto"/>
        <w:widowControl w:val="off"/>
        <w:tabs>
          <w:tab w:val="left" w:pos="567" w:leader="none"/>
        </w:tabs>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2、合同清单</w:t>
      </w:r>
      <w:r>
        <w:rPr>
          <w:color w:val="000000" w:themeColor="text1"/>
        </w:rPr>
      </w:r>
    </w:p>
    <w:tbl>
      <w:tblPr>
        <w:tblStyle w:val="1149"/>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1234"/>
        <w:gridCol w:w="1515"/>
        <w:gridCol w:w="1916"/>
        <w:gridCol w:w="1905"/>
        <w:gridCol w:w="1905"/>
      </w:tblGrid>
      <w:tr>
        <w:trPr>
          <w:cantSplit/>
          <w:jc w:val="center"/>
          <w:trHeight w:val="514"/>
        </w:trPr>
        <w:tc>
          <w:tcPr>
            <w:tcW w:w="56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cs="宋体"/>
                <w:color w:val="000000" w:themeColor="text1"/>
                <w:sz w:val="24"/>
                <w:szCs w:val="24"/>
                <w:highlight w:val="none"/>
                <w:lang w:val="en-US" w:eastAsia="zh-CN"/>
              </w:rPr>
              <w:t xml:space="preserve">序号</w:t>
            </w:r>
            <w:r>
              <w:rPr>
                <w:color w:val="000000" w:themeColor="text1"/>
              </w:rPr>
            </w:r>
          </w:p>
        </w:tc>
        <w:tc>
          <w:tcPr>
            <w:tcW w:w="1234"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项目内容</w:t>
            </w:r>
            <w:r>
              <w:rPr>
                <w:color w:val="000000" w:themeColor="text1"/>
              </w:rPr>
            </w:r>
          </w:p>
        </w:tc>
        <w:tc>
          <w:tcPr>
            <w:tcW w:w="1515" w:type="dxa"/>
            <w:vAlign w:val="center"/>
            <w:vMerge w:val="restart"/>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位置</w:t>
            </w:r>
            <w:r>
              <w:rPr>
                <w:color w:val="000000" w:themeColor="text1"/>
              </w:rPr>
            </w:r>
          </w:p>
        </w:tc>
        <w:tc>
          <w:tcPr>
            <w:tcW w:w="1916"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rPr>
              <w:t xml:space="preserve">绿化养护面积</w:t>
            </w:r>
            <w:r>
              <w:rPr>
                <w:color w:val="000000" w:themeColor="text1"/>
              </w:rPr>
            </w:r>
          </w:p>
        </w:tc>
        <w:tc>
          <w:tcPr>
            <w:gridSpan w:val="2"/>
            <w:tcW w:w="381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养护金额</w:t>
            </w:r>
            <w:r>
              <w:rPr>
                <w:color w:val="000000" w:themeColor="text1"/>
              </w:rPr>
            </w:r>
          </w:p>
        </w:tc>
      </w:tr>
      <w:tr>
        <w:trPr>
          <w:cantSplit/>
          <w:jc w:val="center"/>
          <w:trHeight w:val="514"/>
        </w:trPr>
        <w:tc>
          <w:tcPr>
            <w:tcW w:w="56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34"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vMerge w:val="continue"/>
            <w:textDirection w:val="lrTb"/>
            <w:noWrap w:val="false"/>
          </w:tcPr>
          <w:p>
            <w:pPr>
              <w:ind w:left="0"/>
              <w:jc w:val="center"/>
              <w:keepLines w:val="0"/>
              <w:keepNext w:val="0"/>
              <w:pageBreakBefore w:val="0"/>
              <w:widowControl w:val="off"/>
              <w:rPr>
                <w:rStyle w:val="1360"/>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916"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90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单价（元/m²）</w:t>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总价（元）</w:t>
            </w:r>
            <w:r>
              <w:rPr>
                <w:color w:val="000000" w:themeColor="text1"/>
              </w:rPr>
            </w:r>
          </w:p>
        </w:tc>
      </w:tr>
      <w:tr>
        <w:trPr>
          <w:cantSplit/>
          <w:jc w:val="center"/>
          <w:trHeight w:val="623"/>
        </w:trPr>
        <w:tc>
          <w:tcPr>
            <w:tcW w:w="563"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p>
        </w:tc>
        <w:tc>
          <w:tcPr>
            <w:tcW w:w="1234"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甪直段绿化养护</w:t>
            </w:r>
            <w:r>
              <w:rPr>
                <w:color w:val="000000" w:themeColor="text1"/>
              </w:rPr>
            </w:r>
          </w:p>
        </w:tc>
        <w:tc>
          <w:tcPr>
            <w:tcW w:w="151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钢丝网片内</w:t>
            </w:r>
            <w:r>
              <w:rPr>
                <w:color w:val="000000" w:themeColor="text1"/>
              </w:rPr>
            </w:r>
          </w:p>
        </w:tc>
        <w:tc>
          <w:tcPr>
            <w:tcW w:w="1916"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约46700</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r>
      <w:tr>
        <w:trPr>
          <w:cantSplit/>
          <w:jc w:val="center"/>
          <w:trHeight w:val="623"/>
        </w:trPr>
        <w:tc>
          <w:tcPr>
            <w:tcW w:w="563"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w:t>
            </w:r>
            <w:r>
              <w:rPr>
                <w:color w:val="000000" w:themeColor="text1"/>
              </w:rPr>
            </w:r>
          </w:p>
        </w:tc>
        <w:tc>
          <w:tcPr>
            <w:tcW w:w="1234"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1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钢丝网片外</w:t>
            </w:r>
            <w:r>
              <w:rPr>
                <w:color w:val="000000" w:themeColor="text1"/>
              </w:rPr>
            </w:r>
          </w:p>
        </w:tc>
        <w:tc>
          <w:tcPr>
            <w:tcW w:w="1916"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约513359</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r>
      <w:tr>
        <w:trPr>
          <w:cantSplit/>
          <w:jc w:val="center"/>
          <w:trHeight w:val="623"/>
        </w:trPr>
        <w:tc>
          <w:tcPr>
            <w:tcW w:w="563"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p>
        </w:tc>
        <w:tc>
          <w:tcPr>
            <w:tcW w:w="1234" w:type="dxa"/>
            <w:vAlign w:val="center"/>
            <w:vMerge w:val="restart"/>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车坊段绿化养护</w:t>
            </w:r>
            <w:r>
              <w:rPr>
                <w:color w:val="000000" w:themeColor="text1"/>
              </w:rPr>
            </w:r>
          </w:p>
        </w:tc>
        <w:tc>
          <w:tcPr>
            <w:tcW w:w="151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钢丝网片内</w:t>
            </w:r>
            <w:r>
              <w:rPr>
                <w:color w:val="000000" w:themeColor="text1"/>
              </w:rPr>
            </w:r>
          </w:p>
        </w:tc>
        <w:tc>
          <w:tcPr>
            <w:tcW w:w="1916"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约44300</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r>
      <w:tr>
        <w:trPr>
          <w:cantSplit/>
          <w:jc w:val="center"/>
          <w:trHeight w:val="582"/>
        </w:trPr>
        <w:tc>
          <w:tcPr>
            <w:tcW w:w="56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p>
        </w:tc>
        <w:tc>
          <w:tcPr>
            <w:tcW w:w="1234" w:type="dxa"/>
            <w:vAlign w:val="center"/>
            <w:vMerge w:val="continue"/>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1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钢丝网片外</w:t>
            </w:r>
            <w:r>
              <w:rPr>
                <w:color w:val="000000" w:themeColor="text1"/>
              </w:rPr>
            </w:r>
          </w:p>
        </w:tc>
        <w:tc>
          <w:tcPr>
            <w:tcW w:w="1916"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约421358</w:t>
            </w:r>
            <w:r>
              <w:rPr>
                <w:rStyle w:val="1360"/>
                <w:rFonts w:hint="eastAsia" w:ascii="宋体" w:hAnsi="宋体" w:cs="宋体"/>
                <w:color w:val="000000" w:themeColor="text1"/>
                <w:sz w:val="24"/>
                <w:szCs w:val="24"/>
                <w:highlight w:val="none"/>
                <w:lang w:val="en-US" w:eastAsia="zh-CN"/>
              </w:rPr>
              <w:t xml:space="preserve">.00</w:t>
            </w:r>
            <w:r>
              <w:rPr>
                <w:rStyle w:val="1360"/>
                <w:rFonts w:hint="eastAsia" w:ascii="宋体" w:hAnsi="宋体" w:eastAsia="宋体" w:cs="宋体"/>
                <w:color w:val="000000" w:themeColor="text1"/>
                <w:sz w:val="24"/>
                <w:szCs w:val="24"/>
                <w:highlight w:val="none"/>
                <w:lang w:val="en-US" w:eastAsia="zh-CN"/>
              </w:rPr>
              <w:t xml:space="preserve">m²</w:t>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r>
            <w:r>
              <w:rPr>
                <w:color w:val="000000" w:themeColor="text1"/>
              </w:rPr>
            </w:r>
          </w:p>
        </w:tc>
        <w:tc>
          <w:tcPr>
            <w:tcW w:w="190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r>
      <w:tr>
        <w:trPr>
          <w:cantSplit/>
          <w:jc w:val="center"/>
          <w:trHeight w:val="582"/>
        </w:trPr>
        <w:tc>
          <w:tcPr>
            <w:gridSpan w:val="2"/>
            <w:tcW w:w="1797" w:type="dxa"/>
            <w:vAlign w:val="center"/>
            <w:textDirection w:val="lrTb"/>
            <w:noWrap w:val="false"/>
          </w:tcPr>
          <w:p>
            <w:pPr>
              <w:ind w:left="0"/>
              <w:jc w:val="center"/>
              <w:keepLines w:val="0"/>
              <w:keepNext w:val="0"/>
              <w:pageBreakBefore w:val="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合计</w:t>
            </w:r>
            <w:r>
              <w:rPr>
                <w:color w:val="000000" w:themeColor="text1"/>
              </w:rPr>
            </w:r>
          </w:p>
        </w:tc>
        <w:tc>
          <w:tcPr>
            <w:gridSpan w:val="4"/>
            <w:tcW w:w="7241"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r>
    </w:tbl>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2、合同条款、考评标准：合同条款、绿化养护技术规范及四季不同的考评标准见附件。</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3、乙方应按照本合同条款的规定和每季度考核标准承担本工程的日常养护。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4、付款方式：</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（1）预付款：</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①预付款支付：合同生效后，</w:t>
      </w: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支付合同金额的10%</w:t>
      </w:r>
      <w:r>
        <w:rPr>
          <w:rFonts w:hint="eastAsia" w:ascii="宋体" w:hAnsi="宋体" w:cs="宋体"/>
          <w:color w:val="000000" w:themeColor="text1"/>
          <w:sz w:val="24"/>
          <w:szCs w:val="24"/>
          <w:highlight w:val="none"/>
          <w:lang w:val="en-US" w:eastAsia="zh-CN"/>
        </w:rPr>
        <w:t xml:space="preserve">作</w:t>
      </w:r>
      <w:r>
        <w:rPr>
          <w:rFonts w:hint="eastAsia" w:ascii="宋体" w:hAnsi="宋体" w:eastAsia="宋体" w:cs="宋体"/>
          <w:color w:val="000000" w:themeColor="text1"/>
          <w:sz w:val="24"/>
          <w:szCs w:val="24"/>
          <w:highlight w:val="none"/>
          <w:lang w:val="en-US" w:eastAsia="zh-CN"/>
        </w:rPr>
        <w:t xml:space="preserve">为预付款。</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②预付款扣回：甲方在第一期付款中扣除全部预付款，若第一期付款金额不足以全额扣回预付款，则差额部分从后续进度款中继续扣回，直至全部预付款扣清为止。</w:t>
      </w:r>
      <w:r>
        <w:rPr>
          <w:color w:val="000000" w:themeColor="text1"/>
        </w:rPr>
      </w:r>
    </w:p>
    <w:p>
      <w:pPr>
        <w:ind w:left="0" w:firstLine="480"/>
        <w:spacing w:line="360" w:lineRule="auto"/>
        <w:widowControl w:val="off"/>
        <w:tabs>
          <w:tab w:val="left" w:pos="567" w:leader="none"/>
        </w:tabs>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（2）合同款支付：</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甲方根据考核结果按半年度发放绿化日常养护费，</w:t>
      </w:r>
      <w:r>
        <w:rPr>
          <w:rFonts w:hint="eastAsia" w:ascii="宋体" w:hAnsi="宋体" w:cs="宋体"/>
          <w:color w:val="000000" w:themeColor="text1"/>
          <w:sz w:val="24"/>
          <w:szCs w:val="24"/>
          <w:highlight w:val="none"/>
          <w:lang w:val="en-US" w:eastAsia="zh-CN"/>
        </w:rPr>
        <w:t xml:space="preserve">季度</w:t>
      </w:r>
      <w:r>
        <w:rPr>
          <w:rFonts w:hint="eastAsia" w:ascii="宋体" w:hAnsi="宋体" w:eastAsia="宋体" w:cs="宋体"/>
          <w:color w:val="000000" w:themeColor="text1"/>
          <w:sz w:val="24"/>
          <w:szCs w:val="24"/>
          <w:highlight w:val="none"/>
          <w:lang w:val="en-US" w:eastAsia="zh-CN"/>
        </w:rPr>
        <w:t xml:space="preserve">养护费等于</w:t>
      </w:r>
      <w:r>
        <w:rPr>
          <w:rFonts w:hint="eastAsia" w:ascii="宋体" w:hAnsi="宋体" w:cs="宋体"/>
          <w:color w:val="000000" w:themeColor="text1"/>
          <w:sz w:val="24"/>
          <w:szCs w:val="24"/>
          <w:highlight w:val="none"/>
          <w:lang w:val="en-US" w:eastAsia="zh-CN"/>
        </w:rPr>
        <w:t xml:space="preserve">季度</w:t>
      </w:r>
      <w:r>
        <w:rPr>
          <w:rFonts w:hint="eastAsia" w:ascii="宋体" w:hAnsi="宋体" w:eastAsia="宋体" w:cs="宋体"/>
          <w:color w:val="000000" w:themeColor="text1"/>
          <w:sz w:val="24"/>
          <w:szCs w:val="24"/>
          <w:highlight w:val="none"/>
          <w:lang w:val="en-US" w:eastAsia="zh-CN"/>
        </w:rPr>
        <w:t xml:space="preserve">基本养护费乘</w:t>
      </w:r>
      <w:r>
        <w:rPr>
          <w:rFonts w:hint="eastAsia" w:ascii="宋体" w:hAnsi="宋体" w:cs="宋体"/>
          <w:color w:val="000000" w:themeColor="text1"/>
          <w:sz w:val="24"/>
          <w:szCs w:val="24"/>
          <w:highlight w:val="none"/>
          <w:lang w:val="en-US" w:eastAsia="zh-CN"/>
        </w:rPr>
        <w:t xml:space="preserve">该季度</w:t>
      </w:r>
      <w:r>
        <w:rPr>
          <w:rFonts w:hint="eastAsia" w:ascii="宋体" w:hAnsi="宋体" w:eastAsia="宋体" w:cs="宋体"/>
          <w:color w:val="000000" w:themeColor="text1"/>
          <w:sz w:val="24"/>
          <w:szCs w:val="24"/>
          <w:highlight w:val="none"/>
          <w:lang w:val="en-US" w:eastAsia="zh-CN"/>
        </w:rPr>
        <w:t xml:space="preserve">考核得分率。一、二、三、四季度绿化养护费分别占全年绿化养护费的20%、30%、30%、20%。</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注：在签订合同时，乙方明确表示无需预付款或者主动要求降低预付款比例的，甲方无需支付10%的预付款。</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5、如果租地用途和管护方式发生变化，乙方必须服从甲方安排。</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四、服务要求：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见招标文件和乙方的投标文件及乙方在招投标过程中的相关承诺、澄清等有关内容。</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五、质量与验收</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乙方需在规定的时间内完成项目服务工作，甲方将组织对项目进行确认、验收，如发现与要求不符等问题，应作详细记录，甲方有权要求终止服务，由此造成的各种费用损失均由乙方承担。 </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六、违约责任：</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1、乙方的违约责任</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（1）乙方未按合同规定的质量要求提供服务，不能完成合同时，甲方有权终止合同，由此造成甲方的直接损失和间接损失，甲方有权要求乙方赔偿。</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（2）乙方必须自己完成合同内容，不得转包、分包，否则，甲方有权按乙方不能完成合同处理；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（3）乙方原因导致出现重大责任事故及其他事故的，一切责任由乙方承担。</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2、甲方违约责任</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乙方按合同全面的履约，甲方不按期付款应向乙方偿付违约金，每逾期一天，按合同价格的万分之四偿付违约金。 </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七、不可抗力：</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1、因不可抗力不能履行合同的，根据不可抗力的影响，部分或者全部免除责任。但合同一方延迟履行后发生不可抗力的，不能免除责任。</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2、合同一方因不可抗力不能履行合同的，应当及时通知对方，以减轻可能给对方造成的损失，并应当在合理期限内提供证明。</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八、合同修改：</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color w:val="000000" w:themeColor="text1"/>
        </w:rPr>
      </w:r>
      <w:bookmarkStart w:id="113" w:name="_Toc24120"/>
      <w:r>
        <w:rPr>
          <w:rFonts w:hint="eastAsia" w:ascii="宋体" w:hAnsi="宋体" w:eastAsia="宋体" w:cs="宋体"/>
          <w:color w:val="000000" w:themeColor="text1"/>
          <w:sz w:val="24"/>
          <w:szCs w:val="24"/>
          <w:highlight w:val="none"/>
          <w:lang w:val="en-US" w:eastAsia="zh-CN"/>
        </w:rPr>
        <w:t xml:space="preserve">甲方和乙方都不得擅自变更本合同，但合同继续履行将损害国家和社会公共利益的除外。如必须对合同条款进行改动时，当事人双方须共同签署书面文件，作为合同的补充。</w:t>
      </w:r>
      <w:bookmarkEnd w:id="113"/>
      <w:r>
        <w:rPr>
          <w:color w:val="000000" w:themeColor="text1"/>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color w:val="000000" w:themeColor="text1"/>
        </w:rPr>
      </w:r>
      <w:bookmarkStart w:id="114" w:name="_Toc29135"/>
      <w:r>
        <w:rPr>
          <w:rFonts w:hint="eastAsia" w:ascii="宋体" w:hAnsi="宋体" w:eastAsia="宋体" w:cs="宋体"/>
          <w:b/>
          <w:bCs/>
          <w:color w:val="000000" w:themeColor="text1"/>
          <w:sz w:val="24"/>
          <w:szCs w:val="24"/>
          <w:highlight w:val="none"/>
          <w:lang w:val="en-US" w:eastAsia="zh-CN"/>
        </w:rPr>
        <w:t xml:space="preserve">九、合同的解除和转让：</w:t>
      </w:r>
      <w:bookmarkEnd w:id="114"/>
      <w:r>
        <w:rPr>
          <w:color w:val="000000" w:themeColor="text1"/>
        </w:rPr>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color w:val="000000" w:themeColor="text1"/>
        </w:rPr>
      </w:r>
      <w:bookmarkStart w:id="115" w:name="_Toc29019"/>
      <w:r>
        <w:rPr>
          <w:rFonts w:hint="eastAsia" w:ascii="宋体" w:hAnsi="宋体" w:eastAsia="宋体" w:cs="宋体"/>
          <w:color w:val="000000" w:themeColor="text1"/>
          <w:sz w:val="24"/>
          <w:szCs w:val="24"/>
          <w:highlight w:val="none"/>
          <w:lang w:val="en-US" w:eastAsia="zh-CN"/>
        </w:rPr>
        <w:t xml:space="preserve">1、有下列情形之一，合同一方可以解除合同：</w:t>
      </w:r>
      <w:bookmarkEnd w:id="115"/>
      <w:r>
        <w:rPr>
          <w:color w:val="000000" w:themeColor="text1"/>
        </w:rPr>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color w:val="000000" w:themeColor="text1"/>
        </w:rPr>
      </w:r>
      <w:bookmarkStart w:id="116" w:name="_Toc31090"/>
      <w:r>
        <w:rPr>
          <w:rFonts w:hint="eastAsia" w:ascii="宋体" w:hAnsi="宋体" w:eastAsia="宋体" w:cs="宋体"/>
          <w:color w:val="000000" w:themeColor="text1"/>
          <w:sz w:val="24"/>
          <w:szCs w:val="24"/>
          <w:highlight w:val="none"/>
          <w:lang w:val="en-US" w:eastAsia="zh-CN"/>
        </w:rPr>
        <w:t xml:space="preserve">（1）因不可抗力致使不能实现合同目的，未受不可抗力影响的一方有权解除合同。</w:t>
      </w:r>
      <w:bookmarkEnd w:id="116"/>
      <w:r>
        <w:rPr>
          <w:color w:val="000000" w:themeColor="text1"/>
        </w:rPr>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（2）因合同一方违约导致合同不能履行，另一方有权解除合同。</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2、有权解除合同的一方，应当在违约事实或不可抗力发生之后三十天内书面通知对方以主张解除合同，合同在书面通知到达对方时解除。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color w:val="000000" w:themeColor="text1"/>
        </w:rPr>
      </w:r>
      <w:bookmarkStart w:id="117" w:name="_Toc27629"/>
      <w:r>
        <w:rPr>
          <w:rFonts w:hint="eastAsia" w:ascii="宋体" w:hAnsi="宋体" w:eastAsia="宋体" w:cs="宋体"/>
          <w:color w:val="000000" w:themeColor="text1"/>
          <w:sz w:val="24"/>
          <w:szCs w:val="24"/>
          <w:highlight w:val="none"/>
          <w:lang w:val="en-US" w:eastAsia="zh-CN"/>
        </w:rPr>
        <w:t xml:space="preserve">3、合同的部分和全部都不得转让。</w:t>
      </w:r>
      <w:bookmarkEnd w:id="117"/>
      <w:r>
        <w:rPr>
          <w:color w:val="000000" w:themeColor="text1"/>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十、争议解决办法：</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因本合同或与本合同有关的一切事项发生争议，由双方友好协商解决。协商不成的，任何一方均可选择向甲方所在地的人民法院起诉。</w:t>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十一、合同生效及份数：</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color w:val="000000" w:themeColor="text1"/>
        </w:rPr>
      </w:r>
      <w:bookmarkStart w:id="118" w:name="_Toc22382"/>
      <w:r>
        <w:rPr>
          <w:rFonts w:hint="eastAsia" w:ascii="宋体" w:hAnsi="宋体" w:eastAsia="宋体" w:cs="宋体"/>
          <w:color w:val="000000" w:themeColor="text1"/>
          <w:sz w:val="24"/>
          <w:szCs w:val="24"/>
          <w:highlight w:val="none"/>
          <w:lang w:val="en-US" w:eastAsia="zh-CN"/>
        </w:rPr>
        <w:t xml:space="preserve">1、合同经招标代理机构加盖骑缝章，甲乙双方法定代表人或其委托代理人签字并加盖公章（或合同章）后生效。</w:t>
      </w:r>
      <w:bookmarkEnd w:id="118"/>
      <w:r>
        <w:rPr>
          <w:color w:val="000000" w:themeColor="text1"/>
        </w:rPr>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2、本合同一式伍份，甲方、乙方各执贰份，采购代理机构壹份。</w:t>
      </w:r>
      <w:r>
        <w:rPr>
          <w:color w:val="000000" w:themeColor="text1"/>
        </w:rPr>
      </w:r>
    </w:p>
    <w:tbl>
      <w:tblPr>
        <w:tblStyle w:val="11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69"/>
        <w:gridCol w:w="4484"/>
      </w:tblGrid>
      <w:tr>
        <w:trPr>
          <w:jc w:val="center"/>
        </w:trPr>
        <w:tc>
          <w:tcPr>
            <w:tcW w:w="4469" w:type="dxa"/>
            <w:vAlign w:val="center"/>
            <w:textDirection w:val="lrTb"/>
            <w:noWrap w:val="false"/>
          </w:tcPr>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甲方（盖章）：</w:t>
            </w:r>
            <w:r>
              <w:rPr>
                <w:color w:val="000000" w:themeColor="text1"/>
              </w:rPr>
            </w:r>
          </w:p>
        </w:tc>
        <w:tc>
          <w:tcPr>
            <w:tcW w:w="4484" w:type="dxa"/>
            <w:vAlign w:val="center"/>
            <w:textDirection w:val="lrTb"/>
            <w:noWrap w:val="false"/>
          </w:tcPr>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乙方（盖章）：</w:t>
            </w:r>
            <w:r>
              <w:rPr>
                <w:color w:val="000000" w:themeColor="text1"/>
              </w:rPr>
            </w:r>
          </w:p>
        </w:tc>
      </w:tr>
      <w:tr>
        <w:trPr>
          <w:jc w:val="center"/>
          <w:trHeight w:val="1606"/>
        </w:trPr>
        <w:tc>
          <w:tcPr>
            <w:tcW w:w="4469" w:type="dxa"/>
            <w:vAlign w:val="center"/>
            <w:textDirection w:val="lrTb"/>
            <w:noWrap w:val="false"/>
          </w:tcPr>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法定（授权）代表人（签字</w:t>
            </w:r>
            <w:r>
              <w:rPr>
                <w:rFonts w:hint="eastAsia" w:ascii="宋体" w:hAnsi="宋体" w:eastAsia="宋体" w:cs="宋体"/>
                <w:color w:val="000000" w:themeColor="text1"/>
                <w:sz w:val="24"/>
                <w:szCs w:val="24"/>
                <w:highlight w:val="none"/>
                <w:lang w:val="en-US" w:eastAsia="zh-CN"/>
              </w:rPr>
              <w:t xml:space="preserve">或盖章</w:t>
            </w:r>
            <w:r>
              <w:rPr>
                <w:rFonts w:hint="eastAsia" w:ascii="宋体" w:hAnsi="宋体" w:eastAsia="宋体" w:cs="宋体"/>
                <w:color w:val="000000" w:themeColor="text1"/>
                <w:sz w:val="24"/>
                <w:szCs w:val="24"/>
                <w:highlight w:val="none"/>
                <w:lang w:eastAsia="zh-CN"/>
              </w:rPr>
              <w:t xml:space="preserve">）：</w:t>
            </w:r>
            <w:r>
              <w:rPr>
                <w:color w:val="000000" w:themeColor="text1"/>
              </w:rPr>
            </w:r>
          </w:p>
        </w:tc>
        <w:tc>
          <w:tcPr>
            <w:tcW w:w="4484" w:type="dxa"/>
            <w:vAlign w:val="center"/>
            <w:textDirection w:val="lrTb"/>
            <w:noWrap w:val="false"/>
          </w:tcPr>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法定（授权）代表人（签字</w:t>
            </w:r>
            <w:r>
              <w:rPr>
                <w:rFonts w:hint="eastAsia" w:ascii="宋体" w:hAnsi="宋体" w:eastAsia="宋体" w:cs="宋体"/>
                <w:color w:val="000000" w:themeColor="text1"/>
                <w:sz w:val="24"/>
                <w:szCs w:val="24"/>
                <w:highlight w:val="none"/>
                <w:lang w:val="en-US" w:eastAsia="zh-CN"/>
              </w:rPr>
              <w:t xml:space="preserve">或盖章</w:t>
            </w:r>
            <w:r>
              <w:rPr>
                <w:rFonts w:hint="eastAsia" w:ascii="宋体" w:hAnsi="宋体" w:eastAsia="宋体" w:cs="宋体"/>
                <w:color w:val="000000" w:themeColor="text1"/>
                <w:sz w:val="24"/>
                <w:szCs w:val="24"/>
                <w:highlight w:val="none"/>
                <w:lang w:eastAsia="zh-CN"/>
              </w:rPr>
              <w:t xml:space="preserve">）：</w:t>
            </w:r>
            <w:r>
              <w:rPr>
                <w:color w:val="000000" w:themeColor="text1"/>
              </w:rPr>
            </w:r>
          </w:p>
        </w:tc>
      </w:tr>
      <w:tr>
        <w:trPr>
          <w:jc w:val="center"/>
          <w:trHeight w:val="796"/>
        </w:trPr>
        <w:tc>
          <w:tcPr>
            <w:tcW w:w="4469" w:type="dxa"/>
            <w:vAlign w:val="center"/>
            <w:textDirection w:val="lrTb"/>
            <w:noWrap w:val="false"/>
          </w:tcPr>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rPr>
            </w:r>
          </w:p>
        </w:tc>
        <w:tc>
          <w:tcPr>
            <w:tcW w:w="4484" w:type="dxa"/>
            <w:vAlign w:val="center"/>
            <w:textDirection w:val="lrTb"/>
            <w:noWrap w:val="false"/>
          </w:tcPr>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rPr>
            </w:r>
          </w:p>
        </w:tc>
      </w:tr>
    </w:tbl>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ind w:left="0" w:firstLine="0"/>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附件一：</w:t>
      </w:r>
      <w:r>
        <w:rPr>
          <w:color w:val="000000" w:themeColor="text1"/>
        </w:rPr>
      </w:r>
    </w:p>
    <w:p>
      <w:pPr>
        <w:ind w:left="0" w:firstLine="480"/>
        <w:jc w:val="center"/>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合同条款</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乙方必须按公共绿地养护技术规范（附后）进行养护，并接受甲方进行定期（每月一次）或不定期的检查打分（考评标准见附表），月度考核与当月日常养护检查记录评分相结合，构成月度综合得分，作为每季绿化养护付款的依据。</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为确保养护质量，乙方必须配备充足的绿化养护专业设备，落实专业队伍进行动态养护管理，全天候作业。发现侵占绿地和破坏林木草坪行为应与派出所、交警、城管或森林警察大队配合，及时追查处理、补植苗木，否则追究养护单位责任。</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3、养护内容:做到“除草保洁、松土施肥、病虫防治、整枝修剪、抗旱排涝、防寒保墒、缺株补植、完善和完美绿化景观”等的专业化、制度化，实施绿化长效管理。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4、乙方养护过程中，必须采取周密的安全措施，配备养护人员标志服装，以避免对养护人员、公众和他人财产造成损害，如发生养护人员公伤及行人及其它财产损失，由乙方承担。</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5、重大活动及突击性安排，由甲方通知乙方在规定时间内按要求完成。</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遇自然灾害（如树木突然倒塌、碰线、碰屋、非养护原因造成的因枝伤人，伤物等），乙方应提前作好准备，巡视绿通管护区域，及时处理现场。如乙方久拖不决，造成交通堵塞及损失进一步增大，甲方有权从乙方管护经费中扣除损失费用。</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7、对于承包范围内的养护工作乙方如果不能及时完成，甲方有权安排第三方进行养护，所发生的费用，从乙方月度养护费中扣除。对多次不能完成任务绿化养护单位，甲方将终止其绿化养护合同。</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养护期间的树木花草如有死亡，必须及时清除并将树穴当天填平，选择合适的季节补植同规格的苗木，若未按规定补植，甲方有权安排第三方进行种植，所发生的费用加20%的管理费，从乙方养护费中扣除。同时乙方要根据承包范围内绿化工程的实际布局，有计划、有步骤、分期分批种植适宜苗木（计划报甲方），逐步完善和完美绿化景观。</w:t>
      </w:r>
      <w:r>
        <w:rPr>
          <w:color w:val="000000" w:themeColor="text1"/>
        </w:rPr>
      </w:r>
    </w:p>
    <w:p>
      <w:pPr>
        <w:ind w:left="0" w:firstLine="480"/>
        <w:spacing w:line="360" w:lineRule="auto"/>
        <w:widowControl w:val="off"/>
        <w:tabs>
          <w:tab w:val="left" w:pos="567" w:leader="none"/>
        </w:tabs>
        <w:rPr>
          <w:rFonts w:ascii="宋体" w:hAnsi="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9、工程临近移交，如乙方某些养护作业甲方无法接受，甲方有权要求无偿返工，直至缺陷得到纠正，甲方可以接受为止。</w:t>
      </w:r>
      <w:r>
        <w:rPr>
          <w:color w:val="000000" w:themeColor="text1"/>
        </w:rPr>
      </w:r>
    </w:p>
    <w:p>
      <w:pPr>
        <w:spacing w:line="580" w:lineRule="exact"/>
        <w:rPr>
          <w:rFonts w:ascii="楷体_GB2312" w:hAnsi="宋体"/>
          <w:color w:val="000000" w:themeColor="text1"/>
          <w:sz w:val="24"/>
          <w:szCs w:val="24"/>
        </w:rPr>
      </w:pPr>
      <w:r>
        <w:rPr>
          <w:rFonts w:ascii="楷体_GB2312" w:hAnsi="宋体"/>
          <w:color w:val="000000" w:themeColor="text1"/>
          <w:sz w:val="24"/>
          <w:szCs w:val="24"/>
        </w:rPr>
      </w:r>
      <w:r>
        <w:rPr>
          <w:color w:val="000000" w:themeColor="text1"/>
        </w:rPr>
      </w:r>
    </w:p>
    <w:p>
      <w:pPr>
        <w:spacing w:line="240" w:lineRule="auto"/>
        <w:rPr>
          <w:rFonts w:hint="eastAsia" w:hAnsi="宋体"/>
          <w:b/>
          <w:bCs/>
          <w:color w:val="000000" w:themeColor="text1"/>
          <w:sz w:val="24"/>
          <w:szCs w:val="24"/>
        </w:rPr>
      </w:pPr>
      <w:r>
        <w:rPr>
          <w:rFonts w:hint="eastAsia" w:hAnsi="宋体"/>
          <w:b/>
          <w:bCs/>
          <w:color w:val="000000" w:themeColor="text1"/>
          <w:sz w:val="24"/>
          <w:szCs w:val="24"/>
        </w:rPr>
      </w:r>
      <w:r>
        <w:rPr>
          <w:color w:val="000000" w:themeColor="text1"/>
        </w:rPr>
      </w:r>
    </w:p>
    <w:p>
      <w:pPr>
        <w:spacing w:line="240" w:lineRule="auto"/>
        <w:rPr>
          <w:rFonts w:hint="eastAsia" w:hAnsi="宋体"/>
          <w:b/>
          <w:bCs/>
          <w:color w:val="000000" w:themeColor="text1"/>
          <w:sz w:val="24"/>
          <w:szCs w:val="24"/>
        </w:rPr>
      </w:pPr>
      <w:r>
        <w:rPr>
          <w:rFonts w:hint="eastAsia" w:hAnsi="宋体"/>
          <w:b/>
          <w:bCs/>
          <w:color w:val="000000" w:themeColor="text1"/>
          <w:sz w:val="24"/>
          <w:szCs w:val="24"/>
        </w:rPr>
      </w:r>
      <w:r>
        <w:rPr>
          <w:color w:val="000000" w:themeColor="text1"/>
        </w:rPr>
      </w:r>
    </w:p>
    <w:p>
      <w:pPr>
        <w:spacing w:line="240" w:lineRule="auto"/>
        <w:rPr>
          <w:rFonts w:hint="eastAsia" w:hAnsi="宋体"/>
          <w:b/>
          <w:bCs/>
          <w:color w:val="000000" w:themeColor="text1"/>
          <w:sz w:val="24"/>
          <w:szCs w:val="24"/>
        </w:rPr>
      </w:pPr>
      <w:r>
        <w:rPr>
          <w:rFonts w:hint="eastAsia" w:hAnsi="宋体"/>
          <w:b/>
          <w:bCs/>
          <w:color w:val="000000" w:themeColor="text1"/>
          <w:sz w:val="24"/>
          <w:szCs w:val="24"/>
        </w:rPr>
      </w:r>
      <w:r>
        <w:rPr>
          <w:color w:val="000000" w:themeColor="text1"/>
        </w:rPr>
      </w:r>
    </w:p>
    <w:p>
      <w:pPr>
        <w:spacing w:line="240" w:lineRule="auto"/>
        <w:rPr>
          <w:rFonts w:hint="eastAsia" w:hAnsi="宋体"/>
          <w:b/>
          <w:bCs/>
          <w:color w:val="000000" w:themeColor="text1"/>
          <w:sz w:val="24"/>
          <w:szCs w:val="24"/>
        </w:rPr>
      </w:pPr>
      <w:r>
        <w:rPr>
          <w:rFonts w:hint="eastAsia" w:hAnsi="宋体"/>
          <w:b/>
          <w:bCs/>
          <w:color w:val="000000" w:themeColor="text1"/>
          <w:sz w:val="24"/>
          <w:szCs w:val="24"/>
        </w:rPr>
      </w:r>
      <w:r>
        <w:rPr>
          <w:color w:val="000000" w:themeColor="text1"/>
        </w:rPr>
      </w:r>
    </w:p>
    <w:p>
      <w:pPr>
        <w:ind w:left="0" w:firstLine="0"/>
        <w:spacing w:line="240" w:lineRule="auto"/>
        <w:rPr>
          <w:rFonts w:hint="eastAsia" w:eastAsia="宋体"/>
          <w:b/>
          <w:bCs/>
          <w:color w:val="000000" w:themeColor="text1"/>
          <w:sz w:val="24"/>
          <w:szCs w:val="24"/>
        </w:rPr>
      </w:pPr>
      <w:r>
        <w:rPr>
          <w:rFonts w:hint="eastAsia" w:hAnsi="宋体"/>
          <w:b/>
          <w:bCs/>
          <w:color w:val="000000" w:themeColor="text1"/>
          <w:sz w:val="24"/>
          <w:szCs w:val="24"/>
        </w:rPr>
        <w:t xml:space="preserve">附件</w:t>
      </w:r>
      <w:r>
        <w:rPr>
          <w:rFonts w:hint="eastAsia" w:hAnsi="宋体"/>
          <w:b/>
          <w:bCs/>
          <w:color w:val="000000" w:themeColor="text1"/>
          <w:sz w:val="24"/>
          <w:szCs w:val="24"/>
          <w:lang w:val="en-US" w:eastAsia="zh-CN"/>
        </w:rPr>
        <w:t xml:space="preserve">二</w:t>
      </w:r>
      <w:r>
        <w:rPr>
          <w:rFonts w:hint="eastAsia" w:hAnsi="宋体"/>
          <w:b/>
          <w:bCs/>
          <w:color w:val="000000" w:themeColor="text1"/>
          <w:sz w:val="24"/>
          <w:szCs w:val="24"/>
          <w:lang w:eastAsia="zh-CN"/>
        </w:rPr>
        <w:t xml:space="preserve">：</w:t>
      </w:r>
      <w:r>
        <w:rPr>
          <w:color w:val="000000" w:themeColor="text1"/>
        </w:rPr>
      </w:r>
    </w:p>
    <w:p>
      <w:pPr>
        <w:ind w:left="0" w:firstLine="480"/>
        <w:jc w:val="center"/>
        <w:spacing w:line="360" w:lineRule="auto"/>
        <w:widowControl w:val="off"/>
        <w:tabs>
          <w:tab w:val="left" w:pos="567"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公共绿地养护技术规范</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一、总体要求: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1、绿化养护必须由具有相应的专业队伍来承担。</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2、养护方应具有绿化养护工作必需的工具和设备，以及在苏州市区具有固定的办公场所及人员。</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3、养护方所提供的植物材料、生产资料、机械设备必须满足绿化养护的要求，并且对环境没有污染。</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4、养护后的绿地、需环境整洁、美观、无杂草、病虫害、枯枝败叶等垃圾，植物生长旺盛。</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二、养护规范</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（一）树木养护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树木养护工作，主要包括如下内容:（A）浇水（B）松土、除草（C）病虫害防治（D）施肥（E）树木保护、支撑（F）修剪（G）树木补植及环境清理等</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（二）灌溉与排水</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植物的浇水应根据不同的环境条件、季节差异和植物的生长情况确定浇水量。</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1、养护方应确保所浇的水不含任何污染物。</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2、养护方应自行解决从水源到浇水地点的运输，严禁擅自打开消防水笼头或窨井盖取水。</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3、浇水前应先松土，并围堰做好积水坑。夏季浇水宜在上午进行，浇水要一次浇透，特别是春、夏季节。浇水水流不能过急，以防止地表泾流。</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4、对于名贵树木及新种植树木，视天气干旱情况和植物情况对树干和树体进行喷雾。</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5、树木周围雨后积水应及时排除。</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（三）松土、除草</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1、树木根部周围的土壤要保持疏松，易板结的土壤在蒸腾旺季须每月松土一次，松土深度以不伤根系生长为限。</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2、种植在草坪内的树木须每年在树穴周围对草坪切边。</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3、松土除草应选在晴朗或初晴天气，且土壤不过分潮湿（一般在土壤含水50%）的时候进行，不得在土壤泥泞下进行，以免破坏土壤结构。</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4、乔、灌木下的杂草应及时铲除，除掉的杂草要马上清理，运出绿化带。</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5、未经甲方同意不得使用任何除草剂。使用除草剂的申请应为书面的并附有有关化学药品的功能的详细资料，得到批准后，养护方应确保该药品的使用符合政府规定的要求。</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（四）病虫害防治</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1、做好植物病虫害的预测、预报，及时防治、控制，做到用药配比正确，安全操作，不发生危害。</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2、喷药时间宜有清早或傍晚，同时，为防止产生抗药性，应轮流使用多种药剂。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3、每次打药应在浇水后进行，以确保杀虫剂不被冲掉。</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4、制止病虫害发生的效果，应是植物看不到明显的伤害及发生大面积病虫害蔓延现象。</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（五）施肥</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施肥应根据不同的树种、树龄、生长势和土壤理化性质而定。</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1、树木休眠期和栽植前，需施基肥，生长期可按植株的生长势施追肥，花灌木应在花前、花后进行施肥。宜选择晴天进行。</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2、基肥施用，应将肥料和表层土彻底搅和，追肥使用，应确保植物的叶子不因施肥而变枯焦。</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3、各类绿地应以施有机肥为主，有机肥应腐熟后施用。应用微量元素和根外施肥技术，推广应用复合肥料和长效缓释肥料。</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4、树木施肥应先挖好施肥环沟，其外径与冠幅相适应。环沟深、宽均为25----30公分。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5、所有的化肥应清楚的贴有标签。必须说明化学元素及其比例；化肥必须有制造厂的名字和商标；制造和出厂日期及过期日期也应标明。</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（六）树木保护、支撑</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1、树木保护: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每年的初冬，均需对行道树进行抗冻处理（根际培土、主干包扎、涂白），并在树木休眠期内，进行扶正。</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对树体上出现的伤口应清理后用药剂消毒，涂保护剂或抹灰膏，做到早治，防止扩大。</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以现树洞要及时修补，防止腐朽进一步扩大；对腐烂部位应按外科方法进行处理。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2、树木支撑:</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做好高大乔木抗风暴的预防工作，根据树木的实际情况，采取立支柱、绑扎、加土、扶正、疏枝等措施。一旦风暴来临，应及时检查，发现问题，妥善处理。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用于支撑、固定的材料应坚固耐用，并采用软性材料同植物接触。</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（七）修剪</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1、主要修剪内膛枝、徒长枝、病虫枝、交叉枝、扭伤枝。枝条修剪时，切口必须靠节，剪口应在剪口芽的后侧呈45度倾斜。剪口要平整，涂抹防腐剂 。（剪口直径大于15公分以上时）对于粗壮的大枝，应采取分段截枝法，防止撕裂树枝，并做好操作时的安全工作。</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2、修剪程度:休眠期修剪以整形为主，可稍重剪，生长期修剪（包括剥芽、去蘖、疏枝等工作）以调整树势为主，宜轻剪。</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3、花灌木修剪要有利于短枝和花芽的形成，遵循“先上后下，先内后外，去弱留强，去老留新”的原则进行修剪。</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4、绿篱、地被修剪应促其分枝，保持全株枝叶丰满，加速覆盖。</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5、修剪剩余物要及时清理，保证作业现场洁净。</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（八）树木补植及死树处理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1、补植树木应选用规格略大于原树种1---2公分的树种。</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2、补植季节与绿化季节相同。</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3、及时清除死树，并填平坑塘。</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（九）地被植物</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1、地被植物在未覆盖前，每年应及时进行松土、除草，松土除草时要防止损伤根系和地下茎。</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2、天气干旱、土壤干燥时要适时、适量浇水。早春发芽前要施肥，生长季节采取薄肥勤施。</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3、枯死植物应及时挖除并补植，枯枝败叶、残花要随时清理。</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4、木本地被植物应在冬季休眠期修剪，应使植株在生长期间保持高度不超过60公分的低矮状态。</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（十）草坪</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1、总体要求:草坪覆盖度不得少于95%，集中空秃不得大于1平方米；及时控制病虫害；及时挑除杂草，保证草坪色泽正常生长良好、无明显杂草。</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浇水灌溉:必须湿透根系层；灌溉量应根据土质、生长期、草种等因素确定；灌溉方式应以喷灌为主，也可用浸灌；灌溉时间及时期；冷季型草坪在春秋二季充分浇水，夏季早晨适量浇水，暖季型草坪夏季要勤浇水，宜早晚浇；雨后及时排除草坪上的积水。</w:t>
      </w:r>
      <w:r>
        <w:rPr>
          <w:color w:val="000000" w:themeColor="text1"/>
        </w:rPr>
      </w:r>
    </w:p>
    <w:tbl>
      <w:tblPr>
        <w:tblStyle w:val="1149"/>
        <w:tblW w:w="9675"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714"/>
        <w:gridCol w:w="1835"/>
        <w:gridCol w:w="1620"/>
        <w:gridCol w:w="1695"/>
        <w:gridCol w:w="1710"/>
      </w:tblGrid>
      <w:tr>
        <w:trPr>
          <w:trHeight w:val="732"/>
        </w:trPr>
        <w:tc>
          <w:tcPr>
            <w:tcW w:w="1101"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月份</w:t>
            </w:r>
            <w:r>
              <w:rPr>
                <w:color w:val="000000" w:themeColor="text1"/>
              </w:rPr>
            </w:r>
          </w:p>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项目</w:t>
            </w:r>
            <w:r>
              <w:rPr>
                <w:color w:val="000000" w:themeColor="text1"/>
              </w:rPr>
            </w:r>
          </w:p>
        </w:tc>
        <w:tc>
          <w:tcPr>
            <w:tcW w:w="1714"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1---2月</w:t>
            </w:r>
            <w:r>
              <w:rPr>
                <w:color w:val="000000" w:themeColor="text1"/>
              </w:rPr>
            </w:r>
          </w:p>
        </w:tc>
        <w:tc>
          <w:tcPr>
            <w:tcW w:w="18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3---6月</w:t>
            </w:r>
            <w:r>
              <w:rPr>
                <w:color w:val="000000" w:themeColor="text1"/>
              </w:rPr>
            </w:r>
          </w:p>
        </w:tc>
        <w:tc>
          <w:tcPr>
            <w:tcW w:w="16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7---8月</w:t>
            </w:r>
            <w:r>
              <w:rPr>
                <w:color w:val="000000" w:themeColor="text1"/>
              </w:rPr>
            </w:r>
          </w:p>
        </w:tc>
        <w:tc>
          <w:tcPr>
            <w:tcW w:w="169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9---10月</w:t>
            </w:r>
            <w:r>
              <w:rPr>
                <w:color w:val="000000" w:themeColor="text1"/>
              </w:rPr>
            </w:r>
          </w:p>
        </w:tc>
        <w:tc>
          <w:tcPr>
            <w:tcW w:w="171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11---12月</w:t>
            </w:r>
            <w:r>
              <w:rPr>
                <w:color w:val="000000" w:themeColor="text1"/>
              </w:rPr>
            </w:r>
          </w:p>
        </w:tc>
      </w:tr>
      <w:tr>
        <w:trPr>
          <w:trHeight w:val="1320"/>
        </w:trPr>
        <w:tc>
          <w:tcPr>
            <w:tcW w:w="1101"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浇水</w:t>
            </w:r>
            <w:r>
              <w:rPr>
                <w:color w:val="000000" w:themeColor="text1"/>
              </w:rPr>
            </w:r>
          </w:p>
        </w:tc>
        <w:tc>
          <w:tcPr>
            <w:tcW w:w="1714"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1次/周，浇水量为土壤2-3厘米深度湿润为标准</w:t>
            </w:r>
            <w:r>
              <w:rPr>
                <w:color w:val="000000" w:themeColor="text1"/>
              </w:rPr>
            </w:r>
          </w:p>
        </w:tc>
        <w:tc>
          <w:tcPr>
            <w:tcW w:w="18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3次/周，浇水量为土壤3-4厘米深度湿润为标准</w:t>
            </w:r>
            <w:r>
              <w:rPr>
                <w:color w:val="000000" w:themeColor="text1"/>
              </w:rPr>
            </w:r>
          </w:p>
        </w:tc>
        <w:tc>
          <w:tcPr>
            <w:tcW w:w="16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4次/周，浇水量为土壤10-15米深度湿润为标准</w:t>
            </w:r>
            <w:r>
              <w:rPr>
                <w:color w:val="000000" w:themeColor="text1"/>
              </w:rPr>
            </w:r>
          </w:p>
        </w:tc>
        <w:tc>
          <w:tcPr>
            <w:tcW w:w="169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3次/周，浇水量为土壤4-6厘米深度湿润为标准</w:t>
            </w:r>
            <w:r>
              <w:rPr>
                <w:color w:val="000000" w:themeColor="text1"/>
              </w:rPr>
            </w:r>
          </w:p>
        </w:tc>
        <w:tc>
          <w:tcPr>
            <w:tcW w:w="171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2次/周，浇水量为土壤2-3厘米深度湿润为标准</w:t>
            </w:r>
            <w:r>
              <w:rPr>
                <w:color w:val="000000" w:themeColor="text1"/>
              </w:rPr>
            </w:r>
          </w:p>
        </w:tc>
      </w:tr>
    </w:tbl>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修剪:草坪在生长季节,应按三分之一原则适时进行修剪,修剪后高度冷季型不超过6公分,暖季型宜为5-7公分,年修剪次数:冷季型为40-41次（冬季12-2月份,2次/月:春季3-4月份,3次/月、5-6月份，5次/月；夏季7-8月份，2次/月；秋季9-10月份，5次/月），暖季型为20次。</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修剪方式:同一草坪应避免用同一种方式修剪，防止同一点、同一方式多次重复修剪，使该处草坪长势弱，且趋于同一方向生长。一般应采用条纹状交叉修剪。</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清理:在每次修剪后，应及时清除草坪上的茎叶，以防止滋生病害，影响美观。所有剪下的物品应在每次修剪后清除并运出。</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修剪后过1-2天，应喷洒一次常规抗菌剂（如甲基托布津、代森锌等）防止病害发生，此工作在6-8月病虫害多发季节尤其重要。</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4、施肥；每次修剪后需立即施肥。主要施肥时期在春秋季。施肥可采用撒施和根外追肥。</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春秋季应加大施肥，施肥前应先除草，以使肥料容易渗入泥土；施肥应均匀，采取东西向施肥和南北向施肥相结合，在叶片干燥时进行，施后立即浇水，这样有利于草坪对肥力的快速吸收和防止叶片灼伤，养护方应确保植物的叶子不因施肥而大面积变焦，不发生明显的肥害现象。</w:t>
      </w:r>
      <w:r>
        <w:rPr>
          <w:color w:val="000000" w:themeColor="text1"/>
        </w:rPr>
      </w:r>
    </w:p>
    <w:tbl>
      <w:tblPr>
        <w:tblStyle w:val="1149"/>
        <w:tblW w:w="9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935"/>
        <w:gridCol w:w="1613"/>
        <w:gridCol w:w="1279"/>
        <w:gridCol w:w="1770"/>
        <w:gridCol w:w="2043"/>
      </w:tblGrid>
      <w:tr>
        <w:trPr>
          <w:trHeight w:val="490"/>
        </w:trPr>
        <w:tc>
          <w:tcPr>
            <w:tcW w:w="1084"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月份</w:t>
            </w:r>
            <w:r>
              <w:rPr>
                <w:color w:val="000000" w:themeColor="text1"/>
              </w:rPr>
            </w:r>
          </w:p>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项目</w:t>
            </w:r>
            <w:r>
              <w:rPr>
                <w:color w:val="000000" w:themeColor="text1"/>
              </w:rPr>
            </w:r>
          </w:p>
        </w:tc>
        <w:tc>
          <w:tcPr>
            <w:tcW w:w="19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1-2月</w:t>
            </w:r>
            <w:r>
              <w:rPr>
                <w:color w:val="000000" w:themeColor="text1"/>
              </w:rPr>
            </w:r>
          </w:p>
        </w:tc>
        <w:tc>
          <w:tcPr>
            <w:tcW w:w="161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3-6月</w:t>
            </w:r>
            <w:r>
              <w:rPr>
                <w:color w:val="000000" w:themeColor="text1"/>
              </w:rPr>
            </w:r>
          </w:p>
        </w:tc>
        <w:tc>
          <w:tcPr>
            <w:tcW w:w="1279"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7-8月</w:t>
            </w:r>
            <w:r>
              <w:rPr>
                <w:color w:val="000000" w:themeColor="text1"/>
              </w:rPr>
            </w:r>
          </w:p>
        </w:tc>
        <w:tc>
          <w:tcPr>
            <w:tcW w:w="177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9-10月</w:t>
            </w:r>
            <w:r>
              <w:rPr>
                <w:color w:val="000000" w:themeColor="text1"/>
              </w:rPr>
            </w:r>
          </w:p>
        </w:tc>
        <w:tc>
          <w:tcPr>
            <w:tcW w:w="204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11-12月</w:t>
            </w:r>
            <w:r>
              <w:rPr>
                <w:color w:val="000000" w:themeColor="text1"/>
              </w:rPr>
            </w:r>
          </w:p>
        </w:tc>
      </w:tr>
      <w:tr>
        <w:trPr>
          <w:trHeight w:val="995"/>
        </w:trPr>
        <w:tc>
          <w:tcPr>
            <w:tcW w:w="1084"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施肥</w:t>
            </w:r>
            <w:r>
              <w:rPr>
                <w:color w:val="000000" w:themeColor="text1"/>
              </w:rPr>
            </w:r>
          </w:p>
        </w:tc>
        <w:tc>
          <w:tcPr>
            <w:tcW w:w="193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1次/月、鸡粪等专用有机肥130g/m2次结合打孔进行</w:t>
            </w:r>
            <w:r>
              <w:rPr>
                <w:color w:val="000000" w:themeColor="text1"/>
              </w:rPr>
            </w:r>
          </w:p>
        </w:tc>
        <w:tc>
          <w:tcPr>
            <w:tcW w:w="161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2次/月、20g/m2次,N:P:K=10:5:5复合肥</w:t>
            </w:r>
            <w:r>
              <w:rPr>
                <w:color w:val="000000" w:themeColor="text1"/>
              </w:rPr>
            </w:r>
          </w:p>
        </w:tc>
        <w:tc>
          <w:tcPr>
            <w:tcW w:w="1279"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基本不需施肥</w:t>
            </w:r>
            <w:r>
              <w:rPr>
                <w:color w:val="000000" w:themeColor="text1"/>
              </w:rPr>
            </w:r>
          </w:p>
        </w:tc>
        <w:tc>
          <w:tcPr>
            <w:tcW w:w="177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2次/月、15g/m2次，N:P:K=10:6:4复合肥</w:t>
            </w:r>
            <w:r>
              <w:rPr>
                <w:color w:val="000000" w:themeColor="text1"/>
              </w:rPr>
            </w:r>
          </w:p>
        </w:tc>
        <w:tc>
          <w:tcPr>
            <w:tcW w:w="204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color w:val="000000" w:themeColor="text1"/>
                <w:sz w:val="24"/>
                <w:szCs w:val="24"/>
                <w:highlight w:val="none"/>
              </w:rPr>
            </w:pPr>
            <w:r>
              <w:rPr>
                <w:rStyle w:val="1360"/>
                <w:rFonts w:hint="eastAsia" w:ascii="宋体" w:hAnsi="宋体" w:eastAsia="宋体" w:cs="宋体"/>
                <w:color w:val="000000" w:themeColor="text1"/>
                <w:sz w:val="24"/>
                <w:szCs w:val="24"/>
                <w:highlight w:val="none"/>
                <w:lang w:val="en-US" w:eastAsia="zh-CN"/>
              </w:rPr>
              <w:t xml:space="preserve">1次/月、15g/m2次，N:P:K=5:10:5复合肥结合中耕进行</w:t>
            </w:r>
            <w:r>
              <w:rPr>
                <w:color w:val="000000" w:themeColor="text1"/>
              </w:rPr>
            </w:r>
          </w:p>
        </w:tc>
      </w:tr>
    </w:tbl>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5、清除杂草:草坪杂草应及时清除，做到除早、除小、除净。清除方法可采用人工除草、生物除草、机械除草和化学除草，采用化学除草剂必须经甲方同意后方可实施。</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6、病虫害防治:病虫害应以防为主，防治结合，尽量采用生物防治。如采用化学防治应选择无公害药剂或高效低毒的化学药剂。7-9月份，每次修剪后需立即打药防治病虫害发生。</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7、草坪更新:可采用补播草籽复壮、条状更新、定期封闭和断根更新等方法。</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8、滚压、打孔:每年早春，土壤解冻之际，应对草坪进行滚压一次。滚压采用重量60-200公斤的空心铁轮。滚压前土壤处于微湿润状态，滚压后应及时对草坪进行疏耙，并追施P.K为主的复合肥25公斤/亩。</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草坪使用一段时间后土壤会板结，草坪根部严重</w:t>
      </w:r>
      <w:r>
        <w:rPr>
          <w:rFonts w:hint="eastAsia" w:ascii="宋体" w:hAnsi="宋体" w:eastAsia="宋体" w:cs="宋体"/>
          <w:color w:val="000000" w:themeColor="text1"/>
          <w:sz w:val="24"/>
          <w:szCs w:val="24"/>
          <w:highlight w:val="none"/>
          <w:lang w:val="en-US" w:eastAsia="zh-CN"/>
        </w:rPr>
        <w:t xml:space="preserve">缺氧，排水不良。应采用打孔中耕措施改良草坪的物理性能，增加土壤透气性，促进地下部分生长。每年深秋采用专用草坪打孔机进行打孔。打孔深度达到5-8厘米。然后粉碎土壤，并对草坪进行耙平和修剪，使土壤均匀撒播在草坪上。打孔后立即用消毒过的壤土和草坪专用有机肥料（N.P.K复合肥,用量为20公斤/亩）按2:1的比例（体积比）,进行混和后覆盖在草坪上,平均覆盖厚度为0.3-0.5厘米,并及时浇透水.每年复末和初秋用松土机或中耕机（安装垂直刀片）进行近地表的垂直刈剪或划破草皮,中耕后需及时修剪一次,并清除枯草、修正草坪。</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9、场地平整:为保证草坪的弹性和保护根系，冬季应在草坪上复盖厚为0.5-1公分的细土或细砂。</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10、疏草:冬季应用专门机械对草坪疏草一次，以减少来年病虫害的发生。</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11、其它养护:草坪中的树坛、花坛边缘应进行切边，保持线条清晰；每年秋冬，采用刺孔在草坪上打洞，除去打出的老土，撒入泥炭土或沙粒，以增加土壤的透气性，促进草坪的生长。</w:t>
      </w:r>
      <w:r>
        <w:rPr>
          <w:color w:val="000000" w:themeColor="text1"/>
        </w:rPr>
      </w:r>
    </w:p>
    <w:p>
      <w:pPr>
        <w:ind w:left="0" w:firstLine="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（十一）花坛和花卉养护</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1、换花移裁前必须深翻细耙，除尽土中石块、草屑、残茎、落叶等杂物，并施足基肥。</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2、花坛的防护设施应当保持清洁完好，并尽量保证行人和游客和安全。</w:t>
      </w:r>
      <w:r>
        <w:rPr>
          <w:color w:val="000000" w:themeColor="text1"/>
        </w:rP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3、球根、宿根类地被植物，经2-3年生长后，根部拥挤以致影响其正常生长时，必须按不同类群的生理习性进行分株或更新移植。</w:t>
      </w:r>
      <w:r>
        <w:rPr>
          <w:color w:val="000000" w:themeColor="text1"/>
        </w:rPr>
      </w:r>
    </w:p>
    <w:p>
      <w:pPr>
        <w:rPr>
          <w:rFonts w:hint="eastAsia"/>
          <w:b/>
          <w:bCs/>
          <w:color w:val="000000" w:themeColor="text1"/>
          <w:sz w:val="24"/>
          <w:szCs w:val="24"/>
        </w:rPr>
        <w:sectPr>
          <w:headerReference w:type="default" r:id="rId9"/>
          <w:footerReference w:type="default" r:id="rId20"/>
          <w:footnotePr/>
          <w:endnotePr/>
          <w:type w:val="nextPage"/>
          <w:pgSz w:w="11906" w:h="16838" w:orient="portrait"/>
          <w:pgMar w:top="1417" w:right="1247" w:bottom="1417" w:left="1247" w:header="850" w:footer="992" w:gutter="0"/>
          <w:cols w:num="1" w:sep="0" w:space="0" w:equalWidth="1"/>
          <w:docGrid w:linePitch="360"/>
          <w:titlePg/>
        </w:sectPr>
      </w:pPr>
      <w:r>
        <w:rPr>
          <w:rFonts w:hint="eastAsia"/>
          <w:b/>
          <w:bCs/>
          <w:color w:val="000000" w:themeColor="text1"/>
          <w:sz w:val="24"/>
          <w:szCs w:val="24"/>
        </w:rPr>
      </w:r>
      <w:r>
        <w:rPr>
          <w:color w:val="000000" w:themeColor="text1"/>
        </w:rPr>
      </w:r>
    </w:p>
    <w:p>
      <w:pPr>
        <w:ind w:left="0" w:firstLine="0"/>
        <w:jc w:val="left"/>
        <w:rPr>
          <w:rFonts w:hint="eastAsia" w:eastAsia="宋体"/>
          <w:b/>
          <w:bCs/>
          <w:color w:val="000000" w:themeColor="text1"/>
          <w:sz w:val="24"/>
          <w:szCs w:val="24"/>
        </w:rPr>
      </w:pPr>
      <w:r>
        <w:rPr>
          <w:rFonts w:hint="eastAsia"/>
          <w:b/>
          <w:bCs/>
          <w:color w:val="000000" w:themeColor="text1"/>
          <w:sz w:val="24"/>
          <w:szCs w:val="24"/>
        </w:rPr>
        <w:t xml:space="preserve">附件</w:t>
      </w:r>
      <w:r>
        <w:rPr>
          <w:rFonts w:hint="eastAsia"/>
          <w:b/>
          <w:bCs/>
          <w:color w:val="000000" w:themeColor="text1"/>
          <w:sz w:val="24"/>
          <w:szCs w:val="24"/>
          <w:lang w:val="en-US" w:eastAsia="zh-CN"/>
        </w:rPr>
        <w:t xml:space="preserve">三</w:t>
      </w:r>
      <w:r>
        <w:rPr>
          <w:rFonts w:hint="eastAsia"/>
          <w:b/>
          <w:bCs/>
          <w:color w:val="000000" w:themeColor="text1"/>
          <w:sz w:val="24"/>
          <w:szCs w:val="24"/>
          <w:lang w:eastAsia="zh-CN"/>
        </w:rPr>
        <w:t xml:space="preserve">：</w:t>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t xml:space="preserve">养护</w:t>
      </w:r>
      <w:r>
        <w:rPr>
          <w:rFonts w:hint="eastAsia"/>
          <w:b/>
          <w:bCs/>
          <w:color w:val="000000" w:themeColor="text1"/>
          <w:sz w:val="24"/>
          <w:szCs w:val="24"/>
          <w:u w:val="single"/>
        </w:rPr>
        <w:t xml:space="preserve">      </w:t>
      </w:r>
      <w:r>
        <w:rPr>
          <w:rFonts w:hint="eastAsia"/>
          <w:b/>
          <w:bCs/>
          <w:color w:val="000000" w:themeColor="text1"/>
          <w:sz w:val="24"/>
          <w:szCs w:val="24"/>
        </w:rPr>
        <w:t xml:space="preserve">年第一季度考核情况汇总表</w:t>
      </w:r>
      <w:r>
        <w:rPr>
          <w:color w:val="000000" w:themeColor="text1"/>
        </w:rPr>
      </w:r>
    </w:p>
    <w:p>
      <w:pPr>
        <w:rPr>
          <w:rFonts w:hint="eastAsia"/>
          <w:color w:val="000000" w:themeColor="text1"/>
          <w:sz w:val="24"/>
          <w:szCs w:val="24"/>
        </w:rPr>
      </w:pPr>
      <w:r>
        <w:rPr>
          <w:rFonts w:hint="eastAsia"/>
          <w:color w:val="000000" w:themeColor="text1"/>
          <w:sz w:val="24"/>
          <w:szCs w:val="24"/>
        </w:rPr>
        <w:t xml:space="preserve">养护单位</w:t>
      </w:r>
      <w:r>
        <w:rPr>
          <w:rFonts w:hint="eastAsia"/>
          <w:color w:val="000000" w:themeColor="text1"/>
          <w:sz w:val="24"/>
          <w:szCs w:val="24"/>
          <w:u w:val="single"/>
        </w:rPr>
        <w:t xml:space="preserve">                         </w:t>
      </w:r>
      <w:r>
        <w:rPr>
          <w:rFonts w:hint="eastAsia"/>
          <w:color w:val="000000" w:themeColor="text1"/>
          <w:sz w:val="24"/>
          <w:szCs w:val="24"/>
        </w:rPr>
        <w:t xml:space="preserve">                                                                   </w:t>
      </w:r>
      <w:r>
        <w:rPr>
          <w:color w:val="000000" w:themeColor="text1"/>
        </w:rPr>
      </w:r>
    </w:p>
    <w:tbl>
      <w:tblPr>
        <w:tblStyle w:val="1149"/>
        <w:tblW w:w="15018" w:type="dxa"/>
        <w:tblInd w:w="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083"/>
        <w:gridCol w:w="4137"/>
        <w:gridCol w:w="7380"/>
        <w:gridCol w:w="1338"/>
      </w:tblGrid>
      <w:tr>
        <w:trPr>
          <w:cantSplit/>
          <w:trHeight w:val="247"/>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bCs/>
                <w:color w:val="000000" w:themeColor="text1"/>
                <w:sz w:val="21"/>
                <w:szCs w:val="21"/>
                <w:highlight w:val="none"/>
              </w:rPr>
            </w:pPr>
            <w:r>
              <w:rPr>
                <w:rStyle w:val="1360"/>
                <w:rFonts w:hint="eastAsia" w:ascii="宋体" w:hAnsi="宋体" w:eastAsia="宋体" w:cs="宋体"/>
                <w:b/>
                <w:bCs/>
                <w:color w:val="000000" w:themeColor="text1"/>
                <w:sz w:val="21"/>
                <w:szCs w:val="21"/>
                <w:highlight w:val="none"/>
                <w:lang w:val="en-US" w:eastAsia="zh-CN"/>
              </w:rPr>
              <w:t xml:space="preserve">考核项目</w:t>
            </w:r>
            <w:r>
              <w:rPr>
                <w:color w:val="000000" w:themeColor="text1"/>
              </w:rP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bCs/>
                <w:color w:val="000000" w:themeColor="text1"/>
                <w:sz w:val="21"/>
                <w:szCs w:val="21"/>
                <w:highlight w:val="none"/>
              </w:rPr>
            </w:pPr>
            <w:r>
              <w:rPr>
                <w:rStyle w:val="1360"/>
                <w:rFonts w:hint="eastAsia" w:ascii="宋体" w:hAnsi="宋体" w:eastAsia="宋体" w:cs="宋体"/>
                <w:b/>
                <w:bCs/>
                <w:color w:val="000000" w:themeColor="text1"/>
                <w:sz w:val="21"/>
                <w:szCs w:val="21"/>
                <w:highlight w:val="none"/>
                <w:lang w:val="en-US" w:eastAsia="zh-CN"/>
              </w:rPr>
              <w:t xml:space="preserve">考核总分</w:t>
            </w:r>
            <w:r>
              <w:rPr>
                <w:color w:val="000000" w:themeColor="text1"/>
              </w:rPr>
            </w:r>
          </w:p>
        </w:tc>
        <w:tc>
          <w:tcPr>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bCs/>
                <w:color w:val="000000" w:themeColor="text1"/>
                <w:sz w:val="21"/>
                <w:szCs w:val="21"/>
                <w:highlight w:val="none"/>
              </w:rPr>
            </w:pPr>
            <w:r>
              <w:rPr>
                <w:rStyle w:val="1360"/>
                <w:rFonts w:hint="eastAsia" w:ascii="宋体" w:hAnsi="宋体" w:eastAsia="宋体" w:cs="宋体"/>
                <w:b/>
                <w:bCs/>
                <w:color w:val="000000" w:themeColor="text1"/>
                <w:sz w:val="21"/>
                <w:szCs w:val="21"/>
                <w:highlight w:val="none"/>
                <w:lang w:val="en-US" w:eastAsia="zh-CN"/>
              </w:rPr>
              <w:t xml:space="preserve">考核内容</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bCs/>
                <w:color w:val="000000" w:themeColor="text1"/>
                <w:sz w:val="21"/>
                <w:szCs w:val="21"/>
                <w:highlight w:val="none"/>
              </w:rPr>
            </w:pPr>
            <w:r>
              <w:rPr>
                <w:rStyle w:val="1360"/>
                <w:rFonts w:hint="eastAsia" w:ascii="宋体" w:hAnsi="宋体" w:eastAsia="宋体" w:cs="宋体"/>
                <w:b/>
                <w:bCs/>
                <w:color w:val="000000" w:themeColor="text1"/>
                <w:sz w:val="21"/>
                <w:szCs w:val="21"/>
                <w:highlight w:val="none"/>
                <w:lang w:val="en-US" w:eastAsia="zh-CN"/>
              </w:rPr>
              <w:t xml:space="preserve">评分细则</w:t>
            </w:r>
            <w:r>
              <w:rPr>
                <w:color w:val="000000" w:themeColor="text1"/>
              </w:rPr>
            </w:r>
          </w:p>
        </w:tc>
        <w:tc>
          <w:tcPr>
            <w:tcBorders>
              <w:top w:val="single" w:color="auto" w:sz="4" w:space="0"/>
              <w:left w:val="single" w:color="auto" w:sz="4" w:space="0"/>
              <w:bottom w:val="single" w:color="auto" w:sz="4" w:space="0"/>
            </w:tcBorders>
            <w:tcW w:w="1338"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bCs/>
                <w:color w:val="000000" w:themeColor="text1"/>
                <w:sz w:val="21"/>
                <w:szCs w:val="21"/>
                <w:highlight w:val="none"/>
              </w:rPr>
            </w:pPr>
            <w:r>
              <w:rPr>
                <w:rStyle w:val="1360"/>
                <w:rFonts w:hint="eastAsia" w:ascii="宋体" w:hAnsi="宋体" w:eastAsia="宋体" w:cs="宋体"/>
                <w:b/>
                <w:bCs/>
                <w:color w:val="000000" w:themeColor="text1"/>
                <w:sz w:val="21"/>
                <w:szCs w:val="21"/>
                <w:highlight w:val="none"/>
                <w:lang w:val="en-US" w:eastAsia="zh-CN"/>
              </w:rPr>
              <w:t xml:space="preserve">考核得分/扣分原因</w:t>
            </w:r>
            <w:r>
              <w:rPr>
                <w:color w:val="000000" w:themeColor="text1"/>
              </w:rPr>
            </w:r>
          </w:p>
        </w:tc>
      </w:tr>
      <w:tr>
        <w:trPr>
          <w:cantSplit/>
          <w:trHeight w:val="444"/>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管护基础</w:t>
            </w:r>
            <w:r>
              <w:rPr>
                <w:color w:val="000000" w:themeColor="text1"/>
              </w:rPr>
            </w:r>
          </w:p>
        </w:tc>
        <w:tc>
          <w:tcPr>
            <w:tcBorders>
              <w:top w:val="single" w:color="auto" w:sz="4" w:space="0"/>
              <w:left w:val="single" w:color="auto" w:sz="4" w:space="0"/>
              <w:bottom w:val="single" w:color="auto" w:sz="4" w:space="0"/>
              <w:right w:val="single" w:color="auto" w:sz="4" w:space="0"/>
            </w:tcBorders>
            <w:tcW w:w="108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1、养护设备（2分）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1、配备洒水车（设备）、喷药机、绿篱修剪机等养护专用器具。</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15"/>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2、养护人员，安全生产（2分）</w:t>
            </w:r>
            <w:r>
              <w:rPr>
                <w:color w:val="000000" w:themeColor="text1"/>
              </w:rPr>
            </w:r>
          </w:p>
        </w:tc>
        <w:tc>
          <w:tcPr>
            <w:tcBorders>
              <w:top w:val="single" w:color="auto" w:sz="4" w:space="0"/>
              <w:left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2、原则上每万平方米配备专业养护人员不少于1人，上报管护人员名单及具体责任地段，不足者每少20%扣1分，扣完为止。统一着养护马甲，确保安全。</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87"/>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3、养护台帐（1分）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3、做好养护计划和实施工作台帐，每月上报一次。</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44"/>
        </w:trPr>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沟系建设绿地整洁</w:t>
            </w:r>
            <w:r>
              <w:rPr>
                <w:color w:val="000000" w:themeColor="text1"/>
              </w:rPr>
            </w:r>
          </w:p>
        </w:tc>
        <w:tc>
          <w:tcPr>
            <w:tcBorders>
              <w:top w:val="single" w:color="auto" w:sz="4" w:space="0"/>
              <w:left w:val="single" w:color="auto" w:sz="4" w:space="0"/>
              <w:bottom w:val="single" w:color="auto" w:sz="4" w:space="0"/>
              <w:right w:val="single" w:color="auto" w:sz="4" w:space="0"/>
            </w:tcBorders>
            <w:tcW w:w="108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15分</w:t>
            </w:r>
            <w:r>
              <w:rPr>
                <w:color w:val="000000" w:themeColor="text1"/>
              </w:rPr>
            </w:r>
          </w:p>
        </w:tc>
        <w:tc>
          <w:tcPr>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1、纵横排水沟渠设置（5分）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1、合理开设纵横排水沟，沟渠整洁，排水通畅，否则按受害面积与时间扣分。</w:t>
            </w:r>
            <w:r>
              <w:rPr>
                <w:color w:val="000000" w:themeColor="text1"/>
              </w:rPr>
            </w:r>
          </w:p>
        </w:tc>
        <w:tc>
          <w:tcPr>
            <w:tcBorders>
              <w:top w:val="single" w:color="auto" w:sz="4" w:space="0"/>
              <w:left w:val="single" w:color="auto" w:sz="4" w:space="0"/>
              <w:bottom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814"/>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2、垃圾、杂草及杂物清理（10分）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2、绿地发现农作物不得分。每百平方米有1个垃圾扣１分；有2个垃圾扣３分;有3个垃圾扣６分；超过4个不得分。杂草按其占面积比例扣分。10%以内扣3分；20%以内扣5分，超过20%不得分。</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64"/>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松土施肥</w:t>
            </w:r>
            <w:r>
              <w:rPr>
                <w:color w:val="000000" w:themeColor="text1"/>
              </w:rPr>
            </w:r>
          </w:p>
        </w:tc>
        <w:tc>
          <w:tcPr>
            <w:tcBorders>
              <w:top w:val="single" w:color="auto" w:sz="4" w:space="0"/>
              <w:left w:val="single" w:color="auto" w:sz="4" w:space="0"/>
              <w:right w:val="single" w:color="auto" w:sz="4" w:space="0"/>
            </w:tcBorders>
            <w:tcW w:w="108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40分</w:t>
            </w:r>
            <w:r>
              <w:rPr>
                <w:color w:val="000000" w:themeColor="text1"/>
              </w:rPr>
            </w:r>
          </w:p>
        </w:tc>
        <w:tc>
          <w:tcPr>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1、绿地翻垦、树木松塘、草坪补植（15分）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无草坪绿地春季松土一次、每株树木春季松塘壅土一次，翻松不达标视情扣分。草坪缺损处补缺，不补缺者不得分。</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576"/>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2、树木冬春季施肥（2５分）</w:t>
            </w:r>
            <w:r>
              <w:rPr>
                <w:color w:val="000000" w:themeColor="text1"/>
              </w:rPr>
            </w:r>
          </w:p>
        </w:tc>
        <w:tc>
          <w:tcPr>
            <w:tcBorders>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秋冬季施腐熟有机肥不少于500克/平米，春季施氮磷钾复合肥不少于50克/平米，桂花玉兰等名贵树每株施腐熟菜饼肥1公斤左右，肥量不达标导致苗木缺肥发黄、生长衰弱扣５－２０分，上报检查施肥过程及肥料袋。</w:t>
            </w:r>
            <w:r>
              <w:rPr>
                <w:color w:val="000000" w:themeColor="text1"/>
              </w:rPr>
            </w:r>
          </w:p>
        </w:tc>
        <w:tc>
          <w:tcPr>
            <w:tcBorders>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04"/>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树势树形</w:t>
            </w:r>
            <w:r>
              <w:rPr>
                <w:color w:val="000000" w:themeColor="text1"/>
              </w:rPr>
            </w:r>
          </w:p>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苗木补植</w:t>
            </w:r>
            <w:r>
              <w:rPr>
                <w:color w:val="000000" w:themeColor="text1"/>
              </w:rPr>
            </w:r>
          </w:p>
        </w:tc>
        <w:tc>
          <w:tcPr>
            <w:tcBorders>
              <w:top w:val="single" w:color="auto" w:sz="4" w:space="0"/>
              <w:left w:val="single" w:color="auto" w:sz="4" w:space="0"/>
              <w:right w:val="single" w:color="auto" w:sz="4" w:space="0"/>
            </w:tcBorders>
            <w:tcW w:w="108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35分</w:t>
            </w:r>
            <w:r>
              <w:rPr>
                <w:color w:val="000000" w:themeColor="text1"/>
              </w:rPr>
            </w:r>
          </w:p>
        </w:tc>
        <w:tc>
          <w:tcPr>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树木长势（5分）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长势不良根据树势扣３－5分</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53"/>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树木修剪整齐、无歪斜树木（10分）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根据生长特点，修剪整形，景观大道要求树冠整齐树形美观。修剪和抹芽不及时或修剪和抹芽质量不合要求者按实情扣分。歪斜树木每株扣1分。</w:t>
            </w:r>
            <w:r>
              <w:rPr>
                <w:color w:val="000000" w:themeColor="text1"/>
              </w:rPr>
            </w:r>
          </w:p>
        </w:tc>
        <w:tc>
          <w:tcPr>
            <w:tcBorders>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61"/>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right w:val="single" w:color="auto" w:sz="4" w:space="0"/>
            </w:tcBorders>
            <w:tcW w:w="4137"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枯枝死树清理，苗木补植（20分）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3、发现死树胸径20公分以上的每株扣5分， 20公分以下的每株扣2分。</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06"/>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37"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4、死亡树种及时清理并以同品种同规格择时节补植，适时未补缺1株扣1分。</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55"/>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其它</w:t>
            </w:r>
            <w:r>
              <w:rPr>
                <w:color w:val="000000" w:themeColor="text1"/>
              </w:rPr>
            </w:r>
          </w:p>
        </w:tc>
        <w:tc>
          <w:tcPr>
            <w:tcBorders>
              <w:top w:val="single" w:color="auto" w:sz="4" w:space="0"/>
              <w:left w:val="single" w:color="auto" w:sz="4" w:space="0"/>
              <w:right w:val="single" w:color="auto" w:sz="4" w:space="0"/>
            </w:tcBorders>
            <w:tcW w:w="1083"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right w:val="single" w:color="auto" w:sz="4" w:space="0"/>
            </w:tcBorders>
            <w:tcW w:w="4137"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完成突击任务及其它事宜（5分）</w:t>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1、不及时按质完成突击任务，按情况扣分。</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269"/>
        </w:trPr>
        <w:tc>
          <w:tcPr>
            <w:tcBorders>
              <w:top w:val="single" w:color="auto" w:sz="4" w:space="0"/>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right w:val="single" w:color="auto" w:sz="4" w:space="0"/>
            </w:tcBorders>
            <w:tcW w:w="1083"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right w:val="single" w:color="auto" w:sz="4" w:space="0"/>
            </w:tcBorders>
            <w:tcW w:w="4137"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2、养护中出现三次同样问题、遭到领导批评等不得分。</w:t>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105"/>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合计</w:t>
            </w:r>
            <w:r>
              <w:rPr>
                <w:color w:val="000000" w:themeColor="text1"/>
              </w:rP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100</w:t>
            </w:r>
            <w:r>
              <w:rPr>
                <w:color w:val="000000" w:themeColor="text1"/>
              </w:rPr>
            </w:r>
          </w:p>
        </w:tc>
        <w:tc>
          <w:tcPr>
            <w:tcBorders>
              <w:top w:val="single" w:color="auto" w:sz="4" w:space="0"/>
              <w:left w:val="single" w:color="auto" w:sz="4" w:space="0"/>
              <w:bottom w:val="single" w:color="auto" w:sz="4" w:space="0"/>
              <w:right w:val="single" w:color="auto" w:sz="4" w:space="0"/>
            </w:tcBorders>
            <w:tcW w:w="4137"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1338"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bl>
    <w:p>
      <w:pPr>
        <w:spacing w:line="440" w:lineRule="exact"/>
        <w:rPr>
          <w:rFonts w:hint="eastAsia"/>
          <w:b/>
          <w:bCs/>
          <w:color w:val="000000" w:themeColor="text1"/>
          <w:sz w:val="24"/>
          <w:szCs w:val="24"/>
        </w:rPr>
      </w:pPr>
      <w:r>
        <w:rPr>
          <w:rFonts w:hint="eastAsia"/>
          <w:color w:val="000000" w:themeColor="text1"/>
          <w:sz w:val="24"/>
          <w:szCs w:val="24"/>
        </w:rPr>
        <w:t xml:space="preserve">被考核单位签名</w:t>
      </w:r>
      <w:r>
        <w:rPr>
          <w:rFonts w:hint="eastAsia"/>
          <w:color w:val="000000" w:themeColor="text1"/>
          <w:sz w:val="24"/>
          <w:szCs w:val="24"/>
          <w:u w:val="single"/>
        </w:rPr>
        <w:t xml:space="preserve">                         </w:t>
      </w:r>
      <w:r>
        <w:rPr>
          <w:rFonts w:hint="eastAsia"/>
          <w:color w:val="000000" w:themeColor="text1"/>
          <w:sz w:val="24"/>
          <w:szCs w:val="24"/>
        </w:rPr>
        <w:t xml:space="preserve">                                    考核人员</w:t>
      </w:r>
      <w:r>
        <w:rPr>
          <w:rFonts w:hint="eastAsia"/>
          <w:color w:val="000000" w:themeColor="text1"/>
          <w:sz w:val="24"/>
          <w:szCs w:val="24"/>
          <w:u w:val="single"/>
        </w:rPr>
        <w:t xml:space="preserve">                                                       </w:t>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t xml:space="preserve">养护</w:t>
      </w:r>
      <w:r>
        <w:rPr>
          <w:rFonts w:hint="eastAsia"/>
          <w:b/>
          <w:bCs/>
          <w:color w:val="000000" w:themeColor="text1"/>
          <w:sz w:val="24"/>
          <w:szCs w:val="24"/>
          <w:u w:val="single"/>
        </w:rPr>
        <w:t xml:space="preserve">       </w:t>
      </w:r>
      <w:r>
        <w:rPr>
          <w:rFonts w:hint="eastAsia"/>
          <w:b/>
          <w:bCs/>
          <w:color w:val="000000" w:themeColor="text1"/>
          <w:sz w:val="24"/>
          <w:szCs w:val="24"/>
        </w:rPr>
        <w:t xml:space="preserve">年第二季度考核情况汇总表</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养护单位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rPr>
          <w:color w:val="000000" w:themeColor="text1"/>
        </w:rPr>
      </w:r>
    </w:p>
    <w:tbl>
      <w:tblPr>
        <w:tblStyle w:val="1149"/>
        <w:tblW w:w="15135" w:type="dxa"/>
        <w:tblInd w:w="-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095"/>
        <w:gridCol w:w="4140"/>
        <w:gridCol w:w="7560"/>
        <w:gridCol w:w="1260"/>
      </w:tblGrid>
      <w:tr>
        <w:trPr>
          <w:cantSplit/>
          <w:trHeight w:val="247"/>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考核项目</w:t>
            </w:r>
            <w:r>
              <w:rPr>
                <w:color w:val="000000" w:themeColor="text1"/>
              </w:rP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考核总分</w:t>
            </w:r>
            <w:r>
              <w:rPr>
                <w:color w:val="000000" w:themeColor="text1"/>
              </w:rP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考核内容</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评分细则</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考核得分/扣分情况</w:t>
            </w:r>
            <w:r>
              <w:rPr>
                <w:color w:val="000000" w:themeColor="text1"/>
              </w:rPr>
            </w:r>
          </w:p>
        </w:tc>
      </w:tr>
      <w:tr>
        <w:trPr>
          <w:cantSplit/>
          <w:trHeight w:val="458"/>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养护基础</w:t>
            </w:r>
            <w:r>
              <w:rPr>
                <w:color w:val="000000" w:themeColor="text1"/>
              </w:rPr>
            </w:r>
          </w:p>
        </w:tc>
        <w:tc>
          <w:tcPr>
            <w:tcBorders>
              <w:top w:val="single" w:color="auto" w:sz="4" w:space="0"/>
              <w:left w:val="single" w:color="auto" w:sz="4" w:space="0"/>
              <w:bottom w:val="single" w:color="auto" w:sz="4" w:space="0"/>
              <w:right w:val="single" w:color="auto" w:sz="4" w:space="0"/>
            </w:tcBorders>
            <w:tcW w:w="109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1、养护设备（2分）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1、配备洒水车（设备）、喷雾器、绿篱修剪机等养护专用器具。</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20"/>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2、养护人员,安全生产（2分）</w:t>
            </w:r>
            <w:r>
              <w:rPr>
                <w:color w:val="000000" w:themeColor="text1"/>
              </w:rPr>
            </w:r>
          </w:p>
        </w:tc>
        <w:tc>
          <w:tcPr>
            <w:tcBorders>
              <w:top w:val="single" w:color="auto" w:sz="4" w:space="0"/>
              <w:left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2、原则上每万平方米配备专业养护人员不少于1人，不足者按每少20%扣1分，扣完为止，工作人员统一着装养护马甲,确保安全。</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54"/>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3、养护台帐。（1分）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3、做好养护计划和实施工作台帐，每月上报一次。</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536"/>
        </w:trPr>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绿地整洁</w:t>
            </w:r>
            <w:r>
              <w:rPr>
                <w:color w:val="000000" w:themeColor="text1"/>
              </w:rPr>
            </w:r>
          </w:p>
        </w:tc>
        <w:tc>
          <w:tcPr>
            <w:tcBorders>
              <w:top w:val="single" w:color="auto" w:sz="4" w:space="0"/>
              <w:left w:val="single" w:color="auto" w:sz="4" w:space="0"/>
              <w:bottom w:val="single" w:color="auto" w:sz="4" w:space="0"/>
              <w:right w:val="single" w:color="auto" w:sz="4" w:space="0"/>
            </w:tcBorders>
            <w:tcW w:w="109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25分</w:t>
            </w:r>
            <w:r>
              <w:rPr>
                <w:color w:val="000000" w:themeColor="text1"/>
              </w:rP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1、绿线保护（5分）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1、发现侵占绿地和破坏林木草坪行为未及时与相关部门配合追查处理、补植苗木的，根据危害程度和造成的影响扣2-4分。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76"/>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2、杂草清除（15分）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2、杂草检查按其占面积比例扣分。10%扣5分；20%扣10分；30%扣15分.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744"/>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3、垃圾及杂物清理（5分）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3、绿地发现农作物不得分。垃圾每次抽查5块。每百平方米有2个垃圾扣1分，有3个垃圾扣3分；超过4个以上不得分。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36"/>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病虫害</w:t>
            </w:r>
            <w:r>
              <w:rPr>
                <w:color w:val="000000" w:themeColor="text1"/>
              </w:rPr>
            </w:r>
          </w:p>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防  治</w:t>
            </w:r>
            <w:r>
              <w:rPr>
                <w:color w:val="000000" w:themeColor="text1"/>
              </w:rPr>
            </w:r>
          </w:p>
        </w:tc>
        <w:tc>
          <w:tcPr>
            <w:tcBorders>
              <w:top w:val="single" w:color="auto" w:sz="4" w:space="0"/>
              <w:left w:val="single" w:color="auto" w:sz="4" w:space="0"/>
              <w:right w:val="single" w:color="auto" w:sz="4" w:space="0"/>
            </w:tcBorders>
            <w:tcW w:w="109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30分</w:t>
            </w:r>
            <w:r>
              <w:rPr>
                <w:color w:val="000000" w:themeColor="text1"/>
              </w:rPr>
            </w:r>
          </w:p>
        </w:tc>
        <w:tc>
          <w:tcPr>
            <w:tcBorders>
              <w:top w:val="single" w:color="auto" w:sz="4" w:space="0"/>
              <w:left w:val="single" w:color="auto" w:sz="4" w:space="0"/>
              <w:right w:val="single" w:color="auto" w:sz="4" w:space="0"/>
            </w:tcBorders>
            <w:tcW w:w="414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病虫害预测工作，及时治理病虫害（30分）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1、不及时做好病虫预测工作建立档案的扣2分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50"/>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4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2、不及时扑杀，造成树木危害的每2棵苗木扣1分 。危害草坪5%扣2分；10%扣5分；20%扣10分；30%扣15分；超过40%不得分。</w:t>
            </w:r>
            <w:r>
              <w:rPr>
                <w:color w:val="000000" w:themeColor="text1"/>
              </w:rPr>
            </w:r>
          </w:p>
        </w:tc>
        <w:tc>
          <w:tcPr>
            <w:tcBorders>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22"/>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抗旱排涝</w:t>
            </w:r>
            <w:r>
              <w:rPr>
                <w:color w:val="000000" w:themeColor="text1"/>
              </w:rP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10分</w:t>
            </w:r>
            <w:r>
              <w:rPr>
                <w:color w:val="000000" w:themeColor="text1"/>
              </w:rP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浇灌抗旱（10分）</w:t>
            </w:r>
            <w:r>
              <w:rPr>
                <w:color w:val="000000" w:themeColor="text1"/>
              </w:rPr>
            </w:r>
          </w:p>
        </w:tc>
        <w:tc>
          <w:tcPr>
            <w:tcBorders>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不及时浇灌浇足浇透（排涝排尽）扣3-8分，不浇灌（排涝）不得分。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46"/>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树势树形</w:t>
            </w:r>
            <w:r>
              <w:rPr>
                <w:color w:val="000000" w:themeColor="text1"/>
              </w:rPr>
            </w:r>
          </w:p>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苗木补植</w:t>
            </w:r>
            <w:r>
              <w:rPr>
                <w:color w:val="000000" w:themeColor="text1"/>
              </w:rPr>
            </w:r>
          </w:p>
        </w:tc>
        <w:tc>
          <w:tcPr>
            <w:tcBorders>
              <w:top w:val="single" w:color="auto" w:sz="4" w:space="0"/>
              <w:left w:val="single" w:color="auto" w:sz="4" w:space="0"/>
              <w:right w:val="single" w:color="auto" w:sz="4" w:space="0"/>
            </w:tcBorders>
            <w:tcW w:w="109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25分</w:t>
            </w:r>
            <w:r>
              <w:rPr>
                <w:color w:val="000000" w:themeColor="text1"/>
              </w:rP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1、树木长势（10分）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1、生长季节，因缺肥、缺水等导致树木长势不良，生长缓慢，当年生长量低于同树种平均水平，根据树势扣3-8分。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2、树冠整齐、无歪斜树木（5分）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2、树冠整齐，发现歪斜树木每株扣1分。</w:t>
            </w:r>
            <w:r>
              <w:rPr>
                <w:color w:val="000000" w:themeColor="text1"/>
              </w:rPr>
            </w:r>
          </w:p>
        </w:tc>
        <w:tc>
          <w:tcPr>
            <w:tcBorders>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24"/>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right w:val="single" w:color="auto" w:sz="4" w:space="0"/>
            </w:tcBorders>
            <w:tcW w:w="414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3、枯枝死树清理，苗木补植（10分）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3、发现死树胸径20公分以上的每株扣5分， 20公分以下的每株扣2分。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288"/>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4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4、死亡树种及时清理并以同品种同规格择时节补植，适时未补缺1株扣1分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其它</w:t>
            </w:r>
            <w:r>
              <w:rPr>
                <w:color w:val="000000" w:themeColor="text1"/>
              </w:rPr>
            </w:r>
          </w:p>
        </w:tc>
        <w:tc>
          <w:tcPr>
            <w:tcBorders>
              <w:top w:val="single" w:color="auto" w:sz="4" w:space="0"/>
              <w:left w:val="single" w:color="auto" w:sz="4" w:space="0"/>
              <w:right w:val="single" w:color="auto" w:sz="4" w:space="0"/>
            </w:tcBorders>
            <w:tcW w:w="109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right w:val="single" w:color="auto" w:sz="4" w:space="0"/>
            </w:tcBorders>
            <w:tcW w:w="414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完成突击任务及其它事宜（5分）</w:t>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1、不及时按质完成突击任务，按情况扣分。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4"/>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414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2、养护中出现三次同样问题、遭到领导批评等不得分。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6"/>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合计</w:t>
            </w:r>
            <w:r>
              <w:rPr>
                <w:color w:val="000000" w:themeColor="text1"/>
              </w:rP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100</w:t>
            </w:r>
            <w:r>
              <w:rPr>
                <w:color w:val="000000" w:themeColor="text1"/>
              </w:rP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75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bl>
    <w:p>
      <w:pPr>
        <w:spacing w:line="34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被考核单位签名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考核人员</w:t>
      </w:r>
      <w:r>
        <w:rPr>
          <w:rFonts w:hint="eastAsia" w:ascii="宋体" w:hAnsi="宋体"/>
          <w:color w:val="000000" w:themeColor="text1"/>
          <w:sz w:val="24"/>
          <w:szCs w:val="24"/>
          <w:u w:val="single"/>
        </w:rPr>
        <w:t xml:space="preserve">                                                  </w:t>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t xml:space="preserve"> 养护</w:t>
      </w:r>
      <w:r>
        <w:rPr>
          <w:rFonts w:hint="eastAsia"/>
          <w:b/>
          <w:bCs/>
          <w:color w:val="000000" w:themeColor="text1"/>
          <w:sz w:val="24"/>
          <w:szCs w:val="24"/>
          <w:u w:val="single"/>
        </w:rPr>
        <w:t xml:space="preserve">        </w:t>
      </w:r>
      <w:r>
        <w:rPr>
          <w:rFonts w:hint="eastAsia"/>
          <w:b/>
          <w:bCs/>
          <w:color w:val="000000" w:themeColor="text1"/>
          <w:sz w:val="24"/>
          <w:szCs w:val="24"/>
        </w:rPr>
        <w:t xml:space="preserve">年第三季度考核情况汇总表</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养护单位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rPr>
          <w:color w:val="000000" w:themeColor="text1"/>
        </w:rPr>
      </w:r>
    </w:p>
    <w:tbl>
      <w:tblPr>
        <w:tblStyle w:val="1149"/>
        <w:tblW w:w="15285"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0"/>
        <w:gridCol w:w="1065"/>
        <w:gridCol w:w="3600"/>
        <w:gridCol w:w="8100"/>
        <w:gridCol w:w="1260"/>
      </w:tblGrid>
      <w:tr>
        <w:trPr>
          <w:cantSplit/>
          <w:trHeight w:val="247"/>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考核项目</w:t>
            </w:r>
            <w:r>
              <w:rPr>
                <w:color w:val="000000" w:themeColor="text1"/>
              </w:rP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考核总分</w:t>
            </w:r>
            <w:r>
              <w:rPr>
                <w:color w:val="000000" w:themeColor="text1"/>
              </w:rP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考核内容</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评分细则</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考核得分/扣分原因</w:t>
            </w:r>
            <w:r>
              <w:rPr>
                <w:color w:val="000000" w:themeColor="text1"/>
              </w:rPr>
            </w:r>
          </w:p>
        </w:tc>
      </w:tr>
      <w:tr>
        <w:trPr>
          <w:cantSplit/>
          <w:trHeight w:val="300"/>
        </w:trPr>
        <w:tc>
          <w:tcPr>
            <w:tcBorders>
              <w:top w:val="single" w:color="auto" w:sz="4" w:space="0"/>
              <w:left w:val="single" w:color="auto" w:sz="4" w:space="0"/>
              <w:right w:val="single" w:color="auto" w:sz="4" w:space="0"/>
            </w:tcBorders>
            <w:tcW w:w="126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养护基础</w:t>
            </w:r>
            <w:r>
              <w:rPr>
                <w:color w:val="000000" w:themeColor="text1"/>
              </w:rPr>
            </w:r>
          </w:p>
        </w:tc>
        <w:tc>
          <w:tcPr>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1、养护设备（2分）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1、配备洒水车（设备）、喷雾器、绿篱修剪机等养护专用器具。</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576"/>
        </w:trPr>
        <w:tc>
          <w:tcPr>
            <w:tcBorders>
              <w:left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2、养护人员,安全生产（2分）</w:t>
            </w:r>
            <w:r>
              <w:rPr>
                <w:color w:val="000000" w:themeColor="text1"/>
              </w:rPr>
            </w:r>
          </w:p>
        </w:tc>
        <w:tc>
          <w:tcPr>
            <w:tcBorders>
              <w:top w:val="single" w:color="auto" w:sz="4" w:space="0"/>
              <w:left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2、原则上每万平方米配备专业养护人员不少于1人，不足者按每少20%扣1分，扣完为止，工作人员统一着装养护马甲,确保安全。</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32"/>
        </w:trPr>
        <w:tc>
          <w:tcPr>
            <w:tcBorders>
              <w:left w:val="single" w:color="auto" w:sz="4" w:space="0"/>
              <w:bottom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3、养护台帐（1分）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3、做好养护计划和实施工作台帐，每月上报一次。</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top w:val="single" w:color="auto" w:sz="4" w:space="0"/>
              <w:left w:val="single" w:color="auto" w:sz="4" w:space="0"/>
              <w:right w:val="single" w:color="auto" w:sz="4" w:space="0"/>
            </w:tcBorders>
            <w:tcW w:w="126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绿地整洁</w:t>
            </w:r>
            <w:r>
              <w:rPr>
                <w:color w:val="000000" w:themeColor="text1"/>
              </w:rPr>
            </w:r>
          </w:p>
        </w:tc>
        <w:tc>
          <w:tcPr>
            <w:tcBorders>
              <w:top w:val="single" w:color="auto" w:sz="4" w:space="0"/>
              <w:left w:val="single" w:color="auto" w:sz="4" w:space="0"/>
              <w:right w:val="single" w:color="auto" w:sz="4" w:space="0"/>
            </w:tcBorders>
            <w:tcW w:w="106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30分</w:t>
            </w:r>
            <w:r>
              <w:rPr>
                <w:color w:val="000000" w:themeColor="text1"/>
              </w:rP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1、杂草清除（15分）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1、杂草检查按其占面积比例扣分。10%扣3分；20%扣6分；30%扣10分；超过40%不得分。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45"/>
        </w:trPr>
        <w:tc>
          <w:tcPr>
            <w:tcBorders>
              <w:left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2、纵横排水沟渠设置（5分）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2、合理开设纵横排水沟，沟渠整洁，排水通畅，否则据情扣分。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50"/>
        </w:trPr>
        <w:tc>
          <w:tcPr>
            <w:tcBorders>
              <w:left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3、绿线保护（5分）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3、发现侵占绿地和破坏林木草坪行为未及时与相关部门配合追查处理、补植苗木的，根据危害程度和造成的影响扣1-5分。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5"/>
        </w:trPr>
        <w:tc>
          <w:tcPr>
            <w:tcBorders>
              <w:left w:val="single" w:color="auto" w:sz="4" w:space="0"/>
              <w:bottom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4、垃圾及杂物清理（5分）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4、绿地发现农作物不得分。垃圾每次抽查5块。每百平方米有1个垃圾扣除分；有2个垃圾扣3分;有3个垃圾扣6分；超过4个不得分。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36"/>
        </w:trPr>
        <w:tc>
          <w:tcPr>
            <w:tcBorders>
              <w:top w:val="single" w:color="auto" w:sz="4" w:space="0"/>
              <w:left w:val="single" w:color="auto" w:sz="4" w:space="0"/>
              <w:right w:val="single" w:color="auto" w:sz="4" w:space="0"/>
            </w:tcBorders>
            <w:tcW w:w="126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病虫害</w:t>
            </w:r>
            <w:r>
              <w:rPr>
                <w:color w:val="000000" w:themeColor="text1"/>
              </w:rPr>
            </w:r>
          </w:p>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防  治</w:t>
            </w:r>
            <w:r>
              <w:rPr>
                <w:color w:val="000000" w:themeColor="text1"/>
              </w:rPr>
            </w:r>
          </w:p>
        </w:tc>
        <w:tc>
          <w:tcPr>
            <w:tcBorders>
              <w:top w:val="single" w:color="auto" w:sz="4" w:space="0"/>
              <w:left w:val="single" w:color="auto" w:sz="4" w:space="0"/>
              <w:right w:val="single" w:color="auto" w:sz="4" w:space="0"/>
            </w:tcBorders>
            <w:tcW w:w="106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25分</w:t>
            </w:r>
            <w:r>
              <w:rPr>
                <w:color w:val="000000" w:themeColor="text1"/>
              </w:rPr>
            </w:r>
          </w:p>
        </w:tc>
        <w:tc>
          <w:tcPr>
            <w:tcBorders>
              <w:top w:val="single" w:color="auto" w:sz="4" w:space="0"/>
              <w:left w:val="single" w:color="auto" w:sz="4" w:space="0"/>
              <w:right w:val="single" w:color="auto" w:sz="4" w:space="0"/>
            </w:tcBorders>
            <w:tcW w:w="360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病虫害预测预报及病虫害治理（25分）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1、不及时做好病虫预测建立档案者扣2分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50"/>
        </w:trPr>
        <w:tc>
          <w:tcPr>
            <w:tcBorders>
              <w:left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360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2、不及时治理，造成个别树木危害的每3棵苗木扣1分 。危害草坪10%扣3分；20%扣6分；30%扣10分；超过40%不得分。</w:t>
            </w:r>
            <w:r>
              <w:rPr>
                <w:color w:val="000000" w:themeColor="text1"/>
              </w:rPr>
            </w:r>
          </w:p>
        </w:tc>
        <w:tc>
          <w:tcPr>
            <w:tcBorders>
              <w:left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92"/>
        </w:trPr>
        <w:tc>
          <w:tcPr>
            <w:tcBorders>
              <w:top w:val="single" w:color="auto" w:sz="4" w:space="0"/>
              <w:left w:val="single" w:color="auto" w:sz="4" w:space="0"/>
              <w:right w:val="single" w:color="auto" w:sz="4" w:space="0"/>
            </w:tcBorders>
            <w:tcW w:w="126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树势树形</w:t>
            </w:r>
            <w:r>
              <w:rPr>
                <w:color w:val="000000" w:themeColor="text1"/>
              </w:rPr>
            </w:r>
          </w:p>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苗木补植</w:t>
            </w:r>
            <w:r>
              <w:rPr>
                <w:color w:val="000000" w:themeColor="text1"/>
              </w:rPr>
            </w:r>
          </w:p>
        </w:tc>
        <w:tc>
          <w:tcPr>
            <w:tcBorders>
              <w:top w:val="single" w:color="auto" w:sz="4" w:space="0"/>
              <w:left w:val="single" w:color="auto" w:sz="4" w:space="0"/>
              <w:right w:val="single" w:color="auto" w:sz="4" w:space="0"/>
            </w:tcBorders>
            <w:tcW w:w="106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20分</w:t>
            </w:r>
            <w:r>
              <w:rPr>
                <w:color w:val="000000" w:themeColor="text1"/>
              </w:rP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1、树木长势（10分）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1、生长季节，因缺肥、缺水等导致树木长势不良，生长缓慢，当年生长量低于同树种平均水平，根据树势扣3-8分。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left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2、树冠整齐、无歪斜倒树木（5分）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2、树冠整齐，适时修剪，否则据情扣分；发现歪斜吹倒树木每株扣1分。</w:t>
            </w:r>
            <w:r>
              <w:rPr>
                <w:color w:val="000000" w:themeColor="text1"/>
              </w:rPr>
            </w:r>
          </w:p>
        </w:tc>
        <w:tc>
          <w:tcPr>
            <w:tcBorders>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left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right w:val="single" w:color="auto" w:sz="4" w:space="0"/>
            </w:tcBorders>
            <w:tcW w:w="360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3、枯枝死树清理及苗木补植（5分）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3、发现死树胸径20公分以上的每株扣5分， 20公分以下的每株扣2分。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30"/>
        </w:trPr>
        <w:tc>
          <w:tcPr>
            <w:tcBorders>
              <w:left w:val="single" w:color="auto" w:sz="4" w:space="0"/>
              <w:bottom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60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4、死亡树种及时清理并以同品种同规格择时节补植，适时未补缺1株扣1分。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16"/>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浇水抗旱</w:t>
            </w:r>
            <w:r>
              <w:rPr>
                <w:color w:val="000000" w:themeColor="text1"/>
              </w:rP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15分</w:t>
            </w:r>
            <w:r>
              <w:rPr>
                <w:color w:val="000000" w:themeColor="text1"/>
              </w:rP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浇灌抗旱（15分）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浇灌不及时、不浇透造成树落叶、树势衰弱等按比例扣3-10分；不浇灌不得分。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5"/>
        </w:trPr>
        <w:tc>
          <w:tcPr>
            <w:tcBorders>
              <w:top w:val="single" w:color="auto" w:sz="4" w:space="0"/>
              <w:left w:val="single" w:color="auto" w:sz="4" w:space="0"/>
              <w:right w:val="single" w:color="auto" w:sz="4" w:space="0"/>
            </w:tcBorders>
            <w:tcW w:w="126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其它</w:t>
            </w:r>
            <w:r>
              <w:rPr>
                <w:color w:val="000000" w:themeColor="text1"/>
              </w:rPr>
            </w:r>
          </w:p>
        </w:tc>
        <w:tc>
          <w:tcPr>
            <w:tcBorders>
              <w:top w:val="single" w:color="auto" w:sz="4" w:space="0"/>
              <w:left w:val="single" w:color="auto" w:sz="4" w:space="0"/>
              <w:right w:val="single" w:color="auto" w:sz="4" w:space="0"/>
            </w:tcBorders>
            <w:tcW w:w="1065"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right w:val="single" w:color="auto" w:sz="4" w:space="0"/>
            </w:tcBorders>
            <w:tcW w:w="360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抗台等突击任务及其它事宜（5分）</w:t>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1、不及时按质完成抗台风等突击任务，按情况扣分。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0"/>
        </w:trPr>
        <w:tc>
          <w:tcPr>
            <w:tcBorders>
              <w:left w:val="single" w:color="auto" w:sz="4" w:space="0"/>
              <w:bottom w:val="single" w:color="auto" w:sz="4" w:space="0"/>
              <w:right w:val="single" w:color="auto" w:sz="4" w:space="0"/>
            </w:tcBorders>
            <w:tcW w:w="12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065"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60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2、养护中出现三次同样问题、遭到领导批评等不得分。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6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合计</w:t>
            </w:r>
            <w:r>
              <w:rPr>
                <w:color w:val="000000" w:themeColor="text1"/>
              </w:rP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100</w:t>
            </w:r>
            <w:r>
              <w:rPr>
                <w:color w:val="000000" w:themeColor="text1"/>
              </w:rP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810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bl>
    <w:p>
      <w:pPr>
        <w:spacing w:line="34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被考核单位签名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考核人员</w:t>
      </w:r>
      <w:r>
        <w:rPr>
          <w:rFonts w:hint="eastAsia" w:ascii="宋体" w:hAnsi="宋体"/>
          <w:color w:val="000000" w:themeColor="text1"/>
          <w:sz w:val="24"/>
          <w:szCs w:val="24"/>
          <w:u w:val="single"/>
        </w:rPr>
        <w:t xml:space="preserve">                                          </w:t>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r>
      <w:r>
        <w:rPr>
          <w:color w:val="000000" w:themeColor="text1"/>
        </w:rPr>
      </w:r>
    </w:p>
    <w:p>
      <w:pPr>
        <w:jc w:val="center"/>
        <w:rPr>
          <w:rFonts w:hint="eastAsia"/>
          <w:b/>
          <w:bCs/>
          <w:color w:val="000000" w:themeColor="text1"/>
          <w:sz w:val="24"/>
          <w:szCs w:val="24"/>
        </w:rPr>
      </w:pPr>
      <w:r>
        <w:rPr>
          <w:rFonts w:hint="eastAsia"/>
          <w:b/>
          <w:bCs/>
          <w:color w:val="000000" w:themeColor="text1"/>
          <w:sz w:val="24"/>
          <w:szCs w:val="24"/>
        </w:rPr>
        <w:t xml:space="preserve">养护</w:t>
      </w:r>
      <w:r>
        <w:rPr>
          <w:rFonts w:hint="eastAsia"/>
          <w:b/>
          <w:bCs/>
          <w:color w:val="000000" w:themeColor="text1"/>
          <w:sz w:val="24"/>
          <w:szCs w:val="24"/>
          <w:u w:val="single"/>
        </w:rPr>
        <w:t xml:space="preserve">      </w:t>
      </w:r>
      <w:r>
        <w:rPr>
          <w:rFonts w:hint="eastAsia"/>
          <w:b/>
          <w:bCs/>
          <w:color w:val="000000" w:themeColor="text1"/>
          <w:sz w:val="24"/>
          <w:szCs w:val="24"/>
        </w:rPr>
        <w:t xml:space="preserve">年第四季度考核情况汇总表</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养护单位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rPr>
          <w:color w:val="000000" w:themeColor="text1"/>
        </w:rPr>
      </w:r>
    </w:p>
    <w:tbl>
      <w:tblPr>
        <w:tblStyle w:val="1149"/>
        <w:tblW w:w="14730" w:type="dxa"/>
        <w:tblInd w:w="15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110"/>
        <w:gridCol w:w="3360"/>
        <w:gridCol w:w="7920"/>
        <w:gridCol w:w="1260"/>
      </w:tblGrid>
      <w:tr>
        <w:trPr>
          <w:cantSplit/>
          <w:trHeight w:val="612"/>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考核项目</w:t>
            </w:r>
            <w:r>
              <w:rPr>
                <w:color w:val="000000" w:themeColor="text1"/>
              </w:rP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考核总分</w:t>
            </w:r>
            <w:r>
              <w:rPr>
                <w:color w:val="000000" w:themeColor="text1"/>
              </w:rP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考核内容</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评分细则</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考核得分/扣分原因</w:t>
            </w:r>
            <w:r>
              <w:rPr>
                <w:color w:val="000000" w:themeColor="text1"/>
              </w:rPr>
            </w:r>
          </w:p>
        </w:tc>
      </w:tr>
      <w:tr>
        <w:trPr>
          <w:cantSplit/>
          <w:trHeight w:val="300"/>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养护基础</w:t>
            </w:r>
            <w:r>
              <w:rPr>
                <w:color w:val="000000" w:themeColor="text1"/>
              </w:rPr>
            </w:r>
          </w:p>
        </w:tc>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1、养护设备（2分）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1、配备洒水车（设备）、喷药机、绿篱修剪机等养护专用器具。</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15"/>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2、养护人员，安全生产（2分）</w:t>
            </w:r>
            <w:r>
              <w:rPr>
                <w:color w:val="000000" w:themeColor="text1"/>
              </w:rPr>
            </w:r>
          </w:p>
        </w:tc>
        <w:tc>
          <w:tcPr>
            <w:tcBorders>
              <w:top w:val="single" w:color="auto" w:sz="4" w:space="0"/>
              <w:left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2、原则上每万平方米配备专业养护人员不少于1人，不足者按每少20%扣1分，扣完为止，工作人员统一着装养护马甲,确保安全。</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9"/>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3、养护台帐（1分）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3、做好养护计划和实施工作台帐，每月上报一次。年终复核上报养护苗木数。 </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0"/>
        </w:trPr>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绿地整洁</w:t>
            </w:r>
            <w:r>
              <w:rPr>
                <w:color w:val="000000" w:themeColor="text1"/>
              </w:rPr>
            </w:r>
          </w:p>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25分</w:t>
            </w:r>
            <w:r>
              <w:rPr>
                <w:color w:val="000000" w:themeColor="text1"/>
              </w:rP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1、绿地纵横排水沟渠设置（5分）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1、合理开设纵横排水沟，沟渠整洁，排水通畅，否则据情扣分。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30"/>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2、垃圾及杂物清理（5分）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2、绿地发现农作物不得分。垃圾每次抽查5块。每百平方米有2个垃圾扣2分，有3个垃圾扣3分；超过4个不得分。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285"/>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3、树木涂白（10分）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3、涂白不及时、涂白不统一整齐、涂白质量不符要求据实扣分。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4、虫巢摘除（5分）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4、全部摘除树木虫巢，发现2个扣1分。</w:t>
            </w:r>
            <w:r>
              <w:rPr>
                <w:color w:val="000000" w:themeColor="text1"/>
              </w:rPr>
            </w:r>
          </w:p>
        </w:tc>
        <w:tc>
          <w:tcPr>
            <w:tcBorders>
              <w:top w:val="single" w:color="auto" w:sz="4" w:space="0"/>
              <w:left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5"/>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松土施肥</w:t>
            </w:r>
            <w:r>
              <w:rPr>
                <w:color w:val="000000" w:themeColor="text1"/>
              </w:rPr>
            </w:r>
          </w:p>
        </w:tc>
        <w:tc>
          <w:tcPr>
            <w:tcBorders>
              <w:top w:val="single" w:color="auto" w:sz="4" w:space="0"/>
              <w:left w:val="single" w:color="auto" w:sz="4" w:space="0"/>
              <w:right w:val="single" w:color="auto" w:sz="4" w:space="0"/>
            </w:tcBorders>
            <w:tcW w:w="111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30分</w:t>
            </w:r>
            <w:r>
              <w:rPr>
                <w:color w:val="000000" w:themeColor="text1"/>
              </w:rP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1、绿地松土，树木松塘（10分）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1、无草坪绿地秋季松土一次，树木秋季松塘一次，不翻、松不得分。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603"/>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2、树木施有机肥（20分）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2、秋冬季施腐熟有机肥不少于500克/平米，桂花玉兰等名贵树每株施腐熟菜饼肥1公斤左右,不施肥不得分，上报检查施肥过程及肥料袋。</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600"/>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修剪整形</w:t>
            </w:r>
            <w:r>
              <w:rPr>
                <w:color w:val="000000" w:themeColor="text1"/>
              </w:rPr>
            </w:r>
          </w:p>
        </w:tc>
        <w:tc>
          <w:tcPr>
            <w:tcBorders>
              <w:top w:val="single" w:color="auto" w:sz="4" w:space="0"/>
              <w:left w:val="single" w:color="auto" w:sz="4" w:space="0"/>
              <w:right w:val="single" w:color="auto" w:sz="4" w:space="0"/>
            </w:tcBorders>
            <w:tcW w:w="111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25分</w:t>
            </w:r>
            <w:r>
              <w:rPr>
                <w:color w:val="000000" w:themeColor="text1"/>
              </w:rP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树木修剪（20分）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根据生长特点，修剪整形，景观大道要求树冠整齐树形美观。修剪不及时或修剪质量不合要求者按实情扣分。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2、树木歪斜或风倒及时扶正（5分）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2、发现歪斜树木每株扣1分</w:t>
            </w:r>
            <w:r>
              <w:rPr>
                <w:color w:val="000000" w:themeColor="text1"/>
              </w:rPr>
            </w:r>
          </w:p>
        </w:tc>
        <w:tc>
          <w:tcPr>
            <w:tcBorders>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15"/>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树势树形</w:t>
            </w:r>
            <w:r>
              <w:rPr>
                <w:color w:val="000000" w:themeColor="text1"/>
              </w:rPr>
            </w:r>
          </w:p>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苗木补植</w:t>
            </w:r>
            <w:r>
              <w:rPr>
                <w:color w:val="000000" w:themeColor="text1"/>
              </w:rPr>
            </w:r>
          </w:p>
        </w:tc>
        <w:tc>
          <w:tcPr>
            <w:tcBorders>
              <w:top w:val="single" w:color="auto" w:sz="4" w:space="0"/>
              <w:left w:val="single" w:color="auto" w:sz="4" w:space="0"/>
              <w:right w:val="single" w:color="auto" w:sz="4" w:space="0"/>
            </w:tcBorders>
            <w:tcW w:w="111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10分</w:t>
            </w:r>
            <w:r>
              <w:rPr>
                <w:color w:val="000000" w:themeColor="text1"/>
              </w:rP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树木长势（5分）</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长势不良根据树势实情扣2-4分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left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right w:val="single" w:color="auto" w:sz="4" w:space="0"/>
            </w:tcBorders>
            <w:tcW w:w="336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2、枯枝死树清除，苗木补植（5分）</w:t>
            </w:r>
            <w:r>
              <w:rPr>
                <w:color w:val="000000" w:themeColor="text1"/>
              </w:rPr>
            </w:r>
          </w:p>
        </w:tc>
        <w:tc>
          <w:tcPr>
            <w:tcBorders>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3、发现死树胸径20公分以上的每株扣5分， 20公分以下的每株扣2分。</w:t>
            </w:r>
            <w:r>
              <w:rPr>
                <w:color w:val="000000" w:themeColor="text1"/>
              </w:rPr>
            </w:r>
          </w:p>
        </w:tc>
        <w:tc>
          <w:tcPr>
            <w:tcBorders>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285"/>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3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4、死亡树种及时清理并以同品种同规格择时节补植，适时未补缺1株扣1分。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top w:val="single" w:color="auto" w:sz="4" w:space="0"/>
              <w:left w:val="single" w:color="auto" w:sz="4" w:space="0"/>
              <w:right w:val="single" w:color="auto" w:sz="4" w:space="0"/>
            </w:tcBorders>
            <w:tcW w:w="108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其它</w:t>
            </w:r>
            <w:r>
              <w:rPr>
                <w:color w:val="000000" w:themeColor="text1"/>
              </w:rPr>
            </w:r>
          </w:p>
        </w:tc>
        <w:tc>
          <w:tcPr>
            <w:tcBorders>
              <w:top w:val="single" w:color="auto" w:sz="4" w:space="0"/>
              <w:left w:val="single" w:color="auto" w:sz="4" w:space="0"/>
              <w:right w:val="single" w:color="auto" w:sz="4" w:space="0"/>
            </w:tcBorders>
            <w:tcW w:w="111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5分</w:t>
            </w:r>
            <w:r>
              <w:rPr>
                <w:color w:val="000000" w:themeColor="text1"/>
              </w:rPr>
            </w:r>
          </w:p>
        </w:tc>
        <w:tc>
          <w:tcPr>
            <w:tcBorders>
              <w:top w:val="single" w:color="auto" w:sz="4" w:space="0"/>
              <w:left w:val="single" w:color="auto" w:sz="4" w:space="0"/>
              <w:right w:val="single" w:color="auto" w:sz="4" w:space="0"/>
            </w:tcBorders>
            <w:tcW w:w="3360" w:type="dxa"/>
            <w:vAlign w:val="center"/>
            <w:vMerge w:val="restart"/>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完成突击任务及其它事宜</w:t>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1、不及时按质完成突击任务，按情况扣分。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300"/>
        </w:trPr>
        <w:tc>
          <w:tcPr>
            <w:tcBorders>
              <w:left w:val="single" w:color="auto" w:sz="4" w:space="0"/>
              <w:bottom w:val="single" w:color="auto" w:sz="4" w:space="0"/>
              <w:right w:val="single" w:color="auto" w:sz="4" w:space="0"/>
            </w:tcBorders>
            <w:tcW w:w="108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111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left w:val="single" w:color="auto" w:sz="4" w:space="0"/>
              <w:bottom w:val="single" w:color="auto" w:sz="4" w:space="0"/>
              <w:right w:val="single" w:color="auto" w:sz="4" w:space="0"/>
            </w:tcBorders>
            <w:tcW w:w="3360" w:type="dxa"/>
            <w:vAlign w:val="center"/>
            <w:vMerge w:val="continue"/>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2、养护中出现三次同样问题、遭到领导批评等不得分。</w:t>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r>
        <w:trPr>
          <w:cantSplit/>
          <w:trHeight w:val="485"/>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合计</w:t>
            </w:r>
            <w:r>
              <w:rPr>
                <w:color w:val="000000" w:themeColor="text1"/>
              </w:rP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Style w:val="1360"/>
                <w:rFonts w:hint="eastAsia" w:ascii="宋体" w:hAnsi="宋体" w:eastAsia="宋体" w:cs="宋体"/>
                <w:b w:val="0"/>
                <w:bCs w:val="0"/>
                <w:color w:val="000000" w:themeColor="text1"/>
                <w:sz w:val="21"/>
                <w:szCs w:val="21"/>
                <w:highlight w:val="none"/>
                <w:lang w:val="en-US" w:eastAsia="zh-CN"/>
              </w:rPr>
              <w:t xml:space="preserve">100</w:t>
            </w:r>
            <w:r>
              <w:rPr>
                <w:color w:val="000000" w:themeColor="text1"/>
              </w:rPr>
            </w:r>
          </w:p>
        </w:tc>
        <w:tc>
          <w:tcPr>
            <w:tcBorders>
              <w:top w:val="single" w:color="auto" w:sz="4" w:space="0"/>
              <w:left w:val="single" w:color="auto" w:sz="4" w:space="0"/>
              <w:bottom w:val="single" w:color="auto" w:sz="4" w:space="0"/>
              <w:right w:val="single" w:color="auto" w:sz="4" w:space="0"/>
            </w:tcBorders>
            <w:tcW w:w="3360" w:type="dxa"/>
            <w:vAlign w:val="center"/>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792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jc w:val="center"/>
              <w:keepLines w:val="0"/>
              <w:keepNext w:val="0"/>
              <w:pageBreakBefore w:val="0"/>
              <w:widowControl w:val="off"/>
              <w:rPr>
                <w:rStyle w:val="1360"/>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r>
            <w:r>
              <w:rPr>
                <w:color w:val="000000" w:themeColor="text1"/>
              </w:rPr>
            </w:r>
          </w:p>
        </w:tc>
      </w:tr>
    </w:tbl>
    <w:p>
      <w:pPr>
        <w:rPr>
          <w:rFonts w:hint="eastAsia" w:ascii="宋体" w:hAnsi="宋体"/>
          <w:color w:val="000000" w:themeColor="text1"/>
          <w:sz w:val="24"/>
          <w:szCs w:val="24"/>
          <w:u w:val="single"/>
        </w:rPr>
      </w:pPr>
      <w:r>
        <w:rPr>
          <w:rFonts w:hint="eastAsia" w:ascii="宋体" w:hAnsi="宋体"/>
          <w:color w:val="000000" w:themeColor="text1"/>
          <w:sz w:val="24"/>
          <w:szCs w:val="24"/>
        </w:rPr>
        <w:t xml:space="preserve">被考核单位签名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考核人员</w:t>
      </w:r>
      <w:r>
        <w:rPr>
          <w:rFonts w:hint="eastAsia" w:ascii="宋体" w:hAnsi="宋体"/>
          <w:color w:val="000000" w:themeColor="text1"/>
          <w:sz w:val="24"/>
          <w:szCs w:val="24"/>
          <w:u w:val="single"/>
        </w:rPr>
        <w:t xml:space="preserve">                                            </w:t>
      </w:r>
      <w:r>
        <w:rPr>
          <w:color w:val="000000" w:themeColor="text1"/>
        </w:rPr>
      </w:r>
    </w:p>
    <w:p>
      <w:pPr>
        <w:pStyle w:val="1154"/>
        <w:rPr>
          <w:rFonts w:hAnsi="宋体"/>
          <w:color w:val="000000" w:themeColor="text1"/>
          <w:sz w:val="24"/>
          <w:szCs w:val="24"/>
        </w:rPr>
        <w:sectPr>
          <w:footnotePr/>
          <w:endnotePr/>
          <w:type w:val="nextPage"/>
          <w:pgSz w:w="16838" w:h="11906" w:orient="landscape"/>
          <w:pgMar w:top="1247" w:right="1417" w:bottom="1247" w:left="1417" w:header="850" w:footer="992" w:gutter="0"/>
          <w:cols w:num="1" w:sep="0" w:space="0" w:equalWidth="1"/>
          <w:docGrid w:linePitch="360"/>
          <w:titlePg/>
        </w:sectPr>
      </w:pPr>
      <w:r>
        <w:rPr>
          <w:rFonts w:hAnsi="宋体"/>
          <w:color w:val="000000" w:themeColor="text1"/>
          <w:sz w:val="24"/>
          <w:szCs w:val="24"/>
        </w:rPr>
      </w:r>
      <w:r>
        <w:rPr>
          <w:color w:val="000000" w:themeColor="text1"/>
        </w:rPr>
      </w:r>
    </w:p>
    <w:p>
      <w:pPr>
        <w:ind w:left="0" w:firstLine="0"/>
        <w:jc w:val="center"/>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政府采购合同信用融资政策告知函</w:t>
      </w:r>
      <w:r>
        <w:rPr>
          <w:color w:val="000000" w:themeColor="text1"/>
        </w:rPr>
      </w:r>
    </w:p>
    <w:p>
      <w:pPr>
        <w:ind w:left="0" w:firstLine="480"/>
        <w:keepLines w:val="0"/>
        <w:keepNext w:val="0"/>
        <w:pageBreakBefore w:val="0"/>
        <w:spacing w:line="480" w:lineRule="auto"/>
        <w:widowControl w:val="off"/>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r>
      <w:r>
        <w:rPr>
          <w:color w:val="000000" w:themeColor="text1"/>
        </w:rPr>
      </w:r>
    </w:p>
    <w:p>
      <w:pPr>
        <w:ind w:left="0" w:firstLine="480"/>
        <w:keepLines w:val="0"/>
        <w:keepNext w:val="0"/>
        <w:pageBreakBefore w:val="0"/>
        <w:spacing w:line="48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各政府采购供应商：</w:t>
      </w:r>
      <w:r>
        <w:rPr>
          <w:color w:val="000000" w:themeColor="text1"/>
        </w:rPr>
      </w:r>
    </w:p>
    <w:p>
      <w:pPr>
        <w:ind w:left="0" w:firstLine="480"/>
        <w:keepLines w:val="0"/>
        <w:keepNext w:val="0"/>
        <w:pageBreakBefore w:val="0"/>
        <w:spacing w:line="48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欢迎贵公司参加苏州市政府采购活动!</w:t>
      </w:r>
      <w:r>
        <w:rPr>
          <w:color w:val="000000" w:themeColor="text1"/>
        </w:rPr>
      </w:r>
    </w:p>
    <w:p>
      <w:pPr>
        <w:ind w:left="0" w:firstLine="480"/>
        <w:keepLines w:val="0"/>
        <w:keepNext w:val="0"/>
        <w:pageBreakBefore w:val="0"/>
        <w:spacing w:line="48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480"/>
        <w:keepLines w:val="0"/>
        <w:keepNext w:val="0"/>
        <w:pageBreakBefore w:val="0"/>
        <w:spacing w:line="348" w:lineRule="auto"/>
        <w:widowControl w:val="off"/>
        <w:rPr>
          <w:rFonts w:hint="eastAsia" w:ascii="宋体" w:hAnsi="宋体" w:eastAsia="宋体" w:cs="宋体"/>
          <w:b/>
          <w:color w:val="000000" w:themeColor="text1"/>
          <w:sz w:val="44"/>
          <w:szCs w:val="44"/>
          <w:highlight w:val="none"/>
        </w:rPr>
      </w:pPr>
      <w:r>
        <w:rPr>
          <w:rFonts w:hint="eastAsia" w:ascii="宋体" w:hAnsi="宋体" w:eastAsia="宋体" w:cs="宋体"/>
          <w:color w:val="000000" w:themeColor="text1"/>
          <w:sz w:val="24"/>
          <w:szCs w:val="24"/>
          <w:highlight w:val="none"/>
          <w:lang w:val="zh-CN"/>
        </w:rPr>
        <w:br w:type="page" w:clear="all"/>
      </w:r>
      <w:bookmarkStart w:id="119" w:name="评分要点"/>
      <w:r>
        <w:rPr>
          <w:color w:val="000000" w:themeColor="text1"/>
        </w:rPr>
      </w:r>
      <w:bookmarkEnd w:id="119"/>
      <w:r>
        <w:rPr>
          <w:color w:val="000000" w:themeColor="text1"/>
        </w:rPr>
      </w:r>
      <w:r>
        <w:rPr>
          <w:color w:val="000000" w:themeColor="text1"/>
        </w:rPr>
      </w:r>
    </w:p>
    <w:p>
      <w:pPr>
        <w:pStyle w:val="1369"/>
        <w:ind w:left="0" w:firstLine="0"/>
        <w:rPr>
          <w:rFonts w:hint="eastAsia"/>
          <w:color w:val="000000" w:themeColor="text1"/>
          <w:highlight w:val="none"/>
        </w:rPr>
      </w:pPr>
      <w:r>
        <w:rPr>
          <w:rFonts w:hint="eastAsia"/>
          <w:color w:val="000000" w:themeColor="text1"/>
          <w:highlight w:val="none"/>
        </w:rPr>
      </w:r>
      <w:r>
        <w:rPr>
          <w:color w:val="000000" w:themeColor="text1"/>
        </w:rPr>
      </w:r>
    </w:p>
    <w:p>
      <w:pPr>
        <w:pStyle w:val="1330"/>
        <w:numPr>
          <w:ilvl w:val="0"/>
          <w:numId w:val="0"/>
        </w:numPr>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pStyle w:val="1330"/>
        <w:numPr>
          <w:ilvl w:val="0"/>
          <w:numId w:val="0"/>
        </w:numPr>
        <w:jc w:val="both"/>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1330"/>
        <w:numPr>
          <w:ilvl w:val="0"/>
          <w:numId w:val="3"/>
        </w:numPr>
        <w:ind w:left="0" w:firstLine="0"/>
        <w:jc w:val="center"/>
        <w:keepLines w:val="0"/>
        <w:keepNext w:val="0"/>
        <w:pageBreakBefore w:val="0"/>
        <w:spacing w:line="579" w:lineRule="auto"/>
        <w:widowControl/>
        <w:rPr>
          <w:rFonts w:hint="eastAsia" w:ascii="宋体" w:hAnsi="宋体" w:eastAsia="宋体" w:cs="宋体"/>
          <w:b/>
          <w:color w:val="000000" w:themeColor="text1"/>
          <w:sz w:val="44"/>
          <w:szCs w:val="44"/>
          <w:highlight w:val="none"/>
        </w:rPr>
      </w:pPr>
      <w:r>
        <w:rPr>
          <w:rFonts w:hint="eastAsia" w:ascii="宋体" w:hAnsi="宋体" w:cs="宋体"/>
          <w:b/>
          <w:color w:val="000000" w:themeColor="text1"/>
          <w:sz w:val="44"/>
          <w:szCs w:val="44"/>
          <w:highlight w:val="none"/>
          <w:lang w:val="en-US" w:eastAsia="zh-CN"/>
        </w:rPr>
        <w:t xml:space="preserve"> </w:t>
      </w:r>
      <w:bookmarkStart w:id="120" w:name="_Toc27775"/>
      <w:r>
        <w:rPr>
          <w:color w:val="000000" w:themeColor="text1"/>
        </w:rPr>
      </w:r>
      <w:bookmarkStart w:id="121" w:name="_Toc29694"/>
      <w:r>
        <w:rPr>
          <w:color w:val="000000" w:themeColor="text1"/>
        </w:rPr>
      </w:r>
      <w:bookmarkStart w:id="122" w:name="_Toc22001"/>
      <w:r>
        <w:rPr>
          <w:rFonts w:hint="eastAsia" w:ascii="宋体" w:hAnsi="宋体" w:eastAsia="宋体" w:cs="宋体"/>
          <w:b/>
          <w:color w:val="000000" w:themeColor="text1"/>
          <w:sz w:val="44"/>
          <w:szCs w:val="44"/>
          <w:highlight w:val="none"/>
        </w:rPr>
        <w:t xml:space="preserve">评审办法和评分标准</w:t>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12"/>
      <w:r>
        <w:rPr>
          <w:color w:val="000000" w:themeColor="text1"/>
        </w:rPr>
      </w:r>
      <w:bookmarkEnd w:id="120"/>
      <w:r>
        <w:rPr>
          <w:color w:val="000000" w:themeColor="text1"/>
        </w:rPr>
      </w:r>
      <w:bookmarkEnd w:id="121"/>
      <w:r>
        <w:rPr>
          <w:color w:val="000000" w:themeColor="text1"/>
        </w:rPr>
      </w:r>
      <w:bookmarkEnd w:id="122"/>
      <w:r>
        <w:rPr>
          <w:color w:val="000000" w:themeColor="text1"/>
        </w:rPr>
      </w:r>
      <w:r>
        <w:rPr>
          <w:color w:val="000000" w:themeColor="text1"/>
        </w:rP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1338"/>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p>
    <w:p>
      <w:pPr>
        <w:ind w:left="0" w:firstLine="482"/>
        <w:keepLines w:val="0"/>
        <w:keepNext w:val="0"/>
        <w:pageBreakBefore w:val="0"/>
        <w:spacing w:line="360" w:lineRule="auto"/>
        <w:rPr>
          <w:rStyle w:val="1360"/>
          <w:rFonts w:hint="eastAsia" w:ascii="宋体" w:hAnsi="宋体" w:eastAsia="宋体" w:cs="宋体"/>
          <w:b/>
          <w:bCs/>
          <w:color w:val="000000" w:themeColor="text1"/>
          <w:sz w:val="24"/>
          <w:highlight w:val="none"/>
        </w:rPr>
        <w:sectPr>
          <w:footerReference w:type="default" r:id="rId21"/>
          <w:footerReference w:type="first" r:id="rId22"/>
          <w:footnotePr/>
          <w:endnotePr/>
          <w:type w:val="nextPage"/>
          <w:pgSz w:w="11906" w:h="16838" w:orient="portrait"/>
          <w:pgMar w:top="1417" w:right="1247" w:bottom="1417" w:left="1247" w:header="850" w:footer="992" w:gutter="0"/>
          <w:cols w:num="1" w:sep="0" w:space="0" w:equalWidth="1"/>
          <w:docGrid w:linePitch="360"/>
          <w:titlePg/>
        </w:sectPr>
      </w:pPr>
      <w:r>
        <w:rPr>
          <w:rFonts w:hint="eastAsia" w:ascii="宋体" w:hAnsi="宋体" w:eastAsia="宋体" w:cs="宋体"/>
          <w:b/>
          <w:bCs/>
          <w:color w:val="000000" w:themeColor="text1"/>
          <w:sz w:val="24"/>
          <w:highlight w:val="none"/>
        </w:rPr>
      </w:r>
      <w:r>
        <w:rPr>
          <w:color w:val="000000" w:themeColor="text1"/>
        </w:rPr>
      </w:r>
    </w:p>
    <w:p>
      <w:pPr>
        <w:ind w:left="0" w:firstLine="0"/>
        <w:keepLines w:val="0"/>
        <w:keepNext w:val="0"/>
        <w:pageBreakBefore w:val="0"/>
        <w:spacing w:line="360" w:lineRule="auto"/>
        <w:rPr>
          <w:rStyle w:val="1360"/>
          <w:rFonts w:hint="eastAsia" w:ascii="宋体" w:hAnsi="宋体" w:eastAsia="宋体" w:cs="宋体"/>
          <w:b/>
          <w:bCs/>
          <w:color w:val="000000" w:themeColor="text1"/>
          <w:sz w:val="24"/>
          <w:highlight w:val="none"/>
        </w:rPr>
      </w:pPr>
      <w:r>
        <w:rPr>
          <w:rStyle w:val="1360"/>
          <w:rFonts w:hint="eastAsia" w:ascii="宋体" w:hAnsi="宋体" w:eastAsia="宋体" w:cs="宋体"/>
          <w:b/>
          <w:bCs/>
          <w:color w:val="000000" w:themeColor="text1"/>
          <w:sz w:val="24"/>
          <w:highlight w:val="none"/>
        </w:rPr>
        <w:t xml:space="preserve">一、评审方法</w:t>
      </w:r>
      <w:r>
        <w:rPr>
          <w:color w:val="000000" w:themeColor="text1"/>
        </w:rPr>
      </w:r>
    </w:p>
    <w:p>
      <w:pPr>
        <w:ind w:left="0" w:firstLine="480"/>
        <w:keepLines w:val="0"/>
        <w:keepNext w:val="0"/>
        <w:pageBreakBefore w:val="0"/>
        <w:spacing w:line="360" w:lineRule="auto"/>
        <w:widowControl w:val="off"/>
        <w:rPr>
          <w:rStyle w:val="1360"/>
          <w:rFonts w:hint="eastAsia" w:ascii="宋体" w:hAnsi="宋体" w:eastAsia="宋体" w:cs="宋体"/>
          <w:color w:val="000000" w:themeColor="text1"/>
          <w:sz w:val="24"/>
          <w:highlight w:val="none"/>
        </w:rPr>
      </w:pPr>
      <w:r>
        <w:rPr>
          <w:rStyle w:val="1360"/>
          <w:rFonts w:hint="eastAsia" w:ascii="宋体" w:hAnsi="宋体" w:eastAsia="宋体" w:cs="宋体"/>
          <w:color w:val="000000" w:themeColor="text1"/>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rPr>
          <w:color w:val="000000" w:themeColor="text1"/>
        </w:rPr>
      </w:r>
    </w:p>
    <w:p>
      <w:pPr>
        <w:ind w:left="0" w:firstLine="480"/>
        <w:keepLines w:val="0"/>
        <w:keepNext w:val="0"/>
        <w:pageBreakBefore w:val="0"/>
        <w:spacing w:line="360" w:lineRule="auto"/>
        <w:widowControl w:val="off"/>
        <w:rPr>
          <w:rStyle w:val="1360"/>
          <w:rFonts w:ascii="宋体" w:hAnsi="宋体" w:eastAsia="宋体" w:cs="Times New Roman"/>
          <w:color w:val="000000" w:themeColor="text1"/>
          <w:sz w:val="24"/>
          <w:highlight w:val="none"/>
        </w:rPr>
      </w:pPr>
      <w:r>
        <w:rPr>
          <w:rStyle w:val="1360"/>
          <w:rFonts w:ascii="宋体" w:hAnsi="宋体" w:eastAsia="宋体" w:cs="Times New Roman"/>
          <w:color w:val="000000" w:themeColor="text1"/>
          <w:sz w:val="24"/>
          <w:highlight w:val="none"/>
        </w:rPr>
        <w:t xml:space="preserve">2</w:t>
      </w:r>
      <w:r>
        <w:rPr>
          <w:rStyle w:val="1360"/>
          <w:rFonts w:hint="eastAsia" w:ascii="宋体" w:hAnsi="宋体" w:eastAsia="宋体" w:cs="Times New Roman"/>
          <w:color w:val="000000" w:themeColor="text1"/>
          <w:sz w:val="24"/>
          <w:highlight w:val="none"/>
        </w:rPr>
        <w:t xml:space="preserve">、</w:t>
      </w:r>
      <w:r>
        <w:rPr>
          <w:rStyle w:val="1360"/>
          <w:rFonts w:ascii="宋体" w:hAnsi="宋体" w:eastAsia="宋体" w:cs="Times New Roman"/>
          <w:color w:val="000000" w:themeColor="text1"/>
          <w:sz w:val="24"/>
          <w:highlight w:val="none"/>
        </w:rPr>
        <w:t xml:space="preserve">评审小组各成员独立对每个进入打分程序的有效磋商供应商的响应文件技术和资质部分以打分的形式进行评审和评价。</w:t>
      </w:r>
      <w:r>
        <w:rPr>
          <w:color w:val="000000" w:themeColor="text1"/>
        </w:rPr>
      </w:r>
    </w:p>
    <w:p>
      <w:pPr>
        <w:ind w:left="0" w:firstLine="480"/>
        <w:keepLines w:val="0"/>
        <w:keepNext w:val="0"/>
        <w:pageBreakBefore w:val="0"/>
        <w:spacing w:line="360" w:lineRule="auto"/>
        <w:widowControl w:val="off"/>
        <w:rPr>
          <w:rStyle w:val="1360"/>
          <w:rFonts w:ascii="宋体" w:hAnsi="宋体" w:eastAsia="宋体" w:cs="Times New Roman"/>
          <w:color w:val="000000" w:themeColor="text1"/>
          <w:sz w:val="24"/>
          <w:highlight w:val="none"/>
        </w:rPr>
      </w:pPr>
      <w:r>
        <w:rPr>
          <w:rStyle w:val="1360"/>
          <w:rFonts w:ascii="宋体" w:hAnsi="宋体" w:eastAsia="宋体" w:cs="Times New Roman"/>
          <w:color w:val="000000" w:themeColor="text1"/>
          <w:sz w:val="24"/>
          <w:highlight w:val="none"/>
        </w:rPr>
        <w:t xml:space="preserve">3</w:t>
      </w:r>
      <w:r>
        <w:rPr>
          <w:rStyle w:val="1360"/>
          <w:rFonts w:hint="eastAsia" w:ascii="宋体" w:hAnsi="宋体" w:eastAsia="宋体" w:cs="Times New Roman"/>
          <w:color w:val="000000" w:themeColor="text1"/>
          <w:sz w:val="24"/>
          <w:highlight w:val="none"/>
        </w:rPr>
        <w:t xml:space="preserve">、</w:t>
      </w:r>
      <w:r>
        <w:rPr>
          <w:rStyle w:val="1360"/>
          <w:rFonts w:ascii="宋体" w:hAnsi="宋体" w:eastAsia="宋体" w:cs="Times New Roman"/>
          <w:color w:val="000000" w:themeColor="text1"/>
          <w:sz w:val="24"/>
          <w:highlight w:val="none"/>
        </w:rPr>
        <w:t xml:space="preserve">对评委的评分（除价格分外）进行统计汇总，直接算术平均计算出每个磋商供应商的得分，加上价格得分即为每个磋商供应商的综合得分。 </w:t>
      </w:r>
      <w:r>
        <w:rPr>
          <w:color w:val="000000" w:themeColor="text1"/>
        </w:rPr>
      </w:r>
    </w:p>
    <w:p>
      <w:pPr>
        <w:ind w:left="0" w:firstLine="480"/>
        <w:keepLines w:val="0"/>
        <w:keepNext w:val="0"/>
        <w:pageBreakBefore w:val="0"/>
        <w:spacing w:line="360" w:lineRule="auto"/>
        <w:widowControl w:val="off"/>
        <w:rPr>
          <w:rStyle w:val="1360"/>
          <w:rFonts w:ascii="宋体" w:hAnsi="宋体" w:eastAsia="宋体" w:cs="Times New Roman"/>
          <w:color w:val="000000" w:themeColor="text1"/>
          <w:sz w:val="24"/>
          <w:highlight w:val="none"/>
        </w:rPr>
      </w:pPr>
      <w:r>
        <w:rPr>
          <w:rStyle w:val="1360"/>
          <w:rFonts w:ascii="宋体" w:hAnsi="宋体" w:eastAsia="宋体" w:cs="Times New Roman"/>
          <w:color w:val="000000" w:themeColor="text1"/>
          <w:sz w:val="24"/>
          <w:highlight w:val="none"/>
        </w:rPr>
        <w:t xml:space="preserve">4</w:t>
      </w:r>
      <w:r>
        <w:rPr>
          <w:rStyle w:val="1360"/>
          <w:rFonts w:hint="eastAsia" w:ascii="宋体" w:hAnsi="宋体" w:eastAsia="宋体" w:cs="Times New Roman"/>
          <w:color w:val="000000" w:themeColor="text1"/>
          <w:sz w:val="24"/>
          <w:highlight w:val="none"/>
        </w:rPr>
        <w:t xml:space="preserve">、</w:t>
      </w:r>
      <w:r>
        <w:rPr>
          <w:rStyle w:val="1360"/>
          <w:rFonts w:ascii="宋体" w:hAnsi="宋体" w:eastAsia="宋体" w:cs="Times New Roman"/>
          <w:color w:val="000000" w:themeColor="text1"/>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color w:val="000000" w:themeColor="text1"/>
        </w:rPr>
      </w:r>
    </w:p>
    <w:p>
      <w:pPr>
        <w:ind w:left="0" w:firstLine="0"/>
        <w:keepLines w:val="0"/>
        <w:keepNext w:val="0"/>
        <w:pageBreakBefore w:val="0"/>
        <w:spacing w:line="360" w:lineRule="auto"/>
        <w:widowControl w:val="off"/>
        <w:rPr>
          <w:rStyle w:val="1360"/>
          <w:rFonts w:ascii="宋体" w:hAnsi="宋体" w:eastAsia="宋体" w:cs="Times New Roman"/>
          <w:b/>
          <w:bCs/>
          <w:color w:val="000000" w:themeColor="text1"/>
          <w:sz w:val="24"/>
          <w:highlight w:val="none"/>
        </w:rPr>
      </w:pPr>
      <w:r>
        <w:rPr>
          <w:rStyle w:val="1360"/>
          <w:rFonts w:ascii="宋体" w:hAnsi="宋体" w:eastAsia="宋体" w:cs="Times New Roman"/>
          <w:b/>
          <w:bCs/>
          <w:color w:val="000000" w:themeColor="text1"/>
          <w:sz w:val="24"/>
          <w:highlight w:val="none"/>
        </w:rPr>
        <w:t xml:space="preserve">二、评分标准</w:t>
      </w:r>
      <w:r>
        <w:rPr>
          <w:color w:val="000000" w:themeColor="text1"/>
        </w:rPr>
      </w:r>
    </w:p>
    <w:p>
      <w:pPr>
        <w:ind w:left="0" w:firstLine="482"/>
        <w:keepLines w:val="0"/>
        <w:keepNext w:val="0"/>
        <w:pageBreakBefore w:val="0"/>
        <w:spacing w:line="360" w:lineRule="auto"/>
        <w:widowControl w:val="off"/>
        <w:rPr>
          <w:rStyle w:val="1360"/>
          <w:rFonts w:ascii="宋体" w:hAnsi="宋体" w:eastAsia="宋体" w:cs="Times New Roman"/>
          <w:b/>
          <w:bCs/>
          <w:color w:val="000000" w:themeColor="text1"/>
          <w:sz w:val="24"/>
          <w:highlight w:val="none"/>
        </w:rPr>
      </w:pPr>
      <w:r>
        <w:rPr>
          <w:rStyle w:val="1360"/>
          <w:rFonts w:ascii="宋体" w:hAnsi="宋体" w:eastAsia="宋体" w:cs="Times New Roman"/>
          <w:b/>
          <w:bCs/>
          <w:color w:val="000000" w:themeColor="text1"/>
          <w:sz w:val="24"/>
          <w:highlight w:val="none"/>
        </w:rPr>
        <w:t xml:space="preserve">（一）价格基准分</w:t>
      </w:r>
      <w:r>
        <w:rPr>
          <w:rStyle w:val="1360"/>
          <w:rFonts w:hint="eastAsia" w:ascii="宋体" w:hAnsi="宋体" w:cs="Times New Roman"/>
          <w:b/>
          <w:bCs/>
          <w:color w:val="000000" w:themeColor="text1"/>
          <w:sz w:val="24"/>
          <w:highlight w:val="none"/>
          <w:lang w:eastAsia="zh-CN"/>
        </w:rPr>
        <w:t xml:space="preserve">（</w:t>
      </w:r>
      <w:r>
        <w:rPr>
          <w:rStyle w:val="1360"/>
          <w:rFonts w:hint="eastAsia" w:ascii="宋体" w:hAnsi="宋体" w:eastAsia="宋体" w:cs="Times New Roman"/>
          <w:b/>
          <w:bCs/>
          <w:color w:val="000000" w:themeColor="text1"/>
          <w:sz w:val="24"/>
          <w:highlight w:val="none"/>
          <w:lang w:val="en-US" w:eastAsia="zh-CN"/>
        </w:rPr>
        <w:t xml:space="preserve">10</w:t>
      </w:r>
      <w:r>
        <w:rPr>
          <w:rStyle w:val="1360"/>
          <w:rFonts w:ascii="宋体" w:hAnsi="宋体" w:eastAsia="宋体" w:cs="Times New Roman"/>
          <w:b/>
          <w:bCs/>
          <w:color w:val="000000" w:themeColor="text1"/>
          <w:sz w:val="24"/>
          <w:highlight w:val="none"/>
        </w:rPr>
        <w:t xml:space="preserve">分</w:t>
      </w:r>
      <w:r>
        <w:rPr>
          <w:rStyle w:val="1360"/>
          <w:rFonts w:hint="eastAsia" w:ascii="宋体" w:hAnsi="宋体" w:cs="Times New Roman"/>
          <w:b/>
          <w:bCs/>
          <w:color w:val="000000" w:themeColor="text1"/>
          <w:sz w:val="24"/>
          <w:highlight w:val="none"/>
          <w:lang w:eastAsia="zh-CN"/>
        </w:rPr>
        <w:t xml:space="preserve">）</w:t>
      </w:r>
      <w:r>
        <w:rPr>
          <w:color w:val="000000" w:themeColor="text1"/>
        </w:rPr>
      </w:r>
    </w:p>
    <w:p>
      <w:pPr>
        <w:ind w:left="0" w:firstLine="480"/>
        <w:keepLines w:val="0"/>
        <w:keepNext w:val="0"/>
        <w:pageBreakBefore w:val="0"/>
        <w:spacing w:line="360" w:lineRule="auto"/>
        <w:widowControl w:val="off"/>
        <w:rPr>
          <w:rStyle w:val="1360"/>
          <w:rFonts w:hint="eastAsia" w:ascii="宋体" w:hAnsi="宋体" w:eastAsia="宋体" w:cs="Times New Roman"/>
          <w:color w:val="000000" w:themeColor="text1"/>
          <w:sz w:val="24"/>
          <w:highlight w:val="none"/>
        </w:rPr>
      </w:pPr>
      <w:r>
        <w:rPr>
          <w:rStyle w:val="1360"/>
          <w:rFonts w:hint="eastAsia" w:ascii="宋体" w:hAnsi="宋体" w:eastAsia="宋体" w:cs="Times New Roman"/>
          <w:color w:val="000000" w:themeColor="text1"/>
          <w:sz w:val="24"/>
          <w:highlight w:val="none"/>
        </w:rPr>
        <w:t xml:space="preserve">第一步：磋商报价低于或等于</w:t>
      </w:r>
      <w:r>
        <w:rPr>
          <w:rStyle w:val="1360"/>
          <w:rFonts w:hint="eastAsia" w:ascii="宋体" w:hAnsi="宋体" w:cs="Times New Roman"/>
          <w:color w:val="000000" w:themeColor="text1"/>
          <w:sz w:val="24"/>
          <w:highlight w:val="none"/>
          <w:lang w:val="en-US" w:eastAsia="zh-CN"/>
        </w:rPr>
        <w:t xml:space="preserve">采购最高限价</w:t>
      </w:r>
      <w:r>
        <w:rPr>
          <w:rStyle w:val="1360"/>
          <w:rFonts w:hint="eastAsia" w:ascii="宋体" w:hAnsi="宋体" w:eastAsia="宋体" w:cs="Times New Roman"/>
          <w:color w:val="000000" w:themeColor="text1"/>
          <w:sz w:val="24"/>
          <w:highlight w:val="none"/>
        </w:rPr>
        <w:t xml:space="preserve">的，为有效磋商报价。超</w:t>
      </w:r>
      <w:r>
        <w:rPr>
          <w:rStyle w:val="1360"/>
          <w:rFonts w:hint="eastAsia" w:ascii="宋体" w:hAnsi="宋体" w:cs="Times New Roman"/>
          <w:color w:val="000000" w:themeColor="text1"/>
          <w:sz w:val="24"/>
          <w:highlight w:val="none"/>
          <w:lang w:val="en-US" w:eastAsia="zh-CN"/>
        </w:rPr>
        <w:t xml:space="preserve">采购最高限价</w:t>
      </w:r>
      <w:r>
        <w:rPr>
          <w:rStyle w:val="1360"/>
          <w:rFonts w:hint="eastAsia" w:ascii="宋体" w:hAnsi="宋体" w:eastAsia="宋体" w:cs="Times New Roman"/>
          <w:color w:val="000000" w:themeColor="text1"/>
          <w:sz w:val="24"/>
          <w:highlight w:val="none"/>
        </w:rPr>
        <w:t xml:space="preserve">的磋商报价文件为未实质性响应文件，不参与评审。</w:t>
      </w:r>
      <w:r>
        <w:rPr>
          <w:color w:val="000000" w:themeColor="text1"/>
        </w:rPr>
      </w:r>
    </w:p>
    <w:p>
      <w:pPr>
        <w:ind w:left="0" w:firstLine="480"/>
        <w:keepLines w:val="0"/>
        <w:keepNext w:val="0"/>
        <w:pageBreakBefore w:val="0"/>
        <w:spacing w:line="360" w:lineRule="auto"/>
        <w:widowControl w:val="off"/>
        <w:rPr>
          <w:rStyle w:val="1360"/>
          <w:rFonts w:hint="eastAsia" w:ascii="宋体" w:hAnsi="宋体" w:eastAsia="宋体" w:cs="Times New Roman"/>
          <w:color w:val="000000" w:themeColor="text1"/>
          <w:sz w:val="24"/>
          <w:highlight w:val="none"/>
        </w:rPr>
      </w:pPr>
      <w:r>
        <w:rPr>
          <w:rStyle w:val="1360"/>
          <w:rFonts w:hint="eastAsia" w:ascii="宋体" w:hAnsi="宋体" w:eastAsia="宋体" w:cs="Times New Roman"/>
          <w:color w:val="000000" w:themeColor="text1"/>
          <w:sz w:val="24"/>
          <w:highlight w:val="none"/>
        </w:rPr>
        <w:t xml:space="preserve">第二步：在所有有效磋商报价中满足采购文件要求，且磋商价格最低的磋商报价为评标基准价，其价格分为</w:t>
      </w:r>
      <w:r>
        <w:rPr>
          <w:rStyle w:val="1360"/>
          <w:rFonts w:hint="eastAsia" w:ascii="宋体" w:hAnsi="宋体" w:eastAsia="宋体" w:cs="Times New Roman"/>
          <w:color w:val="000000" w:themeColor="text1"/>
          <w:sz w:val="24"/>
          <w:highlight w:val="none"/>
          <w:lang w:val="en-US" w:eastAsia="zh-CN"/>
        </w:rPr>
        <w:t xml:space="preserve">10</w:t>
      </w:r>
      <w:r>
        <w:rPr>
          <w:rStyle w:val="1360"/>
          <w:rFonts w:hint="eastAsia" w:ascii="宋体" w:hAnsi="宋体" w:eastAsia="宋体" w:cs="Times New Roman"/>
          <w:color w:val="000000" w:themeColor="text1"/>
          <w:sz w:val="24"/>
          <w:highlight w:val="none"/>
        </w:rPr>
        <w:t xml:space="preserve">分，其他磋商供应商的价格分按照下列公式计算（计算结果四舍五入保留两位小数）。</w:t>
      </w:r>
      <w:r>
        <w:rPr>
          <w:color w:val="000000" w:themeColor="text1"/>
        </w:rPr>
      </w:r>
    </w:p>
    <w:p>
      <w:pPr>
        <w:ind w:left="0" w:firstLine="480"/>
        <w:keepLines w:val="0"/>
        <w:keepNext w:val="0"/>
        <w:pageBreakBefore w:val="0"/>
        <w:spacing w:line="360" w:lineRule="auto"/>
        <w:widowControl w:val="off"/>
        <w:rPr>
          <w:rStyle w:val="1360"/>
          <w:rFonts w:hint="eastAsia" w:ascii="宋体" w:hAnsi="宋体" w:eastAsia="宋体" w:cs="宋体"/>
          <w:color w:val="000000" w:themeColor="text1"/>
          <w:sz w:val="24"/>
          <w:highlight w:val="none"/>
        </w:rPr>
      </w:pPr>
      <w:r>
        <w:rPr>
          <w:rStyle w:val="1360"/>
          <w:rFonts w:hint="eastAsia" w:ascii="宋体" w:hAnsi="宋体" w:eastAsia="宋体" w:cs="宋体"/>
          <w:color w:val="000000" w:themeColor="text1"/>
          <w:sz w:val="24"/>
          <w:highlight w:val="none"/>
        </w:rPr>
        <w:t xml:space="preserve">磋商报价得分＝（评标基准价/磋商报价）×</w:t>
      </w:r>
      <w:r>
        <w:rPr>
          <w:rStyle w:val="1360"/>
          <w:rFonts w:hint="eastAsia" w:ascii="宋体" w:hAnsi="宋体" w:eastAsia="宋体" w:cs="宋体"/>
          <w:color w:val="000000" w:themeColor="text1"/>
          <w:sz w:val="24"/>
          <w:highlight w:val="none"/>
          <w:lang w:val="en-US" w:eastAsia="zh-CN"/>
        </w:rPr>
        <w:t xml:space="preserve">10</w:t>
      </w:r>
      <w:r>
        <w:rPr>
          <w:rStyle w:val="1360"/>
          <w:rFonts w:hint="eastAsia" w:ascii="宋体" w:hAnsi="宋体" w:eastAsia="宋体" w:cs="宋体"/>
          <w:color w:val="000000" w:themeColor="text1"/>
          <w:sz w:val="24"/>
          <w:highlight w:val="none"/>
        </w:rPr>
        <w:t xml:space="preserve">%×100。</w:t>
      </w:r>
      <w:r>
        <w:rPr>
          <w:color w:val="000000" w:themeColor="text1"/>
        </w:rPr>
      </w:r>
    </w:p>
    <w:p>
      <w:pPr>
        <w:ind w:left="0" w:firstLine="482"/>
        <w:spacing w:line="360" w:lineRule="auto"/>
        <w:widowControl w:val="off"/>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（二）</w:t>
      </w:r>
      <w:r>
        <w:rPr>
          <w:rFonts w:hint="eastAsia" w:ascii="宋体" w:hAnsi="宋体" w:cs="Times New Roman"/>
          <w:b/>
          <w:bCs/>
          <w:color w:val="000000" w:themeColor="text1"/>
          <w:sz w:val="24"/>
          <w:szCs w:val="24"/>
          <w:highlight w:val="none"/>
          <w:lang w:val="en-US" w:eastAsia="zh-CN"/>
        </w:rPr>
        <w:t xml:space="preserve">服务方案</w:t>
      </w:r>
      <w:r>
        <w:rPr>
          <w:rFonts w:hint="eastAsia" w:ascii="宋体" w:hAnsi="宋体" w:eastAsia="宋体" w:cs="Times New Roman"/>
          <w:b/>
          <w:bCs/>
          <w:color w:val="000000" w:themeColor="text1"/>
          <w:sz w:val="24"/>
          <w:szCs w:val="24"/>
          <w:highlight w:val="none"/>
        </w:rPr>
        <w:t xml:space="preserve">（</w:t>
      </w:r>
      <w:r>
        <w:rPr>
          <w:rFonts w:hint="eastAsia" w:ascii="宋体" w:hAnsi="宋体" w:cs="Times New Roman"/>
          <w:b/>
          <w:bCs/>
          <w:color w:val="000000" w:themeColor="text1"/>
          <w:sz w:val="24"/>
          <w:szCs w:val="24"/>
          <w:highlight w:val="none"/>
          <w:lang w:val="en-US" w:eastAsia="zh-CN"/>
        </w:rPr>
        <w:t xml:space="preserve">63</w:t>
      </w:r>
      <w:r>
        <w:rPr>
          <w:rFonts w:hint="eastAsia" w:ascii="宋体" w:hAnsi="宋体" w:eastAsia="宋体" w:cs="Times New Roman"/>
          <w:b/>
          <w:bCs/>
          <w:color w:val="000000" w:themeColor="text1"/>
          <w:sz w:val="24"/>
          <w:szCs w:val="24"/>
          <w:highlight w:val="none"/>
        </w:rPr>
        <w:t xml:space="preserve">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Hans"/>
        </w:rPr>
        <w:t xml:space="preserve">1</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Hans"/>
        </w:rPr>
        <w:t xml:space="preserve">内部管理制度（包括组织架构、项目内部养护检查考核制度、自查自纠制度、奖惩措施、养护管理制度）</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eastAsia="zh-Hans"/>
        </w:rPr>
        <w:t xml:space="preserve">分</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lang w:val="en-US" w:eastAsia="zh-Hans"/>
        </w:rPr>
        <w:t xml:space="preserve">                                                       </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综合评定优秀，组织架构、项目内部养护检查考核制度、自查自纠制度、奖惩措施、养护管理制度方案完整规范、合理全面的得8分；综合评定良好，组织架构、项目内部养护检查考核制度、自查自纠制度、奖惩措施、养护管理制度方案较为完整规范、合理全面的得5分；综合评定一般，组织架构、项目内部养护检查考核制度、自查自纠制度、奖惩措施、养护管理制度方案描述不全面、基本能满足采购要求的得2分；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Hans"/>
        </w:rPr>
        <w:t xml:space="preserve">2</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Hans"/>
        </w:rPr>
        <w:t xml:space="preserve">管理服务组织方案（劳动力安排、各工种的日常工作、项目经理管理措施、人员技术培训方案及安全教育）</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eastAsia="zh-Hans"/>
        </w:rPr>
        <w:t xml:space="preserve">分</w:t>
      </w:r>
      <w:r>
        <w:rPr>
          <w:rFonts w:hint="eastAsia" w:ascii="宋体" w:hAnsi="宋体" w:eastAsia="宋体" w:cs="宋体"/>
          <w:bCs/>
          <w:color w:val="000000" w:themeColor="text1"/>
          <w:sz w:val="24"/>
          <w:szCs w:val="24"/>
          <w:highlight w:val="none"/>
          <w:lang w:val="en-US" w:eastAsia="zh-CN"/>
        </w:rPr>
        <w:t xml:space="preserve">）                                                                                      </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Hans"/>
        </w:rPr>
        <w:t xml:space="preserve">综合评定优秀，劳动力安排、各工种的日常工作、项目经理管理措施、人员技术培训方案及安全教育方案清晰明确的得</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eastAsia="zh-Hans"/>
        </w:rPr>
        <w:t xml:space="preserve">分；综合评定良好，劳动力安排、各工种的日常工作、项目经理管理措施、人员技术培训方案及安全教育方案较为清晰明确的得</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val="en-US" w:eastAsia="zh-Hans"/>
        </w:rPr>
        <w:t xml:space="preserve">分；综合评定一般，劳动力安排、各工种的日常工作、项目经理管理措施、人员技术培训方案及安全教育方案描述不全面、基本能满足</w:t>
      </w:r>
      <w:r>
        <w:rPr>
          <w:rFonts w:hint="eastAsia" w:ascii="宋体" w:hAnsi="宋体" w:eastAsia="宋体" w:cs="宋体"/>
          <w:bCs/>
          <w:color w:val="000000" w:themeColor="text1"/>
          <w:sz w:val="24"/>
          <w:szCs w:val="24"/>
          <w:highlight w:val="none"/>
          <w:lang w:val="en-US" w:eastAsia="zh-CN"/>
        </w:rPr>
        <w:t xml:space="preserve">采购</w:t>
      </w:r>
      <w:r>
        <w:rPr>
          <w:rFonts w:hint="eastAsia" w:ascii="宋体" w:hAnsi="宋体" w:eastAsia="宋体" w:cs="宋体"/>
          <w:bCs/>
          <w:color w:val="000000" w:themeColor="text1"/>
          <w:sz w:val="24"/>
          <w:szCs w:val="24"/>
          <w:highlight w:val="none"/>
          <w:lang w:val="en-US" w:eastAsia="zh-Hans"/>
        </w:rPr>
        <w:t xml:space="preserve">要求的得</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Hans"/>
        </w:rPr>
        <w:t xml:space="preserve">分</w:t>
      </w:r>
      <w:r>
        <w:rPr>
          <w:rFonts w:hint="eastAsia" w:ascii="宋体" w:hAnsi="宋体" w:eastAsia="宋体" w:cs="宋体"/>
          <w:bCs/>
          <w:color w:val="000000" w:themeColor="text1"/>
          <w:sz w:val="24"/>
          <w:szCs w:val="24"/>
          <w:highlight w:val="none"/>
          <w:lang w:val="en-US" w:eastAsia="zh-CN"/>
        </w:rPr>
        <w:t xml:space="preserve">；未提供的不得分。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3、绿化养护技术方案</w:t>
      </w:r>
      <w:r>
        <w:rPr>
          <w:rFonts w:hint="eastAsia" w:ascii="宋体" w:hAnsi="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CN"/>
        </w:rPr>
        <w:t xml:space="preserve">各种植物的养护措施、生长不良苗木及景观造型苗木的特殊管理、养护计划、环保生态方案</w:t>
      </w:r>
      <w:r>
        <w:rPr>
          <w:rFonts w:hint="eastAsia" w:ascii="宋体" w:hAnsi="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CN"/>
        </w:rPr>
        <w:t xml:space="preserve">（8分）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Hans"/>
        </w:rPr>
        <w:t xml:space="preserve">综合评定优秀，</w:t>
      </w:r>
      <w:r>
        <w:rPr>
          <w:rFonts w:hint="eastAsia" w:ascii="宋体" w:hAnsi="宋体" w:eastAsia="宋体" w:cs="宋体"/>
          <w:bCs/>
          <w:color w:val="000000" w:themeColor="text1"/>
          <w:sz w:val="24"/>
          <w:szCs w:val="24"/>
          <w:highlight w:val="none"/>
          <w:lang w:val="en-US" w:eastAsia="zh-CN"/>
        </w:rPr>
        <w:t xml:space="preserve">响应</w:t>
      </w:r>
      <w:r>
        <w:rPr>
          <w:rFonts w:hint="eastAsia" w:ascii="宋体" w:hAnsi="宋体" w:eastAsia="宋体" w:cs="宋体"/>
          <w:bCs/>
          <w:color w:val="000000" w:themeColor="text1"/>
          <w:sz w:val="24"/>
          <w:szCs w:val="24"/>
          <w:highlight w:val="none"/>
          <w:lang w:val="en-US" w:eastAsia="zh-Hans"/>
        </w:rPr>
        <w:t xml:space="preserve">单位技术方案完善、合理、可行性强的得</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eastAsia="zh-Hans"/>
        </w:rPr>
        <w:t xml:space="preserve">分；综合评定良好，</w:t>
      </w:r>
      <w:r>
        <w:rPr>
          <w:rFonts w:hint="eastAsia" w:ascii="宋体" w:hAnsi="宋体" w:eastAsia="宋体" w:cs="宋体"/>
          <w:bCs/>
          <w:color w:val="000000" w:themeColor="text1"/>
          <w:sz w:val="24"/>
          <w:szCs w:val="24"/>
          <w:highlight w:val="none"/>
          <w:lang w:val="en-US" w:eastAsia="zh-CN"/>
        </w:rPr>
        <w:t xml:space="preserve">响应</w:t>
      </w:r>
      <w:r>
        <w:rPr>
          <w:rFonts w:hint="eastAsia" w:ascii="宋体" w:hAnsi="宋体" w:eastAsia="宋体" w:cs="宋体"/>
          <w:bCs/>
          <w:color w:val="000000" w:themeColor="text1"/>
          <w:sz w:val="24"/>
          <w:szCs w:val="24"/>
          <w:highlight w:val="none"/>
          <w:lang w:val="en-US" w:eastAsia="zh-Hans"/>
        </w:rPr>
        <w:t xml:space="preserve">单位技术方案较为完善、合理、可行性较好的得</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val="en-US" w:eastAsia="zh-Hans"/>
        </w:rPr>
        <w:t xml:space="preserve">分；综合评定一般，</w:t>
      </w:r>
      <w:r>
        <w:rPr>
          <w:rFonts w:hint="eastAsia" w:ascii="宋体" w:hAnsi="宋体" w:eastAsia="宋体" w:cs="宋体"/>
          <w:bCs/>
          <w:color w:val="000000" w:themeColor="text1"/>
          <w:sz w:val="24"/>
          <w:szCs w:val="24"/>
          <w:highlight w:val="none"/>
          <w:lang w:val="en-US" w:eastAsia="zh-CN"/>
        </w:rPr>
        <w:t xml:space="preserve">响应</w:t>
      </w:r>
      <w:r>
        <w:rPr>
          <w:rFonts w:hint="eastAsia" w:ascii="宋体" w:hAnsi="宋体" w:eastAsia="宋体" w:cs="宋体"/>
          <w:bCs/>
          <w:color w:val="000000" w:themeColor="text1"/>
          <w:sz w:val="24"/>
          <w:szCs w:val="24"/>
          <w:highlight w:val="none"/>
          <w:lang w:val="en-US" w:eastAsia="zh-Hans"/>
        </w:rPr>
        <w:t xml:space="preserve">单位技术方案完善性和合理性一般的得</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Hans"/>
        </w:rPr>
        <w:t xml:space="preserve">分</w:t>
      </w:r>
      <w:r>
        <w:rPr>
          <w:rFonts w:hint="eastAsia" w:ascii="宋体" w:hAnsi="宋体" w:eastAsia="宋体" w:cs="宋体"/>
          <w:bCs/>
          <w:color w:val="000000" w:themeColor="text1"/>
          <w:sz w:val="24"/>
          <w:szCs w:val="24"/>
          <w:highlight w:val="none"/>
          <w:lang w:val="en-US" w:eastAsia="zh-CN"/>
        </w:rPr>
        <w:t xml:space="preserve">；未提供的不得分。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en-US" w:eastAsia="zh-CN"/>
        </w:rPr>
        <w:t xml:space="preserve">绿化养护技术方案</w:t>
      </w:r>
      <w:r>
        <w:rPr>
          <w:rFonts w:hint="eastAsia" w:ascii="宋体" w:hAnsi="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CN"/>
        </w:rPr>
        <w:t xml:space="preserve">病虫害防治工作、引入先进绿化养护经验、各类迎检保障、应急抢险工作方案</w:t>
      </w:r>
      <w:r>
        <w:rPr>
          <w:rFonts w:hint="eastAsia" w:ascii="宋体" w:hAnsi="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CN"/>
        </w:rPr>
        <w:t xml:space="preserve">（8分）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Hans"/>
        </w:rPr>
        <w:t xml:space="preserve">综合评定优秀，响应单位技术方案完善、合理、可行性强的得</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eastAsia="zh-Hans"/>
        </w:rPr>
        <w:t xml:space="preserve">分；综合评定良好，响应单位技术方案较为完善、合理、可行性较好的得</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val="en-US" w:eastAsia="zh-Hans"/>
        </w:rPr>
        <w:t xml:space="preserve">分；综合评定一般，响应单位技术方案完善性和合理性一般的得</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Hans"/>
        </w:rPr>
        <w:t xml:space="preserve">分；</w:t>
      </w:r>
      <w:r>
        <w:rPr>
          <w:rFonts w:hint="eastAsia" w:ascii="宋体" w:hAnsi="宋体" w:eastAsia="宋体" w:cs="宋体"/>
          <w:bCs/>
          <w:color w:val="000000" w:themeColor="text1"/>
          <w:sz w:val="24"/>
          <w:szCs w:val="24"/>
          <w:highlight w:val="none"/>
          <w:lang w:val="en-US" w:eastAsia="zh-CN"/>
        </w:rPr>
        <w:t xml:space="preserve">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val="en-US" w:eastAsia="zh-CN"/>
        </w:rPr>
        <w:t xml:space="preserve">、进退场交接方案及对绿化养护承包区内环境设施的维护管理及措施比较（6分）                       </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综合评定优秀，</w:t>
      </w:r>
      <w:r>
        <w:rPr>
          <w:rFonts w:hint="eastAsia" w:ascii="宋体" w:hAnsi="宋体" w:eastAsia="宋体" w:cs="宋体"/>
          <w:bCs/>
          <w:color w:val="000000" w:themeColor="text1"/>
          <w:sz w:val="24"/>
          <w:szCs w:val="24"/>
          <w:highlight w:val="none"/>
          <w:lang w:val="en-US" w:eastAsia="zh-Hans"/>
        </w:rPr>
        <w:t xml:space="preserve">响应</w:t>
      </w:r>
      <w:r>
        <w:rPr>
          <w:rFonts w:hint="eastAsia" w:ascii="宋体" w:hAnsi="宋体" w:eastAsia="宋体" w:cs="宋体"/>
          <w:bCs/>
          <w:color w:val="000000" w:themeColor="text1"/>
          <w:sz w:val="24"/>
          <w:szCs w:val="24"/>
          <w:highlight w:val="none"/>
          <w:lang w:val="en-US" w:eastAsia="zh-CN"/>
        </w:rPr>
        <w:t xml:space="preserve">单位针对进退场交接方案及对绿化养护承包区内环境设施的维护管理及措施描述清晰切明确的得6分；综合评定良好，</w:t>
      </w:r>
      <w:r>
        <w:rPr>
          <w:rFonts w:hint="eastAsia" w:ascii="宋体" w:hAnsi="宋体" w:eastAsia="宋体" w:cs="宋体"/>
          <w:bCs/>
          <w:color w:val="000000" w:themeColor="text1"/>
          <w:sz w:val="24"/>
          <w:szCs w:val="24"/>
          <w:highlight w:val="none"/>
          <w:lang w:val="en-US" w:eastAsia="zh-Hans"/>
        </w:rPr>
        <w:t xml:space="preserve">响应</w:t>
      </w:r>
      <w:r>
        <w:rPr>
          <w:rFonts w:hint="eastAsia" w:ascii="宋体" w:hAnsi="宋体" w:eastAsia="宋体" w:cs="宋体"/>
          <w:bCs/>
          <w:color w:val="000000" w:themeColor="text1"/>
          <w:sz w:val="24"/>
          <w:szCs w:val="24"/>
          <w:highlight w:val="none"/>
          <w:lang w:val="en-US" w:eastAsia="zh-CN"/>
        </w:rPr>
        <w:t xml:space="preserve">单位针对进退场交接方案及对绿化养护承包区内环境设施的维护管理及措施描述较为清晰切明确的得4分；综合评定一般，</w:t>
      </w:r>
      <w:r>
        <w:rPr>
          <w:rFonts w:hint="eastAsia" w:ascii="宋体" w:hAnsi="宋体" w:eastAsia="宋体" w:cs="宋体"/>
          <w:bCs/>
          <w:color w:val="000000" w:themeColor="text1"/>
          <w:sz w:val="24"/>
          <w:szCs w:val="24"/>
          <w:highlight w:val="none"/>
          <w:lang w:val="en-US" w:eastAsia="zh-Hans"/>
        </w:rPr>
        <w:t xml:space="preserve">响应</w:t>
      </w:r>
      <w:r>
        <w:rPr>
          <w:rFonts w:hint="eastAsia" w:ascii="宋体" w:hAnsi="宋体" w:eastAsia="宋体" w:cs="宋体"/>
          <w:bCs/>
          <w:color w:val="000000" w:themeColor="text1"/>
          <w:sz w:val="24"/>
          <w:szCs w:val="24"/>
          <w:highlight w:val="none"/>
          <w:lang w:val="en-US" w:eastAsia="zh-CN"/>
        </w:rPr>
        <w:t xml:space="preserve">单位针对进退场交接方案及对绿化养护承包区内环境设施的维护管理及措施完善性和合理性一般的得2分；未提供的不得分。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val="en-US" w:eastAsia="zh-CN"/>
        </w:rPr>
        <w:t xml:space="preserve">、安全文明措施及各项应急预案（6分）                </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综合评定优秀，安全文明措施科学、细致、合理且应急方案考虑周全的得6分；综合评定良好，安全文明措施较科学、细致、合理且应急方案考虑较周全的得，能满足项目实施需要的得4分；综合评定一般，措施及预案简单，基本能满足项目实施需要的得2分；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lang w:val="en-US" w:eastAsia="zh-CN"/>
        </w:rPr>
        <w:t xml:space="preserve">、资料、档案管理（资料形成、规范性管理、日常的收集整理、分析、保存等）保障方案比较（6分）     </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综合评定优秀，响应单位对资料、档案管理保障措施完善，方案科学合理的得6分；综合评定良好，响应单位对资料、档案管理保障措施较为完善，方案较为科学合理的得4分；综合评定一般，响应单位对资料、档案管理保障措施完善程度一般，方案科学性、合理性一般的得2分；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eastAsia="zh-CN"/>
        </w:rPr>
        <w:t xml:space="preserve">、质量承诺、针对发生各类安全事故的善后处理承诺、依法规范用工承诺以及应对履约期内各类风险方案比较（6分）                                                                                      </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综合评定优秀，响应单位提供的质量承诺、对发生各类安全事故善后处理承诺、依法规范用工承诺及应对履约期内各类风险承诺完善、针对性强的得6分；综合评定良好，响应单位提供的质量承诺、对发生各类安全事故善后处理承诺、依法规范用工承诺及应对履约期内各类风险承诺较为完善、针对性较强的得4分；综合评定一般，响应单位提供的质量承诺、对发生各类安全事故善后处理承诺、依法规范用工承诺及应对履约期内各类风险承诺完善程度一般、针对性一般的得2分；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lang w:val="en-US" w:eastAsia="zh-CN"/>
        </w:rPr>
        <w:t xml:space="preserve">、本项目的重点难点（养护质量方面、技术方面、信息方面、沟通协调方面等等）分析和解决措施（组织保障、技术保障、信息保障等）比较（7分）                                                           </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综合评定优秀，概述详细，方案考虑周全的得7分；综合评定良好，概述较为详细，方案考虑比较细致，能满足项目实施需要的得4分；综合评定一般，措施简单，基本能满足项目实施需要的得1分；未提供的不得分。</w:t>
      </w:r>
      <w:r>
        <w:rPr>
          <w:color w:val="000000" w:themeColor="text1"/>
        </w:rPr>
      </w:r>
    </w:p>
    <w:p>
      <w:pPr>
        <w:ind w:left="0"/>
        <w:spacing w:line="360" w:lineRule="auto"/>
        <w:widowControl w:val="off"/>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（三）企业综合实力比较(</w:t>
      </w:r>
      <w:r>
        <w:rPr>
          <w:rFonts w:hint="eastAsia" w:ascii="宋体" w:hAnsi="宋体" w:cs="宋体"/>
          <w:b/>
          <w:color w:val="000000" w:themeColor="text1"/>
          <w:sz w:val="24"/>
          <w:szCs w:val="24"/>
          <w:highlight w:val="none"/>
          <w:lang w:val="en-US" w:eastAsia="zh-CN"/>
        </w:rPr>
        <w:t xml:space="preserve">27</w:t>
      </w:r>
      <w:r>
        <w:rPr>
          <w:rFonts w:hint="eastAsia" w:ascii="宋体" w:hAnsi="宋体" w:eastAsia="宋体" w:cs="宋体"/>
          <w:b/>
          <w:color w:val="000000" w:themeColor="text1"/>
          <w:sz w:val="24"/>
          <w:szCs w:val="24"/>
          <w:highlight w:val="none"/>
        </w:rPr>
        <w:t xml:space="preserve">分)</w:t>
      </w:r>
      <w:r>
        <w:rPr>
          <w:color w:val="000000" w:themeColor="text1"/>
        </w:rPr>
      </w:r>
    </w:p>
    <w:p>
      <w:pPr>
        <w:ind w:left="0" w:firstLine="480"/>
        <w:spacing w:line="360"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拟投入</w:t>
      </w:r>
      <w:r>
        <w:rPr>
          <w:rFonts w:hint="eastAsia" w:ascii="宋体" w:hAnsi="宋体" w:cs="宋体"/>
          <w:color w:val="000000" w:themeColor="text1"/>
          <w:sz w:val="24"/>
          <w:szCs w:val="24"/>
          <w:highlight w:val="none"/>
          <w:lang w:val="en-US" w:eastAsia="zh-CN"/>
        </w:rPr>
        <w:t xml:space="preserve">本</w:t>
      </w:r>
      <w:r>
        <w:rPr>
          <w:rFonts w:hint="eastAsia" w:ascii="宋体" w:hAnsi="宋体" w:eastAsia="宋体" w:cs="宋体"/>
          <w:color w:val="000000" w:themeColor="text1"/>
          <w:sz w:val="24"/>
          <w:szCs w:val="24"/>
          <w:highlight w:val="none"/>
        </w:rPr>
        <w:t xml:space="preserve">项目</w:t>
      </w:r>
      <w:r>
        <w:rPr>
          <w:rFonts w:hint="eastAsia" w:ascii="宋体" w:hAnsi="宋体" w:cs="宋体"/>
          <w:color w:val="000000" w:themeColor="text1"/>
          <w:sz w:val="24"/>
          <w:szCs w:val="24"/>
          <w:highlight w:val="none"/>
          <w:lang w:val="en-US" w:eastAsia="zh-CN"/>
        </w:rPr>
        <w:t xml:space="preserve">的项目负责人</w:t>
      </w:r>
      <w:r>
        <w:rPr>
          <w:rFonts w:hint="eastAsia" w:ascii="宋体" w:hAnsi="宋体" w:eastAsia="宋体" w:cs="宋体"/>
          <w:color w:val="000000" w:themeColor="text1"/>
          <w:sz w:val="24"/>
          <w:szCs w:val="24"/>
          <w:highlight w:val="none"/>
        </w:rPr>
        <w:t xml:space="preserve">具有园林绿化及相关专业高级及以上职称的得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具有园林绿化及相关专业</w:t>
      </w:r>
      <w:r>
        <w:rPr>
          <w:rFonts w:hint="eastAsia" w:ascii="宋体" w:hAnsi="宋体" w:eastAsia="宋体" w:cs="宋体"/>
          <w:color w:val="000000" w:themeColor="text1"/>
          <w:sz w:val="24"/>
          <w:szCs w:val="24"/>
          <w:highlight w:val="none"/>
          <w:lang w:val="en-US" w:eastAsia="zh-CN"/>
        </w:rPr>
        <w:t xml:space="preserve">中级</w:t>
      </w:r>
      <w:r>
        <w:rPr>
          <w:rFonts w:hint="eastAsia" w:ascii="宋体" w:hAnsi="宋体" w:eastAsia="宋体" w:cs="宋体"/>
          <w:color w:val="000000" w:themeColor="text1"/>
          <w:sz w:val="24"/>
          <w:szCs w:val="24"/>
          <w:highlight w:val="none"/>
        </w:rPr>
        <w:t xml:space="preserve">职称的得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本项最高得3分。</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响应文件中</w:t>
      </w:r>
      <w:r>
        <w:rPr>
          <w:rFonts w:hint="eastAsia" w:ascii="宋体" w:hAnsi="宋体" w:eastAsia="宋体" w:cs="宋体"/>
          <w:color w:val="000000" w:themeColor="text1"/>
          <w:sz w:val="24"/>
          <w:szCs w:val="24"/>
          <w:highlight w:val="none"/>
        </w:rPr>
        <w:t xml:space="preserve">提供职称证书扫描件</w:t>
      </w:r>
      <w:r>
        <w:rPr>
          <w:rFonts w:hint="eastAsia" w:ascii="宋体" w:hAnsi="宋体" w:cs="宋体"/>
          <w:color w:val="000000" w:themeColor="text1"/>
          <w:sz w:val="24"/>
          <w:szCs w:val="24"/>
          <w:highlight w:val="none"/>
          <w:lang w:val="en-US" w:eastAsia="zh-CN"/>
        </w:rPr>
        <w:t xml:space="preserve">和</w:t>
      </w:r>
      <w:r>
        <w:rPr>
          <w:rFonts w:hint="eastAsia" w:ascii="宋体" w:hAnsi="宋体" w:eastAsia="宋体" w:cs="宋体"/>
          <w:color w:val="000000" w:themeColor="text1"/>
          <w:sz w:val="24"/>
          <w:szCs w:val="24"/>
          <w:highlight w:val="none"/>
        </w:rPr>
        <w:t xml:space="preserve">响应</w:t>
      </w:r>
      <w:r>
        <w:rPr>
          <w:rFonts w:hint="eastAsia" w:ascii="宋体" w:hAnsi="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为其缴纳的</w:t>
      </w:r>
      <w:r>
        <w:rPr>
          <w:rFonts w:hint="eastAsia" w:ascii="宋体" w:hAnsi="宋体" w:cs="宋体"/>
          <w:color w:val="000000" w:themeColor="text1"/>
          <w:sz w:val="24"/>
          <w:szCs w:val="24"/>
          <w:highlight w:val="none"/>
          <w:lang w:val="en-US" w:eastAsia="zh-CN"/>
        </w:rPr>
        <w:t xml:space="preserve">最新一期</w:t>
      </w:r>
      <w:r>
        <w:rPr>
          <w:rFonts w:hint="eastAsia" w:ascii="宋体" w:hAnsi="宋体" w:eastAsia="宋体" w:cs="宋体"/>
          <w:color w:val="000000" w:themeColor="text1"/>
          <w:sz w:val="24"/>
          <w:szCs w:val="24"/>
          <w:highlight w:val="none"/>
        </w:rPr>
        <w:t xml:space="preserve">社保</w:t>
      </w:r>
      <w:r>
        <w:rPr>
          <w:rFonts w:hint="eastAsia" w:ascii="宋体" w:hAnsi="宋体" w:cs="宋体"/>
          <w:color w:val="000000" w:themeColor="text1"/>
          <w:sz w:val="24"/>
          <w:szCs w:val="24"/>
          <w:highlight w:val="none"/>
          <w:lang w:val="en-US" w:eastAsia="zh-CN"/>
        </w:rPr>
        <w:t xml:space="preserve">缴纳</w:t>
      </w:r>
      <w:r>
        <w:rPr>
          <w:rFonts w:hint="eastAsia" w:ascii="宋体" w:hAnsi="宋体" w:eastAsia="宋体" w:cs="宋体"/>
          <w:color w:val="000000" w:themeColor="text1"/>
          <w:sz w:val="24"/>
          <w:szCs w:val="24"/>
          <w:highlight w:val="none"/>
        </w:rPr>
        <w:t xml:space="preserve">证明</w:t>
      </w:r>
      <w:r>
        <w:rPr>
          <w:rFonts w:hint="eastAsia" w:ascii="宋体" w:hAnsi="宋体" w:cs="宋体"/>
          <w:color w:val="000000" w:themeColor="text1"/>
          <w:sz w:val="24"/>
          <w:szCs w:val="24"/>
          <w:highlight w:val="none"/>
          <w:lang w:val="en-US" w:eastAsia="zh-CN"/>
        </w:rPr>
        <w:t xml:space="preserve">材料</w:t>
      </w:r>
      <w:r>
        <w:rPr>
          <w:rFonts w:hint="eastAsia" w:ascii="宋体" w:hAnsi="宋体" w:eastAsia="宋体" w:cs="宋体"/>
          <w:color w:val="000000" w:themeColor="text1"/>
          <w:sz w:val="24"/>
          <w:szCs w:val="24"/>
          <w:highlight w:val="none"/>
        </w:rPr>
        <w:t xml:space="preserve">扫描件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未提供或提供不全的不得分</w:t>
      </w:r>
      <w:r>
        <w:rPr>
          <w:rFonts w:hint="eastAsia" w:ascii="宋体" w:hAnsi="宋体" w:eastAsia="宋体" w:cs="宋体"/>
          <w:color w:val="000000" w:themeColor="text1"/>
          <w:sz w:val="24"/>
          <w:szCs w:val="24"/>
          <w:highlight w:val="none"/>
        </w:rPr>
        <w:t xml:space="preserve">。）</w:t>
      </w:r>
      <w:r>
        <w:rPr>
          <w:color w:val="000000" w:themeColor="text1"/>
        </w:rPr>
      </w:r>
    </w:p>
    <w:p>
      <w:pPr>
        <w:ind w:left="0" w:firstLine="482"/>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园林绿化及相关专业”指：与园林绿化工程规划、设计、施工及养护管理相关的专业，包括园林（含园林规划设计、园林植物、风景园林、园林绿化等）、园艺、景观、植物（含植保、森保等）、环境艺术等专业。</w:t>
      </w:r>
      <w:r>
        <w:rPr>
          <w:color w:val="000000" w:themeColor="text1"/>
        </w:rPr>
      </w:r>
    </w:p>
    <w:p>
      <w:pPr>
        <w:ind w:left="0" w:firstLine="480"/>
        <w:spacing w:line="360"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、为本项目配备的其他人员（</w:t>
      </w: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负责人</w:t>
      </w:r>
      <w:r>
        <w:rPr>
          <w:rFonts w:hint="eastAsia" w:ascii="宋体" w:hAnsi="宋体" w:eastAsia="宋体" w:cs="宋体"/>
          <w:color w:val="000000" w:themeColor="text1"/>
          <w:sz w:val="24"/>
          <w:szCs w:val="24"/>
          <w:highlight w:val="none"/>
        </w:rPr>
        <w:t xml:space="preserve">除外）具有园林绿化及相关专业</w:t>
      </w:r>
      <w:r>
        <w:rPr>
          <w:rFonts w:hint="eastAsia" w:ascii="宋体" w:hAnsi="宋体" w:cs="宋体"/>
          <w:color w:val="000000" w:themeColor="text1"/>
          <w:sz w:val="24"/>
          <w:szCs w:val="24"/>
          <w:highlight w:val="none"/>
          <w:lang w:val="en-US" w:eastAsia="zh-CN"/>
        </w:rPr>
        <w:t xml:space="preserve">初级</w:t>
      </w:r>
      <w:r>
        <w:rPr>
          <w:rFonts w:hint="eastAsia" w:ascii="宋体" w:hAnsi="宋体" w:eastAsia="宋体" w:cs="宋体"/>
          <w:color w:val="000000" w:themeColor="text1"/>
          <w:sz w:val="24"/>
          <w:szCs w:val="24"/>
          <w:highlight w:val="none"/>
        </w:rPr>
        <w:t xml:space="preserve">职称及以上的每人得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Times New Roman"/>
          <w:color w:val="000000" w:themeColor="text1"/>
          <w:sz w:val="24"/>
          <w:szCs w:val="24"/>
          <w:highlight w:val="none"/>
        </w:rPr>
        <w:t xml:space="preserve">，</w:t>
      </w:r>
      <w:r>
        <w:rPr>
          <w:rFonts w:hint="eastAsia" w:ascii="宋体" w:hAnsi="宋体" w:cs="Times New Roman"/>
          <w:color w:val="000000" w:themeColor="text1"/>
          <w:sz w:val="24"/>
          <w:szCs w:val="24"/>
          <w:highlight w:val="none"/>
          <w:lang w:val="en-US" w:eastAsia="zh-CN"/>
        </w:rPr>
        <w:t xml:space="preserve">本项</w:t>
      </w:r>
      <w:r>
        <w:rPr>
          <w:rFonts w:hint="eastAsia" w:ascii="宋体" w:hAnsi="宋体" w:eastAsia="宋体" w:cs="Times New Roman"/>
          <w:color w:val="000000" w:themeColor="text1"/>
          <w:sz w:val="24"/>
          <w:szCs w:val="24"/>
          <w:highlight w:val="none"/>
        </w:rPr>
        <w:t xml:space="preserve">最高得</w:t>
      </w:r>
      <w:r>
        <w:rPr>
          <w:rFonts w:hint="eastAsia" w:ascii="宋体" w:hAnsi="宋体" w:cs="Times New Roman"/>
          <w:color w:val="000000" w:themeColor="text1"/>
          <w:sz w:val="24"/>
          <w:szCs w:val="24"/>
          <w:highlight w:val="none"/>
          <w:lang w:val="en-US" w:eastAsia="zh-CN"/>
        </w:rPr>
        <w:t xml:space="preserve">8</w:t>
      </w:r>
      <w:r>
        <w:rPr>
          <w:rFonts w:hint="eastAsia" w:ascii="宋体" w:hAnsi="宋体" w:eastAsia="宋体" w:cs="Times New Roman"/>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响应文件中</w:t>
      </w:r>
      <w:r>
        <w:rPr>
          <w:rFonts w:hint="eastAsia" w:ascii="宋体" w:hAnsi="宋体" w:eastAsia="宋体" w:cs="宋体"/>
          <w:color w:val="000000" w:themeColor="text1"/>
          <w:sz w:val="24"/>
          <w:szCs w:val="24"/>
          <w:highlight w:val="none"/>
        </w:rPr>
        <w:t xml:space="preserve">提供职称证书扫描件</w:t>
      </w:r>
      <w:r>
        <w:rPr>
          <w:rFonts w:hint="eastAsia" w:ascii="宋体" w:hAnsi="宋体" w:cs="宋体"/>
          <w:color w:val="000000" w:themeColor="text1"/>
          <w:sz w:val="24"/>
          <w:szCs w:val="24"/>
          <w:highlight w:val="none"/>
          <w:lang w:val="en-US" w:eastAsia="zh-CN"/>
        </w:rPr>
        <w:t xml:space="preserve">和</w:t>
      </w:r>
      <w:r>
        <w:rPr>
          <w:rFonts w:hint="eastAsia" w:ascii="宋体" w:hAnsi="宋体" w:eastAsia="宋体" w:cs="宋体"/>
          <w:color w:val="000000" w:themeColor="text1"/>
          <w:sz w:val="24"/>
          <w:szCs w:val="24"/>
          <w:highlight w:val="none"/>
        </w:rPr>
        <w:t xml:space="preserve">响应</w:t>
      </w:r>
      <w:r>
        <w:rPr>
          <w:rFonts w:hint="eastAsia" w:ascii="宋体" w:hAnsi="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为其缴纳的</w:t>
      </w:r>
      <w:r>
        <w:rPr>
          <w:rFonts w:hint="eastAsia" w:ascii="宋体" w:hAnsi="宋体" w:cs="宋体"/>
          <w:color w:val="000000" w:themeColor="text1"/>
          <w:sz w:val="24"/>
          <w:szCs w:val="24"/>
          <w:highlight w:val="none"/>
          <w:lang w:val="en-US" w:eastAsia="zh-CN"/>
        </w:rPr>
        <w:t xml:space="preserve">最新一期</w:t>
      </w:r>
      <w:r>
        <w:rPr>
          <w:rFonts w:hint="eastAsia" w:ascii="宋体" w:hAnsi="宋体" w:eastAsia="宋体" w:cs="宋体"/>
          <w:color w:val="000000" w:themeColor="text1"/>
          <w:sz w:val="24"/>
          <w:szCs w:val="24"/>
          <w:highlight w:val="none"/>
        </w:rPr>
        <w:t xml:space="preserve">社保</w:t>
      </w:r>
      <w:r>
        <w:rPr>
          <w:rFonts w:hint="eastAsia" w:ascii="宋体" w:hAnsi="宋体" w:cs="宋体"/>
          <w:color w:val="000000" w:themeColor="text1"/>
          <w:sz w:val="24"/>
          <w:szCs w:val="24"/>
          <w:highlight w:val="none"/>
          <w:lang w:val="en-US" w:eastAsia="zh-CN"/>
        </w:rPr>
        <w:t xml:space="preserve">缴纳</w:t>
      </w:r>
      <w:r>
        <w:rPr>
          <w:rFonts w:hint="eastAsia" w:ascii="宋体" w:hAnsi="宋体" w:eastAsia="宋体" w:cs="宋体"/>
          <w:color w:val="000000" w:themeColor="text1"/>
          <w:sz w:val="24"/>
          <w:szCs w:val="24"/>
          <w:highlight w:val="none"/>
        </w:rPr>
        <w:t xml:space="preserve">证明</w:t>
      </w:r>
      <w:r>
        <w:rPr>
          <w:rFonts w:hint="eastAsia" w:ascii="宋体" w:hAnsi="宋体" w:cs="宋体"/>
          <w:color w:val="000000" w:themeColor="text1"/>
          <w:sz w:val="24"/>
          <w:szCs w:val="24"/>
          <w:highlight w:val="none"/>
          <w:lang w:val="en-US" w:eastAsia="zh-CN"/>
        </w:rPr>
        <w:t xml:space="preserve">材料</w:t>
      </w:r>
      <w:r>
        <w:rPr>
          <w:rFonts w:hint="eastAsia" w:ascii="宋体" w:hAnsi="宋体" w:eastAsia="宋体" w:cs="宋体"/>
          <w:color w:val="000000" w:themeColor="text1"/>
          <w:sz w:val="24"/>
          <w:szCs w:val="24"/>
          <w:highlight w:val="none"/>
        </w:rPr>
        <w:t xml:space="preserve">扫描件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未提供或提供不全的不得分</w:t>
      </w:r>
      <w:r>
        <w:rPr>
          <w:rFonts w:hint="eastAsia" w:ascii="宋体" w:hAnsi="宋体" w:eastAsia="宋体" w:cs="宋体"/>
          <w:color w:val="000000" w:themeColor="text1"/>
          <w:sz w:val="24"/>
          <w:szCs w:val="24"/>
          <w:highlight w:val="none"/>
        </w:rPr>
        <w:t xml:space="preserve">。）</w:t>
      </w:r>
      <w:r>
        <w:rPr>
          <w:color w:val="000000" w:themeColor="text1"/>
        </w:rPr>
      </w:r>
    </w:p>
    <w:p>
      <w:pPr>
        <w:ind w:left="0" w:firstLine="482"/>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园林绿化及相关专业”指：与园林绿化工程规划、设计、施工及养护管理相关的专业，包括园林（含园林规划设计、园林植物、风景园林、园林绿化等）、园艺、景观、植物（含植保、森保等）、环境艺术等专业。</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3、为本项目配备的其他人员（项目负责人除外）</w:t>
      </w:r>
      <w:r>
        <w:rPr>
          <w:rFonts w:hint="eastAsia" w:ascii="宋体" w:hAnsi="宋体" w:eastAsia="宋体" w:cs="宋体"/>
          <w:bCs/>
          <w:color w:val="000000" w:themeColor="text1"/>
          <w:sz w:val="24"/>
          <w:szCs w:val="24"/>
          <w:highlight w:val="none"/>
          <w:lang w:val="en-US" w:eastAsia="zh-Hans"/>
        </w:rPr>
        <w:t xml:space="preserve">具有高空作业车操作证的</w:t>
      </w:r>
      <w:r>
        <w:rPr>
          <w:rFonts w:hint="eastAsia" w:ascii="宋体" w:hAnsi="宋体" w:eastAsia="宋体" w:cs="宋体"/>
          <w:bCs/>
          <w:color w:val="000000" w:themeColor="text1"/>
          <w:sz w:val="24"/>
          <w:szCs w:val="24"/>
          <w:highlight w:val="none"/>
          <w:lang w:val="en-US" w:eastAsia="zh-CN"/>
        </w:rPr>
        <w:t xml:space="preserve">，每提供一人得2分，本项最高得2分。（响应文件中提供证书扫描件和响应单位为其缴纳的最新一期社保缴纳证明材料扫描件，未提供或提供不全的不得分。）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为本项目配备的其他人员（项目负责人除外）具有红十字会颁发的初级及以上救护员证书的，每提供一人得2分，本项最高得2分。（响应文件中提供证书扫描件和响应单位为其缴纳的最新一期社保缴纳证明材料扫描件，未提供或提供不全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5、响应单位自2023年01月01日至今（以合同签订时间为准）承担过类似项目业绩的，有一个得2分，本项最高得6分。（响应文件中合同扫描件，未提供的不得分。）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6、响应单位具有有效期内质量管理体系证书、环境管理体系证书、职业健康安全管理体系证书，每提供一份得2分，本项最高得6分。</w:t>
      </w:r>
      <w:r>
        <w:rPr>
          <w:color w:val="000000" w:themeColor="text1"/>
        </w:rP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(响应文件中提供证书扫描件和该证书在中国国家认证认可监督管理委员会网站http://www.cnca.gov.cn/上查询的页面截图，未提供或提供不全的不得分。)</w:t>
      </w:r>
      <w:r>
        <w:rPr>
          <w:color w:val="000000" w:themeColor="text1"/>
        </w:rPr>
      </w:r>
    </w:p>
    <w:p>
      <w:pPr>
        <w:pStyle w:val="1356"/>
        <w:rPr>
          <w:color w:val="000000" w:themeColor="text1"/>
          <w:highlight w:val="none"/>
        </w:rPr>
      </w:pPr>
      <w:r>
        <w:rPr>
          <w:color w:val="000000" w:themeColor="text1"/>
          <w:highlight w:val="none"/>
        </w:rPr>
      </w:r>
      <w:r>
        <w:rPr>
          <w:color w:val="000000" w:themeColor="text1"/>
        </w:rPr>
      </w:r>
    </w:p>
    <w:p>
      <w:pPr>
        <w:ind w:left="0" w:firstLine="482"/>
        <w:keepLines w:val="0"/>
        <w:keepNext w:val="0"/>
        <w:pageBreakBefore w:val="0"/>
        <w:spacing w:line="360" w:lineRule="auto"/>
        <w:widowControl w:val="off"/>
        <w:rPr>
          <w:rFonts w:hint="eastAsia" w:ascii="宋体" w:hAnsi="宋体" w:eastAsia="宋体"/>
          <w:b/>
          <w:color w:val="000000" w:themeColor="text1"/>
          <w:sz w:val="24"/>
          <w:highlight w:val="none"/>
        </w:rPr>
      </w:pPr>
      <w:r>
        <w:rPr>
          <w:rStyle w:val="1360"/>
          <w:rFonts w:hint="eastAsia" w:ascii="宋体" w:hAnsi="宋体" w:eastAsia="宋体"/>
          <w:b/>
          <w:color w:val="000000" w:themeColor="text1"/>
          <w:sz w:val="24"/>
          <w:highlight w:val="none"/>
        </w:rPr>
        <w:t xml:space="preserve">注：</w:t>
      </w:r>
      <w:r>
        <w:rPr>
          <w:rFonts w:hint="eastAsia" w:ascii="宋体" w:hAnsi="宋体" w:eastAsia="宋体"/>
          <w:b/>
          <w:color w:val="000000" w:themeColor="text1"/>
          <w:sz w:val="24"/>
          <w:highlight w:val="none"/>
        </w:rPr>
        <w:t xml:space="preserve">针对评分标准中评分的每一条，响应人在响应文件中均应提供清晰明了的相关资料并做出相应说明供评委评判，不提供相关资料的视为不具备该项得分的条件。</w:t>
      </w:r>
      <w:r>
        <w:rPr>
          <w:color w:val="000000" w:themeColor="text1"/>
        </w:rPr>
      </w:r>
    </w:p>
    <w:p>
      <w:pPr>
        <w:jc w:val="center"/>
        <w:keepLines/>
        <w:keepNext/>
        <w:spacing w:line="360" w:lineRule="auto"/>
        <w:widowControl w:val="off"/>
        <w:rPr>
          <w:color w:val="000000" w:themeColor="text1"/>
          <w:highlight w:val="none"/>
        </w:rPr>
        <w:outlineLvl w:val="9"/>
      </w:pPr>
      <w:r>
        <w:rPr>
          <w:color w:val="000000" w:themeColor="text1"/>
        </w:rPr>
      </w:r>
      <w:bookmarkStart w:id="123" w:name="_Toc68249235"/>
      <w:r>
        <w:rPr>
          <w:color w:val="000000" w:themeColor="text1"/>
        </w:rPr>
      </w:r>
      <w:r>
        <w:rPr>
          <w:color w:val="000000" w:themeColor="text1"/>
        </w:rPr>
      </w:r>
    </w:p>
    <w:p>
      <w:pPr>
        <w:pStyle w:val="1369"/>
        <w:rPr>
          <w:color w:val="000000" w:themeColor="text1"/>
          <w:highlight w:val="none"/>
        </w:rPr>
      </w:pPr>
      <w:r>
        <w:rPr>
          <w:color w:val="000000" w:themeColor="text1"/>
          <w:highlight w:val="none"/>
        </w:rPr>
      </w:r>
      <w:r>
        <w:rPr>
          <w:color w:val="000000" w:themeColor="text1"/>
        </w:rPr>
      </w:r>
    </w:p>
    <w:p>
      <w:pPr>
        <w:jc w:val="center"/>
        <w:keepLines/>
        <w:keepNext/>
        <w:spacing w:line="360" w:lineRule="auto"/>
        <w:widowControl w:val="off"/>
        <w:rPr>
          <w:color w:val="000000" w:themeColor="text1"/>
          <w:highlight w:val="none"/>
        </w:rPr>
        <w:outlineLvl w:val="9"/>
      </w:pPr>
      <w:r>
        <w:rPr>
          <w:color w:val="000000" w:themeColor="text1"/>
          <w:highlight w:val="none"/>
        </w:rPr>
      </w:r>
      <w:r>
        <w:rPr>
          <w:color w:val="000000" w:themeColor="text1"/>
        </w:rPr>
      </w:r>
    </w:p>
    <w:p>
      <w:pPr>
        <w:jc w:val="center"/>
        <w:keepLines/>
        <w:keepNext/>
        <w:spacing w:line="360" w:lineRule="auto"/>
        <w:widowControl w:val="off"/>
        <w:rPr>
          <w:color w:val="000000" w:themeColor="text1"/>
          <w:highlight w:val="none"/>
        </w:rPr>
        <w:outlineLvl w:val="9"/>
      </w:pPr>
      <w:r>
        <w:rPr>
          <w:color w:val="000000" w:themeColor="text1"/>
          <w:highlight w:val="none"/>
        </w:rPr>
      </w:r>
      <w:bookmarkEnd w:id="123"/>
      <w:r>
        <w:rPr>
          <w:color w:val="000000" w:themeColor="text1"/>
        </w:rPr>
      </w:r>
      <w:r>
        <w:rPr>
          <w:color w:val="000000" w:themeColor="text1"/>
        </w:rPr>
      </w:r>
    </w:p>
    <w:p>
      <w:pPr>
        <w:jc w:val="center"/>
        <w:spacing w:line="360" w:lineRule="auto"/>
        <w:widowControl w:val="off"/>
        <w:rPr>
          <w:rFonts w:ascii="宋体" w:hAnsi="宋体" w:eastAsia="宋体"/>
          <w:b/>
          <w:color w:val="000000" w:themeColor="text1"/>
          <w:sz w:val="24"/>
          <w:highlight w:val="none"/>
        </w:rPr>
      </w:pPr>
      <w:r>
        <w:rPr>
          <w:rFonts w:ascii="宋体" w:hAnsi="宋体" w:eastAsia="宋体"/>
          <w:b/>
          <w:color w:val="000000" w:themeColor="text1"/>
          <w:sz w:val="24"/>
          <w:highlight w:val="none"/>
        </w:rPr>
      </w:r>
      <w:r>
        <w:rPr>
          <w:color w:val="000000" w:themeColor="text1"/>
        </w:rPr>
      </w:r>
    </w:p>
    <w:p>
      <w:pPr>
        <w:jc w:val="right"/>
        <w:rPr>
          <w:color w:val="000000" w:themeColor="text1"/>
          <w:highlight w:val="none"/>
        </w:rPr>
      </w:pPr>
      <w:r>
        <w:rPr>
          <w:rFonts w:hint="eastAsia" w:ascii="宋体" w:hAnsi="宋体" w:eastAsia="宋体"/>
          <w:b/>
          <w:color w:val="000000" w:themeColor="text1"/>
          <w:sz w:val="24"/>
          <w:highlight w:val="none"/>
        </w:rPr>
        <w:t xml:space="preserve">（全文完）</w:t>
      </w:r>
      <w:r>
        <w:rPr>
          <w:color w:val="000000" w:themeColor="text1"/>
        </w:rPr>
      </w:r>
    </w:p>
    <w:sectPr>
      <w:footerReference w:type="default" r:id="rId23"/>
      <w:footerReference w:type="first" r:id="rId24"/>
      <w:footnotePr/>
      <w:endnotePr/>
      <w:type w:val="nextPage"/>
      <w:pgSz w:w="11906" w:h="16838" w:orient="portrait"/>
      <w:pgMar w:top="1417" w:right="1247" w:bottom="1417" w:left="124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等线">
    <w:panose1 w:val="02010600030101010101"/>
  </w:font>
  <w:font w:name="Courier New">
    <w:panose1 w:val="02070309020205020404"/>
  </w:font>
  <w:font w:name="方正仿宋简体">
    <w:panose1 w:val="020B0503020202020204"/>
  </w:font>
  <w:font w:name="Tahoma">
    <w:panose1 w:val="020B0604030504040204"/>
  </w:font>
  <w:font w:name="Arial Unicode MS">
    <w:panose1 w:val="020B0604020202020204"/>
  </w:font>
  <w:font w:name="创艺简仿宋">
    <w:panose1 w:val="020B0503020202020204"/>
  </w:font>
  <w:font w:name="Arial">
    <w:panose1 w:val="020B0604020202020204"/>
  </w:font>
  <w:font w:name="Calibri">
    <w:panose1 w:val="020F050202020403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rPr>
        <w:rStyle w:val="1351"/>
      </w:rPr>
      <w:framePr w:wrap="around" w:vAnchor="text" w:hAnchor="margin" w:xAlign="center" w:y="1"/>
    </w:pPr>
    <w:r>
      <w:fldChar w:fldCharType="begin"/>
    </w:r>
    <w:r>
      <w:rPr>
        <w:rStyle w:val="1351"/>
      </w:rPr>
      <w:instrText xml:space="preserve"> PAGE </w:instrText>
    </w:r>
    <w:r>
      <w:fldChar w:fldCharType="end"/>
    </w:r>
    <w:r/>
  </w:p>
  <w:p>
    <w:pPr>
      <w:pStyle w:val="13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1</w:t>
                          </w:r>
                          <w:r>
                            <w:rPr>
                              <w:rFonts w:hint="eastAsia" w:ascii="楷体" w:hAnsi="楷体" w:eastAsia="楷体" w:cs="楷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1</w:t>
                    </w:r>
                    <w:r>
                      <w:rPr>
                        <w:rFonts w:hint="eastAsia" w:ascii="楷体" w:hAnsi="楷体" w:eastAsia="楷体" w:cs="楷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ind w:left="0" w:firstLine="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2</w:t>
                          </w:r>
                          <w:r>
                            <w:rPr>
                              <w:rFonts w:hint="eastAsia" w:ascii="楷体" w:hAnsi="楷体" w:eastAsia="楷体" w:cs="楷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2</w:t>
                    </w:r>
                    <w:r>
                      <w:rPr>
                        <w:rFonts w:hint="eastAsia" w:ascii="楷体" w:hAnsi="楷体" w:eastAsia="楷体" w:cs="楷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2026-2027年度绕城高速甪直、车坊段绿化养护</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3</w:t>
                          </w:r>
                          <w:r>
                            <w:rPr>
                              <w:rFonts w:hint="eastAsia" w:ascii="楷体" w:hAnsi="楷体" w:eastAsia="楷体" w:cs="楷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3</w:t>
                    </w:r>
                    <w:r>
                      <w:rPr>
                        <w:rFonts w:hint="eastAsia" w:ascii="楷体" w:hAnsi="楷体" w:eastAsia="楷体" w:cs="楷体"/>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17193" cy="164703"/>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flipH="0" flipV="0">
                        <a:off x="0" y="0"/>
                        <a:ext cx="317193" cy="16470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5</w:t>
                          </w:r>
                          <w:r>
                            <w:rPr>
                              <w:rFonts w:hint="eastAsia" w:ascii="楷体" w:hAnsi="楷体" w:eastAsia="楷体" w:cs="楷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25.0pt;height:13.0pt;mso-wrap-distance-left:9.0pt;mso-wrap-distance-top:0.0pt;mso-wrap-distance-right:9.0pt;mso-wrap-distance-bottom:0.0pt;v-text-anchor:top;visibility:visible;" filled="f" stroked="f" strokeweight="0.50pt">
              <v:textbox inset="0,0,0,0">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5</w:t>
                    </w:r>
                    <w:r>
                      <w:rPr>
                        <w:rFonts w:hint="eastAsia" w:ascii="楷体" w:hAnsi="楷体" w:eastAsia="楷体" w:cs="楷体"/>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ind w:left="0" w:firstLine="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2535" cy="164703"/>
              <wp:effectExtent l="3175" t="3175" r="3175" b="3175"/>
              <wp:wrapNone/>
              <wp:docPr id="8" name="文本框 13"/>
              <wp:cNvGraphicFramePr/>
              <a:graphic xmlns:a="http://schemas.openxmlformats.org/drawingml/2006/main">
                <a:graphicData uri="http://schemas.microsoft.com/office/word/2010/wordprocessingShape">
                  <wps:wsp>
                    <wps:cNvPr id="0" name=""/>
                    <wps:cNvSpPr txBox="1"/>
                    <wps:spPr bwMode="auto">
                      <a:xfrm flipH="0" flipV="0">
                        <a:off x="0" y="0"/>
                        <a:ext cx="222534" cy="16470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4</w:t>
                          </w:r>
                          <w:r>
                            <w:rPr>
                              <w:rFonts w:hint="eastAsia" w:ascii="楷体" w:hAnsi="楷体" w:eastAsia="楷体" w:cs="楷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7.5pt;height:13.0pt;mso-wrap-distance-left:9.0pt;mso-wrap-distance-top:0.0pt;mso-wrap-distance-right:9.0pt;mso-wrap-distance-bottom:0.0pt;v-text-anchor:top;visibility:visible;" filled="f" stroked="f" strokeweight="0.50pt">
              <v:textbox inset="0,0,0,0">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4</w:t>
                    </w:r>
                    <w:r>
                      <w:rPr>
                        <w:rFonts w:hint="eastAsia" w:ascii="楷体" w:hAnsi="楷体" w:eastAsia="楷体" w:cs="楷体"/>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firstLine="710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-55161</wp:posOffset>
              </wp:positionV>
              <wp:extent cx="261609" cy="219864"/>
              <wp:effectExtent l="3175" t="3175" r="3175" b="3175"/>
              <wp:wrapNone/>
              <wp:docPr id="9" name="文本框 14"/>
              <wp:cNvGraphicFramePr/>
              <a:graphic xmlns:a="http://schemas.openxmlformats.org/drawingml/2006/main">
                <a:graphicData uri="http://schemas.microsoft.com/office/word/2010/wordprocessingShape">
                  <wps:wsp>
                    <wps:cNvPr id="0" name=""/>
                    <wps:cNvSpPr txBox="1"/>
                    <wps:spPr bwMode="auto">
                      <a:xfrm flipH="0" flipV="0">
                        <a:off x="0" y="0"/>
                        <a:ext cx="261609" cy="21986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default" w:ascii="楷体" w:hAnsi="楷体" w:eastAsia="楷体" w:cs="楷体"/>
                              <w:lang w:val="en-US" w:eastAsia="zh-CN"/>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24</w:t>
                          </w:r>
                          <w:r>
                            <w:rPr>
                              <w:rFonts w:hint="eastAsia" w:ascii="楷体" w:hAnsi="楷体" w:eastAsia="楷体" w:cs="楷体"/>
                            </w:rPr>
                            <w:fldChar w:fldCharType="end"/>
                          </w:r>
                          <w:r>
                            <w:rPr>
                              <w:rFonts w:hint="eastAsia" w:ascii="楷体" w:hAnsi="楷体" w:eastAsia="楷体" w:cs="楷体"/>
                              <w:lang w:val="en-US" w:eastAsia="zh-CN"/>
                            </w:rPr>
                            <w:t xml:space="preserve">  </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4.3pt;mso-position-vertical:absolute;width:20.6pt;height:17.3pt;mso-wrap-distance-left:9.0pt;mso-wrap-distance-top:0.0pt;mso-wrap-distance-right:9.0pt;mso-wrap-distance-bottom:0.0pt;v-text-anchor:top;visibility:visible;" filled="f" stroked="f" strokeweight="0.50pt">
              <v:textbox inset="0,0,0,0">
                <w:txbxContent>
                  <w:p>
                    <w:pPr>
                      <w:pStyle w:val="1160"/>
                      <w:ind w:left="0" w:firstLine="0"/>
                      <w:rPr>
                        <w:rFonts w:hint="default" w:ascii="楷体" w:hAnsi="楷体" w:eastAsia="楷体" w:cs="楷体"/>
                        <w:lang w:val="en-US" w:eastAsia="zh-CN"/>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24</w:t>
                    </w:r>
                    <w:r>
                      <w:rPr>
                        <w:rFonts w:hint="eastAsia" w:ascii="楷体" w:hAnsi="楷体" w:eastAsia="楷体" w:cs="楷体"/>
                      </w:rPr>
                      <w:fldChar w:fldCharType="end"/>
                    </w:r>
                    <w:r>
                      <w:rPr>
                        <w:rFonts w:hint="eastAsia" w:ascii="楷体" w:hAnsi="楷体" w:eastAsia="楷体" w:cs="楷体"/>
                        <w:lang w:val="en-US" w:eastAsia="zh-CN"/>
                      </w:rPr>
                      <w:t xml:space="preserve">  </w:t>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303497" cy="164703"/>
              <wp:effectExtent l="3175" t="3175" r="3175" b="3175"/>
              <wp:wrapNone/>
              <wp:docPr id="10" name="文本框 15"/>
              <wp:cNvGraphicFramePr/>
              <a:graphic xmlns:a="http://schemas.openxmlformats.org/drawingml/2006/main">
                <a:graphicData uri="http://schemas.microsoft.com/office/word/2010/wordprocessingShape">
                  <wps:wsp>
                    <wps:cNvPr id="0" name=""/>
                    <wps:cNvSpPr txBox="1"/>
                    <wps:spPr bwMode="auto">
                      <a:xfrm flipH="0" flipV="0">
                        <a:off x="0" y="0"/>
                        <a:ext cx="303496" cy="16470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61</w:t>
                          </w:r>
                          <w:r>
                            <w:rPr>
                              <w:rFonts w:hint="eastAsia" w:ascii="楷体" w:hAnsi="楷体" w:eastAsia="楷体" w:cs="楷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23.9pt;height:13.0pt;mso-wrap-distance-left:9.0pt;mso-wrap-distance-top:0.0pt;mso-wrap-distance-right:9.0pt;mso-wrap-distance-bottom:0.0pt;v-text-anchor:top;visibility:visible;" filled="f" stroked="f" strokeweight="0.50pt">
              <v:textbox inset="0,0,0,0">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61</w:t>
                    </w:r>
                    <w:r>
                      <w:rPr>
                        <w:rFonts w:hint="eastAsia" w:ascii="楷体" w:hAnsi="楷体" w:eastAsia="楷体" w:cs="楷体"/>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94935" cy="164703"/>
              <wp:effectExtent l="3175" t="3175" r="3175" b="3175"/>
              <wp:wrapNone/>
              <wp:docPr id="11" name="文本框 16"/>
              <wp:cNvGraphicFramePr/>
              <a:graphic xmlns:a="http://schemas.openxmlformats.org/drawingml/2006/main">
                <a:graphicData uri="http://schemas.microsoft.com/office/word/2010/wordprocessingShape">
                  <wps:wsp>
                    <wps:cNvPr id="0" name=""/>
                    <wps:cNvSpPr txBox="1"/>
                    <wps:spPr bwMode="auto">
                      <a:xfrm flipH="0" flipV="0">
                        <a:off x="0" y="0"/>
                        <a:ext cx="194934" cy="16470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60</w:t>
                          </w:r>
                          <w:r>
                            <w:rPr>
                              <w:rFonts w:hint="eastAsia" w:ascii="楷体" w:hAnsi="楷体" w:eastAsia="楷体" w:cs="楷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5.3pt;height:13.0pt;mso-wrap-distance-left:9.0pt;mso-wrap-distance-top:0.0pt;mso-wrap-distance-right:9.0pt;mso-wrap-distance-bottom:0.0pt;v-text-anchor:top;visibility:visible;" filled="f" stroked="f" strokeweight="0.50pt">
              <v:textbox inset="0,0,0,0">
                <w:txbxContent>
                  <w:p>
                    <w:pPr>
                      <w:pStyle w:val="1160"/>
                      <w:ind w:left="0" w:firstLine="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60</w:t>
                    </w:r>
                    <w:r>
                      <w:rPr>
                        <w:rFonts w:hint="eastAsia" w:ascii="楷体" w:hAnsi="楷体" w:eastAsia="楷体" w:cs="楷体"/>
                      </w:rP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685800" cy="180340"/>
              <wp:effectExtent l="0" t="0" r="0" b="0"/>
              <wp:wrapNone/>
              <wp:docPr id="12" name="文本框 17"/>
              <wp:cNvGraphicFramePr/>
              <a:graphic xmlns:a="http://schemas.openxmlformats.org/drawingml/2006/main">
                <a:graphicData uri="http://schemas.microsoft.com/office/word/2010/wordprocessingShape">
                  <wps:wsp>
                    <wps:cNvPr id="0" name=""/>
                    <wps:cNvSpPr txBox="1"/>
                    <wps:spPr bwMode="auto">
                      <a:xfrm>
                        <a:off x="0" y="0"/>
                        <a:ext cx="685800" cy="1803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40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63</w:t>
                          </w:r>
                          <w:r>
                            <w:rPr>
                              <w:rFonts w:hint="eastAsia" w:ascii="楷体" w:hAnsi="楷体" w:eastAsia="楷体" w:cs="楷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54.0pt;height:14.2pt;mso-wrap-distance-left:9.0pt;mso-wrap-distance-top:0.0pt;mso-wrap-distance-right:9.0pt;mso-wrap-distance-bottom:0.0pt;v-text-anchor:top;visibility:visible;" filled="f" stroked="f" strokeweight="0.50pt">
              <v:textbox inset="0,0,0,0">
                <w:txbxContent>
                  <w:p>
                    <w:pPr>
                      <w:pStyle w:val="1160"/>
                      <w:ind w:left="0" w:firstLine="40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63</w:t>
                    </w:r>
                    <w:r>
                      <w:rPr>
                        <w:rFonts w:hint="eastAsia" w:ascii="楷体" w:hAnsi="楷体" w:eastAsia="楷体" w:cs="楷体"/>
                      </w:rP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ind w:firstLine="0"/>
      <w:jc w:val="both"/>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666750" cy="180340"/>
              <wp:effectExtent l="0" t="0" r="0" b="0"/>
              <wp:wrapNone/>
              <wp:docPr id="13" name="文本框 18"/>
              <wp:cNvGraphicFramePr/>
              <a:graphic xmlns:a="http://schemas.openxmlformats.org/drawingml/2006/main">
                <a:graphicData uri="http://schemas.microsoft.com/office/word/2010/wordprocessingShape">
                  <wps:wsp>
                    <wps:cNvPr id="0" name=""/>
                    <wps:cNvSpPr txBox="1"/>
                    <wps:spPr bwMode="auto">
                      <a:xfrm>
                        <a:off x="0" y="0"/>
                        <a:ext cx="666750" cy="1803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ind w:left="0" w:firstLine="40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62</w:t>
                          </w:r>
                          <w:r>
                            <w:rPr>
                              <w:rFonts w:hint="eastAsia" w:ascii="楷体" w:hAnsi="楷体" w:eastAsia="楷体" w:cs="楷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52.5pt;height:14.2pt;mso-wrap-distance-left:9.0pt;mso-wrap-distance-top:0.0pt;mso-wrap-distance-right:9.0pt;mso-wrap-distance-bottom:0.0pt;v-text-anchor:top;visibility:visible;" filled="f" stroked="f" strokeweight="0.50pt">
              <v:textbox inset="0,0,0,0">
                <w:txbxContent>
                  <w:p>
                    <w:pPr>
                      <w:pStyle w:val="1160"/>
                      <w:ind w:left="0" w:firstLine="400"/>
                      <w:rPr>
                        <w:rFonts w:hint="eastAsia" w:ascii="楷体" w:hAnsi="楷体" w:eastAsia="楷体" w:cs="楷体"/>
                      </w:rPr>
                    </w:pP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62</w:t>
                    </w:r>
                    <w:r>
                      <w:rPr>
                        <w:rFonts w:hint="eastAsia" w:ascii="楷体" w:hAnsi="楷体" w:eastAsia="楷体" w:cs="楷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8" w:default="1">
    <w:name w:val="Normal"/>
    <w:link w:val="1359"/>
    <w:uiPriority w:val="0"/>
    <w:qFormat/>
    <w:pPr>
      <w:ind w:left="1024"/>
      <w:jc w:val="both"/>
    </w:pPr>
    <w:rPr>
      <w:rFonts w:hint="default" w:ascii="Calibri" w:hAnsi="Calibri" w:eastAsia="宋体" w:cs="Times New Roman"/>
      <w:lang w:val="en-US" w:eastAsia="zh-CN" w:bidi="ar-SA"/>
    </w:rPr>
  </w:style>
  <w:style w:type="paragraph" w:styleId="1139">
    <w:name w:val="Heading 1"/>
    <w:basedOn w:val="1138"/>
    <w:next w:val="1138"/>
    <w:link w:val="1383"/>
    <w:uiPriority w:val="9"/>
    <w:qFormat/>
    <w:pPr>
      <w:keepLines/>
      <w:keepNext/>
      <w:spacing w:before="480" w:after="200"/>
      <w:outlineLvl w:val="0"/>
    </w:pPr>
    <w:rPr>
      <w:rFonts w:ascii="Arial" w:hAnsi="Arial" w:eastAsia="Arial" w:cs="Arial"/>
      <w:sz w:val="40"/>
      <w:szCs w:val="40"/>
    </w:rPr>
  </w:style>
  <w:style w:type="paragraph" w:styleId="1140">
    <w:name w:val="Heading 2"/>
    <w:basedOn w:val="1138"/>
    <w:next w:val="1138"/>
    <w:link w:val="1183"/>
    <w:uiPriority w:val="9"/>
    <w:unhideWhenUsed/>
    <w:qFormat/>
    <w:pPr>
      <w:keepLines/>
      <w:keepNext/>
      <w:spacing w:before="360" w:after="200"/>
      <w:outlineLvl w:val="1"/>
    </w:pPr>
    <w:rPr>
      <w:rFonts w:ascii="Arial" w:hAnsi="Arial" w:eastAsia="Arial" w:cs="Arial"/>
      <w:sz w:val="34"/>
    </w:rPr>
  </w:style>
  <w:style w:type="paragraph" w:styleId="1141">
    <w:name w:val="Heading 3"/>
    <w:basedOn w:val="1138"/>
    <w:next w:val="1138"/>
    <w:link w:val="1184"/>
    <w:uiPriority w:val="9"/>
    <w:unhideWhenUsed/>
    <w:qFormat/>
    <w:pPr>
      <w:keepLines/>
      <w:keepNext/>
      <w:spacing w:before="320" w:after="200"/>
      <w:outlineLvl w:val="2"/>
    </w:pPr>
    <w:rPr>
      <w:rFonts w:ascii="Arial" w:hAnsi="Arial" w:eastAsia="Arial" w:cs="Arial"/>
      <w:sz w:val="30"/>
      <w:szCs w:val="30"/>
    </w:rPr>
  </w:style>
  <w:style w:type="paragraph" w:styleId="1142">
    <w:name w:val="Heading 4"/>
    <w:basedOn w:val="1138"/>
    <w:next w:val="1138"/>
    <w:link w:val="1185"/>
    <w:uiPriority w:val="9"/>
    <w:unhideWhenUsed/>
    <w:qFormat/>
    <w:pPr>
      <w:keepLines/>
      <w:keepNext/>
      <w:spacing w:before="320" w:after="200"/>
      <w:outlineLvl w:val="3"/>
    </w:pPr>
    <w:rPr>
      <w:rFonts w:ascii="Arial" w:hAnsi="Arial" w:eastAsia="Arial" w:cs="Arial"/>
      <w:b/>
      <w:bCs/>
      <w:sz w:val="26"/>
      <w:szCs w:val="26"/>
    </w:rPr>
  </w:style>
  <w:style w:type="paragraph" w:styleId="1143">
    <w:name w:val="Heading 5"/>
    <w:basedOn w:val="1138"/>
    <w:next w:val="1138"/>
    <w:link w:val="1186"/>
    <w:uiPriority w:val="9"/>
    <w:unhideWhenUsed/>
    <w:qFormat/>
    <w:pPr>
      <w:keepLines/>
      <w:keepNext/>
      <w:spacing w:before="320" w:after="200"/>
      <w:outlineLvl w:val="4"/>
    </w:pPr>
    <w:rPr>
      <w:rFonts w:ascii="Arial" w:hAnsi="Arial" w:eastAsia="Arial" w:cs="Arial"/>
      <w:b/>
      <w:bCs/>
      <w:sz w:val="24"/>
      <w:szCs w:val="24"/>
    </w:rPr>
  </w:style>
  <w:style w:type="paragraph" w:styleId="1144">
    <w:name w:val="Heading 6"/>
    <w:basedOn w:val="1138"/>
    <w:next w:val="1138"/>
    <w:link w:val="1187"/>
    <w:uiPriority w:val="9"/>
    <w:unhideWhenUsed/>
    <w:qFormat/>
    <w:pPr>
      <w:keepLines/>
      <w:keepNext/>
      <w:spacing w:before="320" w:after="200"/>
      <w:outlineLvl w:val="5"/>
    </w:pPr>
    <w:rPr>
      <w:rFonts w:ascii="Arial" w:hAnsi="Arial" w:eastAsia="Arial" w:cs="Arial"/>
      <w:b/>
      <w:bCs/>
      <w:sz w:val="22"/>
      <w:szCs w:val="22"/>
    </w:rPr>
  </w:style>
  <w:style w:type="paragraph" w:styleId="1145">
    <w:name w:val="Heading 7"/>
    <w:basedOn w:val="1138"/>
    <w:next w:val="1138"/>
    <w:link w:val="1188"/>
    <w:uiPriority w:val="9"/>
    <w:unhideWhenUsed/>
    <w:qFormat/>
    <w:pPr>
      <w:keepLines/>
      <w:keepNext/>
      <w:spacing w:before="320" w:after="200"/>
      <w:outlineLvl w:val="6"/>
    </w:pPr>
    <w:rPr>
      <w:rFonts w:ascii="Arial" w:hAnsi="Arial" w:eastAsia="Arial" w:cs="Arial"/>
      <w:b/>
      <w:bCs/>
      <w:i/>
      <w:iCs/>
      <w:sz w:val="22"/>
      <w:szCs w:val="22"/>
    </w:rPr>
  </w:style>
  <w:style w:type="paragraph" w:styleId="1146">
    <w:name w:val="Heading 8"/>
    <w:basedOn w:val="1138"/>
    <w:next w:val="1138"/>
    <w:link w:val="1189"/>
    <w:uiPriority w:val="9"/>
    <w:unhideWhenUsed/>
    <w:qFormat/>
    <w:pPr>
      <w:keepLines/>
      <w:keepNext/>
      <w:spacing w:before="320" w:after="200"/>
      <w:outlineLvl w:val="7"/>
    </w:pPr>
    <w:rPr>
      <w:rFonts w:ascii="Arial" w:hAnsi="Arial" w:eastAsia="Arial" w:cs="Arial"/>
      <w:i/>
      <w:iCs/>
      <w:sz w:val="22"/>
      <w:szCs w:val="22"/>
    </w:rPr>
  </w:style>
  <w:style w:type="paragraph" w:styleId="1147">
    <w:name w:val="Heading 9"/>
    <w:basedOn w:val="1138"/>
    <w:next w:val="1138"/>
    <w:link w:val="1190"/>
    <w:uiPriority w:val="9"/>
    <w:unhideWhenUsed/>
    <w:qFormat/>
    <w:pPr>
      <w:keepLines/>
      <w:keepNext/>
      <w:spacing w:before="320" w:after="200"/>
      <w:outlineLvl w:val="8"/>
    </w:pPr>
    <w:rPr>
      <w:rFonts w:ascii="Arial" w:hAnsi="Arial" w:eastAsia="Arial" w:cs="Arial"/>
      <w:i/>
      <w:iCs/>
      <w:sz w:val="21"/>
      <w:szCs w:val="21"/>
    </w:rPr>
  </w:style>
  <w:style w:type="character" w:styleId="1148" w:default="1">
    <w:name w:val="Default Paragraph Font"/>
    <w:uiPriority w:val="1"/>
    <w:semiHidden/>
    <w:unhideWhenUsed/>
    <w:qFormat/>
  </w:style>
  <w:style w:type="table" w:styleId="1149" w:default="1">
    <w:name w:val="Normal Table"/>
    <w:uiPriority w:val="99"/>
    <w:semiHidden/>
    <w:unhideWhenUsed/>
    <w:qFormat/>
    <w:tblPr>
      <w:tblCellMar>
        <w:left w:w="108" w:type="dxa"/>
        <w:top w:w="0" w:type="dxa"/>
        <w:right w:w="108" w:type="dxa"/>
        <w:bottom w:w="0" w:type="dxa"/>
      </w:tblCellMar>
    </w:tblPr>
  </w:style>
  <w:style w:type="paragraph" w:styleId="1150">
    <w:name w:val="toc 7"/>
    <w:basedOn w:val="1138"/>
    <w:next w:val="1138"/>
    <w:uiPriority w:val="39"/>
    <w:unhideWhenUsed/>
    <w:qFormat/>
    <w:pPr>
      <w:ind w:left="1701" w:right="0" w:firstLine="0"/>
      <w:spacing w:after="57"/>
    </w:pPr>
  </w:style>
  <w:style w:type="paragraph" w:styleId="1151">
    <w:name w:val="Normal Indent"/>
    <w:basedOn w:val="1138"/>
    <w:uiPriority w:val="0"/>
    <w:qFormat/>
    <w:pPr>
      <w:ind w:firstLine="420"/>
      <w:jc w:val="left"/>
    </w:pPr>
    <w:rPr>
      <w:sz w:val="24"/>
    </w:rPr>
  </w:style>
  <w:style w:type="paragraph" w:styleId="1152">
    <w:name w:val="Caption"/>
    <w:basedOn w:val="1138"/>
    <w:next w:val="11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53">
    <w:name w:val="annotation text"/>
    <w:basedOn w:val="1138"/>
    <w:uiPriority w:val="99"/>
    <w:semiHidden/>
    <w:unhideWhenUsed/>
    <w:qFormat/>
    <w:pPr>
      <w:jc w:val="left"/>
    </w:pPr>
  </w:style>
  <w:style w:type="paragraph" w:styleId="1154">
    <w:name w:val="Body Text"/>
    <w:basedOn w:val="1138"/>
    <w:uiPriority w:val="0"/>
    <w:qFormat/>
    <w:pPr>
      <w:spacing w:after="120"/>
    </w:pPr>
    <w:rPr>
      <w:rFonts w:ascii="Tahoma" w:hAnsi="Tahoma" w:eastAsia="Times New Roman"/>
      <w:szCs w:val="24"/>
    </w:rPr>
  </w:style>
  <w:style w:type="paragraph" w:styleId="1155">
    <w:name w:val="Body Text Indent"/>
    <w:basedOn w:val="1138"/>
    <w:uiPriority w:val="0"/>
    <w:qFormat/>
    <w:pPr>
      <w:ind w:left="570"/>
      <w:spacing w:line="520" w:lineRule="exact"/>
    </w:pPr>
    <w:rPr>
      <w:rFonts w:ascii="方正仿宋简体" w:hAnsi="创艺简仿宋" w:eastAsia="方正仿宋简体" w:cs="Times New Roman"/>
      <w:sz w:val="24"/>
    </w:rPr>
  </w:style>
  <w:style w:type="paragraph" w:styleId="1156">
    <w:name w:val="toc 5"/>
    <w:basedOn w:val="1138"/>
    <w:next w:val="1138"/>
    <w:uiPriority w:val="39"/>
    <w:unhideWhenUsed/>
    <w:qFormat/>
    <w:pPr>
      <w:ind w:left="1134" w:right="0" w:firstLine="0"/>
      <w:spacing w:after="57"/>
    </w:pPr>
  </w:style>
  <w:style w:type="paragraph" w:styleId="1157">
    <w:name w:val="toc 3"/>
    <w:basedOn w:val="1138"/>
    <w:next w:val="1138"/>
    <w:uiPriority w:val="39"/>
    <w:unhideWhenUsed/>
    <w:qFormat/>
    <w:pPr>
      <w:ind w:left="567" w:right="0" w:firstLine="0"/>
      <w:spacing w:after="57"/>
    </w:pPr>
  </w:style>
  <w:style w:type="paragraph" w:styleId="1158">
    <w:name w:val="toc 8"/>
    <w:basedOn w:val="1138"/>
    <w:next w:val="1138"/>
    <w:uiPriority w:val="39"/>
    <w:unhideWhenUsed/>
    <w:qFormat/>
    <w:pPr>
      <w:ind w:left="1984" w:right="0" w:firstLine="0"/>
      <w:spacing w:after="57"/>
    </w:pPr>
  </w:style>
  <w:style w:type="paragraph" w:styleId="1159">
    <w:name w:val="endnote text"/>
    <w:basedOn w:val="1138"/>
    <w:link w:val="1328"/>
    <w:uiPriority w:val="99"/>
    <w:semiHidden/>
    <w:unhideWhenUsed/>
    <w:qFormat/>
    <w:pPr>
      <w:spacing w:after="0" w:line="240" w:lineRule="auto"/>
    </w:pPr>
    <w:rPr>
      <w:sz w:val="20"/>
    </w:rPr>
  </w:style>
  <w:style w:type="paragraph" w:styleId="1160">
    <w:name w:val="Footer"/>
    <w:basedOn w:val="1138"/>
    <w:link w:val="1201"/>
    <w:uiPriority w:val="99"/>
    <w:unhideWhenUsed/>
    <w:qFormat/>
    <w:pPr>
      <w:spacing w:after="0" w:line="240" w:lineRule="auto"/>
      <w:tabs>
        <w:tab w:val="center" w:pos="7143" w:leader="none"/>
        <w:tab w:val="right" w:pos="14287" w:leader="none"/>
      </w:tabs>
    </w:pPr>
  </w:style>
  <w:style w:type="paragraph" w:styleId="1161">
    <w:name w:val="Header"/>
    <w:basedOn w:val="1138"/>
    <w:link w:val="1199"/>
    <w:uiPriority w:val="99"/>
    <w:unhideWhenUsed/>
    <w:qFormat/>
    <w:pPr>
      <w:spacing w:after="0" w:line="240" w:lineRule="auto"/>
      <w:tabs>
        <w:tab w:val="center" w:pos="7143" w:leader="none"/>
        <w:tab w:val="right" w:pos="14287" w:leader="none"/>
      </w:tabs>
    </w:pPr>
  </w:style>
  <w:style w:type="paragraph" w:styleId="1162">
    <w:name w:val="toc 1"/>
    <w:basedOn w:val="1138"/>
    <w:next w:val="1138"/>
    <w:uiPriority w:val="39"/>
    <w:unhideWhenUsed/>
    <w:qFormat/>
    <w:pPr>
      <w:ind w:left="0" w:right="0" w:firstLine="0"/>
      <w:spacing w:after="57"/>
    </w:pPr>
  </w:style>
  <w:style w:type="paragraph" w:styleId="1163">
    <w:name w:val="toc 4"/>
    <w:basedOn w:val="1138"/>
    <w:next w:val="1138"/>
    <w:uiPriority w:val="39"/>
    <w:unhideWhenUsed/>
    <w:qFormat/>
    <w:pPr>
      <w:ind w:left="850" w:right="0" w:firstLine="0"/>
      <w:spacing w:after="57"/>
    </w:pPr>
  </w:style>
  <w:style w:type="paragraph" w:styleId="1164">
    <w:name w:val="Subtitle"/>
    <w:basedOn w:val="1138"/>
    <w:next w:val="1138"/>
    <w:link w:val="1194"/>
    <w:uiPriority w:val="11"/>
    <w:qFormat/>
    <w:pPr>
      <w:spacing w:before="200" w:after="200"/>
    </w:pPr>
    <w:rPr>
      <w:sz w:val="24"/>
      <w:szCs w:val="24"/>
    </w:rPr>
  </w:style>
  <w:style w:type="paragraph" w:styleId="1165">
    <w:name w:val="footnote text"/>
    <w:basedOn w:val="1138"/>
    <w:link w:val="1327"/>
    <w:uiPriority w:val="99"/>
    <w:semiHidden/>
    <w:unhideWhenUsed/>
    <w:qFormat/>
    <w:pPr>
      <w:spacing w:after="40" w:line="240" w:lineRule="auto"/>
    </w:pPr>
    <w:rPr>
      <w:sz w:val="18"/>
    </w:rPr>
  </w:style>
  <w:style w:type="paragraph" w:styleId="1166">
    <w:name w:val="toc 6"/>
    <w:basedOn w:val="1138"/>
    <w:next w:val="1138"/>
    <w:uiPriority w:val="39"/>
    <w:unhideWhenUsed/>
    <w:qFormat/>
    <w:pPr>
      <w:ind w:left="1417" w:right="0" w:firstLine="0"/>
      <w:spacing w:after="57"/>
    </w:pPr>
  </w:style>
  <w:style w:type="paragraph" w:styleId="1167">
    <w:name w:val="table of figures"/>
    <w:basedOn w:val="1138"/>
    <w:next w:val="1138"/>
    <w:uiPriority w:val="99"/>
    <w:unhideWhenUsed/>
    <w:qFormat/>
    <w:pPr>
      <w:spacing w:after="0" w:afterAutospacing="0"/>
    </w:pPr>
  </w:style>
  <w:style w:type="paragraph" w:styleId="1168">
    <w:name w:val="toc 2"/>
    <w:basedOn w:val="1138"/>
    <w:next w:val="1138"/>
    <w:uiPriority w:val="39"/>
    <w:unhideWhenUsed/>
    <w:qFormat/>
    <w:pPr>
      <w:ind w:left="283" w:right="0" w:firstLine="0"/>
      <w:spacing w:after="57"/>
    </w:pPr>
  </w:style>
  <w:style w:type="paragraph" w:styleId="1169">
    <w:name w:val="toc 9"/>
    <w:basedOn w:val="1138"/>
    <w:next w:val="1138"/>
    <w:uiPriority w:val="39"/>
    <w:unhideWhenUsed/>
    <w:qFormat/>
    <w:pPr>
      <w:ind w:left="2268" w:right="0" w:firstLine="0"/>
      <w:spacing w:after="57"/>
    </w:pPr>
  </w:style>
  <w:style w:type="paragraph" w:styleId="1170">
    <w:name w:val="Normal (Web)"/>
    <w:basedOn w:val="1138"/>
    <w:uiPriority w:val="99"/>
    <w:semiHidden/>
    <w:unhideWhenUsed/>
    <w:qFormat/>
    <w:pPr>
      <w:ind w:left="0" w:right="0"/>
      <w:jc w:val="left"/>
      <w:spacing w:before="0" w:beforeAutospacing="1" w:after="0" w:afterAutospacing="1"/>
    </w:pPr>
    <w:rPr>
      <w:sz w:val="24"/>
      <w:lang w:val="en-US" w:eastAsia="zh-CN" w:bidi="ar"/>
    </w:rPr>
  </w:style>
  <w:style w:type="paragraph" w:styleId="1171">
    <w:name w:val="Title"/>
    <w:basedOn w:val="1138"/>
    <w:next w:val="1138"/>
    <w:link w:val="1193"/>
    <w:uiPriority w:val="10"/>
    <w:qFormat/>
    <w:pPr>
      <w:contextualSpacing/>
      <w:spacing w:before="300" w:after="200"/>
    </w:pPr>
    <w:rPr>
      <w:sz w:val="48"/>
      <w:szCs w:val="48"/>
    </w:rPr>
  </w:style>
  <w:style w:type="paragraph" w:styleId="1172">
    <w:name w:val="Body Text First Indent"/>
    <w:basedOn w:val="1154"/>
    <w:uiPriority w:val="99"/>
    <w:qFormat/>
    <w:pPr>
      <w:numPr>
        <w:ilvl w:val="0"/>
        <w:numId w:val="1"/>
      </w:numPr>
      <w:ind w:left="0" w:firstLine="420"/>
    </w:pPr>
    <w:rPr>
      <w:rFonts w:cs="Times New Roman"/>
      <w:sz w:val="24"/>
    </w:rPr>
  </w:style>
  <w:style w:type="paragraph" w:styleId="1173">
    <w:name w:val="Body Text First Indent 2"/>
    <w:basedOn w:val="1155"/>
    <w:uiPriority w:val="99"/>
    <w:unhideWhenUsed/>
    <w:qFormat/>
    <w:pPr>
      <w:ind w:left="0" w:right="0" w:firstLine="420"/>
      <w:jc w:val="left"/>
      <w:keepLines w:val="0"/>
      <w:keepNext w:val="0"/>
      <w:spacing w:before="0" w:beforeAutospacing="0" w:after="0" w:afterAutospacing="0" w:line="300" w:lineRule="auto"/>
      <w:widowControl w:val="off"/>
      <w:suppressLineNumbers w:val="0"/>
    </w:pPr>
    <w:rPr>
      <w:rFonts w:ascii="Times New Roman" w:hAnsi="Times New Roman" w:eastAsia="宋体" w:cs="Times New Roman"/>
      <w:sz w:val="28"/>
      <w:szCs w:val="24"/>
      <w:lang w:val="en-US" w:eastAsia="zh-CN" w:bidi="ar"/>
    </w:rPr>
  </w:style>
  <w:style w:type="table" w:styleId="11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5">
    <w:name w:val="Strong"/>
    <w:basedOn w:val="1148"/>
    <w:uiPriority w:val="22"/>
    <w:qFormat/>
    <w:rPr>
      <w:b/>
    </w:rPr>
  </w:style>
  <w:style w:type="character" w:styleId="1176">
    <w:name w:val="endnote reference"/>
    <w:uiPriority w:val="99"/>
    <w:semiHidden/>
    <w:unhideWhenUsed/>
    <w:qFormat/>
    <w:rPr>
      <w:vertAlign w:val="superscript"/>
    </w:rPr>
  </w:style>
  <w:style w:type="character" w:styleId="1177">
    <w:name w:val="Hyperlink"/>
    <w:uiPriority w:val="99"/>
    <w:unhideWhenUsed/>
    <w:qFormat/>
    <w:rPr>
      <w:color w:val="0000ff" w:themeColor="hyperlink"/>
      <w:u w:val="single"/>
      <w14:textFill>
        <w14:solidFill>
          <w14:schemeClr w14:val="hlink"/>
        </w14:solidFill>
      </w14:textFill>
    </w:rPr>
  </w:style>
  <w:style w:type="character" w:styleId="1178">
    <w:name w:val="footnote reference"/>
    <w:uiPriority w:val="99"/>
    <w:unhideWhenUsed/>
    <w:qFormat/>
    <w:rPr>
      <w:vertAlign w:val="superscript"/>
    </w:rPr>
  </w:style>
  <w:style w:type="paragraph" w:styleId="1179" w:customStyle="1">
    <w:name w:val="正文文本1"/>
    <w:basedOn w:val="1138"/>
    <w:next w:val="1180"/>
    <w:uiPriority w:val="0"/>
    <w:qFormat/>
    <w:pPr>
      <w:spacing w:after="120"/>
    </w:pPr>
  </w:style>
  <w:style w:type="paragraph" w:styleId="1180" w:customStyle="1">
    <w:name w:val="正文缩进11"/>
    <w:basedOn w:val="1138"/>
    <w:next w:val="1138"/>
    <w:uiPriority w:val="0"/>
    <w:qFormat/>
    <w:pPr>
      <w:ind w:firstLine="420"/>
      <w:widowControl w:val="off"/>
    </w:pPr>
    <w:rPr>
      <w:rFonts w:ascii="Arial Unicode MS" w:hAnsi="Arial Unicode MS" w:eastAsia="Arial Unicode MS"/>
      <w:color w:val="000000"/>
    </w:rPr>
  </w:style>
  <w:style w:type="paragraph" w:styleId="1181" w:customStyle="1">
    <w:name w:val="表格文字"/>
    <w:basedOn w:val="1154"/>
    <w:next w:val="1154"/>
    <w:uiPriority w:val="0"/>
    <w:qFormat/>
    <w:pPr>
      <w:jc w:val="left"/>
      <w:spacing w:after="0" w:line="420" w:lineRule="atLeast"/>
    </w:pPr>
    <w:rPr>
      <w:rFonts w:ascii="KaiTi_GB2312"/>
      <w:sz w:val="28"/>
      <w:szCs w:val="20"/>
    </w:rPr>
  </w:style>
  <w:style w:type="character" w:styleId="1182" w:customStyle="1">
    <w:name w:val="Heading 1 Char"/>
    <w:link w:val="1139"/>
    <w:uiPriority w:val="9"/>
    <w:qFormat/>
    <w:rPr>
      <w:rFonts w:ascii="Arial" w:hAnsi="Arial" w:eastAsia="Arial" w:cs="Arial"/>
      <w:sz w:val="40"/>
      <w:szCs w:val="40"/>
    </w:rPr>
  </w:style>
  <w:style w:type="character" w:styleId="1183" w:customStyle="1">
    <w:name w:val="Heading 2 Char"/>
    <w:link w:val="1140"/>
    <w:uiPriority w:val="9"/>
    <w:qFormat/>
    <w:rPr>
      <w:rFonts w:ascii="Arial" w:hAnsi="Arial" w:eastAsia="Arial" w:cs="Arial"/>
      <w:sz w:val="34"/>
    </w:rPr>
  </w:style>
  <w:style w:type="character" w:styleId="1184" w:customStyle="1">
    <w:name w:val="Heading 3 Char"/>
    <w:link w:val="1141"/>
    <w:uiPriority w:val="9"/>
    <w:qFormat/>
    <w:rPr>
      <w:rFonts w:ascii="Arial" w:hAnsi="Arial" w:eastAsia="Arial" w:cs="Arial"/>
      <w:sz w:val="30"/>
      <w:szCs w:val="30"/>
    </w:rPr>
  </w:style>
  <w:style w:type="character" w:styleId="1185" w:customStyle="1">
    <w:name w:val="Heading 4 Char"/>
    <w:link w:val="1142"/>
    <w:uiPriority w:val="9"/>
    <w:qFormat/>
    <w:rPr>
      <w:rFonts w:ascii="Arial" w:hAnsi="Arial" w:eastAsia="Arial" w:cs="Arial"/>
      <w:b/>
      <w:bCs/>
      <w:sz w:val="26"/>
      <w:szCs w:val="26"/>
    </w:rPr>
  </w:style>
  <w:style w:type="character" w:styleId="1186" w:customStyle="1">
    <w:name w:val="Heading 5 Char"/>
    <w:link w:val="1143"/>
    <w:uiPriority w:val="9"/>
    <w:qFormat/>
    <w:rPr>
      <w:rFonts w:ascii="Arial" w:hAnsi="Arial" w:eastAsia="Arial" w:cs="Arial"/>
      <w:b/>
      <w:bCs/>
      <w:sz w:val="24"/>
      <w:szCs w:val="24"/>
    </w:rPr>
  </w:style>
  <w:style w:type="character" w:styleId="1187" w:customStyle="1">
    <w:name w:val="Heading 6 Char"/>
    <w:link w:val="1144"/>
    <w:uiPriority w:val="9"/>
    <w:qFormat/>
    <w:rPr>
      <w:rFonts w:ascii="Arial" w:hAnsi="Arial" w:eastAsia="Arial" w:cs="Arial"/>
      <w:b/>
      <w:bCs/>
      <w:sz w:val="22"/>
      <w:szCs w:val="22"/>
    </w:rPr>
  </w:style>
  <w:style w:type="character" w:styleId="1188" w:customStyle="1">
    <w:name w:val="Heading 7 Char"/>
    <w:link w:val="1145"/>
    <w:uiPriority w:val="9"/>
    <w:qFormat/>
    <w:rPr>
      <w:rFonts w:ascii="Arial" w:hAnsi="Arial" w:eastAsia="Arial" w:cs="Arial"/>
      <w:b/>
      <w:bCs/>
      <w:i/>
      <w:iCs/>
      <w:sz w:val="22"/>
      <w:szCs w:val="22"/>
    </w:rPr>
  </w:style>
  <w:style w:type="character" w:styleId="1189" w:customStyle="1">
    <w:name w:val="Heading 8 Char"/>
    <w:link w:val="1146"/>
    <w:uiPriority w:val="9"/>
    <w:qFormat/>
    <w:rPr>
      <w:rFonts w:ascii="Arial" w:hAnsi="Arial" w:eastAsia="Arial" w:cs="Arial"/>
      <w:i/>
      <w:iCs/>
      <w:sz w:val="22"/>
      <w:szCs w:val="22"/>
    </w:rPr>
  </w:style>
  <w:style w:type="character" w:styleId="1190" w:customStyle="1">
    <w:name w:val="Heading 9 Char"/>
    <w:link w:val="1147"/>
    <w:uiPriority w:val="9"/>
    <w:qFormat/>
    <w:rPr>
      <w:rFonts w:ascii="Arial" w:hAnsi="Arial" w:eastAsia="Arial" w:cs="Arial"/>
      <w:i/>
      <w:iCs/>
      <w:sz w:val="21"/>
      <w:szCs w:val="21"/>
    </w:rPr>
  </w:style>
  <w:style w:type="paragraph" w:styleId="1191">
    <w:name w:val="List Paragraph"/>
    <w:basedOn w:val="1138"/>
    <w:uiPriority w:val="34"/>
    <w:qFormat/>
    <w:pPr>
      <w:contextualSpacing/>
      <w:ind w:left="720"/>
    </w:pPr>
  </w:style>
  <w:style w:type="paragraph" w:styleId="1192">
    <w:name w:val="No Spacing"/>
    <w:uiPriority w:val="1"/>
    <w:qFormat/>
    <w:pPr>
      <w:spacing w:before="0" w:after="0" w:line="240" w:lineRule="auto"/>
    </w:pPr>
    <w:rPr>
      <w:rFonts w:hint="default" w:ascii="Times New Roman" w:hAnsi="Times New Roman" w:eastAsia="宋体" w:cs="Times New Roman"/>
    </w:rPr>
  </w:style>
  <w:style w:type="character" w:styleId="1193" w:customStyle="1">
    <w:name w:val="Title Char"/>
    <w:link w:val="1171"/>
    <w:uiPriority w:val="10"/>
    <w:qFormat/>
    <w:rPr>
      <w:sz w:val="48"/>
      <w:szCs w:val="48"/>
    </w:rPr>
  </w:style>
  <w:style w:type="character" w:styleId="1194" w:customStyle="1">
    <w:name w:val="Subtitle Char"/>
    <w:link w:val="1164"/>
    <w:uiPriority w:val="11"/>
    <w:qFormat/>
    <w:rPr>
      <w:sz w:val="24"/>
      <w:szCs w:val="24"/>
    </w:rPr>
  </w:style>
  <w:style w:type="paragraph" w:styleId="1195">
    <w:name w:val="Quote"/>
    <w:basedOn w:val="1138"/>
    <w:next w:val="1138"/>
    <w:link w:val="1196"/>
    <w:uiPriority w:val="29"/>
    <w:qFormat/>
    <w:pPr>
      <w:ind w:left="720" w:right="720"/>
    </w:pPr>
    <w:rPr>
      <w:i/>
    </w:rPr>
  </w:style>
  <w:style w:type="character" w:styleId="1196" w:customStyle="1">
    <w:name w:val="Quote Char"/>
    <w:link w:val="1195"/>
    <w:uiPriority w:val="29"/>
    <w:qFormat/>
    <w:rPr>
      <w:i/>
    </w:rPr>
  </w:style>
  <w:style w:type="paragraph" w:styleId="1197">
    <w:name w:val="Intense Quote"/>
    <w:basedOn w:val="1138"/>
    <w:next w:val="1138"/>
    <w:link w:val="11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8" w:customStyle="1">
    <w:name w:val="Intense Quote Char"/>
    <w:link w:val="1197"/>
    <w:uiPriority w:val="30"/>
    <w:qFormat/>
    <w:rPr>
      <w:i/>
    </w:rPr>
  </w:style>
  <w:style w:type="character" w:styleId="1199" w:customStyle="1">
    <w:name w:val="Header Char"/>
    <w:link w:val="1161"/>
    <w:uiPriority w:val="99"/>
    <w:qFormat/>
  </w:style>
  <w:style w:type="character" w:styleId="1200" w:customStyle="1">
    <w:name w:val="Footer Char"/>
    <w:link w:val="1160"/>
    <w:uiPriority w:val="99"/>
    <w:qFormat/>
  </w:style>
  <w:style w:type="character" w:styleId="1201" w:customStyle="1">
    <w:name w:val="Caption Char"/>
    <w:link w:val="1160"/>
    <w:uiPriority w:val="99"/>
    <w:qFormat/>
  </w:style>
  <w:style w:type="table" w:styleId="12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27" w:customStyle="1">
    <w:name w:val="Footnote Text Char"/>
    <w:link w:val="1165"/>
    <w:uiPriority w:val="99"/>
    <w:qFormat/>
    <w:rPr>
      <w:sz w:val="18"/>
    </w:rPr>
  </w:style>
  <w:style w:type="character" w:styleId="1328" w:customStyle="1">
    <w:name w:val="Endnote Text Char"/>
    <w:link w:val="1159"/>
    <w:uiPriority w:val="99"/>
    <w:qFormat/>
    <w:rPr>
      <w:sz w:val="20"/>
    </w:rPr>
  </w:style>
  <w:style w:type="paragraph" w:styleId="1329" w:customStyle="1">
    <w:name w:val="TOC Heading"/>
    <w:uiPriority w:val="39"/>
    <w:unhideWhenUsed/>
    <w:qFormat/>
    <w:rPr>
      <w:rFonts w:hint="default" w:ascii="Times New Roman" w:hAnsi="Times New Roman" w:eastAsia="宋体" w:cs="Times New Roman"/>
    </w:rPr>
  </w:style>
  <w:style w:type="paragraph" w:styleId="1330" w:customStyle="1">
    <w:name w:val="标题 11"/>
    <w:basedOn w:val="1138"/>
    <w:next w:val="1138"/>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1331" w:customStyle="1">
    <w:name w:val="标题 21"/>
    <w:basedOn w:val="1138"/>
    <w:next w:val="1138"/>
    <w:uiPriority w:val="0"/>
    <w:qFormat/>
    <w:pPr>
      <w:keepNext/>
      <w:spacing w:before="240" w:after="60"/>
      <w:outlineLvl w:val="1"/>
    </w:pPr>
    <w:rPr>
      <w:rFonts w:ascii="Arial" w:hAnsi="Arial"/>
      <w:b/>
      <w:bCs/>
      <w:i/>
      <w:iCs/>
      <w:sz w:val="28"/>
      <w:szCs w:val="28"/>
    </w:rPr>
  </w:style>
  <w:style w:type="paragraph" w:styleId="1332" w:customStyle="1">
    <w:name w:val="标题 311"/>
    <w:basedOn w:val="1138"/>
    <w:next w:val="113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333" w:customStyle="1">
    <w:name w:val="默认段落字体1"/>
    <w:link w:val="1138"/>
    <w:uiPriority w:val="0"/>
    <w:semiHidden/>
    <w:qFormat/>
  </w:style>
  <w:style w:type="table" w:styleId="1334" w:customStyle="1">
    <w:name w:val="普通表格1"/>
    <w:uiPriority w:val="0"/>
    <w:semiHidden/>
    <w:qFormat/>
    <w:tblPr/>
  </w:style>
  <w:style w:type="paragraph" w:styleId="1335" w:customStyle="1">
    <w:name w:val="正文缩进1"/>
    <w:basedOn w:val="1138"/>
    <w:next w:val="1138"/>
    <w:uiPriority w:val="0"/>
    <w:qFormat/>
    <w:pPr>
      <w:ind w:left="420" w:firstLine="4772"/>
    </w:pPr>
  </w:style>
  <w:style w:type="paragraph" w:styleId="1336" w:customStyle="1">
    <w:name w:val="文档结构图1"/>
    <w:basedOn w:val="1138"/>
    <w:uiPriority w:val="99"/>
    <w:qFormat/>
    <w:pPr>
      <w:jc w:val="left"/>
      <w:shd w:val="clear" w:color="auto" w:fill="000080"/>
      <w:widowControl/>
    </w:pPr>
    <w:rPr>
      <w:sz w:val="24"/>
      <w:szCs w:val="22"/>
    </w:rPr>
  </w:style>
  <w:style w:type="paragraph" w:styleId="1337" w:customStyle="1">
    <w:name w:val="批注文字1"/>
    <w:basedOn w:val="1138"/>
    <w:next w:val="1138"/>
    <w:uiPriority w:val="0"/>
    <w:qFormat/>
    <w:pPr>
      <w:ind w:left="0" w:firstLine="3584"/>
      <w:spacing w:before="0" w:after="0" w:line="360" w:lineRule="auto"/>
    </w:pPr>
  </w:style>
  <w:style w:type="paragraph" w:styleId="1338" w:customStyle="1">
    <w:name w:val="正文文本2"/>
    <w:basedOn w:val="1138"/>
    <w:next w:val="1138"/>
    <w:uiPriority w:val="0"/>
    <w:qFormat/>
    <w:pPr>
      <w:ind w:left="0" w:firstLine="2560"/>
    </w:pPr>
  </w:style>
  <w:style w:type="paragraph" w:styleId="1339" w:customStyle="1">
    <w:name w:val="正文文本缩进11"/>
    <w:basedOn w:val="1138"/>
    <w:uiPriority w:val="0"/>
    <w:qFormat/>
    <w:pPr>
      <w:ind w:left="420" w:firstLine="1188"/>
      <w:spacing w:before="0" w:after="0" w:line="360" w:lineRule="exact"/>
    </w:pPr>
  </w:style>
  <w:style w:type="paragraph" w:styleId="1340" w:customStyle="1">
    <w:name w:val="纯文本11"/>
    <w:basedOn w:val="1138"/>
    <w:uiPriority w:val="0"/>
    <w:qFormat/>
    <w:rPr>
      <w:rFonts w:hAnsi="Courier New"/>
      <w:sz w:val="21"/>
    </w:rPr>
  </w:style>
  <w:style w:type="paragraph" w:styleId="1341" w:customStyle="1">
    <w:name w:val="日期1"/>
    <w:basedOn w:val="1330"/>
    <w:next w:val="1138"/>
    <w:uiPriority w:val="0"/>
    <w:qFormat/>
    <w:pPr>
      <w:ind w:left="0" w:firstLine="2560"/>
      <w:spacing w:before="0" w:after="0" w:line="240" w:lineRule="auto"/>
    </w:pPr>
  </w:style>
  <w:style w:type="paragraph" w:styleId="1342" w:customStyle="1">
    <w:name w:val="页脚11"/>
    <w:basedOn w:val="1330"/>
    <w:next w:val="1343"/>
    <w:uiPriority w:val="99"/>
    <w:qFormat/>
    <w:pPr>
      <w:ind w:left="0" w:firstLine="3584"/>
      <w:spacing w:before="0" w:after="0" w:line="240" w:lineRule="auto"/>
    </w:pPr>
  </w:style>
  <w:style w:type="paragraph" w:styleId="1343" w:customStyle="1">
    <w:name w:val="Char Char Char Char Char Char Char Char Char Char Char Char Char"/>
    <w:basedOn w:val="1330"/>
    <w:next w:val="1138"/>
    <w:uiPriority w:val="0"/>
    <w:qFormat/>
    <w:pPr>
      <w:ind w:left="0" w:firstLine="3584"/>
      <w:spacing w:before="0" w:after="160" w:line="240" w:lineRule="exact"/>
    </w:pPr>
  </w:style>
  <w:style w:type="paragraph" w:styleId="1344" w:customStyle="1">
    <w:name w:val="寄信人地址1"/>
    <w:basedOn w:val="1138"/>
    <w:uiPriority w:val="99"/>
    <w:unhideWhenUsed/>
    <w:qFormat/>
    <w:rPr>
      <w:rFonts w:ascii="Arial" w:hAnsi="Arial"/>
    </w:rPr>
  </w:style>
  <w:style w:type="paragraph" w:styleId="1345" w:customStyle="1">
    <w:name w:val="页眉1"/>
    <w:basedOn w:val="1330"/>
    <w:next w:val="1341"/>
    <w:uiPriority w:val="99"/>
    <w:qFormat/>
    <w:pPr>
      <w:ind w:left="0" w:firstLine="3584"/>
      <w:jc w:val="center"/>
      <w:spacing w:before="0" w:after="0" w:line="240" w:lineRule="auto"/>
      <w:pBdr>
        <w:bottom w:val="none" w:color="000000" w:sz="0" w:space="0"/>
      </w:pBdr>
    </w:pPr>
  </w:style>
  <w:style w:type="paragraph" w:styleId="1346" w:customStyle="1">
    <w:name w:val="目录 11"/>
    <w:basedOn w:val="1330"/>
    <w:next w:val="1138"/>
    <w:uiPriority w:val="39"/>
    <w:qFormat/>
    <w:pPr>
      <w:ind w:left="0" w:firstLine="4608"/>
      <w:spacing w:before="0" w:after="0" w:line="240" w:lineRule="auto"/>
    </w:pPr>
  </w:style>
  <w:style w:type="paragraph" w:styleId="1347" w:customStyle="1">
    <w:name w:val="目录 21"/>
    <w:basedOn w:val="1138"/>
    <w:next w:val="1138"/>
    <w:uiPriority w:val="0"/>
    <w:qFormat/>
    <w:pPr>
      <w:ind w:left="420"/>
    </w:pPr>
  </w:style>
  <w:style w:type="paragraph" w:styleId="1348" w:customStyle="1">
    <w:name w:val="普通(网站)11"/>
    <w:basedOn w:val="1138"/>
    <w:uiPriority w:val="0"/>
    <w:qFormat/>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349" w:customStyle="1">
    <w:name w:val="正文首行缩进 211"/>
    <w:basedOn w:val="1339"/>
    <w:uiPriority w:val="0"/>
    <w:qFormat/>
    <w:pPr>
      <w:ind w:left="420" w:firstLine="420"/>
      <w:spacing w:after="120" w:line="240" w:lineRule="auto"/>
    </w:pPr>
    <w:rPr>
      <w:rFonts w:ascii="等线" w:cs="Times New Roman"/>
      <w:sz w:val="21"/>
      <w:szCs w:val="24"/>
    </w:rPr>
  </w:style>
  <w:style w:type="table" w:styleId="1350" w:customStyle="1">
    <w:name w:val="网格型1"/>
    <w:basedOn w:val="1334"/>
    <w:uiPriority w:val="59"/>
    <w:qFormat/>
    <w:tblPr/>
  </w:style>
  <w:style w:type="character" w:styleId="1351" w:customStyle="1">
    <w:name w:val="页码1"/>
    <w:link w:val="1138"/>
    <w:uiPriority w:val="0"/>
    <w:qFormat/>
    <w:rPr>
      <w:sz w:val="20"/>
    </w:rPr>
  </w:style>
  <w:style w:type="character" w:styleId="1352" w:customStyle="1">
    <w:name w:val="已访问的超链接1"/>
    <w:basedOn w:val="1333"/>
    <w:link w:val="1138"/>
    <w:uiPriority w:val="0"/>
    <w:qFormat/>
    <w:rPr>
      <w:color w:val="333333"/>
      <w:u w:val="none"/>
    </w:rPr>
  </w:style>
  <w:style w:type="character" w:styleId="1353" w:customStyle="1">
    <w:name w:val="强调1"/>
    <w:basedOn w:val="1333"/>
    <w:link w:val="1138"/>
    <w:uiPriority w:val="0"/>
    <w:qFormat/>
  </w:style>
  <w:style w:type="character" w:styleId="1354" w:customStyle="1">
    <w:name w:val="超链接1"/>
    <w:basedOn w:val="1333"/>
    <w:link w:val="1138"/>
    <w:uiPriority w:val="99"/>
    <w:qFormat/>
    <w:rPr>
      <w:color w:val="333333"/>
      <w:sz w:val="20"/>
      <w:u w:val="none"/>
    </w:rPr>
  </w:style>
  <w:style w:type="paragraph" w:styleId="1355" w:customStyle="1">
    <w:name w:val="目录 51"/>
    <w:next w:val="1138"/>
    <w:uiPriority w:val="0"/>
    <w:qFormat/>
    <w:pPr>
      <w:ind w:left="1275"/>
      <w:jc w:val="both"/>
    </w:pPr>
    <w:rPr>
      <w:rFonts w:hint="default" w:ascii="Times New Roman" w:hAnsi="Times New Roman" w:eastAsia="宋体" w:cs="Times New Roman"/>
      <w:sz w:val="21"/>
      <w:lang w:val="en-US" w:eastAsia="zh-CN" w:bidi="ar-SA"/>
    </w:rPr>
  </w:style>
  <w:style w:type="paragraph" w:styleId="1356" w:customStyle="1">
    <w:name w:val="正文1"/>
    <w:basedOn w:val="1138"/>
    <w:next w:val="1138"/>
    <w:uiPriority w:val="0"/>
    <w:qFormat/>
    <w:pPr>
      <w:ind w:left="420" w:firstLine="527"/>
      <w:jc w:val="both"/>
      <w:spacing w:before="120" w:line="360" w:lineRule="auto"/>
      <w:widowControl w:val="off"/>
    </w:pPr>
    <w:rPr>
      <w:rFonts w:ascii="宋体" w:hAnsi="宋体"/>
      <w:szCs w:val="20"/>
    </w:rPr>
  </w:style>
  <w:style w:type="paragraph" w:styleId="1357" w:customStyle="1">
    <w:name w:val="正文文本缩进1"/>
    <w:basedOn w:val="1138"/>
    <w:uiPriority w:val="0"/>
    <w:unhideWhenUsed/>
    <w:qFormat/>
    <w:pPr>
      <w:ind w:left="420"/>
      <w:spacing w:after="120"/>
    </w:pPr>
  </w:style>
  <w:style w:type="character" w:styleId="1358" w:customStyle="1">
    <w:name w:val="font21"/>
    <w:basedOn w:val="1333"/>
    <w:link w:val="1138"/>
    <w:uiPriority w:val="0"/>
    <w:qFormat/>
    <w:rPr>
      <w:rFonts w:hint="eastAsia" w:ascii="宋体" w:hAnsi="宋体" w:eastAsia="宋体" w:cs="宋体"/>
      <w:color w:val="000000"/>
      <w:sz w:val="21"/>
      <w:szCs w:val="21"/>
      <w:u w:val="none"/>
    </w:rPr>
  </w:style>
  <w:style w:type="character" w:styleId="1359" w:customStyle="1">
    <w:name w:val="font11"/>
    <w:basedOn w:val="1333"/>
    <w:link w:val="1138"/>
    <w:uiPriority w:val="0"/>
    <w:qFormat/>
    <w:rPr>
      <w:rFonts w:ascii="Times New Roman" w:hAnsi="Times New Roman" w:cs="Times New Roman"/>
      <w:color w:val="000000"/>
      <w:sz w:val="21"/>
      <w:szCs w:val="21"/>
      <w:u w:val="none"/>
    </w:rPr>
  </w:style>
  <w:style w:type="character" w:styleId="1360" w:customStyle="1">
    <w:name w:val="NormalCharacter1"/>
    <w:basedOn w:val="1333"/>
    <w:link w:val="1361"/>
    <w:uiPriority w:val="0"/>
    <w:semiHidden/>
    <w:qFormat/>
    <w:rPr>
      <w:rFonts w:ascii="Calibri" w:hAnsi="Calibri" w:eastAsia="宋体" w:cs="Times New Roman"/>
    </w:rPr>
  </w:style>
  <w:style w:type="paragraph" w:styleId="1361" w:customStyle="1">
    <w:name w:val="UserStyle_3"/>
    <w:basedOn w:val="1138"/>
    <w:link w:val="1360"/>
    <w:uiPriority w:val="0"/>
    <w:qFormat/>
    <w:pPr>
      <w:ind w:left="0"/>
      <w:jc w:val="left"/>
      <w:spacing w:line="360" w:lineRule="auto"/>
      <w:shd w:val="clear" w:color="auto" w:fill="000080"/>
    </w:pPr>
    <w:rPr>
      <w:rFonts w:ascii="Calibri" w:hAnsi="Calibri" w:eastAsia="宋体" w:cs="Times New Roman"/>
    </w:rPr>
  </w:style>
  <w:style w:type="paragraph" w:styleId="1362" w:customStyle="1">
    <w:name w:val="PlainText1"/>
    <w:basedOn w:val="1138"/>
    <w:uiPriority w:val="0"/>
    <w:qFormat/>
    <w:rPr>
      <w:rFonts w:ascii="宋体" w:hAnsi="Courier New"/>
    </w:rPr>
  </w:style>
  <w:style w:type="paragraph" w:styleId="1363" w:customStyle="1">
    <w:name w:val="UserStyle_62"/>
    <w:basedOn w:val="1138"/>
    <w:uiPriority w:val="0"/>
    <w:qFormat/>
    <w:rPr>
      <w:rFonts w:ascii="宋体" w:hAnsi="Courier New"/>
    </w:rPr>
  </w:style>
  <w:style w:type="paragraph" w:styleId="1364" w:customStyle="1">
    <w:name w:val="WPSOffice手动目录 1"/>
    <w:uiPriority w:val="0"/>
    <w:qFormat/>
    <w:rPr>
      <w:rFonts w:hint="default" w:ascii="Times New Roman" w:hAnsi="Times New Roman" w:eastAsia="宋体" w:cs="Times New Roman"/>
      <w:sz w:val="20"/>
      <w:szCs w:val="20"/>
    </w:rPr>
  </w:style>
  <w:style w:type="paragraph" w:styleId="1365" w:customStyle="1">
    <w:name w:val="段"/>
    <w:next w:val="113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366" w:customStyle="1">
    <w:name w:val="Andy_正文"/>
    <w:basedOn w:val="1138"/>
    <w:uiPriority w:val="0"/>
    <w:qFormat/>
    <w:pPr>
      <w:ind w:firstLine="480"/>
      <w:spacing w:line="360" w:lineRule="auto"/>
      <w:widowControl w:val="off"/>
    </w:pPr>
    <w:rPr>
      <w:rFonts w:ascii="Calibri" w:hAnsi="Calibri" w:eastAsia="宋体"/>
      <w:sz w:val="24"/>
    </w:rPr>
  </w:style>
  <w:style w:type="paragraph" w:styleId="1367" w:customStyle="1">
    <w:name w:val="纯文本1"/>
    <w:basedOn w:val="1138"/>
    <w:uiPriority w:val="0"/>
    <w:qFormat/>
    <w:rPr>
      <w:rFonts w:hAnsi="Courier New" w:eastAsia="楷体_GB2312"/>
      <w:sz w:val="28"/>
    </w:rPr>
  </w:style>
  <w:style w:type="paragraph" w:styleId="1368" w:customStyle="1">
    <w:name w:val="Acetate1"/>
    <w:basedOn w:val="1138"/>
    <w:uiPriority w:val="0"/>
    <w:semiHidden/>
    <w:qFormat/>
    <w:rPr>
      <w:sz w:val="18"/>
      <w:szCs w:val="18"/>
    </w:rPr>
  </w:style>
  <w:style w:type="paragraph" w:styleId="1369" w:customStyle="1">
    <w:name w:val="首行缩进"/>
    <w:basedOn w:val="1138"/>
    <w:uiPriority w:val="0"/>
    <w:qFormat/>
    <w:pPr>
      <w:ind w:firstLine="480"/>
    </w:pPr>
    <w:rPr>
      <w:lang w:val="zh-CN"/>
    </w:rPr>
  </w:style>
  <w:style w:type="paragraph" w:styleId="1370" w:customStyle="1">
    <w:name w:val="UserStyle_28"/>
    <w:basedOn w:val="1138"/>
    <w:uiPriority w:val="0"/>
    <w:qFormat/>
    <w:pPr>
      <w:ind w:firstLine="480"/>
      <w:spacing w:line="360" w:lineRule="auto"/>
    </w:pPr>
    <w:rPr>
      <w:rFonts w:ascii="Calibri" w:hAnsi="Calibri" w:eastAsia="宋体"/>
      <w:sz w:val="24"/>
    </w:rPr>
  </w:style>
  <w:style w:type="paragraph" w:styleId="1371" w:customStyle="1">
    <w:name w:val="纯文本3"/>
    <w:basedOn w:val="1138"/>
    <w:uiPriority w:val="0"/>
    <w:qFormat/>
    <w:rPr>
      <w:rFonts w:ascii="宋体" w:hAnsi="Courier New"/>
    </w:rPr>
  </w:style>
  <w:style w:type="paragraph" w:styleId="1372" w:customStyle="1">
    <w:name w:val="纯文本4"/>
    <w:basedOn w:val="1138"/>
    <w:uiPriority w:val="0"/>
    <w:qFormat/>
    <w:pPr>
      <w:widowControl w:val="off"/>
    </w:pPr>
    <w:rPr>
      <w:rFonts w:ascii="宋体" w:hAnsi="Courier New"/>
      <w:szCs w:val="20"/>
      <w:lang w:val="zh-CN" w:eastAsia="zh-CN"/>
    </w:rPr>
  </w:style>
  <w:style w:type="paragraph" w:styleId="1373" w:customStyle="1">
    <w:name w:val="UserStyle_34"/>
    <w:basedOn w:val="1138"/>
    <w:uiPriority w:val="0"/>
    <w:qFormat/>
    <w:pPr>
      <w:ind w:firstLine="200"/>
      <w:spacing w:before="50" w:after="50" w:line="360" w:lineRule="auto"/>
    </w:pPr>
    <w:rPr>
      <w:rFonts w:eastAsia="宋体"/>
      <w:sz w:val="24"/>
      <w:szCs w:val="24"/>
    </w:rPr>
  </w:style>
  <w:style w:type="paragraph" w:styleId="1374" w:customStyle="1">
    <w:name w:val="NormalIndent1"/>
    <w:basedOn w:val="1138"/>
    <w:uiPriority w:val="0"/>
    <w:qFormat/>
    <w:pPr>
      <w:ind w:firstLine="420"/>
      <w:jc w:val="left"/>
    </w:pPr>
    <w:rPr>
      <w:sz w:val="24"/>
    </w:rPr>
  </w:style>
  <w:style w:type="paragraph" w:styleId="1375" w:customStyle="1">
    <w:name w:val="_Style 6"/>
    <w:basedOn w:val="1330"/>
    <w:next w:val="1138"/>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376" w:customStyle="1">
    <w:name w:val="标题 31"/>
    <w:basedOn w:val="1138"/>
    <w:next w:val="1138"/>
    <w:uiPriority w:val="0"/>
    <w:qFormat/>
    <w:pPr>
      <w:jc w:val="left"/>
      <w:keepLines/>
      <w:keepNext/>
      <w:outlineLvl w:val="2"/>
    </w:pPr>
    <w:rPr>
      <w:b/>
    </w:rPr>
  </w:style>
  <w:style w:type="paragraph" w:styleId="1377" w:customStyle="1">
    <w:name w:val="普通(网站)1"/>
    <w:basedOn w:val="1138"/>
    <w:uiPriority w:val="99"/>
    <w:qFormat/>
    <w:pPr>
      <w:jc w:val="left"/>
      <w:spacing w:before="100" w:beforeAutospacing="1" w:after="100" w:afterAutospacing="1"/>
      <w:widowControl/>
    </w:pPr>
    <w:rPr>
      <w:rFonts w:ascii="宋体" w:hAnsi="宋体" w:eastAsia="宋体" w:cs="宋体"/>
      <w:sz w:val="24"/>
      <w:szCs w:val="24"/>
    </w:rPr>
  </w:style>
  <w:style w:type="paragraph" w:styleId="1378" w:customStyle="1">
    <w:name w:val="正文首行缩进 21"/>
    <w:basedOn w:val="1357"/>
    <w:next w:val="1138"/>
    <w:uiPriority w:val="99"/>
    <w:unhideWhenUsed/>
    <w:qFormat/>
    <w:pPr>
      <w:ind w:firstLine="420"/>
    </w:pPr>
  </w:style>
  <w:style w:type="paragraph" w:styleId="1379" w:customStyle="1">
    <w:name w:val="页脚1"/>
    <w:basedOn w:val="1138"/>
    <w:uiPriority w:val="99"/>
    <w:unhideWhenUsed/>
    <w:qFormat/>
    <w:pPr>
      <w:jc w:val="left"/>
      <w:tabs>
        <w:tab w:val="center" w:pos="4153" w:leader="none"/>
        <w:tab w:val="right" w:pos="8306" w:leader="none"/>
      </w:tabs>
    </w:pPr>
    <w:rPr>
      <w:sz w:val="18"/>
      <w:szCs w:val="18"/>
    </w:rPr>
  </w:style>
  <w:style w:type="paragraph" w:styleId="1380" w:customStyle="1">
    <w:name w:val="Plain Text1"/>
    <w:basedOn w:val="1138"/>
    <w:uiPriority w:val="0"/>
    <w:qFormat/>
    <w:rPr>
      <w:rFonts w:hint="eastAsia" w:ascii="宋体" w:hAnsi="Courier New"/>
    </w:rPr>
  </w:style>
  <w:style w:type="paragraph" w:styleId="1381" w:customStyle="1">
    <w:name w:val="Plain Text"/>
    <w:basedOn w:val="1138"/>
    <w:next w:val="1382"/>
    <w:uiPriority w:val="0"/>
    <w:qFormat/>
    <w:rPr>
      <w:rFonts w:ascii="宋体" w:hAnsi="Courier New"/>
      <w:sz w:val="26"/>
    </w:rPr>
  </w:style>
  <w:style w:type="paragraph" w:styleId="1382" w:customStyle="1">
    <w:name w:val="toc 4"/>
    <w:next w:val="1138"/>
    <w:uiPriority w:val="0"/>
    <w:qFormat/>
    <w:pPr>
      <w:ind w:left="1275"/>
      <w:jc w:val="both"/>
    </w:pPr>
    <w:rPr>
      <w:rFonts w:ascii="Times New Roman" w:hAnsi="Times New Roman" w:eastAsia="宋体" w:cs="Times New Roman"/>
      <w:sz w:val="21"/>
      <w:lang w:val="en-US" w:eastAsia="zh-CN" w:bidi="ar-SA"/>
    </w:rPr>
  </w:style>
  <w:style w:type="character" w:styleId="1383" w:customStyle="1">
    <w:name w:val="标题 1 Char1"/>
    <w:link w:val="1139"/>
    <w:uiPriority w:val="0"/>
    <w:qFormat/>
    <w:rPr>
      <w:b/>
      <w:bCs/>
      <w:sz w:val="44"/>
      <w:szCs w:val="44"/>
    </w:rPr>
  </w:style>
  <w:style w:type="numbering" w:styleId="1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邹晓程</cp:lastModifiedBy>
  <cp:revision>5</cp:revision>
  <dcterms:created xsi:type="dcterms:W3CDTF">2021-11-15T01:50:00Z</dcterms:created>
  <dcterms:modified xsi:type="dcterms:W3CDTF">2026-08-13T06:55:06Z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eyJoZGlkIjoiYzE5MzRjYWY1ZmZiODI0ZmVkYzU4Zjc5OTcxZTRkYzgiLCJ1c2VySWQiOiI0MzAzNzQ4MTgifQ==</vt:lpwstr>
  </property>
  <property fmtid="{D5CDD505-2E9C-101B-9397-08002B2CF9AE}" pid="3" name="KSOProductBuildVer">
    <vt:lpwstr>2052-12.1.0.28043</vt:lpwstr>
  </property>
  <property fmtid="{D5CDD505-2E9C-101B-9397-08002B2CF9AE}" pid="4" name="ICV">
    <vt:lpwstr>F640321E8B4A4769ABCE3DB2E5DEE17D_13</vt:lpwstr>
  </property>
</Properties>
</file>