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DFE58"/>
    <w:p w14:paraId="760CA1C8"/>
    <w:p w14:paraId="38DD5D01"/>
    <w:p w14:paraId="1771DA2A">
      <w:pPr>
        <w:jc w:val="center"/>
        <w:rPr>
          <w:rFonts w:ascii="黑体" w:hAnsi="黑体" w:eastAsia="黑体"/>
          <w:b/>
          <w:sz w:val="84"/>
          <w:szCs w:val="84"/>
        </w:rPr>
      </w:pPr>
      <w:r>
        <w:rPr>
          <w:rFonts w:hint="eastAsia" w:ascii="黑体" w:hAnsi="黑体" w:eastAsia="黑体"/>
          <w:b/>
          <w:sz w:val="84"/>
          <w:szCs w:val="84"/>
        </w:rPr>
        <w:t>竞争性磋商文件</w:t>
      </w:r>
    </w:p>
    <w:p w14:paraId="0022FB2E">
      <w:pPr>
        <w:spacing w:line="480" w:lineRule="auto"/>
        <w:ind w:firstLine="2249"/>
        <w:jc w:val="left"/>
        <w:rPr>
          <w:rFonts w:ascii="Arial" w:hAnsi="Arial" w:eastAsia="宋体" w:cs="Times New Roman"/>
          <w:b/>
          <w:bCs/>
          <w:color w:val="000000"/>
          <w:sz w:val="32"/>
          <w:szCs w:val="24"/>
        </w:rPr>
      </w:pPr>
    </w:p>
    <w:p w14:paraId="1096A507">
      <w:pPr>
        <w:spacing w:line="480" w:lineRule="auto"/>
        <w:ind w:firstLine="2249"/>
        <w:jc w:val="left"/>
        <w:rPr>
          <w:rFonts w:ascii="Arial" w:hAnsi="Arial" w:eastAsia="宋体" w:cs="Times New Roman"/>
          <w:b/>
          <w:bCs/>
          <w:color w:val="000000"/>
          <w:sz w:val="32"/>
          <w:szCs w:val="24"/>
        </w:rPr>
      </w:pPr>
    </w:p>
    <w:p w14:paraId="56348469">
      <w:pPr>
        <w:spacing w:line="480" w:lineRule="auto"/>
        <w:ind w:firstLine="0"/>
        <w:jc w:val="left"/>
        <w:rPr>
          <w:rFonts w:ascii="Arial" w:hAnsi="Arial" w:eastAsia="宋体" w:cs="Times New Roman"/>
          <w:b/>
          <w:bCs/>
          <w:color w:val="000000"/>
          <w:sz w:val="32"/>
          <w:szCs w:val="24"/>
        </w:rPr>
      </w:pPr>
    </w:p>
    <w:p w14:paraId="00950FF9">
      <w:pPr>
        <w:spacing w:line="480" w:lineRule="auto"/>
        <w:ind w:firstLine="2249"/>
        <w:jc w:val="left"/>
        <w:rPr>
          <w:rFonts w:ascii="Arial" w:hAnsi="Arial" w:eastAsia="宋体" w:cs="Times New Roman"/>
          <w:b/>
          <w:bCs/>
          <w:color w:val="000000"/>
          <w:sz w:val="32"/>
          <w:szCs w:val="24"/>
        </w:rPr>
      </w:pPr>
    </w:p>
    <w:p w14:paraId="27CE9CFE">
      <w:pPr>
        <w:spacing w:line="480" w:lineRule="auto"/>
        <w:ind w:firstLine="2249"/>
        <w:jc w:val="left"/>
        <w:rPr>
          <w:rFonts w:ascii="Arial" w:hAnsi="Arial" w:eastAsia="宋体" w:cs="Times New Roman"/>
          <w:b/>
          <w:bCs/>
          <w:color w:val="000000"/>
          <w:sz w:val="32"/>
          <w:szCs w:val="24"/>
        </w:rPr>
      </w:pPr>
    </w:p>
    <w:tbl>
      <w:tblPr>
        <w:tblStyle w:val="34"/>
        <w:tblW w:w="0" w:type="auto"/>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98"/>
        <w:gridCol w:w="5330"/>
      </w:tblGrid>
      <w:tr w14:paraId="00B29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8" w:type="dxa"/>
            <w:noWrap w:val="0"/>
          </w:tcPr>
          <w:p w14:paraId="00F8A764">
            <w:pPr>
              <w:spacing w:line="480" w:lineRule="auto"/>
              <w:jc w:val="left"/>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项目名称：</w:t>
            </w:r>
          </w:p>
        </w:tc>
        <w:tc>
          <w:tcPr>
            <w:tcW w:w="5330" w:type="dxa"/>
            <w:noWrap w:val="0"/>
          </w:tcPr>
          <w:p w14:paraId="15A324BD">
            <w:pPr>
              <w:spacing w:line="480" w:lineRule="auto"/>
              <w:ind w:firstLine="0"/>
              <w:jc w:val="left"/>
              <w:rPr>
                <w:rFonts w:hint="default" w:ascii="Arial" w:hAnsi="Arial" w:eastAsia="宋体" w:cs="Times New Roman"/>
                <w:b/>
                <w:bCs/>
                <w:color w:val="000000"/>
                <w:sz w:val="32"/>
                <w:szCs w:val="24"/>
                <w:vertAlign w:val="baseline"/>
                <w:lang w:val="en-US"/>
              </w:rPr>
            </w:pPr>
            <w:r>
              <w:rPr>
                <w:rFonts w:hint="eastAsia" w:ascii="Arial" w:hAnsi="Arial" w:eastAsia="宋体" w:cs="Times New Roman"/>
                <w:b/>
                <w:bCs/>
                <w:color w:val="000000"/>
                <w:sz w:val="32"/>
                <w:szCs w:val="24"/>
                <w:lang w:val="en-US" w:eastAsia="zh-CN"/>
              </w:rPr>
              <w:t>国谈药双通道单独支付药品待遇人工智能辅助审核系统（专门面向中小企业）</w:t>
            </w:r>
          </w:p>
        </w:tc>
      </w:tr>
      <w:tr w14:paraId="28FE1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8" w:type="dxa"/>
            <w:noWrap w:val="0"/>
          </w:tcPr>
          <w:p w14:paraId="1A9CB17E">
            <w:pPr>
              <w:spacing w:line="480" w:lineRule="auto"/>
              <w:jc w:val="left"/>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项目编号：</w:t>
            </w:r>
          </w:p>
        </w:tc>
        <w:tc>
          <w:tcPr>
            <w:tcW w:w="5330" w:type="dxa"/>
            <w:noWrap w:val="0"/>
          </w:tcPr>
          <w:p w14:paraId="722366C9">
            <w:pPr>
              <w:spacing w:line="480" w:lineRule="auto"/>
              <w:jc w:val="left"/>
              <w:rPr>
                <w:rFonts w:ascii="Arial" w:hAnsi="Arial" w:eastAsia="宋体" w:cs="Times New Roman"/>
                <w:b/>
                <w:bCs/>
                <w:color w:val="000000"/>
                <w:sz w:val="32"/>
                <w:szCs w:val="24"/>
                <w:vertAlign w:val="baseline"/>
              </w:rPr>
            </w:pPr>
            <w:r>
              <w:rPr>
                <w:rFonts w:ascii="Arial" w:hAnsi="Arial" w:eastAsia="宋体" w:cs="Times New Roman"/>
                <w:b/>
                <w:bCs/>
                <w:color w:val="000000"/>
                <w:sz w:val="32"/>
                <w:szCs w:val="24"/>
                <w:vertAlign w:val="baseline"/>
              </w:rPr>
              <w:t>JSZC-320700-JZCG-C2026-0087</w:t>
            </w:r>
          </w:p>
        </w:tc>
      </w:tr>
    </w:tbl>
    <w:p w14:paraId="106F38BF">
      <w:pPr>
        <w:spacing w:line="480" w:lineRule="auto"/>
        <w:jc w:val="both"/>
        <w:rPr>
          <w:rFonts w:ascii="黑体" w:hAnsi="Arial" w:eastAsia="黑体" w:cs="Times New Roman"/>
          <w:b/>
          <w:bCs/>
          <w:color w:val="000000"/>
          <w:sz w:val="44"/>
          <w:szCs w:val="44"/>
        </w:rPr>
      </w:pPr>
    </w:p>
    <w:p w14:paraId="49455C7D">
      <w:pPr>
        <w:spacing w:line="480" w:lineRule="auto"/>
        <w:jc w:val="center"/>
        <w:rPr>
          <w:rFonts w:ascii="黑体" w:hAnsi="Arial" w:eastAsia="黑体" w:cs="Times New Roman"/>
          <w:b/>
          <w:bCs/>
          <w:color w:val="000000"/>
          <w:sz w:val="44"/>
          <w:szCs w:val="44"/>
        </w:rPr>
      </w:pPr>
    </w:p>
    <w:p w14:paraId="7FAF78AC">
      <w:pPr>
        <w:spacing w:line="480" w:lineRule="auto"/>
        <w:jc w:val="center"/>
        <w:rPr>
          <w:rFonts w:ascii="黑体" w:hAnsi="Arial" w:eastAsia="黑体" w:cs="Times New Roman"/>
          <w:b/>
          <w:bCs/>
          <w:color w:val="000000"/>
          <w:sz w:val="44"/>
          <w:szCs w:val="44"/>
        </w:rPr>
      </w:pPr>
    </w:p>
    <w:p w14:paraId="22BFC592">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05452C08">
      <w:pPr>
        <w:spacing w:before="120" w:after="120" w:line="360" w:lineRule="auto"/>
        <w:jc w:val="center"/>
      </w:pPr>
      <w:r>
        <w:rPr>
          <w:rFonts w:hint="eastAsia" w:ascii="Arial" w:hAnsi="Arial" w:eastAsia="宋体" w:cs="Times New Roman"/>
          <w:b/>
          <w:bCs/>
          <w:color w:val="000000"/>
          <w:sz w:val="32"/>
          <w:szCs w:val="24"/>
        </w:rPr>
        <w:t>202</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年</w:t>
      </w:r>
      <w:r>
        <w:rPr>
          <w:rFonts w:hint="eastAsia" w:ascii="Arial" w:hAnsi="Arial" w:eastAsia="宋体" w:cs="Times New Roman"/>
          <w:b/>
          <w:bCs/>
          <w:color w:val="000000"/>
          <w:sz w:val="32"/>
          <w:szCs w:val="24"/>
          <w:lang w:val="en-US" w:eastAsia="zh-CN"/>
        </w:rPr>
        <w:t>7</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3D222AE7">
      <w:pPr>
        <w:jc w:val="center"/>
        <w:rPr>
          <w:rFonts w:hint="eastAsia" w:asciiTheme="minorEastAsia" w:hAnsiTheme="minorEastAsia"/>
          <w:sz w:val="44"/>
          <w:szCs w:val="44"/>
        </w:rPr>
      </w:pPr>
      <w:r>
        <w:rPr>
          <w:rFonts w:hint="eastAsia" w:asciiTheme="minorEastAsia" w:hAnsiTheme="minorEastAsia"/>
          <w:sz w:val="44"/>
          <w:szCs w:val="44"/>
        </w:rPr>
        <w:t>目  录</w:t>
      </w:r>
    </w:p>
    <w:p w14:paraId="1F65F0AF">
      <w:pPr>
        <w:spacing w:line="360" w:lineRule="auto"/>
        <w:jc w:val="center"/>
        <w:rPr>
          <w:rFonts w:ascii="黑体" w:hAnsi="黑体" w:eastAsia="黑体"/>
          <w:sz w:val="44"/>
          <w:szCs w:val="44"/>
        </w:rPr>
      </w:pPr>
    </w:p>
    <w:p w14:paraId="7EF82BD2">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第一章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磋商邀请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w:t>
      </w:r>
      <w:r>
        <w:rPr>
          <w:rFonts w:asciiTheme="minorEastAsia" w:hAnsiTheme="minorEastAsia" w:eastAsiaTheme="minorEastAsia"/>
          <w:sz w:val="28"/>
          <w:szCs w:val="28"/>
        </w:rPr>
        <w:fldChar w:fldCharType="end"/>
      </w:r>
    </w:p>
    <w:p w14:paraId="782C2246">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第二章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供应商须知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5</w:t>
      </w:r>
      <w:r>
        <w:rPr>
          <w:rFonts w:asciiTheme="minorEastAsia" w:hAnsiTheme="minorEastAsia" w:eastAsiaTheme="minorEastAsia"/>
          <w:sz w:val="28"/>
          <w:szCs w:val="28"/>
        </w:rPr>
        <w:fldChar w:fldCharType="end"/>
      </w:r>
    </w:p>
    <w:p w14:paraId="4FF1393C">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第三章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合同文本</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23</w:t>
      </w:r>
      <w:r>
        <w:rPr>
          <w:rFonts w:asciiTheme="minorEastAsia" w:hAnsiTheme="minorEastAsia" w:eastAsiaTheme="minorEastAsia"/>
          <w:sz w:val="28"/>
          <w:szCs w:val="28"/>
        </w:rPr>
        <w:fldChar w:fldCharType="end"/>
      </w:r>
    </w:p>
    <w:p w14:paraId="4CCB39CB">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第四章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29</w:t>
      </w:r>
      <w:r>
        <w:rPr>
          <w:rFonts w:asciiTheme="minorEastAsia" w:hAnsiTheme="minorEastAsia" w:eastAsiaTheme="minorEastAsia"/>
          <w:sz w:val="28"/>
          <w:szCs w:val="28"/>
        </w:rPr>
        <w:fldChar w:fldCharType="end"/>
      </w:r>
    </w:p>
    <w:p w14:paraId="081538A0">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第五章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评审方法与评审标准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34</w:t>
      </w:r>
      <w:r>
        <w:rPr>
          <w:rFonts w:asciiTheme="minorEastAsia" w:hAnsiTheme="minorEastAsia" w:eastAsiaTheme="minorEastAsia"/>
          <w:sz w:val="28"/>
          <w:szCs w:val="28"/>
        </w:rPr>
        <w:fldChar w:fldCharType="end"/>
      </w:r>
    </w:p>
    <w:p w14:paraId="525BE584">
      <w:pPr>
        <w:pStyle w:val="2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第六章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36</w:t>
      </w:r>
      <w:r>
        <w:rPr>
          <w:rFonts w:asciiTheme="minorEastAsia" w:hAnsiTheme="minorEastAsia" w:eastAsiaTheme="minorEastAsia"/>
          <w:sz w:val="28"/>
          <w:szCs w:val="28"/>
        </w:rPr>
        <w:fldChar w:fldCharType="end"/>
      </w:r>
    </w:p>
    <w:p w14:paraId="135C5088">
      <w:pPr>
        <w:widowControl/>
        <w:jc w:val="left"/>
      </w:pPr>
      <w:r>
        <w:fldChar w:fldCharType="end"/>
      </w:r>
      <w:r>
        <w:rPr/>
        <w:br w:type="page" w:clear="all"/>
      </w:r>
    </w:p>
    <w:p w14:paraId="5D855E91">
      <w:pPr>
        <w:pStyle w:val="3"/>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7046B5E5">
      <w:pPr>
        <w:pStyle w:val="3"/>
        <w:spacing w:line="360" w:lineRule="auto"/>
        <w:jc w:val="center"/>
        <w:rPr>
          <w:rFonts w:ascii="黑体" w:hAnsi="黑体" w:eastAsia="黑体"/>
          <w:b w:val="0"/>
        </w:rPr>
      </w:pPr>
      <w:bookmarkStart w:id="0" w:name="_Toc161932691"/>
      <w:r>
        <w:rPr>
          <w:rFonts w:hint="eastAsia" w:ascii="黑体" w:hAnsi="黑体" w:eastAsia="黑体"/>
          <w:b w:val="0"/>
        </w:rPr>
        <w:t>第一章  磋商邀请</w:t>
      </w:r>
      <w:bookmarkEnd w:id="0"/>
    </w:p>
    <w:p w14:paraId="05CB2416">
      <w:pPr>
        <w:keepNext w:val="0"/>
        <w:keepLines w:val="0"/>
        <w:pageBreakBefore w:val="0"/>
        <w:widowControl w:val="0"/>
        <w:spacing w:line="500" w:lineRule="exact"/>
        <w:ind w:firstLine="480"/>
        <w:jc w:val="both"/>
        <w:rPr>
          <w:sz w:val="24"/>
          <w:szCs w:val="24"/>
        </w:rPr>
      </w:pPr>
      <w:r>
        <w:rPr>
          <w:rFonts w:hint="eastAsia"/>
          <w:sz w:val="24"/>
          <w:szCs w:val="24"/>
        </w:rPr>
        <w:t>受</w:t>
      </w:r>
      <w:r>
        <w:rPr>
          <w:rFonts w:hint="eastAsia"/>
          <w:sz w:val="24"/>
          <w:szCs w:val="24"/>
          <w:highlight w:val="none"/>
          <w:u w:val="none"/>
        </w:rPr>
        <w:t>连云港市医疗保险基金管理中心</w:t>
      </w:r>
      <w:r>
        <w:rPr>
          <w:rFonts w:hint="eastAsia"/>
          <w:sz w:val="24"/>
          <w:szCs w:val="24"/>
        </w:rPr>
        <w:t>的委托，连云港市公共资源交易中心就</w:t>
      </w:r>
      <w:r>
        <w:rPr>
          <w:rFonts w:hint="eastAsia"/>
          <w:sz w:val="24"/>
          <w:szCs w:val="24"/>
          <w:highlight w:val="none"/>
          <w:u w:val="none"/>
        </w:rPr>
        <w:t>连云港市医疗保险基金管理中心国谈药双通道单独支付药品待遇人工智能辅助审核</w:t>
      </w:r>
      <w:r>
        <w:rPr>
          <w:rFonts w:hint="eastAsia"/>
          <w:sz w:val="24"/>
          <w:szCs w:val="24"/>
          <w:u w:val="none"/>
          <w:lang w:val="en-US" w:eastAsia="zh-CN"/>
        </w:rPr>
        <w:t>系统（专门面向中小企业）</w:t>
      </w:r>
      <w:r>
        <w:rPr>
          <w:rFonts w:hint="eastAsia"/>
          <w:sz w:val="24"/>
          <w:szCs w:val="24"/>
        </w:rPr>
        <w:t>项目（</w:t>
      </w:r>
      <w:r>
        <w:rPr>
          <w:rFonts w:hint="eastAsia"/>
          <w:sz w:val="24"/>
          <w:szCs w:val="24"/>
          <w:highlight w:val="none"/>
        </w:rPr>
        <w:t>项目编号</w:t>
      </w:r>
      <w:r>
        <w:rPr>
          <w:rFonts w:hint="eastAsia"/>
          <w:sz w:val="24"/>
          <w:szCs w:val="24"/>
          <w:highlight w:val="none"/>
          <w:lang w:eastAsia="zh-CN"/>
        </w:rPr>
        <w:t>：</w:t>
      </w:r>
      <w:r>
        <w:rPr>
          <w:rFonts w:hint="eastAsia" w:ascii="宋体" w:hAnsi="宋体" w:eastAsia="宋体" w:cs="宋体"/>
          <w:sz w:val="24"/>
          <w:szCs w:val="24"/>
          <w:highlight w:val="none"/>
          <w:lang w:eastAsia="zh-CN"/>
        </w:rPr>
        <w:t>JSZC-320700-JZCG-C2026-00</w:t>
      </w:r>
      <w:r>
        <w:rPr>
          <w:rFonts w:hint="eastAsia" w:ascii="宋体" w:hAnsi="宋体" w:eastAsia="宋体" w:cs="宋体"/>
          <w:sz w:val="24"/>
          <w:szCs w:val="24"/>
          <w:highlight w:val="none"/>
          <w:lang w:val="en-US" w:eastAsia="zh-CN"/>
        </w:rPr>
        <w:t>87</w:t>
      </w:r>
      <w:r>
        <w:rPr>
          <w:rFonts w:hint="eastAsia"/>
          <w:sz w:val="24"/>
          <w:szCs w:val="24"/>
        </w:rPr>
        <w:t>）进行竞争性磋商采购，欢迎符合条件的供应商参加磋商。</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5623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5E937149">
            <w:pPr>
              <w:spacing w:line="500" w:lineRule="exact"/>
              <w:jc w:val="left"/>
              <w:rPr>
                <w:rFonts w:asciiTheme="minorEastAsia" w:hAnsiTheme="minorEastAsia"/>
                <w:sz w:val="24"/>
                <w:szCs w:val="24"/>
              </w:rPr>
            </w:pPr>
            <w:r>
              <w:rPr>
                <w:rFonts w:hint="eastAsia" w:asciiTheme="minorEastAsia" w:hAnsiTheme="minorEastAsia"/>
                <w:sz w:val="24"/>
                <w:szCs w:val="24"/>
              </w:rPr>
              <w:t>项目概况</w:t>
            </w:r>
          </w:p>
          <w:p w14:paraId="1C69454E">
            <w:pPr>
              <w:spacing w:line="500" w:lineRule="exact"/>
              <w:jc w:val="left"/>
              <w:rPr>
                <w:sz w:val="24"/>
                <w:szCs w:val="24"/>
              </w:rPr>
            </w:pPr>
            <w:r>
              <w:rPr>
                <w:rFonts w:hint="eastAsia" w:asciiTheme="minorEastAsia" w:hAnsiTheme="minorEastAsia"/>
                <w:b/>
                <w:bCs/>
                <w:sz w:val="24"/>
                <w:szCs w:val="24"/>
                <w:u w:val="single"/>
              </w:rPr>
              <w:t>国谈药双通道单独支付药品待遇人工智能辅助审核系统（专门面向中小企业）</w:t>
            </w:r>
            <w:r>
              <w:rPr>
                <w:rFonts w:hint="eastAsia" w:asciiTheme="minorEastAsia" w:hAnsiTheme="minorEastAsia"/>
                <w:sz w:val="24"/>
                <w:szCs w:val="24"/>
              </w:rPr>
              <w:t>采购项目的潜在供应商应在</w:t>
            </w:r>
            <w:r>
              <w:rPr>
                <w:rFonts w:hint="eastAsia" w:asciiTheme="minorEastAsia" w:hAnsiTheme="minorEastAsia"/>
                <w:b/>
                <w:bCs/>
                <w:sz w:val="24"/>
                <w:szCs w:val="24"/>
                <w:u w:val="single"/>
              </w:rPr>
              <w:t>江苏政府采购网</w:t>
            </w:r>
            <w:r>
              <w:rPr>
                <w:rFonts w:hint="eastAsia" w:asciiTheme="minorEastAsia" w:hAnsiTheme="minorEastAsia"/>
                <w:sz w:val="24"/>
                <w:szCs w:val="24"/>
              </w:rPr>
              <w:t>自行免费下载采购文件，并于</w:t>
            </w:r>
            <w:r>
              <w:rPr>
                <w:rFonts w:hint="eastAsia" w:asciiTheme="minorEastAsia" w:hAnsiTheme="minorEastAsia"/>
                <w:b/>
                <w:sz w:val="24"/>
                <w:szCs w:val="24"/>
                <w:highlight w:val="none"/>
                <w:u w:val="single"/>
              </w:rPr>
              <w:t>202</w:t>
            </w:r>
            <w:r>
              <w:rPr>
                <w:rFonts w:hint="eastAsia" w:asciiTheme="minorEastAsia" w:hAnsiTheme="minorEastAsia"/>
                <w:b/>
                <w:sz w:val="24"/>
                <w:szCs w:val="24"/>
                <w:highlight w:val="none"/>
                <w:u w:val="single"/>
                <w:lang w:val="en-US" w:eastAsia="zh-CN"/>
              </w:rPr>
              <w:t>6</w:t>
            </w:r>
            <w:r>
              <w:rPr>
                <w:rFonts w:hint="eastAsia" w:asciiTheme="minorEastAsia" w:hAnsiTheme="minorEastAsia"/>
                <w:b/>
                <w:sz w:val="24"/>
                <w:szCs w:val="24"/>
                <w:highlight w:val="none"/>
                <w:u w:val="single"/>
              </w:rPr>
              <w:t>年</w:t>
            </w:r>
            <w:r>
              <w:rPr>
                <w:rFonts w:hint="eastAsia" w:eastAsia="宋体" w:asciiTheme="minorEastAsia" w:hAnsiTheme="minorEastAsia"/>
                <w:b/>
                <w:sz w:val="24"/>
                <w:szCs w:val="24"/>
                <w:highlight w:val="none"/>
                <w:u w:val="single"/>
                <w:lang w:val="en-US" w:eastAsia="zh-CN"/>
              </w:rPr>
              <w:t>8</w:t>
            </w:r>
            <w:r>
              <w:rPr>
                <w:rFonts w:hint="eastAsia" w:asciiTheme="minorEastAsia" w:hAnsiTheme="minorEastAsia"/>
                <w:b/>
                <w:sz w:val="24"/>
                <w:szCs w:val="24"/>
                <w:highlight w:val="none"/>
                <w:u w:val="single"/>
              </w:rPr>
              <w:t>月</w:t>
            </w:r>
            <w:r>
              <w:rPr>
                <w:rFonts w:hint="eastAsia" w:eastAsia="宋体" w:asciiTheme="minorEastAsia" w:hAnsiTheme="minorEastAsia"/>
                <w:b/>
                <w:sz w:val="24"/>
                <w:szCs w:val="24"/>
                <w:highlight w:val="none"/>
                <w:u w:val="single"/>
                <w:lang w:val="en-US" w:eastAsia="zh-CN"/>
              </w:rPr>
              <w:t>11</w:t>
            </w:r>
            <w:r>
              <w:rPr>
                <w:rFonts w:hint="eastAsia" w:asciiTheme="minorEastAsia" w:hAnsiTheme="minorEastAsia"/>
                <w:b/>
                <w:sz w:val="24"/>
                <w:szCs w:val="24"/>
                <w:highlight w:val="none"/>
                <w:u w:val="single"/>
              </w:rPr>
              <w:t>日</w:t>
            </w:r>
            <w:r>
              <w:rPr>
                <w:rFonts w:hint="eastAsia" w:eastAsia="宋体" w:asciiTheme="minorEastAsia" w:hAnsiTheme="minorEastAsia"/>
                <w:b/>
                <w:sz w:val="24"/>
                <w:szCs w:val="24"/>
                <w:highlight w:val="none"/>
                <w:u w:val="single"/>
                <w:lang w:val="en-US" w:eastAsia="zh-CN"/>
              </w:rPr>
              <w:t>9</w:t>
            </w:r>
            <w:r>
              <w:rPr>
                <w:rFonts w:hint="eastAsia" w:asciiTheme="minorEastAsia" w:hAnsiTheme="minorEastAsia"/>
                <w:b/>
                <w:sz w:val="24"/>
                <w:szCs w:val="24"/>
                <w:highlight w:val="none"/>
                <w:u w:val="single"/>
              </w:rPr>
              <w:t>:</w:t>
            </w:r>
            <w:r>
              <w:rPr>
                <w:rFonts w:hint="eastAsia" w:eastAsia="宋体" w:asciiTheme="minorEastAsia" w:hAnsiTheme="minorEastAsia"/>
                <w:b/>
                <w:sz w:val="24"/>
                <w:szCs w:val="24"/>
                <w:highlight w:val="none"/>
                <w:u w:val="single"/>
                <w:lang w:val="en-US" w:eastAsia="zh-CN"/>
              </w:rPr>
              <w:t>0</w:t>
            </w:r>
            <w:r>
              <w:rPr>
                <w:rFonts w:hint="eastAsia" w:asciiTheme="minorEastAsia" w:hAnsiTheme="minorEastAsia"/>
                <w:b/>
                <w:sz w:val="24"/>
                <w:szCs w:val="24"/>
                <w:highlight w:val="none"/>
                <w:u w:val="single"/>
              </w:rPr>
              <w:t>0:00（北京时间）</w:t>
            </w:r>
            <w:r>
              <w:rPr>
                <w:rFonts w:hint="eastAsia" w:asciiTheme="minorEastAsia" w:hAnsiTheme="minorEastAsia"/>
                <w:sz w:val="24"/>
                <w:szCs w:val="24"/>
              </w:rPr>
              <w:t>前提交（上传）响应文件。</w:t>
            </w:r>
          </w:p>
        </w:tc>
      </w:tr>
    </w:tbl>
    <w:p w14:paraId="1DB95557">
      <w:pPr>
        <w:pStyle w:val="4"/>
        <w:pageBreakBefore w:val="0"/>
        <w:widowControl w:val="0"/>
        <w:spacing w:before="0" w:after="0" w:line="500" w:lineRule="exact"/>
        <w:rPr>
          <w:rFonts w:ascii="黑体" w:hAnsi="黑体" w:eastAsia="黑体"/>
          <w:b w:val="0"/>
        </w:rPr>
      </w:pPr>
      <w:r>
        <w:rPr>
          <w:rFonts w:hint="eastAsia" w:ascii="黑体" w:hAnsi="黑体" w:eastAsia="黑体"/>
          <w:b w:val="0"/>
        </w:rPr>
        <w:t>一、项目基本情况</w:t>
      </w:r>
    </w:p>
    <w:p w14:paraId="4A29EA6A">
      <w:pPr>
        <w:pageBreakBefore w:val="0"/>
        <w:widowControl w:val="0"/>
        <w:spacing w:line="500" w:lineRule="exact"/>
        <w:ind w:firstLine="480"/>
        <w:jc w:val="both"/>
        <w:rPr>
          <w:rFonts w:hint="default" w:ascii="宋体" w:hAnsi="宋体" w:eastAsia="宋体" w:cs="宋体"/>
          <w:sz w:val="24"/>
          <w:szCs w:val="24"/>
          <w:u w:val="non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none"/>
        </w:rPr>
        <w:t>JSZC-320700-JZCG-C2026-00</w:t>
      </w:r>
      <w:r>
        <w:rPr>
          <w:rFonts w:hint="eastAsia" w:ascii="宋体" w:hAnsi="宋体" w:eastAsia="宋体" w:cs="宋体"/>
          <w:sz w:val="24"/>
          <w:szCs w:val="24"/>
          <w:u w:val="none"/>
          <w:lang w:val="en-US" w:eastAsia="zh-CN"/>
        </w:rPr>
        <w:t>87</w:t>
      </w:r>
    </w:p>
    <w:p w14:paraId="0F8BA045">
      <w:pPr>
        <w:pageBreakBefore w:val="0"/>
        <w:widowControl w:val="0"/>
        <w:spacing w:line="500" w:lineRule="exact"/>
        <w:ind w:firstLine="480"/>
        <w:jc w:val="both"/>
        <w:rPr>
          <w:rFonts w:hint="eastAsia" w:ascii="宋体" w:hAnsi="宋体" w:eastAsia="宋体" w:cs="宋体"/>
          <w:sz w:val="24"/>
          <w:szCs w:val="24"/>
          <w:u w:val="non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none"/>
        </w:rPr>
        <w:t>国谈药双通道单独支付药品待遇人工智能辅助审核</w:t>
      </w:r>
      <w:r>
        <w:rPr>
          <w:rFonts w:hint="eastAsia" w:ascii="宋体" w:hAnsi="宋体" w:eastAsia="宋体" w:cs="宋体"/>
          <w:sz w:val="24"/>
          <w:szCs w:val="24"/>
          <w:u w:val="none"/>
          <w:lang w:val="en-US" w:eastAsia="zh-CN"/>
        </w:rPr>
        <w:t>系统（专门面向中小企业）</w:t>
      </w:r>
    </w:p>
    <w:p w14:paraId="67C886C9">
      <w:pPr>
        <w:pageBreakBefore w:val="0"/>
        <w:widowControl w:val="0"/>
        <w:spacing w:line="500" w:lineRule="exact"/>
        <w:ind w:firstLine="480"/>
        <w:jc w:val="both"/>
        <w:rPr>
          <w:rFonts w:hint="eastAsia" w:ascii="宋体" w:hAnsi="宋体" w:eastAsia="宋体" w:cs="宋体"/>
          <w:sz w:val="24"/>
          <w:szCs w:val="24"/>
          <w:highlight w:val="red"/>
          <w:lang w:eastAsia="zh-CN"/>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40万元</w:t>
      </w:r>
    </w:p>
    <w:p w14:paraId="3D75FFB7">
      <w:pPr>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采购方式：竞争性磋商</w:t>
      </w:r>
    </w:p>
    <w:p w14:paraId="4F7EBA17">
      <w:pPr>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采购需求：</w:t>
      </w:r>
      <w:r>
        <w:rPr>
          <w:rFonts w:hint="eastAsia" w:ascii="宋体" w:hAnsi="宋体" w:eastAsia="宋体" w:cs="宋体"/>
          <w:sz w:val="24"/>
          <w:szCs w:val="24"/>
          <w:highlight w:val="none"/>
        </w:rPr>
        <w:t>对接连云港市医保双通道药品管理信息系统，</w:t>
      </w:r>
      <w:r>
        <w:rPr>
          <w:rFonts w:hint="eastAsia" w:ascii="宋体" w:hAnsi="宋体" w:eastAsia="宋体" w:cs="宋体"/>
          <w:color w:val="auto"/>
          <w:sz w:val="24"/>
          <w:szCs w:val="24"/>
          <w:highlight w:val="none"/>
          <w:lang w:val="en-US" w:eastAsia="zh-CN"/>
        </w:rPr>
        <w:t>运用大语言模型、OCR智能文档解析、语义理解与信息抽取等人工智能技术，构建特殊药品审核智能辅助决策系统。针对传统审核依赖人工翻阅材料、效率低、标准不一等问题，系统实现待审核材料的智能解析与关键要素自动提取，通过“规则匹配-&gt;证据抽取-&gt;综合研判”三阶段审核链路，建立证据与规则的精准映射，输出可追溯的结构化审核结论。同时融合图像识别与自然语言处理技术，自动抓取病例报告中的诊断结论，病情指标、用药史等核心信息。具体要求详见第四章采购需求。</w:t>
      </w:r>
    </w:p>
    <w:p w14:paraId="32641C0A">
      <w:pPr>
        <w:pageBreakBefore w:val="0"/>
        <w:widowControl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对本项目资格要求、采购需求、评审方法与评审标准等部分的询问、质疑请与采购人联系，由采购人负责答复。</w:t>
      </w:r>
    </w:p>
    <w:p w14:paraId="04E0A30D">
      <w:pPr>
        <w:pageBreakBefore w:val="0"/>
        <w:widowControl/>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合同履行期限：</w:t>
      </w:r>
      <w:r>
        <w:rPr>
          <w:rFonts w:hint="eastAsia" w:ascii="宋体" w:hAnsi="宋体" w:eastAsia="宋体" w:cs="宋体"/>
          <w:color w:val="000000"/>
          <w:sz w:val="24"/>
          <w:szCs w:val="24"/>
          <w:lang w:val="en-US" w:eastAsia="zh-CN" w:bidi="ar"/>
        </w:rPr>
        <w:t>自合同签订之日起 90 个日历天内完成建设。</w:t>
      </w:r>
    </w:p>
    <w:p w14:paraId="5AF00DAE">
      <w:pPr>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本项目（是/否）接受联合体投标：不接受联合体。</w:t>
      </w:r>
    </w:p>
    <w:p w14:paraId="5EDCA10C">
      <w:pPr>
        <w:pStyle w:val="4"/>
        <w:pageBreakBefore w:val="0"/>
        <w:widowControl w:val="0"/>
        <w:spacing w:before="0" w:after="0" w:line="500" w:lineRule="exact"/>
        <w:rPr>
          <w:rFonts w:ascii="黑体" w:hAnsi="黑体" w:eastAsia="黑体"/>
          <w:b w:val="0"/>
        </w:rPr>
      </w:pPr>
      <w:r>
        <w:rPr>
          <w:rFonts w:hint="eastAsia" w:ascii="黑体" w:hAnsi="黑体" w:eastAsia="黑体"/>
          <w:b w:val="0"/>
        </w:rPr>
        <w:t>二、申请人的资格要求</w:t>
      </w:r>
    </w:p>
    <w:p w14:paraId="1FC39485">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227AAE58">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6BB84413">
      <w:pPr>
        <w:pageBreakBefore w:val="0"/>
        <w:widowControl w:val="0"/>
        <w:spacing w:line="500" w:lineRule="exact"/>
        <w:ind w:firstLine="480"/>
        <w:jc w:val="left"/>
        <w:rPr>
          <w:rFonts w:hint="eastAsia" w:asciiTheme="minorEastAsia" w:hAnsiTheme="minorEastAsia" w:eastAsiaTheme="minorEastAsia"/>
          <w:sz w:val="24"/>
          <w:szCs w:val="24"/>
          <w:lang w:eastAsia="zh-CN"/>
        </w:rPr>
      </w:pPr>
      <w:r>
        <w:rPr>
          <w:rFonts w:hint="eastAsia" w:asciiTheme="minorEastAsia" w:hAnsiTheme="minorEastAsia"/>
          <w:sz w:val="24"/>
          <w:szCs w:val="24"/>
        </w:rPr>
        <w:t>2.上一年度的财务状况报告（成立不满一年无需提供）</w:t>
      </w:r>
      <w:r>
        <w:rPr>
          <w:rFonts w:hint="eastAsia" w:asciiTheme="minorEastAsia" w:hAnsiTheme="minorEastAsia"/>
          <w:sz w:val="24"/>
          <w:szCs w:val="24"/>
          <w:lang w:eastAsia="zh-CN"/>
        </w:rPr>
        <w:t>；</w:t>
      </w:r>
    </w:p>
    <w:p w14:paraId="5713B08B">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6A730F57">
      <w:pPr>
        <w:pageBreakBefore w:val="0"/>
        <w:widowControl w:val="0"/>
        <w:spacing w:line="500" w:lineRule="exact"/>
        <w:ind w:firstLine="480"/>
        <w:jc w:val="left"/>
        <w:rPr>
          <w:rFonts w:asciiTheme="minorEastAsia" w:hAnsiTheme="minorEastAsia"/>
          <w:b w:val="0"/>
          <w:bCs w:val="0"/>
          <w:sz w:val="24"/>
          <w:szCs w:val="24"/>
        </w:rPr>
      </w:pPr>
      <w:r>
        <w:rPr>
          <w:rFonts w:hint="eastAsia" w:asciiTheme="minorEastAsia" w:hAnsiTheme="minorEastAsia"/>
          <w:b w:val="0"/>
          <w:bCs w:val="0"/>
          <w:sz w:val="24"/>
          <w:szCs w:val="24"/>
        </w:rPr>
        <w:t>（根据连财购〔2023〕4号文件精神，2、3项可以提供《财务状况报告及税收、社会保障资金缴纳情况承诺函》，详见响应文件格式）</w:t>
      </w:r>
    </w:p>
    <w:p w14:paraId="39EF5673">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4.具备履行合同所必需的设备和专业技术能力的</w:t>
      </w:r>
      <w:r>
        <w:rPr>
          <w:rFonts w:hint="eastAsia" w:asciiTheme="minorEastAsia" w:hAnsiTheme="minorEastAsia"/>
          <w:sz w:val="24"/>
          <w:szCs w:val="24"/>
          <w:highlight w:val="none"/>
        </w:rPr>
        <w:t>声明及证明材料</w:t>
      </w:r>
      <w:r>
        <w:rPr>
          <w:rFonts w:hint="eastAsia" w:asciiTheme="minorEastAsia" w:hAnsiTheme="minorEastAsia"/>
          <w:sz w:val="24"/>
          <w:szCs w:val="24"/>
        </w:rPr>
        <w:t>；</w:t>
      </w:r>
    </w:p>
    <w:p w14:paraId="3402DE33">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37EB85B4">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6E03A12D">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7.</w:t>
      </w:r>
      <w:r>
        <w:rPr>
          <w:rFonts w:hint="eastAsia" w:cs="Times New Roman" w:asciiTheme="minorEastAsia" w:hAnsiTheme="minorEastAsia"/>
          <w:sz w:val="24"/>
          <w:szCs w:val="24"/>
        </w:rPr>
        <w:t>资格审查现场查询信用中国网</w:t>
      </w:r>
      <w:r>
        <w:rPr>
          <w:rFonts w:hint="eastAsia" w:asciiTheme="minorEastAsia" w:hAnsiTheme="minorEastAsia"/>
          <w:sz w:val="24"/>
          <w:szCs w:val="24"/>
        </w:rPr>
        <w:t>，供应商被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（响应文件中无需提供证明材料）</w:t>
      </w:r>
    </w:p>
    <w:p w14:paraId="1FD66915">
      <w:pPr>
        <w:pageBreakBefore w:val="0"/>
        <w:widowControl w:val="0"/>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p>
    <w:p w14:paraId="0A1E7E68">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（三）本项目的特定资格要求：无。</w:t>
      </w:r>
    </w:p>
    <w:p w14:paraId="703B141B">
      <w:pPr>
        <w:pStyle w:val="4"/>
        <w:pageBreakBefore w:val="0"/>
        <w:widowControl w:val="0"/>
        <w:spacing w:before="0" w:after="0" w:line="500" w:lineRule="exact"/>
        <w:rPr>
          <w:rFonts w:ascii="黑体" w:hAnsi="黑体" w:eastAsia="黑体"/>
          <w:b w:val="0"/>
        </w:rPr>
      </w:pPr>
      <w:r>
        <w:rPr>
          <w:rFonts w:hint="eastAsia" w:ascii="黑体" w:hAnsi="黑体" w:eastAsia="黑体"/>
          <w:b w:val="0"/>
        </w:rPr>
        <w:t>三、获取采购文件</w:t>
      </w:r>
    </w:p>
    <w:p w14:paraId="7B0E9AB0">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rPr>
        <w:t>时间：</w:t>
      </w:r>
      <w:r>
        <w:rPr>
          <w:rFonts w:hint="eastAsia" w:asciiTheme="minorEastAsia" w:hAnsiTheme="minorEastAsia"/>
          <w:sz w:val="24"/>
          <w:szCs w:val="24"/>
          <w:highlight w:val="none"/>
        </w:rPr>
        <w:t>自磋商文件发布之日起至202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eastAsia="宋体" w:asciiTheme="minorEastAsia" w:hAnsiTheme="minorEastAsia"/>
          <w:sz w:val="24"/>
          <w:szCs w:val="24"/>
          <w:highlight w:val="none"/>
          <w:lang w:val="en-US" w:eastAsia="zh-CN"/>
        </w:rPr>
        <w:t>8</w:t>
      </w:r>
      <w:r>
        <w:rPr>
          <w:rFonts w:hint="eastAsia" w:asciiTheme="minorEastAsia" w:hAnsiTheme="minorEastAsia"/>
          <w:sz w:val="24"/>
          <w:szCs w:val="24"/>
          <w:highlight w:val="none"/>
        </w:rPr>
        <w:t>月</w:t>
      </w:r>
      <w:r>
        <w:rPr>
          <w:rFonts w:hint="eastAsia" w:eastAsia="宋体" w:asciiTheme="minorEastAsia" w:hAnsiTheme="minorEastAsia"/>
          <w:sz w:val="24"/>
          <w:szCs w:val="24"/>
          <w:highlight w:val="none"/>
          <w:lang w:val="en-US" w:eastAsia="zh-CN"/>
        </w:rPr>
        <w:t>7</w:t>
      </w:r>
      <w:r>
        <w:rPr>
          <w:rFonts w:hint="eastAsia" w:asciiTheme="minorEastAsia" w:hAnsiTheme="minorEastAsia"/>
          <w:sz w:val="24"/>
          <w:szCs w:val="24"/>
          <w:highlight w:val="none"/>
        </w:rPr>
        <w:t>日（北京时间）</w:t>
      </w:r>
    </w:p>
    <w:p w14:paraId="3A9BD3A6">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地点：江苏政府采购网</w:t>
      </w:r>
    </w:p>
    <w:p w14:paraId="33BE671C">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方式：供应商办理江苏省政府采购交易系统CA数字证书，登录“苏采云”政府采购交易系统，自行下载。</w:t>
      </w:r>
    </w:p>
    <w:p w14:paraId="4C441FB9">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售价：0.00元</w:t>
      </w:r>
    </w:p>
    <w:p w14:paraId="5D1ACFB8">
      <w:pPr>
        <w:pStyle w:val="4"/>
        <w:pageBreakBefore w:val="0"/>
        <w:widowControl w:val="0"/>
        <w:spacing w:before="0" w:after="0" w:line="500" w:lineRule="exact"/>
        <w:rPr>
          <w:rFonts w:ascii="黑体" w:hAnsi="黑体" w:eastAsia="黑体"/>
          <w:b w:val="0"/>
        </w:rPr>
      </w:pPr>
      <w:r>
        <w:rPr>
          <w:rFonts w:hint="eastAsia" w:ascii="黑体" w:hAnsi="黑体" w:eastAsia="黑体"/>
          <w:b w:val="0"/>
        </w:rPr>
        <w:t>四、提交响应文件截止时间、开启时间和地点</w:t>
      </w:r>
    </w:p>
    <w:p w14:paraId="748FF244">
      <w:pPr>
        <w:pageBreakBefore w:val="0"/>
        <w:widowControl w:val="0"/>
        <w:spacing w:line="500" w:lineRule="exact"/>
        <w:ind w:firstLine="480"/>
        <w:jc w:val="left"/>
        <w:rPr>
          <w:rFonts w:asciiTheme="minorEastAsia" w:hAnsiTheme="minorEastAsia"/>
          <w:color w:val="000000" w:themeColor="text1"/>
          <w:sz w:val="24"/>
          <w:szCs w:val="24"/>
          <w:highlight w:val="none"/>
          <w14:textFill>
            <w14:solidFill>
              <w14:schemeClr w14:val="tx1"/>
            </w14:solidFill>
          </w14:textFill>
        </w:rPr>
      </w:pPr>
      <w:r>
        <w:rPr>
          <w:rFonts w:hint="eastAsia"/>
          <w:sz w:val="24"/>
          <w:szCs w:val="24"/>
        </w:rPr>
        <w:t>提交响应文件截止时间：</w:t>
      </w:r>
      <w:r>
        <w:rPr>
          <w:rFonts w:hint="eastAsia" w:asciiTheme="minorEastAsia" w:hAnsiTheme="minorEastAsia"/>
          <w:color w:val="000000" w:themeColor="text1"/>
          <w:sz w:val="24"/>
          <w:szCs w:val="24"/>
          <w:highlight w:val="none"/>
          <w14:textFill>
            <w14:solidFill>
              <w14:schemeClr w14:val="tx1"/>
            </w14:solidFill>
          </w14:textFill>
        </w:rPr>
        <w:t>202</w:t>
      </w:r>
      <w:r>
        <w:rPr>
          <w:rFonts w:hint="eastAsia" w:asciiTheme="minorEastAsia" w:hAnsi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olor w:val="000000" w:themeColor="text1"/>
          <w:sz w:val="24"/>
          <w:szCs w:val="24"/>
          <w:highlight w:val="none"/>
          <w14:textFill>
            <w14:solidFill>
              <w14:schemeClr w14:val="tx1"/>
            </w14:solidFill>
          </w14:textFill>
        </w:rPr>
        <w:t>年</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color w:val="000000" w:themeColor="text1"/>
          <w:sz w:val="24"/>
          <w:szCs w:val="24"/>
          <w:highlight w:val="none"/>
          <w14:textFill>
            <w14:solidFill>
              <w14:schemeClr w14:val="tx1"/>
            </w14:solidFill>
          </w14:textFill>
        </w:rPr>
        <w:t>月</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11</w:t>
      </w:r>
      <w:r>
        <w:rPr>
          <w:rFonts w:hint="eastAsia" w:asciiTheme="minorEastAsia" w:hAnsiTheme="minorEastAsia"/>
          <w:color w:val="000000" w:themeColor="text1"/>
          <w:sz w:val="24"/>
          <w:szCs w:val="24"/>
          <w:highlight w:val="none"/>
          <w14:textFill>
            <w14:solidFill>
              <w14:schemeClr w14:val="tx1"/>
            </w14:solidFill>
          </w14:textFill>
        </w:rPr>
        <w:t>日</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color w:val="000000" w:themeColor="text1"/>
          <w:sz w:val="24"/>
          <w:szCs w:val="24"/>
          <w:highlight w:val="none"/>
          <w14:textFill>
            <w14:solidFill>
              <w14:schemeClr w14:val="tx1"/>
            </w14:solidFill>
          </w14:textFill>
        </w:rPr>
        <w:t>:</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0</w:t>
      </w:r>
      <w:r>
        <w:rPr>
          <w:rFonts w:hint="eastAsia" w:asciiTheme="minorEastAsia" w:hAnsiTheme="minorEastAsia"/>
          <w:color w:val="000000" w:themeColor="text1"/>
          <w:sz w:val="24"/>
          <w:szCs w:val="24"/>
          <w:highlight w:val="none"/>
          <w14:textFill>
            <w14:solidFill>
              <w14:schemeClr w14:val="tx1"/>
            </w14:solidFill>
          </w14:textFill>
        </w:rPr>
        <w:t>0:00（北京时间）</w:t>
      </w:r>
    </w:p>
    <w:p w14:paraId="37E016BD">
      <w:pPr>
        <w:pageBreakBefore w:val="0"/>
        <w:widowControl w:val="0"/>
        <w:spacing w:line="500" w:lineRule="exact"/>
        <w:ind w:firstLine="480"/>
        <w:jc w:val="left"/>
        <w:rPr>
          <w:sz w:val="24"/>
          <w:szCs w:val="24"/>
          <w:highlight w:val="none"/>
        </w:rPr>
      </w:pPr>
      <w:r>
        <w:rPr>
          <w:rFonts w:hint="eastAsia"/>
          <w:sz w:val="24"/>
          <w:szCs w:val="24"/>
          <w:highlight w:val="none"/>
        </w:rPr>
        <w:t>开启时间：</w:t>
      </w:r>
      <w:r>
        <w:rPr>
          <w:rFonts w:hint="eastAsia" w:asciiTheme="minorEastAsia" w:hAnsiTheme="minorEastAsia"/>
          <w:color w:val="000000" w:themeColor="text1"/>
          <w:sz w:val="24"/>
          <w:szCs w:val="24"/>
          <w:highlight w:val="none"/>
          <w14:textFill>
            <w14:solidFill>
              <w14:schemeClr w14:val="tx1"/>
            </w14:solidFill>
          </w14:textFill>
        </w:rPr>
        <w:t>202</w:t>
      </w:r>
      <w:r>
        <w:rPr>
          <w:rFonts w:hint="eastAsia" w:asciiTheme="minorEastAsia" w:hAnsi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olor w:val="000000" w:themeColor="text1"/>
          <w:sz w:val="24"/>
          <w:szCs w:val="24"/>
          <w:highlight w:val="none"/>
          <w14:textFill>
            <w14:solidFill>
              <w14:schemeClr w14:val="tx1"/>
            </w14:solidFill>
          </w14:textFill>
        </w:rPr>
        <w:t>年</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color w:val="000000" w:themeColor="text1"/>
          <w:sz w:val="24"/>
          <w:szCs w:val="24"/>
          <w:highlight w:val="none"/>
          <w14:textFill>
            <w14:solidFill>
              <w14:schemeClr w14:val="tx1"/>
            </w14:solidFill>
          </w14:textFill>
        </w:rPr>
        <w:t>月</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11</w:t>
      </w:r>
      <w:r>
        <w:rPr>
          <w:rFonts w:hint="eastAsia" w:asciiTheme="minorEastAsia" w:hAnsiTheme="minorEastAsia"/>
          <w:color w:val="000000" w:themeColor="text1"/>
          <w:sz w:val="24"/>
          <w:szCs w:val="24"/>
          <w:highlight w:val="none"/>
          <w14:textFill>
            <w14:solidFill>
              <w14:schemeClr w14:val="tx1"/>
            </w14:solidFill>
          </w14:textFill>
        </w:rPr>
        <w:t>日</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color w:val="000000" w:themeColor="text1"/>
          <w:sz w:val="24"/>
          <w:szCs w:val="24"/>
          <w:highlight w:val="none"/>
          <w14:textFill>
            <w14:solidFill>
              <w14:schemeClr w14:val="tx1"/>
            </w14:solidFill>
          </w14:textFill>
        </w:rPr>
        <w:t>:</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0</w:t>
      </w:r>
      <w:r>
        <w:rPr>
          <w:rFonts w:hint="eastAsia" w:asciiTheme="minorEastAsia" w:hAnsiTheme="minorEastAsia"/>
          <w:color w:val="000000" w:themeColor="text1"/>
          <w:sz w:val="24"/>
          <w:szCs w:val="24"/>
          <w:highlight w:val="none"/>
          <w14:textFill>
            <w14:solidFill>
              <w14:schemeClr w14:val="tx1"/>
            </w14:solidFill>
          </w14:textFill>
        </w:rPr>
        <w:t>0:00（北京时间）</w:t>
      </w:r>
    </w:p>
    <w:p w14:paraId="6998DB0D">
      <w:pPr>
        <w:pageBreakBefore w:val="0"/>
        <w:widowControl w:val="0"/>
        <w:spacing w:line="500" w:lineRule="exact"/>
        <w:ind w:firstLine="480"/>
        <w:jc w:val="left"/>
      </w:pPr>
      <w:r>
        <w:rPr>
          <w:rFonts w:hint="eastAsia"/>
          <w:sz w:val="24"/>
          <w:szCs w:val="24"/>
        </w:rPr>
        <w:t>开启地点：“苏采云”政府采购交易系统网上开标大厅</w:t>
      </w:r>
    </w:p>
    <w:p w14:paraId="1B197528">
      <w:pPr>
        <w:pStyle w:val="4"/>
        <w:pageBreakBefore w:val="0"/>
        <w:widowControl w:val="0"/>
        <w:spacing w:before="0" w:after="0" w:line="500" w:lineRule="exact"/>
        <w:rPr>
          <w:rFonts w:ascii="黑体" w:hAnsi="黑体" w:eastAsia="黑体"/>
          <w:b w:val="0"/>
        </w:rPr>
      </w:pPr>
      <w:r>
        <w:rPr>
          <w:rFonts w:hint="eastAsia" w:ascii="黑体" w:hAnsi="黑体" w:eastAsia="黑体"/>
          <w:b w:val="0"/>
        </w:rPr>
        <w:t>五、公告期限</w:t>
      </w:r>
      <w:bookmarkStart w:id="19" w:name="_GoBack"/>
      <w:bookmarkEnd w:id="19"/>
    </w:p>
    <w:p w14:paraId="17954856">
      <w:pPr>
        <w:pageBreakBefore w:val="0"/>
        <w:widowControl w:val="0"/>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BEB61CF">
      <w:pPr>
        <w:pStyle w:val="4"/>
        <w:pageBreakBefore w:val="0"/>
        <w:widowControl w:val="0"/>
        <w:spacing w:before="0" w:after="0" w:line="500" w:lineRule="exact"/>
        <w:rPr>
          <w:rFonts w:ascii="黑体" w:hAnsi="黑体" w:eastAsia="黑体"/>
          <w:b w:val="0"/>
        </w:rPr>
      </w:pPr>
      <w:r>
        <w:rPr>
          <w:rFonts w:hint="eastAsia" w:ascii="黑体" w:hAnsi="黑体" w:eastAsia="黑体"/>
          <w:b w:val="0"/>
        </w:rPr>
        <w:t>六、其他补充事宜</w:t>
      </w:r>
    </w:p>
    <w:p w14:paraId="7573B015">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1.本次磋商采购不收取磋商保证金。</w:t>
      </w:r>
    </w:p>
    <w:p w14:paraId="3CDF46CC">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2.本磋商文件中斜体且有下划线部分为实质性要求和条件，由采购人根据实际情况设置，供应商须逐条明确作出满足实质性要求和条件的响应，否则将按无效响应处理。</w:t>
      </w:r>
    </w:p>
    <w:p w14:paraId="5DE6A149">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2D628CE5">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1AFEF36D">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4E72A38F">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自行承担一切损失。</w:t>
      </w:r>
    </w:p>
    <w:p w14:paraId="6E61C39C">
      <w:pPr>
        <w:pStyle w:val="4"/>
        <w:pageBreakBefore w:val="0"/>
        <w:widowControl w:val="0"/>
        <w:spacing w:before="0" w:after="0" w:line="500" w:lineRule="exact"/>
        <w:rPr>
          <w:rFonts w:ascii="黑体" w:hAnsi="黑体" w:eastAsia="黑体"/>
          <w:b w:val="0"/>
        </w:rPr>
      </w:pPr>
      <w:r>
        <w:rPr>
          <w:rFonts w:hint="eastAsia" w:ascii="黑体" w:hAnsi="黑体" w:eastAsia="黑体"/>
          <w:b w:val="0"/>
        </w:rPr>
        <w:t>七、对本次采购提出询问，请按以下方式联系</w:t>
      </w:r>
    </w:p>
    <w:p w14:paraId="15CCA214">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1.采购人信息</w:t>
      </w:r>
    </w:p>
    <w:p w14:paraId="5AE5E872">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名    称：连云港市医疗保险基金管理中心</w:t>
      </w:r>
    </w:p>
    <w:p w14:paraId="45AF7391">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地    址：连云港市海州区苍梧路36号7号楼2楼</w:t>
      </w:r>
    </w:p>
    <w:p w14:paraId="66A99963">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联 系 人：杨女士</w:t>
      </w:r>
    </w:p>
    <w:p w14:paraId="7C597741">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联系电话：0518-85685955</w:t>
      </w:r>
    </w:p>
    <w:p w14:paraId="41DB09CC">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2.采购代理机构信息</w:t>
      </w:r>
    </w:p>
    <w:p w14:paraId="3B433F06">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名    称：连云港市公共资源交易中心</w:t>
      </w:r>
    </w:p>
    <w:p w14:paraId="7A86C2A7">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地    址：连云港市海州区凌洲东路9号2号楼419室</w:t>
      </w:r>
    </w:p>
    <w:p w14:paraId="3E92B43D">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联 系 人：李俊怡</w:t>
      </w:r>
    </w:p>
    <w:p w14:paraId="6C2E47DE">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联系电话：0518-85868290</w:t>
      </w:r>
    </w:p>
    <w:p w14:paraId="6218C200">
      <w:pPr>
        <w:pageBreakBefore w:val="0"/>
        <w:widowControl w:val="0"/>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highlight w:val="none"/>
        </w:rPr>
        <w:t>3.项目联系方式</w:t>
      </w:r>
    </w:p>
    <w:p w14:paraId="6C587B68">
      <w:pPr>
        <w:pageBreakBefore w:val="0"/>
        <w:widowControl w:val="0"/>
        <w:spacing w:line="500" w:lineRule="exact"/>
        <w:ind w:firstLine="480"/>
        <w:rPr>
          <w:rFonts w:hint="eastAsia" w:asciiTheme="minorEastAsia" w:hAnsiTheme="minorEastAsia"/>
          <w:sz w:val="24"/>
          <w:szCs w:val="24"/>
        </w:rPr>
      </w:pPr>
      <w:r>
        <w:rPr>
          <w:rFonts w:hint="eastAsia" w:asciiTheme="minorEastAsia" w:hAnsiTheme="minorEastAsia"/>
          <w:sz w:val="24"/>
          <w:szCs w:val="24"/>
        </w:rPr>
        <w:t>项目联系人：李俊怡</w:t>
      </w:r>
    </w:p>
    <w:p w14:paraId="166EFECE">
      <w:pPr>
        <w:pageBreakBefore w:val="0"/>
        <w:widowControl w:val="0"/>
        <w:spacing w:line="500" w:lineRule="exact"/>
        <w:ind w:firstLine="480"/>
        <w:jc w:val="left"/>
        <w:rPr>
          <w:rFonts w:asciiTheme="minorEastAsia" w:hAnsiTheme="minorEastAsia"/>
          <w:sz w:val="24"/>
          <w:szCs w:val="24"/>
        </w:rPr>
      </w:pPr>
      <w:r>
        <w:rPr>
          <w:rFonts w:hint="eastAsia" w:asciiTheme="minorEastAsia" w:hAnsiTheme="minorEastAsia"/>
          <w:sz w:val="24"/>
          <w:szCs w:val="24"/>
        </w:rPr>
        <w:t>电      话：0518-85868290</w:t>
      </w:r>
    </w:p>
    <w:p w14:paraId="3C921D8D">
      <w:pPr>
        <w:widowControl/>
        <w:jc w:val="left"/>
        <w:rPr>
          <w:rFonts w:ascii="黑体" w:hAnsi="黑体" w:eastAsia="黑体"/>
          <w:bCs/>
          <w:sz w:val="44"/>
          <w:szCs w:val="44"/>
        </w:rPr>
      </w:pPr>
      <w:bookmarkStart w:id="1" w:name="_Toc161932692"/>
      <w:r>
        <w:rPr>
          <w:rFonts w:ascii="黑体" w:hAnsi="黑体" w:eastAsia="黑体"/>
          <w:b/>
        </w:rPr>
        <w:br w:type="page" w:clear="all"/>
      </w:r>
    </w:p>
    <w:p w14:paraId="40537843">
      <w:pPr>
        <w:pStyle w:val="3"/>
        <w:spacing w:line="360" w:lineRule="auto"/>
        <w:jc w:val="center"/>
        <w:rPr>
          <w:rFonts w:ascii="黑体" w:hAnsi="黑体" w:eastAsia="黑体"/>
          <w:b w:val="0"/>
        </w:rPr>
      </w:pPr>
      <w:r>
        <w:rPr>
          <w:rFonts w:hint="eastAsia" w:ascii="黑体" w:hAnsi="黑体" w:eastAsia="黑体"/>
          <w:b w:val="0"/>
        </w:rPr>
        <w:t>第二章  供应商须知</w:t>
      </w:r>
      <w:bookmarkEnd w:id="1"/>
    </w:p>
    <w:p w14:paraId="10A9E81D">
      <w:pPr>
        <w:pStyle w:val="4"/>
        <w:spacing w:before="0" w:after="0" w:line="500" w:lineRule="exact"/>
        <w:rPr>
          <w:rFonts w:ascii="黑体" w:hAnsi="黑体" w:eastAsia="黑体"/>
          <w:b w:val="0"/>
        </w:rPr>
      </w:pPr>
      <w:r>
        <w:rPr>
          <w:rFonts w:hint="eastAsia" w:ascii="黑体" w:hAnsi="黑体" w:eastAsia="黑体"/>
          <w:b w:val="0"/>
        </w:rPr>
        <w:t>一、总则</w:t>
      </w:r>
    </w:p>
    <w:p w14:paraId="1FE77597">
      <w:pPr>
        <w:pStyle w:val="18"/>
        <w:spacing w:line="500" w:lineRule="exact"/>
        <w:ind w:firstLine="482"/>
        <w:rPr>
          <w:rFonts w:hAnsi="宋体"/>
          <w:b/>
          <w:sz w:val="24"/>
          <w:szCs w:val="24"/>
        </w:rPr>
      </w:pPr>
      <w:r>
        <w:rPr>
          <w:rFonts w:hint="eastAsia" w:hAnsi="宋体"/>
          <w:b/>
          <w:sz w:val="24"/>
          <w:szCs w:val="24"/>
        </w:rPr>
        <w:t>1、采购方式</w:t>
      </w:r>
    </w:p>
    <w:p w14:paraId="0EF27215">
      <w:pPr>
        <w:spacing w:line="500" w:lineRule="exact"/>
        <w:ind w:firstLine="480"/>
        <w:rPr>
          <w:rFonts w:ascii="宋体" w:hAnsi="宋体"/>
          <w:sz w:val="24"/>
          <w:szCs w:val="24"/>
        </w:rPr>
      </w:pPr>
      <w:r>
        <w:rPr>
          <w:rFonts w:hint="eastAsia" w:ascii="宋体" w:hAnsi="宋体"/>
          <w:sz w:val="24"/>
          <w:szCs w:val="24"/>
        </w:rPr>
        <w:t>1.1 本次政府采购活动采取竞争性磋商（以下简称磋商）方式，本磋商文件仅适用于磋商公告中所述项目。</w:t>
      </w:r>
    </w:p>
    <w:p w14:paraId="63029238">
      <w:pPr>
        <w:pStyle w:val="18"/>
        <w:spacing w:line="500" w:lineRule="exact"/>
        <w:ind w:firstLine="482"/>
        <w:rPr>
          <w:rFonts w:hAnsi="宋体"/>
          <w:b/>
          <w:sz w:val="24"/>
          <w:szCs w:val="24"/>
        </w:rPr>
      </w:pPr>
      <w:r>
        <w:rPr>
          <w:rFonts w:hint="eastAsia" w:hAnsi="宋体"/>
          <w:b/>
          <w:sz w:val="24"/>
          <w:szCs w:val="24"/>
        </w:rPr>
        <w:t>2、合格的供应商</w:t>
      </w:r>
    </w:p>
    <w:p w14:paraId="46AE92D2">
      <w:pPr>
        <w:spacing w:line="500" w:lineRule="exact"/>
        <w:ind w:firstLine="480"/>
        <w:rPr>
          <w:rFonts w:ascii="宋体" w:hAnsi="宋体"/>
          <w:sz w:val="24"/>
          <w:szCs w:val="24"/>
        </w:rPr>
      </w:pPr>
      <w:r>
        <w:rPr>
          <w:rFonts w:hint="eastAsia" w:ascii="宋体" w:hAnsi="宋体"/>
          <w:sz w:val="24"/>
          <w:szCs w:val="24"/>
        </w:rPr>
        <w:t>2.1 满足磋商公告中申请人的资格要求的规定。</w:t>
      </w:r>
    </w:p>
    <w:p w14:paraId="07BECD3F">
      <w:pPr>
        <w:spacing w:line="500" w:lineRule="exact"/>
        <w:ind w:firstLine="480"/>
        <w:rPr>
          <w:rFonts w:ascii="宋体" w:hAnsi="宋体"/>
          <w:sz w:val="24"/>
          <w:szCs w:val="24"/>
        </w:rPr>
      </w:pPr>
      <w:r>
        <w:rPr>
          <w:rFonts w:hint="eastAsia" w:ascii="宋体" w:hAnsi="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311CF3E">
      <w:pPr>
        <w:spacing w:line="500" w:lineRule="exact"/>
        <w:ind w:firstLine="480"/>
        <w:rPr>
          <w:rFonts w:ascii="宋体" w:hAnsi="宋体"/>
          <w:sz w:val="24"/>
          <w:szCs w:val="24"/>
        </w:rPr>
      </w:pPr>
      <w:r>
        <w:rPr>
          <w:rFonts w:hint="eastAsia" w:ascii="宋体" w:hAnsi="宋体"/>
          <w:sz w:val="24"/>
          <w:szCs w:val="24"/>
        </w:rPr>
        <w:t>2.3 满足本磋商文件全部实质性要求和条件的规定。</w:t>
      </w:r>
    </w:p>
    <w:p w14:paraId="726D07B4">
      <w:pPr>
        <w:spacing w:line="500" w:lineRule="exact"/>
        <w:ind w:firstLine="480"/>
        <w:rPr>
          <w:rFonts w:ascii="宋体" w:hAnsi="宋体"/>
          <w:sz w:val="24"/>
          <w:szCs w:val="24"/>
        </w:rPr>
      </w:pPr>
      <w:r>
        <w:rPr>
          <w:rFonts w:hint="eastAsia" w:ascii="宋体" w:hAnsi="宋体"/>
          <w:sz w:val="24"/>
          <w:szCs w:val="24"/>
        </w:rPr>
        <w:t>2.4 符合上述条件的供应商应承担参与磋商采购及履约过程应承担的全部责任与义务。</w:t>
      </w:r>
    </w:p>
    <w:p w14:paraId="0BEBB67C">
      <w:pPr>
        <w:pStyle w:val="18"/>
        <w:spacing w:line="500" w:lineRule="exact"/>
        <w:ind w:firstLine="482"/>
        <w:rPr>
          <w:rFonts w:hAnsi="宋体"/>
          <w:b/>
          <w:sz w:val="24"/>
          <w:szCs w:val="24"/>
        </w:rPr>
      </w:pPr>
      <w:r>
        <w:rPr>
          <w:rFonts w:hint="eastAsia" w:hAnsi="宋体"/>
          <w:b/>
          <w:sz w:val="24"/>
          <w:szCs w:val="24"/>
        </w:rPr>
        <w:t>3、适用法律</w:t>
      </w:r>
    </w:p>
    <w:p w14:paraId="095B7E82">
      <w:pPr>
        <w:spacing w:line="500" w:lineRule="exact"/>
        <w:ind w:firstLine="480"/>
        <w:rPr>
          <w:rFonts w:ascii="宋体" w:hAnsi="宋体"/>
          <w:sz w:val="24"/>
          <w:szCs w:val="24"/>
        </w:rPr>
      </w:pPr>
      <w:r>
        <w:rPr>
          <w:rFonts w:hint="eastAsia" w:ascii="宋体" w:hAnsi="宋体"/>
          <w:sz w:val="24"/>
          <w:szCs w:val="24"/>
        </w:rPr>
        <w:t>3.1 本次磋商采购及由此产生的合同受中华人民共和国有关的法律法规制约和保护。</w:t>
      </w:r>
    </w:p>
    <w:p w14:paraId="19831A42">
      <w:pPr>
        <w:pStyle w:val="18"/>
        <w:spacing w:line="500" w:lineRule="exact"/>
        <w:ind w:firstLine="482"/>
        <w:rPr>
          <w:rFonts w:hAnsi="宋体"/>
          <w:b/>
          <w:sz w:val="24"/>
          <w:szCs w:val="24"/>
        </w:rPr>
      </w:pPr>
      <w:r>
        <w:rPr>
          <w:rFonts w:hint="eastAsia" w:hAnsi="宋体"/>
          <w:b/>
          <w:sz w:val="24"/>
          <w:szCs w:val="24"/>
        </w:rPr>
        <w:t>4、磋商费用</w:t>
      </w:r>
    </w:p>
    <w:p w14:paraId="23069F06">
      <w:pPr>
        <w:spacing w:line="500" w:lineRule="exact"/>
        <w:ind w:firstLine="480"/>
        <w:rPr>
          <w:rFonts w:ascii="宋体" w:hAnsi="宋体"/>
          <w:sz w:val="24"/>
          <w:szCs w:val="24"/>
        </w:rPr>
      </w:pPr>
      <w:r>
        <w:rPr>
          <w:rFonts w:hint="eastAsia" w:ascii="宋体" w:hAnsi="宋体"/>
          <w:sz w:val="24"/>
          <w:szCs w:val="24"/>
        </w:rPr>
        <w:t>4.1 供应商应自行承担所有与参与磋商采购活动有关的费用，无论磋商采购过程中的做法和结果如何，采购人和连云港市公共资源交易中心（以下简称交易中心）在任何情况下均无义务和责任承担这些费用。</w:t>
      </w:r>
    </w:p>
    <w:p w14:paraId="61E5E37A">
      <w:pPr>
        <w:spacing w:line="500" w:lineRule="exact"/>
        <w:ind w:firstLine="480"/>
        <w:rPr>
          <w:rFonts w:ascii="宋体" w:hAnsi="宋体"/>
          <w:sz w:val="24"/>
          <w:szCs w:val="24"/>
        </w:rPr>
      </w:pPr>
      <w:r>
        <w:rPr>
          <w:rFonts w:hint="eastAsia" w:ascii="宋体" w:hAnsi="宋体"/>
          <w:sz w:val="24"/>
          <w:szCs w:val="24"/>
        </w:rPr>
        <w:t>4.2 本次磋商采购，采购人和交易中心不收取磋商文件工本费与成交服务费。</w:t>
      </w:r>
    </w:p>
    <w:p w14:paraId="40312F00">
      <w:pPr>
        <w:pStyle w:val="18"/>
        <w:spacing w:line="500" w:lineRule="exact"/>
        <w:ind w:firstLine="482"/>
        <w:rPr>
          <w:rFonts w:hAnsi="宋体"/>
          <w:b/>
          <w:sz w:val="24"/>
          <w:szCs w:val="24"/>
        </w:rPr>
      </w:pPr>
      <w:r>
        <w:rPr>
          <w:rFonts w:hint="eastAsia" w:hAnsi="宋体"/>
          <w:b/>
          <w:sz w:val="24"/>
          <w:szCs w:val="24"/>
        </w:rPr>
        <w:t>5、磋商文件的约束力</w:t>
      </w:r>
    </w:p>
    <w:p w14:paraId="394AF9FA">
      <w:pPr>
        <w:spacing w:line="500" w:lineRule="exact"/>
        <w:ind w:firstLine="480"/>
        <w:rPr>
          <w:rFonts w:ascii="宋体" w:hAnsi="宋体"/>
          <w:sz w:val="24"/>
          <w:szCs w:val="24"/>
        </w:rPr>
      </w:pPr>
      <w:r>
        <w:rPr>
          <w:rFonts w:hint="eastAsia" w:ascii="宋体" w:hAnsi="宋体"/>
          <w:sz w:val="24"/>
          <w:szCs w:val="24"/>
        </w:rPr>
        <w:t>5.1 供应商一旦参与本项目采购活动，即被认为接受了本磋商文件的规定和约束。</w:t>
      </w:r>
    </w:p>
    <w:p w14:paraId="12A212F4">
      <w:pPr>
        <w:pStyle w:val="4"/>
        <w:spacing w:before="0" w:after="0" w:line="500" w:lineRule="exact"/>
        <w:rPr>
          <w:rFonts w:ascii="黑体" w:hAnsi="黑体" w:eastAsia="黑体"/>
          <w:b w:val="0"/>
        </w:rPr>
      </w:pPr>
      <w:r>
        <w:rPr>
          <w:rFonts w:hint="eastAsia" w:ascii="黑体" w:hAnsi="黑体" w:eastAsia="黑体"/>
          <w:b w:val="0"/>
        </w:rPr>
        <w:t>二、磋商文件</w:t>
      </w:r>
    </w:p>
    <w:p w14:paraId="6FC76FAC">
      <w:pPr>
        <w:pStyle w:val="18"/>
        <w:spacing w:line="500" w:lineRule="exact"/>
        <w:ind w:firstLine="482"/>
        <w:rPr>
          <w:rFonts w:hAnsi="宋体"/>
          <w:b/>
          <w:sz w:val="24"/>
          <w:szCs w:val="24"/>
        </w:rPr>
      </w:pPr>
      <w:r>
        <w:rPr>
          <w:rFonts w:hint="eastAsia" w:hAnsi="宋体"/>
          <w:b/>
          <w:sz w:val="24"/>
          <w:szCs w:val="24"/>
        </w:rPr>
        <w:t>6、磋商文件的构成</w:t>
      </w:r>
    </w:p>
    <w:p w14:paraId="45391E2D">
      <w:pPr>
        <w:spacing w:line="500" w:lineRule="exact"/>
        <w:ind w:firstLine="480"/>
        <w:rPr>
          <w:rFonts w:ascii="宋体" w:hAnsi="宋体"/>
          <w:sz w:val="24"/>
          <w:szCs w:val="24"/>
        </w:rPr>
      </w:pPr>
      <w:r>
        <w:rPr>
          <w:rFonts w:hint="eastAsia" w:ascii="宋体" w:hAnsi="宋体"/>
          <w:sz w:val="24"/>
          <w:szCs w:val="24"/>
        </w:rPr>
        <w:t>6.1 磋商文件由以下部分构成：</w:t>
      </w:r>
    </w:p>
    <w:p w14:paraId="124FA9E1">
      <w:pPr>
        <w:spacing w:line="500" w:lineRule="exact"/>
        <w:ind w:firstLine="480"/>
        <w:rPr>
          <w:rFonts w:ascii="宋体" w:hAnsi="宋体"/>
          <w:sz w:val="24"/>
          <w:szCs w:val="24"/>
        </w:rPr>
      </w:pPr>
      <w:r>
        <w:rPr>
          <w:rFonts w:hint="eastAsia" w:ascii="宋体" w:hAnsi="宋体"/>
          <w:sz w:val="24"/>
          <w:szCs w:val="24"/>
        </w:rPr>
        <w:t>（1）磋商邀请</w:t>
      </w:r>
    </w:p>
    <w:p w14:paraId="2419B6BC">
      <w:pPr>
        <w:spacing w:line="500" w:lineRule="exact"/>
        <w:ind w:firstLine="480"/>
        <w:rPr>
          <w:rFonts w:ascii="宋体" w:hAnsi="宋体"/>
          <w:sz w:val="24"/>
          <w:szCs w:val="24"/>
        </w:rPr>
      </w:pPr>
      <w:r>
        <w:rPr>
          <w:rFonts w:hint="eastAsia" w:ascii="宋体" w:hAnsi="宋体"/>
          <w:sz w:val="24"/>
          <w:szCs w:val="24"/>
        </w:rPr>
        <w:t>（2）供应商须知</w:t>
      </w:r>
    </w:p>
    <w:p w14:paraId="10964550">
      <w:pPr>
        <w:spacing w:line="500" w:lineRule="exact"/>
        <w:ind w:firstLine="480"/>
        <w:rPr>
          <w:rFonts w:ascii="宋体" w:hAnsi="宋体"/>
          <w:sz w:val="24"/>
          <w:szCs w:val="24"/>
        </w:rPr>
      </w:pPr>
      <w:r>
        <w:rPr>
          <w:rFonts w:hint="eastAsia" w:ascii="宋体" w:hAnsi="宋体"/>
          <w:sz w:val="24"/>
          <w:szCs w:val="24"/>
        </w:rPr>
        <w:t>（3）合同文本</w:t>
      </w:r>
    </w:p>
    <w:p w14:paraId="7554FB13">
      <w:pPr>
        <w:spacing w:line="500" w:lineRule="exact"/>
        <w:ind w:firstLine="480"/>
        <w:rPr>
          <w:rFonts w:ascii="宋体" w:hAnsi="宋体"/>
          <w:sz w:val="24"/>
          <w:szCs w:val="24"/>
        </w:rPr>
      </w:pPr>
      <w:r>
        <w:rPr>
          <w:rFonts w:hint="eastAsia" w:ascii="宋体" w:hAnsi="宋体"/>
          <w:sz w:val="24"/>
          <w:szCs w:val="24"/>
        </w:rPr>
        <w:t>（4）采购需求</w:t>
      </w:r>
    </w:p>
    <w:p w14:paraId="21531C6C">
      <w:pPr>
        <w:spacing w:line="500" w:lineRule="exact"/>
        <w:ind w:firstLine="480"/>
        <w:rPr>
          <w:rFonts w:ascii="宋体" w:hAnsi="宋体"/>
          <w:sz w:val="24"/>
          <w:szCs w:val="24"/>
        </w:rPr>
      </w:pPr>
      <w:r>
        <w:rPr>
          <w:rFonts w:hint="eastAsia" w:ascii="宋体" w:hAnsi="宋体"/>
          <w:sz w:val="24"/>
          <w:szCs w:val="24"/>
        </w:rPr>
        <w:t>（5）评审方法与评审标准</w:t>
      </w:r>
    </w:p>
    <w:p w14:paraId="797E767E">
      <w:pPr>
        <w:spacing w:line="500" w:lineRule="exact"/>
        <w:ind w:firstLine="480"/>
        <w:rPr>
          <w:rFonts w:ascii="宋体" w:hAnsi="宋体"/>
          <w:sz w:val="24"/>
          <w:szCs w:val="24"/>
        </w:rPr>
      </w:pPr>
      <w:r>
        <w:rPr>
          <w:rFonts w:hint="eastAsia" w:ascii="宋体" w:hAnsi="宋体"/>
          <w:sz w:val="24"/>
          <w:szCs w:val="24"/>
        </w:rPr>
        <w:t>（6）响应文件格式</w:t>
      </w:r>
    </w:p>
    <w:p w14:paraId="3625ACDA">
      <w:pPr>
        <w:spacing w:line="500" w:lineRule="exact"/>
        <w:ind w:firstLine="480"/>
        <w:rPr>
          <w:rFonts w:ascii="宋体" w:hAnsi="宋体"/>
          <w:sz w:val="24"/>
          <w:szCs w:val="24"/>
        </w:rPr>
      </w:pPr>
      <w:r>
        <w:rPr>
          <w:rFonts w:hint="eastAsia" w:ascii="宋体" w:hAnsi="宋体"/>
          <w:sz w:val="24"/>
          <w:szCs w:val="24"/>
        </w:rPr>
        <w:t>请仔细检查磋商文件是否齐全，如有缺漏请立即与交易中心联系解决。</w:t>
      </w:r>
    </w:p>
    <w:p w14:paraId="793266D0">
      <w:pPr>
        <w:pStyle w:val="18"/>
        <w:spacing w:line="500" w:lineRule="exact"/>
        <w:ind w:firstLine="482"/>
        <w:rPr>
          <w:rFonts w:hAnsi="宋体"/>
          <w:b/>
          <w:sz w:val="24"/>
          <w:szCs w:val="24"/>
        </w:rPr>
      </w:pPr>
      <w:r>
        <w:rPr>
          <w:rFonts w:hint="eastAsia" w:hAnsi="宋体"/>
          <w:b/>
          <w:sz w:val="24"/>
          <w:szCs w:val="24"/>
        </w:rPr>
        <w:t>7、磋商文件的澄清</w:t>
      </w:r>
    </w:p>
    <w:p w14:paraId="1F3A236B">
      <w:pPr>
        <w:spacing w:line="500" w:lineRule="exact"/>
        <w:ind w:firstLine="480"/>
        <w:rPr>
          <w:rFonts w:ascii="宋体" w:hAnsi="宋体"/>
          <w:sz w:val="24"/>
          <w:szCs w:val="24"/>
        </w:rPr>
      </w:pPr>
      <w:r>
        <w:rPr>
          <w:rFonts w:hint="eastAsia" w:ascii="宋体" w:hAnsi="宋体"/>
          <w:sz w:val="24"/>
          <w:szCs w:val="24"/>
        </w:rPr>
        <w:t>7.1 任何要求对磋商文件进行澄清的供应商，应在提交响应文件截止时间五日前按磋商公告中的通讯地址，以书面形式通知采购人或者交易中心。</w:t>
      </w:r>
    </w:p>
    <w:p w14:paraId="70B7E216">
      <w:pPr>
        <w:pStyle w:val="18"/>
        <w:spacing w:line="500" w:lineRule="exact"/>
        <w:ind w:firstLine="482"/>
        <w:rPr>
          <w:rFonts w:hAnsi="宋体"/>
          <w:b/>
          <w:sz w:val="24"/>
          <w:szCs w:val="24"/>
        </w:rPr>
      </w:pPr>
      <w:r>
        <w:rPr>
          <w:rFonts w:hint="eastAsia" w:hAnsi="宋体"/>
          <w:b/>
          <w:sz w:val="24"/>
          <w:szCs w:val="24"/>
        </w:rPr>
        <w:t>8、磋商文件的修改</w:t>
      </w:r>
    </w:p>
    <w:p w14:paraId="49FC23AA">
      <w:pPr>
        <w:spacing w:line="500" w:lineRule="exact"/>
        <w:ind w:firstLine="480"/>
        <w:rPr>
          <w:rFonts w:ascii="宋体" w:hAnsi="宋体"/>
          <w:sz w:val="24"/>
          <w:szCs w:val="24"/>
        </w:rPr>
      </w:pPr>
      <w:r>
        <w:rPr>
          <w:rFonts w:hint="eastAsia" w:ascii="宋体" w:hAnsi="宋体"/>
          <w:sz w:val="24"/>
          <w:szCs w:val="24"/>
        </w:rPr>
        <w:t>8.1 在响应文件提交截止时间前，采购人和交易中心可以对磋商文件进行修改。</w:t>
      </w:r>
    </w:p>
    <w:p w14:paraId="721F28B8">
      <w:pPr>
        <w:spacing w:line="500" w:lineRule="exact"/>
        <w:ind w:firstLine="480"/>
        <w:rPr>
          <w:rFonts w:ascii="宋体" w:hAnsi="宋体"/>
          <w:sz w:val="24"/>
          <w:szCs w:val="24"/>
        </w:rPr>
      </w:pPr>
      <w:r>
        <w:rPr>
          <w:rFonts w:hint="eastAsia" w:ascii="宋体" w:hAnsi="宋体"/>
          <w:sz w:val="24"/>
          <w:szCs w:val="24"/>
        </w:rPr>
        <w:t>8.2 采购人和交易中心有权按照法定的要求推迟提交响应文件截止时间和开启时间。</w:t>
      </w:r>
    </w:p>
    <w:p w14:paraId="4964C3BD">
      <w:pPr>
        <w:spacing w:line="500" w:lineRule="exact"/>
        <w:ind w:firstLine="480"/>
        <w:rPr>
          <w:rFonts w:ascii="宋体" w:hAnsi="宋体"/>
          <w:sz w:val="24"/>
          <w:szCs w:val="24"/>
        </w:rPr>
      </w:pPr>
      <w:r>
        <w:rPr>
          <w:rFonts w:hint="eastAsia" w:ascii="宋体" w:hAnsi="宋体"/>
          <w:sz w:val="24"/>
          <w:szCs w:val="24"/>
        </w:rPr>
        <w:t>8.3 磋商文件的修改将在江苏政府采购网公布，补充文件将作为磋商文件的组成部分，并对供应商具有约束力。</w:t>
      </w:r>
    </w:p>
    <w:p w14:paraId="2B43A779">
      <w:pPr>
        <w:pStyle w:val="4"/>
        <w:spacing w:before="0" w:after="0" w:line="500" w:lineRule="exact"/>
        <w:rPr>
          <w:rFonts w:ascii="黑体" w:hAnsi="黑体" w:eastAsia="黑体"/>
          <w:b w:val="0"/>
        </w:rPr>
      </w:pPr>
      <w:r>
        <w:rPr>
          <w:rFonts w:hint="eastAsia" w:ascii="黑体" w:hAnsi="黑体" w:eastAsia="黑体"/>
          <w:b w:val="0"/>
        </w:rPr>
        <w:t>三、响应文件编制</w:t>
      </w:r>
    </w:p>
    <w:p w14:paraId="65FE4D9E">
      <w:pPr>
        <w:pStyle w:val="18"/>
        <w:spacing w:line="500" w:lineRule="exact"/>
        <w:ind w:firstLine="482"/>
        <w:rPr>
          <w:rFonts w:hAnsi="宋体"/>
          <w:b/>
          <w:sz w:val="24"/>
          <w:szCs w:val="24"/>
        </w:rPr>
      </w:pPr>
      <w:r>
        <w:rPr>
          <w:rFonts w:hint="eastAsia" w:hAnsi="宋体"/>
          <w:b/>
          <w:sz w:val="24"/>
          <w:szCs w:val="24"/>
        </w:rPr>
        <w:t>9、响应文件编写注意事项</w:t>
      </w:r>
    </w:p>
    <w:p w14:paraId="2BED704B">
      <w:pPr>
        <w:spacing w:line="500" w:lineRule="exact"/>
        <w:ind w:firstLine="480"/>
        <w:rPr>
          <w:rFonts w:ascii="宋体" w:hAnsi="宋体"/>
          <w:sz w:val="24"/>
          <w:szCs w:val="24"/>
        </w:rPr>
      </w:pPr>
      <w:r>
        <w:rPr>
          <w:rFonts w:hint="eastAsia" w:ascii="宋体" w:hAnsi="宋体"/>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0A057BCC">
      <w:pPr>
        <w:spacing w:line="500" w:lineRule="exact"/>
        <w:ind w:firstLine="480"/>
        <w:rPr>
          <w:rFonts w:hint="eastAsia" w:ascii="宋体" w:hAnsi="宋体"/>
          <w:sz w:val="24"/>
          <w:szCs w:val="24"/>
        </w:rPr>
      </w:pPr>
      <w:r>
        <w:rPr>
          <w:rFonts w:hint="eastAsia" w:ascii="宋体" w:hAnsi="宋体"/>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4E60785E">
      <w:pPr>
        <w:pageBreakBefore w:val="0"/>
        <w:spacing w:line="500" w:lineRule="exact"/>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9.3根据关于印发《连云港市本级优化政府采购领域营商环境2026年重点举措》的通知（连采购〔2026〕11号）规定，自2026年4月1日起，针对市本级全部集中采购项目实施暗标盲评。</w:t>
      </w:r>
    </w:p>
    <w:p w14:paraId="18C81D3E">
      <w:pPr>
        <w:pageBreakBefore w:val="0"/>
        <w:spacing w:line="500" w:lineRule="exact"/>
        <w:ind w:firstLine="480"/>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本项目评审因素中技术（方案）部分采用暗标评审。要求如下：</w:t>
      </w:r>
      <w:r>
        <w:rPr>
          <w:rFonts w:hint="eastAsia" w:ascii="宋体" w:hAnsi="宋体" w:eastAsia="宋体" w:cs="宋体"/>
          <w:b w:val="0"/>
          <w:bCs/>
          <w:color w:val="000000"/>
          <w:sz w:val="24"/>
          <w:szCs w:val="24"/>
          <w:highlight w:val="none"/>
        </w:rPr>
        <w:t>方案内容、文字</w:t>
      </w:r>
      <w:r>
        <w:rPr>
          <w:rFonts w:hint="eastAsia" w:ascii="宋体" w:hAnsi="宋体" w:eastAsia="宋体" w:cs="宋体"/>
          <w:b w:val="0"/>
          <w:bCs/>
          <w:color w:val="000000"/>
          <w:sz w:val="24"/>
          <w:szCs w:val="24"/>
          <w:highlight w:val="none"/>
          <w:lang w:eastAsia="zh-CN"/>
        </w:rPr>
        <w:t>、各类型图表、框图</w:t>
      </w:r>
      <w:r>
        <w:rPr>
          <w:rFonts w:hint="eastAsia" w:ascii="宋体" w:hAnsi="宋体" w:eastAsia="宋体" w:cs="宋体"/>
          <w:b w:val="0"/>
          <w:bCs/>
          <w:color w:val="000000"/>
          <w:sz w:val="24"/>
          <w:szCs w:val="24"/>
          <w:highlight w:val="none"/>
        </w:rPr>
        <w:t>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独享的企业标准或编号等内容</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相关人员姓名应以职务或职称代替。</w:t>
      </w:r>
    </w:p>
    <w:p w14:paraId="75A65E5A">
      <w:pPr>
        <w:keepNext w:val="0"/>
        <w:keepLines w:val="0"/>
        <w:pageBreakBefore w:val="0"/>
        <w:widowControl/>
        <w:numPr>
          <w:ilvl w:val="0"/>
          <w:numId w:val="0"/>
        </w:numPr>
        <w:spacing w:line="500" w:lineRule="exact"/>
        <w:ind w:firstLine="480"/>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需按照</w:t>
      </w:r>
      <w:r>
        <w:rPr>
          <w:rFonts w:hint="eastAsia" w:ascii="宋体" w:hAnsi="宋体" w:eastAsia="宋体" w:cs="宋体"/>
          <w:b w:val="0"/>
          <w:bCs/>
          <w:color w:val="000000"/>
          <w:sz w:val="24"/>
          <w:szCs w:val="24"/>
          <w:highlight w:val="none"/>
          <w:lang w:val="en-US" w:eastAsia="zh-CN"/>
        </w:rPr>
        <w:t>上述</w:t>
      </w:r>
      <w:r>
        <w:rPr>
          <w:rFonts w:hint="eastAsia" w:ascii="宋体" w:hAnsi="宋体" w:eastAsia="宋体" w:cs="宋体"/>
          <w:b w:val="0"/>
          <w:bCs/>
          <w:color w:val="000000"/>
          <w:sz w:val="24"/>
          <w:szCs w:val="24"/>
          <w:highlight w:val="none"/>
        </w:rPr>
        <w:t>要求编制方案，未按要求编制的本项不得分。</w:t>
      </w:r>
    </w:p>
    <w:p w14:paraId="0E161CA0">
      <w:pPr>
        <w:pStyle w:val="18"/>
        <w:spacing w:line="500" w:lineRule="exact"/>
        <w:ind w:firstLine="482"/>
        <w:rPr>
          <w:rFonts w:hAnsi="宋体"/>
          <w:b/>
          <w:sz w:val="24"/>
          <w:szCs w:val="24"/>
        </w:rPr>
      </w:pPr>
      <w:r>
        <w:rPr>
          <w:rFonts w:hint="eastAsia" w:hAnsi="宋体"/>
          <w:b/>
          <w:sz w:val="24"/>
          <w:szCs w:val="24"/>
        </w:rPr>
        <w:t>10、响应文件的语言及度量衡单位</w:t>
      </w:r>
    </w:p>
    <w:p w14:paraId="26A4F536">
      <w:pPr>
        <w:spacing w:line="500" w:lineRule="exact"/>
        <w:ind w:firstLine="480"/>
        <w:rPr>
          <w:rFonts w:ascii="宋体" w:hAnsi="宋体"/>
          <w:sz w:val="24"/>
          <w:szCs w:val="24"/>
        </w:rPr>
      </w:pPr>
      <w:r>
        <w:rPr>
          <w:rFonts w:hint="eastAsia" w:ascii="宋体" w:hAnsi="宋体"/>
          <w:sz w:val="24"/>
          <w:szCs w:val="24"/>
        </w:rPr>
        <w:t>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26721308">
      <w:pPr>
        <w:spacing w:line="500" w:lineRule="exact"/>
        <w:ind w:firstLine="480"/>
        <w:rPr>
          <w:rFonts w:ascii="宋体" w:hAnsi="宋体"/>
          <w:sz w:val="24"/>
          <w:szCs w:val="24"/>
        </w:rPr>
      </w:pPr>
      <w:r>
        <w:rPr>
          <w:rFonts w:hint="eastAsia" w:ascii="宋体" w:hAnsi="宋体"/>
          <w:sz w:val="24"/>
          <w:szCs w:val="24"/>
        </w:rPr>
        <w:t>10.2 除技术性能另有规定外，响应文件所使用的度量衡单位，均须采用国家法定计量单位。</w:t>
      </w:r>
    </w:p>
    <w:p w14:paraId="136F49DB">
      <w:pPr>
        <w:pStyle w:val="18"/>
        <w:spacing w:line="500" w:lineRule="exact"/>
        <w:ind w:firstLine="482"/>
        <w:rPr>
          <w:rFonts w:hAnsi="宋体"/>
          <w:b/>
          <w:sz w:val="24"/>
          <w:szCs w:val="24"/>
        </w:rPr>
      </w:pPr>
      <w:r>
        <w:rPr>
          <w:rFonts w:hint="eastAsia" w:hAnsi="宋体"/>
          <w:b/>
          <w:sz w:val="24"/>
          <w:szCs w:val="24"/>
        </w:rPr>
        <w:t>11、响应文件的构成</w:t>
      </w:r>
    </w:p>
    <w:p w14:paraId="78E341AA">
      <w:pPr>
        <w:spacing w:line="500" w:lineRule="exact"/>
        <w:ind w:firstLine="480"/>
        <w:rPr>
          <w:rFonts w:ascii="宋体" w:hAnsi="宋体"/>
          <w:sz w:val="24"/>
          <w:szCs w:val="24"/>
        </w:rPr>
      </w:pPr>
      <w:r>
        <w:rPr>
          <w:rFonts w:hint="eastAsia" w:ascii="宋体" w:hAnsi="宋体"/>
          <w:sz w:val="24"/>
          <w:szCs w:val="24"/>
        </w:rPr>
        <w:t>11.1 供应商编写的响应文件应包括资格证明文件、符合性证明文件、分项报价表、技术要求响应及偏离表、商务要求响应及偏离表、其他证明文件、磋商响应函等部分。</w:t>
      </w:r>
    </w:p>
    <w:p w14:paraId="19C7EDBF">
      <w:pPr>
        <w:spacing w:line="500" w:lineRule="exact"/>
        <w:ind w:firstLine="480"/>
        <w:rPr>
          <w:rFonts w:ascii="宋体" w:hAnsi="宋体"/>
          <w:sz w:val="24"/>
          <w:szCs w:val="24"/>
        </w:rPr>
      </w:pPr>
      <w:r>
        <w:rPr>
          <w:rFonts w:hint="eastAsia" w:ascii="宋体" w:hAnsi="宋体"/>
          <w:sz w:val="24"/>
          <w:szCs w:val="24"/>
        </w:rPr>
        <w:t>11.2 如响应文件制作工具中格式和内容与江苏政府采购网发布的磋商文件不一致，请以江苏政府采购网发布的磋商文件为准。</w:t>
      </w:r>
    </w:p>
    <w:p w14:paraId="5D6F707D">
      <w:pPr>
        <w:spacing w:line="500" w:lineRule="exact"/>
        <w:ind w:firstLine="480"/>
        <w:rPr>
          <w:rFonts w:ascii="宋体" w:hAnsi="宋体"/>
          <w:sz w:val="24"/>
          <w:szCs w:val="24"/>
        </w:rPr>
      </w:pPr>
      <w:r>
        <w:rPr>
          <w:rFonts w:hint="eastAsia" w:ascii="宋体" w:hAnsi="宋体"/>
          <w:sz w:val="24"/>
          <w:szCs w:val="24"/>
        </w:rPr>
        <w:t>11.3 特别提醒供应商，混乱的编排导致响应文件被误读或竞争性磋商小组（以下简称磋商小组）查找不到有效文件是供应商的风险。</w:t>
      </w:r>
    </w:p>
    <w:p w14:paraId="1CBE416D">
      <w:pPr>
        <w:pStyle w:val="18"/>
        <w:spacing w:line="500" w:lineRule="exact"/>
        <w:ind w:firstLine="482"/>
        <w:rPr>
          <w:rFonts w:hAnsi="宋体"/>
          <w:b/>
          <w:sz w:val="24"/>
          <w:szCs w:val="24"/>
        </w:rPr>
      </w:pPr>
      <w:r>
        <w:rPr>
          <w:rFonts w:hint="eastAsia" w:hAnsi="宋体"/>
          <w:b/>
          <w:sz w:val="24"/>
          <w:szCs w:val="24"/>
        </w:rPr>
        <w:t>12、证明供应商及响应标的符合磋商文件规定的文件</w:t>
      </w:r>
    </w:p>
    <w:p w14:paraId="4181A53D">
      <w:pPr>
        <w:spacing w:line="500" w:lineRule="exact"/>
        <w:ind w:firstLine="480"/>
        <w:rPr>
          <w:rFonts w:ascii="宋体" w:hAnsi="宋体"/>
          <w:sz w:val="24"/>
          <w:szCs w:val="24"/>
        </w:rPr>
      </w:pPr>
      <w:r>
        <w:rPr>
          <w:rFonts w:hint="eastAsia" w:ascii="宋体" w:hAnsi="宋体"/>
          <w:sz w:val="24"/>
          <w:szCs w:val="24"/>
        </w:rPr>
        <w:t>12.1 供应商应按照磋商文件要求提交证明文件，证明其及响应标的符合磋商文件规定。</w:t>
      </w:r>
    </w:p>
    <w:p w14:paraId="6325F015">
      <w:pPr>
        <w:spacing w:line="500" w:lineRule="exact"/>
        <w:ind w:firstLine="480"/>
        <w:rPr>
          <w:rFonts w:ascii="宋体" w:hAnsi="宋体"/>
          <w:sz w:val="24"/>
          <w:szCs w:val="24"/>
        </w:rPr>
      </w:pPr>
      <w:r>
        <w:rPr>
          <w:rFonts w:hint="eastAsia" w:ascii="宋体" w:hAnsi="宋体"/>
          <w:sz w:val="24"/>
          <w:szCs w:val="24"/>
        </w:rPr>
        <w:t>12.2 磋商文件对证明文件无明确形式要求的，证明文件可以以文字资料、图纸和数据等形式提交。</w:t>
      </w:r>
    </w:p>
    <w:p w14:paraId="49BBF115">
      <w:pPr>
        <w:spacing w:line="500" w:lineRule="exact"/>
        <w:ind w:firstLine="480"/>
        <w:rPr>
          <w:rFonts w:ascii="宋体" w:hAnsi="宋体"/>
          <w:sz w:val="24"/>
          <w:szCs w:val="24"/>
        </w:rPr>
      </w:pPr>
      <w:r>
        <w:rPr>
          <w:rFonts w:hint="eastAsia" w:ascii="宋体" w:hAnsi="宋体"/>
          <w:sz w:val="24"/>
          <w:szCs w:val="24"/>
        </w:rPr>
        <w:t>12.3 供应商委托代理时应当提交授权委托书，请按磋商文件第六章给定格式及要求填写并附法定代表人（单位负责人）与委托代理人身份证明。</w:t>
      </w:r>
    </w:p>
    <w:p w14:paraId="6629E7D4">
      <w:pPr>
        <w:pStyle w:val="18"/>
        <w:spacing w:line="500" w:lineRule="exact"/>
        <w:ind w:firstLine="482"/>
        <w:rPr>
          <w:rFonts w:hAnsi="宋体"/>
          <w:b/>
          <w:sz w:val="24"/>
          <w:szCs w:val="24"/>
        </w:rPr>
      </w:pPr>
      <w:r>
        <w:rPr>
          <w:rFonts w:hint="eastAsia" w:hAnsi="宋体"/>
          <w:b/>
          <w:sz w:val="24"/>
          <w:szCs w:val="24"/>
        </w:rPr>
        <w:t>13、分项报价表</w:t>
      </w:r>
    </w:p>
    <w:p w14:paraId="10BAE979">
      <w:pPr>
        <w:spacing w:line="500" w:lineRule="exact"/>
        <w:ind w:firstLine="480"/>
        <w:rPr>
          <w:rFonts w:ascii="宋体" w:hAnsi="宋体"/>
          <w:sz w:val="24"/>
          <w:szCs w:val="24"/>
        </w:rPr>
      </w:pPr>
      <w:r>
        <w:rPr>
          <w:rFonts w:hint="eastAsia" w:ascii="宋体" w:hAnsi="宋体"/>
          <w:sz w:val="24"/>
          <w:szCs w:val="24"/>
        </w:rPr>
        <w:t>13.1 供应商应根据响应报价要求在分项报价表中列明各项单价、总价等，未全部列示的作无效响应处理。</w:t>
      </w:r>
    </w:p>
    <w:p w14:paraId="0E1DDFE6">
      <w:pPr>
        <w:spacing w:line="500" w:lineRule="exact"/>
        <w:ind w:firstLine="480"/>
        <w:rPr>
          <w:rFonts w:ascii="宋体" w:hAnsi="宋体"/>
          <w:sz w:val="24"/>
          <w:szCs w:val="24"/>
        </w:rPr>
      </w:pPr>
      <w:r>
        <w:rPr>
          <w:rFonts w:hint="eastAsia" w:ascii="宋体" w:hAnsi="宋体"/>
          <w:sz w:val="24"/>
          <w:szCs w:val="24"/>
        </w:rPr>
        <w:t>13.2 响应文件中的单价和总价无特殊规定的采用人民币报价，以元为单位标注。磋商文件中另有规定的按规定执行。</w:t>
      </w:r>
    </w:p>
    <w:p w14:paraId="0ADD2F92">
      <w:pPr>
        <w:pStyle w:val="18"/>
        <w:spacing w:line="500" w:lineRule="exact"/>
        <w:ind w:firstLine="482"/>
        <w:rPr>
          <w:rFonts w:hAnsi="宋体"/>
          <w:b/>
          <w:sz w:val="24"/>
          <w:szCs w:val="24"/>
        </w:rPr>
      </w:pPr>
      <w:r>
        <w:rPr>
          <w:rFonts w:hint="eastAsia" w:hAnsi="宋体"/>
          <w:b/>
          <w:sz w:val="24"/>
          <w:szCs w:val="24"/>
        </w:rPr>
        <w:t>14、技术要求响应及偏离表、商务要求响应及偏离表</w:t>
      </w:r>
    </w:p>
    <w:p w14:paraId="77985F85">
      <w:pPr>
        <w:spacing w:line="500" w:lineRule="exact"/>
        <w:ind w:firstLine="480"/>
        <w:rPr>
          <w:rFonts w:ascii="宋体" w:hAnsi="宋体"/>
          <w:sz w:val="24"/>
          <w:szCs w:val="24"/>
        </w:rPr>
      </w:pPr>
      <w:r>
        <w:rPr>
          <w:rFonts w:hint="eastAsia" w:ascii="宋体" w:hAnsi="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69DB7FD5">
      <w:pPr>
        <w:spacing w:line="500" w:lineRule="exact"/>
        <w:ind w:firstLine="480"/>
        <w:rPr>
          <w:rFonts w:ascii="宋体" w:hAnsi="宋体"/>
          <w:sz w:val="24"/>
          <w:szCs w:val="24"/>
        </w:rPr>
      </w:pPr>
      <w:r>
        <w:rPr>
          <w:rFonts w:hint="eastAsia" w:ascii="宋体" w:hAnsi="宋体"/>
          <w:sz w:val="24"/>
          <w:szCs w:val="24"/>
        </w:rPr>
        <w:t>14.2 供应商可在响应文件中提供认为需要的其他技术文件或说明。</w:t>
      </w:r>
    </w:p>
    <w:p w14:paraId="2865AE00">
      <w:pPr>
        <w:pStyle w:val="18"/>
        <w:spacing w:line="500" w:lineRule="exact"/>
        <w:ind w:firstLine="482"/>
        <w:rPr>
          <w:rFonts w:hAnsi="宋体"/>
          <w:b/>
          <w:sz w:val="24"/>
          <w:szCs w:val="24"/>
        </w:rPr>
      </w:pPr>
      <w:r>
        <w:rPr>
          <w:rFonts w:hint="eastAsia" w:hAnsi="宋体"/>
          <w:b/>
          <w:sz w:val="24"/>
          <w:szCs w:val="24"/>
        </w:rPr>
        <w:t>15、服务承诺、培训计划、人员安排及其他</w:t>
      </w:r>
    </w:p>
    <w:p w14:paraId="4293D187">
      <w:pPr>
        <w:spacing w:line="500" w:lineRule="exact"/>
        <w:ind w:firstLine="480"/>
        <w:rPr>
          <w:rFonts w:ascii="宋体" w:hAnsi="宋体"/>
          <w:sz w:val="24"/>
          <w:szCs w:val="24"/>
        </w:rPr>
      </w:pPr>
      <w:r>
        <w:rPr>
          <w:rFonts w:hint="eastAsia" w:ascii="宋体" w:hAnsi="宋体"/>
          <w:sz w:val="24"/>
          <w:szCs w:val="24"/>
        </w:rPr>
        <w:t>15.1 供应商应根据磋商文件要求提供有关售后服务的管理制度，售后服务机构的分布情况，售后服务人员的数量、素质、技术水平及售后服务的反应能力等。</w:t>
      </w:r>
    </w:p>
    <w:p w14:paraId="663A0926">
      <w:pPr>
        <w:spacing w:line="500" w:lineRule="exact"/>
        <w:ind w:firstLine="480"/>
        <w:rPr>
          <w:rFonts w:ascii="宋体" w:hAnsi="宋体"/>
          <w:sz w:val="24"/>
          <w:szCs w:val="24"/>
        </w:rPr>
      </w:pPr>
      <w:r>
        <w:rPr>
          <w:rFonts w:hint="eastAsia" w:ascii="宋体" w:hAnsi="宋体"/>
          <w:sz w:val="24"/>
          <w:szCs w:val="24"/>
        </w:rPr>
        <w:t>15.2 供应商应根据磋商文件要求提供培训计划、人员安排等。</w:t>
      </w:r>
    </w:p>
    <w:p w14:paraId="5B9F35C9">
      <w:pPr>
        <w:spacing w:line="500" w:lineRule="exact"/>
        <w:ind w:firstLine="480"/>
        <w:rPr>
          <w:rFonts w:ascii="宋体" w:hAnsi="宋体"/>
          <w:sz w:val="24"/>
          <w:szCs w:val="24"/>
        </w:rPr>
      </w:pPr>
      <w:r>
        <w:rPr>
          <w:rFonts w:hint="eastAsia" w:ascii="宋体" w:hAnsi="宋体"/>
          <w:sz w:val="24"/>
          <w:szCs w:val="24"/>
        </w:rPr>
        <w:t>15.3 供应商应根据磋商文件要求提供响应标的的主要组成部分、功能设计、实现思路及关键技术等。</w:t>
      </w:r>
    </w:p>
    <w:p w14:paraId="190B992B">
      <w:pPr>
        <w:pStyle w:val="18"/>
        <w:spacing w:line="500" w:lineRule="exact"/>
        <w:ind w:firstLine="482"/>
        <w:rPr>
          <w:rFonts w:hAnsi="宋体"/>
          <w:b/>
          <w:sz w:val="24"/>
          <w:szCs w:val="24"/>
        </w:rPr>
      </w:pPr>
      <w:r>
        <w:rPr>
          <w:rFonts w:hint="eastAsia" w:hAnsi="宋体"/>
          <w:b/>
          <w:sz w:val="24"/>
          <w:szCs w:val="24"/>
        </w:rPr>
        <w:t>16、磋商响应函</w:t>
      </w:r>
    </w:p>
    <w:p w14:paraId="72BC92D3">
      <w:pPr>
        <w:spacing w:line="500" w:lineRule="exact"/>
        <w:ind w:firstLine="480"/>
        <w:rPr>
          <w:rFonts w:ascii="宋体" w:hAnsi="宋体"/>
          <w:sz w:val="24"/>
          <w:szCs w:val="24"/>
        </w:rPr>
      </w:pPr>
      <w:r>
        <w:rPr>
          <w:rFonts w:hint="eastAsia" w:ascii="宋体" w:hAnsi="宋体"/>
          <w:sz w:val="24"/>
          <w:szCs w:val="24"/>
        </w:rPr>
        <w:t>16.1 供应商应按照磋商文件提供的格式完整、正确填写磋商响应函。</w:t>
      </w:r>
    </w:p>
    <w:p w14:paraId="3D177AAE">
      <w:pPr>
        <w:pStyle w:val="18"/>
        <w:spacing w:line="500" w:lineRule="exact"/>
        <w:ind w:firstLine="482"/>
        <w:rPr>
          <w:rFonts w:hAnsi="宋体"/>
          <w:b/>
          <w:sz w:val="24"/>
          <w:szCs w:val="24"/>
        </w:rPr>
      </w:pPr>
      <w:r>
        <w:rPr>
          <w:rFonts w:hint="eastAsia" w:hAnsi="宋体"/>
          <w:b/>
          <w:sz w:val="24"/>
          <w:szCs w:val="24"/>
        </w:rPr>
        <w:t>17、磋商有效期</w:t>
      </w:r>
    </w:p>
    <w:p w14:paraId="42ECA397">
      <w:pPr>
        <w:spacing w:line="500" w:lineRule="exact"/>
        <w:ind w:firstLine="480"/>
        <w:rPr>
          <w:rFonts w:ascii="宋体" w:hAnsi="宋体"/>
          <w:sz w:val="24"/>
          <w:szCs w:val="24"/>
        </w:rPr>
      </w:pPr>
      <w:r>
        <w:rPr>
          <w:rFonts w:hint="eastAsia" w:ascii="宋体" w:hAnsi="宋体"/>
          <w:sz w:val="24"/>
          <w:szCs w:val="24"/>
        </w:rPr>
        <w:t>17.1 磋商有效期为磋商文件规定的开启之日后六十（60）天。磋商有效期比规定短的将被视为未实质性响应磋商文件而予以拒绝。</w:t>
      </w:r>
    </w:p>
    <w:p w14:paraId="0E9AA71D">
      <w:pPr>
        <w:spacing w:line="500" w:lineRule="exact"/>
        <w:ind w:firstLine="480"/>
        <w:rPr>
          <w:rFonts w:ascii="宋体" w:hAnsi="宋体"/>
          <w:sz w:val="24"/>
          <w:szCs w:val="24"/>
        </w:rPr>
      </w:pPr>
      <w:r>
        <w:rPr>
          <w:rFonts w:hint="eastAsia" w:ascii="宋体" w:hAnsi="宋体"/>
          <w:sz w:val="24"/>
          <w:szCs w:val="24"/>
        </w:rPr>
        <w:t>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0FA94B08">
      <w:pPr>
        <w:pStyle w:val="4"/>
        <w:spacing w:before="0" w:after="0" w:line="500" w:lineRule="exact"/>
        <w:rPr>
          <w:rFonts w:ascii="黑体" w:hAnsi="黑体" w:eastAsia="黑体"/>
          <w:b w:val="0"/>
        </w:rPr>
      </w:pPr>
      <w:r>
        <w:rPr>
          <w:rFonts w:hint="eastAsia" w:ascii="黑体" w:hAnsi="黑体" w:eastAsia="黑体"/>
          <w:b w:val="0"/>
        </w:rPr>
        <w:t>四、响应文件提交</w:t>
      </w:r>
    </w:p>
    <w:p w14:paraId="1CDF140F">
      <w:pPr>
        <w:pStyle w:val="18"/>
        <w:spacing w:line="500" w:lineRule="exact"/>
        <w:ind w:firstLine="482"/>
        <w:rPr>
          <w:rFonts w:hAnsi="宋体"/>
          <w:b/>
          <w:sz w:val="24"/>
          <w:szCs w:val="24"/>
        </w:rPr>
      </w:pPr>
      <w:r>
        <w:rPr>
          <w:rFonts w:hint="eastAsia" w:hAnsi="宋体"/>
          <w:b/>
          <w:sz w:val="24"/>
          <w:szCs w:val="24"/>
        </w:rPr>
        <w:t>18、电子响应文件的提交</w:t>
      </w:r>
    </w:p>
    <w:p w14:paraId="07F8BF47">
      <w:pPr>
        <w:spacing w:line="500" w:lineRule="exact"/>
        <w:ind w:firstLine="480"/>
        <w:rPr>
          <w:rFonts w:ascii="宋体" w:hAnsi="宋体"/>
          <w:sz w:val="24"/>
          <w:szCs w:val="24"/>
        </w:rPr>
      </w:pPr>
      <w:r>
        <w:rPr>
          <w:rFonts w:hint="eastAsia" w:ascii="宋体" w:hAnsi="宋体"/>
          <w:sz w:val="24"/>
          <w:szCs w:val="24"/>
        </w:rPr>
        <w:t>18.1 供应商应当按照《操作手册》规定，在响应文件提交截止时间前制作并提交（上传）电子响应文件。</w:t>
      </w:r>
    </w:p>
    <w:p w14:paraId="39B3342C">
      <w:pPr>
        <w:pStyle w:val="18"/>
        <w:spacing w:line="500" w:lineRule="exact"/>
        <w:ind w:firstLine="482"/>
        <w:rPr>
          <w:rFonts w:hAnsi="宋体"/>
          <w:b/>
          <w:sz w:val="24"/>
          <w:szCs w:val="24"/>
        </w:rPr>
      </w:pPr>
      <w:r>
        <w:rPr>
          <w:rFonts w:hint="eastAsia" w:hAnsi="宋体"/>
          <w:b/>
          <w:sz w:val="24"/>
          <w:szCs w:val="24"/>
        </w:rPr>
        <w:t>19、提交响应文件截止时间</w:t>
      </w:r>
    </w:p>
    <w:p w14:paraId="15CBACC3">
      <w:pPr>
        <w:spacing w:line="500" w:lineRule="exact"/>
        <w:ind w:firstLine="480"/>
        <w:rPr>
          <w:rFonts w:ascii="宋体" w:hAnsi="宋体"/>
          <w:sz w:val="24"/>
          <w:szCs w:val="24"/>
        </w:rPr>
      </w:pPr>
      <w:r>
        <w:rPr>
          <w:rFonts w:hint="eastAsia" w:ascii="宋体" w:hAnsi="宋体"/>
          <w:sz w:val="24"/>
          <w:szCs w:val="24"/>
        </w:rPr>
        <w:t>19.1 供应商提交（上传）电子响应文件的时间不得迟于磋商公告中规定的截止时间。</w:t>
      </w:r>
    </w:p>
    <w:p w14:paraId="68BC736B">
      <w:pPr>
        <w:spacing w:line="500" w:lineRule="exact"/>
        <w:ind w:firstLine="480"/>
        <w:rPr>
          <w:rFonts w:ascii="宋体" w:hAnsi="宋体"/>
          <w:sz w:val="24"/>
          <w:szCs w:val="24"/>
        </w:rPr>
      </w:pPr>
      <w:r>
        <w:rPr>
          <w:rFonts w:hint="eastAsia" w:ascii="宋体" w:hAnsi="宋体"/>
          <w:sz w:val="24"/>
          <w:szCs w:val="24"/>
        </w:rPr>
        <w:t>供应商应充分考虑计算机硬件、软件及网络环境等风险因素，如因供应商自身原因造成电子响应文件提交（上传）不成功的按照本磋商文件第二章第29.1条规定作无效响应处理。</w:t>
      </w:r>
    </w:p>
    <w:p w14:paraId="7C3B5616">
      <w:pPr>
        <w:spacing w:line="500" w:lineRule="exact"/>
        <w:ind w:firstLine="480"/>
        <w:rPr>
          <w:rFonts w:ascii="宋体" w:hAnsi="宋体"/>
          <w:sz w:val="24"/>
          <w:szCs w:val="24"/>
        </w:rPr>
      </w:pPr>
      <w:r>
        <w:rPr>
          <w:rFonts w:hint="eastAsia" w:ascii="宋体" w:hAnsi="宋体"/>
          <w:sz w:val="24"/>
          <w:szCs w:val="24"/>
        </w:rPr>
        <w:t>19.2 采购人和交易中心可以按照规定，通过修改磋商文件酌情延长响应文件提交截止时间，在此情况下，供应商的所有权利和义务以及供应商受制的截止时间均应以延长后新的截止时间为准。</w:t>
      </w:r>
    </w:p>
    <w:p w14:paraId="5072CED3">
      <w:pPr>
        <w:pStyle w:val="18"/>
        <w:spacing w:line="500" w:lineRule="exact"/>
        <w:ind w:firstLine="482"/>
        <w:rPr>
          <w:rFonts w:hAnsi="宋体"/>
          <w:b/>
          <w:sz w:val="24"/>
          <w:szCs w:val="24"/>
        </w:rPr>
      </w:pPr>
      <w:r>
        <w:rPr>
          <w:rFonts w:hint="eastAsia" w:hAnsi="宋体"/>
          <w:b/>
          <w:sz w:val="24"/>
          <w:szCs w:val="24"/>
        </w:rPr>
        <w:t>20、响应文件的拒收</w:t>
      </w:r>
    </w:p>
    <w:p w14:paraId="281BFCC6">
      <w:pPr>
        <w:spacing w:line="500" w:lineRule="exact"/>
        <w:ind w:firstLine="480"/>
        <w:rPr>
          <w:rFonts w:ascii="宋体" w:hAnsi="宋体"/>
          <w:sz w:val="24"/>
          <w:szCs w:val="24"/>
        </w:rPr>
      </w:pPr>
      <w:r>
        <w:rPr>
          <w:rFonts w:hint="eastAsia" w:ascii="宋体" w:hAnsi="宋体"/>
          <w:sz w:val="24"/>
          <w:szCs w:val="24"/>
        </w:rPr>
        <w:t>20.1 交易中心拒绝接收在磋商文件规定的截止时间后提交（上传）的任何响应文件。</w:t>
      </w:r>
    </w:p>
    <w:p w14:paraId="6A75581C">
      <w:pPr>
        <w:pStyle w:val="18"/>
        <w:spacing w:line="500" w:lineRule="exact"/>
        <w:ind w:firstLine="482"/>
        <w:rPr>
          <w:rFonts w:hAnsi="宋体"/>
          <w:b/>
          <w:sz w:val="24"/>
          <w:szCs w:val="24"/>
        </w:rPr>
      </w:pPr>
      <w:r>
        <w:rPr>
          <w:rFonts w:hint="eastAsia" w:hAnsi="宋体"/>
          <w:b/>
          <w:sz w:val="24"/>
          <w:szCs w:val="24"/>
        </w:rPr>
        <w:t>21、响应文件的撤回和修改</w:t>
      </w:r>
    </w:p>
    <w:p w14:paraId="18122498">
      <w:pPr>
        <w:spacing w:line="500" w:lineRule="exact"/>
        <w:ind w:firstLine="480"/>
        <w:rPr>
          <w:rFonts w:ascii="宋体" w:hAnsi="宋体"/>
          <w:sz w:val="24"/>
          <w:szCs w:val="24"/>
        </w:rPr>
      </w:pPr>
      <w:r>
        <w:rPr>
          <w:rFonts w:hint="eastAsia" w:ascii="宋体" w:hAnsi="宋体"/>
          <w:sz w:val="24"/>
          <w:szCs w:val="24"/>
        </w:rPr>
        <w:t>21.1 供应商可在提交（上传）响应文件截止时间前，撤回其电子响应文件，具体操作方法见《操作手册》。供应商撤回电子响应文件的，则认为其不再参与本项目采购活动。</w:t>
      </w:r>
    </w:p>
    <w:p w14:paraId="4D49CE80">
      <w:pPr>
        <w:spacing w:line="500" w:lineRule="exact"/>
        <w:ind w:firstLine="480"/>
        <w:rPr>
          <w:rFonts w:ascii="宋体" w:hAnsi="宋体"/>
          <w:sz w:val="24"/>
          <w:szCs w:val="24"/>
        </w:rPr>
      </w:pPr>
      <w:r>
        <w:rPr>
          <w:rFonts w:hint="eastAsia" w:ascii="宋体" w:hAnsi="宋体"/>
          <w:sz w:val="24"/>
          <w:szCs w:val="24"/>
        </w:rPr>
        <w:t>21.2 供应商可在提交（上传）响应文件截止时间前，对其电子响应文件进行修改，具体操作方法见《操作手册》。在提交（上传）响应文件截止时间之后，供应商不得对其电子响应文件做任何修改。</w:t>
      </w:r>
    </w:p>
    <w:p w14:paraId="65834413">
      <w:pPr>
        <w:spacing w:line="500" w:lineRule="exact"/>
        <w:ind w:firstLine="480"/>
        <w:rPr>
          <w:rFonts w:ascii="宋体" w:hAnsi="宋体"/>
          <w:sz w:val="24"/>
          <w:szCs w:val="24"/>
        </w:rPr>
      </w:pPr>
      <w:r>
        <w:rPr>
          <w:rFonts w:hint="eastAsia" w:ascii="宋体" w:hAnsi="宋体"/>
          <w:sz w:val="24"/>
          <w:szCs w:val="24"/>
        </w:rPr>
        <w:t>21.3 在提交（上传）响应文件截止时间至磋商文件规定的磋商有效期满之间的这段时间内，供应商不得撤回其电子响应文件。</w:t>
      </w:r>
    </w:p>
    <w:p w14:paraId="6F5F84A4">
      <w:pPr>
        <w:pStyle w:val="4"/>
        <w:spacing w:before="0" w:after="0" w:line="500" w:lineRule="exact"/>
        <w:rPr>
          <w:rFonts w:ascii="黑体" w:hAnsi="黑体" w:eastAsia="黑体"/>
          <w:b w:val="0"/>
        </w:rPr>
      </w:pPr>
      <w:r>
        <w:rPr>
          <w:rFonts w:hint="eastAsia" w:ascii="黑体" w:hAnsi="黑体" w:eastAsia="黑体"/>
          <w:b w:val="0"/>
        </w:rPr>
        <w:t>五、响应文件开启（解密）与评审</w:t>
      </w:r>
    </w:p>
    <w:p w14:paraId="573F7C9E">
      <w:pPr>
        <w:pStyle w:val="18"/>
        <w:spacing w:line="500" w:lineRule="exact"/>
        <w:ind w:firstLine="482"/>
        <w:rPr>
          <w:rFonts w:hAnsi="宋体"/>
          <w:b/>
          <w:sz w:val="24"/>
          <w:szCs w:val="24"/>
        </w:rPr>
      </w:pPr>
      <w:r>
        <w:rPr>
          <w:rFonts w:hint="eastAsia" w:hAnsi="宋体"/>
          <w:b/>
          <w:sz w:val="24"/>
          <w:szCs w:val="24"/>
        </w:rPr>
        <w:t>22、响应文件开启（解密）</w:t>
      </w:r>
    </w:p>
    <w:p w14:paraId="031280D9">
      <w:pPr>
        <w:spacing w:line="500" w:lineRule="exact"/>
        <w:ind w:firstLine="480"/>
        <w:rPr>
          <w:rFonts w:ascii="宋体" w:hAnsi="宋体"/>
          <w:sz w:val="24"/>
          <w:szCs w:val="24"/>
        </w:rPr>
      </w:pPr>
      <w:r>
        <w:rPr>
          <w:rFonts w:hint="eastAsia" w:ascii="宋体" w:hAnsi="宋体"/>
          <w:sz w:val="24"/>
          <w:szCs w:val="24"/>
        </w:rPr>
        <w:t>22.1 交易中心将在磋商公告中规定的时间和地点组织响应文件开启。供应商应当按时参加，并在“苏采云”系统规定的时间内对其电子响应文件进行解密。</w:t>
      </w:r>
    </w:p>
    <w:p w14:paraId="22619418">
      <w:pPr>
        <w:spacing w:line="500" w:lineRule="exact"/>
        <w:ind w:firstLine="480"/>
        <w:rPr>
          <w:rFonts w:ascii="宋体" w:hAnsi="宋体"/>
          <w:sz w:val="24"/>
          <w:szCs w:val="24"/>
        </w:rPr>
      </w:pPr>
      <w:r>
        <w:rPr>
          <w:rFonts w:hint="eastAsia" w:ascii="宋体" w:hAnsi="宋体"/>
          <w:sz w:val="24"/>
          <w:szCs w:val="24"/>
        </w:rPr>
        <w:t>22.2 供应商在开启（解密）过程中涉及到的响应文件解密、开启结果确认等工作，应当按照《操作手册》规定执行。</w:t>
      </w:r>
    </w:p>
    <w:p w14:paraId="170A1679">
      <w:pPr>
        <w:spacing w:line="500" w:lineRule="exact"/>
        <w:ind w:firstLine="480"/>
        <w:rPr>
          <w:rFonts w:ascii="宋体" w:hAnsi="宋体"/>
          <w:sz w:val="24"/>
          <w:szCs w:val="24"/>
        </w:rPr>
      </w:pPr>
      <w:r>
        <w:rPr>
          <w:rFonts w:hint="eastAsia" w:ascii="宋体" w:hAnsi="宋体"/>
          <w:sz w:val="24"/>
          <w:szCs w:val="24"/>
        </w:rPr>
        <w:t>22.5 供应商未参加开启（解密）的，视同认可开启（解密）结果。</w:t>
      </w:r>
    </w:p>
    <w:p w14:paraId="79B98D89">
      <w:pPr>
        <w:spacing w:line="500" w:lineRule="exact"/>
        <w:ind w:firstLine="480"/>
        <w:rPr>
          <w:rFonts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w:t>
      </w:r>
      <w:r>
        <w:rPr>
          <w:rFonts w:ascii="宋体" w:hAnsi="宋体"/>
          <w:sz w:val="24"/>
          <w:szCs w:val="24"/>
        </w:rPr>
        <w:t>6</w:t>
      </w:r>
      <w:r>
        <w:rPr>
          <w:rFonts w:hint="eastAsia" w:ascii="宋体" w:hAnsi="宋体"/>
          <w:sz w:val="24"/>
          <w:szCs w:val="24"/>
        </w:rPr>
        <w:t xml:space="preserve"> 供应商在开启（解密）、澄清、磋商、最后报价、评审全过程中应保持通讯畅通，及时登录“苏采云”系统查阅、答复相关信息，并安排专人与交易中心及磋商小组联系。</w:t>
      </w:r>
    </w:p>
    <w:p w14:paraId="5D253BAB">
      <w:pPr>
        <w:pStyle w:val="18"/>
        <w:spacing w:line="500" w:lineRule="exact"/>
        <w:ind w:firstLine="482"/>
        <w:rPr>
          <w:rFonts w:hAnsi="宋体"/>
          <w:b/>
          <w:sz w:val="24"/>
          <w:szCs w:val="24"/>
        </w:rPr>
      </w:pPr>
      <w:r>
        <w:rPr>
          <w:rFonts w:hint="eastAsia" w:hAnsi="宋体"/>
          <w:b/>
          <w:sz w:val="24"/>
          <w:szCs w:val="24"/>
        </w:rPr>
        <w:t>23、磋商小组</w:t>
      </w:r>
    </w:p>
    <w:p w14:paraId="6707F89E">
      <w:pPr>
        <w:spacing w:line="500" w:lineRule="exact"/>
        <w:ind w:firstLine="480"/>
        <w:rPr>
          <w:rFonts w:ascii="宋体" w:hAnsi="宋体"/>
          <w:sz w:val="24"/>
          <w:szCs w:val="24"/>
        </w:rPr>
      </w:pPr>
      <w:r>
        <w:rPr>
          <w:rFonts w:hint="eastAsia" w:ascii="宋体" w:hAnsi="宋体"/>
          <w:sz w:val="24"/>
          <w:szCs w:val="24"/>
        </w:rPr>
        <w:t>23.1 响应文件开启（解密）后，交易中心将组织磋商小组进行评审。</w:t>
      </w:r>
    </w:p>
    <w:p w14:paraId="4B77BA66">
      <w:pPr>
        <w:spacing w:line="500" w:lineRule="exact"/>
        <w:ind w:firstLine="480"/>
        <w:rPr>
          <w:rFonts w:ascii="宋体" w:hAnsi="宋体"/>
          <w:sz w:val="24"/>
          <w:szCs w:val="24"/>
        </w:rPr>
      </w:pPr>
      <w:r>
        <w:rPr>
          <w:rFonts w:hint="eastAsia" w:ascii="宋体" w:hAnsi="宋体"/>
          <w:sz w:val="24"/>
          <w:szCs w:val="24"/>
        </w:rPr>
        <w:t>23.2 磋商小组由采购人代表和有关技术、经济等方面的评审专家组成，且人员构成符合政府采购有关规定。</w:t>
      </w:r>
    </w:p>
    <w:p w14:paraId="62A0551D">
      <w:pPr>
        <w:spacing w:line="500" w:lineRule="exact"/>
        <w:ind w:firstLine="480"/>
        <w:rPr>
          <w:rFonts w:ascii="宋体" w:hAnsi="宋体"/>
          <w:sz w:val="24"/>
          <w:szCs w:val="24"/>
        </w:rPr>
      </w:pPr>
      <w:r>
        <w:rPr>
          <w:rFonts w:hint="eastAsia" w:ascii="宋体" w:hAnsi="宋体"/>
          <w:sz w:val="24"/>
          <w:szCs w:val="24"/>
        </w:rPr>
        <w:t>23.3 磋商小组按照磋商文件规定的评审程序、评审方法和评审标准进行独立评审并确定成交候选人。</w:t>
      </w:r>
    </w:p>
    <w:p w14:paraId="719DDB3A">
      <w:pPr>
        <w:pStyle w:val="18"/>
        <w:spacing w:line="500" w:lineRule="exact"/>
        <w:ind w:firstLine="482"/>
        <w:rPr>
          <w:rFonts w:hAnsi="宋体"/>
          <w:b/>
          <w:sz w:val="24"/>
          <w:szCs w:val="24"/>
        </w:rPr>
      </w:pPr>
      <w:r>
        <w:rPr>
          <w:rFonts w:hint="eastAsia" w:hAnsi="宋体"/>
          <w:b/>
          <w:sz w:val="24"/>
          <w:szCs w:val="24"/>
        </w:rPr>
        <w:t>24、评审过程的保密与公正</w:t>
      </w:r>
    </w:p>
    <w:p w14:paraId="188C584B">
      <w:pPr>
        <w:spacing w:line="500" w:lineRule="exact"/>
        <w:ind w:firstLine="480"/>
        <w:rPr>
          <w:rFonts w:ascii="宋体" w:hAnsi="宋体"/>
          <w:sz w:val="24"/>
          <w:szCs w:val="24"/>
        </w:rPr>
      </w:pPr>
      <w:r>
        <w:rPr>
          <w:rFonts w:hint="eastAsia" w:ascii="宋体" w:hAnsi="宋体"/>
          <w:sz w:val="24"/>
          <w:szCs w:val="24"/>
        </w:rPr>
        <w:t>24.1 凡是与审查、澄清、评价和比较有关的资料以及成交建议等，采购人、评审专家、交易中心均不得向供应商或与评审无关的其他人员透露。</w:t>
      </w:r>
    </w:p>
    <w:p w14:paraId="4608584F">
      <w:pPr>
        <w:spacing w:line="500" w:lineRule="exact"/>
        <w:ind w:firstLine="480"/>
        <w:rPr>
          <w:rFonts w:ascii="宋体" w:hAnsi="宋体"/>
          <w:sz w:val="24"/>
          <w:szCs w:val="24"/>
        </w:rPr>
      </w:pPr>
      <w:r>
        <w:rPr>
          <w:rFonts w:hint="eastAsia" w:ascii="宋体" w:hAnsi="宋体"/>
          <w:sz w:val="24"/>
          <w:szCs w:val="24"/>
        </w:rPr>
        <w:t>24.2 在评审过程中，供应商不得以任何行为影响评审过程，否则其响应文件将被作为无效响应文件。</w:t>
      </w:r>
    </w:p>
    <w:p w14:paraId="44C59418">
      <w:pPr>
        <w:spacing w:line="500" w:lineRule="exact"/>
        <w:ind w:firstLine="480"/>
        <w:rPr>
          <w:rFonts w:ascii="宋体" w:hAnsi="宋体"/>
          <w:sz w:val="24"/>
          <w:szCs w:val="24"/>
        </w:rPr>
      </w:pPr>
      <w:r>
        <w:rPr>
          <w:rFonts w:hint="eastAsia" w:ascii="宋体" w:hAnsi="宋体"/>
          <w:sz w:val="24"/>
          <w:szCs w:val="24"/>
        </w:rPr>
        <w:t>24.3 交易中心和磋商小组不向未成交的供应商解释未成交原因，也不公布评审过程中的相关细节。</w:t>
      </w:r>
    </w:p>
    <w:p w14:paraId="59BF3FAB">
      <w:pPr>
        <w:pStyle w:val="18"/>
        <w:spacing w:line="500" w:lineRule="exact"/>
        <w:ind w:firstLine="482"/>
        <w:rPr>
          <w:rFonts w:hAnsi="宋体"/>
          <w:b/>
          <w:sz w:val="24"/>
          <w:szCs w:val="24"/>
        </w:rPr>
      </w:pPr>
      <w:r>
        <w:rPr>
          <w:rFonts w:hint="eastAsia" w:hAnsi="宋体"/>
          <w:b/>
          <w:sz w:val="24"/>
          <w:szCs w:val="24"/>
        </w:rPr>
        <w:t>25、响应文件的澄清</w:t>
      </w:r>
    </w:p>
    <w:p w14:paraId="426AFE39">
      <w:pPr>
        <w:spacing w:line="500" w:lineRule="exact"/>
        <w:ind w:firstLine="480"/>
        <w:rPr>
          <w:rFonts w:ascii="宋体" w:hAnsi="宋体"/>
          <w:sz w:val="24"/>
          <w:szCs w:val="24"/>
        </w:rPr>
      </w:pPr>
      <w:r>
        <w:rPr>
          <w:rFonts w:hint="eastAsia" w:ascii="宋体" w:hAnsi="宋体"/>
          <w:sz w:val="24"/>
          <w:szCs w:val="24"/>
        </w:rPr>
        <w:t>25.1 评审期间，磋商小组对响应文件中含义不明确、同类问题表述不一致或者有明显文字和计算错误的内容，有权要求供应商作出必要的澄清、说明或者补正。</w:t>
      </w:r>
    </w:p>
    <w:p w14:paraId="5C272F1C">
      <w:pPr>
        <w:spacing w:line="500" w:lineRule="exact"/>
        <w:ind w:firstLine="480"/>
        <w:rPr>
          <w:rFonts w:ascii="宋体" w:hAnsi="宋体"/>
          <w:sz w:val="24"/>
          <w:szCs w:val="24"/>
        </w:rPr>
      </w:pPr>
      <w:r>
        <w:rPr>
          <w:rFonts w:hint="eastAsia" w:ascii="宋体" w:hAnsi="宋体"/>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29D2B57C">
      <w:pPr>
        <w:spacing w:line="500" w:lineRule="exact"/>
        <w:ind w:firstLine="480"/>
        <w:rPr>
          <w:rFonts w:ascii="宋体" w:hAnsi="宋体"/>
          <w:sz w:val="24"/>
          <w:szCs w:val="24"/>
        </w:rPr>
      </w:pPr>
      <w:r>
        <w:rPr>
          <w:rFonts w:hint="eastAsia" w:ascii="宋体" w:hAnsi="宋体"/>
          <w:sz w:val="24"/>
          <w:szCs w:val="24"/>
        </w:rPr>
        <w:t>磋商小组并非对每个供应商都提出澄清、说明或者补正要求。</w:t>
      </w:r>
    </w:p>
    <w:p w14:paraId="53949872">
      <w:pPr>
        <w:spacing w:line="500" w:lineRule="exact"/>
        <w:ind w:firstLine="480"/>
        <w:rPr>
          <w:rFonts w:ascii="宋体" w:hAnsi="宋体"/>
          <w:sz w:val="24"/>
          <w:szCs w:val="24"/>
        </w:rPr>
      </w:pPr>
      <w:r>
        <w:rPr>
          <w:rFonts w:hint="eastAsia" w:ascii="宋体" w:hAnsi="宋体"/>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1D99F2CC">
      <w:pPr>
        <w:spacing w:line="500" w:lineRule="exact"/>
        <w:ind w:firstLine="480"/>
        <w:rPr>
          <w:rFonts w:ascii="宋体" w:hAnsi="宋体"/>
          <w:sz w:val="24"/>
          <w:szCs w:val="24"/>
        </w:rPr>
      </w:pPr>
      <w:r>
        <w:rPr>
          <w:rFonts w:hint="eastAsia" w:ascii="宋体" w:hAnsi="宋体"/>
          <w:sz w:val="24"/>
          <w:szCs w:val="24"/>
        </w:rPr>
        <w:t>25.3 接到磋商小组澄清、说明或者补正要求的供应商如未按要求响应，其风险由供应商自行承担。</w:t>
      </w:r>
    </w:p>
    <w:p w14:paraId="43C25DB2">
      <w:pPr>
        <w:pStyle w:val="18"/>
        <w:spacing w:line="500" w:lineRule="exact"/>
        <w:ind w:firstLine="482"/>
        <w:rPr>
          <w:rFonts w:hAnsi="宋体"/>
          <w:b/>
          <w:sz w:val="24"/>
          <w:szCs w:val="24"/>
        </w:rPr>
      </w:pPr>
      <w:r>
        <w:rPr>
          <w:rFonts w:hint="eastAsia" w:hAnsi="宋体"/>
          <w:b/>
          <w:sz w:val="24"/>
          <w:szCs w:val="24"/>
        </w:rPr>
        <w:t>26、对响应文件的审查</w:t>
      </w:r>
    </w:p>
    <w:p w14:paraId="6102CD41">
      <w:pPr>
        <w:spacing w:line="500" w:lineRule="exact"/>
        <w:ind w:firstLine="480"/>
        <w:rPr>
          <w:rFonts w:ascii="宋体" w:hAnsi="宋体"/>
          <w:sz w:val="24"/>
          <w:szCs w:val="24"/>
        </w:rPr>
      </w:pPr>
      <w:r>
        <w:rPr>
          <w:rFonts w:hint="eastAsia" w:ascii="宋体" w:hAnsi="宋体"/>
          <w:sz w:val="24"/>
          <w:szCs w:val="24"/>
        </w:rPr>
        <w:t>26.1 响应文件审查分为资格审查和符合性审查。</w:t>
      </w:r>
    </w:p>
    <w:p w14:paraId="79930FDE">
      <w:pPr>
        <w:spacing w:line="500" w:lineRule="exact"/>
        <w:ind w:firstLine="480"/>
        <w:rPr>
          <w:rFonts w:ascii="宋体" w:hAnsi="宋体"/>
          <w:sz w:val="24"/>
          <w:szCs w:val="24"/>
        </w:rPr>
      </w:pPr>
      <w:r>
        <w:rPr>
          <w:rFonts w:hint="eastAsia" w:ascii="宋体" w:hAnsi="宋体"/>
          <w:sz w:val="24"/>
          <w:szCs w:val="24"/>
        </w:rPr>
        <w:t>（1）资格审查：磋商小组依据法律法规和磋商文件的规定，对响应文件中的资格证明文件进行审查，以确定供应商是否具备参加磋商采购的资格。</w:t>
      </w:r>
    </w:p>
    <w:p w14:paraId="12F6F907">
      <w:pPr>
        <w:spacing w:line="500" w:lineRule="exact"/>
        <w:ind w:firstLine="480"/>
        <w:rPr>
          <w:rFonts w:ascii="宋体" w:hAnsi="宋体"/>
          <w:sz w:val="24"/>
          <w:szCs w:val="24"/>
        </w:rPr>
      </w:pPr>
      <w:r>
        <w:rPr>
          <w:rFonts w:hint="eastAsia" w:ascii="宋体" w:hAnsi="宋体"/>
          <w:sz w:val="24"/>
          <w:szCs w:val="24"/>
        </w:rPr>
        <w:t>磋商小组资格审查同时，在信用中国网站（www.creditchina.gov.cn）查询供应商的信用记录，以确定供应商是否具备参加磋商资格，查询结果留存并归档。</w:t>
      </w:r>
    </w:p>
    <w:p w14:paraId="66E92C0C">
      <w:pPr>
        <w:spacing w:line="500" w:lineRule="exact"/>
        <w:ind w:firstLine="480"/>
        <w:rPr>
          <w:rFonts w:hint="eastAsia" w:ascii="宋体" w:hAnsi="宋体"/>
          <w:sz w:val="24"/>
          <w:szCs w:val="24"/>
        </w:rPr>
      </w:pPr>
      <w:r>
        <w:rPr>
          <w:rFonts w:hint="eastAsia" w:ascii="宋体" w:hAnsi="宋体"/>
          <w:sz w:val="24"/>
          <w:szCs w:val="24"/>
        </w:rPr>
        <w:t>（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rFonts w:ascii="宋体" w:hAnsi="宋体"/>
          <w:sz w:val="24"/>
          <w:szCs w:val="24"/>
        </w:rPr>
        <w:t>且</w:t>
      </w:r>
      <w:r>
        <w:rPr>
          <w:rFonts w:hint="eastAsia" w:ascii="宋体" w:hAnsi="宋体"/>
          <w:sz w:val="24"/>
          <w:szCs w:val="24"/>
        </w:rPr>
        <w:t>与磋商文件的</w:t>
      </w:r>
      <w:r>
        <w:rPr>
          <w:rFonts w:ascii="宋体" w:hAnsi="宋体"/>
          <w:sz w:val="24"/>
          <w:szCs w:val="24"/>
        </w:rPr>
        <w:t>其余非实质性要求和条件</w:t>
      </w:r>
      <w:r>
        <w:rPr>
          <w:rFonts w:hint="eastAsia" w:ascii="宋体" w:hAnsi="宋体"/>
          <w:sz w:val="24"/>
          <w:szCs w:val="24"/>
        </w:rPr>
        <w:t>没有重大偏离。</w:t>
      </w:r>
    </w:p>
    <w:p w14:paraId="683F097E">
      <w:pPr>
        <w:spacing w:line="500" w:lineRule="exact"/>
        <w:ind w:firstLine="480"/>
        <w:rPr>
          <w:rFonts w:ascii="宋体" w:hAnsi="宋体"/>
          <w:sz w:val="24"/>
          <w:szCs w:val="24"/>
        </w:rPr>
      </w:pPr>
      <w:r>
        <w:rPr>
          <w:rFonts w:hint="eastAsia" w:ascii="宋体" w:hAnsi="宋体"/>
          <w:sz w:val="24"/>
          <w:szCs w:val="24"/>
        </w:rPr>
        <w:t>未通过资格审查或符合性审查的供应商，将通过“苏采云”系统中告知其未通过的原因，评审结束后，将不再告知。</w:t>
      </w:r>
    </w:p>
    <w:p w14:paraId="32731EC6">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26.2 在符合性审查阶段，</w:t>
      </w:r>
      <w:r>
        <w:rPr>
          <w:rFonts w:hint="eastAsia" w:ascii="宋体" w:hAnsi="宋体"/>
          <w:sz w:val="24"/>
          <w:szCs w:val="24"/>
        </w:rPr>
        <w:t>磋商小组</w:t>
      </w:r>
      <w:r>
        <w:rPr>
          <w:rFonts w:hint="eastAsia" w:ascii="宋体" w:hAnsi="宋体" w:eastAsia="宋体" w:cs="Times New Roman"/>
          <w:sz w:val="24"/>
          <w:szCs w:val="24"/>
        </w:rPr>
        <w:t>会将审查每份响应文件是否实质性响应了磋商文件的要求。实质性响应的响应应当是与磋商文件要求的全部条款、条件和规格相符，没有重大偏离或保留的响应。</w:t>
      </w:r>
    </w:p>
    <w:p w14:paraId="67946F07">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所谓重大偏离或保留是指与磋商文件规定的实质性要求存在负偏离，或者在实质上与磋商文件不一致，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限制了合同中买方和交易中心的权利或投标人的义务，纠正这些偏离或保留将会对其他实质性响应要求的投标人的竞争地位产生不公正的影响。</w:t>
      </w:r>
    </w:p>
    <w:p w14:paraId="5AA0CB6F">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重大偏离的认定需经过磋商小组以少数服从多数的原则作出结论。磋商小组决定响应文件的响应性只根据磋商文件本身的内容，而不寻求外部的证据。</w:t>
      </w:r>
    </w:p>
    <w:p w14:paraId="49C4FD74">
      <w:pPr>
        <w:spacing w:line="500" w:lineRule="exact"/>
        <w:ind w:firstLine="480"/>
        <w:rPr>
          <w:rFonts w:hint="eastAsia" w:ascii="宋体" w:hAnsi="宋体"/>
          <w:sz w:val="24"/>
          <w:szCs w:val="24"/>
        </w:rPr>
      </w:pPr>
      <w:r>
        <w:rPr>
          <w:rFonts w:hint="eastAsia" w:ascii="宋体" w:hAnsi="宋体"/>
          <w:sz w:val="24"/>
          <w:szCs w:val="24"/>
        </w:rPr>
        <w:t>26.3 如果响应文件实质上没有响应磋商文件的要求，磋商小组将予以拒绝，供应商不得通过修改或撤销不符合要求的偏离而使其成为实质性响应。</w:t>
      </w:r>
    </w:p>
    <w:p w14:paraId="06098465">
      <w:pPr>
        <w:pageBreakBefore w:val="0"/>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rPr>
        <w:t>26.</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政府采购异常低价审查：</w:t>
      </w:r>
    </w:p>
    <w:p w14:paraId="71F7E7BC">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（一）政府采购评审中出现下列情形之一的，评审委员会应当启动异常低价投标审查程序：</w:t>
      </w:r>
    </w:p>
    <w:p w14:paraId="6937E90F">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1.投标报价低于全部通过符合性审查供应商投标报价平均值</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%的，即投标报价&lt;全部通过符合性审查供应商投标报价平均值×</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w:t>
      </w:r>
    </w:p>
    <w:p w14:paraId="6474D5EB">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2.投标报价低于通过符合性审查的次低报价供应商投标报价</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%的，即投标报价&lt;通过符合性审查的次低报价供应商投标报价×</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w:t>
      </w:r>
    </w:p>
    <w:p w14:paraId="4BE83AB3">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3.投标报价低于采购项目最高限价</w:t>
      </w:r>
      <w:r>
        <w:rPr>
          <w:rFonts w:hint="eastAsia" w:ascii="宋体" w:hAnsi="宋体" w:eastAsia="宋体" w:cs="宋体"/>
          <w:b w:val="0"/>
          <w:bCs/>
          <w:sz w:val="24"/>
          <w:szCs w:val="24"/>
          <w:highlight w:val="none"/>
          <w:lang w:val="en-US" w:eastAsia="zh-CN"/>
        </w:rPr>
        <w:t>45</w:t>
      </w:r>
      <w:r>
        <w:rPr>
          <w:rFonts w:hint="eastAsia" w:ascii="宋体" w:hAnsi="宋体" w:eastAsia="宋体" w:cs="宋体"/>
          <w:b w:val="0"/>
          <w:bCs/>
          <w:sz w:val="24"/>
          <w:szCs w:val="24"/>
          <w:highlight w:val="none"/>
        </w:rPr>
        <w:t>%的，即投标报价&lt;采购项目最高限价×</w:t>
      </w:r>
      <w:r>
        <w:rPr>
          <w:rFonts w:hint="eastAsia" w:ascii="宋体" w:hAnsi="宋体" w:eastAsia="宋体" w:cs="宋体"/>
          <w:b w:val="0"/>
          <w:bCs/>
          <w:sz w:val="24"/>
          <w:szCs w:val="24"/>
          <w:highlight w:val="none"/>
          <w:lang w:val="en-US" w:eastAsia="zh-CN"/>
        </w:rPr>
        <w:t>45</w:t>
      </w:r>
      <w:r>
        <w:rPr>
          <w:rFonts w:hint="eastAsia" w:ascii="宋体" w:hAnsi="宋体" w:eastAsia="宋体" w:cs="宋体"/>
          <w:b w:val="0"/>
          <w:bCs/>
          <w:sz w:val="24"/>
          <w:szCs w:val="24"/>
          <w:highlight w:val="none"/>
        </w:rPr>
        <w:t>%；</w:t>
      </w:r>
    </w:p>
    <w:p w14:paraId="0BA36B8C">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4.评审委员会基于专业判断，认为供应商报价过低，有可能影响产品质量或者不能诚信履约的其他情形。</w:t>
      </w:r>
    </w:p>
    <w:p w14:paraId="48E4594A">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0F5F2D59">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9B1DF1B">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80A350">
      <w:pPr>
        <w:pageBreakBefore w:val="0"/>
        <w:spacing w:line="500" w:lineRule="exact"/>
        <w:ind w:firstLine="480"/>
        <w:jc w:val="both"/>
        <w:rPr>
          <w:rFonts w:hint="eastAsia" w:ascii="宋体" w:hAnsi="宋体"/>
          <w:sz w:val="24"/>
          <w:szCs w:val="24"/>
        </w:rPr>
      </w:pPr>
      <w:r>
        <w:rPr>
          <w:rFonts w:hint="eastAsia" w:ascii="宋体" w:hAnsi="宋体" w:eastAsia="宋体" w:cs="宋体"/>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07E9700A">
      <w:pPr>
        <w:spacing w:line="500" w:lineRule="exact"/>
        <w:ind w:firstLine="482"/>
        <w:rPr>
          <w:rFonts w:hint="eastAsia" w:ascii="宋体" w:hAnsi="宋体" w:eastAsia="宋体" w:cs="宋体"/>
          <w:b/>
          <w:sz w:val="24"/>
          <w:szCs w:val="24"/>
        </w:rPr>
      </w:pPr>
      <w:r>
        <w:rPr>
          <w:rFonts w:hint="eastAsia" w:ascii="宋体" w:hAnsi="宋体" w:eastAsia="宋体" w:cs="宋体"/>
          <w:b/>
          <w:sz w:val="24"/>
          <w:szCs w:val="24"/>
        </w:rPr>
        <w:t>27、磋商程序</w:t>
      </w:r>
    </w:p>
    <w:p w14:paraId="16A80FCC">
      <w:pPr>
        <w:spacing w:line="500" w:lineRule="exact"/>
        <w:ind w:firstLine="480"/>
        <w:rPr>
          <w:rFonts w:ascii="宋体" w:hAnsi="宋体"/>
          <w:sz w:val="24"/>
          <w:szCs w:val="24"/>
        </w:rPr>
      </w:pPr>
      <w:r>
        <w:rPr>
          <w:rFonts w:hint="eastAsia" w:ascii="宋体" w:hAnsi="宋体"/>
          <w:sz w:val="24"/>
          <w:szCs w:val="24"/>
        </w:rPr>
        <w:t>27.1 对于通过资格审查和符合性审查的供应商，磋商小组将集中与单一供应商分别进行磋商。</w:t>
      </w:r>
    </w:p>
    <w:p w14:paraId="22C2A91E">
      <w:pPr>
        <w:spacing w:line="500" w:lineRule="exact"/>
        <w:ind w:firstLine="480"/>
        <w:rPr>
          <w:rFonts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73C9E6D5">
      <w:pPr>
        <w:spacing w:line="500" w:lineRule="exact"/>
        <w:ind w:firstLine="480"/>
        <w:rPr>
          <w:rFonts w:ascii="宋体" w:hAnsi="宋体"/>
          <w:sz w:val="24"/>
          <w:szCs w:val="24"/>
        </w:rPr>
      </w:pPr>
      <w:r>
        <w:rPr>
          <w:rFonts w:hint="eastAsia" w:ascii="宋体" w:hAnsi="宋体"/>
          <w:sz w:val="24"/>
          <w:szCs w:val="24"/>
        </w:rPr>
        <w:t>已提交响应文件的供应商，在提交最后报价之前，可以根据磋商情况退出磋商采购，应在“苏采云”系统中提交“退出磋商函”，并加盖CA电子公章。</w:t>
      </w:r>
    </w:p>
    <w:p w14:paraId="53CAE591">
      <w:pPr>
        <w:spacing w:line="500" w:lineRule="exact"/>
        <w:ind w:firstLine="480"/>
        <w:rPr>
          <w:rFonts w:ascii="宋体" w:hAnsi="宋体"/>
          <w:sz w:val="24"/>
          <w:szCs w:val="24"/>
        </w:rPr>
      </w:pPr>
      <w:r>
        <w:rPr>
          <w:rFonts w:hint="eastAsia" w:ascii="宋体" w:hAnsi="宋体"/>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45D263C3">
      <w:pPr>
        <w:spacing w:line="500" w:lineRule="exact"/>
        <w:ind w:firstLine="480"/>
        <w:rPr>
          <w:rFonts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722A1538">
      <w:pPr>
        <w:spacing w:line="500" w:lineRule="exact"/>
        <w:ind w:firstLine="480"/>
        <w:rPr>
          <w:rFonts w:ascii="宋体" w:hAnsi="宋体"/>
          <w:sz w:val="24"/>
          <w:szCs w:val="24"/>
        </w:rPr>
      </w:pPr>
      <w:r>
        <w:rPr>
          <w:rFonts w:hint="eastAsia" w:ascii="宋体" w:hAnsi="宋体"/>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6F4331D7">
      <w:pPr>
        <w:spacing w:line="500" w:lineRule="exact"/>
        <w:ind w:firstLine="480"/>
        <w:rPr>
          <w:rFonts w:ascii="宋体" w:hAnsi="宋体"/>
          <w:sz w:val="24"/>
          <w:szCs w:val="24"/>
        </w:rPr>
      </w:pPr>
      <w:r>
        <w:rPr>
          <w:rFonts w:hint="eastAsia" w:ascii="宋体" w:hAnsi="宋体"/>
          <w:sz w:val="24"/>
          <w:szCs w:val="24"/>
        </w:rPr>
        <w:t>供应商未在磋商小组规定的时间内在“苏采云”系统中提交最后报价的视为放弃磋商，其响应文件按无效响应处理。</w:t>
      </w:r>
    </w:p>
    <w:p w14:paraId="6AB6B67D">
      <w:pPr>
        <w:pStyle w:val="18"/>
        <w:spacing w:line="500" w:lineRule="exact"/>
        <w:ind w:firstLine="482"/>
        <w:rPr>
          <w:rFonts w:hAnsi="宋体"/>
          <w:b/>
          <w:sz w:val="24"/>
          <w:szCs w:val="24"/>
        </w:rPr>
      </w:pPr>
      <w:r>
        <w:rPr>
          <w:rFonts w:hint="eastAsia" w:hAnsi="宋体"/>
          <w:b/>
          <w:sz w:val="24"/>
          <w:szCs w:val="24"/>
        </w:rPr>
        <w:t>28、评审方法与评审标准</w:t>
      </w:r>
    </w:p>
    <w:p w14:paraId="63BCF21A">
      <w:pPr>
        <w:spacing w:line="500" w:lineRule="exact"/>
        <w:ind w:firstLine="480"/>
        <w:rPr>
          <w:rFonts w:ascii="宋体" w:hAnsi="宋体"/>
          <w:sz w:val="24"/>
          <w:szCs w:val="24"/>
        </w:rPr>
      </w:pPr>
      <w:r>
        <w:rPr>
          <w:rFonts w:hint="eastAsia" w:ascii="宋体" w:hAnsi="宋体"/>
          <w:sz w:val="24"/>
          <w:szCs w:val="24"/>
        </w:rPr>
        <w:t>28.1 评审方法。详见本磋商文件第五章。</w:t>
      </w:r>
    </w:p>
    <w:p w14:paraId="42BFCF4C">
      <w:pPr>
        <w:spacing w:line="500" w:lineRule="exact"/>
        <w:ind w:firstLine="480"/>
        <w:rPr>
          <w:rFonts w:ascii="宋体" w:hAnsi="宋体"/>
          <w:sz w:val="24"/>
          <w:szCs w:val="24"/>
        </w:rPr>
      </w:pPr>
      <w:r>
        <w:rPr>
          <w:rFonts w:hint="eastAsia" w:ascii="宋体" w:hAnsi="宋体"/>
          <w:sz w:val="24"/>
          <w:szCs w:val="24"/>
        </w:rPr>
        <w:t>28.2 评审标准。详见本磋商文件第五章。</w:t>
      </w:r>
    </w:p>
    <w:p w14:paraId="4251E753">
      <w:pPr>
        <w:pStyle w:val="18"/>
        <w:spacing w:line="500" w:lineRule="exact"/>
        <w:ind w:firstLine="482"/>
        <w:rPr>
          <w:rFonts w:hAnsi="宋体"/>
          <w:b/>
          <w:sz w:val="24"/>
          <w:szCs w:val="24"/>
        </w:rPr>
      </w:pPr>
      <w:r>
        <w:rPr>
          <w:rFonts w:hint="eastAsia" w:hAnsi="宋体"/>
          <w:b/>
          <w:sz w:val="24"/>
          <w:szCs w:val="24"/>
        </w:rPr>
        <w:t>29、未实质性响应磋商文件的情形和采购活动终止</w:t>
      </w:r>
    </w:p>
    <w:p w14:paraId="7174904D">
      <w:pPr>
        <w:spacing w:line="500" w:lineRule="exact"/>
        <w:ind w:firstLine="480"/>
        <w:rPr>
          <w:rFonts w:ascii="宋体" w:hAnsi="宋体"/>
          <w:sz w:val="24"/>
          <w:szCs w:val="24"/>
        </w:rPr>
      </w:pPr>
      <w:r>
        <w:rPr>
          <w:rFonts w:hint="eastAsia" w:ascii="宋体" w:hAnsi="宋体"/>
          <w:sz w:val="24"/>
          <w:szCs w:val="24"/>
        </w:rPr>
        <w:t>29.1 未实质性响应磋商文件的情形：</w:t>
      </w:r>
    </w:p>
    <w:p w14:paraId="152ACE41">
      <w:pPr>
        <w:spacing w:line="500" w:lineRule="exact"/>
        <w:ind w:firstLine="480"/>
        <w:rPr>
          <w:rFonts w:ascii="宋体" w:hAnsi="宋体"/>
          <w:sz w:val="24"/>
          <w:szCs w:val="24"/>
        </w:rPr>
      </w:pPr>
      <w:r>
        <w:rPr>
          <w:rFonts w:hint="eastAsia" w:ascii="宋体" w:hAnsi="宋体"/>
          <w:sz w:val="24"/>
          <w:szCs w:val="24"/>
        </w:rPr>
        <w:t>（1）供应商未按照磋商文件要求提交（上传）电子响应文件的。</w:t>
      </w:r>
    </w:p>
    <w:p w14:paraId="1DCC500D">
      <w:pPr>
        <w:spacing w:line="500" w:lineRule="exact"/>
        <w:ind w:firstLine="480"/>
        <w:rPr>
          <w:rFonts w:ascii="宋体" w:hAnsi="宋体"/>
          <w:sz w:val="24"/>
          <w:szCs w:val="24"/>
        </w:rPr>
      </w:pPr>
      <w:r>
        <w:rPr>
          <w:rFonts w:hint="eastAsia" w:ascii="宋体" w:hAnsi="宋体"/>
          <w:sz w:val="24"/>
          <w:szCs w:val="24"/>
        </w:rPr>
        <w:t>（2）供应商在“苏采云”系统规定的时间内未成功解密电子响应文件的。</w:t>
      </w:r>
    </w:p>
    <w:p w14:paraId="0C8AC214">
      <w:pPr>
        <w:spacing w:line="500" w:lineRule="exact"/>
        <w:ind w:firstLine="480"/>
        <w:rPr>
          <w:rFonts w:ascii="宋体" w:hAnsi="宋体"/>
          <w:sz w:val="24"/>
          <w:szCs w:val="24"/>
        </w:rPr>
      </w:pPr>
      <w:r>
        <w:rPr>
          <w:rFonts w:hint="eastAsia" w:ascii="宋体" w:hAnsi="宋体"/>
          <w:sz w:val="24"/>
          <w:szCs w:val="24"/>
        </w:rPr>
        <w:t>（3）供应商不具备磋商文件中规定的资格要求的。</w:t>
      </w:r>
    </w:p>
    <w:p w14:paraId="7DD81607">
      <w:pPr>
        <w:spacing w:line="500" w:lineRule="exact"/>
        <w:ind w:firstLine="480"/>
        <w:rPr>
          <w:rFonts w:ascii="宋体" w:hAnsi="宋体"/>
          <w:sz w:val="24"/>
          <w:szCs w:val="24"/>
        </w:rPr>
      </w:pPr>
      <w:r>
        <w:rPr>
          <w:rFonts w:hint="eastAsia" w:ascii="宋体" w:hAnsi="宋体"/>
          <w:sz w:val="24"/>
          <w:szCs w:val="24"/>
        </w:rPr>
        <w:t>（4）供应商被信用中国网站（www.creditchina.gov.cn）列入失信被执行人、重大税收违法案件当事人名单、政府采购严重违法失信行为记录名单及其他不符合《中华人民共和国政府采购法》第二十二条规定情形的。</w:t>
      </w:r>
    </w:p>
    <w:p w14:paraId="6CD27943">
      <w:pPr>
        <w:spacing w:line="500" w:lineRule="exact"/>
        <w:ind w:firstLine="480"/>
        <w:rPr>
          <w:rFonts w:ascii="宋体" w:hAnsi="宋体"/>
          <w:sz w:val="24"/>
          <w:szCs w:val="24"/>
        </w:rPr>
      </w:pPr>
      <w:r>
        <w:rPr>
          <w:rFonts w:hint="eastAsia" w:ascii="宋体" w:hAnsi="宋体"/>
          <w:sz w:val="24"/>
          <w:szCs w:val="24"/>
        </w:rPr>
        <w:t>（5）不符合磋商文件规定的实质性要求和条件的。（本磋商文件中斜体且有下划线部分为实质性要求和条件）</w:t>
      </w:r>
    </w:p>
    <w:p w14:paraId="4C061FCB">
      <w:pPr>
        <w:spacing w:line="500" w:lineRule="exact"/>
        <w:ind w:firstLine="480"/>
        <w:rPr>
          <w:rFonts w:ascii="宋体" w:hAnsi="宋体"/>
          <w:sz w:val="24"/>
          <w:szCs w:val="24"/>
        </w:rPr>
      </w:pPr>
      <w:r>
        <w:rPr>
          <w:rFonts w:hint="eastAsia" w:ascii="宋体" w:hAnsi="宋体"/>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79253EA0">
      <w:pPr>
        <w:spacing w:line="500" w:lineRule="exact"/>
        <w:ind w:firstLine="480"/>
        <w:rPr>
          <w:rFonts w:ascii="宋体" w:hAnsi="宋体"/>
          <w:sz w:val="24"/>
          <w:szCs w:val="24"/>
        </w:rPr>
      </w:pPr>
      <w:r>
        <w:rPr>
          <w:rFonts w:hint="eastAsia" w:ascii="宋体" w:hAnsi="宋体"/>
          <w:sz w:val="24"/>
          <w:szCs w:val="24"/>
        </w:rPr>
        <w:t>（7）供应商未通过符合性审查的。</w:t>
      </w:r>
    </w:p>
    <w:p w14:paraId="753D735D">
      <w:pPr>
        <w:spacing w:line="500" w:lineRule="exact"/>
        <w:ind w:firstLine="480"/>
        <w:rPr>
          <w:rFonts w:ascii="宋体" w:hAnsi="宋体"/>
          <w:sz w:val="24"/>
          <w:szCs w:val="24"/>
        </w:rPr>
      </w:pPr>
      <w:r>
        <w:rPr>
          <w:rFonts w:hint="eastAsia" w:ascii="宋体" w:hAnsi="宋体"/>
          <w:sz w:val="24"/>
          <w:szCs w:val="24"/>
        </w:rPr>
        <w:t>（8）供应商未按照要求对磋商或者最后报价作出响应的。</w:t>
      </w:r>
    </w:p>
    <w:p w14:paraId="2D6807AB">
      <w:pPr>
        <w:spacing w:line="500" w:lineRule="exact"/>
        <w:ind w:firstLine="480"/>
        <w:rPr>
          <w:rFonts w:ascii="宋体" w:hAnsi="宋体"/>
          <w:sz w:val="24"/>
          <w:szCs w:val="24"/>
        </w:rPr>
      </w:pPr>
      <w:r>
        <w:rPr>
          <w:rFonts w:hint="eastAsia" w:ascii="宋体" w:hAnsi="宋体"/>
          <w:sz w:val="24"/>
          <w:szCs w:val="24"/>
        </w:rPr>
        <w:t>（</w:t>
      </w:r>
      <w:r>
        <w:rPr>
          <w:rFonts w:ascii="宋体" w:hAnsi="宋体"/>
          <w:sz w:val="24"/>
          <w:szCs w:val="24"/>
        </w:rPr>
        <w:t>9</w:t>
      </w:r>
      <w:r>
        <w:rPr>
          <w:rFonts w:hint="eastAsia" w:ascii="宋体" w:hAnsi="宋体"/>
          <w:sz w:val="24"/>
          <w:szCs w:val="24"/>
        </w:rPr>
        <w:t>）供应商提交两个（含两个）以上不同的最后报价的。</w:t>
      </w:r>
    </w:p>
    <w:p w14:paraId="364208F4">
      <w:pPr>
        <w:spacing w:line="500" w:lineRule="exact"/>
        <w:ind w:firstLine="480"/>
        <w:rPr>
          <w:rFonts w:ascii="宋体" w:hAnsi="宋体"/>
          <w:sz w:val="24"/>
          <w:szCs w:val="24"/>
        </w:rPr>
      </w:pPr>
      <w:r>
        <w:rPr>
          <w:rFonts w:hint="eastAsia" w:ascii="宋体" w:hAnsi="宋体"/>
          <w:sz w:val="24"/>
          <w:szCs w:val="24"/>
        </w:rPr>
        <w:t>（</w:t>
      </w:r>
      <w:r>
        <w:rPr>
          <w:rFonts w:ascii="宋体" w:hAnsi="宋体"/>
          <w:sz w:val="24"/>
          <w:szCs w:val="24"/>
        </w:rPr>
        <w:t>10</w:t>
      </w:r>
      <w:r>
        <w:rPr>
          <w:rFonts w:hint="eastAsia" w:ascii="宋体" w:hAnsi="宋体"/>
          <w:sz w:val="24"/>
          <w:szCs w:val="24"/>
        </w:rPr>
        <w:t>）供应商的最后报价超过了采购预算或者最高限价的。</w:t>
      </w:r>
    </w:p>
    <w:p w14:paraId="137B70D2">
      <w:pPr>
        <w:spacing w:line="500" w:lineRule="exact"/>
        <w:ind w:firstLine="480"/>
        <w:rPr>
          <w:rFonts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09213250">
      <w:pPr>
        <w:spacing w:line="500" w:lineRule="exact"/>
        <w:ind w:firstLine="480"/>
        <w:rPr>
          <w:rFonts w:ascii="宋体" w:hAnsi="宋体"/>
          <w:sz w:val="24"/>
          <w:szCs w:val="24"/>
        </w:rPr>
      </w:pPr>
      <w:r>
        <w:rPr>
          <w:rFonts w:hint="eastAsia" w:ascii="宋体" w:hAnsi="宋体"/>
          <w:sz w:val="24"/>
          <w:szCs w:val="24"/>
        </w:rPr>
        <w:t>（1</w:t>
      </w:r>
      <w:r>
        <w:rPr>
          <w:rFonts w:ascii="宋体" w:hAnsi="宋体"/>
          <w:sz w:val="24"/>
          <w:szCs w:val="24"/>
        </w:rPr>
        <w:t>2</w:t>
      </w:r>
      <w:r>
        <w:rPr>
          <w:rFonts w:hint="eastAsia" w:ascii="宋体" w:hAnsi="宋体"/>
          <w:sz w:val="24"/>
          <w:szCs w:val="24"/>
        </w:rPr>
        <w:t>）响应文件含有采购人不能接受的附加条件的。</w:t>
      </w:r>
    </w:p>
    <w:p w14:paraId="19B5C6C3">
      <w:pPr>
        <w:spacing w:line="500" w:lineRule="exact"/>
        <w:ind w:firstLine="480"/>
        <w:rPr>
          <w:rFonts w:hint="eastAsia"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）响应文件未按照磋商文件要求加盖公章（CA电子公章）的。</w:t>
      </w:r>
    </w:p>
    <w:p w14:paraId="33F05C06">
      <w:pPr>
        <w:spacing w:line="500" w:lineRule="exact"/>
        <w:ind w:firstLine="480"/>
        <w:rPr>
          <w:rFonts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）其他法律、法规及本磋商文件规定的属于未实质性响应磋商文件的情形。</w:t>
      </w:r>
    </w:p>
    <w:p w14:paraId="5435BDC3">
      <w:pPr>
        <w:spacing w:line="500" w:lineRule="exact"/>
        <w:ind w:firstLine="480"/>
        <w:rPr>
          <w:rFonts w:ascii="宋体" w:hAnsi="宋体"/>
          <w:sz w:val="24"/>
          <w:szCs w:val="24"/>
        </w:rPr>
      </w:pPr>
      <w:r>
        <w:rPr>
          <w:rFonts w:hint="eastAsia" w:ascii="宋体" w:hAnsi="宋体"/>
          <w:sz w:val="24"/>
          <w:szCs w:val="24"/>
        </w:rPr>
        <w:t>29.2 有下列情形之一的，视为供应商串通，响应无效：</w:t>
      </w:r>
    </w:p>
    <w:p w14:paraId="2B33FA0E">
      <w:pPr>
        <w:spacing w:line="500" w:lineRule="exact"/>
        <w:ind w:firstLine="480"/>
        <w:rPr>
          <w:rFonts w:ascii="宋体" w:hAnsi="宋体"/>
          <w:sz w:val="24"/>
          <w:szCs w:val="24"/>
        </w:rPr>
      </w:pPr>
      <w:r>
        <w:rPr>
          <w:rFonts w:hint="eastAsia" w:ascii="宋体" w:hAnsi="宋体"/>
          <w:sz w:val="24"/>
          <w:szCs w:val="24"/>
        </w:rPr>
        <w:t>（1）不同供应商的响应文件由同一单位或者个人编制。</w:t>
      </w:r>
    </w:p>
    <w:p w14:paraId="316BF3AE">
      <w:pPr>
        <w:spacing w:line="500" w:lineRule="exact"/>
        <w:ind w:firstLine="480"/>
        <w:rPr>
          <w:rFonts w:ascii="宋体" w:hAnsi="宋体"/>
          <w:sz w:val="24"/>
          <w:szCs w:val="24"/>
        </w:rPr>
      </w:pPr>
      <w:r>
        <w:rPr>
          <w:rFonts w:hint="eastAsia" w:ascii="宋体" w:hAnsi="宋体"/>
          <w:sz w:val="24"/>
          <w:szCs w:val="24"/>
        </w:rPr>
        <w:t>（2）不同供应商委托同一单位或者个人办理磋商事宜。</w:t>
      </w:r>
    </w:p>
    <w:p w14:paraId="71628935">
      <w:pPr>
        <w:spacing w:line="500" w:lineRule="exact"/>
        <w:ind w:firstLine="480"/>
        <w:rPr>
          <w:rFonts w:ascii="宋体" w:hAnsi="宋体"/>
          <w:sz w:val="24"/>
          <w:szCs w:val="24"/>
        </w:rPr>
      </w:pPr>
      <w:r>
        <w:rPr>
          <w:rFonts w:hint="eastAsia" w:ascii="宋体" w:hAnsi="宋体"/>
          <w:sz w:val="24"/>
          <w:szCs w:val="24"/>
        </w:rPr>
        <w:t>（3）不同供应商的响应文件载明的项目管理成员或者联系人员为同一人。</w:t>
      </w:r>
    </w:p>
    <w:p w14:paraId="7A058616">
      <w:pPr>
        <w:spacing w:line="500" w:lineRule="exact"/>
        <w:ind w:firstLine="480"/>
        <w:rPr>
          <w:rFonts w:ascii="宋体" w:hAnsi="宋体"/>
          <w:sz w:val="24"/>
          <w:szCs w:val="24"/>
        </w:rPr>
      </w:pPr>
      <w:r>
        <w:rPr>
          <w:rFonts w:hint="eastAsia" w:ascii="宋体" w:hAnsi="宋体"/>
          <w:sz w:val="24"/>
          <w:szCs w:val="24"/>
        </w:rPr>
        <w:t>（4）不同供应商的响应文件异常一致或者最后报价呈规律性差异。</w:t>
      </w:r>
    </w:p>
    <w:p w14:paraId="0B3E2801">
      <w:pPr>
        <w:spacing w:line="500" w:lineRule="exact"/>
        <w:ind w:firstLine="480"/>
        <w:rPr>
          <w:rFonts w:ascii="宋体" w:hAnsi="宋体"/>
          <w:sz w:val="24"/>
          <w:szCs w:val="24"/>
        </w:rPr>
      </w:pPr>
      <w:r>
        <w:rPr>
          <w:rFonts w:hint="eastAsia" w:ascii="宋体" w:hAnsi="宋体"/>
          <w:sz w:val="24"/>
          <w:szCs w:val="24"/>
        </w:rPr>
        <w:t>（5）不同供应商的响应文件相互混装。</w:t>
      </w:r>
    </w:p>
    <w:p w14:paraId="10C1C9EC">
      <w:pPr>
        <w:spacing w:line="500" w:lineRule="exact"/>
        <w:ind w:firstLine="480"/>
        <w:rPr>
          <w:rFonts w:ascii="宋体" w:hAnsi="宋体"/>
          <w:sz w:val="24"/>
          <w:szCs w:val="24"/>
        </w:rPr>
      </w:pPr>
      <w:r>
        <w:rPr>
          <w:rFonts w:hint="eastAsia" w:ascii="宋体" w:hAnsi="宋体"/>
          <w:sz w:val="24"/>
          <w:szCs w:val="24"/>
        </w:rPr>
        <w:t>29.3 采购活动终止的情形：</w:t>
      </w:r>
    </w:p>
    <w:p w14:paraId="16600A80">
      <w:pPr>
        <w:spacing w:line="500" w:lineRule="exact"/>
        <w:ind w:firstLine="480"/>
        <w:rPr>
          <w:rFonts w:ascii="宋体" w:hAnsi="宋体"/>
          <w:sz w:val="24"/>
          <w:szCs w:val="24"/>
        </w:rPr>
      </w:pPr>
      <w:r>
        <w:rPr>
          <w:rFonts w:hint="eastAsia" w:ascii="宋体" w:hAnsi="宋体"/>
          <w:sz w:val="24"/>
          <w:szCs w:val="24"/>
        </w:rPr>
        <w:t>（1）因“苏采云”系统故障原因造成开启（解密）不成功的，或者至磋商文件规定的截止时间成功解密电子响应文件的供应商不足三家的。</w:t>
      </w:r>
    </w:p>
    <w:p w14:paraId="18D866FC">
      <w:pPr>
        <w:spacing w:line="500" w:lineRule="exact"/>
        <w:ind w:firstLine="480"/>
        <w:rPr>
          <w:rFonts w:ascii="宋体" w:hAnsi="宋体"/>
          <w:sz w:val="24"/>
          <w:szCs w:val="24"/>
        </w:rPr>
      </w:pPr>
      <w:r>
        <w:rPr>
          <w:rFonts w:hint="eastAsia" w:ascii="宋体" w:hAnsi="宋体"/>
          <w:sz w:val="24"/>
          <w:szCs w:val="24"/>
        </w:rPr>
        <w:t>（2）磋商小组认定磋商文件存在歧义、重大缺陷导致评审工作无法进行，或者磋商文件内容违反国家有关强制性规定的。</w:t>
      </w:r>
    </w:p>
    <w:p w14:paraId="38E78BEF">
      <w:pPr>
        <w:spacing w:line="500" w:lineRule="exact"/>
        <w:ind w:firstLine="480"/>
        <w:rPr>
          <w:rFonts w:ascii="宋体" w:hAnsi="宋体"/>
          <w:sz w:val="24"/>
          <w:szCs w:val="24"/>
        </w:rPr>
      </w:pPr>
      <w:r>
        <w:rPr>
          <w:rFonts w:hint="eastAsia" w:ascii="宋体" w:hAnsi="宋体"/>
          <w:sz w:val="24"/>
          <w:szCs w:val="24"/>
        </w:rPr>
        <w:t>（3）除本磋商文件第二章第27.2条第三款规定的情形外，符合专业条件的供应商或者对磋商文件作实质响应的供应商不足三家的。</w:t>
      </w:r>
    </w:p>
    <w:p w14:paraId="77018273">
      <w:pPr>
        <w:spacing w:line="500" w:lineRule="exact"/>
        <w:ind w:firstLine="480"/>
        <w:rPr>
          <w:rFonts w:ascii="宋体" w:hAnsi="宋体"/>
          <w:sz w:val="24"/>
          <w:szCs w:val="24"/>
        </w:rPr>
      </w:pPr>
      <w:r>
        <w:rPr>
          <w:rFonts w:hint="eastAsia" w:ascii="宋体" w:hAnsi="宋体"/>
          <w:sz w:val="24"/>
          <w:szCs w:val="24"/>
        </w:rPr>
        <w:t>（4）出现影响采购公正的违法、违规行为的。</w:t>
      </w:r>
    </w:p>
    <w:p w14:paraId="4CB37776">
      <w:pPr>
        <w:spacing w:line="500" w:lineRule="exact"/>
        <w:ind w:firstLine="480"/>
        <w:rPr>
          <w:rFonts w:ascii="宋体" w:hAnsi="宋体"/>
          <w:sz w:val="24"/>
          <w:szCs w:val="24"/>
        </w:rPr>
      </w:pPr>
      <w:r>
        <w:rPr>
          <w:rFonts w:hint="eastAsia" w:ascii="宋体" w:hAnsi="宋体"/>
          <w:sz w:val="24"/>
          <w:szCs w:val="24"/>
        </w:rPr>
        <w:t>（5）因重大变故，采购任务取消的。</w:t>
      </w:r>
    </w:p>
    <w:p w14:paraId="25744F1B">
      <w:pPr>
        <w:pStyle w:val="4"/>
        <w:spacing w:before="0" w:after="0" w:line="500" w:lineRule="exact"/>
        <w:rPr>
          <w:rFonts w:ascii="黑体" w:hAnsi="黑体" w:eastAsia="黑体"/>
          <w:b w:val="0"/>
        </w:rPr>
      </w:pPr>
      <w:r>
        <w:rPr>
          <w:rFonts w:hint="eastAsia" w:ascii="黑体" w:hAnsi="黑体" w:eastAsia="黑体"/>
          <w:b w:val="0"/>
        </w:rPr>
        <w:t>六、成交</w:t>
      </w:r>
    </w:p>
    <w:p w14:paraId="67D67358">
      <w:pPr>
        <w:pStyle w:val="18"/>
        <w:spacing w:line="500" w:lineRule="exact"/>
        <w:ind w:firstLine="482"/>
        <w:rPr>
          <w:rFonts w:hAnsi="宋体"/>
          <w:b/>
          <w:sz w:val="24"/>
          <w:szCs w:val="24"/>
        </w:rPr>
      </w:pPr>
      <w:r>
        <w:rPr>
          <w:rFonts w:hint="eastAsia" w:hAnsi="宋体"/>
          <w:b/>
          <w:sz w:val="24"/>
          <w:szCs w:val="24"/>
        </w:rPr>
        <w:t>30、确定成交单位</w:t>
      </w:r>
    </w:p>
    <w:p w14:paraId="0871BAE0">
      <w:pPr>
        <w:spacing w:line="500" w:lineRule="exact"/>
        <w:ind w:firstLine="480"/>
        <w:rPr>
          <w:rFonts w:ascii="宋体" w:hAnsi="宋体"/>
          <w:sz w:val="24"/>
          <w:szCs w:val="24"/>
        </w:rPr>
      </w:pPr>
      <w:r>
        <w:rPr>
          <w:rFonts w:hint="eastAsia" w:ascii="宋体" w:hAnsi="宋体"/>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02DC1DFA">
      <w:pPr>
        <w:spacing w:line="500" w:lineRule="exact"/>
        <w:ind w:firstLine="480"/>
        <w:rPr>
          <w:rFonts w:ascii="宋体" w:hAnsi="宋体"/>
          <w:sz w:val="24"/>
          <w:szCs w:val="24"/>
        </w:rPr>
      </w:pPr>
      <w:r>
        <w:rPr>
          <w:rFonts w:hint="eastAsia" w:ascii="宋体" w:hAnsi="宋体"/>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7927336">
      <w:pPr>
        <w:spacing w:line="500" w:lineRule="exact"/>
        <w:ind w:firstLine="480"/>
        <w:rPr>
          <w:rFonts w:ascii="宋体" w:hAnsi="宋体"/>
          <w:sz w:val="24"/>
          <w:szCs w:val="24"/>
        </w:rPr>
      </w:pPr>
      <w:r>
        <w:rPr>
          <w:rFonts w:hint="eastAsia" w:ascii="宋体" w:hAnsi="宋体"/>
          <w:sz w:val="24"/>
          <w:szCs w:val="24"/>
        </w:rPr>
        <w:t>30.2 采购人从评审报告提出的成交候选供应商中，按照排序由高到低的原则确定成交供应商。采购人确定成交供应商后，交易中心将在江苏政府采购网发布成交结果公告，公告期限为1个工作日。</w:t>
      </w:r>
    </w:p>
    <w:p w14:paraId="092470C7">
      <w:pPr>
        <w:spacing w:line="500" w:lineRule="exact"/>
        <w:ind w:firstLine="480"/>
        <w:rPr>
          <w:rFonts w:ascii="宋体" w:hAnsi="宋体"/>
          <w:sz w:val="24"/>
          <w:szCs w:val="24"/>
        </w:rPr>
      </w:pPr>
      <w:r>
        <w:rPr>
          <w:rFonts w:hint="eastAsia" w:ascii="宋体" w:hAnsi="宋体"/>
          <w:sz w:val="24"/>
          <w:szCs w:val="24"/>
        </w:rPr>
        <w:t>30.3 若有充分证据证明，成交供应商存在下列情形之一的，一经查实，将被取消成交资格：</w:t>
      </w:r>
    </w:p>
    <w:p w14:paraId="40138A2A">
      <w:pPr>
        <w:spacing w:line="500" w:lineRule="exact"/>
        <w:ind w:firstLine="480"/>
        <w:rPr>
          <w:rFonts w:ascii="宋体" w:hAnsi="宋体"/>
          <w:sz w:val="24"/>
          <w:szCs w:val="24"/>
        </w:rPr>
      </w:pPr>
      <w:r>
        <w:rPr>
          <w:rFonts w:hint="eastAsia" w:ascii="宋体" w:hAnsi="宋体"/>
          <w:sz w:val="24"/>
          <w:szCs w:val="24"/>
        </w:rPr>
        <w:t>（1）提供虚假材料谋取中标、成交的。</w:t>
      </w:r>
    </w:p>
    <w:p w14:paraId="407EEDF0">
      <w:pPr>
        <w:spacing w:line="500" w:lineRule="exact"/>
        <w:ind w:firstLine="480"/>
        <w:rPr>
          <w:rFonts w:ascii="宋体" w:hAnsi="宋体"/>
          <w:sz w:val="24"/>
          <w:szCs w:val="24"/>
        </w:rPr>
      </w:pPr>
      <w:r>
        <w:rPr>
          <w:rFonts w:hint="eastAsia" w:ascii="宋体" w:hAnsi="宋体"/>
          <w:sz w:val="24"/>
          <w:szCs w:val="24"/>
        </w:rPr>
        <w:t>（2）采取不正当手段诋毁、排挤其他供应商的。</w:t>
      </w:r>
    </w:p>
    <w:p w14:paraId="56295BA1">
      <w:pPr>
        <w:spacing w:line="500" w:lineRule="exact"/>
        <w:ind w:firstLine="480"/>
        <w:rPr>
          <w:rFonts w:ascii="宋体" w:hAnsi="宋体"/>
          <w:sz w:val="24"/>
          <w:szCs w:val="24"/>
        </w:rPr>
      </w:pPr>
      <w:r>
        <w:rPr>
          <w:rFonts w:hint="eastAsia" w:ascii="宋体" w:hAnsi="宋体"/>
          <w:sz w:val="24"/>
          <w:szCs w:val="24"/>
        </w:rPr>
        <w:t>（3）与采购人、其他供应商或者交易中心恶意串通的。</w:t>
      </w:r>
    </w:p>
    <w:p w14:paraId="7D3C9C56">
      <w:pPr>
        <w:spacing w:line="500" w:lineRule="exact"/>
        <w:ind w:firstLine="480"/>
        <w:rPr>
          <w:rFonts w:ascii="宋体" w:hAnsi="宋体"/>
          <w:sz w:val="24"/>
          <w:szCs w:val="24"/>
        </w:rPr>
      </w:pPr>
      <w:r>
        <w:rPr>
          <w:rFonts w:hint="eastAsia" w:ascii="宋体" w:hAnsi="宋体"/>
          <w:sz w:val="24"/>
          <w:szCs w:val="24"/>
        </w:rPr>
        <w:t>（4）向采购人、交易中心行贿或者提供其他不正当利益的。</w:t>
      </w:r>
    </w:p>
    <w:p w14:paraId="489DE717">
      <w:pPr>
        <w:spacing w:line="500" w:lineRule="exact"/>
        <w:ind w:firstLine="480"/>
        <w:rPr>
          <w:rFonts w:ascii="宋体" w:hAnsi="宋体"/>
          <w:sz w:val="24"/>
          <w:szCs w:val="24"/>
        </w:rPr>
      </w:pPr>
      <w:r>
        <w:rPr>
          <w:rFonts w:hint="eastAsia" w:ascii="宋体" w:hAnsi="宋体"/>
          <w:sz w:val="24"/>
          <w:szCs w:val="24"/>
        </w:rPr>
        <w:t>（5）属于本磋商文件规定的无效情形，但在评审过程中又未被磋商小组发现的。</w:t>
      </w:r>
    </w:p>
    <w:p w14:paraId="559FDEBF">
      <w:pPr>
        <w:spacing w:line="500" w:lineRule="exact"/>
        <w:ind w:firstLine="480"/>
        <w:rPr>
          <w:rFonts w:ascii="宋体" w:hAnsi="宋体"/>
          <w:sz w:val="24"/>
          <w:szCs w:val="24"/>
        </w:rPr>
      </w:pPr>
      <w:r>
        <w:rPr>
          <w:rFonts w:hint="eastAsia" w:ascii="宋体" w:hAnsi="宋体"/>
          <w:sz w:val="24"/>
          <w:szCs w:val="24"/>
        </w:rPr>
        <w:t>（6）成交后无正当理由拒不与采购人签订政府采购合同或者未按照磋商文件确定的事项签订政府采购合同的。</w:t>
      </w:r>
    </w:p>
    <w:p w14:paraId="2EDC8C2F">
      <w:pPr>
        <w:spacing w:line="500" w:lineRule="exact"/>
        <w:ind w:firstLine="480"/>
        <w:rPr>
          <w:rFonts w:ascii="宋体" w:hAnsi="宋体"/>
          <w:sz w:val="24"/>
          <w:szCs w:val="24"/>
        </w:rPr>
      </w:pPr>
      <w:r>
        <w:rPr>
          <w:rFonts w:hint="eastAsia" w:ascii="宋体" w:hAnsi="宋体"/>
          <w:sz w:val="24"/>
          <w:szCs w:val="24"/>
        </w:rPr>
        <w:t>（7）将政府采购合同转包的。</w:t>
      </w:r>
    </w:p>
    <w:p w14:paraId="71319670">
      <w:pPr>
        <w:pStyle w:val="18"/>
        <w:spacing w:line="500" w:lineRule="exact"/>
        <w:ind w:firstLine="482"/>
        <w:rPr>
          <w:rFonts w:hAnsi="宋体"/>
          <w:b/>
          <w:sz w:val="24"/>
          <w:szCs w:val="24"/>
        </w:rPr>
      </w:pPr>
      <w:r>
        <w:rPr>
          <w:rFonts w:hint="eastAsia" w:hAnsi="宋体"/>
          <w:b/>
          <w:sz w:val="24"/>
          <w:szCs w:val="24"/>
        </w:rPr>
        <w:t>31、成交通知书</w:t>
      </w:r>
    </w:p>
    <w:p w14:paraId="2A4AA771">
      <w:pPr>
        <w:spacing w:line="500" w:lineRule="exact"/>
        <w:ind w:firstLine="480"/>
        <w:rPr>
          <w:rFonts w:ascii="宋体" w:hAnsi="宋体"/>
          <w:sz w:val="24"/>
          <w:szCs w:val="24"/>
        </w:rPr>
      </w:pPr>
      <w:r>
        <w:rPr>
          <w:rFonts w:hint="eastAsia" w:ascii="宋体" w:hAnsi="宋体"/>
          <w:sz w:val="24"/>
          <w:szCs w:val="24"/>
        </w:rPr>
        <w:t>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739F311A">
      <w:pPr>
        <w:spacing w:line="500" w:lineRule="exact"/>
        <w:ind w:firstLine="480"/>
        <w:rPr>
          <w:rFonts w:ascii="宋体" w:hAnsi="宋体"/>
          <w:sz w:val="24"/>
          <w:szCs w:val="24"/>
        </w:rPr>
      </w:pPr>
      <w:r>
        <w:rPr>
          <w:rFonts w:hint="eastAsia" w:ascii="宋体" w:hAnsi="宋体"/>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066AB29A">
      <w:pPr>
        <w:pStyle w:val="4"/>
        <w:spacing w:before="0" w:after="0" w:line="500" w:lineRule="exact"/>
        <w:rPr>
          <w:rFonts w:ascii="黑体" w:hAnsi="黑体" w:eastAsia="黑体"/>
          <w:b w:val="0"/>
        </w:rPr>
      </w:pPr>
      <w:r>
        <w:rPr>
          <w:rFonts w:hint="eastAsia" w:ascii="黑体" w:hAnsi="黑体" w:eastAsia="黑体"/>
          <w:b w:val="0"/>
        </w:rPr>
        <w:t>七、授予合同</w:t>
      </w:r>
    </w:p>
    <w:p w14:paraId="29AD9F80">
      <w:pPr>
        <w:pStyle w:val="18"/>
        <w:spacing w:line="500" w:lineRule="exact"/>
        <w:ind w:firstLine="482"/>
        <w:rPr>
          <w:rFonts w:hAnsi="宋体"/>
          <w:b/>
          <w:sz w:val="24"/>
          <w:szCs w:val="24"/>
        </w:rPr>
      </w:pPr>
      <w:r>
        <w:rPr>
          <w:rFonts w:hint="eastAsia" w:hAnsi="宋体"/>
          <w:b/>
          <w:sz w:val="24"/>
          <w:szCs w:val="24"/>
        </w:rPr>
        <w:t>32、履约保证金</w:t>
      </w:r>
    </w:p>
    <w:p w14:paraId="0FC19A94">
      <w:pPr>
        <w:spacing w:line="500" w:lineRule="exact"/>
        <w:ind w:firstLine="480"/>
        <w:rPr>
          <w:rFonts w:ascii="宋体" w:hAnsi="宋体"/>
          <w:sz w:val="24"/>
          <w:szCs w:val="24"/>
        </w:rPr>
      </w:pPr>
      <w:r>
        <w:rPr>
          <w:rFonts w:hint="eastAsia" w:ascii="宋体" w:hAnsi="宋体"/>
          <w:sz w:val="24"/>
          <w:szCs w:val="24"/>
        </w:rPr>
        <w:t>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0097D97E">
      <w:pPr>
        <w:spacing w:line="500" w:lineRule="exact"/>
        <w:ind w:firstLine="480"/>
        <w:rPr>
          <w:rFonts w:ascii="宋体" w:hAnsi="宋体"/>
          <w:sz w:val="24"/>
          <w:szCs w:val="24"/>
        </w:rPr>
      </w:pPr>
      <w:r>
        <w:rPr>
          <w:rFonts w:hint="eastAsia" w:ascii="宋体" w:hAnsi="宋体"/>
          <w:sz w:val="24"/>
          <w:szCs w:val="24"/>
        </w:rPr>
        <w:t>32.2 成交供应商违约的，采购人将按照合同约定扣除其全部或部分履约保证金。如成交供应商违约给采购人造成的损失超过履约保证金的，应当依法赔偿超过部分的损失。</w:t>
      </w:r>
    </w:p>
    <w:p w14:paraId="31C98821">
      <w:pPr>
        <w:spacing w:line="500" w:lineRule="exact"/>
        <w:ind w:firstLine="480"/>
        <w:rPr>
          <w:rFonts w:ascii="宋体" w:hAnsi="宋体"/>
          <w:sz w:val="24"/>
          <w:szCs w:val="24"/>
        </w:rPr>
      </w:pPr>
      <w:r>
        <w:rPr>
          <w:rFonts w:hint="eastAsia" w:ascii="宋体" w:hAnsi="宋体"/>
          <w:sz w:val="24"/>
          <w:szCs w:val="24"/>
        </w:rPr>
        <w:t>32.3 履约保证金自合同生效之日起至合同约定的成交供应商主要义务履行完毕止，采购人应当按合同约定及时退还履约保证金。</w:t>
      </w:r>
    </w:p>
    <w:p w14:paraId="1B2ADF00">
      <w:pPr>
        <w:spacing w:line="500" w:lineRule="exact"/>
        <w:ind w:firstLine="480"/>
        <w:rPr>
          <w:rFonts w:ascii="宋体" w:hAnsi="宋体"/>
          <w:sz w:val="24"/>
          <w:szCs w:val="24"/>
        </w:rPr>
      </w:pPr>
      <w:r>
        <w:rPr>
          <w:rFonts w:hint="eastAsia" w:ascii="宋体" w:hAnsi="宋体"/>
          <w:sz w:val="24"/>
          <w:szCs w:val="24"/>
        </w:rPr>
        <w:t>32.4 逾期退还履约保证金的采购人承担违约责任，按照中国人民银行同期贷款基准利率向成交供应商支付超期资金占用费。</w:t>
      </w:r>
    </w:p>
    <w:p w14:paraId="2294262A">
      <w:pPr>
        <w:spacing w:line="500" w:lineRule="exact"/>
        <w:ind w:firstLine="480"/>
        <w:rPr>
          <w:rFonts w:ascii="宋体" w:hAnsi="宋体"/>
          <w:sz w:val="24"/>
          <w:szCs w:val="24"/>
        </w:rPr>
      </w:pPr>
      <w:r>
        <w:rPr>
          <w:rFonts w:hint="eastAsia" w:ascii="宋体" w:hAnsi="宋体"/>
          <w:sz w:val="24"/>
          <w:szCs w:val="24"/>
        </w:rPr>
        <w:t>32.5 本项目履约保证金要求详见磋商文件第四章 采购需求。</w:t>
      </w:r>
    </w:p>
    <w:p w14:paraId="2A1B8214">
      <w:pPr>
        <w:pStyle w:val="18"/>
        <w:spacing w:line="500" w:lineRule="exact"/>
        <w:ind w:firstLine="482"/>
        <w:rPr>
          <w:rFonts w:hAnsi="宋体"/>
          <w:b/>
          <w:sz w:val="24"/>
          <w:szCs w:val="24"/>
        </w:rPr>
      </w:pPr>
      <w:r>
        <w:rPr>
          <w:rFonts w:hint="eastAsia" w:hAnsi="宋体"/>
          <w:b/>
          <w:sz w:val="24"/>
          <w:szCs w:val="24"/>
        </w:rPr>
        <w:t>33、签订合同</w:t>
      </w:r>
    </w:p>
    <w:p w14:paraId="2C2C82BD">
      <w:pPr>
        <w:spacing w:line="500" w:lineRule="exact"/>
        <w:ind w:firstLine="480"/>
        <w:rPr>
          <w:rFonts w:ascii="宋体" w:hAnsi="宋体"/>
          <w:sz w:val="24"/>
          <w:szCs w:val="24"/>
        </w:rPr>
      </w:pPr>
      <w:r>
        <w:rPr>
          <w:rFonts w:hint="eastAsia" w:ascii="宋体" w:hAnsi="宋体"/>
          <w:sz w:val="24"/>
          <w:szCs w:val="24"/>
        </w:rPr>
        <w:t>33.1 成交供应商应当在成交通知书发出之日起三十日内，按照磋商文件和成交供应商响应文件的规定，与采购人签订政府采购合同。</w:t>
      </w:r>
    </w:p>
    <w:p w14:paraId="2B8DF1BA">
      <w:pPr>
        <w:spacing w:line="500" w:lineRule="exact"/>
        <w:ind w:firstLine="480"/>
        <w:rPr>
          <w:rFonts w:ascii="宋体" w:hAnsi="宋体"/>
          <w:sz w:val="24"/>
          <w:szCs w:val="24"/>
        </w:rPr>
      </w:pPr>
      <w:r>
        <w:rPr>
          <w:rFonts w:hint="eastAsia" w:ascii="宋体" w:hAnsi="宋体"/>
          <w:sz w:val="24"/>
          <w:szCs w:val="24"/>
        </w:rPr>
        <w:t>33.2 磋商文件、成交供应商的响应文件及磋商采购过程中有关澄清、承诺、磋商响应等文件均应作为合同附件。</w:t>
      </w:r>
    </w:p>
    <w:p w14:paraId="2ADECAB4">
      <w:pPr>
        <w:spacing w:line="500" w:lineRule="exact"/>
        <w:ind w:firstLine="480"/>
        <w:rPr>
          <w:sz w:val="24"/>
          <w:szCs w:val="24"/>
        </w:rPr>
      </w:pPr>
      <w:r>
        <w:rPr>
          <w:rFonts w:hint="eastAsia" w:ascii="宋体" w:hAnsi="宋体"/>
          <w:sz w:val="24"/>
          <w:szCs w:val="24"/>
        </w:rPr>
        <w:t>33.3 签订合同后，成交供应商不得将合同标的转包。未经采购人同意，成交供应商也不得采用分包的形式履行合同，否则采购人有权终止合同</w:t>
      </w:r>
      <w:r>
        <w:rPr>
          <w:rFonts w:hint="eastAsia"/>
          <w:sz w:val="24"/>
          <w:szCs w:val="24"/>
        </w:rPr>
        <w:t>。转包或分包造成采购人损失的，成交供应商应承担相应赔偿责任。</w:t>
      </w:r>
    </w:p>
    <w:p w14:paraId="5F84DBED">
      <w:pPr>
        <w:pStyle w:val="18"/>
        <w:spacing w:line="500" w:lineRule="exact"/>
        <w:ind w:firstLine="482"/>
        <w:rPr>
          <w:rFonts w:hAnsi="宋体"/>
          <w:b/>
          <w:sz w:val="24"/>
          <w:szCs w:val="24"/>
        </w:rPr>
      </w:pPr>
      <w:r>
        <w:rPr>
          <w:rFonts w:hint="eastAsia" w:hAnsi="宋体"/>
          <w:b/>
          <w:sz w:val="24"/>
          <w:szCs w:val="24"/>
        </w:rPr>
        <w:t>34、合同标的的追加</w:t>
      </w:r>
    </w:p>
    <w:p w14:paraId="1D6591C2">
      <w:pPr>
        <w:spacing w:line="500" w:lineRule="exact"/>
        <w:ind w:firstLine="480"/>
        <w:rPr>
          <w:rFonts w:ascii="宋体" w:hAnsi="宋体"/>
          <w:sz w:val="24"/>
          <w:szCs w:val="24"/>
        </w:rPr>
      </w:pPr>
      <w:r>
        <w:rPr>
          <w:rFonts w:hint="eastAsia" w:ascii="宋体" w:hAnsi="宋体"/>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0E51E043">
      <w:pPr>
        <w:pStyle w:val="18"/>
        <w:spacing w:line="500" w:lineRule="exact"/>
        <w:ind w:firstLine="482"/>
        <w:rPr>
          <w:rFonts w:hAnsi="宋体"/>
          <w:b/>
          <w:sz w:val="24"/>
          <w:szCs w:val="24"/>
        </w:rPr>
      </w:pPr>
      <w:r>
        <w:rPr>
          <w:rFonts w:hint="eastAsia" w:hAnsi="宋体"/>
          <w:b/>
          <w:sz w:val="24"/>
          <w:szCs w:val="24"/>
        </w:rPr>
        <w:t>35、政府采购履约资金扶持政策</w:t>
      </w:r>
    </w:p>
    <w:p w14:paraId="6C908D3C">
      <w:pPr>
        <w:spacing w:line="500" w:lineRule="exact"/>
        <w:ind w:firstLine="480"/>
        <w:rPr>
          <w:rFonts w:ascii="宋体" w:hAnsi="宋体"/>
          <w:sz w:val="24"/>
          <w:szCs w:val="24"/>
        </w:rPr>
      </w:pPr>
      <w:r>
        <w:rPr>
          <w:rFonts w:hint="eastAsia" w:ascii="宋体" w:hAnsi="宋体"/>
          <w:sz w:val="24"/>
          <w:szCs w:val="24"/>
        </w:rPr>
        <w:t>35.1 成交供应商可凭政府采购合同办理融资贷款，详情请见江苏政府采购网“政采贷”专栏。</w:t>
      </w:r>
    </w:p>
    <w:p w14:paraId="4EF01C86">
      <w:pPr>
        <w:pStyle w:val="4"/>
        <w:spacing w:before="0" w:after="0" w:line="500" w:lineRule="exact"/>
        <w:rPr>
          <w:rFonts w:ascii="黑体" w:hAnsi="黑体" w:eastAsia="黑体"/>
          <w:b w:val="0"/>
        </w:rPr>
      </w:pPr>
      <w:r>
        <w:rPr>
          <w:rFonts w:hint="eastAsia" w:ascii="黑体" w:hAnsi="黑体" w:eastAsia="黑体"/>
          <w:b w:val="0"/>
        </w:rPr>
        <w:t>八、询问与质疑</w:t>
      </w:r>
    </w:p>
    <w:p w14:paraId="0E55F25F">
      <w:pPr>
        <w:pStyle w:val="18"/>
        <w:spacing w:line="500" w:lineRule="exact"/>
        <w:ind w:firstLine="482"/>
        <w:rPr>
          <w:rFonts w:hAnsi="宋体"/>
          <w:b/>
          <w:sz w:val="24"/>
          <w:szCs w:val="24"/>
        </w:rPr>
      </w:pPr>
      <w:r>
        <w:rPr>
          <w:rFonts w:hint="eastAsia" w:hAnsi="宋体"/>
          <w:b/>
          <w:sz w:val="24"/>
          <w:szCs w:val="24"/>
        </w:rPr>
        <w:t>36、询问</w:t>
      </w:r>
    </w:p>
    <w:p w14:paraId="7B7C9062">
      <w:pPr>
        <w:spacing w:line="500" w:lineRule="exact"/>
        <w:ind w:firstLine="480"/>
        <w:rPr>
          <w:rFonts w:ascii="宋体" w:hAnsi="宋体"/>
          <w:sz w:val="24"/>
          <w:szCs w:val="24"/>
        </w:rPr>
      </w:pPr>
      <w:r>
        <w:rPr>
          <w:rFonts w:hint="eastAsia" w:ascii="宋体" w:hAnsi="宋体"/>
          <w:sz w:val="24"/>
          <w:szCs w:val="24"/>
        </w:rPr>
        <w:t>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p>
    <w:p w14:paraId="277B769A">
      <w:pPr>
        <w:pStyle w:val="18"/>
        <w:spacing w:line="500" w:lineRule="exact"/>
        <w:ind w:firstLine="482"/>
        <w:rPr>
          <w:rFonts w:hAnsi="宋体"/>
          <w:b/>
          <w:sz w:val="24"/>
          <w:szCs w:val="24"/>
        </w:rPr>
      </w:pPr>
      <w:r>
        <w:rPr>
          <w:rFonts w:hint="eastAsia" w:hAnsi="宋体"/>
          <w:b/>
          <w:sz w:val="24"/>
          <w:szCs w:val="24"/>
        </w:rPr>
        <w:t>37、质疑提出</w:t>
      </w:r>
    </w:p>
    <w:p w14:paraId="750249A7">
      <w:pPr>
        <w:spacing w:line="500" w:lineRule="exact"/>
        <w:ind w:firstLine="480"/>
        <w:rPr>
          <w:rFonts w:ascii="宋体" w:hAnsi="宋体"/>
          <w:sz w:val="24"/>
          <w:szCs w:val="24"/>
        </w:rPr>
      </w:pPr>
      <w:r>
        <w:rPr>
          <w:rFonts w:hint="eastAsia" w:ascii="宋体" w:hAnsi="宋体"/>
          <w:sz w:val="24"/>
          <w:szCs w:val="24"/>
        </w:rPr>
        <w:t>37.1 提出质疑的供应商应当是参与所质疑项目采购活动的供应商。</w:t>
      </w:r>
    </w:p>
    <w:p w14:paraId="1C2841AC">
      <w:pPr>
        <w:spacing w:line="500" w:lineRule="exact"/>
        <w:ind w:firstLine="480"/>
        <w:rPr>
          <w:rFonts w:ascii="宋体" w:hAnsi="宋体"/>
          <w:sz w:val="24"/>
          <w:szCs w:val="24"/>
        </w:rPr>
      </w:pPr>
      <w:r>
        <w:rPr>
          <w:rFonts w:hint="eastAsia" w:ascii="宋体" w:hAnsi="宋体"/>
          <w:sz w:val="24"/>
          <w:szCs w:val="24"/>
        </w:rPr>
        <w:t>37.2 供应商认为采购文件、采购过程、采购结果使自己的权益受到损害的，可以在知道或者应知其权益受到损害之日（获取采购文件之日、成交结果公告发布之日）起七个工作日内以书面形式向采购人、交易中心提出质疑。</w:t>
      </w:r>
    </w:p>
    <w:p w14:paraId="371CFE5B">
      <w:pPr>
        <w:spacing w:line="500" w:lineRule="exact"/>
        <w:ind w:firstLine="480"/>
        <w:rPr>
          <w:rFonts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5826BA4E">
      <w:pPr>
        <w:spacing w:line="500" w:lineRule="exact"/>
        <w:ind w:firstLine="480"/>
        <w:rPr>
          <w:rFonts w:ascii="宋体" w:hAnsi="宋体"/>
          <w:sz w:val="24"/>
          <w:szCs w:val="24"/>
        </w:rPr>
      </w:pPr>
      <w:r>
        <w:rPr>
          <w:rFonts w:hint="eastAsia" w:ascii="宋体" w:hAnsi="宋体"/>
          <w:sz w:val="24"/>
          <w:szCs w:val="24"/>
        </w:rPr>
        <w:t>未按照采购公告要求获取采购文件的供应商，视为未参与该项目采购活动，不具备对该采购文件提出质疑的法定权利。</w:t>
      </w:r>
    </w:p>
    <w:p w14:paraId="6F7294EE">
      <w:pPr>
        <w:spacing w:line="500" w:lineRule="exact"/>
        <w:ind w:firstLine="480"/>
        <w:rPr>
          <w:rFonts w:ascii="宋体" w:hAnsi="宋体"/>
          <w:sz w:val="24"/>
          <w:szCs w:val="24"/>
        </w:rPr>
      </w:pPr>
      <w:r>
        <w:rPr>
          <w:rFonts w:hint="eastAsia" w:ascii="宋体" w:hAnsi="宋体"/>
          <w:sz w:val="24"/>
          <w:szCs w:val="24"/>
        </w:rPr>
        <w:t>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45F3DF9E">
      <w:pPr>
        <w:spacing w:line="500" w:lineRule="exact"/>
        <w:ind w:firstLine="480"/>
        <w:rPr>
          <w:rFonts w:ascii="宋体" w:hAnsi="宋体"/>
          <w:sz w:val="24"/>
          <w:szCs w:val="24"/>
        </w:rPr>
      </w:pPr>
      <w:r>
        <w:rPr>
          <w:rFonts w:hint="eastAsia" w:ascii="宋体" w:hAnsi="宋体"/>
          <w:sz w:val="24"/>
          <w:szCs w:val="24"/>
        </w:rPr>
        <w:t>37.4 质疑函的接收方式为供应商书面原件提交。联系部门、联系电话和通讯地址详见磋商文件第一章。质疑实行实名制，不得进行虚假、恶意质疑。</w:t>
      </w:r>
    </w:p>
    <w:p w14:paraId="3CF9670A">
      <w:pPr>
        <w:spacing w:line="500" w:lineRule="exact"/>
        <w:ind w:firstLine="480"/>
        <w:rPr>
          <w:rFonts w:ascii="宋体" w:hAnsi="宋体"/>
          <w:sz w:val="24"/>
          <w:szCs w:val="24"/>
        </w:rPr>
      </w:pPr>
      <w:r>
        <w:rPr>
          <w:rFonts w:hint="eastAsia" w:ascii="宋体" w:hAnsi="宋体"/>
          <w:sz w:val="24"/>
          <w:szCs w:val="24"/>
        </w:rPr>
        <w:t>37.5 质疑函应当使用范本，详见磋商文件第六章。供应商提出质疑应当提交质疑函和必要的证明材料，应当包括下列内容：</w:t>
      </w:r>
    </w:p>
    <w:p w14:paraId="003772BE">
      <w:pPr>
        <w:spacing w:line="500" w:lineRule="exact"/>
        <w:ind w:firstLine="480"/>
        <w:rPr>
          <w:rFonts w:ascii="宋体" w:hAnsi="宋体"/>
          <w:sz w:val="24"/>
          <w:szCs w:val="24"/>
        </w:rPr>
      </w:pPr>
      <w:r>
        <w:rPr>
          <w:rFonts w:hint="eastAsia" w:ascii="宋体" w:hAnsi="宋体"/>
          <w:sz w:val="24"/>
          <w:szCs w:val="24"/>
        </w:rPr>
        <w:t>（1）供应商的姓名或者名称、地址、邮编、联系人及联系电话；</w:t>
      </w:r>
    </w:p>
    <w:p w14:paraId="02B564BD">
      <w:pPr>
        <w:spacing w:line="500" w:lineRule="exact"/>
        <w:ind w:firstLine="480"/>
        <w:rPr>
          <w:rFonts w:ascii="宋体" w:hAnsi="宋体"/>
          <w:sz w:val="24"/>
          <w:szCs w:val="24"/>
        </w:rPr>
      </w:pPr>
      <w:r>
        <w:rPr>
          <w:rFonts w:hint="eastAsia" w:ascii="宋体" w:hAnsi="宋体"/>
          <w:sz w:val="24"/>
          <w:szCs w:val="24"/>
        </w:rPr>
        <w:t>（2）质疑项目的名称、编号；</w:t>
      </w:r>
    </w:p>
    <w:p w14:paraId="63BB501B">
      <w:pPr>
        <w:spacing w:line="500" w:lineRule="exact"/>
        <w:ind w:firstLine="480"/>
        <w:rPr>
          <w:rFonts w:ascii="宋体" w:hAnsi="宋体"/>
          <w:sz w:val="24"/>
          <w:szCs w:val="24"/>
        </w:rPr>
      </w:pPr>
      <w:r>
        <w:rPr>
          <w:rFonts w:hint="eastAsia" w:ascii="宋体" w:hAnsi="宋体"/>
          <w:sz w:val="24"/>
          <w:szCs w:val="24"/>
        </w:rPr>
        <w:t>（3）具体、明确的质疑事项和与质疑事项相关的请求；</w:t>
      </w:r>
    </w:p>
    <w:p w14:paraId="5B712F27">
      <w:pPr>
        <w:spacing w:line="500" w:lineRule="exact"/>
        <w:ind w:firstLine="480"/>
        <w:rPr>
          <w:rFonts w:ascii="宋体" w:hAnsi="宋体"/>
          <w:sz w:val="24"/>
          <w:szCs w:val="24"/>
        </w:rPr>
      </w:pPr>
      <w:r>
        <w:rPr>
          <w:rFonts w:hint="eastAsia" w:ascii="宋体" w:hAnsi="宋体"/>
          <w:sz w:val="24"/>
          <w:szCs w:val="24"/>
        </w:rPr>
        <w:t>（4）事实依据；</w:t>
      </w:r>
    </w:p>
    <w:p w14:paraId="7331099D">
      <w:pPr>
        <w:spacing w:line="500" w:lineRule="exact"/>
        <w:ind w:firstLine="480"/>
        <w:rPr>
          <w:rFonts w:ascii="宋体" w:hAnsi="宋体"/>
          <w:sz w:val="24"/>
          <w:szCs w:val="24"/>
        </w:rPr>
      </w:pPr>
      <w:r>
        <w:rPr>
          <w:rFonts w:hint="eastAsia" w:ascii="宋体" w:hAnsi="宋体"/>
          <w:sz w:val="24"/>
          <w:szCs w:val="24"/>
        </w:rPr>
        <w:t>（5）必要的法律依据；</w:t>
      </w:r>
    </w:p>
    <w:p w14:paraId="17093E2B">
      <w:pPr>
        <w:spacing w:line="500" w:lineRule="exact"/>
        <w:ind w:firstLine="480"/>
        <w:rPr>
          <w:rFonts w:ascii="宋体" w:hAnsi="宋体"/>
          <w:sz w:val="24"/>
          <w:szCs w:val="24"/>
        </w:rPr>
      </w:pPr>
      <w:r>
        <w:rPr>
          <w:rFonts w:hint="eastAsia" w:ascii="宋体" w:hAnsi="宋体"/>
          <w:sz w:val="24"/>
          <w:szCs w:val="24"/>
        </w:rPr>
        <w:t>（6）提出质疑的日期；</w:t>
      </w:r>
    </w:p>
    <w:p w14:paraId="2C190258">
      <w:pPr>
        <w:spacing w:line="500" w:lineRule="exact"/>
        <w:ind w:firstLine="480"/>
        <w:rPr>
          <w:rFonts w:ascii="宋体" w:hAnsi="宋体"/>
          <w:sz w:val="24"/>
          <w:szCs w:val="24"/>
        </w:rPr>
      </w:pPr>
      <w:r>
        <w:rPr>
          <w:rFonts w:hint="eastAsia" w:ascii="宋体" w:hAnsi="宋体"/>
          <w:sz w:val="24"/>
          <w:szCs w:val="24"/>
        </w:rPr>
        <w:t>（7）必要的证明材料；</w:t>
      </w:r>
    </w:p>
    <w:p w14:paraId="082D937F">
      <w:pPr>
        <w:spacing w:line="500" w:lineRule="exact"/>
        <w:ind w:firstLine="480"/>
        <w:rPr>
          <w:rFonts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6F6DF709">
      <w:pPr>
        <w:spacing w:line="500" w:lineRule="exact"/>
        <w:ind w:firstLine="480"/>
        <w:rPr>
          <w:rFonts w:hint="eastAsia"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供应商为自然人的，应当由本人签字；供应商为法人或者其他组织的，应当由法定代表人、主要负责人，或者其委托代理人签字或者盖章，并加盖单位公章。</w:t>
      </w:r>
    </w:p>
    <w:p w14:paraId="29CC29D6">
      <w:pPr>
        <w:widowControl/>
        <w:spacing w:line="500" w:lineRule="exact"/>
        <w:ind w:firstLine="480"/>
        <w:jc w:val="left"/>
        <w:rPr>
          <w:rFonts w:hint="eastAsia" w:ascii="宋体" w:hAnsi="宋体"/>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9210C09">
      <w:pPr>
        <w:pStyle w:val="18"/>
        <w:spacing w:line="500" w:lineRule="exact"/>
        <w:ind w:firstLine="482"/>
        <w:rPr>
          <w:rFonts w:hAnsi="宋体"/>
          <w:b/>
          <w:sz w:val="24"/>
          <w:szCs w:val="24"/>
        </w:rPr>
      </w:pPr>
      <w:r>
        <w:rPr>
          <w:rFonts w:hint="eastAsia" w:hAnsi="宋体"/>
          <w:b/>
          <w:sz w:val="24"/>
          <w:szCs w:val="24"/>
        </w:rPr>
        <w:t>38、质疑函的受理和答复</w:t>
      </w:r>
    </w:p>
    <w:p w14:paraId="1E387953">
      <w:pPr>
        <w:spacing w:line="500" w:lineRule="exact"/>
        <w:ind w:firstLine="480"/>
        <w:rPr>
          <w:rFonts w:ascii="宋体" w:hAnsi="宋体"/>
          <w:sz w:val="24"/>
          <w:szCs w:val="24"/>
        </w:rPr>
      </w:pPr>
      <w:r>
        <w:rPr>
          <w:rFonts w:hint="eastAsia" w:ascii="宋体" w:hAnsi="宋体"/>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2072CA1A">
      <w:pPr>
        <w:spacing w:line="500" w:lineRule="exact"/>
        <w:ind w:firstLine="480"/>
        <w:rPr>
          <w:rFonts w:ascii="宋体" w:hAnsi="宋体"/>
          <w:sz w:val="24"/>
          <w:szCs w:val="24"/>
        </w:rPr>
      </w:pPr>
      <w:r>
        <w:rPr>
          <w:rFonts w:hint="eastAsia" w:ascii="宋体" w:hAnsi="宋体"/>
          <w:sz w:val="24"/>
          <w:szCs w:val="24"/>
        </w:rPr>
        <w:t>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6840D29">
      <w:pPr>
        <w:spacing w:line="500" w:lineRule="exact"/>
        <w:ind w:firstLine="480"/>
        <w:rPr>
          <w:rFonts w:ascii="宋体" w:hAnsi="宋体"/>
          <w:sz w:val="24"/>
          <w:szCs w:val="24"/>
        </w:rPr>
      </w:pPr>
      <w:r>
        <w:rPr>
          <w:rFonts w:hint="eastAsia" w:ascii="宋体" w:hAnsi="宋体"/>
          <w:sz w:val="24"/>
          <w:szCs w:val="24"/>
        </w:rPr>
        <w:t>38.3 对不符合质疑要求的，采购人、交易中心有权要求其补充必要的证明材料，质疑供应商未在法定时间内补充必要的证明材料的，不利后果由质疑供应商自行承担。</w:t>
      </w:r>
    </w:p>
    <w:p w14:paraId="7C928A28">
      <w:pPr>
        <w:spacing w:line="500" w:lineRule="exact"/>
        <w:ind w:firstLine="480"/>
        <w:rPr>
          <w:rFonts w:ascii="宋体" w:hAnsi="宋体"/>
          <w:sz w:val="24"/>
          <w:szCs w:val="24"/>
        </w:rPr>
      </w:pPr>
      <w:r>
        <w:rPr>
          <w:rFonts w:hint="eastAsia" w:ascii="宋体" w:hAnsi="宋体"/>
          <w:sz w:val="24"/>
          <w:szCs w:val="24"/>
        </w:rPr>
        <w:t>38.4 以下情形的质疑依法不予受理：</w:t>
      </w:r>
    </w:p>
    <w:p w14:paraId="547CFD83">
      <w:pPr>
        <w:spacing w:line="500" w:lineRule="exact"/>
        <w:ind w:firstLine="480"/>
        <w:rPr>
          <w:rFonts w:ascii="宋体" w:hAnsi="宋体"/>
          <w:sz w:val="24"/>
          <w:szCs w:val="24"/>
        </w:rPr>
      </w:pPr>
      <w:r>
        <w:rPr>
          <w:rFonts w:hint="eastAsia" w:ascii="宋体" w:hAnsi="宋体"/>
          <w:sz w:val="24"/>
          <w:szCs w:val="24"/>
        </w:rPr>
        <w:t>（1）内容不符合《政府采购质疑和投诉办法》第十二条规定的质疑。</w:t>
      </w:r>
    </w:p>
    <w:p w14:paraId="0B26968E">
      <w:pPr>
        <w:spacing w:line="500" w:lineRule="exact"/>
        <w:ind w:firstLine="480"/>
        <w:rPr>
          <w:rFonts w:ascii="宋体" w:hAnsi="宋体"/>
          <w:sz w:val="24"/>
          <w:szCs w:val="24"/>
        </w:rPr>
      </w:pPr>
      <w:r>
        <w:rPr>
          <w:rFonts w:hint="eastAsia" w:ascii="宋体" w:hAnsi="宋体"/>
          <w:sz w:val="24"/>
          <w:szCs w:val="24"/>
        </w:rPr>
        <w:t>（2）超出政府采购法定期限的质疑。</w:t>
      </w:r>
    </w:p>
    <w:p w14:paraId="40381FD8">
      <w:pPr>
        <w:spacing w:line="500" w:lineRule="exact"/>
        <w:ind w:firstLine="480"/>
        <w:rPr>
          <w:rFonts w:ascii="宋体" w:hAnsi="宋体"/>
          <w:sz w:val="24"/>
          <w:szCs w:val="24"/>
        </w:rPr>
      </w:pPr>
      <w:r>
        <w:rPr>
          <w:rFonts w:hint="eastAsia" w:ascii="宋体" w:hAnsi="宋体"/>
          <w:sz w:val="24"/>
          <w:szCs w:val="24"/>
        </w:rPr>
        <w:t>（3）以传真、电子邮件等方式提交的非原件形式的质疑。</w:t>
      </w:r>
    </w:p>
    <w:p w14:paraId="68D9F844">
      <w:pPr>
        <w:spacing w:line="500" w:lineRule="exact"/>
        <w:ind w:firstLine="480"/>
        <w:rPr>
          <w:rFonts w:ascii="宋体" w:hAnsi="宋体"/>
          <w:sz w:val="24"/>
          <w:szCs w:val="24"/>
        </w:rPr>
      </w:pPr>
      <w:r>
        <w:rPr>
          <w:rFonts w:hint="eastAsia" w:ascii="宋体" w:hAnsi="宋体"/>
          <w:sz w:val="24"/>
          <w:szCs w:val="24"/>
        </w:rPr>
        <w:t>（4）未参与采购活动或在采购活动中自身权益未受到损害的供应商提出的质疑。</w:t>
      </w:r>
    </w:p>
    <w:p w14:paraId="1CCD6BBA">
      <w:pPr>
        <w:spacing w:line="500" w:lineRule="exact"/>
        <w:ind w:firstLine="480"/>
        <w:rPr>
          <w:rFonts w:ascii="宋体" w:hAnsi="宋体"/>
          <w:sz w:val="24"/>
          <w:szCs w:val="24"/>
        </w:rPr>
      </w:pPr>
      <w:r>
        <w:rPr>
          <w:rFonts w:hint="eastAsia" w:ascii="宋体" w:hAnsi="宋体"/>
          <w:sz w:val="24"/>
          <w:szCs w:val="24"/>
        </w:rPr>
        <w:t>（5）供应商组成联合体，联合体中任何一方或多方未按要求签字（盖章）、加盖公章的质疑。</w:t>
      </w:r>
    </w:p>
    <w:p w14:paraId="0C11DCE6">
      <w:pPr>
        <w:spacing w:line="500" w:lineRule="exact"/>
        <w:ind w:firstLine="480"/>
        <w:rPr>
          <w:rFonts w:hint="eastAsia" w:ascii="宋体" w:hAnsi="宋体"/>
          <w:sz w:val="24"/>
          <w:szCs w:val="24"/>
        </w:rPr>
      </w:pPr>
      <w:r>
        <w:rPr>
          <w:rFonts w:hint="eastAsia" w:ascii="宋体" w:hAnsi="宋体"/>
          <w:sz w:val="24"/>
          <w:szCs w:val="24"/>
        </w:rPr>
        <w:t>38.5 采购人、交易中心依法受理的质疑，将按照政府采购有关规定，在法定期限内作出答复。</w:t>
      </w:r>
    </w:p>
    <w:p w14:paraId="6675227F">
      <w:pPr>
        <w:spacing w:line="500" w:lineRule="exact"/>
        <w:ind w:firstLine="480"/>
        <w:rPr>
          <w:rFonts w:ascii="宋体" w:hAnsi="宋体"/>
          <w:sz w:val="24"/>
          <w:szCs w:val="24"/>
        </w:rPr>
      </w:pPr>
      <w:r>
        <w:rPr>
          <w:rFonts w:hint="eastAsia" w:ascii="宋体" w:hAnsi="宋体"/>
          <w:sz w:val="24"/>
          <w:szCs w:val="24"/>
        </w:rPr>
        <w:t>38.6 因质疑供应商所留联系方式无效，或者无故不接收，导致质疑答复结果无法送达的，视为质疑供应商主动放弃知晓质疑答复结果的权利。</w:t>
      </w:r>
    </w:p>
    <w:p w14:paraId="73852911">
      <w:pPr>
        <w:spacing w:line="500" w:lineRule="exact"/>
        <w:ind w:firstLine="480"/>
        <w:rPr>
          <w:rFonts w:hint="eastAsia" w:ascii="宋体" w:hAnsi="宋体"/>
          <w:sz w:val="24"/>
          <w:szCs w:val="24"/>
        </w:rPr>
      </w:pPr>
      <w:r>
        <w:rPr>
          <w:rFonts w:hint="eastAsia" w:ascii="宋体" w:hAnsi="宋体"/>
          <w:sz w:val="24"/>
          <w:szCs w:val="24"/>
        </w:rPr>
        <w:t>39.</w:t>
      </w:r>
      <w:r>
        <w:rPr>
          <w:rFonts w:hint="eastAsia" w:ascii="宋体" w:hAnsi="宋体"/>
          <w:sz w:val="24"/>
          <w:szCs w:val="24"/>
          <w:lang w:val="en-US" w:eastAsia="zh-CN"/>
        </w:rPr>
        <w:t>1</w:t>
      </w:r>
      <w:r>
        <w:rPr>
          <w:rFonts w:hint="eastAsia" w:ascii="宋体" w:hAnsi="宋体"/>
          <w:sz w:val="24"/>
          <w:szCs w:val="24"/>
        </w:rPr>
        <w:t xml:space="preserve"> 未尽事宜，依照有关法律、法规执行。</w:t>
      </w:r>
    </w:p>
    <w:p w14:paraId="79F2B779">
      <w:pPr>
        <w:pStyle w:val="4"/>
        <w:spacing w:before="0" w:after="0" w:line="500" w:lineRule="exact"/>
        <w:rPr>
          <w:rFonts w:ascii="黑体" w:hAnsi="黑体" w:eastAsia="黑体"/>
          <w:b w:val="0"/>
        </w:rPr>
      </w:pPr>
      <w:r>
        <w:rPr>
          <w:rFonts w:hint="eastAsia" w:ascii="黑体" w:hAnsi="黑体" w:eastAsia="黑体"/>
          <w:b w:val="0"/>
        </w:rPr>
        <w:t>九、政府采购政策功能</w:t>
      </w:r>
    </w:p>
    <w:p w14:paraId="2E0E4D04">
      <w:pPr>
        <w:pStyle w:val="18"/>
        <w:spacing w:line="50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40、促进中小企业发展</w:t>
      </w:r>
    </w:p>
    <w:p w14:paraId="62C9EAF3">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DA039F8">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40.2 参加本项目政府采购活动的供应商应当提供的材料： </w:t>
      </w:r>
    </w:p>
    <w:p w14:paraId="7D65B786">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（1）供应商为中型企业、小型企业、微型企业的，提供《中小企业声明函》（第六章 响应文件格式）。</w:t>
      </w:r>
    </w:p>
    <w:p w14:paraId="4B0E45BA">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（2）符合《关于促进残疾人就业政府采购政策的通知》（财库〔2017〕141号）规定的条件并提供《残疾人福利性单位声明函》（第六章 响应文件格式）的残疾人福利性单位视同小型、微型企业。</w:t>
      </w:r>
    </w:p>
    <w:p w14:paraId="75D51688">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6D3DE62">
      <w:pPr>
        <w:pStyle w:val="18"/>
        <w:spacing w:line="500" w:lineRule="exact"/>
        <w:ind w:firstLine="480"/>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40.3 享受扶持政策获得政府采购合同的，小微型企业不得将合同分包给大中型企业，中型企业不得将合同分包给大型企业。</w:t>
      </w:r>
    </w:p>
    <w:p w14:paraId="52122F95">
      <w:pPr>
        <w:pStyle w:val="18"/>
        <w:spacing w:line="500" w:lineRule="exact"/>
        <w:ind w:firstLine="482"/>
        <w:rPr>
          <w:rFonts w:asciiTheme="minorEastAsia" w:hAnsiTheme="minorEastAsia" w:eastAsiaTheme="minorEastAsia"/>
          <w:b/>
          <w:bCs w:val="0"/>
          <w:sz w:val="24"/>
          <w:szCs w:val="24"/>
        </w:rPr>
      </w:pPr>
      <w:r>
        <w:rPr>
          <w:rFonts w:hint="eastAsia" w:asciiTheme="minorEastAsia" w:hAnsiTheme="minorEastAsia" w:eastAsiaTheme="minorEastAsia"/>
          <w:b/>
          <w:bCs w:val="0"/>
          <w:sz w:val="24"/>
          <w:szCs w:val="24"/>
        </w:rPr>
        <w:t>41、支持绿色发展</w:t>
      </w:r>
    </w:p>
    <w:p w14:paraId="35464063">
      <w:pPr>
        <w:spacing w:line="500" w:lineRule="atLeast"/>
        <w:ind w:firstLine="480"/>
        <w:rPr>
          <w:rFonts w:ascii="宋体" w:hAnsi="宋体"/>
          <w:sz w:val="24"/>
          <w:szCs w:val="24"/>
        </w:rPr>
      </w:pPr>
      <w:r>
        <w:rPr>
          <w:rFonts w:hint="eastAsia" w:ascii="宋体" w:hAnsi="宋体"/>
          <w:sz w:val="24"/>
          <w:szCs w:val="24"/>
        </w:rPr>
        <w:t>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52A2BE5E">
      <w:pPr>
        <w:spacing w:line="500" w:lineRule="atLeast"/>
        <w:ind w:firstLine="480"/>
        <w:rPr>
          <w:rFonts w:ascii="宋体" w:hAnsi="宋体"/>
          <w:sz w:val="24"/>
          <w:szCs w:val="24"/>
        </w:rPr>
      </w:pPr>
      <w:r>
        <w:rPr>
          <w:rFonts w:hint="eastAsia" w:ascii="宋体" w:hAnsi="宋体"/>
          <w:sz w:val="24"/>
          <w:szCs w:val="24"/>
        </w:rPr>
        <w:t>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B34781A">
      <w:pPr>
        <w:spacing w:line="500" w:lineRule="atLeast"/>
        <w:ind w:firstLine="480"/>
        <w:rPr>
          <w:rFonts w:ascii="宋体" w:hAnsi="宋体"/>
          <w:sz w:val="24"/>
          <w:szCs w:val="24"/>
        </w:rPr>
      </w:pPr>
      <w:r>
        <w:rPr>
          <w:rFonts w:hint="eastAsia" w:ascii="宋体" w:hAnsi="宋体"/>
          <w:sz w:val="24"/>
          <w:szCs w:val="24"/>
        </w:rPr>
        <w:t>41.3本项目执行《财政部 生态环境部 工业和信息化部关于印发&lt;绿色数据中心政府采购需求标准（试行）&gt;的通知》（财库〔2023〕7号）的相关要求。涉及本次采购标的的设备在履约验收中将对成交供应商提供的产品或服务进行抽查检测，必要时可委托取得相关资质的第三方机构对其进行检测、认证。</w:t>
      </w:r>
    </w:p>
    <w:p w14:paraId="4BD3DD6F">
      <w:pPr>
        <w:spacing w:line="500" w:lineRule="atLeast"/>
        <w:ind w:firstLine="480"/>
        <w:rPr>
          <w:sz w:val="24"/>
          <w:szCs w:val="24"/>
        </w:rPr>
      </w:pPr>
      <w:r>
        <w:rPr>
          <w:rFonts w:hint="eastAsia" w:ascii="宋体" w:hAnsi="宋体"/>
          <w:sz w:val="24"/>
          <w:szCs w:val="24"/>
        </w:rPr>
        <w:t>41.4为落实挥发性有机化合物（VOCs）治理要求，本项目采购标的如涉及涂料、胶黏剂、</w:t>
      </w:r>
      <w:r>
        <w:rPr>
          <w:rFonts w:hint="eastAsia"/>
          <w:sz w:val="24"/>
          <w:szCs w:val="24"/>
        </w:rPr>
        <w:t>油墨、清洗剂等挥发性有机物产品的，供应商应当执行国家和我省VOCs含量限制标准，并优先使用低挥发性原辅材料。供应商使用低VOCs含量的涂料、胶黏剂等将纳入政府采购合同条款。</w:t>
      </w:r>
    </w:p>
    <w:p w14:paraId="033B116E">
      <w:pPr>
        <w:pStyle w:val="18"/>
        <w:spacing w:line="50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42、政府采购需求标准</w:t>
      </w:r>
    </w:p>
    <w:p w14:paraId="070E71CF">
      <w:pPr>
        <w:spacing w:line="500" w:lineRule="exact"/>
        <w:ind w:firstLine="480"/>
        <w:rPr>
          <w:rFonts w:asciiTheme="minorEastAsia" w:hAnsiTheme="minorEastAsia"/>
          <w:sz w:val="24"/>
          <w:szCs w:val="24"/>
        </w:rPr>
      </w:pPr>
      <w:r>
        <w:rPr>
          <w:rFonts w:hint="eastAsia" w:asciiTheme="minorEastAsia" w:hAnsiTheme="minorEastAsia"/>
          <w:sz w:val="24"/>
          <w:szCs w:val="24"/>
        </w:rPr>
        <w:t>42.1 本项目执行《绿色数据中心政府采购需求标准（试行）》、《台式计算机政府采购需求标准（2023年版）》、《便携式计算机政府采购需求标准（2023年版）》、《一体式计算机政府采购需求标准（2023年版）》、《工作站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p>
    <w:p w14:paraId="6A4095A6">
      <w:pPr>
        <w:pStyle w:val="3"/>
        <w:spacing w:line="360" w:lineRule="auto"/>
        <w:jc w:val="center"/>
        <w:rPr>
          <w:sz w:val="24"/>
          <w:szCs w:val="24"/>
        </w:rPr>
      </w:pPr>
      <w:bookmarkStart w:id="2" w:name="_Toc161932693"/>
      <w:r>
        <w:rPr>
          <w:rFonts w:hint="eastAsia" w:ascii="黑体" w:hAnsi="黑体" w:eastAsia="黑体"/>
          <w:b w:val="0"/>
        </w:rPr>
        <w:t>第三章  合同文本</w:t>
      </w:r>
      <w:bookmarkEnd w:id="2"/>
    </w:p>
    <w:p w14:paraId="1AD6BE1B">
      <w:pPr>
        <w:spacing w:line="500" w:lineRule="exact"/>
        <w:jc w:val="left"/>
        <w:rPr>
          <w:sz w:val="24"/>
          <w:szCs w:val="24"/>
        </w:rPr>
      </w:pPr>
    </w:p>
    <w:p w14:paraId="0E635F2B">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682296B2">
      <w:pPr>
        <w:spacing w:line="500" w:lineRule="exact"/>
        <w:jc w:val="center"/>
        <w:rPr>
          <w:rFonts w:ascii="黑体" w:hAnsi="黑体" w:eastAsia="黑体"/>
          <w:sz w:val="28"/>
          <w:szCs w:val="24"/>
        </w:rPr>
      </w:pPr>
      <w:r>
        <w:rPr>
          <w:rFonts w:hint="eastAsia" w:ascii="黑体" w:hAnsi="黑体" w:eastAsia="黑体"/>
          <w:sz w:val="28"/>
          <w:szCs w:val="24"/>
        </w:rPr>
        <w:t>（合同编号：***）</w:t>
      </w:r>
    </w:p>
    <w:p w14:paraId="52D8A33C">
      <w:pPr>
        <w:spacing w:line="500" w:lineRule="exact"/>
        <w:jc w:val="left"/>
        <w:rPr>
          <w:sz w:val="24"/>
          <w:szCs w:val="24"/>
        </w:rPr>
      </w:pPr>
      <w:r>
        <w:rPr>
          <w:rFonts w:hint="eastAsia"/>
          <w:sz w:val="24"/>
          <w:szCs w:val="24"/>
        </w:rPr>
        <w:t>甲方：（买方）_________</w:t>
      </w:r>
    </w:p>
    <w:p w14:paraId="46FDD494">
      <w:pPr>
        <w:spacing w:line="500" w:lineRule="exact"/>
        <w:jc w:val="left"/>
        <w:rPr>
          <w:sz w:val="24"/>
          <w:szCs w:val="24"/>
        </w:rPr>
      </w:pPr>
      <w:r>
        <w:rPr>
          <w:rFonts w:hint="eastAsia"/>
          <w:sz w:val="24"/>
          <w:szCs w:val="24"/>
        </w:rPr>
        <w:t>乙方：（卖方）_________</w:t>
      </w:r>
    </w:p>
    <w:p w14:paraId="2826B2AE">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rPr>
        <w:t xml:space="preserve">      </w:t>
      </w:r>
      <w:r>
        <w:rPr>
          <w:rFonts w:hint="eastAsia"/>
          <w:sz w:val="24"/>
          <w:szCs w:val="24"/>
        </w:rPr>
        <w:t>项目（项目编号：</w:t>
      </w:r>
      <w:r>
        <w:rPr>
          <w:rFonts w:hint="eastAsia" w:ascii="宋体" w:hAnsi="宋体"/>
          <w:color w:val="000000"/>
          <w:sz w:val="24"/>
          <w:u w:val="single"/>
        </w:rPr>
        <w:t xml:space="preserve">      </w:t>
      </w:r>
      <w:r>
        <w:rPr>
          <w:rFonts w:hint="eastAsia"/>
          <w:sz w:val="24"/>
          <w:szCs w:val="24"/>
        </w:rPr>
        <w:t>）竞争性磋商采购的结果，签订本合同。</w:t>
      </w:r>
    </w:p>
    <w:p w14:paraId="03B37E78">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694623B8">
      <w:pPr>
        <w:spacing w:line="500" w:lineRule="exact"/>
        <w:ind w:firstLine="480"/>
        <w:jc w:val="left"/>
        <w:rPr>
          <w:sz w:val="24"/>
          <w:szCs w:val="24"/>
        </w:rPr>
      </w:pPr>
      <w:r>
        <w:rPr>
          <w:sz w:val="24"/>
          <w:szCs w:val="24"/>
        </w:rPr>
        <w:t>1.1 服务内容：</w:t>
      </w:r>
      <w:r>
        <w:rPr>
          <w:rFonts w:hint="eastAsia" w:ascii="宋体" w:hAnsi="宋体"/>
          <w:color w:val="000000"/>
          <w:sz w:val="24"/>
          <w:u w:val="single"/>
        </w:rPr>
        <w:t xml:space="preserve">      </w:t>
      </w:r>
      <w:r>
        <w:rPr>
          <w:sz w:val="24"/>
          <w:szCs w:val="24"/>
        </w:rPr>
        <w:t>。</w:t>
      </w:r>
    </w:p>
    <w:p w14:paraId="08926423">
      <w:pPr>
        <w:spacing w:line="500" w:lineRule="exact"/>
        <w:ind w:firstLine="480"/>
        <w:jc w:val="left"/>
        <w:rPr>
          <w:sz w:val="24"/>
          <w:szCs w:val="24"/>
        </w:rPr>
      </w:pPr>
      <w:r>
        <w:rPr>
          <w:sz w:val="24"/>
          <w:szCs w:val="24"/>
        </w:rPr>
        <w:t>1.2 服务要求：</w:t>
      </w:r>
      <w:r>
        <w:rPr>
          <w:rFonts w:hint="eastAsia" w:ascii="宋体" w:hAnsi="宋体"/>
          <w:color w:val="000000"/>
          <w:sz w:val="24"/>
          <w:u w:val="single"/>
        </w:rPr>
        <w:t xml:space="preserve">      </w:t>
      </w:r>
      <w:r>
        <w:rPr>
          <w:sz w:val="24"/>
          <w:szCs w:val="24"/>
        </w:rPr>
        <w:t>。</w:t>
      </w:r>
    </w:p>
    <w:p w14:paraId="408F938F">
      <w:pPr>
        <w:spacing w:line="500" w:lineRule="exact"/>
        <w:ind w:firstLine="480"/>
        <w:jc w:val="left"/>
        <w:rPr>
          <w:sz w:val="24"/>
          <w:szCs w:val="24"/>
        </w:rPr>
      </w:pPr>
      <w:r>
        <w:rPr>
          <w:rFonts w:hint="eastAsia"/>
          <w:sz w:val="24"/>
          <w:szCs w:val="24"/>
        </w:rPr>
        <w:t>1.3 服务标准：</w:t>
      </w:r>
      <w:r>
        <w:rPr>
          <w:rFonts w:hint="eastAsia" w:ascii="宋体" w:hAnsi="宋体"/>
          <w:color w:val="000000"/>
          <w:sz w:val="24"/>
          <w:u w:val="single"/>
        </w:rPr>
        <w:t xml:space="preserve">      </w:t>
      </w:r>
      <w:r>
        <w:rPr>
          <w:sz w:val="24"/>
          <w:szCs w:val="24"/>
        </w:rPr>
        <w:t>。</w:t>
      </w:r>
    </w:p>
    <w:p w14:paraId="6EA38679">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rFonts w:hint="eastAsia" w:ascii="宋体" w:hAnsi="宋体"/>
          <w:color w:val="000000"/>
          <w:sz w:val="24"/>
          <w:u w:val="single"/>
        </w:rPr>
        <w:t xml:space="preserve">      </w:t>
      </w:r>
      <w:r>
        <w:rPr>
          <w:sz w:val="24"/>
          <w:szCs w:val="24"/>
        </w:rPr>
        <w:t>。</w:t>
      </w:r>
    </w:p>
    <w:p w14:paraId="7CDCA8B3">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774AA2D1">
      <w:pPr>
        <w:spacing w:line="500" w:lineRule="exact"/>
        <w:ind w:firstLine="480"/>
        <w:jc w:val="left"/>
        <w:rPr>
          <w:sz w:val="24"/>
          <w:szCs w:val="24"/>
        </w:rPr>
      </w:pPr>
      <w:r>
        <w:rPr>
          <w:rFonts w:hint="eastAsia"/>
          <w:sz w:val="24"/>
          <w:szCs w:val="24"/>
        </w:rPr>
        <w:t>2.1 本合同金额为人民币（大写）：</w:t>
      </w:r>
      <w:r>
        <w:rPr>
          <w:rFonts w:hint="eastAsia" w:ascii="宋体" w:hAnsi="宋体"/>
          <w:color w:val="000000"/>
          <w:sz w:val="24"/>
          <w:u w:val="single"/>
        </w:rPr>
        <w:t xml:space="preserve">      </w:t>
      </w:r>
      <w:r>
        <w:rPr>
          <w:rFonts w:hint="eastAsia"/>
          <w:sz w:val="24"/>
          <w:szCs w:val="24"/>
        </w:rPr>
        <w:t>元（¥</w:t>
      </w:r>
      <w:r>
        <w:rPr>
          <w:rFonts w:hint="eastAsia" w:ascii="宋体" w:hAnsi="宋体"/>
          <w:color w:val="000000"/>
          <w:sz w:val="24"/>
          <w:u w:val="single"/>
        </w:rPr>
        <w:t xml:space="preserve">      </w:t>
      </w:r>
      <w:r>
        <w:rPr>
          <w:rFonts w:hint="eastAsia"/>
          <w:sz w:val="24"/>
          <w:szCs w:val="24"/>
        </w:rPr>
        <w:t>）。</w:t>
      </w:r>
    </w:p>
    <w:p w14:paraId="3A620FEB">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4E76A3B2">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52988F4F">
      <w:pPr>
        <w:spacing w:line="500" w:lineRule="exact"/>
        <w:ind w:firstLine="480"/>
        <w:jc w:val="left"/>
        <w:rPr>
          <w:sz w:val="24"/>
          <w:szCs w:val="24"/>
        </w:rPr>
      </w:pPr>
      <w:r>
        <w:rPr>
          <w:rFonts w:hint="eastAsia"/>
          <w:sz w:val="24"/>
          <w:szCs w:val="24"/>
        </w:rPr>
        <w:t>3.1 乙方应按磋商文件规定的时间向甲方提供有关技术资料。</w:t>
      </w:r>
    </w:p>
    <w:p w14:paraId="4D3255CA">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357CE4A">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63EAB5E8">
      <w:pPr>
        <w:spacing w:line="500" w:lineRule="exact"/>
        <w:ind w:firstLine="480"/>
        <w:jc w:val="left"/>
        <w:rPr>
          <w:rFonts w:hint="eastAsia"/>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1662EB36">
      <w:pPr>
        <w:spacing w:line="500" w:lineRule="exact"/>
        <w:ind w:firstLine="480"/>
        <w:jc w:val="left"/>
        <w:rPr>
          <w:rFonts w:hint="eastAsia" w:eastAsiaTheme="minorEastAsia"/>
          <w:sz w:val="24"/>
          <w:szCs w:val="24"/>
          <w:highlight w:val="none"/>
          <w:lang w:eastAsia="zh-CN"/>
        </w:rPr>
      </w:pPr>
      <w:r>
        <w:rPr>
          <w:rFonts w:hint="eastAsia"/>
          <w:sz w:val="24"/>
          <w:szCs w:val="24"/>
          <w:highlight w:val="none"/>
          <w:lang w:eastAsia="zh-CN"/>
        </w:rPr>
        <w:t>产品建设完成后，知识产权归甲方所有。</w:t>
      </w:r>
    </w:p>
    <w:p w14:paraId="07A559F0">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3FE2BB01">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1418E43A">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6B151BB7">
      <w:pPr>
        <w:spacing w:line="500" w:lineRule="exact"/>
        <w:ind w:firstLine="480"/>
        <w:jc w:val="left"/>
        <w:rPr>
          <w:sz w:val="24"/>
          <w:szCs w:val="24"/>
        </w:rPr>
      </w:pPr>
      <w:r>
        <w:rPr>
          <w:rFonts w:hint="eastAsia"/>
          <w:sz w:val="24"/>
          <w:szCs w:val="24"/>
        </w:rPr>
        <w:t>6.1 本合同不收取履约保证金。</w:t>
      </w:r>
    </w:p>
    <w:p w14:paraId="6ABEE016">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2029E2D5">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3DF1F309">
      <w:pPr>
        <w:spacing w:line="500" w:lineRule="exact"/>
        <w:ind w:firstLine="480"/>
        <w:jc w:val="left"/>
        <w:rPr>
          <w:sz w:val="24"/>
          <w:szCs w:val="24"/>
        </w:rPr>
      </w:pPr>
      <w:r>
        <w:rPr>
          <w:rFonts w:hint="eastAsia"/>
          <w:sz w:val="24"/>
          <w:szCs w:val="24"/>
        </w:rPr>
        <w:t>7.2 如有转让和未经甲方同意的分包行为，甲方有权终止合同。</w:t>
      </w:r>
    </w:p>
    <w:p w14:paraId="2CDFFA7E">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532E85A1">
      <w:pPr>
        <w:spacing w:line="500" w:lineRule="exact"/>
        <w:ind w:firstLine="480"/>
        <w:jc w:val="left"/>
        <w:rPr>
          <w:rFonts w:ascii="黑体" w:hAnsi="黑体" w:eastAsia="黑体"/>
          <w:sz w:val="24"/>
          <w:szCs w:val="24"/>
        </w:rPr>
      </w:pPr>
      <w:r>
        <w:rPr>
          <w:rFonts w:hint="eastAsia"/>
          <w:sz w:val="24"/>
          <w:szCs w:val="24"/>
        </w:rPr>
        <w:t>8.1 服务时间：</w:t>
      </w:r>
      <w:r>
        <w:rPr>
          <w:rFonts w:hint="eastAsia" w:ascii="宋体" w:hAnsi="宋体"/>
          <w:color w:val="000000"/>
          <w:sz w:val="24"/>
          <w:u w:val="single"/>
        </w:rPr>
        <w:t xml:space="preserve">      </w:t>
      </w:r>
      <w:r>
        <w:rPr>
          <w:rFonts w:hint="eastAsia" w:ascii="黑体" w:hAnsi="黑体" w:eastAsia="黑体"/>
          <w:sz w:val="24"/>
          <w:szCs w:val="24"/>
        </w:rPr>
        <w:t>。</w:t>
      </w:r>
    </w:p>
    <w:p w14:paraId="1053CA8B">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16573635">
      <w:pPr>
        <w:spacing w:line="500" w:lineRule="exact"/>
        <w:ind w:firstLine="480"/>
        <w:jc w:val="left"/>
        <w:rPr>
          <w:sz w:val="24"/>
          <w:szCs w:val="24"/>
        </w:rPr>
      </w:pPr>
      <w:r>
        <w:rPr>
          <w:rFonts w:hint="eastAsia"/>
          <w:sz w:val="24"/>
          <w:szCs w:val="24"/>
        </w:rPr>
        <w:t>9.1 交 付 期：_________。</w:t>
      </w:r>
    </w:p>
    <w:p w14:paraId="7A727D5C">
      <w:pPr>
        <w:spacing w:line="500" w:lineRule="exact"/>
        <w:ind w:firstLine="480"/>
        <w:jc w:val="left"/>
        <w:rPr>
          <w:sz w:val="24"/>
          <w:szCs w:val="24"/>
        </w:rPr>
      </w:pPr>
      <w:r>
        <w:rPr>
          <w:rFonts w:hint="eastAsia"/>
          <w:sz w:val="24"/>
          <w:szCs w:val="24"/>
        </w:rPr>
        <w:t>9.2 交付方式：_________。</w:t>
      </w:r>
    </w:p>
    <w:p w14:paraId="033231A1">
      <w:pPr>
        <w:spacing w:line="500" w:lineRule="exact"/>
        <w:ind w:firstLine="480"/>
        <w:jc w:val="left"/>
        <w:rPr>
          <w:sz w:val="24"/>
          <w:szCs w:val="24"/>
        </w:rPr>
      </w:pPr>
      <w:r>
        <w:rPr>
          <w:rFonts w:hint="eastAsia"/>
          <w:sz w:val="24"/>
          <w:szCs w:val="24"/>
        </w:rPr>
        <w:t>9.3 交付地点：_________。</w:t>
      </w:r>
    </w:p>
    <w:p w14:paraId="3AC0078F">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7FD20886">
      <w:pPr>
        <w:spacing w:line="500" w:lineRule="exact"/>
        <w:ind w:firstLine="48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5983D3F6">
      <w:pPr>
        <w:spacing w:line="500" w:lineRule="exact"/>
        <w:ind w:firstLine="480"/>
        <w:jc w:val="left"/>
        <w:rPr>
          <w:rFonts w:ascii="黑体" w:hAnsi="黑体" w:eastAsia="黑体"/>
          <w:sz w:val="24"/>
          <w:szCs w:val="24"/>
          <w:highlight w:val="none"/>
        </w:rPr>
      </w:pPr>
      <w:r>
        <w:rPr>
          <w:rFonts w:hint="eastAsia" w:ascii="黑体" w:hAnsi="黑体" w:eastAsia="黑体"/>
          <w:sz w:val="24"/>
          <w:szCs w:val="24"/>
          <w:highlight w:val="none"/>
        </w:rPr>
        <w:t>十、合同款支付</w:t>
      </w:r>
    </w:p>
    <w:p w14:paraId="60315FBE">
      <w:pPr>
        <w:spacing w:line="500" w:lineRule="exact"/>
        <w:ind w:firstLine="480"/>
        <w:jc w:val="left"/>
        <w:rPr>
          <w:sz w:val="24"/>
          <w:szCs w:val="24"/>
          <w:highlight w:val="none"/>
        </w:rPr>
      </w:pPr>
      <w:r>
        <w:rPr>
          <w:rFonts w:hint="eastAsia"/>
          <w:sz w:val="24"/>
          <w:szCs w:val="24"/>
          <w:highlight w:val="none"/>
        </w:rPr>
        <w:t>10.1 付款方式：_________。</w:t>
      </w:r>
    </w:p>
    <w:p w14:paraId="55BAA665">
      <w:pPr>
        <w:spacing w:line="500" w:lineRule="exact"/>
        <w:ind w:firstLine="480"/>
        <w:jc w:val="left"/>
        <w:rPr>
          <w:sz w:val="24"/>
          <w:szCs w:val="24"/>
          <w:highlight w:val="none"/>
        </w:rPr>
      </w:pPr>
      <w:r>
        <w:rPr>
          <w:rFonts w:hint="eastAsia"/>
          <w:sz w:val="24"/>
          <w:szCs w:val="24"/>
          <w:highlight w:val="none"/>
        </w:rPr>
        <w:t>10.2 当采购数量与实际使用数量不一致时，乙方应根据实际使用量提供产品和服务，合同的最终结算金额按实际使用量乘以成交单价计算。</w:t>
      </w:r>
    </w:p>
    <w:p w14:paraId="7E63EA39">
      <w:pPr>
        <w:spacing w:line="500" w:lineRule="exact"/>
        <w:ind w:firstLine="480"/>
        <w:jc w:val="left"/>
        <w:rPr>
          <w:rFonts w:ascii="黑体" w:hAnsi="黑体" w:eastAsia="黑体"/>
          <w:sz w:val="24"/>
          <w:szCs w:val="24"/>
          <w:highlight w:val="none"/>
        </w:rPr>
      </w:pPr>
      <w:r>
        <w:rPr>
          <w:rFonts w:hint="eastAsia" w:ascii="黑体" w:hAnsi="黑体" w:eastAsia="黑体"/>
          <w:sz w:val="24"/>
          <w:szCs w:val="24"/>
          <w:highlight w:val="none"/>
        </w:rPr>
        <w:t>十一、税费</w:t>
      </w:r>
    </w:p>
    <w:p w14:paraId="0285D2A5">
      <w:pPr>
        <w:spacing w:line="500" w:lineRule="exact"/>
        <w:ind w:firstLine="480"/>
        <w:jc w:val="left"/>
        <w:rPr>
          <w:sz w:val="24"/>
          <w:szCs w:val="24"/>
          <w:highlight w:val="none"/>
        </w:rPr>
      </w:pPr>
      <w:r>
        <w:rPr>
          <w:rFonts w:hint="eastAsia"/>
          <w:sz w:val="24"/>
          <w:szCs w:val="24"/>
          <w:highlight w:val="none"/>
        </w:rPr>
        <w:t>11.1 本合同执行中相关的一切税费均由乙方负担。</w:t>
      </w:r>
    </w:p>
    <w:p w14:paraId="6057B317">
      <w:pPr>
        <w:spacing w:line="500" w:lineRule="exact"/>
        <w:ind w:firstLine="480"/>
        <w:jc w:val="left"/>
        <w:rPr>
          <w:rFonts w:ascii="黑体" w:hAnsi="黑体" w:eastAsia="黑体"/>
          <w:sz w:val="24"/>
          <w:szCs w:val="24"/>
          <w:highlight w:val="none"/>
        </w:rPr>
      </w:pPr>
      <w:r>
        <w:rPr>
          <w:rFonts w:hint="eastAsia" w:ascii="黑体" w:hAnsi="黑体" w:eastAsia="黑体"/>
          <w:sz w:val="24"/>
          <w:szCs w:val="24"/>
          <w:highlight w:val="none"/>
        </w:rPr>
        <w:t>十二、质量保证及售后服务</w:t>
      </w:r>
    </w:p>
    <w:p w14:paraId="7D850B3D">
      <w:pPr>
        <w:spacing w:line="500" w:lineRule="exact"/>
        <w:ind w:firstLine="480"/>
        <w:jc w:val="left"/>
        <w:rPr>
          <w:sz w:val="24"/>
          <w:szCs w:val="24"/>
          <w:highlight w:val="none"/>
        </w:rPr>
      </w:pPr>
      <w:r>
        <w:rPr>
          <w:rFonts w:hint="eastAsia"/>
          <w:sz w:val="24"/>
          <w:szCs w:val="24"/>
          <w:highlight w:val="none"/>
        </w:rPr>
        <w:t>12.1 乙方应按磋商文件规定和响应文件承诺的性能、技术要求、质量标准向甲方提供产品或服务。</w:t>
      </w:r>
    </w:p>
    <w:p w14:paraId="43B340C7">
      <w:pPr>
        <w:spacing w:line="500" w:lineRule="exact"/>
        <w:ind w:firstLine="480"/>
        <w:jc w:val="left"/>
        <w:rPr>
          <w:sz w:val="24"/>
          <w:szCs w:val="24"/>
          <w:highlight w:val="none"/>
        </w:rPr>
      </w:pPr>
      <w:r>
        <w:rPr>
          <w:rFonts w:hint="eastAsia"/>
          <w:sz w:val="24"/>
          <w:szCs w:val="24"/>
          <w:highlight w:val="none"/>
        </w:rPr>
        <w:t>12.2 乙方提供的产品或服务在服务期内因其本身出现质量问题，根据实际情况，经双方协商，可按以下办法处理：</w:t>
      </w:r>
    </w:p>
    <w:p w14:paraId="6795E4F1">
      <w:pPr>
        <w:spacing w:line="500" w:lineRule="exact"/>
        <w:ind w:firstLine="480"/>
        <w:jc w:val="left"/>
        <w:rPr>
          <w:sz w:val="24"/>
          <w:szCs w:val="24"/>
          <w:highlight w:val="none"/>
        </w:rPr>
      </w:pPr>
      <w:r>
        <w:rPr>
          <w:rFonts w:hint="eastAsia"/>
          <w:sz w:val="24"/>
          <w:szCs w:val="24"/>
          <w:highlight w:val="none"/>
        </w:rPr>
        <w:t>（1）更换：由乙方承担所产生的全部费用。</w:t>
      </w:r>
    </w:p>
    <w:p w14:paraId="4E560EFB">
      <w:pPr>
        <w:spacing w:line="500" w:lineRule="exact"/>
        <w:ind w:firstLine="480"/>
        <w:jc w:val="left"/>
        <w:rPr>
          <w:sz w:val="24"/>
          <w:szCs w:val="24"/>
          <w:highlight w:val="none"/>
        </w:rPr>
      </w:pPr>
      <w:r>
        <w:rPr>
          <w:rFonts w:hint="eastAsia"/>
          <w:sz w:val="24"/>
          <w:szCs w:val="24"/>
          <w:highlight w:val="none"/>
        </w:rPr>
        <w:t>（2）合同终止处理：合同终止，乙方退还甲方支付的合同款，同时承担由此产生的全部费用，甲方不承担任何产生费用。</w:t>
      </w:r>
    </w:p>
    <w:p w14:paraId="138BADFB">
      <w:pPr>
        <w:spacing w:line="500" w:lineRule="exact"/>
        <w:ind w:firstLine="480"/>
        <w:jc w:val="left"/>
        <w:rPr>
          <w:sz w:val="24"/>
          <w:szCs w:val="24"/>
          <w:highlight w:val="none"/>
        </w:rPr>
      </w:pPr>
      <w:r>
        <w:rPr>
          <w:rFonts w:hint="eastAsia"/>
          <w:sz w:val="24"/>
          <w:szCs w:val="24"/>
          <w:highlight w:val="none"/>
        </w:rPr>
        <w:t>12.3 如在使用过程中发生质量问题，乙方在接到甲方通知后</w:t>
      </w:r>
      <w:r>
        <w:rPr>
          <w:rFonts w:hint="eastAsia" w:ascii="宋体" w:hAnsi="宋体"/>
          <w:color w:val="000000"/>
          <w:sz w:val="24"/>
          <w:highlight w:val="none"/>
          <w:u w:val="single"/>
        </w:rPr>
        <w:t xml:space="preserve">    </w:t>
      </w:r>
      <w:r>
        <w:rPr>
          <w:rFonts w:hint="eastAsia"/>
          <w:sz w:val="24"/>
          <w:szCs w:val="24"/>
          <w:highlight w:val="none"/>
        </w:rPr>
        <w:t>小时内到达甲方现场。</w:t>
      </w:r>
    </w:p>
    <w:p w14:paraId="2E4D68C5">
      <w:pPr>
        <w:spacing w:line="500" w:lineRule="exact"/>
        <w:ind w:firstLine="480"/>
        <w:jc w:val="left"/>
        <w:rPr>
          <w:sz w:val="24"/>
          <w:szCs w:val="24"/>
          <w:highlight w:val="none"/>
        </w:rPr>
      </w:pPr>
      <w:r>
        <w:rPr>
          <w:rFonts w:hint="eastAsia"/>
          <w:sz w:val="24"/>
          <w:szCs w:val="24"/>
          <w:highlight w:val="none"/>
        </w:rPr>
        <w:t>12.4 在服务期内，乙方应对产品或服务出现的质量及安全问题负责处理解决并承担一切费用。</w:t>
      </w:r>
    </w:p>
    <w:p w14:paraId="20690CAD">
      <w:pPr>
        <w:spacing w:line="500" w:lineRule="exact"/>
        <w:ind w:firstLine="480"/>
        <w:jc w:val="left"/>
        <w:rPr>
          <w:rFonts w:ascii="黑体" w:hAnsi="黑体" w:eastAsia="黑体"/>
          <w:sz w:val="24"/>
          <w:szCs w:val="24"/>
          <w:highlight w:val="none"/>
        </w:rPr>
      </w:pPr>
      <w:r>
        <w:rPr>
          <w:rFonts w:hint="eastAsia" w:ascii="黑体" w:hAnsi="黑体" w:eastAsia="黑体"/>
          <w:sz w:val="24"/>
          <w:szCs w:val="24"/>
          <w:highlight w:val="none"/>
        </w:rPr>
        <w:t>十三、项目验收</w:t>
      </w:r>
    </w:p>
    <w:p w14:paraId="6E401341">
      <w:pPr>
        <w:spacing w:line="500" w:lineRule="exact"/>
        <w:ind w:firstLine="480"/>
        <w:jc w:val="left"/>
        <w:rPr>
          <w:sz w:val="24"/>
          <w:szCs w:val="24"/>
          <w:highlight w:val="none"/>
        </w:rPr>
      </w:pPr>
      <w:r>
        <w:rPr>
          <w:rFonts w:hint="eastAsia"/>
          <w:sz w:val="24"/>
          <w:szCs w:val="24"/>
          <w:highlight w:val="none"/>
        </w:rPr>
        <w:t>13.1 甲方依法组织履约验收工作。</w:t>
      </w:r>
    </w:p>
    <w:p w14:paraId="191393D4">
      <w:pPr>
        <w:spacing w:line="500" w:lineRule="exact"/>
        <w:ind w:firstLine="480"/>
        <w:jc w:val="left"/>
        <w:rPr>
          <w:sz w:val="24"/>
          <w:szCs w:val="24"/>
          <w:highlight w:val="none"/>
        </w:rPr>
      </w:pPr>
      <w:r>
        <w:rPr>
          <w:rFonts w:hint="eastAsia"/>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94E10EC">
      <w:pPr>
        <w:spacing w:line="500" w:lineRule="exact"/>
        <w:ind w:firstLine="480"/>
        <w:jc w:val="left"/>
        <w:rPr>
          <w:sz w:val="24"/>
          <w:szCs w:val="24"/>
          <w:highlight w:val="none"/>
        </w:rPr>
      </w:pPr>
      <w:r>
        <w:rPr>
          <w:rFonts w:hint="eastAsia"/>
          <w:sz w:val="24"/>
          <w:szCs w:val="24"/>
          <w:highlight w:val="none"/>
        </w:rPr>
        <w:t>13.3 对于实际使用人和甲方分离的项目，甲方邀请实际使用人参与验收。</w:t>
      </w:r>
    </w:p>
    <w:p w14:paraId="6ABEDED1">
      <w:pPr>
        <w:spacing w:line="500" w:lineRule="exact"/>
        <w:ind w:firstLine="480"/>
        <w:jc w:val="left"/>
        <w:rPr>
          <w:sz w:val="24"/>
          <w:szCs w:val="24"/>
          <w:highlight w:val="none"/>
        </w:rPr>
      </w:pPr>
      <w:r>
        <w:rPr>
          <w:rFonts w:hint="eastAsia"/>
          <w:sz w:val="24"/>
          <w:szCs w:val="24"/>
          <w:highlight w:val="none"/>
        </w:rPr>
        <w:t>13.4 如有必要，甲方邀请参加本项目的其他供应商或第三方专业机构及专家参与验收，相关意见将作为验收书的参考资料。</w:t>
      </w:r>
    </w:p>
    <w:p w14:paraId="48D9F718">
      <w:pPr>
        <w:spacing w:line="500" w:lineRule="exact"/>
        <w:ind w:firstLine="480"/>
        <w:jc w:val="left"/>
        <w:rPr>
          <w:sz w:val="24"/>
          <w:szCs w:val="24"/>
          <w:highlight w:val="none"/>
        </w:rPr>
      </w:pPr>
      <w:r>
        <w:rPr>
          <w:rFonts w:hint="eastAsia"/>
          <w:sz w:val="24"/>
          <w:szCs w:val="24"/>
          <w:highlight w:val="none"/>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C8B46E0">
      <w:pPr>
        <w:spacing w:line="500" w:lineRule="exact"/>
        <w:ind w:firstLine="480"/>
        <w:jc w:val="left"/>
        <w:rPr>
          <w:sz w:val="24"/>
          <w:szCs w:val="24"/>
          <w:highlight w:val="none"/>
        </w:rPr>
      </w:pPr>
      <w:r>
        <w:rPr>
          <w:rFonts w:hint="eastAsia"/>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中华人民共和国民法典</w:t>
      </w:r>
      <w:r>
        <w:rPr>
          <w:rFonts w:hint="eastAsia"/>
          <w:sz w:val="24"/>
          <w:szCs w:val="24"/>
          <w:highlight w:val="none"/>
        </w:rPr>
        <w:t>》。乙方在履约过程中有政府采购法律法规规定的违法违规情形的，甲方将及时报告本级财政部门。</w:t>
      </w:r>
    </w:p>
    <w:p w14:paraId="01497E5F">
      <w:pPr>
        <w:spacing w:line="500" w:lineRule="exact"/>
        <w:ind w:firstLine="480"/>
        <w:jc w:val="left"/>
        <w:rPr>
          <w:rFonts w:ascii="黑体" w:hAnsi="黑体" w:eastAsia="黑体"/>
          <w:sz w:val="24"/>
          <w:szCs w:val="24"/>
          <w:highlight w:val="none"/>
        </w:rPr>
      </w:pPr>
      <w:r>
        <w:rPr>
          <w:rFonts w:hint="eastAsia" w:ascii="黑体" w:hAnsi="黑体" w:eastAsia="黑体"/>
          <w:sz w:val="24"/>
          <w:szCs w:val="24"/>
          <w:highlight w:val="none"/>
        </w:rPr>
        <w:t>十四、违约责任</w:t>
      </w:r>
    </w:p>
    <w:p w14:paraId="4DB302AF">
      <w:pPr>
        <w:spacing w:line="500" w:lineRule="exact"/>
        <w:ind w:firstLine="480"/>
        <w:jc w:val="left"/>
        <w:rPr>
          <w:sz w:val="24"/>
          <w:szCs w:val="24"/>
          <w:highlight w:val="none"/>
        </w:rPr>
      </w:pPr>
      <w:r>
        <w:rPr>
          <w:rFonts w:hint="eastAsia"/>
          <w:sz w:val="24"/>
          <w:szCs w:val="24"/>
          <w:highlight w:val="none"/>
        </w:rPr>
        <w:t>14.1 甲方无正当理由拒收的，甲方向乙方偿付拒收标的总额</w:t>
      </w:r>
      <w:r>
        <w:rPr>
          <w:rFonts w:hint="eastAsia"/>
          <w:sz w:val="24"/>
          <w:szCs w:val="24"/>
          <w:highlight w:val="none"/>
          <w:u w:val="single"/>
        </w:rPr>
        <w:t xml:space="preserve">       </w:t>
      </w:r>
      <w:r>
        <w:rPr>
          <w:rFonts w:hint="eastAsia"/>
          <w:sz w:val="24"/>
          <w:szCs w:val="24"/>
          <w:highlight w:val="none"/>
        </w:rPr>
        <w:t>的违约金。</w:t>
      </w:r>
    </w:p>
    <w:p w14:paraId="323840D3">
      <w:pPr>
        <w:spacing w:line="500" w:lineRule="exact"/>
        <w:ind w:firstLine="480"/>
        <w:jc w:val="left"/>
        <w:rPr>
          <w:sz w:val="24"/>
          <w:szCs w:val="24"/>
          <w:highlight w:val="none"/>
        </w:rPr>
      </w:pPr>
      <w:r>
        <w:rPr>
          <w:rFonts w:hint="eastAsia"/>
          <w:sz w:val="24"/>
          <w:szCs w:val="24"/>
          <w:highlight w:val="none"/>
        </w:rPr>
        <w:t>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向乙方支付违约金，</w:t>
      </w:r>
      <w:r>
        <w:rPr>
          <w:rFonts w:hint="eastAsia" w:ascii="Times New Roman" w:hAnsi="Times New Roman"/>
          <w:color w:val="000000"/>
          <w:sz w:val="24"/>
          <w:szCs w:val="24"/>
          <w:highlight w:val="none"/>
        </w:rPr>
        <w:t>最高限额为本合同总额的</w:t>
      </w:r>
      <w:r>
        <w:rPr>
          <w:rFonts w:hint="eastAsia"/>
          <w:sz w:val="24"/>
          <w:szCs w:val="24"/>
          <w:highlight w:val="none"/>
          <w:u w:val="single"/>
        </w:rPr>
        <w:t xml:space="preserve">       </w:t>
      </w:r>
      <w:r>
        <w:rPr>
          <w:rFonts w:hint="eastAsia"/>
          <w:sz w:val="24"/>
          <w:szCs w:val="24"/>
          <w:highlight w:val="none"/>
        </w:rPr>
        <w:t>。</w:t>
      </w:r>
    </w:p>
    <w:p w14:paraId="747B4668">
      <w:pPr>
        <w:spacing w:line="500" w:lineRule="exact"/>
        <w:ind w:firstLine="480"/>
        <w:jc w:val="left"/>
        <w:rPr>
          <w:sz w:val="24"/>
          <w:szCs w:val="24"/>
        </w:rPr>
      </w:pPr>
      <w:r>
        <w:rPr>
          <w:rFonts w:hint="eastAsia"/>
          <w:sz w:val="24"/>
          <w:szCs w:val="24"/>
          <w:highlight w:val="none"/>
        </w:rPr>
        <w:t>14.3 乙方逾期交付合同标的的，乙方应按逾期交付总额每日</w:t>
      </w:r>
      <w:r>
        <w:rPr>
          <w:rFonts w:hint="eastAsia"/>
          <w:sz w:val="24"/>
          <w:szCs w:val="24"/>
          <w:highlight w:val="none"/>
          <w:u w:val="single"/>
        </w:rPr>
        <w:t xml:space="preserve">       </w:t>
      </w:r>
      <w:r>
        <w:rPr>
          <w:rFonts w:hint="eastAsia"/>
          <w:sz w:val="24"/>
          <w:szCs w:val="24"/>
          <w:highlight w:val="none"/>
        </w:rPr>
        <w:t>向甲方支付违约金，由甲方从待付合同款中扣除，</w:t>
      </w:r>
      <w:r>
        <w:rPr>
          <w:rFonts w:hint="eastAsia" w:ascii="Times New Roman" w:hAnsi="Times New Roman"/>
          <w:color w:val="000000"/>
          <w:sz w:val="24"/>
          <w:szCs w:val="24"/>
          <w:highlight w:val="none"/>
        </w:rPr>
        <w:t>最高限额为本合同总额的</w:t>
      </w:r>
      <w:r>
        <w:rPr>
          <w:rFonts w:hint="eastAsia"/>
          <w:sz w:val="24"/>
          <w:szCs w:val="24"/>
          <w:highlight w:val="none"/>
          <w:u w:val="single"/>
        </w:rPr>
        <w:t xml:space="preserve">       </w:t>
      </w:r>
      <w:r>
        <w:rPr>
          <w:rFonts w:hint="eastAsia"/>
          <w:sz w:val="24"/>
          <w:szCs w:val="24"/>
          <w:highlight w:val="none"/>
        </w:rPr>
        <w:t>。逾期超过约定日期</w:t>
      </w:r>
      <w:r>
        <w:rPr>
          <w:rFonts w:hint="eastAsia"/>
          <w:sz w:val="24"/>
          <w:szCs w:val="24"/>
          <w:highlight w:val="none"/>
          <w:u w:val="single"/>
        </w:rPr>
        <w:t xml:space="preserve">       </w:t>
      </w:r>
      <w:r>
        <w:rPr>
          <w:rFonts w:hint="eastAsia"/>
          <w:sz w:val="24"/>
          <w:szCs w:val="24"/>
          <w:highlight w:val="none"/>
        </w:rPr>
        <w:t>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的违</w:t>
      </w:r>
      <w:r>
        <w:rPr>
          <w:rFonts w:hint="eastAsia"/>
          <w:sz w:val="24"/>
          <w:szCs w:val="24"/>
        </w:rPr>
        <w:t xml:space="preserve">约金，如造成甲方损失超过违约金的，超出部分由乙方继续承担赔偿责任。 </w:t>
      </w:r>
    </w:p>
    <w:p w14:paraId="087FE6EB">
      <w:pPr>
        <w:spacing w:line="500" w:lineRule="exact"/>
        <w:ind w:firstLine="480"/>
        <w:jc w:val="left"/>
        <w:rPr>
          <w:sz w:val="24"/>
          <w:szCs w:val="24"/>
        </w:rPr>
      </w:pPr>
      <w:r>
        <w:rPr>
          <w:rFonts w:hint="eastAsia"/>
          <w:sz w:val="24"/>
          <w:szCs w:val="24"/>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69782ACC">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2C061A01">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 在合同有效期内，任何一方因不可抗力事件导致不能履行合同的，则合同履行期可延长，其延长期与不可抗力影响期相同。</w:t>
      </w:r>
    </w:p>
    <w:p w14:paraId="1349C832">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 不可抗力事件发生后，应立即通知对方，并寄送有关权威机构出具的证明。</w:t>
      </w:r>
    </w:p>
    <w:p w14:paraId="6AD09FBD">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 不可抗力事件延续120天以上，双方应通过友好协商，确定是否继续履行合同。</w:t>
      </w:r>
    </w:p>
    <w:p w14:paraId="5835B0FB">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5BC1C7B7">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63B898CC">
      <w:pPr>
        <w:spacing w:line="500" w:lineRule="exact"/>
        <w:ind w:firstLine="480"/>
        <w:jc w:val="left"/>
        <w:rPr>
          <w:sz w:val="24"/>
          <w:szCs w:val="24"/>
        </w:rPr>
      </w:pPr>
      <w:r>
        <w:rPr>
          <w:rFonts w:hint="eastAsia"/>
          <w:sz w:val="24"/>
          <w:szCs w:val="24"/>
        </w:rPr>
        <w:t>（1）向连云港仲裁委员会申请仲裁。</w:t>
      </w:r>
    </w:p>
    <w:p w14:paraId="735F1548">
      <w:pPr>
        <w:spacing w:line="500" w:lineRule="exact"/>
        <w:ind w:firstLine="480"/>
        <w:jc w:val="left"/>
        <w:rPr>
          <w:sz w:val="24"/>
          <w:szCs w:val="24"/>
        </w:rPr>
      </w:pPr>
      <w:r>
        <w:rPr>
          <w:rFonts w:hint="eastAsia"/>
          <w:sz w:val="24"/>
          <w:szCs w:val="24"/>
        </w:rPr>
        <w:t>（2）向合同签订地法院起诉，合同签订地在此约定为连云港市。</w:t>
      </w:r>
    </w:p>
    <w:p w14:paraId="6D3C23D5">
      <w:pPr>
        <w:spacing w:line="500" w:lineRule="exact"/>
        <w:ind w:firstLine="480"/>
        <w:jc w:val="left"/>
        <w:rPr>
          <w:rFonts w:ascii="黑体" w:hAnsi="黑体" w:eastAsia="黑体"/>
          <w:sz w:val="24"/>
          <w:szCs w:val="24"/>
        </w:rPr>
      </w:pPr>
      <w:r>
        <w:rPr>
          <w:rFonts w:hint="eastAsia" w:ascii="黑体" w:hAnsi="黑体" w:eastAsia="黑体"/>
          <w:sz w:val="24"/>
          <w:szCs w:val="24"/>
        </w:rPr>
        <w:t>十七、合同生效及其他</w:t>
      </w:r>
    </w:p>
    <w:p w14:paraId="10A3E7FA">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 合同经双方法定代表人或授权代表签字并加盖单位公章后生效。</w:t>
      </w:r>
    </w:p>
    <w:p w14:paraId="65930F73">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1C0CD58">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.3 本合同正本一式四份，具有同等法律效力，甲方执二份、乙方执一份，甲方报一份至政府采购监督管理部门。</w:t>
      </w:r>
    </w:p>
    <w:p w14:paraId="04DCA51D">
      <w:pPr>
        <w:spacing w:line="500" w:lineRule="exact"/>
        <w:ind w:firstLine="480"/>
        <w:jc w:val="left"/>
        <w:rPr>
          <w:sz w:val="24"/>
          <w:szCs w:val="24"/>
        </w:rPr>
      </w:pPr>
    </w:p>
    <w:p w14:paraId="77CEE4ED">
      <w:pPr>
        <w:spacing w:line="500" w:lineRule="exact"/>
        <w:ind w:firstLine="480"/>
        <w:jc w:val="left"/>
        <w:rPr>
          <w:sz w:val="24"/>
          <w:szCs w:val="24"/>
        </w:rPr>
      </w:pPr>
    </w:p>
    <w:p w14:paraId="0DED23CF">
      <w:pPr>
        <w:spacing w:line="500" w:lineRule="exact"/>
        <w:ind w:firstLine="480"/>
        <w:jc w:val="left"/>
        <w:rPr>
          <w:sz w:val="24"/>
          <w:szCs w:val="24"/>
        </w:rPr>
      </w:pPr>
      <w:r>
        <w:rPr>
          <w:rFonts w:hint="eastAsia"/>
          <w:sz w:val="24"/>
          <w:szCs w:val="24"/>
        </w:rPr>
        <w:t xml:space="preserve">甲方：                        乙方： </w:t>
      </w:r>
    </w:p>
    <w:p w14:paraId="5F7B873F">
      <w:pPr>
        <w:spacing w:line="500" w:lineRule="exact"/>
        <w:ind w:firstLine="480"/>
        <w:jc w:val="left"/>
        <w:rPr>
          <w:sz w:val="24"/>
          <w:szCs w:val="24"/>
        </w:rPr>
      </w:pPr>
      <w:r>
        <w:rPr>
          <w:rFonts w:hint="eastAsia"/>
          <w:sz w:val="24"/>
          <w:szCs w:val="24"/>
        </w:rPr>
        <w:t xml:space="preserve">地址：                        地址： </w:t>
      </w:r>
    </w:p>
    <w:p w14:paraId="713DA58E">
      <w:pPr>
        <w:spacing w:line="500" w:lineRule="exact"/>
        <w:ind w:firstLine="480"/>
        <w:jc w:val="left"/>
        <w:rPr>
          <w:sz w:val="24"/>
          <w:szCs w:val="24"/>
        </w:rPr>
      </w:pPr>
      <w:r>
        <w:rPr>
          <w:rFonts w:hint="eastAsia"/>
          <w:sz w:val="24"/>
          <w:szCs w:val="24"/>
        </w:rPr>
        <w:t>法定代表人或授权代表：        法定代表人或授权代表：</w:t>
      </w:r>
    </w:p>
    <w:p w14:paraId="151A1FD4">
      <w:pPr>
        <w:spacing w:line="500" w:lineRule="exact"/>
        <w:ind w:firstLine="480"/>
        <w:jc w:val="left"/>
        <w:rPr>
          <w:sz w:val="24"/>
          <w:szCs w:val="24"/>
        </w:rPr>
      </w:pPr>
      <w:r>
        <w:rPr>
          <w:rFonts w:hint="eastAsia"/>
          <w:sz w:val="24"/>
          <w:szCs w:val="24"/>
        </w:rPr>
        <w:t xml:space="preserve">联系电话：                    联系电话：     </w:t>
      </w:r>
    </w:p>
    <w:p w14:paraId="34162726">
      <w:pPr>
        <w:spacing w:line="500" w:lineRule="exact"/>
        <w:ind w:firstLine="480"/>
        <w:jc w:val="left"/>
        <w:rPr>
          <w:sz w:val="24"/>
          <w:szCs w:val="24"/>
        </w:rPr>
      </w:pPr>
      <w:r>
        <w:rPr>
          <w:rFonts w:hint="eastAsia"/>
          <w:sz w:val="24"/>
          <w:szCs w:val="24"/>
        </w:rPr>
        <w:t xml:space="preserve">                                     </w:t>
      </w:r>
    </w:p>
    <w:p w14:paraId="08F666AC">
      <w:pPr>
        <w:spacing w:line="500" w:lineRule="exact"/>
        <w:ind w:firstLine="480"/>
        <w:jc w:val="right"/>
        <w:rPr>
          <w:sz w:val="24"/>
          <w:szCs w:val="24"/>
        </w:rPr>
      </w:pPr>
      <w:r>
        <w:rPr>
          <w:rFonts w:hint="eastAsia"/>
          <w:sz w:val="24"/>
          <w:szCs w:val="24"/>
        </w:rPr>
        <w:t>签订日期：       年    月    日</w:t>
      </w:r>
    </w:p>
    <w:p w14:paraId="2E76324F">
      <w:pPr>
        <w:widowControl/>
        <w:jc w:val="left"/>
        <w:rPr>
          <w:sz w:val="24"/>
          <w:szCs w:val="24"/>
        </w:rPr>
      </w:pPr>
      <w:r>
        <w:rPr>
          <w:sz w:val="24"/>
          <w:szCs w:val="24"/>
        </w:rPr>
        <w:br w:type="page" w:clear="all"/>
      </w:r>
    </w:p>
    <w:p w14:paraId="77168A40">
      <w:pPr>
        <w:pStyle w:val="3"/>
        <w:spacing w:line="360" w:lineRule="auto"/>
        <w:jc w:val="center"/>
        <w:rPr>
          <w:rFonts w:ascii="黑体" w:hAnsi="黑体" w:eastAsia="黑体"/>
          <w:b w:val="0"/>
        </w:rPr>
      </w:pPr>
      <w:bookmarkStart w:id="3" w:name="_Toc161932694"/>
      <w:r>
        <w:rPr>
          <w:rFonts w:hint="eastAsia" w:ascii="黑体" w:hAnsi="黑体" w:eastAsia="黑体"/>
          <w:b w:val="0"/>
        </w:rPr>
        <w:t>第四章  采购需求</w:t>
      </w:r>
      <w:bookmarkEnd w:id="3"/>
    </w:p>
    <w:p w14:paraId="4EC143A6">
      <w:pPr>
        <w:spacing w:line="500" w:lineRule="exact"/>
        <w:ind w:firstLine="480"/>
        <w:jc w:val="left"/>
        <w:rPr>
          <w:rFonts w:hint="eastAsia"/>
          <w:sz w:val="24"/>
          <w:szCs w:val="24"/>
          <w:highlight w:val="none"/>
        </w:rPr>
      </w:pPr>
    </w:p>
    <w:p w14:paraId="59A236AB">
      <w:pPr>
        <w:spacing w:line="360" w:lineRule="auto"/>
        <w:ind w:firstLine="482"/>
        <w:rPr>
          <w:rFonts w:asciiTheme="minorEastAsia" w:hAnsiTheme="minorEastAsia"/>
          <w:b/>
          <w:sz w:val="24"/>
          <w:szCs w:val="24"/>
        </w:rPr>
      </w:pPr>
      <w:r>
        <w:rPr>
          <w:rFonts w:hint="eastAsia" w:asciiTheme="minorEastAsia" w:hAnsiTheme="minorEastAsia"/>
          <w:b/>
          <w:sz w:val="24"/>
          <w:szCs w:val="24"/>
        </w:rPr>
        <w:t>说明：本项目属性为</w:t>
      </w:r>
      <w:r>
        <w:rPr>
          <w:rFonts w:hint="eastAsia" w:asciiTheme="minorEastAsia" w:hAnsiTheme="minorEastAsia"/>
          <w:b/>
          <w:sz w:val="24"/>
          <w:szCs w:val="24"/>
          <w:u w:val="single"/>
        </w:rPr>
        <w:t>服务</w:t>
      </w:r>
      <w:r>
        <w:rPr>
          <w:rFonts w:hint="eastAsia" w:asciiTheme="minorEastAsia" w:hAnsiTheme="minorEastAsia"/>
          <w:b/>
          <w:sz w:val="24"/>
          <w:szCs w:val="24"/>
        </w:rPr>
        <w:t>，采购标的对应的中小企业划分标准所属行业为：</w:t>
      </w:r>
      <w:r>
        <w:rPr>
          <w:rFonts w:hint="eastAsia" w:asciiTheme="minorEastAsia" w:hAnsiTheme="minorEastAsia"/>
          <w:b/>
          <w:sz w:val="24"/>
          <w:szCs w:val="24"/>
          <w:u w:val="single"/>
        </w:rPr>
        <w:t>软件和信息技术服务业</w:t>
      </w:r>
      <w:r>
        <w:rPr>
          <w:rFonts w:hint="eastAsia" w:asciiTheme="minorEastAsia" w:hAnsiTheme="minorEastAsia"/>
          <w:b/>
          <w:sz w:val="24"/>
          <w:szCs w:val="24"/>
        </w:rPr>
        <w:t>。</w:t>
      </w:r>
    </w:p>
    <w:p w14:paraId="39B898BA">
      <w:pPr>
        <w:spacing w:line="500" w:lineRule="exact"/>
        <w:ind w:firstLine="480"/>
        <w:rPr>
          <w:rFonts w:asciiTheme="minorEastAsia" w:hAnsiTheme="minorEastAsia"/>
          <w:b/>
          <w:bCs/>
          <w:sz w:val="24"/>
          <w:szCs w:val="24"/>
        </w:rPr>
      </w:pPr>
      <w:r>
        <w:rPr>
          <w:rFonts w:hint="eastAsia" w:asciiTheme="minorEastAsia" w:hAnsiTheme="minorEastAsia"/>
          <w:b/>
          <w:sz w:val="24"/>
          <w:szCs w:val="24"/>
        </w:rPr>
        <w:t>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1A263D0">
      <w:pPr>
        <w:spacing w:line="500" w:lineRule="exact"/>
        <w:jc w:val="left"/>
        <w:rPr>
          <w:rFonts w:hint="eastAsia"/>
          <w:sz w:val="24"/>
          <w:szCs w:val="24"/>
          <w:highlight w:val="none"/>
        </w:rPr>
      </w:pPr>
    </w:p>
    <w:p w14:paraId="4C14BC7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1.根据《政府采购需求管理办法》等有关规定，采购人确定采购需求。</w:t>
      </w:r>
    </w:p>
    <w:p w14:paraId="68872457">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2.本磋商文件中斜体且有下划线部分为实质性要求和条件，由采购人根据实际情况设置，供应商须逐条明确作出满足实质性要求和条件的响应，否则将按无效响应处理。</w:t>
      </w:r>
    </w:p>
    <w:p w14:paraId="70B09DD3">
      <w:pPr>
        <w:spacing w:line="500" w:lineRule="exact"/>
        <w:ind w:firstLine="480"/>
        <w:rPr>
          <w:rFonts w:hint="eastAsia" w:asciiTheme="minorEastAsia" w:hAnsiTheme="minorEastAsia"/>
          <w:sz w:val="24"/>
          <w:szCs w:val="24"/>
        </w:rPr>
      </w:pPr>
    </w:p>
    <w:p w14:paraId="71233507">
      <w:pPr>
        <w:ind w:firstLine="480"/>
        <w:rPr>
          <w:sz w:val="24"/>
          <w:szCs w:val="24"/>
        </w:rPr>
      </w:pPr>
    </w:p>
    <w:p w14:paraId="37741FB7">
      <w:pPr>
        <w:spacing w:line="500" w:lineRule="exact"/>
        <w:ind w:firstLine="480"/>
        <w:rPr>
          <w:rFonts w:hint="eastAsia" w:asciiTheme="minorEastAsia" w:hAnsiTheme="minorEastAsia"/>
          <w:b/>
          <w:sz w:val="24"/>
          <w:szCs w:val="24"/>
        </w:rPr>
      </w:pPr>
      <w:r>
        <w:rPr>
          <w:rFonts w:hint="eastAsia" w:asciiTheme="minorEastAsia" w:hAnsiTheme="minorEastAsia"/>
          <w:b/>
          <w:sz w:val="24"/>
          <w:szCs w:val="24"/>
        </w:rPr>
        <w:t>一、项目概况</w:t>
      </w:r>
    </w:p>
    <w:p w14:paraId="78856269">
      <w:pPr>
        <w:spacing w:line="500" w:lineRule="exact"/>
        <w:ind w:firstLine="480"/>
        <w:jc w:val="lef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近年来国家谈判药数量持续增加，纳入双通道管理单独支付的药品临床应用需求持续增长，患者用药申请量呈爆发式增长，传统人工审核模式已难以适配。当前审核需工作人员逐一对责任上传的病例报告图片进行人工甄别、信息提取与条件核对，需要具备足够的医药专业知识，不仅占用大量人力成本，且单例审核耗时久，工作效率低，影响以肿瘤患者为主体的群众满意度，成为医保经办服务的突出堵点。为破解“申请量大、审核耗时、效率不高”的问题，需</w:t>
      </w:r>
      <w:r>
        <w:rPr>
          <w:rFonts w:hint="eastAsia" w:cstheme="minorBidi"/>
          <w:sz w:val="24"/>
          <w:szCs w:val="24"/>
          <w:lang w:eastAsia="zh-CN"/>
        </w:rPr>
        <w:t>要</w:t>
      </w:r>
      <w:r>
        <w:rPr>
          <w:rFonts w:hint="eastAsia" w:asciiTheme="minorHAnsi" w:hAnsiTheme="minorHAnsi" w:eastAsiaTheme="minorEastAsia" w:cstheme="minorBidi"/>
          <w:sz w:val="24"/>
          <w:szCs w:val="24"/>
        </w:rPr>
        <w:t>借助AI技术革新审核模式，提升审核效率与服务质量。</w:t>
      </w:r>
    </w:p>
    <w:p w14:paraId="0EC9573F">
      <w:pPr>
        <w:spacing w:line="500" w:lineRule="exact"/>
        <w:ind w:firstLine="482"/>
        <w:jc w:val="left"/>
        <w:rPr>
          <w:rFonts w:hint="eastAsia" w:asciiTheme="minorHAnsi" w:hAnsiTheme="minorHAnsi" w:eastAsiaTheme="minorEastAsia" w:cstheme="minorBidi"/>
          <w:b/>
          <w:bCs/>
          <w:color w:val="auto"/>
          <w:sz w:val="24"/>
          <w:szCs w:val="24"/>
          <w:highlight w:val="none"/>
        </w:rPr>
      </w:pPr>
      <w:r>
        <w:rPr>
          <w:rFonts w:hint="eastAsia" w:cstheme="minorBidi"/>
          <w:b/>
          <w:bCs/>
          <w:color w:val="auto"/>
          <w:sz w:val="24"/>
          <w:szCs w:val="24"/>
          <w:highlight w:val="none"/>
          <w:lang w:val="en-US" w:eastAsia="zh-CN"/>
        </w:rPr>
        <w:t>二、</w:t>
      </w:r>
      <w:r>
        <w:rPr>
          <w:rFonts w:hint="eastAsia" w:asciiTheme="minorHAnsi" w:hAnsiTheme="minorHAnsi" w:eastAsiaTheme="minorEastAsia" w:cstheme="minorBidi"/>
          <w:b/>
          <w:bCs/>
          <w:color w:val="auto"/>
          <w:sz w:val="24"/>
          <w:szCs w:val="24"/>
          <w:highlight w:val="none"/>
        </w:rPr>
        <w:t>主要建设内容</w:t>
      </w:r>
    </w:p>
    <w:p w14:paraId="4221D8A2">
      <w:pPr>
        <w:spacing w:line="500" w:lineRule="exact"/>
        <w:ind w:firstLine="480"/>
        <w:jc w:val="left"/>
        <w:rPr>
          <w:rFonts w:hint="eastAsia" w:asciiTheme="minorHAnsi" w:hAnsiTheme="minorHAnsi" w:eastAsiaTheme="minorEastAsia" w:cstheme="minorBidi"/>
          <w:b/>
          <w:bCs/>
          <w:color w:val="auto"/>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1.审核系统需要与连云港市医保双通道药品管理信息系统进行接口对接， 对接数据包括：申请单ID、申请人信息、药品编码、药品名称、提交时间、电子病历图片、检查检验单图片、CT影像图片等，对接方式采用RESTful API和页面嵌入\URL跳转方式。</w:t>
      </w:r>
    </w:p>
    <w:p w14:paraId="67B65506">
      <w:pPr>
        <w:numPr>
          <w:ilvl w:val="0"/>
          <w:numId w:val="0"/>
        </w:numPr>
        <w:spacing w:line="500" w:lineRule="exact"/>
        <w:ind w:firstLine="480"/>
        <w:jc w:val="left"/>
        <w:rPr>
          <w:rFonts w:hint="eastAsia" w:ascii="宋体" w:hAnsi="宋体" w:cs="宋体" w:eastAsiaTheme="minorEastAsia"/>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bidi="ar-SA"/>
          <w14:textFill>
            <w14:solidFill>
              <w14:schemeClr w14:val="tx1"/>
            </w14:solidFill>
          </w14:textFill>
        </w:rPr>
        <w:t>2.</w:t>
      </w:r>
      <w:r>
        <w:rPr>
          <w:rFonts w:hint="eastAsia" w:ascii="宋体" w:hAnsi="宋体" w:cs="宋体"/>
          <w:b w:val="0"/>
          <w:color w:val="000000" w:themeColor="text1"/>
          <w:sz w:val="24"/>
          <w:szCs w:val="24"/>
          <w:highlight w:val="none"/>
          <w:lang w:val="en-US" w:eastAsia="zh-CN"/>
          <w14:textFill>
            <w14:solidFill>
              <w14:schemeClr w14:val="tx1"/>
            </w14:solidFill>
          </w14:textFill>
        </w:rPr>
        <w:t>在审核系统中</w:t>
      </w:r>
      <w:r>
        <w:rPr>
          <w:rFonts w:hint="eastAsia" w:ascii="宋体" w:hAnsi="宋体" w:cs="宋体" w:eastAsiaTheme="minorEastAsia"/>
          <w:b w:val="0"/>
          <w:color w:val="000000" w:themeColor="text1"/>
          <w:sz w:val="24"/>
          <w:szCs w:val="24"/>
          <w:highlight w:val="none"/>
          <w14:textFill>
            <w14:solidFill>
              <w14:schemeClr w14:val="tx1"/>
            </w14:solidFill>
          </w14:textFill>
        </w:rPr>
        <w:t>建设从用药申请进入、材料解析、规则匹配、AI辅助审核、人工确认、结果回填到归档追溯的完整流程，支持审核状态全过程可视化。</w:t>
      </w:r>
    </w:p>
    <w:p w14:paraId="1FEC70D9">
      <w:pPr>
        <w:numPr>
          <w:ilvl w:val="0"/>
          <w:numId w:val="0"/>
        </w:numPr>
        <w:spacing w:line="500" w:lineRule="exact"/>
        <w:ind w:firstLine="480"/>
        <w:jc w:val="left"/>
        <w:rPr>
          <w:rFonts w:hint="eastAsia" w:ascii="宋体" w:hAnsi="宋体" w:cs="宋体" w:eastAsiaTheme="minorEastAsia"/>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bidi="ar-SA"/>
          <w14:textFill>
            <w14:solidFill>
              <w14:schemeClr w14:val="tx1"/>
            </w14:solidFill>
          </w14:textFill>
        </w:rPr>
        <w:t>3.</w:t>
      </w:r>
      <w:r>
        <w:rPr>
          <w:rFonts w:hint="eastAsia" w:ascii="宋体" w:hAnsi="宋体" w:cs="宋体"/>
          <w:b w:val="0"/>
          <w:color w:val="000000" w:themeColor="text1"/>
          <w:sz w:val="24"/>
          <w:szCs w:val="24"/>
          <w:highlight w:val="none"/>
          <w:lang w:val="en-US" w:eastAsia="zh-CN"/>
          <w14:textFill>
            <w14:solidFill>
              <w14:schemeClr w14:val="tx1"/>
            </w14:solidFill>
          </w14:textFill>
        </w:rPr>
        <w:t>在审核系统中</w:t>
      </w:r>
      <w:r>
        <w:rPr>
          <w:rFonts w:hint="eastAsia" w:ascii="宋体" w:hAnsi="宋体" w:cs="宋体" w:eastAsiaTheme="minorEastAsia"/>
          <w:b w:val="0"/>
          <w:color w:val="000000" w:themeColor="text1"/>
          <w:sz w:val="24"/>
          <w:szCs w:val="24"/>
          <w:highlight w:val="none"/>
          <w14:textFill>
            <w14:solidFill>
              <w14:schemeClr w14:val="tx1"/>
            </w14:solidFill>
          </w14:textFill>
        </w:rPr>
        <w:t>建设可维护、可版本化的药品政策及审核规则知识库，覆盖药品属性、适应症、所需材料和更新记录。</w:t>
      </w:r>
    </w:p>
    <w:p w14:paraId="63D24A4F">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在审核系统中</w:t>
      </w:r>
      <w:r>
        <w:rPr>
          <w:rFonts w:hint="eastAsia" w:ascii="宋体" w:hAnsi="宋体" w:cs="宋体"/>
          <w:color w:val="000000" w:themeColor="text1"/>
          <w:sz w:val="24"/>
          <w:szCs w:val="24"/>
          <w:highlight w:val="none"/>
          <w:lang w:val="en-US" w:eastAsia="zh-CN"/>
          <w14:textFill>
            <w14:solidFill>
              <w14:schemeClr w14:val="tx1"/>
            </w14:solidFill>
          </w14:textFill>
        </w:rPr>
        <w:t>建设</w:t>
      </w:r>
      <w:r>
        <w:rPr>
          <w:rFonts w:hint="eastAsia" w:ascii="宋体" w:hAnsi="宋体" w:cs="宋体"/>
          <w:color w:val="000000" w:themeColor="text1"/>
          <w:sz w:val="24"/>
          <w:szCs w:val="24"/>
          <w:highlight w:val="none"/>
          <w14:textFill>
            <w14:solidFill>
              <w14:schemeClr w14:val="tx1"/>
            </w14:solidFill>
          </w14:textFill>
        </w:rPr>
        <w:t>OCR识别模块，针对病理报告的常见版式（</w:t>
      </w:r>
      <w:r>
        <w:rPr>
          <w:rFonts w:hint="eastAsia" w:ascii="宋体" w:hAnsi="宋体" w:cs="宋体"/>
          <w:color w:val="000000" w:themeColor="text1"/>
          <w:sz w:val="24"/>
          <w:szCs w:val="24"/>
          <w:highlight w:val="none"/>
          <w:lang w:val="en-US" w:eastAsia="zh-CN"/>
          <w14:textFill>
            <w14:solidFill>
              <w14:schemeClr w14:val="tx1"/>
            </w14:solidFill>
          </w14:textFill>
        </w:rPr>
        <w:t>以</w:t>
      </w:r>
      <w:r>
        <w:rPr>
          <w:rFonts w:hint="eastAsia" w:ascii="宋体" w:hAnsi="宋体" w:cs="宋体"/>
          <w:color w:val="000000" w:themeColor="text1"/>
          <w:sz w:val="24"/>
          <w:szCs w:val="24"/>
          <w:highlight w:val="none"/>
          <w14:textFill>
            <w14:solidFill>
              <w14:schemeClr w14:val="tx1"/>
            </w14:solidFill>
          </w14:textFill>
        </w:rPr>
        <w:t>打印体为主</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包含表格和关键诊断字段）进行</w:t>
      </w:r>
      <w:r>
        <w:rPr>
          <w:rFonts w:hint="eastAsia" w:ascii="宋体" w:hAnsi="宋体" w:cs="宋体"/>
          <w:color w:val="000000" w:themeColor="text1"/>
          <w:sz w:val="24"/>
          <w:szCs w:val="24"/>
          <w:highlight w:val="none"/>
          <w:lang w:val="en-US" w:eastAsia="zh-CN"/>
          <w14:textFill>
            <w14:solidFill>
              <w14:schemeClr w14:val="tx1"/>
            </w14:solidFill>
          </w14:textFill>
        </w:rPr>
        <w:t>识别：智能化提取</w:t>
      </w:r>
      <w:r>
        <w:rPr>
          <w:rFonts w:hint="eastAsia" w:ascii="宋体" w:hAnsi="宋体" w:cs="宋体"/>
          <w:color w:val="000000" w:themeColor="text1"/>
          <w:sz w:val="24"/>
          <w:szCs w:val="24"/>
          <w:highlight w:val="none"/>
          <w14:textFill>
            <w14:solidFill>
              <w14:schemeClr w14:val="tx1"/>
            </w14:solidFill>
          </w14:textFill>
        </w:rPr>
        <w:t>患者基本信息、送检部位、病理诊断描述等，并将非结构化的报告内容转化为可读、可分析的文本数据，为后续智能审核提供基础素材。</w:t>
      </w:r>
    </w:p>
    <w:p w14:paraId="2D2F6350">
      <w:pPr>
        <w:spacing w:line="360" w:lineRule="auto"/>
        <w:ind w:firstLine="480"/>
        <w:jc w:val="left"/>
        <w:rPr>
          <w:rFonts w:hint="eastAsia" w:ascii="宋体" w:hAnsi="宋体" w:cs="宋体"/>
          <w:color w:val="000000" w:themeColor="text1"/>
          <w:sz w:val="24"/>
          <w:szCs w:val="24"/>
          <w:highlight w:val="red"/>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在审核系统中建设AI大模型智能审核模块，本地或政务云专属环境部署大模型，根据参保人基本信息、病理信息与药品知识库内的审核要点逐项进行逻辑推理与比对，然后逐项给出是否审核通过的结论与依据，并最终给出是否审核通过的结论与依据。</w:t>
      </w:r>
    </w:p>
    <w:p w14:paraId="5FEE8154">
      <w:pPr>
        <w:spacing w:line="360" w:lineRule="auto"/>
        <w:ind w:firstLine="480"/>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三、服务技术要求</w:t>
      </w:r>
    </w:p>
    <w:p w14:paraId="75014B64">
      <w:pPr>
        <w:spacing w:line="360" w:lineRule="auto"/>
        <w:ind w:firstLine="482"/>
        <w:rPr>
          <w:rFonts w:asciiTheme="minorEastAsia" w:hAnsiTheme="minorEastAsia"/>
          <w:b/>
          <w:bCs/>
          <w:sz w:val="24"/>
        </w:rPr>
      </w:pPr>
      <w:r>
        <w:rPr>
          <w:rFonts w:hint="eastAsia" w:asciiTheme="minorEastAsia" w:hAnsiTheme="minorEastAsia"/>
          <w:b/>
          <w:bCs/>
          <w:sz w:val="24"/>
        </w:rPr>
        <w:t>1.服务范围</w:t>
      </w:r>
    </w:p>
    <w:tbl>
      <w:tblPr>
        <w:tblStyle w:val="33"/>
        <w:tblW w:w="4893" w:type="pct"/>
        <w:tblInd w:w="87" w:type="dxa"/>
        <w:tblLayout w:type="autofit"/>
        <w:tblCellMar>
          <w:top w:w="0" w:type="dxa"/>
          <w:left w:w="108" w:type="dxa"/>
          <w:bottom w:w="0" w:type="dxa"/>
          <w:right w:w="108" w:type="dxa"/>
        </w:tblCellMar>
      </w:tblPr>
      <w:tblGrid>
        <w:gridCol w:w="1545"/>
        <w:gridCol w:w="1470"/>
        <w:gridCol w:w="5325"/>
      </w:tblGrid>
      <w:tr w14:paraId="66E385C4">
        <w:tblPrEx>
          <w:tblCellMar>
            <w:top w:w="0" w:type="dxa"/>
            <w:left w:w="108" w:type="dxa"/>
            <w:bottom w:w="0" w:type="dxa"/>
            <w:right w:w="108" w:type="dxa"/>
          </w:tblCellMar>
        </w:tblPrEx>
        <w:trPr>
          <w:cantSplit/>
          <w:trHeight w:val="1122" w:hRule="atLeast"/>
        </w:trPr>
        <w:tc>
          <w:tcPr>
            <w:tcW w:w="1545" w:type="dxa"/>
            <w:vMerge w:val="restart"/>
            <w:tcBorders>
              <w:top w:val="single" w:color="auto" w:sz="4" w:space="0"/>
              <w:left w:val="single" w:color="auto" w:sz="4" w:space="0"/>
              <w:right w:val="single" w:color="auto" w:sz="4" w:space="0"/>
            </w:tcBorders>
            <w:shd w:val="clear" w:color="auto" w:fill="FFFFFF"/>
            <w:noWrap w:val="0"/>
            <w:vAlign w:val="center"/>
          </w:tcPr>
          <w:p w14:paraId="1EE35E72">
            <w:pPr>
              <w:keepNext w:val="0"/>
              <w:keepLines w:val="0"/>
              <w:pageBreakBefore w:val="0"/>
              <w:widowControl/>
              <w:spacing w:line="360" w:lineRule="auto"/>
              <w:jc w:val="center"/>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系统管理</w:t>
            </w: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C3CE05">
            <w:pPr>
              <w:keepNext w:val="0"/>
              <w:keepLines w:val="0"/>
              <w:pageBreakBefore w:val="0"/>
              <w:widowControl/>
              <w:spacing w:line="360" w:lineRule="auto"/>
              <w:ind w:firstLine="0"/>
              <w:jc w:val="both"/>
              <w:rPr>
                <w:rFonts w:hint="eastAsia" w:asciiTheme="minorEastAsia" w:hAnsiTheme="minorEastAsia" w:eastAsiaTheme="minorEastAsia" w:cstheme="minorBidi"/>
                <w:sz w:val="24"/>
                <w:szCs w:val="24"/>
                <w:lang w:val="en-US" w:eastAsia="zh-CN" w:bidi="ar-SA"/>
              </w:rPr>
            </w:pPr>
            <w:r>
              <w:rPr>
                <w:rFonts w:hint="eastAsia" w:asciiTheme="minorEastAsia" w:hAnsiTheme="minorEastAsia" w:cstheme="minorBidi"/>
                <w:sz w:val="24"/>
                <w:szCs w:val="24"/>
                <w:lang w:val="en-US" w:eastAsia="zh-CN"/>
              </w:rPr>
              <w:t>用户管理</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CE49ED">
            <w:pPr>
              <w:keepNext w:val="0"/>
              <w:keepLines w:val="0"/>
              <w:pageBreakBefore w:val="0"/>
              <w:widowControl/>
              <w:spacing w:line="360" w:lineRule="auto"/>
              <w:ind w:firstLine="0"/>
              <w:jc w:val="both"/>
              <w:rPr>
                <w:rFonts w:hint="eastAsia" w:asciiTheme="minorEastAsia" w:hAnsiTheme="minorEastAsia" w:eastAsiaTheme="minorEastAsia" w:cstheme="minorBidi"/>
                <w:sz w:val="24"/>
                <w:szCs w:val="24"/>
                <w:lang w:val="en-US" w:eastAsia="zh-CN" w:bidi="ar-SA"/>
              </w:rPr>
            </w:pPr>
            <w:r>
              <w:rPr>
                <w:rFonts w:hint="eastAsia" w:asciiTheme="minorEastAsia" w:hAnsiTheme="minorEastAsia" w:cstheme="minorBidi"/>
                <w:sz w:val="24"/>
                <w:szCs w:val="24"/>
                <w:lang w:val="en-US" w:eastAsia="zh-CN"/>
              </w:rPr>
              <w:t>用户的管理，支持用户的新增、删除、查询，启用禁用</w:t>
            </w:r>
          </w:p>
        </w:tc>
      </w:tr>
      <w:tr w14:paraId="106B7C5E">
        <w:tblPrEx>
          <w:tblCellMar>
            <w:top w:w="0" w:type="dxa"/>
            <w:left w:w="108" w:type="dxa"/>
            <w:bottom w:w="0" w:type="dxa"/>
            <w:right w:w="108" w:type="dxa"/>
          </w:tblCellMar>
        </w:tblPrEx>
        <w:trPr>
          <w:cantSplit/>
          <w:trHeight w:val="737" w:hRule="atLeast"/>
        </w:trPr>
        <w:tc>
          <w:tcPr>
            <w:tcW w:w="1545" w:type="dxa"/>
            <w:vMerge w:val="continue"/>
            <w:tcBorders>
              <w:left w:val="single" w:color="auto" w:sz="4" w:space="0"/>
              <w:right w:val="single" w:color="auto" w:sz="4" w:space="0"/>
            </w:tcBorders>
            <w:shd w:val="clear" w:color="auto" w:fill="FFFFFF"/>
            <w:noWrap w:val="0"/>
            <w:vAlign w:val="center"/>
          </w:tcPr>
          <w:p w14:paraId="75923FDD">
            <w:pPr>
              <w:keepNext w:val="0"/>
              <w:keepLines w:val="0"/>
              <w:pageBreakBefore w:val="0"/>
              <w:widowControl/>
              <w:spacing w:line="360" w:lineRule="auto"/>
              <w:ind w:firstLine="480"/>
              <w:jc w:val="center"/>
              <w:rPr>
                <w:rFonts w:hint="eastAsia" w:asciiTheme="minorEastAsia" w:hAnsiTheme="minorEastAsia" w:cstheme="minorBidi"/>
                <w:sz w:val="24"/>
                <w:szCs w:val="24"/>
                <w:lang w:val="en-US" w:eastAsia="zh-CN"/>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180042">
            <w:pPr>
              <w:keepNext w:val="0"/>
              <w:keepLines w:val="0"/>
              <w:pageBreakBefore w:val="0"/>
              <w:widowControl/>
              <w:spacing w:line="360" w:lineRule="auto"/>
              <w:ind w:firstLine="0"/>
              <w:jc w:val="both"/>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日志管理</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A3139B">
            <w:pPr>
              <w:keepNext w:val="0"/>
              <w:keepLines w:val="0"/>
              <w:pageBreakBefore w:val="0"/>
              <w:widowControl/>
              <w:spacing w:line="360" w:lineRule="auto"/>
              <w:ind w:firstLine="0"/>
              <w:jc w:val="both"/>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登陆日志及审核日志的记录查询</w:t>
            </w:r>
          </w:p>
        </w:tc>
      </w:tr>
      <w:tr w14:paraId="76880A5D">
        <w:tblPrEx>
          <w:tblCellMar>
            <w:top w:w="0" w:type="dxa"/>
            <w:left w:w="108" w:type="dxa"/>
            <w:bottom w:w="0" w:type="dxa"/>
            <w:right w:w="108" w:type="dxa"/>
          </w:tblCellMar>
        </w:tblPrEx>
        <w:trPr>
          <w:cantSplit/>
          <w:trHeight w:val="732" w:hRule="atLeast"/>
        </w:trPr>
        <w:tc>
          <w:tcPr>
            <w:tcW w:w="1545" w:type="dxa"/>
            <w:vMerge w:val="continue"/>
            <w:tcBorders>
              <w:left w:val="single" w:color="auto" w:sz="4" w:space="0"/>
              <w:bottom w:val="single" w:color="auto" w:sz="4" w:space="0"/>
              <w:right w:val="single" w:color="auto" w:sz="4" w:space="0"/>
            </w:tcBorders>
            <w:shd w:val="clear" w:color="auto" w:fill="FFFFFF"/>
            <w:noWrap w:val="0"/>
            <w:vAlign w:val="center"/>
          </w:tcPr>
          <w:p w14:paraId="13BFF54B">
            <w:pPr>
              <w:keepNext w:val="0"/>
              <w:keepLines w:val="0"/>
              <w:pageBreakBefore w:val="0"/>
              <w:widowControl/>
              <w:spacing w:line="360" w:lineRule="auto"/>
              <w:ind w:firstLine="480"/>
              <w:jc w:val="center"/>
              <w:rPr>
                <w:rFonts w:hint="default" w:asciiTheme="minorEastAsia" w:hAnsiTheme="minorEastAsia" w:eastAsiaTheme="minorEastAsia" w:cstheme="minorBidi"/>
                <w:sz w:val="24"/>
                <w:szCs w:val="24"/>
                <w:lang w:val="en-US" w:eastAsia="zh-CN"/>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332228">
            <w:pPr>
              <w:keepNext w:val="0"/>
              <w:keepLines w:val="0"/>
              <w:pageBreakBefore w:val="0"/>
              <w:widowControl/>
              <w:spacing w:line="360" w:lineRule="auto"/>
              <w:ind w:firstLine="0"/>
              <w:jc w:val="both"/>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用户登陆</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E68B10">
            <w:pPr>
              <w:keepNext w:val="0"/>
              <w:keepLines w:val="0"/>
              <w:pageBreakBefore w:val="0"/>
              <w:widowControl/>
              <w:spacing w:line="360" w:lineRule="auto"/>
              <w:ind w:firstLine="0"/>
              <w:jc w:val="both"/>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根据后台配置用户进行登陆校验</w:t>
            </w:r>
          </w:p>
        </w:tc>
      </w:tr>
      <w:tr w14:paraId="26685808">
        <w:tblPrEx>
          <w:tblCellMar>
            <w:top w:w="0" w:type="dxa"/>
            <w:left w:w="108" w:type="dxa"/>
            <w:bottom w:w="0" w:type="dxa"/>
            <w:right w:w="108" w:type="dxa"/>
          </w:tblCellMar>
        </w:tblPrEx>
        <w:trPr>
          <w:cantSplit/>
          <w:trHeight w:val="1842" w:hRule="atLeast"/>
        </w:trPr>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8C9B66">
            <w:pPr>
              <w:keepNext w:val="0"/>
              <w:keepLines w:val="0"/>
              <w:pageBreakBefore w:val="0"/>
              <w:widowControl/>
              <w:spacing w:line="360" w:lineRule="auto"/>
              <w:jc w:val="center"/>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系统对接</w:t>
            </w: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355335">
            <w:pPr>
              <w:keepNext w:val="0"/>
              <w:keepLines w:val="0"/>
              <w:pageBreakBefore w:val="0"/>
              <w:widowControl/>
              <w:spacing w:line="360" w:lineRule="auto"/>
              <w:ind w:firstLine="0"/>
              <w:jc w:val="both"/>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连云港市医保双通道药品管理信息系统</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51650B">
            <w:pPr>
              <w:keepNext w:val="0"/>
              <w:keepLines w:val="0"/>
              <w:pageBreakBefore w:val="0"/>
              <w:widowControl/>
              <w:spacing w:line="360" w:lineRule="auto"/>
              <w:ind w:firstLine="0"/>
              <w:jc w:val="both"/>
              <w:rPr>
                <w:rFonts w:hint="default" w:asciiTheme="minorEastAsia" w:hAnsiTheme="minorEastAsia" w:eastAsiaTheme="minorEastAsia" w:cstheme="minorBidi"/>
                <w:color w:val="auto"/>
                <w:sz w:val="24"/>
                <w:szCs w:val="24"/>
                <w:lang w:val="en-US" w:eastAsia="zh-CN"/>
              </w:rPr>
            </w:pPr>
            <w:r>
              <w:rPr>
                <w:rFonts w:hint="eastAsia" w:asciiTheme="minorEastAsia" w:hAnsiTheme="minorEastAsia" w:cstheme="minorBidi"/>
                <w:sz w:val="24"/>
                <w:szCs w:val="24"/>
                <w:lang w:val="en-US" w:eastAsia="zh-CN"/>
              </w:rPr>
              <w:t>自动获取</w:t>
            </w:r>
            <w:r>
              <w:rPr>
                <w:rFonts w:hint="eastAsia" w:asciiTheme="minorEastAsia" w:hAnsiTheme="minorEastAsia"/>
                <w:sz w:val="24"/>
                <w:szCs w:val="24"/>
              </w:rPr>
              <w:t>连云港市医保双通道药品管理信息系统</w:t>
            </w:r>
            <w:r>
              <w:rPr>
                <w:rFonts w:hint="eastAsia" w:asciiTheme="minorEastAsia" w:hAnsiTheme="minorEastAsia" w:cstheme="minorBidi"/>
                <w:sz w:val="24"/>
                <w:szCs w:val="24"/>
                <w:lang w:val="en-US" w:eastAsia="zh-CN"/>
              </w:rPr>
              <w:t>用户提交审批材料，并提供可跳转的智能审核详情页面，审核人员可以在智能审核详情页面进行审核</w:t>
            </w:r>
          </w:p>
        </w:tc>
      </w:tr>
      <w:tr w14:paraId="6616B484">
        <w:tblPrEx>
          <w:tblCellMar>
            <w:top w:w="0" w:type="dxa"/>
            <w:left w:w="108" w:type="dxa"/>
            <w:bottom w:w="0" w:type="dxa"/>
            <w:right w:w="108" w:type="dxa"/>
          </w:tblCellMar>
        </w:tblPrEx>
        <w:trPr>
          <w:cantSplit/>
          <w:trHeight w:val="20" w:hRule="atLeast"/>
        </w:trPr>
        <w:tc>
          <w:tcPr>
            <w:tcW w:w="1545" w:type="dxa"/>
            <w:tcBorders>
              <w:top w:val="single" w:color="auto" w:sz="4" w:space="0"/>
              <w:left w:val="single" w:color="auto" w:sz="4" w:space="0"/>
              <w:bottom w:val="single" w:color="auto" w:sz="4" w:space="0"/>
              <w:right w:val="single" w:color="auto" w:sz="4" w:space="0"/>
            </w:tcBorders>
            <w:noWrap w:val="0"/>
            <w:vAlign w:val="center"/>
          </w:tcPr>
          <w:p w14:paraId="06689ADD">
            <w:pPr>
              <w:keepNext w:val="0"/>
              <w:keepLines w:val="0"/>
              <w:pageBreakBefore w:val="0"/>
              <w:widowControl/>
              <w:spacing w:line="360" w:lineRule="auto"/>
              <w:jc w:val="center"/>
              <w:rPr>
                <w:rFonts w:hint="eastAsia" w:asciiTheme="minorEastAsia" w:hAnsiTheme="minorEastAsia" w:eastAsiaTheme="minorEastAsia" w:cstheme="minorBidi"/>
                <w:color w:val="auto"/>
                <w:sz w:val="24"/>
                <w:szCs w:val="24"/>
              </w:rPr>
            </w:pPr>
            <w:r>
              <w:rPr>
                <w:rFonts w:hint="eastAsia" w:asciiTheme="minorEastAsia" w:hAnsiTheme="minorEastAsia" w:eastAsiaTheme="minorEastAsia" w:cstheme="minorBidi"/>
                <w:iCs w:val="0"/>
                <w:color w:val="auto"/>
                <w:sz w:val="24"/>
                <w:szCs w:val="24"/>
                <w:lang w:val="en-US" w:eastAsia="zh-CN"/>
              </w:rPr>
              <w:t>药品知识库</w:t>
            </w: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350FF7">
            <w:pPr>
              <w:keepNext w:val="0"/>
              <w:keepLines w:val="0"/>
              <w:pageBreakBefore w:val="0"/>
              <w:widowControl/>
              <w:spacing w:line="360" w:lineRule="auto"/>
              <w:ind w:firstLine="0"/>
              <w:jc w:val="both"/>
              <w:rPr>
                <w:rFonts w:hint="default" w:asciiTheme="minorEastAsia" w:hAnsiTheme="minorEastAsia" w:eastAsiaTheme="minorEastAsia" w:cstheme="minorBidi"/>
                <w:iCs w:val="0"/>
                <w:sz w:val="24"/>
                <w:szCs w:val="24"/>
                <w:lang w:val="en-US" w:eastAsia="zh-CN"/>
              </w:rPr>
            </w:pPr>
            <w:r>
              <w:rPr>
                <w:rFonts w:hint="eastAsia" w:asciiTheme="minorEastAsia" w:hAnsiTheme="minorEastAsia" w:cstheme="minorBidi"/>
                <w:iCs w:val="0"/>
                <w:sz w:val="24"/>
                <w:szCs w:val="24"/>
                <w:lang w:val="en-US" w:eastAsia="zh-CN"/>
              </w:rPr>
              <w:t>知识库</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10CA538">
            <w:pPr>
              <w:keepNext w:val="0"/>
              <w:keepLines w:val="0"/>
              <w:pageBreakBefore w:val="0"/>
              <w:widowControl/>
              <w:spacing w:line="360" w:lineRule="auto"/>
              <w:ind w:firstLine="0"/>
              <w:jc w:val="both"/>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针对现有双通道</w:t>
            </w:r>
            <w:r>
              <w:rPr>
                <w:rFonts w:hint="eastAsia" w:asciiTheme="minorEastAsia" w:hAnsiTheme="minorEastAsia" w:cstheme="minorBidi"/>
                <w:color w:val="auto"/>
                <w:sz w:val="24"/>
                <w:szCs w:val="24"/>
                <w:lang w:val="en-US" w:eastAsia="zh-CN"/>
              </w:rPr>
              <w:t>单独支付管理的</w:t>
            </w:r>
            <w:r>
              <w:rPr>
                <w:rFonts w:hint="eastAsia" w:asciiTheme="minorEastAsia" w:hAnsiTheme="minorEastAsia" w:eastAsiaTheme="minorEastAsia" w:cstheme="minorBidi"/>
                <w:color w:val="auto"/>
                <w:sz w:val="24"/>
                <w:szCs w:val="24"/>
                <w:lang w:val="en-US" w:eastAsia="zh-CN"/>
              </w:rPr>
              <w:t>特殊药，解析整理的excel类型的特殊药说明文档，设计成特有的知识库</w:t>
            </w:r>
          </w:p>
        </w:tc>
      </w:tr>
      <w:tr w14:paraId="228A88FD">
        <w:tblPrEx>
          <w:tblCellMar>
            <w:top w:w="0" w:type="dxa"/>
            <w:left w:w="108" w:type="dxa"/>
            <w:bottom w:w="0" w:type="dxa"/>
            <w:right w:w="108" w:type="dxa"/>
          </w:tblCellMar>
        </w:tblPrEx>
        <w:trPr>
          <w:cantSplit/>
          <w:trHeight w:val="20" w:hRule="atLeast"/>
        </w:trPr>
        <w:tc>
          <w:tcPr>
            <w:tcW w:w="1545" w:type="dxa"/>
            <w:vMerge w:val="restart"/>
            <w:tcBorders>
              <w:top w:val="single" w:color="auto" w:sz="4" w:space="0"/>
              <w:left w:val="single" w:color="auto" w:sz="4" w:space="0"/>
              <w:bottom w:val="single" w:color="auto" w:sz="4" w:space="0"/>
              <w:right w:val="single" w:color="auto" w:sz="4" w:space="0"/>
            </w:tcBorders>
            <w:noWrap w:val="0"/>
            <w:vAlign w:val="center"/>
          </w:tcPr>
          <w:p w14:paraId="367FFAC8">
            <w:pPr>
              <w:keepNext w:val="0"/>
              <w:keepLines w:val="0"/>
              <w:pageBreakBefore w:val="0"/>
              <w:widowControl/>
              <w:spacing w:line="360" w:lineRule="auto"/>
              <w:jc w:val="center"/>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智能审核</w:t>
            </w: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464730">
            <w:pPr>
              <w:keepNext w:val="0"/>
              <w:keepLines w:val="0"/>
              <w:pageBreakBefore w:val="0"/>
              <w:widowControl/>
              <w:spacing w:line="360" w:lineRule="auto"/>
              <w:ind w:firstLine="0"/>
              <w:jc w:val="both"/>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图片识别</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716317">
            <w:pPr>
              <w:keepNext w:val="0"/>
              <w:keepLines w:val="0"/>
              <w:pageBreakBefore w:val="0"/>
              <w:widowControl/>
              <w:spacing w:line="360" w:lineRule="auto"/>
              <w:ind w:firstLine="0"/>
              <w:jc w:val="both"/>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在审核系统中，解析审核材料，将图片内容提炼成结构化的审核内容</w:t>
            </w:r>
          </w:p>
        </w:tc>
      </w:tr>
      <w:tr w14:paraId="3A8EE8A5">
        <w:tblPrEx>
          <w:tblCellMar>
            <w:top w:w="0" w:type="dxa"/>
            <w:left w:w="108" w:type="dxa"/>
            <w:bottom w:w="0" w:type="dxa"/>
            <w:right w:w="108" w:type="dxa"/>
          </w:tblCellMar>
        </w:tblPrEx>
        <w:trPr>
          <w:cantSplit/>
          <w:trHeight w:val="20" w:hRule="atLeast"/>
        </w:trPr>
        <w:tc>
          <w:tcPr>
            <w:tcW w:w="1545" w:type="dxa"/>
            <w:vMerge w:val="continue"/>
            <w:tcBorders>
              <w:top w:val="single" w:color="auto" w:sz="4" w:space="0"/>
              <w:left w:val="single" w:color="auto" w:sz="4" w:space="0"/>
              <w:bottom w:val="single" w:color="auto" w:sz="4" w:space="0"/>
              <w:right w:val="single" w:color="auto" w:sz="4" w:space="0"/>
            </w:tcBorders>
            <w:noWrap w:val="0"/>
            <w:vAlign w:val="center"/>
          </w:tcPr>
          <w:p w14:paraId="742779BF">
            <w:pPr>
              <w:keepNext w:val="0"/>
              <w:keepLines w:val="0"/>
              <w:pageBreakBefore w:val="0"/>
              <w:widowControl/>
              <w:spacing w:line="360" w:lineRule="auto"/>
              <w:ind w:firstLine="480"/>
              <w:jc w:val="both"/>
              <w:rPr>
                <w:rFonts w:hint="eastAsia" w:asciiTheme="minorEastAsia" w:hAnsiTheme="minorEastAsia" w:eastAsiaTheme="minorEastAsia" w:cstheme="minorBidi"/>
                <w:color w:val="auto"/>
                <w:sz w:val="24"/>
                <w:szCs w:val="24"/>
                <w:lang w:val="en-US" w:eastAsia="zh-CN"/>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895BAF">
            <w:pPr>
              <w:keepNext w:val="0"/>
              <w:keepLines w:val="0"/>
              <w:pageBreakBefore w:val="0"/>
              <w:widowControl/>
              <w:spacing w:line="360" w:lineRule="auto"/>
              <w:ind w:firstLine="0"/>
              <w:jc w:val="both"/>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材料对比</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8E43F3">
            <w:pPr>
              <w:keepNext w:val="0"/>
              <w:keepLines w:val="0"/>
              <w:pageBreakBefore w:val="0"/>
              <w:widowControl/>
              <w:spacing w:line="360" w:lineRule="auto"/>
              <w:ind w:firstLine="0"/>
              <w:jc w:val="both"/>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在辅助审核页面，支持原始材料与识别内容比对</w:t>
            </w:r>
          </w:p>
        </w:tc>
      </w:tr>
      <w:tr w14:paraId="70D1D1A4">
        <w:tblPrEx>
          <w:tblCellMar>
            <w:top w:w="0" w:type="dxa"/>
            <w:left w:w="108" w:type="dxa"/>
            <w:bottom w:w="0" w:type="dxa"/>
            <w:right w:w="108" w:type="dxa"/>
          </w:tblCellMar>
        </w:tblPrEx>
        <w:trPr>
          <w:cantSplit/>
          <w:trHeight w:val="20" w:hRule="atLeast"/>
        </w:trPr>
        <w:tc>
          <w:tcPr>
            <w:tcW w:w="1545" w:type="dxa"/>
            <w:vMerge w:val="continue"/>
            <w:tcBorders>
              <w:top w:val="single" w:color="auto" w:sz="4" w:space="0"/>
              <w:left w:val="single" w:color="auto" w:sz="4" w:space="0"/>
              <w:bottom w:val="single" w:color="auto" w:sz="4" w:space="0"/>
              <w:right w:val="single" w:color="auto" w:sz="4" w:space="0"/>
            </w:tcBorders>
            <w:noWrap w:val="0"/>
            <w:vAlign w:val="center"/>
          </w:tcPr>
          <w:p w14:paraId="714A6B82">
            <w:pPr>
              <w:keepNext w:val="0"/>
              <w:keepLines w:val="0"/>
              <w:pageBreakBefore w:val="0"/>
              <w:widowControl/>
              <w:spacing w:line="360" w:lineRule="auto"/>
              <w:ind w:firstLine="480"/>
              <w:jc w:val="both"/>
              <w:rPr>
                <w:rFonts w:hint="eastAsia" w:asciiTheme="minorEastAsia" w:hAnsiTheme="minorEastAsia" w:eastAsiaTheme="minorEastAsia" w:cstheme="minorBidi"/>
                <w:color w:val="auto"/>
                <w:sz w:val="24"/>
                <w:szCs w:val="24"/>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953436">
            <w:pPr>
              <w:keepNext w:val="0"/>
              <w:keepLines w:val="0"/>
              <w:pageBreakBefore w:val="0"/>
              <w:widowControl/>
              <w:spacing w:line="360" w:lineRule="auto"/>
              <w:ind w:firstLine="0"/>
              <w:jc w:val="both"/>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审核材料核心要点提炼</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BA73FB">
            <w:pPr>
              <w:keepNext w:val="0"/>
              <w:keepLines w:val="0"/>
              <w:pageBreakBefore w:val="0"/>
              <w:widowControl/>
              <w:spacing w:line="360" w:lineRule="auto"/>
              <w:ind w:firstLine="0"/>
              <w:jc w:val="both"/>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分析药品属性，结合解析的审核内容，需要审核的特殊药知识库，进行审核内容提取</w:t>
            </w:r>
          </w:p>
        </w:tc>
      </w:tr>
      <w:tr w14:paraId="1A4234FE">
        <w:tblPrEx>
          <w:tblCellMar>
            <w:top w:w="0" w:type="dxa"/>
            <w:left w:w="108" w:type="dxa"/>
            <w:bottom w:w="0" w:type="dxa"/>
            <w:right w:w="108" w:type="dxa"/>
          </w:tblCellMar>
        </w:tblPrEx>
        <w:trPr>
          <w:cantSplit/>
          <w:trHeight w:val="20" w:hRule="atLeast"/>
        </w:trPr>
        <w:tc>
          <w:tcPr>
            <w:tcW w:w="1545" w:type="dxa"/>
            <w:vMerge w:val="continue"/>
            <w:tcBorders>
              <w:top w:val="single" w:color="auto" w:sz="4" w:space="0"/>
              <w:left w:val="single" w:color="auto" w:sz="4" w:space="0"/>
              <w:bottom w:val="single" w:color="auto" w:sz="4" w:space="0"/>
              <w:right w:val="single" w:color="auto" w:sz="4" w:space="0"/>
            </w:tcBorders>
            <w:noWrap w:val="0"/>
            <w:vAlign w:val="center"/>
          </w:tcPr>
          <w:p w14:paraId="091F2249">
            <w:pPr>
              <w:keepNext w:val="0"/>
              <w:keepLines w:val="0"/>
              <w:pageBreakBefore w:val="0"/>
              <w:widowControl/>
              <w:spacing w:line="360" w:lineRule="auto"/>
              <w:ind w:firstLine="480"/>
              <w:jc w:val="both"/>
              <w:rPr>
                <w:rFonts w:hint="eastAsia" w:asciiTheme="minorEastAsia" w:hAnsiTheme="minorEastAsia" w:eastAsiaTheme="minorEastAsia" w:cstheme="minorBidi"/>
                <w:color w:val="auto"/>
                <w:sz w:val="24"/>
                <w:szCs w:val="24"/>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08C020">
            <w:pPr>
              <w:keepNext w:val="0"/>
              <w:keepLines w:val="0"/>
              <w:pageBreakBefore w:val="0"/>
              <w:widowControl/>
              <w:spacing w:line="360" w:lineRule="auto"/>
              <w:ind w:firstLine="0"/>
              <w:jc w:val="both"/>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智能审核</w:t>
            </w:r>
          </w:p>
        </w:tc>
        <w:tc>
          <w:tcPr>
            <w:tcW w:w="53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440539">
            <w:pPr>
              <w:keepNext w:val="0"/>
              <w:keepLines w:val="0"/>
              <w:pageBreakBefore w:val="0"/>
              <w:widowControl/>
              <w:spacing w:line="360" w:lineRule="auto"/>
              <w:ind w:firstLine="0"/>
              <w:jc w:val="both"/>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根据材料、知识库及药品属性，结构化展示呈现AI智能审核结论，辅助经办人员进行审核。</w:t>
            </w:r>
          </w:p>
        </w:tc>
      </w:tr>
    </w:tbl>
    <w:p w14:paraId="4068F3FD">
      <w:pPr>
        <w:spacing w:line="360" w:lineRule="auto"/>
        <w:ind w:firstLine="482"/>
        <w:rPr>
          <w:rFonts w:hint="eastAsia" w:asciiTheme="minorEastAsia" w:hAnsiTheme="minorEastAsia"/>
          <w:b/>
          <w:bCs/>
          <w:sz w:val="24"/>
        </w:rPr>
      </w:pPr>
      <w:r>
        <w:rPr>
          <w:rFonts w:hint="eastAsia" w:asciiTheme="minorEastAsia" w:hAnsiTheme="minorEastAsia"/>
          <w:b/>
          <w:bCs/>
          <w:sz w:val="24"/>
        </w:rPr>
        <w:t>2.服务技术要求</w:t>
      </w:r>
    </w:p>
    <w:p w14:paraId="64F3116B">
      <w:pPr>
        <w:spacing w:line="360" w:lineRule="auto"/>
        <w:ind w:firstLine="48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2.1总体要求</w:t>
      </w:r>
    </w:p>
    <w:p w14:paraId="737AB786">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总体应遵循“业务闭环、智能辅助、人工把关、证据可查、接口开放、安全可控、持续可维护”的原则。供应商应提供成熟的软件工程实施能力和可落地的智能审核能力，确保系统上线后能够支撑双通道药品审核业务连续运行。</w:t>
      </w:r>
    </w:p>
    <w:p w14:paraId="68D8A0D3">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（1）即时性</w:t>
      </w:r>
    </w:p>
    <w:p w14:paraId="57A028DE">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申请信息进入系统后，应能够自动触发材料解析、字段抽取、规则匹配和AI辅助审核任务，并显示待解析、解析中、待审核、已完成等状态。</w:t>
      </w:r>
    </w:p>
    <w:p w14:paraId="23C23A81">
      <w:pPr>
        <w:pageBreakBefore w:val="0"/>
        <w:widowControl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系统应支持异步任务处理、失败重试和人工重新触发。</w:t>
      </w:r>
    </w:p>
    <w:p w14:paraId="2619CC31">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（2）创新性</w:t>
      </w:r>
    </w:p>
    <w:p w14:paraId="33CEF099">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系统应综合运用OCR、自然语言处理、规则引擎、知识库、大模型等技术，对非结构化审核材料进行智能识别、提炼和辅助判断。</w:t>
      </w:r>
    </w:p>
    <w:p w14:paraId="1ED16250">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AI辅助审核结果应可解释，至少包括辅助结论、命中规则、知识库依据、证据来源位置、缺失材料、异常风险关注点。</w:t>
      </w:r>
    </w:p>
    <w:p w14:paraId="6B493251">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系统应明确AI仅作为辅助工具，最终审核结论由授权审核人员确认。</w:t>
      </w:r>
    </w:p>
    <w:p w14:paraId="0BC417A3">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（3）可用性</w:t>
      </w:r>
    </w:p>
    <w:p w14:paraId="4FCCC1EC">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系统应覆盖申请上传材料、材料解析、辅助审核、人工复核、结论保存、结果回传和历史追溯等关键业务环节，形成可连续使用的完整业务闭环。</w:t>
      </w:r>
    </w:p>
    <w:p w14:paraId="717682FE">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系统应提供稳定的任务处理、接口调用、数据保存，关键业务数据不得因单次任务失败而丢失。</w:t>
      </w:r>
    </w:p>
    <w:p w14:paraId="1ADD8323">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系统应支持按药品、参保人、申请状态、申请时间等条件进行查询、筛选和统计。</w:t>
      </w:r>
    </w:p>
    <w:p w14:paraId="5AE27C84">
      <w:pPr>
        <w:pageBreakBefore w:val="0"/>
        <w:widowControl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系统应提供必要的审核日志查询，便于审计追溯。</w:t>
      </w:r>
    </w:p>
    <w:p w14:paraId="78E839DB">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（4）易用性</w:t>
      </w:r>
    </w:p>
    <w:p w14:paraId="2B169F73">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审核页面应集中展示申请基础信息、药品信息、材料原件、OCR识别文本、结构化字段、AI辅助结论、命中依据和人工复核操作区，减少审核人员跨系统、跨页面反复切换。</w:t>
      </w:r>
    </w:p>
    <w:p w14:paraId="4B71B1D0">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系统应支持材料预览、关键证据定位、缺失材料提示、异常字段标识、审核备注、结论选择等便捷操作。</w:t>
      </w:r>
    </w:p>
    <w:p w14:paraId="1A97DC53">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知识库维护界面应支持可视化录入、查询、编辑、启停、批量导入导出和版本记录，便于业务人员在授权范围内维护审核规则。</w:t>
      </w:r>
    </w:p>
    <w:p w14:paraId="07EE1406">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系统界面应符合政务和医疗保障业务人员使用习惯，页面层级清晰、操作反馈明确、错误提示可理解，并提供用户手册和培训材料。</w:t>
      </w:r>
    </w:p>
    <w:p w14:paraId="0E6E97D3">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（5）可维护性</w:t>
      </w:r>
    </w:p>
    <w:p w14:paraId="3FD6A86F">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系统应采用模块化、分层化设计，前端、业务服务、AI服务、知识库、文件服务、接口服务和运维监控应职责清晰，便于维护和升级。</w:t>
      </w:r>
    </w:p>
    <w:p w14:paraId="5D963FEC">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系统应提供完整的部署文档、接口文档、数据库或数据结构说明、运维手册、用户手册、测试报告和培训资料。</w:t>
      </w:r>
    </w:p>
    <w:p w14:paraId="71CC6B3C">
      <w:pPr>
        <w:pageBreakBefore w:val="0"/>
        <w:widowControl w:val="0"/>
        <w:numPr>
          <w:ilvl w:val="0"/>
          <w:numId w:val="0"/>
        </w:num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（6）可扩展性</w:t>
      </w:r>
    </w:p>
    <w:p w14:paraId="01E3B204">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系统应支持新增双通道药品、新增审核规则、新增材料类型、新增证据字段和新增审核场景，不因药品范围扩大而重建系统。</w:t>
      </w:r>
    </w:p>
    <w:p w14:paraId="128659F1">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接口应采用开放、清晰、可版本管理的设计，支持后续与医保、医院、药店、专家评审或统计分析等相关系统扩展集成。</w:t>
      </w:r>
    </w:p>
    <w:p w14:paraId="28C50730">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系统应具备横向扩展、资源扩容、任务并发调整和存储容量扩展能力，满足业务量增长和政策规则增加后的持续使用需要。</w:t>
      </w:r>
    </w:p>
    <w:p w14:paraId="0B1F3695">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（7）其他要求</w:t>
      </w:r>
    </w:p>
    <w:p w14:paraId="12922091">
      <w:pPr>
        <w:pageBreakBefore w:val="0"/>
        <w:widowControl w:val="0"/>
        <w:spacing w:line="360" w:lineRule="auto"/>
        <w:ind w:firstLine="482"/>
        <w:rPr>
          <w:rFonts w:hint="default" w:ascii="宋体" w:hAnsi="宋体" w:eastAsia="宋体" w:cs="宋体"/>
          <w:b/>
          <w:bCs/>
          <w:i/>
          <w:iCs/>
          <w:sz w:val="24"/>
          <w:szCs w:val="24"/>
          <w:u w:val="single"/>
          <w:lang w:val="en-US" w:eastAsia="zh-CN"/>
        </w:rPr>
      </w:pPr>
      <w:r>
        <w:rPr>
          <w:rFonts w:hint="default" w:ascii="宋体" w:hAnsi="宋体" w:eastAsia="宋体" w:cs="宋体"/>
          <w:b/>
          <w:bCs/>
          <w:i/>
          <w:iCs/>
          <w:sz w:val="24"/>
          <w:szCs w:val="24"/>
          <w:u w:val="single"/>
          <w:lang w:val="en-US" w:eastAsia="zh-CN"/>
        </w:rPr>
        <w:t>审核系统对接：对接连云港市医保双通道药品管理信息系统，经办人员可以流畅的获取智能审核结论。</w:t>
      </w:r>
    </w:p>
    <w:p w14:paraId="3FFCD2DF">
      <w:pPr>
        <w:pageBreakBefore w:val="0"/>
        <w:widowControl w:val="0"/>
        <w:spacing w:line="360" w:lineRule="auto"/>
        <w:ind w:firstLine="482"/>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识别精度：</w:t>
      </w:r>
      <w:r>
        <w:rPr>
          <w:rFonts w:hint="default" w:ascii="宋体" w:hAnsi="宋体" w:eastAsia="宋体" w:cs="宋体"/>
          <w:b/>
          <w:bCs/>
          <w:i/>
          <w:iCs/>
          <w:sz w:val="24"/>
          <w:szCs w:val="24"/>
          <w:u w:val="single"/>
          <w:lang w:val="en-US" w:eastAsia="zh-CN"/>
        </w:rPr>
        <w:t>AI智能审核模型识别</w:t>
      </w:r>
      <w:r>
        <w:rPr>
          <w:rFonts w:hint="eastAsia" w:ascii="宋体" w:hAnsi="宋体" w:eastAsia="宋体" w:cs="宋体"/>
          <w:b/>
          <w:bCs/>
          <w:i/>
          <w:iCs/>
          <w:sz w:val="24"/>
          <w:szCs w:val="24"/>
          <w:u w:val="single"/>
          <w:lang w:val="en-US" w:eastAsia="zh-CN"/>
        </w:rPr>
        <w:t>准确度</w:t>
      </w:r>
      <w:r>
        <w:rPr>
          <w:rFonts w:hint="default" w:ascii="宋体" w:hAnsi="宋体" w:eastAsia="宋体" w:cs="宋体"/>
          <w:b/>
          <w:bCs/>
          <w:i/>
          <w:iCs/>
          <w:sz w:val="24"/>
          <w:szCs w:val="24"/>
          <w:u w:val="single"/>
          <w:lang w:val="en-US" w:eastAsia="zh-CN"/>
        </w:rPr>
        <w:t>至90%以上</w:t>
      </w:r>
      <w:r>
        <w:rPr>
          <w:rFonts w:hint="eastAsia" w:ascii="宋体" w:hAnsi="宋体" w:eastAsia="宋体" w:cs="宋体"/>
          <w:b/>
          <w:bCs/>
          <w:i/>
          <w:iCs/>
          <w:sz w:val="24"/>
          <w:szCs w:val="24"/>
          <w:u w:val="single"/>
          <w:lang w:val="en-US" w:eastAsia="zh-CN"/>
        </w:rPr>
        <w:t>。</w:t>
      </w:r>
    </w:p>
    <w:p w14:paraId="2E13BEA8">
      <w:pPr>
        <w:pageBreakBefore w:val="0"/>
        <w:widowControl w:val="0"/>
        <w:spacing w:line="360" w:lineRule="auto"/>
        <w:ind w:firstLine="48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2.2技术架构要求</w:t>
      </w:r>
    </w:p>
    <w:p w14:paraId="168B9A48">
      <w:pPr>
        <w:pageBreakBefore w:val="0"/>
        <w:widowControl w:val="0"/>
        <w:spacing w:line="360" w:lineRule="auto"/>
        <w:ind w:firstLine="480"/>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本系统采用的分层架构设计范式，自上而下划分为表现层、业务逻辑层、数据访问层及基础设施层，各层级之间通过标准化接口协议进行解耦通信，确保系统层次划分科学合理、职责单一且耦合度低。在技术实现层面，各功能模块严格遵循高内聚、低耦合的设计原则，模块边界清晰明确，接口契约规范统一，便于独立开发、测试、部署与迭代演进。</w:t>
      </w:r>
    </w:p>
    <w:p w14:paraId="271CA5A4">
      <w:pPr>
        <w:pageBreakBefore w:val="0"/>
        <w:widowControl w:val="0"/>
        <w:spacing w:line="360" w:lineRule="auto"/>
        <w:ind w:firstLine="482"/>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2.3 OCR技术要求</w:t>
      </w:r>
    </w:p>
    <w:p w14:paraId="0F6C9B76">
      <w:pPr>
        <w:pageBreakBefore w:val="0"/>
        <w:widowControl w:val="0"/>
        <w:spacing w:line="360" w:lineRule="auto"/>
        <w:ind w:firstLine="480"/>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应对病历、检查报告等材料设计清晰、合理、完整的OCR功能流程，OCR功能流程应包含</w:t>
      </w:r>
      <w:r>
        <w:rPr>
          <w:rFonts w:hint="eastAsia" w:ascii="宋体" w:hAnsi="宋体" w:eastAsia="宋体" w:cs="宋体"/>
          <w:b w:val="0"/>
          <w:bCs w:val="0"/>
          <w:sz w:val="24"/>
          <w:szCs w:val="24"/>
        </w:rPr>
        <w:t>图像预处理、文字检测、版面分析、文字识别、文本清洗、结构化输出、原</w:t>
      </w:r>
      <w:r>
        <w:rPr>
          <w:rFonts w:hint="eastAsia" w:ascii="宋体" w:hAnsi="宋体" w:eastAsia="宋体" w:cs="宋体"/>
          <w:b w:val="0"/>
          <w:bCs w:val="0"/>
          <w:sz w:val="24"/>
          <w:szCs w:val="24"/>
          <w:lang w:val="en-US" w:eastAsia="zh-CN"/>
        </w:rPr>
        <w:t>件</w:t>
      </w:r>
      <w:r>
        <w:rPr>
          <w:rFonts w:hint="eastAsia" w:ascii="宋体" w:hAnsi="宋体" w:eastAsia="宋体" w:cs="宋体"/>
          <w:b w:val="0"/>
          <w:bCs w:val="0"/>
          <w:sz w:val="24"/>
          <w:szCs w:val="24"/>
        </w:rPr>
        <w:t>追溯等能力</w:t>
      </w:r>
    </w:p>
    <w:p w14:paraId="5ABA4034">
      <w:pPr>
        <w:pageBreakBefore w:val="0"/>
        <w:widowControl w:val="0"/>
        <w:spacing w:line="360" w:lineRule="auto"/>
        <w:ind w:firstLine="482"/>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2.4 大模型技术要求</w:t>
      </w:r>
    </w:p>
    <w:p w14:paraId="2005D6E6">
      <w:pPr>
        <w:pageBreakBefore w:val="0"/>
        <w:widowControl w:val="0"/>
        <w:spacing w:line="360" w:lineRule="auto"/>
        <w:ind w:firstLine="480"/>
        <w:rPr>
          <w:rFonts w:hint="default" w:ascii="宋体" w:hAnsi="宋体" w:eastAsia="宋体" w:cs="宋体"/>
          <w:b/>
          <w:bCs/>
          <w:i/>
          <w:iCs/>
          <w:sz w:val="24"/>
          <w:szCs w:val="24"/>
          <w:u w:val="single"/>
          <w:lang w:val="en-US" w:eastAsia="zh-CN"/>
        </w:rPr>
      </w:pPr>
      <w:r>
        <w:rPr>
          <w:rFonts w:hint="eastAsia" w:ascii="宋体" w:hAnsi="宋体" w:eastAsia="宋体" w:cs="宋体"/>
          <w:b w:val="0"/>
          <w:bCs w:val="0"/>
          <w:sz w:val="24"/>
          <w:szCs w:val="24"/>
          <w:lang w:val="en-US" w:eastAsia="zh-CN" w:bidi="ar-SA"/>
        </w:rPr>
        <w:t>应遵循</w:t>
      </w:r>
      <w:r>
        <w:rPr>
          <w:rFonts w:hint="default" w:ascii="宋体" w:hAnsi="宋体" w:eastAsia="宋体" w:cs="宋体"/>
          <w:b w:val="0"/>
          <w:bCs w:val="0"/>
          <w:sz w:val="24"/>
          <w:szCs w:val="24"/>
          <w:lang w:val="en-US" w:eastAsia="zh-CN" w:bidi="ar-SA"/>
        </w:rPr>
        <w:t>“知识库 + 信息抽取 + RAG检索增强 + 大模型推理 + 可解释输出”的完整技术路线；明确基础大模型选型以及Embedding、向量库、多路召回、重排、Prompt规则约束、JSON结构化输出、政策依据引用、幻觉控制、人机协同和人工最终决策机制；支持持续迭代、知识库更新、模型异常降级和审核结论可追溯。</w:t>
      </w:r>
    </w:p>
    <w:p w14:paraId="1551A899">
      <w:pPr>
        <w:pageBreakBefore w:val="0"/>
        <w:widowControl w:val="0"/>
        <w:spacing w:line="360" w:lineRule="auto"/>
        <w:ind w:firstLine="48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2.5运行维护要求</w:t>
      </w:r>
    </w:p>
    <w:p w14:paraId="2E2805EB">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提供自双方代表在项目最终验收单上签字之日起为期两年的维护和保修服务。维护服务期内，提供维护、技术支持及软件升级等售后服务，包括对各种故障及对各种突发事件采取应急措施等。</w:t>
      </w:r>
    </w:p>
    <w:p w14:paraId="589599F3">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在维护期内须提供以下形式的技术支持及服务：</w:t>
      </w:r>
    </w:p>
    <w:p w14:paraId="2F0C9706">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（1）须为用户提供7*24小时技术援助电话或电子邮件等线上服务，解答用户在系统使用中遇到的问题，及时提出解决问题的建议和操作方法。</w:t>
      </w:r>
    </w:p>
    <w:p w14:paraId="0FA9B7A0">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接到用户报修通知后，技术支持人员应在15分钟内响应，3小时内做出故障诊断报告。若电话及电子邮件等线上服务形式不能解决问题的，维修人员应在8小时内到达现场，完成排障维修，确保系统的正常运行。</w:t>
      </w:r>
    </w:p>
    <w:p w14:paraId="6A1FFD6A">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（3）供应商应建立故障分级处理机制，对影响业务办理的重大故障应立即升级处理，并持续向采购人反馈处置进展。</w:t>
      </w:r>
    </w:p>
    <w:p w14:paraId="74D3B107">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（4）供应商应定期开展系统巡检、日志检查、接口连通性检查、数据备份检查、性能检查和安全补丁建议，并形成维护服务记录。</w:t>
      </w:r>
    </w:p>
    <w:p w14:paraId="44160825">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（5）维护期内因政策调整、药品规则更新、材料模板优化、接口字段微调等引起的合理配置调整和缺陷修复，应纳入维护服务范围。</w:t>
      </w:r>
    </w:p>
    <w:p w14:paraId="223ABE49">
      <w:pPr>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（6）维护期满前，供应商应提交维护总结、版本清单、遗留问题清单、备份恢复说明和后续服务建议。</w:t>
      </w:r>
    </w:p>
    <w:p w14:paraId="5C3A40E4">
      <w:pPr>
        <w:pageBreakBefore w:val="0"/>
        <w:widowControl w:val="0"/>
        <w:spacing w:line="360" w:lineRule="auto"/>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四、人员配备要求</w:t>
      </w:r>
    </w:p>
    <w:p w14:paraId="2B79823E">
      <w:pPr>
        <w:keepNext w:val="0"/>
        <w:keepLines w:val="0"/>
        <w:pageBreakBefore w:val="0"/>
        <w:widowControl/>
        <w:suppressLineNumbers w:val="0"/>
        <w:spacing w:line="360" w:lineRule="auto"/>
        <w:ind w:firstLine="480"/>
        <w:jc w:val="both"/>
        <w:rPr>
          <w:rFonts w:hint="eastAsia" w:cs="Times New Roman" w:asciiTheme="minorEastAsia" w:hAnsiTheme="minorEastAsia"/>
          <w:sz w:val="24"/>
          <w:szCs w:val="24"/>
          <w:highlight w:val="none"/>
        </w:rPr>
      </w:pPr>
      <w:r>
        <w:rPr>
          <w:rFonts w:hint="eastAsia" w:cs="Times New Roman" w:asciiTheme="minorEastAsia" w:hAnsiTheme="minorEastAsia" w:eastAsiaTheme="minorEastAsia"/>
          <w:color w:val="auto"/>
          <w:sz w:val="24"/>
          <w:szCs w:val="24"/>
          <w:highlight w:val="none"/>
          <w:lang w:val="en-US" w:eastAsia="zh-CN" w:bidi="ar-SA"/>
        </w:rPr>
        <w:t xml:space="preserve">成立本项目的实施团队，项目实施团队不少于 </w:t>
      </w:r>
      <w:r>
        <w:rPr>
          <w:rFonts w:hint="eastAsia" w:cs="Times New Roman" w:asciiTheme="minorEastAsia" w:hAnsiTheme="minorEastAsia"/>
          <w:sz w:val="24"/>
          <w:szCs w:val="24"/>
          <w:highlight w:val="none"/>
          <w:lang w:val="en-US" w:eastAsia="zh-CN" w:bidi="ar-SA"/>
        </w:rPr>
        <w:t>5</w:t>
      </w:r>
      <w:r>
        <w:rPr>
          <w:rFonts w:hint="eastAsia" w:cs="Times New Roman" w:asciiTheme="minorEastAsia" w:hAnsiTheme="minorEastAsia" w:eastAsiaTheme="minorEastAsia"/>
          <w:color w:val="auto"/>
          <w:sz w:val="24"/>
          <w:szCs w:val="24"/>
          <w:highlight w:val="none"/>
          <w:lang w:val="en-US" w:eastAsia="zh-CN" w:bidi="ar-SA"/>
        </w:rPr>
        <w:t xml:space="preserve"> 人。团队成员须承担过类似项目经验，能够与</w:t>
      </w:r>
      <w:r>
        <w:rPr>
          <w:rFonts w:hint="eastAsia" w:cs="Times New Roman" w:asciiTheme="minorEastAsia" w:hAnsiTheme="minorEastAsia"/>
          <w:color w:val="auto"/>
          <w:sz w:val="24"/>
          <w:szCs w:val="24"/>
          <w:highlight w:val="none"/>
          <w:lang w:val="en-US" w:eastAsia="zh-CN" w:bidi="ar-SA"/>
        </w:rPr>
        <w:t>采购人</w:t>
      </w:r>
      <w:r>
        <w:rPr>
          <w:rFonts w:hint="eastAsia" w:cs="Times New Roman" w:asciiTheme="minorEastAsia" w:hAnsiTheme="minorEastAsia" w:eastAsiaTheme="minorEastAsia"/>
          <w:color w:val="auto"/>
          <w:sz w:val="24"/>
          <w:szCs w:val="24"/>
          <w:highlight w:val="none"/>
          <w:lang w:val="en-US" w:eastAsia="zh-CN" w:bidi="ar-SA"/>
        </w:rPr>
        <w:t>进行良好的沟通，具备相关产品 安装、调试、集成及必要的软件兼容性开发的能力。项目实施团队应由项目经理及其他团队成员（包括 AI 工程师、前端工程师、后端工程师、测试工程师等）组成。</w:t>
      </w:r>
    </w:p>
    <w:p w14:paraId="191A8B77">
      <w:pPr>
        <w:spacing w:line="360" w:lineRule="auto"/>
        <w:ind w:firstLine="480"/>
        <w:jc w:val="left"/>
        <w:rPr>
          <w:rFonts w:hint="eastAsia" w:ascii="宋体" w:hAnsi="宋体" w:cs="宋体"/>
          <w:sz w:val="24"/>
          <w:szCs w:val="24"/>
        </w:rPr>
      </w:pPr>
      <w:r>
        <w:rPr>
          <w:rFonts w:hint="eastAsia" w:ascii="宋体" w:hAnsi="宋体" w:cs="宋体"/>
          <w:sz w:val="24"/>
          <w:szCs w:val="24"/>
        </w:rPr>
        <w:t>具体要求如下：</w:t>
      </w:r>
    </w:p>
    <w:tbl>
      <w:tblPr>
        <w:tblStyle w:val="33"/>
        <w:tblW w:w="4954" w:type="pct"/>
        <w:tblInd w:w="72" w:type="dxa"/>
        <w:tblLayout w:type="fixed"/>
        <w:tblCellMar>
          <w:top w:w="0" w:type="dxa"/>
          <w:left w:w="108" w:type="dxa"/>
          <w:bottom w:w="0" w:type="dxa"/>
          <w:right w:w="108" w:type="dxa"/>
        </w:tblCellMar>
      </w:tblPr>
      <w:tblGrid>
        <w:gridCol w:w="720"/>
        <w:gridCol w:w="1530"/>
        <w:gridCol w:w="2775"/>
        <w:gridCol w:w="3419"/>
      </w:tblGrid>
      <w:tr w14:paraId="3154AC0F">
        <w:tblPrEx>
          <w:tblCellMar>
            <w:top w:w="0" w:type="dxa"/>
            <w:left w:w="108" w:type="dxa"/>
            <w:bottom w:w="0" w:type="dxa"/>
            <w:right w:w="108" w:type="dxa"/>
          </w:tblCellMar>
        </w:tblPrEx>
        <w:trPr>
          <w:trHeight w:val="312"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77836039">
            <w:pPr>
              <w:keepNext w:val="0"/>
              <w:keepLines w:val="0"/>
              <w:pageBreakBefore w:val="0"/>
              <w:widowControl/>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E2B5FE1">
            <w:pPr>
              <w:keepNext w:val="0"/>
              <w:keepLines w:val="0"/>
              <w:pageBreakBefore w:val="0"/>
              <w:widowControl/>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岗位名称</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1E7A0E9A">
            <w:pPr>
              <w:keepNext w:val="0"/>
              <w:keepLines w:val="0"/>
              <w:pageBreakBefore w:val="0"/>
              <w:widowControl/>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岗位职责</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59E85059">
            <w:pPr>
              <w:keepNext w:val="0"/>
              <w:keepLines w:val="0"/>
              <w:pageBreakBefore w:val="0"/>
              <w:widowControl/>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基本要求</w:t>
            </w:r>
          </w:p>
        </w:tc>
      </w:tr>
      <w:tr w14:paraId="712D02FC">
        <w:tblPrEx>
          <w:tblCellMar>
            <w:top w:w="0" w:type="dxa"/>
            <w:left w:w="108" w:type="dxa"/>
            <w:bottom w:w="0" w:type="dxa"/>
            <w:right w:w="108" w:type="dxa"/>
          </w:tblCellMar>
        </w:tblPrEx>
        <w:trPr>
          <w:trHeight w:val="1536"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14:paraId="3DCF5CB7">
            <w:pPr>
              <w:keepNext w:val="0"/>
              <w:keepLines w:val="0"/>
              <w:pageBreakBefore w:val="0"/>
              <w:widowControl/>
              <w:spacing w:line="360" w:lineRule="auto"/>
              <w:jc w:val="cente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A726A8E">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项目经理</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6118ED59">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制定项目计划，协调资源与进度</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团队管理与跨部门沟通</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风险管理与问题解决</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4.</w:t>
            </w:r>
            <w:r>
              <w:rPr>
                <w:rStyle w:val="188"/>
                <w:rFonts w:hint="eastAsia" w:ascii="宋体" w:hAnsi="宋体" w:eastAsia="宋体" w:cs="宋体"/>
                <w:b w:val="0"/>
                <w:bCs w:val="0"/>
                <w:color w:val="000000" w:themeColor="text1"/>
                <w:sz w:val="24"/>
                <w:szCs w:val="24"/>
                <w14:textFill>
                  <w14:solidFill>
                    <w14:schemeClr w14:val="tx1"/>
                  </w14:solidFill>
                </w14:textFill>
              </w:rPr>
              <w:t>客户需求对接与交付验收</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72BB1D70">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具备</w:t>
            </w:r>
            <w:r>
              <w:rPr>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年以上项目管理经验，熟悉敏捷开发</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精通</w:t>
            </w:r>
            <w:r>
              <w:rPr>
                <w:rStyle w:val="190"/>
                <w:rFonts w:hint="eastAsia" w:ascii="宋体" w:hAnsi="宋体" w:eastAsia="宋体" w:cs="宋体"/>
                <w:b w:val="0"/>
                <w:bCs w:val="0"/>
                <w:color w:val="000000" w:themeColor="text1"/>
                <w:sz w:val="24"/>
                <w:szCs w:val="24"/>
                <w14:textFill>
                  <w14:solidFill>
                    <w14:schemeClr w14:val="tx1"/>
                  </w14:solidFill>
                </w14:textFill>
              </w:rPr>
              <w:t>Jira/MS Project</w:t>
            </w:r>
            <w:r>
              <w:rPr>
                <w:rStyle w:val="188"/>
                <w:rFonts w:hint="eastAsia" w:ascii="宋体" w:hAnsi="宋体" w:eastAsia="宋体" w:cs="宋体"/>
                <w:b w:val="0"/>
                <w:bCs w:val="0"/>
                <w:color w:val="000000" w:themeColor="text1"/>
                <w:sz w:val="24"/>
                <w:szCs w:val="24"/>
                <w14:textFill>
                  <w14:solidFill>
                    <w14:schemeClr w14:val="tx1"/>
                  </w14:solidFill>
                </w14:textFill>
              </w:rPr>
              <w:t>等工具</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沟通与领导力强</w:t>
            </w:r>
          </w:p>
        </w:tc>
      </w:tr>
      <w:tr w14:paraId="4D8A83C7">
        <w:tblPrEx>
          <w:tblCellMar>
            <w:top w:w="0" w:type="dxa"/>
            <w:left w:w="108" w:type="dxa"/>
            <w:bottom w:w="0" w:type="dxa"/>
            <w:right w:w="108" w:type="dxa"/>
          </w:tblCellMar>
        </w:tblPrEx>
        <w:trPr>
          <w:trHeight w:val="527"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14:paraId="4D57A50B">
            <w:pPr>
              <w:keepNext w:val="0"/>
              <w:keepLines w:val="0"/>
              <w:pageBreakBefore w:val="0"/>
              <w:widowControl/>
              <w:spacing w:line="360" w:lineRule="auto"/>
              <w:jc w:val="cente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4922FF0">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AI工程师</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3CE3A708">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开发机器学习</w:t>
            </w:r>
            <w:r>
              <w:rPr>
                <w:rStyle w:val="190"/>
                <w:rFonts w:hint="eastAsia" w:ascii="宋体" w:hAnsi="宋体" w:eastAsia="宋体" w:cs="宋体"/>
                <w:b w:val="0"/>
                <w:bCs w:val="0"/>
                <w:color w:val="000000" w:themeColor="text1"/>
                <w:sz w:val="24"/>
                <w:szCs w:val="24"/>
                <w14:textFill>
                  <w14:solidFill>
                    <w14:schemeClr w14:val="tx1"/>
                  </w14:solidFill>
                </w14:textFill>
              </w:rPr>
              <w:t>/</w:t>
            </w:r>
            <w:r>
              <w:rPr>
                <w:rStyle w:val="188"/>
                <w:rFonts w:hint="eastAsia" w:ascii="宋体" w:hAnsi="宋体" w:eastAsia="宋体" w:cs="宋体"/>
                <w:b w:val="0"/>
                <w:bCs w:val="0"/>
                <w:color w:val="000000" w:themeColor="text1"/>
                <w:sz w:val="24"/>
                <w:szCs w:val="24"/>
                <w14:textFill>
                  <w14:solidFill>
                    <w14:schemeClr w14:val="tx1"/>
                  </w14:solidFill>
                </w14:textFill>
              </w:rPr>
              <w:t>深度学习算法</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数据清洗与特征工程</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模型训练、优化与部署</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400EED2A">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精通</w:t>
            </w:r>
            <w:r>
              <w:rPr>
                <w:rStyle w:val="190"/>
                <w:rFonts w:hint="eastAsia" w:ascii="宋体" w:hAnsi="宋体" w:eastAsia="宋体" w:cs="宋体"/>
                <w:b w:val="0"/>
                <w:bCs w:val="0"/>
                <w:color w:val="000000" w:themeColor="text1"/>
                <w:sz w:val="24"/>
                <w:szCs w:val="24"/>
                <w14:textFill>
                  <w14:solidFill>
                    <w14:schemeClr w14:val="tx1"/>
                  </w14:solidFill>
                </w14:textFill>
              </w:rPr>
              <w:t>Python</w:t>
            </w:r>
            <w:r>
              <w:rPr>
                <w:rStyle w:val="188"/>
                <w:rFonts w:hint="eastAsia" w:ascii="宋体" w:hAnsi="宋体" w:eastAsia="宋体" w:cs="宋体"/>
                <w:b w:val="0"/>
                <w:bCs w:val="0"/>
                <w:color w:val="000000" w:themeColor="text1"/>
                <w:sz w:val="24"/>
                <w:szCs w:val="24"/>
                <w14:textFill>
                  <w14:solidFill>
                    <w14:schemeClr w14:val="tx1"/>
                  </w14:solidFill>
                </w14:textFill>
              </w:rPr>
              <w:t>，熟悉</w:t>
            </w:r>
            <w:r>
              <w:rPr>
                <w:rStyle w:val="190"/>
                <w:rFonts w:hint="eastAsia" w:ascii="宋体" w:hAnsi="宋体" w:eastAsia="宋体" w:cs="宋体"/>
                <w:b w:val="0"/>
                <w:bCs w:val="0"/>
                <w:color w:val="000000" w:themeColor="text1"/>
                <w:sz w:val="24"/>
                <w:szCs w:val="24"/>
                <w14:textFill>
                  <w14:solidFill>
                    <w14:schemeClr w14:val="tx1"/>
                  </w14:solidFill>
                </w14:textFill>
              </w:rPr>
              <w:t>TensorFlow/PyTorch</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扎实的数学与算法基础</w:t>
            </w:r>
          </w:p>
        </w:tc>
      </w:tr>
      <w:tr w14:paraId="53E0874C">
        <w:tblPrEx>
          <w:tblCellMar>
            <w:top w:w="0" w:type="dxa"/>
            <w:left w:w="108" w:type="dxa"/>
            <w:bottom w:w="0" w:type="dxa"/>
            <w:right w:w="108" w:type="dxa"/>
          </w:tblCellMar>
        </w:tblPrEx>
        <w:trPr>
          <w:trHeight w:val="1536"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14:paraId="57C62B53">
            <w:pPr>
              <w:keepNext w:val="0"/>
              <w:keepLines w:val="0"/>
              <w:pageBreakBefore w:val="0"/>
              <w:widowControl/>
              <w:spacing w:line="360" w:lineRule="auto"/>
              <w:jc w:val="cente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4484FA0">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前端工程师</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4E1DE0F9">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实现响应式页面与交互逻辑</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性能优化与跨端兼容</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配合后端接口联调</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4.</w:t>
            </w:r>
            <w:r>
              <w:rPr>
                <w:rStyle w:val="188"/>
                <w:rFonts w:hint="eastAsia" w:ascii="宋体" w:hAnsi="宋体" w:eastAsia="宋体" w:cs="宋体"/>
                <w:b w:val="0"/>
                <w:bCs w:val="0"/>
                <w:color w:val="000000" w:themeColor="text1"/>
                <w:sz w:val="24"/>
                <w:szCs w:val="24"/>
                <w14:textFill>
                  <w14:solidFill>
                    <w14:schemeClr w14:val="tx1"/>
                  </w14:solidFill>
                </w14:textFill>
              </w:rPr>
              <w:t>技术选型与代码维护</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71293954">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精通</w:t>
            </w:r>
            <w:r>
              <w:rPr>
                <w:rStyle w:val="190"/>
                <w:rFonts w:hint="eastAsia" w:ascii="宋体" w:hAnsi="宋体" w:eastAsia="宋体" w:cs="宋体"/>
                <w:b w:val="0"/>
                <w:bCs w:val="0"/>
                <w:color w:val="000000" w:themeColor="text1"/>
                <w:sz w:val="24"/>
                <w:szCs w:val="24"/>
                <w14:textFill>
                  <w14:solidFill>
                    <w14:schemeClr w14:val="tx1"/>
                  </w14:solidFill>
                </w14:textFill>
              </w:rPr>
              <w:t>HTML/CSS/JavaScript</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熟悉</w:t>
            </w:r>
            <w:r>
              <w:rPr>
                <w:rStyle w:val="190"/>
                <w:rFonts w:hint="eastAsia" w:ascii="宋体" w:hAnsi="宋体" w:eastAsia="宋体" w:cs="宋体"/>
                <w:b w:val="0"/>
                <w:bCs w:val="0"/>
                <w:color w:val="000000" w:themeColor="text1"/>
                <w:sz w:val="24"/>
                <w:szCs w:val="24"/>
                <w14:textFill>
                  <w14:solidFill>
                    <w14:schemeClr w14:val="tx1"/>
                  </w14:solidFill>
                </w14:textFill>
              </w:rPr>
              <w:t>React/Vue/Angular</w:t>
            </w:r>
            <w:r>
              <w:rPr>
                <w:rStyle w:val="188"/>
                <w:rFonts w:hint="eastAsia" w:ascii="宋体" w:hAnsi="宋体" w:eastAsia="宋体" w:cs="宋体"/>
                <w:b w:val="0"/>
                <w:bCs w:val="0"/>
                <w:color w:val="000000" w:themeColor="text1"/>
                <w:sz w:val="24"/>
                <w:szCs w:val="24"/>
                <w14:textFill>
                  <w14:solidFill>
                    <w14:schemeClr w14:val="tx1"/>
                  </w14:solidFill>
                </w14:textFill>
              </w:rPr>
              <w:t>框架</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了解</w:t>
            </w:r>
            <w:r>
              <w:rPr>
                <w:rStyle w:val="190"/>
                <w:rFonts w:hint="eastAsia" w:ascii="宋体" w:hAnsi="宋体" w:eastAsia="宋体" w:cs="宋体"/>
                <w:b w:val="0"/>
                <w:bCs w:val="0"/>
                <w:color w:val="000000" w:themeColor="text1"/>
                <w:sz w:val="24"/>
                <w:szCs w:val="24"/>
                <w14:textFill>
                  <w14:solidFill>
                    <w14:schemeClr w14:val="tx1"/>
                  </w14:solidFill>
                </w14:textFill>
              </w:rPr>
              <w:t>Webpack/Vite</w:t>
            </w:r>
            <w:r>
              <w:rPr>
                <w:rStyle w:val="188"/>
                <w:rFonts w:hint="eastAsia" w:ascii="宋体" w:hAnsi="宋体" w:eastAsia="宋体" w:cs="宋体"/>
                <w:b w:val="0"/>
                <w:bCs w:val="0"/>
                <w:color w:val="000000" w:themeColor="text1"/>
                <w:sz w:val="24"/>
                <w:szCs w:val="24"/>
                <w14:textFill>
                  <w14:solidFill>
                    <w14:schemeClr w14:val="tx1"/>
                  </w14:solidFill>
                </w14:textFill>
              </w:rPr>
              <w:t>等工具，</w:t>
            </w:r>
            <w:r>
              <w:rPr>
                <w:rStyle w:val="190"/>
                <w:rFonts w:hint="eastAsia" w:ascii="宋体" w:hAnsi="宋体" w:eastAsia="宋体" w:cs="宋体"/>
                <w:b w:val="0"/>
                <w:bCs w:val="0"/>
                <w:color w:val="000000" w:themeColor="text1"/>
                <w:sz w:val="24"/>
                <w:szCs w:val="24"/>
                <w14:textFill>
                  <w14:solidFill>
                    <w14:schemeClr w14:val="tx1"/>
                  </w14:solidFill>
                </w14:textFill>
              </w:rPr>
              <w:t>Git</w:t>
            </w:r>
            <w:r>
              <w:rPr>
                <w:rStyle w:val="188"/>
                <w:rFonts w:hint="eastAsia" w:ascii="宋体" w:hAnsi="宋体" w:eastAsia="宋体" w:cs="宋体"/>
                <w:b w:val="0"/>
                <w:bCs w:val="0"/>
                <w:color w:val="000000" w:themeColor="text1"/>
                <w:sz w:val="24"/>
                <w:szCs w:val="24"/>
                <w14:textFill>
                  <w14:solidFill>
                    <w14:schemeClr w14:val="tx1"/>
                  </w14:solidFill>
                </w14:textFill>
              </w:rPr>
              <w:t>熟练</w:t>
            </w:r>
          </w:p>
        </w:tc>
      </w:tr>
      <w:tr w14:paraId="5BB0DB3D">
        <w:tblPrEx>
          <w:tblCellMar>
            <w:top w:w="0" w:type="dxa"/>
            <w:left w:w="108" w:type="dxa"/>
            <w:bottom w:w="0" w:type="dxa"/>
            <w:right w:w="108" w:type="dxa"/>
          </w:tblCellMar>
        </w:tblPrEx>
        <w:trPr>
          <w:trHeight w:val="1031"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14:paraId="0F444829">
            <w:pPr>
              <w:keepNext w:val="0"/>
              <w:keepLines w:val="0"/>
              <w:pageBreakBefore w:val="0"/>
              <w:widowControl/>
              <w:spacing w:line="360" w:lineRule="auto"/>
              <w:jc w:val="cente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4</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61E1D52">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后端工程师</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1028DFCA">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Style w:val="188"/>
                <w:rFonts w:hint="eastAsia" w:ascii="宋体" w:hAnsi="宋体" w:eastAsia="宋体" w:cs="宋体"/>
                <w:b w:val="0"/>
                <w:bCs w:val="0"/>
                <w:color w:val="000000" w:themeColor="text1"/>
                <w:sz w:val="24"/>
                <w:szCs w:val="24"/>
                <w14:textFill>
                  <w14:solidFill>
                    <w14:schemeClr w14:val="tx1"/>
                  </w14:solidFill>
                </w14:textFill>
              </w:rPr>
              <w:t>开发</w:t>
            </w:r>
            <w:r>
              <w:rPr>
                <w:rStyle w:val="190"/>
                <w:rFonts w:hint="eastAsia" w:ascii="宋体" w:hAnsi="宋体" w:eastAsia="宋体" w:cs="宋体"/>
                <w:b w:val="0"/>
                <w:bCs w:val="0"/>
                <w:color w:val="000000" w:themeColor="text1"/>
                <w:sz w:val="24"/>
                <w:szCs w:val="24"/>
                <w14:textFill>
                  <w14:solidFill>
                    <w14:schemeClr w14:val="tx1"/>
                  </w14:solidFill>
                </w14:textFill>
              </w:rPr>
              <w:t>API</w:t>
            </w:r>
            <w:r>
              <w:rPr>
                <w:rStyle w:val="188"/>
                <w:rFonts w:hint="eastAsia" w:ascii="宋体" w:hAnsi="宋体" w:eastAsia="宋体" w:cs="宋体"/>
                <w:b w:val="0"/>
                <w:bCs w:val="0"/>
                <w:color w:val="000000" w:themeColor="text1"/>
                <w:sz w:val="24"/>
                <w:szCs w:val="24"/>
                <w14:textFill>
                  <w14:solidFill>
                    <w14:schemeClr w14:val="tx1"/>
                  </w14:solidFill>
                </w14:textFill>
              </w:rPr>
              <w:t>与业务逻辑</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数据库设计与优化</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系统架构设计与高并发处理</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4.</w:t>
            </w:r>
            <w:r>
              <w:rPr>
                <w:rStyle w:val="188"/>
                <w:rFonts w:hint="eastAsia" w:ascii="宋体" w:hAnsi="宋体" w:eastAsia="宋体" w:cs="宋体"/>
                <w:b w:val="0"/>
                <w:bCs w:val="0"/>
                <w:color w:val="000000" w:themeColor="text1"/>
                <w:sz w:val="24"/>
                <w:szCs w:val="24"/>
                <w14:textFill>
                  <w14:solidFill>
                    <w14:schemeClr w14:val="tx1"/>
                  </w14:solidFill>
                </w14:textFill>
              </w:rPr>
              <w:t>部署与监控维护</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20B6B3D3">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精通</w:t>
            </w:r>
            <w:r>
              <w:rPr>
                <w:rStyle w:val="190"/>
                <w:rFonts w:hint="eastAsia" w:ascii="宋体" w:hAnsi="宋体" w:eastAsia="宋体" w:cs="宋体"/>
                <w:b w:val="0"/>
                <w:bCs w:val="0"/>
                <w:color w:val="000000" w:themeColor="text1"/>
                <w:sz w:val="24"/>
                <w:szCs w:val="24"/>
                <w14:textFill>
                  <w14:solidFill>
                    <w14:schemeClr w14:val="tx1"/>
                  </w14:solidFill>
                </w14:textFill>
              </w:rPr>
              <w:t>Java/Python/Go</w:t>
            </w:r>
            <w:r>
              <w:rPr>
                <w:rStyle w:val="188"/>
                <w:rFonts w:hint="eastAsia" w:ascii="宋体" w:hAnsi="宋体" w:eastAsia="宋体" w:cs="宋体"/>
                <w:b w:val="0"/>
                <w:bCs w:val="0"/>
                <w:color w:val="000000" w:themeColor="text1"/>
                <w:sz w:val="24"/>
                <w:szCs w:val="24"/>
                <w14:textFill>
                  <w14:solidFill>
                    <w14:schemeClr w14:val="tx1"/>
                  </w14:solidFill>
                </w14:textFill>
              </w:rPr>
              <w:t>等语言</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熟悉</w:t>
            </w:r>
            <w:r>
              <w:rPr>
                <w:rStyle w:val="190"/>
                <w:rFonts w:hint="eastAsia" w:ascii="宋体" w:hAnsi="宋体" w:eastAsia="宋体" w:cs="宋体"/>
                <w:b w:val="0"/>
                <w:bCs w:val="0"/>
                <w:color w:val="000000" w:themeColor="text1"/>
                <w:sz w:val="24"/>
                <w:szCs w:val="24"/>
                <w14:textFill>
                  <w14:solidFill>
                    <w14:schemeClr w14:val="tx1"/>
                  </w14:solidFill>
                </w14:textFill>
              </w:rPr>
              <w:t>MySQL/Redis/MongoDB</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了解微服务</w:t>
            </w:r>
            <w:r>
              <w:rPr>
                <w:rStyle w:val="190"/>
                <w:rFonts w:hint="eastAsia" w:ascii="宋体" w:hAnsi="宋体" w:eastAsia="宋体" w:cs="宋体"/>
                <w:b w:val="0"/>
                <w:bCs w:val="0"/>
                <w:color w:val="000000" w:themeColor="text1"/>
                <w:sz w:val="24"/>
                <w:szCs w:val="24"/>
                <w14:textFill>
                  <w14:solidFill>
                    <w14:schemeClr w14:val="tx1"/>
                  </w14:solidFill>
                </w14:textFill>
              </w:rPr>
              <w:t>/Docker/K8s</w:t>
            </w:r>
            <w:r>
              <w:rPr>
                <w:rStyle w:val="188"/>
                <w:rFonts w:hint="eastAsia" w:ascii="宋体" w:hAnsi="宋体" w:eastAsia="宋体" w:cs="宋体"/>
                <w:b w:val="0"/>
                <w:bCs w:val="0"/>
                <w:color w:val="000000" w:themeColor="text1"/>
                <w:sz w:val="24"/>
                <w:szCs w:val="24"/>
                <w14:textFill>
                  <w14:solidFill>
                    <w14:schemeClr w14:val="tx1"/>
                  </w14:solidFill>
                </w14:textFill>
              </w:rPr>
              <w:t>，算法基础扎实</w:t>
            </w:r>
          </w:p>
        </w:tc>
      </w:tr>
      <w:tr w14:paraId="5C31BA70">
        <w:tblPrEx>
          <w:tblCellMar>
            <w:top w:w="0" w:type="dxa"/>
            <w:left w:w="108" w:type="dxa"/>
            <w:bottom w:w="0" w:type="dxa"/>
            <w:right w:w="108" w:type="dxa"/>
          </w:tblCellMar>
        </w:tblPrEx>
        <w:trPr>
          <w:trHeight w:val="1536"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14:paraId="1485E47B">
            <w:pPr>
              <w:keepNext w:val="0"/>
              <w:keepLines w:val="0"/>
              <w:pageBreakBefore w:val="0"/>
              <w:widowControl/>
              <w:spacing w:line="360" w:lineRule="auto"/>
              <w:jc w:val="cente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99093E4">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测试工程师</w:t>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5A6184D1">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编写测试用例与执行功能测试</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缺陷跟踪与回归测试</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搭建自动化测试框架</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4.</w:t>
            </w:r>
            <w:r>
              <w:rPr>
                <w:rStyle w:val="188"/>
                <w:rFonts w:hint="eastAsia" w:ascii="宋体" w:hAnsi="宋体" w:eastAsia="宋体" w:cs="宋体"/>
                <w:b w:val="0"/>
                <w:bCs w:val="0"/>
                <w:color w:val="000000" w:themeColor="text1"/>
                <w:sz w:val="24"/>
                <w:szCs w:val="24"/>
                <w14:textFill>
                  <w14:solidFill>
                    <w14:schemeClr w14:val="tx1"/>
                  </w14:solidFill>
                </w14:textFill>
              </w:rPr>
              <w:t>输出测试报告与质量评估</w:t>
            </w:r>
          </w:p>
        </w:tc>
        <w:tc>
          <w:tcPr>
            <w:tcW w:w="3419" w:type="dxa"/>
            <w:tcBorders>
              <w:top w:val="single" w:color="000000" w:sz="4" w:space="0"/>
              <w:left w:val="single" w:color="000000" w:sz="4" w:space="0"/>
              <w:bottom w:val="single" w:color="000000" w:sz="4" w:space="0"/>
              <w:right w:val="single" w:color="000000" w:sz="4" w:space="0"/>
            </w:tcBorders>
            <w:noWrap w:val="0"/>
            <w:vAlign w:val="center"/>
          </w:tcPr>
          <w:p w14:paraId="49EC5678">
            <w:pPr>
              <w:keepNext w:val="0"/>
              <w:keepLines w:val="0"/>
              <w:pageBreakBefore w:val="0"/>
              <w:widowControl/>
              <w:spacing w:line="360" w:lineRule="auto"/>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Style w:val="188"/>
                <w:rFonts w:hint="eastAsia" w:ascii="宋体" w:hAnsi="宋体" w:eastAsia="宋体" w:cs="宋体"/>
                <w:b w:val="0"/>
                <w:bCs w:val="0"/>
                <w:color w:val="000000" w:themeColor="text1"/>
                <w:sz w:val="24"/>
                <w:szCs w:val="24"/>
                <w14:textFill>
                  <w14:solidFill>
                    <w14:schemeClr w14:val="tx1"/>
                  </w14:solidFill>
                </w14:textFill>
              </w:rPr>
              <w:t>熟悉</w:t>
            </w:r>
            <w:r>
              <w:rPr>
                <w:rStyle w:val="190"/>
                <w:rFonts w:hint="eastAsia" w:ascii="宋体" w:hAnsi="宋体" w:eastAsia="宋体" w:cs="宋体"/>
                <w:b w:val="0"/>
                <w:bCs w:val="0"/>
                <w:color w:val="000000" w:themeColor="text1"/>
                <w:sz w:val="24"/>
                <w:szCs w:val="24"/>
                <w14:textFill>
                  <w14:solidFill>
                    <w14:schemeClr w14:val="tx1"/>
                  </w14:solidFill>
                </w14:textFill>
              </w:rPr>
              <w:t>Selenium/JUnit</w:t>
            </w:r>
            <w:r>
              <w:rPr>
                <w:rStyle w:val="188"/>
                <w:rFonts w:hint="eastAsia" w:ascii="宋体" w:hAnsi="宋体" w:eastAsia="宋体" w:cs="宋体"/>
                <w:b w:val="0"/>
                <w:bCs w:val="0"/>
                <w:color w:val="000000" w:themeColor="text1"/>
                <w:sz w:val="24"/>
                <w:szCs w:val="24"/>
                <w14:textFill>
                  <w14:solidFill>
                    <w14:schemeClr w14:val="tx1"/>
                  </w14:solidFill>
                </w14:textFill>
              </w:rPr>
              <w:t>等工具</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2.</w:t>
            </w:r>
            <w:r>
              <w:rPr>
                <w:rStyle w:val="188"/>
                <w:rFonts w:hint="eastAsia" w:ascii="宋体" w:hAnsi="宋体" w:eastAsia="宋体" w:cs="宋体"/>
                <w:b w:val="0"/>
                <w:bCs w:val="0"/>
                <w:color w:val="000000" w:themeColor="text1"/>
                <w:sz w:val="24"/>
                <w:szCs w:val="24"/>
                <w14:textFill>
                  <w14:solidFill>
                    <w14:schemeClr w14:val="tx1"/>
                  </w14:solidFill>
                </w14:textFill>
              </w:rPr>
              <w:t>掌握</w:t>
            </w:r>
            <w:r>
              <w:rPr>
                <w:rStyle w:val="190"/>
                <w:rFonts w:hint="eastAsia" w:ascii="宋体" w:hAnsi="宋体" w:eastAsia="宋体" w:cs="宋体"/>
                <w:b w:val="0"/>
                <w:bCs w:val="0"/>
                <w:color w:val="000000" w:themeColor="text1"/>
                <w:sz w:val="24"/>
                <w:szCs w:val="24"/>
                <w14:textFill>
                  <w14:solidFill>
                    <w14:schemeClr w14:val="tx1"/>
                  </w14:solidFill>
                </w14:textFill>
              </w:rPr>
              <w:t>Python/Java</w:t>
            </w:r>
            <w:r>
              <w:rPr>
                <w:rStyle w:val="188"/>
                <w:rFonts w:hint="eastAsia" w:ascii="宋体" w:hAnsi="宋体" w:eastAsia="宋体" w:cs="宋体"/>
                <w:b w:val="0"/>
                <w:bCs w:val="0"/>
                <w:color w:val="000000" w:themeColor="text1"/>
                <w:sz w:val="24"/>
                <w:szCs w:val="24"/>
                <w14:textFill>
                  <w14:solidFill>
                    <w14:schemeClr w14:val="tx1"/>
                  </w14:solidFill>
                </w14:textFill>
              </w:rPr>
              <w:t>编写脚本</w:t>
            </w:r>
            <w:r>
              <w:rPr>
                <w:rStyle w:val="190"/>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190"/>
                <w:rFonts w:hint="eastAsia" w:ascii="宋体" w:hAnsi="宋体" w:eastAsia="宋体" w:cs="宋体"/>
                <w:b w:val="0"/>
                <w:bCs w:val="0"/>
                <w:color w:val="000000" w:themeColor="text1"/>
                <w:sz w:val="24"/>
                <w:szCs w:val="24"/>
                <w14:textFill>
                  <w14:solidFill>
                    <w14:schemeClr w14:val="tx1"/>
                  </w14:solidFill>
                </w14:textFill>
              </w:rPr>
              <w:t>3.</w:t>
            </w:r>
            <w:r>
              <w:rPr>
                <w:rStyle w:val="188"/>
                <w:rFonts w:hint="eastAsia" w:ascii="宋体" w:hAnsi="宋体" w:eastAsia="宋体" w:cs="宋体"/>
                <w:b w:val="0"/>
                <w:bCs w:val="0"/>
                <w:color w:val="000000" w:themeColor="text1"/>
                <w:sz w:val="24"/>
                <w:szCs w:val="24"/>
                <w14:textFill>
                  <w14:solidFill>
                    <w14:schemeClr w14:val="tx1"/>
                  </w14:solidFill>
                </w14:textFill>
              </w:rPr>
              <w:t>了解</w:t>
            </w:r>
            <w:r>
              <w:rPr>
                <w:rStyle w:val="190"/>
                <w:rFonts w:hint="eastAsia" w:ascii="宋体" w:hAnsi="宋体" w:eastAsia="宋体" w:cs="宋体"/>
                <w:b w:val="0"/>
                <w:bCs w:val="0"/>
                <w:color w:val="000000" w:themeColor="text1"/>
                <w:sz w:val="24"/>
                <w:szCs w:val="24"/>
                <w14:textFill>
                  <w14:solidFill>
                    <w14:schemeClr w14:val="tx1"/>
                  </w14:solidFill>
                </w14:textFill>
              </w:rPr>
              <w:t>Jenkins</w:t>
            </w:r>
            <w:r>
              <w:rPr>
                <w:rStyle w:val="188"/>
                <w:rFonts w:hint="eastAsia" w:ascii="宋体" w:hAnsi="宋体" w:eastAsia="宋体" w:cs="宋体"/>
                <w:b w:val="0"/>
                <w:bCs w:val="0"/>
                <w:color w:val="000000" w:themeColor="text1"/>
                <w:sz w:val="24"/>
                <w:szCs w:val="24"/>
                <w14:textFill>
                  <w14:solidFill>
                    <w14:schemeClr w14:val="tx1"/>
                  </w14:solidFill>
                </w14:textFill>
              </w:rPr>
              <w:t>持续集成</w:t>
            </w:r>
          </w:p>
        </w:tc>
      </w:tr>
    </w:tbl>
    <w:p w14:paraId="67C997FC">
      <w:pPr>
        <w:keepNext w:val="0"/>
        <w:keepLines w:val="0"/>
        <w:pageBreakBefore w:val="0"/>
        <w:widowControl/>
        <w:spacing w:line="360" w:lineRule="auto"/>
        <w:ind w:firstLine="482"/>
        <w:jc w:val="both"/>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五</w:t>
      </w:r>
      <w:r>
        <w:rPr>
          <w:rFonts w:hint="eastAsia" w:ascii="宋体" w:hAnsi="宋体" w:eastAsia="宋体" w:cs="宋体"/>
          <w:b/>
          <w:bCs/>
          <w:color w:val="000000" w:themeColor="text1"/>
          <w:sz w:val="24"/>
          <w:szCs w:val="24"/>
          <w14:textFill>
            <w14:solidFill>
              <w14:schemeClr w14:val="tx1"/>
            </w14:solidFill>
          </w14:textFill>
        </w:rPr>
        <w:t>、服务期限与项目进度安排</w:t>
      </w:r>
    </w:p>
    <w:p w14:paraId="3A94DDCF">
      <w:pPr>
        <w:keepNext w:val="0"/>
        <w:keepLines w:val="0"/>
        <w:pageBreakBefore w:val="0"/>
        <w:widowControl w:val="0"/>
        <w:spacing w:line="360" w:lineRule="auto"/>
        <w:ind w:firstLine="482"/>
        <w:rPr>
          <w:rFonts w:hint="eastAsia" w:ascii="宋体" w:hAnsi="宋体" w:eastAsia="宋体" w:cs="宋体"/>
          <w:b/>
          <w:bCs/>
          <w:i/>
          <w:iCs/>
          <w:sz w:val="24"/>
          <w:szCs w:val="24"/>
          <w:u w:val="single"/>
        </w:rPr>
      </w:pPr>
      <w:r>
        <w:rPr>
          <w:rFonts w:hint="eastAsia" w:ascii="宋体" w:hAnsi="宋体" w:eastAsia="宋体" w:cs="宋体"/>
          <w:b/>
          <w:bCs/>
          <w:i/>
          <w:iCs/>
          <w:sz w:val="24"/>
          <w:highlight w:val="none"/>
          <w:u w:val="single"/>
        </w:rPr>
        <w:t>1.服务期限：</w:t>
      </w:r>
      <w:r>
        <w:rPr>
          <w:rFonts w:hint="eastAsia" w:ascii="宋体" w:hAnsi="宋体" w:eastAsia="宋体" w:cs="宋体"/>
          <w:b/>
          <w:bCs/>
          <w:i/>
          <w:iCs/>
          <w:sz w:val="24"/>
          <w:szCs w:val="24"/>
          <w:u w:val="single"/>
        </w:rPr>
        <w:t>自合同签订之日起</w:t>
      </w:r>
      <w:r>
        <w:rPr>
          <w:rFonts w:hint="eastAsia" w:ascii="宋体" w:hAnsi="宋体" w:eastAsia="宋体" w:cs="宋体"/>
          <w:b/>
          <w:bCs/>
          <w:i/>
          <w:iCs/>
          <w:color w:val="000000" w:themeColor="text1"/>
          <w:sz w:val="24"/>
          <w:szCs w:val="24"/>
          <w:u w:val="single"/>
          <w:lang w:val="en-US"/>
          <w14:textFill>
            <w14:solidFill>
              <w14:schemeClr w14:val="tx1"/>
            </w14:solidFill>
          </w14:textFill>
        </w:rPr>
        <w:t>90</w:t>
      </w:r>
      <w:r>
        <w:rPr>
          <w:rFonts w:hint="eastAsia" w:ascii="宋体" w:hAnsi="宋体" w:eastAsia="宋体" w:cs="宋体"/>
          <w:b/>
          <w:bCs/>
          <w:i/>
          <w:iCs/>
          <w:color w:val="000000" w:themeColor="text1"/>
          <w:sz w:val="24"/>
          <w:szCs w:val="24"/>
          <w:u w:val="single"/>
          <w14:textFill>
            <w14:solidFill>
              <w14:schemeClr w14:val="tx1"/>
            </w14:solidFill>
          </w14:textFill>
        </w:rPr>
        <w:t>个</w:t>
      </w:r>
      <w:r>
        <w:rPr>
          <w:rFonts w:hint="eastAsia" w:ascii="宋体" w:hAnsi="宋体" w:eastAsia="宋体" w:cs="宋体"/>
          <w:b/>
          <w:bCs/>
          <w:i/>
          <w:iCs/>
          <w:sz w:val="24"/>
          <w:szCs w:val="24"/>
          <w:u w:val="single"/>
        </w:rPr>
        <w:t>日历天内完成建设。</w:t>
      </w:r>
    </w:p>
    <w:p w14:paraId="5CD161B8">
      <w:pPr>
        <w:keepNext w:val="0"/>
        <w:keepLines w:val="0"/>
        <w:pageBreakBefore w:val="0"/>
        <w:widowControl w:val="0"/>
        <w:spacing w:line="360" w:lineRule="auto"/>
        <w:ind w:firstLine="482"/>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2.进度要求：</w:t>
      </w:r>
    </w:p>
    <w:p w14:paraId="7537FCA5">
      <w:pPr>
        <w:keepNext w:val="0"/>
        <w:keepLines w:val="0"/>
        <w:pageBreakBefore w:val="0"/>
        <w:widowControl w:val="0"/>
        <w:spacing w:line="360" w:lineRule="auto"/>
        <w:ind w:firstLine="482"/>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2.1自合同签订之日起</w:t>
      </w:r>
      <w:r>
        <w:rPr>
          <w:rFonts w:hint="eastAsia" w:ascii="宋体" w:hAnsi="宋体" w:eastAsia="宋体" w:cs="宋体"/>
          <w:b/>
          <w:bCs/>
          <w:i/>
          <w:iCs/>
          <w:sz w:val="24"/>
          <w:highlight w:val="none"/>
          <w:u w:val="single"/>
          <w:lang w:eastAsia="zh-CN"/>
        </w:rPr>
        <w:t>6</w:t>
      </w:r>
      <w:r>
        <w:rPr>
          <w:rFonts w:hint="eastAsia" w:ascii="宋体" w:hAnsi="宋体" w:eastAsia="宋体" w:cs="宋体"/>
          <w:b/>
          <w:bCs/>
          <w:i/>
          <w:iCs/>
          <w:sz w:val="24"/>
          <w:highlight w:val="none"/>
          <w:u w:val="single"/>
          <w:lang w:val="en-US" w:eastAsia="zh-CN"/>
        </w:rPr>
        <w:t>0</w:t>
      </w:r>
      <w:r>
        <w:rPr>
          <w:rFonts w:hint="eastAsia" w:ascii="宋体" w:hAnsi="宋体" w:eastAsia="宋体" w:cs="宋体"/>
          <w:b/>
          <w:bCs/>
          <w:i/>
          <w:iCs/>
          <w:sz w:val="24"/>
          <w:highlight w:val="none"/>
          <w:u w:val="single"/>
        </w:rPr>
        <w:t>个日历天内完成系统的功能开发与部署工作，具备</w:t>
      </w:r>
      <w:r>
        <w:rPr>
          <w:rFonts w:hint="eastAsia" w:ascii="宋体" w:hAnsi="宋体" w:eastAsia="宋体" w:cs="宋体"/>
          <w:b/>
          <w:bCs/>
          <w:i/>
          <w:iCs/>
          <w:sz w:val="24"/>
          <w:highlight w:val="none"/>
          <w:u w:val="single"/>
          <w:lang w:val="en-US" w:eastAsia="zh-CN"/>
        </w:rPr>
        <w:t>上线运行</w:t>
      </w:r>
      <w:r>
        <w:rPr>
          <w:rFonts w:hint="eastAsia" w:ascii="宋体" w:hAnsi="宋体" w:eastAsia="宋体" w:cs="宋体"/>
          <w:b/>
          <w:bCs/>
          <w:i/>
          <w:iCs/>
          <w:sz w:val="24"/>
          <w:highlight w:val="none"/>
          <w:u w:val="single"/>
        </w:rPr>
        <w:t>条件；</w:t>
      </w:r>
    </w:p>
    <w:p w14:paraId="23D4FB65">
      <w:pPr>
        <w:keepNext w:val="0"/>
        <w:keepLines w:val="0"/>
        <w:pageBreakBefore w:val="0"/>
        <w:widowControl w:val="0"/>
        <w:spacing w:line="360" w:lineRule="auto"/>
        <w:ind w:firstLine="482"/>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2.2自</w:t>
      </w:r>
      <w:r>
        <w:rPr>
          <w:rFonts w:hint="eastAsia" w:ascii="宋体" w:hAnsi="宋体" w:eastAsia="宋体" w:cs="宋体"/>
          <w:b/>
          <w:bCs/>
          <w:i/>
          <w:iCs/>
          <w:sz w:val="24"/>
          <w:highlight w:val="none"/>
          <w:u w:val="single"/>
          <w:lang w:val="en-US" w:eastAsia="zh-CN"/>
        </w:rPr>
        <w:t>上线运行</w:t>
      </w:r>
      <w:r>
        <w:rPr>
          <w:rFonts w:hint="eastAsia" w:ascii="宋体" w:hAnsi="宋体" w:eastAsia="宋体" w:cs="宋体"/>
          <w:b/>
          <w:bCs/>
          <w:i/>
          <w:iCs/>
          <w:sz w:val="24"/>
          <w:highlight w:val="none"/>
          <w:u w:val="single"/>
        </w:rPr>
        <w:t>之日起30个日历天</w:t>
      </w:r>
      <w:r>
        <w:rPr>
          <w:rFonts w:hint="eastAsia" w:ascii="宋体" w:hAnsi="宋体" w:eastAsia="宋体" w:cs="宋体"/>
          <w:b/>
          <w:bCs/>
          <w:i/>
          <w:iCs/>
          <w:sz w:val="24"/>
          <w:highlight w:val="none"/>
          <w:u w:val="single"/>
          <w:lang w:eastAsia="zh-CN"/>
        </w:rPr>
        <w:t>完成</w:t>
      </w:r>
      <w:r>
        <w:rPr>
          <w:rFonts w:hint="eastAsia" w:ascii="宋体" w:hAnsi="宋体" w:eastAsia="宋体" w:cs="宋体"/>
          <w:b/>
          <w:bCs/>
          <w:i/>
          <w:iCs/>
          <w:sz w:val="24"/>
          <w:highlight w:val="none"/>
          <w:u w:val="single"/>
        </w:rPr>
        <w:t>系统试运行，并根据系统运行情况进行功能的优化完善，达到项目</w:t>
      </w:r>
      <w:r>
        <w:rPr>
          <w:rFonts w:hint="eastAsia" w:ascii="宋体" w:hAnsi="宋体" w:eastAsia="宋体" w:cs="宋体"/>
          <w:b/>
          <w:bCs/>
          <w:i/>
          <w:iCs/>
          <w:sz w:val="24"/>
          <w:highlight w:val="none"/>
          <w:u w:val="single"/>
          <w:lang w:val="en-US" w:eastAsia="zh-CN"/>
        </w:rPr>
        <w:t>验收</w:t>
      </w:r>
      <w:r>
        <w:rPr>
          <w:rFonts w:hint="eastAsia" w:ascii="宋体" w:hAnsi="宋体" w:eastAsia="宋体" w:cs="宋体"/>
          <w:b/>
          <w:bCs/>
          <w:i/>
          <w:iCs/>
          <w:sz w:val="24"/>
          <w:highlight w:val="none"/>
          <w:u w:val="single"/>
        </w:rPr>
        <w:t>要求；</w:t>
      </w:r>
    </w:p>
    <w:p w14:paraId="56D0CA22">
      <w:pPr>
        <w:keepNext w:val="0"/>
        <w:keepLines w:val="0"/>
        <w:pageBreakBefore w:val="0"/>
        <w:widowControl w:val="0"/>
        <w:spacing w:line="360" w:lineRule="auto"/>
        <w:ind w:firstLine="482"/>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2.3自项目</w:t>
      </w:r>
      <w:r>
        <w:rPr>
          <w:rFonts w:hint="eastAsia" w:ascii="宋体" w:hAnsi="宋体" w:eastAsia="宋体" w:cs="宋体"/>
          <w:b/>
          <w:bCs/>
          <w:i/>
          <w:iCs/>
          <w:sz w:val="24"/>
          <w:highlight w:val="none"/>
          <w:u w:val="single"/>
          <w:lang w:val="en-US" w:eastAsia="zh-CN"/>
        </w:rPr>
        <w:t>验收</w:t>
      </w:r>
      <w:r>
        <w:rPr>
          <w:rFonts w:hint="eastAsia" w:ascii="宋体" w:hAnsi="宋体" w:eastAsia="宋体" w:cs="宋体"/>
          <w:b/>
          <w:bCs/>
          <w:i/>
          <w:iCs/>
          <w:sz w:val="24"/>
          <w:highlight w:val="none"/>
          <w:u w:val="single"/>
        </w:rPr>
        <w:t>合格之日起提供</w:t>
      </w:r>
      <w:r>
        <w:rPr>
          <w:rFonts w:hint="eastAsia" w:ascii="宋体" w:hAnsi="宋体" w:eastAsia="宋体" w:cs="宋体"/>
          <w:b/>
          <w:bCs/>
          <w:i/>
          <w:iCs/>
          <w:sz w:val="24"/>
          <w:highlight w:val="none"/>
          <w:u w:val="single"/>
          <w:lang w:eastAsia="zh-CN"/>
        </w:rPr>
        <w:t>2</w:t>
      </w:r>
      <w:r>
        <w:rPr>
          <w:rFonts w:hint="eastAsia" w:ascii="宋体" w:hAnsi="宋体" w:eastAsia="宋体" w:cs="宋体"/>
          <w:b/>
          <w:bCs/>
          <w:i/>
          <w:iCs/>
          <w:sz w:val="24"/>
          <w:highlight w:val="none"/>
          <w:u w:val="single"/>
        </w:rPr>
        <w:t>年系统维护和保修服务。</w:t>
      </w:r>
    </w:p>
    <w:p w14:paraId="12445C47">
      <w:pPr>
        <w:keepNext w:val="0"/>
        <w:keepLines w:val="0"/>
        <w:pageBreakBefore w:val="0"/>
        <w:widowControl/>
        <w:spacing w:line="360" w:lineRule="auto"/>
        <w:ind w:firstLine="482"/>
        <w:jc w:val="both"/>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六</w:t>
      </w:r>
      <w:r>
        <w:rPr>
          <w:rFonts w:hint="eastAsia" w:ascii="宋体" w:hAnsi="宋体" w:eastAsia="宋体" w:cs="宋体"/>
          <w:b/>
          <w:bCs/>
          <w:color w:val="000000" w:themeColor="text1"/>
          <w:sz w:val="24"/>
          <w:szCs w:val="24"/>
          <w14:textFill>
            <w14:solidFill>
              <w14:schemeClr w14:val="tx1"/>
            </w14:solidFill>
          </w14:textFill>
        </w:rPr>
        <w:t>、服务标准</w:t>
      </w:r>
    </w:p>
    <w:p w14:paraId="5B098620">
      <w:pPr>
        <w:spacing w:line="360" w:lineRule="auto"/>
        <w:ind w:firstLine="480"/>
        <w:rPr>
          <w:rFonts w:hint="eastAsia"/>
          <w:sz w:val="24"/>
        </w:rPr>
      </w:pPr>
      <w:r>
        <w:rPr>
          <w:rFonts w:hint="eastAsia"/>
          <w:sz w:val="24"/>
        </w:rPr>
        <w:t>本项目执行以下国家现行有效的软件工程及信息安全相关标准（不限于以下标准，如有最新版本，以最新版本为准）：</w:t>
      </w:r>
    </w:p>
    <w:p w14:paraId="513AD386">
      <w:pPr>
        <w:spacing w:line="360" w:lineRule="auto"/>
        <w:ind w:firstLine="480"/>
        <w:rPr>
          <w:rFonts w:hint="eastAsia"/>
          <w:sz w:val="24"/>
        </w:rPr>
      </w:pPr>
      <w:r>
        <w:rPr>
          <w:rFonts w:hint="eastAsia"/>
          <w:sz w:val="24"/>
        </w:rPr>
        <w:t>GB/T8566-2022《系统与软件工程软件生存周期过程》</w:t>
      </w:r>
    </w:p>
    <w:p w14:paraId="586C679A">
      <w:pPr>
        <w:spacing w:line="360" w:lineRule="auto"/>
        <w:ind w:firstLine="480"/>
        <w:rPr>
          <w:rFonts w:hint="eastAsia"/>
          <w:sz w:val="24"/>
        </w:rPr>
      </w:pPr>
      <w:r>
        <w:rPr>
          <w:rFonts w:hint="eastAsia"/>
          <w:sz w:val="24"/>
        </w:rPr>
        <w:t>GB/T11457-2006《信息技术软件工程术语》</w:t>
      </w:r>
    </w:p>
    <w:p w14:paraId="02154057">
      <w:pPr>
        <w:spacing w:line="360" w:lineRule="auto"/>
        <w:ind w:firstLine="480"/>
        <w:rPr>
          <w:rFonts w:hint="eastAsia"/>
          <w:sz w:val="24"/>
        </w:rPr>
      </w:pPr>
      <w:r>
        <w:rPr>
          <w:rFonts w:hint="eastAsia"/>
          <w:sz w:val="24"/>
        </w:rPr>
        <w:t>GB/T1526-1989《信息处理数据流程图、程序流程图、系统流程图、程序网络图和系统资源图的文件编制符号及约定》</w:t>
      </w:r>
    </w:p>
    <w:p w14:paraId="565713EE">
      <w:pPr>
        <w:spacing w:line="360" w:lineRule="auto"/>
        <w:ind w:firstLine="480"/>
        <w:rPr>
          <w:rFonts w:hint="eastAsia"/>
          <w:sz w:val="24"/>
        </w:rPr>
      </w:pPr>
      <w:r>
        <w:rPr>
          <w:rFonts w:hint="eastAsia"/>
          <w:sz w:val="24"/>
        </w:rPr>
        <w:t>GB/T13502-1992《信息处理程序构造及其表示的约定》</w:t>
      </w:r>
    </w:p>
    <w:p w14:paraId="7F2673C4">
      <w:pPr>
        <w:spacing w:line="360" w:lineRule="auto"/>
        <w:ind w:firstLine="480"/>
        <w:rPr>
          <w:rFonts w:hint="eastAsia"/>
          <w:sz w:val="24"/>
        </w:rPr>
      </w:pPr>
      <w:r>
        <w:rPr>
          <w:rFonts w:hint="eastAsia"/>
          <w:sz w:val="24"/>
        </w:rPr>
        <w:t>GB/T14085-1993《信息处理系统计算机系统配置图符号及约定》</w:t>
      </w:r>
    </w:p>
    <w:p w14:paraId="66CE2372">
      <w:pPr>
        <w:spacing w:line="360" w:lineRule="auto"/>
        <w:ind w:firstLine="480"/>
        <w:rPr>
          <w:rFonts w:hint="eastAsia"/>
          <w:sz w:val="24"/>
        </w:rPr>
      </w:pPr>
      <w:r>
        <w:rPr>
          <w:rFonts w:hint="eastAsia"/>
          <w:sz w:val="24"/>
        </w:rPr>
        <w:t>GB/T16260.1-2006《软件工程产品质量》系列标准</w:t>
      </w:r>
    </w:p>
    <w:p w14:paraId="07156A22">
      <w:pPr>
        <w:spacing w:line="360" w:lineRule="auto"/>
        <w:ind w:firstLine="480"/>
        <w:rPr>
          <w:rFonts w:hint="eastAsia"/>
          <w:sz w:val="24"/>
        </w:rPr>
      </w:pPr>
      <w:r>
        <w:rPr>
          <w:rFonts w:hint="eastAsia"/>
          <w:sz w:val="24"/>
        </w:rPr>
        <w:t>GB/T9386-2008《计算机软件测试文件编制规范》</w:t>
      </w:r>
    </w:p>
    <w:p w14:paraId="0E9772FB">
      <w:pPr>
        <w:spacing w:line="360" w:lineRule="auto"/>
        <w:ind w:firstLine="480"/>
        <w:rPr>
          <w:rFonts w:hint="eastAsia"/>
          <w:sz w:val="24"/>
        </w:rPr>
      </w:pPr>
      <w:r>
        <w:rPr>
          <w:rFonts w:hint="eastAsia"/>
          <w:sz w:val="24"/>
        </w:rPr>
        <w:t>GB/T9385-2008《计算机软件需求规格说明规范》</w:t>
      </w:r>
    </w:p>
    <w:p w14:paraId="373F2815">
      <w:pPr>
        <w:spacing w:line="360" w:lineRule="auto"/>
        <w:ind w:firstLine="480"/>
        <w:rPr>
          <w:rFonts w:hint="eastAsia"/>
          <w:sz w:val="24"/>
        </w:rPr>
      </w:pPr>
      <w:r>
        <w:rPr>
          <w:rFonts w:hint="eastAsia"/>
          <w:sz w:val="24"/>
        </w:rPr>
        <w:t>GB/T8567-2006《计算机软件产品开发文件编制指南》</w:t>
      </w:r>
    </w:p>
    <w:p w14:paraId="1AC586E6">
      <w:pPr>
        <w:spacing w:line="360" w:lineRule="auto"/>
        <w:ind w:firstLine="480"/>
        <w:rPr>
          <w:rFonts w:hint="eastAsia"/>
          <w:sz w:val="24"/>
        </w:rPr>
      </w:pPr>
      <w:r>
        <w:rPr>
          <w:rFonts w:hint="eastAsia"/>
          <w:sz w:val="24"/>
        </w:rPr>
        <w:t>GB/T12505-2008《计算机软件配置管理计划规范》</w:t>
      </w:r>
    </w:p>
    <w:p w14:paraId="5292E2B3">
      <w:pPr>
        <w:spacing w:line="360" w:lineRule="auto"/>
        <w:ind w:firstLine="480"/>
        <w:rPr>
          <w:rFonts w:hint="eastAsia"/>
          <w:sz w:val="24"/>
        </w:rPr>
      </w:pPr>
      <w:r>
        <w:rPr>
          <w:rFonts w:hint="eastAsia"/>
          <w:sz w:val="24"/>
        </w:rPr>
        <w:t>GB/T12504-2008《计算机软件质量保证计划规范》</w:t>
      </w:r>
    </w:p>
    <w:p w14:paraId="0CE406D3">
      <w:pPr>
        <w:spacing w:line="360" w:lineRule="auto"/>
        <w:ind w:firstLine="480"/>
        <w:rPr>
          <w:rFonts w:hint="eastAsia"/>
          <w:sz w:val="24"/>
        </w:rPr>
      </w:pPr>
      <w:r>
        <w:rPr>
          <w:rFonts w:hint="eastAsia"/>
          <w:sz w:val="24"/>
        </w:rPr>
        <w:t>GB/T14394-2008《计算机软件可靠性和可维护性管理》</w:t>
      </w:r>
    </w:p>
    <w:p w14:paraId="64FE5744">
      <w:pPr>
        <w:spacing w:line="360" w:lineRule="auto"/>
        <w:ind w:firstLine="480"/>
        <w:rPr>
          <w:rFonts w:hint="eastAsia"/>
          <w:sz w:val="24"/>
        </w:rPr>
      </w:pPr>
      <w:r>
        <w:rPr>
          <w:rFonts w:hint="eastAsia"/>
          <w:sz w:val="24"/>
        </w:rPr>
        <w:t>GB/T14079-2008《软件维护指南》</w:t>
      </w:r>
    </w:p>
    <w:p w14:paraId="579CE5DB">
      <w:pPr>
        <w:spacing w:line="360" w:lineRule="auto"/>
        <w:ind w:firstLine="480"/>
        <w:rPr>
          <w:rFonts w:hint="eastAsia"/>
          <w:sz w:val="24"/>
        </w:rPr>
      </w:pPr>
      <w:r>
        <w:rPr>
          <w:rFonts w:hint="eastAsia"/>
          <w:sz w:val="24"/>
        </w:rPr>
        <w:t>GB/T30279-2013《信息安全技术安全漏洞等级划分指南》</w:t>
      </w:r>
    </w:p>
    <w:p w14:paraId="10A3E86A">
      <w:pPr>
        <w:spacing w:line="360" w:lineRule="auto"/>
        <w:ind w:firstLine="480"/>
        <w:rPr>
          <w:rFonts w:hint="eastAsia"/>
          <w:sz w:val="24"/>
        </w:rPr>
      </w:pPr>
      <w:r>
        <w:rPr>
          <w:rFonts w:hint="eastAsia"/>
          <w:sz w:val="24"/>
        </w:rPr>
        <w:t>GB/T35273-2020《信息安全技术个人信息安全规范》</w:t>
      </w:r>
    </w:p>
    <w:p w14:paraId="37AD6E8F">
      <w:pPr>
        <w:spacing w:line="360" w:lineRule="auto"/>
        <w:ind w:firstLine="482"/>
        <w:rPr>
          <w:rFonts w:hint="eastAsia" w:ascii="宋体" w:hAnsi="宋体" w:eastAsia="宋体" w:cs="宋体"/>
          <w:b/>
          <w:bCs/>
          <w:sz w:val="24"/>
          <w:lang w:eastAsia="zh-CN"/>
        </w:rPr>
      </w:pPr>
      <w:r>
        <w:rPr>
          <w:rFonts w:hint="eastAsia"/>
          <w:sz w:val="24"/>
        </w:rPr>
        <w:t>T/JNBDA0008-2025《医药标准化人工智能体构建指南》</w:t>
      </w:r>
    </w:p>
    <w:p w14:paraId="11A7662A">
      <w:pPr>
        <w:spacing w:line="360" w:lineRule="auto"/>
        <w:ind w:firstLine="482"/>
        <w:rPr>
          <w:rFonts w:hint="eastAsia" w:ascii="宋体" w:hAnsi="宋体" w:eastAsia="宋体" w:cs="宋体"/>
          <w:b/>
          <w:bCs/>
          <w:sz w:val="24"/>
          <w:lang w:eastAsia="zh-CN"/>
        </w:rPr>
      </w:pPr>
      <w:r>
        <w:rPr>
          <w:rFonts w:hint="eastAsia" w:ascii="宋体" w:hAnsi="宋体" w:eastAsia="宋体" w:cs="宋体"/>
          <w:b/>
          <w:bCs/>
          <w:sz w:val="24"/>
          <w:lang w:eastAsia="zh-CN"/>
        </w:rPr>
        <w:t>七、项目实施要求</w:t>
      </w:r>
    </w:p>
    <w:p w14:paraId="335226C5">
      <w:pPr>
        <w:spacing w:line="360" w:lineRule="auto"/>
        <w:ind w:firstLine="480"/>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供应商应提供详细的项目实施方案，项目实施方案内容包含但不限于组织管理、实施过程管理、质量管理保障措施、测试方案等。</w:t>
      </w:r>
    </w:p>
    <w:p w14:paraId="76D85253">
      <w:pPr>
        <w:spacing w:line="360" w:lineRule="auto"/>
        <w:ind w:firstLine="482"/>
        <w:rPr>
          <w:rFonts w:ascii="黑体" w:hAnsi="黑体" w:eastAsia="黑体"/>
          <w:b/>
          <w:bCs/>
          <w:sz w:val="24"/>
        </w:rPr>
      </w:pPr>
      <w:r>
        <w:rPr>
          <w:rFonts w:hint="eastAsia" w:ascii="宋体" w:hAnsi="宋体" w:eastAsia="宋体" w:cs="宋体"/>
          <w:b/>
          <w:bCs/>
          <w:sz w:val="24"/>
          <w:lang w:eastAsia="zh-CN"/>
        </w:rPr>
        <w:t>八</w:t>
      </w:r>
      <w:r>
        <w:rPr>
          <w:rFonts w:hint="eastAsia" w:ascii="宋体" w:hAnsi="宋体" w:eastAsia="宋体" w:cs="宋体"/>
          <w:b/>
          <w:bCs/>
          <w:sz w:val="24"/>
        </w:rPr>
        <w:t>、培训要求</w:t>
      </w:r>
    </w:p>
    <w:p w14:paraId="2A59994B">
      <w:pPr>
        <w:spacing w:line="360" w:lineRule="auto"/>
        <w:ind w:firstLine="480"/>
        <w:rPr>
          <w:rFonts w:hint="eastAsia" w:ascii="宋体" w:hAnsi="宋体" w:eastAsia="宋体" w:cs="宋体"/>
          <w:sz w:val="24"/>
        </w:rPr>
      </w:pPr>
      <w:r>
        <w:rPr>
          <w:rFonts w:hint="eastAsia" w:ascii="宋体" w:hAnsi="宋体" w:eastAsia="宋体" w:cs="宋体"/>
          <w:sz w:val="24"/>
        </w:rPr>
        <w:t>1.培训对象为系统相关使用人员。培训方式包括理论培训和现场培训。须针对不同的培训对象，提供全面、详细的培训计划，包括但不限于培训内容、培训时间、地点、授课老师等。</w:t>
      </w:r>
    </w:p>
    <w:p w14:paraId="0C60B6D3">
      <w:pPr>
        <w:spacing w:line="360" w:lineRule="auto"/>
        <w:ind w:firstLine="480"/>
        <w:rPr>
          <w:rFonts w:hint="eastAsia" w:ascii="宋体" w:hAnsi="宋体" w:eastAsia="宋体" w:cs="宋体"/>
          <w:sz w:val="24"/>
        </w:rPr>
      </w:pPr>
      <w:r>
        <w:rPr>
          <w:rFonts w:hint="eastAsia" w:ascii="宋体" w:hAnsi="宋体" w:eastAsia="宋体" w:cs="宋体"/>
          <w:sz w:val="24"/>
        </w:rPr>
        <w:t>2.培训教员应具备丰富的相同课程教学经验，所有的培训教员必须中文授课，所有被培训人员提供培训用文字资料和讲义等相关用品均由中标人提供。</w:t>
      </w:r>
    </w:p>
    <w:p w14:paraId="3B530B28">
      <w:pPr>
        <w:spacing w:line="360" w:lineRule="auto"/>
        <w:ind w:firstLine="480"/>
        <w:rPr>
          <w:rFonts w:hint="eastAsia" w:ascii="宋体" w:hAnsi="宋体" w:eastAsia="宋体" w:cs="宋体"/>
          <w:sz w:val="24"/>
        </w:rPr>
      </w:pPr>
      <w:r>
        <w:rPr>
          <w:rFonts w:hint="eastAsia" w:ascii="宋体" w:hAnsi="宋体" w:eastAsia="宋体" w:cs="宋体"/>
          <w:sz w:val="24"/>
        </w:rPr>
        <w:t>应根据与按采购人的约定，合理地安排培训时间，确保培训质量。</w:t>
      </w:r>
    </w:p>
    <w:p w14:paraId="02D4C100">
      <w:pPr>
        <w:spacing w:line="360" w:lineRule="auto"/>
        <w:ind w:firstLine="482"/>
        <w:rPr>
          <w:rFonts w:hint="eastAsia" w:ascii="宋体" w:hAnsi="宋体" w:eastAsia="宋体" w:cs="宋体"/>
          <w:b/>
          <w:bCs/>
          <w:sz w:val="24"/>
          <w:lang w:eastAsia="zh-CN"/>
        </w:rPr>
      </w:pPr>
      <w:r>
        <w:rPr>
          <w:rFonts w:hint="eastAsia" w:ascii="宋体" w:hAnsi="宋体" w:eastAsia="宋体" w:cs="宋体"/>
          <w:b/>
          <w:bCs/>
          <w:sz w:val="24"/>
          <w:lang w:eastAsia="zh-CN"/>
        </w:rPr>
        <w:t>九、售后服务要求</w:t>
      </w:r>
    </w:p>
    <w:p w14:paraId="78E9C991">
      <w:pPr>
        <w:spacing w:line="360" w:lineRule="auto"/>
        <w:ind w:firstLine="480"/>
        <w:rPr>
          <w:rFonts w:hint="eastAsia" w:ascii="宋体" w:hAnsi="宋体" w:eastAsia="宋体" w:cs="宋体"/>
          <w:sz w:val="24"/>
        </w:rPr>
      </w:pPr>
      <w:r>
        <w:rPr>
          <w:rFonts w:hint="eastAsia" w:ascii="宋体" w:hAnsi="宋体" w:eastAsia="宋体" w:cs="宋体"/>
          <w:sz w:val="24"/>
        </w:rPr>
        <w:t>供应商应提供详细的售后服务方案，内容包含但不限于售后服务组织体系、响应及维护体系、应急管理方案、保障措施等。</w:t>
      </w:r>
    </w:p>
    <w:p w14:paraId="4B45377A">
      <w:pPr>
        <w:spacing w:line="360" w:lineRule="auto"/>
        <w:ind w:firstLine="482"/>
        <w:rPr>
          <w:rFonts w:hint="eastAsia" w:ascii="宋体" w:hAnsi="宋体" w:eastAsia="宋体" w:cs="宋体"/>
          <w:b/>
          <w:bCs/>
          <w:sz w:val="24"/>
        </w:rPr>
      </w:pPr>
      <w:r>
        <w:rPr>
          <w:rFonts w:hint="eastAsia" w:ascii="宋体" w:hAnsi="宋体" w:eastAsia="宋体" w:cs="宋体"/>
          <w:b/>
          <w:bCs/>
          <w:sz w:val="24"/>
          <w:lang w:eastAsia="zh-CN"/>
        </w:rPr>
        <w:t>十</w:t>
      </w:r>
      <w:r>
        <w:rPr>
          <w:rFonts w:hint="eastAsia" w:ascii="宋体" w:hAnsi="宋体" w:eastAsia="宋体" w:cs="宋体"/>
          <w:b/>
          <w:bCs/>
          <w:sz w:val="24"/>
        </w:rPr>
        <w:t>、知识产权归属和处理方式</w:t>
      </w:r>
    </w:p>
    <w:p w14:paraId="4102D0D5">
      <w:pPr>
        <w:spacing w:line="360" w:lineRule="auto"/>
        <w:ind w:firstLine="480"/>
        <w:rPr>
          <w:rFonts w:ascii="宋体" w:hAnsi="宋体" w:eastAsia="宋体" w:cs="宋体"/>
          <w:sz w:val="24"/>
          <w:szCs w:val="24"/>
        </w:rPr>
      </w:pPr>
      <w:r>
        <w:rPr>
          <w:rFonts w:hint="eastAsia" w:ascii="宋体" w:hAnsi="宋体" w:eastAsia="宋体" w:cs="宋体"/>
          <w:sz w:val="24"/>
          <w:szCs w:val="24"/>
        </w:rPr>
        <w:t>1.本项目服务期限内涉及的所有成果、知识产权</w:t>
      </w:r>
      <w:r>
        <w:rPr>
          <w:rFonts w:hint="eastAsia" w:ascii="宋体" w:hAnsi="宋体" w:eastAsia="宋体" w:cs="宋体"/>
          <w:sz w:val="24"/>
          <w:szCs w:val="24"/>
          <w:lang w:val="en-US" w:eastAsia="zh-CN"/>
        </w:rPr>
        <w:t>及成品均</w:t>
      </w:r>
      <w:r>
        <w:rPr>
          <w:rFonts w:hint="eastAsia" w:ascii="宋体" w:hAnsi="宋体" w:eastAsia="宋体" w:cs="宋体"/>
          <w:sz w:val="24"/>
          <w:szCs w:val="24"/>
        </w:rPr>
        <w:t>归采购人所有，</w:t>
      </w:r>
      <w:r>
        <w:rPr>
          <w:rFonts w:hint="eastAsia" w:ascii="宋体" w:hAnsi="宋体" w:eastAsia="宋体" w:cs="宋体"/>
          <w:sz w:val="24"/>
          <w:szCs w:val="24"/>
          <w:lang w:val="en-US" w:eastAsia="zh-CN"/>
        </w:rPr>
        <w:t>成交供应商</w:t>
      </w:r>
      <w:r>
        <w:rPr>
          <w:rFonts w:hint="eastAsia" w:ascii="宋体" w:hAnsi="宋体" w:eastAsia="宋体" w:cs="宋体"/>
          <w:sz w:val="24"/>
          <w:szCs w:val="24"/>
        </w:rPr>
        <w:t xml:space="preserve">不得在项目实施过程中获取的相关内容及成果用于其它用途。 </w:t>
      </w:r>
    </w:p>
    <w:p w14:paraId="53EB63BE">
      <w:pPr>
        <w:spacing w:line="360" w:lineRule="auto"/>
        <w:ind w:firstLine="480"/>
        <w:rPr>
          <w:rFonts w:ascii="Times New Roman" w:hAnsi="Times New Roman" w:eastAsia="宋体" w:cs="Times New Roman"/>
          <w:sz w:val="24"/>
          <w:szCs w:val="24"/>
        </w:rPr>
      </w:pPr>
      <w:r>
        <w:rPr>
          <w:rFonts w:hint="eastAsia" w:ascii="宋体" w:hAnsi="宋体" w:eastAsia="宋体" w:cs="宋体"/>
          <w:sz w:val="24"/>
          <w:szCs w:val="24"/>
        </w:rPr>
        <w:t>2.保证采购人不受到第三方关于侵犯知识产权及专利权、商标权或工业设计权等知识产权方面的指控，任何第三方如果提出此方面指控均与采购人无关，成交供应商应与第三方交涉，并承担可能发生的一切法律责任、费用和后果。若采购人因此而遭致损失，则成交供应商赔偿该损失。</w:t>
      </w:r>
    </w:p>
    <w:p w14:paraId="2F21D2EF">
      <w:pPr>
        <w:spacing w:line="360" w:lineRule="auto"/>
        <w:ind w:firstLine="482"/>
        <w:rPr>
          <w:rFonts w:hint="eastAsia" w:ascii="宋体" w:hAnsi="宋体" w:eastAsia="宋体" w:cs="宋体"/>
          <w:b/>
          <w:bCs/>
          <w:sz w:val="24"/>
        </w:rPr>
      </w:pPr>
      <w:r>
        <w:rPr>
          <w:rFonts w:hint="eastAsia" w:ascii="宋体" w:hAnsi="宋体" w:eastAsia="宋体" w:cs="宋体"/>
          <w:b/>
          <w:bCs/>
          <w:sz w:val="24"/>
          <w:lang w:val="en-US" w:eastAsia="zh-CN"/>
        </w:rPr>
        <w:t>十一</w:t>
      </w:r>
      <w:r>
        <w:rPr>
          <w:rFonts w:hint="eastAsia" w:ascii="宋体" w:hAnsi="宋体" w:eastAsia="宋体" w:cs="宋体"/>
          <w:b/>
          <w:bCs/>
          <w:sz w:val="24"/>
        </w:rPr>
        <w:t>、履约验收</w:t>
      </w:r>
    </w:p>
    <w:p w14:paraId="6D27A407">
      <w:pPr>
        <w:spacing w:line="360" w:lineRule="auto"/>
        <w:ind w:firstLine="480"/>
        <w:rPr>
          <w:rFonts w:hint="eastAsia" w:ascii="宋体" w:hAnsi="宋体" w:cs="仿宋_GB2312"/>
          <w:sz w:val="24"/>
        </w:rPr>
      </w:pPr>
      <w:r>
        <w:rPr>
          <w:rFonts w:hint="eastAsia" w:ascii="宋体" w:hAnsi="宋体" w:cs="仿宋_GB2312"/>
          <w:sz w:val="24"/>
          <w:lang w:val="en-US" w:eastAsia="zh-CN"/>
        </w:rPr>
        <w:t>1.</w:t>
      </w:r>
      <w:r>
        <w:rPr>
          <w:rFonts w:hint="eastAsia" w:ascii="宋体" w:hAnsi="宋体" w:cs="仿宋_GB2312"/>
          <w:sz w:val="24"/>
        </w:rPr>
        <w:t>项目</w:t>
      </w:r>
      <w:r>
        <w:rPr>
          <w:rFonts w:hint="eastAsia" w:ascii="宋体" w:hAnsi="宋体" w:cs="仿宋_GB2312"/>
          <w:sz w:val="24"/>
          <w:lang w:val="en-US" w:eastAsia="zh-CN"/>
        </w:rPr>
        <w:t>验收</w:t>
      </w:r>
    </w:p>
    <w:p w14:paraId="61743163">
      <w:pPr>
        <w:spacing w:line="360" w:lineRule="auto"/>
        <w:ind w:firstLine="480"/>
        <w:rPr>
          <w:rFonts w:hint="eastAsia" w:ascii="宋体" w:hAnsi="宋体" w:cs="仿宋_GB2312"/>
          <w:sz w:val="24"/>
        </w:rPr>
      </w:pPr>
      <w:r>
        <w:rPr>
          <w:rFonts w:hint="eastAsia" w:ascii="宋体" w:hAnsi="宋体" w:cs="仿宋_GB2312"/>
          <w:sz w:val="24"/>
        </w:rPr>
        <w:t>系统进入正常运行阶段，由</w:t>
      </w:r>
      <w:r>
        <w:rPr>
          <w:rFonts w:hint="eastAsia" w:ascii="宋体" w:hAnsi="宋体" w:cs="仿宋_GB2312"/>
          <w:sz w:val="24"/>
          <w:lang w:val="en-US" w:eastAsia="zh-CN"/>
        </w:rPr>
        <w:t>成交供应商</w:t>
      </w:r>
      <w:r>
        <w:rPr>
          <w:rFonts w:hint="eastAsia" w:ascii="宋体" w:hAnsi="宋体" w:cs="仿宋_GB2312"/>
          <w:sz w:val="24"/>
        </w:rPr>
        <w:t>向采购人提出</w:t>
      </w:r>
      <w:r>
        <w:rPr>
          <w:rFonts w:hint="eastAsia" w:ascii="宋体" w:hAnsi="宋体" w:cs="仿宋_GB2312"/>
          <w:sz w:val="24"/>
          <w:lang w:val="en-US" w:eastAsia="zh-CN"/>
        </w:rPr>
        <w:t>验收</w:t>
      </w:r>
      <w:r>
        <w:rPr>
          <w:rFonts w:hint="eastAsia" w:ascii="宋体" w:hAnsi="宋体" w:cs="仿宋_GB2312"/>
          <w:sz w:val="24"/>
        </w:rPr>
        <w:t>申请，采购人组织召开验</w:t>
      </w:r>
      <w:r>
        <w:rPr>
          <w:rFonts w:hint="eastAsia" w:ascii="宋体" w:hAnsi="宋体" w:cs="仿宋_GB2312"/>
          <w:sz w:val="24"/>
          <w:lang w:eastAsia="zh-CN"/>
        </w:rPr>
        <w:t>收</w:t>
      </w:r>
      <w:r>
        <w:rPr>
          <w:rFonts w:hint="eastAsia" w:ascii="宋体" w:hAnsi="宋体" w:cs="仿宋_GB2312"/>
          <w:sz w:val="24"/>
        </w:rPr>
        <w:t>会，项目验</w:t>
      </w:r>
      <w:r>
        <w:rPr>
          <w:rFonts w:hint="eastAsia" w:ascii="宋体" w:hAnsi="宋体" w:cs="仿宋_GB2312"/>
          <w:sz w:val="24"/>
          <w:lang w:eastAsia="zh-CN"/>
        </w:rPr>
        <w:t>收</w:t>
      </w:r>
      <w:r>
        <w:rPr>
          <w:rFonts w:hint="eastAsia" w:ascii="宋体" w:hAnsi="宋体" w:cs="仿宋_GB2312"/>
          <w:sz w:val="24"/>
        </w:rPr>
        <w:t>完成后签订《</w:t>
      </w:r>
      <w:r>
        <w:rPr>
          <w:rFonts w:hint="eastAsia" w:ascii="宋体" w:hAnsi="宋体" w:cs="仿宋_GB2312"/>
          <w:sz w:val="24"/>
          <w:lang w:val="en-US" w:eastAsia="zh-CN"/>
        </w:rPr>
        <w:t>验收</w:t>
      </w:r>
      <w:r>
        <w:rPr>
          <w:rFonts w:hint="eastAsia" w:ascii="宋体" w:hAnsi="宋体" w:cs="仿宋_GB2312"/>
          <w:sz w:val="24"/>
        </w:rPr>
        <w:t>报告》，进入</w:t>
      </w:r>
      <w:r>
        <w:rPr>
          <w:rFonts w:hint="eastAsia" w:ascii="宋体" w:hAnsi="宋体" w:cs="仿宋_GB2312"/>
          <w:sz w:val="24"/>
          <w:lang w:val="en-US" w:eastAsia="zh-CN"/>
        </w:rPr>
        <w:t>2</w:t>
      </w:r>
      <w:r>
        <w:rPr>
          <w:rFonts w:hint="eastAsia" w:ascii="宋体" w:hAnsi="宋体" w:cs="仿宋_GB2312"/>
          <w:sz w:val="24"/>
        </w:rPr>
        <w:t>年运维期。</w:t>
      </w:r>
    </w:p>
    <w:p w14:paraId="1A40EAAA">
      <w:pPr>
        <w:spacing w:line="360" w:lineRule="auto"/>
        <w:ind w:firstLine="480"/>
        <w:rPr>
          <w:rFonts w:hint="eastAsia" w:ascii="宋体" w:hAnsi="宋体" w:cs="仿宋_GB2312"/>
          <w:sz w:val="24"/>
        </w:rPr>
      </w:pPr>
      <w:r>
        <w:rPr>
          <w:rFonts w:hint="eastAsia" w:ascii="宋体" w:hAnsi="宋体" w:cs="仿宋_GB2312"/>
          <w:sz w:val="24"/>
          <w:lang w:val="en-US" w:eastAsia="zh-CN"/>
        </w:rPr>
        <w:t>2.</w:t>
      </w:r>
      <w:r>
        <w:rPr>
          <w:rFonts w:hint="eastAsia" w:ascii="宋体" w:hAnsi="宋体" w:cs="仿宋_GB2312"/>
          <w:sz w:val="24"/>
        </w:rPr>
        <w:t>提交资料</w:t>
      </w:r>
    </w:p>
    <w:p w14:paraId="650DF04B">
      <w:pPr>
        <w:spacing w:line="360" w:lineRule="auto"/>
        <w:ind w:firstLine="480"/>
        <w:rPr>
          <w:rFonts w:hint="eastAsia" w:ascii="宋体" w:hAnsi="宋体" w:cs="仿宋_GB2312"/>
          <w:sz w:val="24"/>
        </w:rPr>
      </w:pPr>
      <w:r>
        <w:rPr>
          <w:rFonts w:hint="eastAsia" w:ascii="宋体" w:hAnsi="宋体" w:cs="仿宋_GB2312"/>
          <w:sz w:val="24"/>
        </w:rPr>
        <w:t>验</w:t>
      </w:r>
      <w:r>
        <w:rPr>
          <w:rFonts w:hint="eastAsia" w:ascii="宋体" w:hAnsi="宋体" w:cs="仿宋_GB2312"/>
          <w:sz w:val="24"/>
          <w:lang w:eastAsia="zh-CN"/>
        </w:rPr>
        <w:t>收</w:t>
      </w:r>
      <w:r>
        <w:rPr>
          <w:rFonts w:hint="eastAsia" w:ascii="宋体" w:hAnsi="宋体" w:cs="仿宋_GB2312"/>
          <w:sz w:val="24"/>
        </w:rPr>
        <w:t>前</w:t>
      </w:r>
      <w:r>
        <w:rPr>
          <w:rFonts w:hint="eastAsia" w:ascii="宋体" w:hAnsi="宋体" w:cs="仿宋_GB2312"/>
          <w:sz w:val="24"/>
          <w:lang w:val="en-US" w:eastAsia="zh-CN"/>
        </w:rPr>
        <w:t>成交供应商</w:t>
      </w:r>
      <w:r>
        <w:rPr>
          <w:rFonts w:hint="eastAsia" w:ascii="宋体" w:hAnsi="宋体" w:cs="仿宋_GB2312"/>
          <w:sz w:val="24"/>
        </w:rPr>
        <w:t>应完成资料准备工作，包含以下资料：</w:t>
      </w:r>
    </w:p>
    <w:p w14:paraId="6E9D06D0">
      <w:pPr>
        <w:spacing w:line="360" w:lineRule="auto"/>
        <w:ind w:firstLine="480"/>
        <w:rPr>
          <w:rFonts w:hint="eastAsia" w:ascii="宋体" w:hAnsi="宋体" w:cs="仿宋_GB2312"/>
          <w:sz w:val="24"/>
        </w:rPr>
      </w:pPr>
      <w:r>
        <w:rPr>
          <w:rFonts w:hint="eastAsia" w:ascii="宋体" w:hAnsi="宋体" w:cs="仿宋_GB2312"/>
          <w:sz w:val="24"/>
        </w:rPr>
        <w:t>（1）《开发进度计划》</w:t>
      </w:r>
    </w:p>
    <w:p w14:paraId="759B8DF3">
      <w:pPr>
        <w:spacing w:line="360" w:lineRule="auto"/>
        <w:ind w:firstLine="480"/>
        <w:rPr>
          <w:rFonts w:hint="eastAsia" w:ascii="宋体" w:hAnsi="宋体" w:cs="仿宋_GB2312"/>
          <w:sz w:val="24"/>
        </w:rPr>
      </w:pPr>
      <w:r>
        <w:rPr>
          <w:rFonts w:hint="eastAsia" w:ascii="宋体" w:hAnsi="宋体" w:cs="仿宋_GB2312"/>
          <w:sz w:val="24"/>
        </w:rPr>
        <w:t>（2）《需求规格说明书》</w:t>
      </w:r>
    </w:p>
    <w:p w14:paraId="5C50DBC7">
      <w:pPr>
        <w:spacing w:line="360" w:lineRule="auto"/>
        <w:ind w:firstLine="480"/>
        <w:rPr>
          <w:rFonts w:hint="eastAsia" w:ascii="宋体" w:hAnsi="宋体" w:cs="仿宋_GB2312"/>
          <w:sz w:val="24"/>
        </w:rPr>
      </w:pPr>
      <w:r>
        <w:rPr>
          <w:rFonts w:hint="eastAsia" w:ascii="宋体" w:hAnsi="宋体" w:cs="仿宋_GB2312"/>
          <w:sz w:val="24"/>
        </w:rPr>
        <w:t>（3）《开发技术方案》</w:t>
      </w:r>
    </w:p>
    <w:p w14:paraId="0A3F859A">
      <w:pPr>
        <w:spacing w:line="360" w:lineRule="auto"/>
        <w:ind w:firstLine="480"/>
        <w:rPr>
          <w:rFonts w:hint="eastAsia" w:ascii="宋体" w:hAnsi="宋体" w:cs="仿宋_GB2312"/>
          <w:sz w:val="24"/>
        </w:rPr>
      </w:pPr>
      <w:r>
        <w:rPr>
          <w:rFonts w:hint="eastAsia" w:ascii="宋体" w:hAnsi="宋体" w:cs="仿宋_GB2312"/>
          <w:sz w:val="24"/>
        </w:rPr>
        <w:t>（4）《数据库设计说明书》</w:t>
      </w:r>
    </w:p>
    <w:p w14:paraId="7C5D2900">
      <w:pPr>
        <w:spacing w:line="360" w:lineRule="auto"/>
        <w:ind w:firstLine="480"/>
        <w:rPr>
          <w:rFonts w:hint="eastAsia" w:ascii="宋体" w:hAnsi="宋体" w:cs="仿宋_GB2312"/>
          <w:sz w:val="24"/>
        </w:rPr>
      </w:pPr>
      <w:r>
        <w:rPr>
          <w:rFonts w:hint="eastAsia" w:ascii="宋体" w:hAnsi="宋体" w:cs="仿宋_GB2312"/>
          <w:sz w:val="24"/>
        </w:rPr>
        <w:t>（5）《接口设计说明》</w:t>
      </w:r>
    </w:p>
    <w:p w14:paraId="4DFCF629">
      <w:pPr>
        <w:spacing w:line="360" w:lineRule="auto"/>
        <w:ind w:firstLine="480"/>
        <w:rPr>
          <w:rFonts w:hint="eastAsia" w:ascii="宋体" w:hAnsi="宋体" w:cs="仿宋_GB2312"/>
          <w:sz w:val="24"/>
        </w:rPr>
      </w:pPr>
      <w:r>
        <w:rPr>
          <w:rFonts w:hint="eastAsia" w:ascii="宋体" w:hAnsi="宋体" w:cs="仿宋_GB2312"/>
          <w:sz w:val="24"/>
        </w:rPr>
        <w:t>（</w:t>
      </w:r>
      <w:r>
        <w:rPr>
          <w:rFonts w:hint="eastAsia" w:ascii="宋体" w:hAnsi="宋体" w:cs="仿宋_GB2312"/>
          <w:sz w:val="24"/>
          <w:lang w:val="en-US" w:eastAsia="zh-CN"/>
        </w:rPr>
        <w:t>6</w:t>
      </w:r>
      <w:r>
        <w:rPr>
          <w:rFonts w:hint="eastAsia" w:ascii="宋体" w:hAnsi="宋体" w:cs="仿宋_GB2312"/>
          <w:sz w:val="24"/>
        </w:rPr>
        <w:t>）《测试报告》</w:t>
      </w:r>
    </w:p>
    <w:p w14:paraId="26E9150C">
      <w:pPr>
        <w:spacing w:line="360" w:lineRule="auto"/>
        <w:ind w:firstLine="480"/>
        <w:rPr>
          <w:rFonts w:hint="eastAsia" w:ascii="宋体" w:hAnsi="宋体" w:cs="仿宋_GB2312"/>
          <w:sz w:val="24"/>
        </w:rPr>
      </w:pPr>
      <w:r>
        <w:rPr>
          <w:rFonts w:hint="eastAsia" w:ascii="宋体" w:hAnsi="宋体" w:cs="仿宋_GB2312"/>
          <w:sz w:val="24"/>
        </w:rPr>
        <w:t>（</w:t>
      </w:r>
      <w:r>
        <w:rPr>
          <w:rFonts w:hint="eastAsia" w:ascii="宋体" w:hAnsi="宋体" w:cs="仿宋_GB2312"/>
          <w:sz w:val="24"/>
          <w:lang w:val="en-US" w:eastAsia="zh-CN"/>
        </w:rPr>
        <w:t>7</w:t>
      </w:r>
      <w:r>
        <w:rPr>
          <w:rFonts w:hint="eastAsia" w:ascii="宋体" w:hAnsi="宋体" w:cs="仿宋_GB2312"/>
          <w:sz w:val="24"/>
        </w:rPr>
        <w:t>）《系统使用说明及运维手册》</w:t>
      </w:r>
    </w:p>
    <w:p w14:paraId="4F9A38F6">
      <w:pPr>
        <w:spacing w:line="360" w:lineRule="auto"/>
        <w:ind w:firstLine="480"/>
        <w:rPr>
          <w:rFonts w:hint="eastAsia" w:ascii="宋体" w:hAnsi="宋体" w:cs="仿宋_GB2312"/>
          <w:sz w:val="24"/>
        </w:rPr>
      </w:pPr>
      <w:r>
        <w:rPr>
          <w:rFonts w:hint="eastAsia" w:ascii="宋体" w:hAnsi="宋体" w:cs="仿宋_GB2312"/>
          <w:sz w:val="24"/>
        </w:rPr>
        <w:t>（</w:t>
      </w:r>
      <w:r>
        <w:rPr>
          <w:rFonts w:hint="eastAsia" w:ascii="宋体" w:hAnsi="宋体" w:cs="仿宋_GB2312"/>
          <w:sz w:val="24"/>
          <w:lang w:val="en-US" w:eastAsia="zh-CN"/>
        </w:rPr>
        <w:t>8</w:t>
      </w:r>
      <w:r>
        <w:rPr>
          <w:rFonts w:hint="eastAsia" w:ascii="宋体" w:hAnsi="宋体" w:cs="仿宋_GB2312"/>
          <w:sz w:val="24"/>
        </w:rPr>
        <w:t>）《系统功能检查表》</w:t>
      </w:r>
    </w:p>
    <w:p w14:paraId="6DEF2844">
      <w:pPr>
        <w:spacing w:line="360" w:lineRule="auto"/>
        <w:ind w:firstLine="480"/>
        <w:rPr>
          <w:rFonts w:hint="eastAsia" w:ascii="宋体" w:hAnsi="宋体" w:cs="仿宋_GB2312"/>
          <w:sz w:val="24"/>
        </w:rPr>
      </w:pPr>
      <w:r>
        <w:rPr>
          <w:rFonts w:hint="eastAsia" w:ascii="宋体" w:hAnsi="宋体" w:cs="仿宋_GB2312"/>
          <w:sz w:val="24"/>
        </w:rPr>
        <w:t>（</w:t>
      </w:r>
      <w:r>
        <w:rPr>
          <w:rFonts w:hint="eastAsia" w:ascii="宋体" w:hAnsi="宋体" w:cs="仿宋_GB2312"/>
          <w:sz w:val="24"/>
          <w:lang w:val="en-US" w:eastAsia="zh-CN"/>
        </w:rPr>
        <w:t>9</w:t>
      </w:r>
      <w:r>
        <w:rPr>
          <w:rFonts w:hint="eastAsia" w:ascii="宋体" w:hAnsi="宋体" w:cs="仿宋_GB2312"/>
          <w:sz w:val="24"/>
        </w:rPr>
        <w:t>）《培训方案》</w:t>
      </w:r>
    </w:p>
    <w:p w14:paraId="10589BAE">
      <w:pPr>
        <w:spacing w:line="360" w:lineRule="auto"/>
        <w:ind w:firstLine="480"/>
        <w:rPr>
          <w:rFonts w:hint="eastAsia" w:eastAsiaTheme="minorEastAsia"/>
          <w:lang w:eastAsia="zh-CN"/>
        </w:rPr>
      </w:pPr>
      <w:r>
        <w:rPr>
          <w:rFonts w:hint="eastAsia" w:ascii="宋体" w:hAnsi="宋体" w:cs="仿宋_GB2312"/>
          <w:sz w:val="24"/>
        </w:rPr>
        <w:t>（1</w:t>
      </w:r>
      <w:r>
        <w:rPr>
          <w:rFonts w:hint="eastAsia" w:ascii="宋体" w:hAnsi="宋体" w:cs="仿宋_GB2312"/>
          <w:sz w:val="24"/>
          <w:lang w:val="en-US" w:eastAsia="zh-CN"/>
        </w:rPr>
        <w:t>0</w:t>
      </w:r>
      <w:r>
        <w:rPr>
          <w:rFonts w:hint="eastAsia" w:ascii="宋体" w:hAnsi="宋体" w:cs="仿宋_GB2312"/>
          <w:sz w:val="24"/>
        </w:rPr>
        <w:t>）《签到表及用户培训反馈》</w:t>
      </w:r>
      <w:r>
        <w:rPr>
          <w:rFonts w:hint="eastAsia" w:ascii="宋体" w:hAnsi="宋体" w:cs="仿宋_GB2312"/>
          <w:sz w:val="24"/>
          <w:lang w:eastAsia="zh-CN"/>
        </w:rPr>
        <w:t>。</w:t>
      </w:r>
    </w:p>
    <w:p w14:paraId="52B8CBAE">
      <w:pPr>
        <w:spacing w:line="360" w:lineRule="auto"/>
        <w:ind w:firstLine="482"/>
        <w:rPr>
          <w:rFonts w:hint="eastAsia" w:ascii="宋体" w:hAnsi="宋体" w:eastAsia="宋体" w:cs="宋体"/>
          <w:b/>
          <w:bCs/>
          <w:sz w:val="24"/>
          <w:lang w:val="en-US" w:eastAsia="zh-CN"/>
        </w:rPr>
      </w:pPr>
      <w:r>
        <w:rPr>
          <w:rFonts w:hint="eastAsia" w:ascii="宋体" w:hAnsi="宋体" w:eastAsia="宋体" w:cs="宋体"/>
          <w:b/>
          <w:bCs/>
          <w:sz w:val="24"/>
          <w:lang w:val="en-US" w:eastAsia="zh-CN"/>
        </w:rPr>
        <w:t>十二、付款方式与履约保证金</w:t>
      </w:r>
    </w:p>
    <w:p w14:paraId="31A12BB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1.付款方式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合同签订完成一周内支付合同金额的50%，项目验收完成一周内支付合同金额的50%。</w:t>
      </w:r>
    </w:p>
    <w:p w14:paraId="02685DEF">
      <w:pPr>
        <w:spacing w:line="360" w:lineRule="auto"/>
        <w:ind w:firstLine="480"/>
        <w:jc w:val="left"/>
        <w:rPr>
          <w:rFonts w:ascii="Times New Roman" w:hAnsi="Times New Roman" w:eastAsia="宋体" w:cs="Times New Roman"/>
          <w:szCs w:val="24"/>
        </w:rPr>
      </w:pPr>
      <w:r>
        <w:rPr>
          <w:rFonts w:hint="eastAsia" w:cs="Times New Roman" w:asciiTheme="minorEastAsia" w:hAnsiTheme="minorEastAsia"/>
          <w:sz w:val="24"/>
          <w:szCs w:val="24"/>
        </w:rPr>
        <w:t>2.履约保证金</w:t>
      </w:r>
      <w:r>
        <w:rPr>
          <w:rFonts w:hint="eastAsia" w:cs="Times New Roman" w:asciiTheme="minorEastAsia" w:hAnsiTheme="minorEastAsia"/>
          <w:sz w:val="24"/>
          <w:szCs w:val="24"/>
          <w:lang w:eastAsia="zh-CN"/>
        </w:rPr>
        <w:t>：</w:t>
      </w:r>
      <w:r>
        <w:rPr>
          <w:rFonts w:hint="eastAsia" w:cs="Times New Roman" w:asciiTheme="minorEastAsia" w:hAnsiTheme="minorEastAsia"/>
          <w:sz w:val="24"/>
          <w:szCs w:val="24"/>
        </w:rPr>
        <w:t>本项目不收取履约保证金。</w:t>
      </w:r>
    </w:p>
    <w:p w14:paraId="233C3100">
      <w:pPr>
        <w:spacing w:line="360" w:lineRule="auto"/>
        <w:ind w:firstLine="482"/>
        <w:rPr>
          <w:rFonts w:hint="eastAsia" w:ascii="宋体" w:hAnsi="宋体" w:eastAsia="宋体" w:cs="宋体"/>
          <w:b/>
          <w:bCs/>
          <w:sz w:val="24"/>
          <w:lang w:val="en-US" w:eastAsia="zh-CN"/>
        </w:rPr>
      </w:pPr>
      <w:r>
        <w:rPr>
          <w:rFonts w:hint="eastAsia" w:ascii="宋体" w:hAnsi="宋体" w:eastAsia="宋体" w:cs="宋体"/>
          <w:b/>
          <w:bCs/>
          <w:sz w:val="24"/>
          <w:lang w:val="en-US" w:eastAsia="zh-CN"/>
        </w:rPr>
        <w:t>十三、报价要求</w:t>
      </w:r>
    </w:p>
    <w:p w14:paraId="50DDE102">
      <w:pPr>
        <w:pStyle w:val="191"/>
        <w:ind w:firstLine="480"/>
        <w:rPr>
          <w:rFonts w:hint="eastAsia" w:ascii="宋体" w:hAnsi="宋体" w:eastAsia="宋体" w:cs="宋体"/>
          <w:b/>
          <w:sz w:val="24"/>
        </w:rPr>
      </w:pPr>
      <w:r>
        <w:rPr>
          <w:rFonts w:hint="eastAsia" w:ascii="宋体" w:hAnsi="宋体" w:eastAsia="宋体" w:cs="宋体"/>
          <w:sz w:val="24"/>
          <w:lang w:val="en-US" w:eastAsia="zh-CN"/>
        </w:rPr>
        <w:t>1.</w:t>
      </w:r>
      <w:r>
        <w:rPr>
          <w:rFonts w:hint="eastAsia" w:ascii="宋体" w:hAnsi="宋体" w:eastAsia="宋体" w:cs="宋体"/>
          <w:sz w:val="24"/>
        </w:rPr>
        <w:t>本项目报价应根据国家收费标准并结合市场实际进行报价，总价包干，报价内容应包括但不限于完成本项目工作所需人员开发投入及其配套的管理内容、软件系统、辅助材料、验收检测、运输仓储、劳保、技术支持与培训、专利技术、各种税费、人工、保险、维护、利润、政策性文件规定及合同包含的所有风险、责任等各项应有费用。同时，除非合同条款中另有规定，否则，本合同项下合同总金额在合同履行期间不因市场变化因素而变动。</w:t>
      </w:r>
    </w:p>
    <w:p w14:paraId="577192D9">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应根据国家收费标准并结合市场实际进行报价，总价包干。</w:t>
      </w:r>
    </w:p>
    <w:p w14:paraId="25D8B0F7">
      <w:pPr>
        <w:spacing w:line="360" w:lineRule="auto"/>
        <w:ind w:firstLine="480"/>
        <w:rPr>
          <w:rFonts w:hint="eastAsia" w:ascii="黑体" w:hAnsi="黑体" w:eastAsia="黑体"/>
          <w:bCs/>
          <w:sz w:val="44"/>
          <w:szCs w:val="44"/>
        </w:rPr>
      </w:pPr>
      <w:r>
        <w:rPr>
          <w:rFonts w:hint="eastAsia" w:ascii="宋体" w:hAnsi="宋体" w:eastAsia="宋体" w:cs="宋体"/>
          <w:sz w:val="24"/>
          <w:lang w:val="en-US" w:eastAsia="zh-CN"/>
        </w:rPr>
        <w:t>3.</w:t>
      </w:r>
      <w:r>
        <w:rPr>
          <w:rFonts w:hint="eastAsia" w:ascii="宋体" w:hAnsi="宋体" w:eastAsia="宋体" w:cs="宋体"/>
          <w:sz w:val="24"/>
        </w:rPr>
        <w:t>工作中涉及的敏感资料、电子数据等相关信息，成交供应商应严格执行保密的相关规定，不得以任何方式向任何第三人披露、泄露或许可第三人使用，否则追究其相应法律责任。</w:t>
      </w:r>
      <w:bookmarkStart w:id="4" w:name="_Toc161932695"/>
      <w:r>
        <w:rPr>
          <w:rFonts w:ascii="黑体" w:hAnsi="黑体" w:eastAsia="黑体"/>
          <w:b w:val="0"/>
        </w:rPr>
        <w:br w:type="page" w:clear="all"/>
      </w:r>
    </w:p>
    <w:p w14:paraId="00E253B4">
      <w:pPr>
        <w:pStyle w:val="3"/>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评审方法与评审标准</w:t>
      </w:r>
      <w:bookmarkEnd w:id="4"/>
    </w:p>
    <w:p w14:paraId="2A489E95">
      <w:pPr>
        <w:spacing w:line="500" w:lineRule="exact"/>
        <w:ind w:firstLine="480"/>
        <w:rPr>
          <w:rFonts w:hint="eastAsia" w:asciiTheme="minorEastAsia" w:hAnsiTheme="minorEastAsia"/>
          <w:sz w:val="24"/>
          <w:szCs w:val="24"/>
        </w:rPr>
      </w:pPr>
    </w:p>
    <w:p w14:paraId="19C3AF74">
      <w:pPr>
        <w:spacing w:line="500" w:lineRule="exact"/>
        <w:ind w:firstLine="482"/>
        <w:rPr>
          <w:rFonts w:asciiTheme="minorEastAsia" w:hAnsiTheme="minorEastAsia"/>
          <w:b/>
          <w:sz w:val="24"/>
          <w:szCs w:val="24"/>
        </w:rPr>
      </w:pPr>
      <w:r>
        <w:rPr>
          <w:rFonts w:hint="eastAsia" w:asciiTheme="minorEastAsia" w:hAnsiTheme="minorEastAsia"/>
          <w:b/>
          <w:sz w:val="24"/>
          <w:szCs w:val="24"/>
        </w:rPr>
        <w:t>一、评审方法</w:t>
      </w:r>
    </w:p>
    <w:p w14:paraId="3A68D7BC">
      <w:pPr>
        <w:spacing w:line="500" w:lineRule="exact"/>
        <w:ind w:firstLine="480"/>
        <w:rPr>
          <w:rFonts w:asciiTheme="minorEastAsia" w:hAnsiTheme="minorEastAsia"/>
          <w:sz w:val="24"/>
          <w:szCs w:val="24"/>
        </w:rPr>
      </w:pPr>
      <w:r>
        <w:rPr>
          <w:rFonts w:hint="eastAsia" w:asciiTheme="minorEastAsia" w:hAnsiTheme="minorEastAsia"/>
          <w:sz w:val="24"/>
          <w:szCs w:val="24"/>
        </w:rPr>
        <w:t>经磋商确定最终采购需求和提交最后报价的供应商后，由磋商小组采用综合评分法对提交最后报价的供应商的响应文件和最后报价进行综合评分。</w:t>
      </w:r>
    </w:p>
    <w:p w14:paraId="1566E876">
      <w:pPr>
        <w:spacing w:line="500" w:lineRule="exact"/>
        <w:ind w:firstLine="480"/>
        <w:jc w:val="left"/>
        <w:rPr>
          <w:rFonts w:asciiTheme="minorEastAsia" w:hAnsiTheme="minorEastAsia"/>
          <w:sz w:val="24"/>
          <w:szCs w:val="24"/>
          <w:highlight w:val="none"/>
        </w:rPr>
      </w:pPr>
      <w:r>
        <w:rPr>
          <w:rFonts w:hint="eastAsia" w:asciiTheme="minorEastAsia" w:hAnsiTheme="minorEastAsia"/>
          <w:sz w:val="24"/>
          <w:szCs w:val="24"/>
        </w:rPr>
        <w:t>综合评分法，是指响应文件满足磋商文件全部实质性要求且按评审因素的量化指标评审得分最高的供应商为成交候选供应商的评审方法。</w:t>
      </w:r>
      <w:r>
        <w:rPr>
          <w:rFonts w:hint="eastAsia" w:asciiTheme="minorEastAsia" w:hAnsiTheme="minorEastAsia"/>
          <w:sz w:val="24"/>
          <w:szCs w:val="24"/>
          <w:highlight w:val="none"/>
        </w:rPr>
        <w:t xml:space="preserve">评标委员会按照评审得分由高到低顺序推荐 </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rPr>
        <w:t xml:space="preserve"> 名成交候选供应商。</w:t>
      </w:r>
    </w:p>
    <w:p w14:paraId="0F587E33">
      <w:pPr>
        <w:spacing w:line="500" w:lineRule="exact"/>
        <w:ind w:firstLine="482"/>
        <w:rPr>
          <w:rFonts w:asciiTheme="minorEastAsia" w:hAnsiTheme="minorEastAsia"/>
          <w:b/>
          <w:sz w:val="24"/>
          <w:szCs w:val="24"/>
        </w:rPr>
      </w:pPr>
      <w:r>
        <w:rPr>
          <w:rFonts w:asciiTheme="minorEastAsia" w:hAnsiTheme="minorEastAsia"/>
          <w:b/>
          <w:sz w:val="24"/>
          <w:szCs w:val="24"/>
        </w:rPr>
        <w:t>二、评审标准</w:t>
      </w:r>
    </w:p>
    <w:p w14:paraId="2009D172">
      <w:pPr>
        <w:spacing w:line="500" w:lineRule="exact"/>
        <w:ind w:firstLine="480"/>
        <w:rPr>
          <w:rFonts w:asciiTheme="minorEastAsia" w:hAnsiTheme="minorEastAsia"/>
          <w:sz w:val="24"/>
          <w:szCs w:val="24"/>
        </w:rPr>
      </w:pPr>
      <w:r>
        <w:rPr>
          <w:rFonts w:hint="eastAsia" w:asciiTheme="minorEastAsia" w:hAnsiTheme="minor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39FBD603">
      <w:pPr>
        <w:spacing w:line="500" w:lineRule="exact"/>
        <w:ind w:firstLine="480"/>
        <w:rPr>
          <w:rFonts w:asciiTheme="minorEastAsia" w:hAnsiTheme="minorEastAsia"/>
          <w:sz w:val="24"/>
          <w:szCs w:val="24"/>
        </w:rPr>
      </w:pPr>
      <w:r>
        <w:rPr>
          <w:rFonts w:hint="eastAsia" w:asciiTheme="minorEastAsia" w:hAnsiTheme="minorEastAsia"/>
          <w:sz w:val="24"/>
          <w:szCs w:val="24"/>
        </w:rPr>
        <w:t>（2）本项目评分总分为100分，按四舍五入取至小数点后两位。</w:t>
      </w:r>
    </w:p>
    <w:p w14:paraId="47F2B25E">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（3）总得分=价格分+技术分+商务分。</w:t>
      </w:r>
    </w:p>
    <w:p w14:paraId="3FF375C5">
      <w:pPr>
        <w:spacing w:line="500" w:lineRule="exact"/>
        <w:ind w:firstLine="480"/>
        <w:rPr>
          <w:rFonts w:hint="eastAsia" w:asciiTheme="minorEastAsia" w:hAnsiTheme="minorEastAsia"/>
          <w:sz w:val="24"/>
          <w:szCs w:val="24"/>
        </w:rPr>
      </w:pPr>
    </w:p>
    <w:p w14:paraId="1B2E6123">
      <w:pPr>
        <w:spacing w:line="500" w:lineRule="exact"/>
        <w:ind w:firstLine="480"/>
        <w:rPr>
          <w:rFonts w:asciiTheme="minorEastAsia" w:hAnsiTheme="minorEastAsia"/>
          <w:sz w:val="24"/>
          <w:szCs w:val="24"/>
        </w:rPr>
      </w:pPr>
    </w:p>
    <w:p w14:paraId="618C3385">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48715ED8">
      <w:pPr>
        <w:spacing w:line="500" w:lineRule="exact"/>
        <w:ind w:firstLine="482"/>
        <w:jc w:val="left"/>
        <w:rPr>
          <w:rFonts w:hint="eastAsia" w:ascii="宋体" w:hAnsi="宋体" w:eastAsia="宋体" w:cs="宋体"/>
          <w:b/>
          <w:sz w:val="24"/>
          <w:szCs w:val="24"/>
          <w:highlight w:val="none"/>
        </w:rPr>
      </w:pPr>
      <w:r>
        <w:rPr>
          <w:rFonts w:hint="eastAsia" w:ascii="宋体" w:hAnsi="宋体" w:eastAsia="宋体" w:cs="宋体"/>
          <w:b/>
          <w:sz w:val="24"/>
          <w:szCs w:val="24"/>
          <w:lang w:val="en-US" w:eastAsia="zh-CN"/>
        </w:rPr>
        <w:t>1.</w:t>
      </w:r>
      <w:r>
        <w:rPr>
          <w:rFonts w:hint="eastAsia" w:ascii="宋体" w:hAnsi="宋体" w:eastAsia="宋体" w:cs="宋体"/>
          <w:b/>
          <w:sz w:val="24"/>
          <w:szCs w:val="24"/>
        </w:rPr>
        <w:t>价格分</w:t>
      </w:r>
      <w:r>
        <w:rPr>
          <w:rFonts w:hint="eastAsia" w:ascii="宋体" w:hAnsi="宋体" w:eastAsia="宋体" w:cs="宋体"/>
          <w:b/>
          <w:sz w:val="24"/>
          <w:szCs w:val="24"/>
          <w:highlight w:val="none"/>
        </w:rPr>
        <w:t>（10分）</w:t>
      </w:r>
    </w:p>
    <w:p w14:paraId="5891000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采用低价优先法计算，即满足磋商文件要求且最后报价最低的供应商的价格为磋商基准价，其价格分为满分。其他供应商的价格分统一按照下列公式计算：</w:t>
      </w:r>
    </w:p>
    <w:p w14:paraId="457324FB">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磋商报价得分=（磋商基准价／最后磋商报价）×10分</w:t>
      </w:r>
      <w:r>
        <w:rPr>
          <w:rFonts w:hint="eastAsia" w:ascii="宋体" w:hAnsi="宋体" w:eastAsia="宋体" w:cs="宋体"/>
          <w:sz w:val="24"/>
          <w:szCs w:val="24"/>
          <w:lang w:eastAsia="zh-CN"/>
        </w:rPr>
        <w:t>。</w:t>
      </w:r>
    </w:p>
    <w:p w14:paraId="7FFD2D34">
      <w:pPr>
        <w:spacing w:line="50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本项目不享受价格折扣。</w:t>
      </w:r>
    </w:p>
    <w:p w14:paraId="5440B992">
      <w:pPr>
        <w:spacing w:line="360" w:lineRule="auto"/>
        <w:ind w:firstLine="482"/>
        <w:jc w:val="left"/>
        <w:rPr>
          <w:rFonts w:hint="eastAsia" w:ascii="宋体" w:hAnsi="宋体" w:eastAsia="宋体" w:cs="宋体"/>
          <w:b/>
          <w:sz w:val="24"/>
          <w:szCs w:val="24"/>
        </w:rPr>
      </w:pPr>
      <w:r>
        <w:rPr>
          <w:rFonts w:hint="eastAsia" w:ascii="宋体" w:hAnsi="宋体" w:eastAsia="宋体" w:cs="宋体"/>
          <w:b/>
          <w:sz w:val="24"/>
          <w:szCs w:val="24"/>
        </w:rPr>
        <w:t>2.商务分（</w:t>
      </w:r>
      <w:r>
        <w:rPr>
          <w:rFonts w:hint="default" w:ascii="宋体" w:hAnsi="宋体" w:eastAsia="宋体" w:cs="宋体"/>
          <w:b/>
          <w:sz w:val="24"/>
          <w:szCs w:val="24"/>
          <w:lang w:val="en-US" w:eastAsia="zh-CN"/>
        </w:rPr>
        <w:t>40</w:t>
      </w:r>
      <w:r>
        <w:rPr>
          <w:rFonts w:hint="eastAsia" w:ascii="宋体" w:hAnsi="宋体" w:eastAsia="宋体" w:cs="宋体"/>
          <w:b/>
          <w:sz w:val="24"/>
          <w:szCs w:val="24"/>
        </w:rPr>
        <w:t>分）</w:t>
      </w:r>
    </w:p>
    <w:tbl>
      <w:tblPr>
        <w:tblStyle w:val="33"/>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67"/>
        <w:gridCol w:w="6670"/>
      </w:tblGrid>
      <w:tr w14:paraId="443B7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7" w:type="pct"/>
            <w:noWrap w:val="0"/>
            <w:vAlign w:val="center"/>
          </w:tcPr>
          <w:p w14:paraId="4DC690C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评审因素</w:t>
            </w:r>
          </w:p>
        </w:tc>
        <w:tc>
          <w:tcPr>
            <w:tcW w:w="3952" w:type="pct"/>
            <w:noWrap w:val="0"/>
            <w:vAlign w:val="center"/>
          </w:tcPr>
          <w:p w14:paraId="614AAE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评审标准</w:t>
            </w:r>
          </w:p>
        </w:tc>
      </w:tr>
      <w:tr w14:paraId="4720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7" w:type="pct"/>
            <w:noWrap w:val="0"/>
            <w:vAlign w:val="center"/>
          </w:tcPr>
          <w:p w14:paraId="304F7B3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rPr>
              <w:t>业绩</w:t>
            </w:r>
          </w:p>
          <w:p w14:paraId="0B2C3B1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b/>
                <w:color w:val="000000"/>
                <w:sz w:val="24"/>
                <w:szCs w:val="24"/>
              </w:rPr>
            </w:pPr>
            <w:r>
              <w:rPr>
                <w:rFonts w:hint="eastAsia" w:ascii="宋体" w:hAnsi="宋体" w:eastAsia="宋体" w:cs="宋体"/>
                <w:sz w:val="24"/>
                <w:szCs w:val="24"/>
              </w:rPr>
              <w:t>（</w:t>
            </w:r>
            <w:r>
              <w:rPr>
                <w:rFonts w:hint="default" w:ascii="宋体" w:hAnsi="宋体" w:eastAsia="宋体" w:cs="宋体"/>
                <w:sz w:val="24"/>
                <w:szCs w:val="24"/>
                <w:lang w:val="en-US" w:eastAsia="zh-CN"/>
              </w:rPr>
              <w:t>15</w:t>
            </w:r>
            <w:r>
              <w:rPr>
                <w:rFonts w:hint="eastAsia" w:ascii="宋体" w:hAnsi="宋体" w:eastAsia="宋体" w:cs="宋体"/>
                <w:sz w:val="24"/>
                <w:szCs w:val="24"/>
              </w:rPr>
              <w:t>分）</w:t>
            </w:r>
          </w:p>
        </w:tc>
        <w:tc>
          <w:tcPr>
            <w:tcW w:w="3952" w:type="pct"/>
            <w:noWrap w:val="0"/>
            <w:vAlign w:val="center"/>
          </w:tcPr>
          <w:p w14:paraId="04097222">
            <w:pPr>
              <w:keepNext w:val="0"/>
              <w:keepLines w:val="0"/>
              <w:pageBreakBefore w:val="0"/>
              <w:widowControl/>
              <w:numPr>
                <w:ilvl w:val="0"/>
                <w:numId w:val="0"/>
              </w:numPr>
              <w:spacing w:after="0" w:line="440" w:lineRule="exact"/>
              <w:jc w:val="both"/>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rPr>
              <w:t>供应商具有类似软件系统开发项目（合同内容至少与大模型相关）业绩的，每提供一个</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业绩得</w:t>
            </w:r>
            <w:r>
              <w:rPr>
                <w:rFonts w:hint="default" w:ascii="宋体" w:hAnsi="宋体" w:eastAsia="宋体" w:cs="宋体"/>
                <w:color w:val="000000"/>
                <w:sz w:val="24"/>
                <w:szCs w:val="24"/>
                <w:lang w:val="en-US"/>
              </w:rPr>
              <w:t>5</w:t>
            </w:r>
            <w:r>
              <w:rPr>
                <w:rFonts w:hint="eastAsia" w:ascii="宋体" w:hAnsi="宋体" w:eastAsia="宋体" w:cs="宋体"/>
                <w:color w:val="000000"/>
                <w:sz w:val="24"/>
                <w:szCs w:val="24"/>
              </w:rPr>
              <w:t>分，</w:t>
            </w:r>
            <w:r>
              <w:rPr>
                <w:rFonts w:hint="eastAsia" w:ascii="宋体" w:hAnsi="宋体" w:eastAsia="宋体" w:cs="宋体"/>
                <w:b/>
                <w:bCs/>
                <w:color w:val="000000"/>
                <w:sz w:val="24"/>
                <w:szCs w:val="24"/>
                <w:highlight w:val="none"/>
              </w:rPr>
              <w:t>最高得</w:t>
            </w:r>
            <w:r>
              <w:rPr>
                <w:rFonts w:hint="default" w:ascii="宋体" w:hAnsi="宋体" w:eastAsia="宋体" w:cs="宋体"/>
                <w:b/>
                <w:bCs/>
                <w:color w:val="000000"/>
                <w:sz w:val="24"/>
                <w:szCs w:val="24"/>
                <w:highlight w:val="none"/>
                <w:lang w:val="en-US"/>
              </w:rPr>
              <w:t>15</w:t>
            </w:r>
            <w:r>
              <w:rPr>
                <w:rFonts w:hint="eastAsia" w:ascii="宋体" w:hAnsi="宋体" w:eastAsia="宋体" w:cs="宋体"/>
                <w:b/>
                <w:bCs/>
                <w:color w:val="000000"/>
                <w:sz w:val="24"/>
                <w:szCs w:val="24"/>
                <w:highlight w:val="none"/>
              </w:rPr>
              <w:t>分</w:t>
            </w:r>
            <w:r>
              <w:rPr>
                <w:rFonts w:hint="eastAsia" w:ascii="宋体" w:hAnsi="宋体" w:eastAsia="宋体" w:cs="宋体"/>
                <w:b/>
                <w:bCs/>
                <w:color w:val="000000"/>
                <w:sz w:val="24"/>
                <w:szCs w:val="24"/>
                <w:highlight w:val="none"/>
                <w:lang w:eastAsia="zh-CN"/>
              </w:rPr>
              <w:t>。</w:t>
            </w:r>
          </w:p>
          <w:p w14:paraId="47BC72EB">
            <w:pPr>
              <w:keepNext w:val="0"/>
              <w:keepLines w:val="0"/>
              <w:pageBreakBefore w:val="0"/>
              <w:widowControl/>
              <w:numPr>
                <w:ilvl w:val="-1"/>
                <w:numId w:val="0"/>
              </w:numPr>
              <w:suppressLineNumbers w:val="0"/>
              <w:spacing w:line="440" w:lineRule="exact"/>
              <w:jc w:val="both"/>
              <w:rPr>
                <w:rFonts w:hint="eastAsia" w:ascii="宋体" w:hAnsi="宋体" w:eastAsia="宋体" w:cs="宋体"/>
                <w:b/>
                <w:color w:val="000000"/>
                <w:sz w:val="24"/>
                <w:szCs w:val="24"/>
              </w:rPr>
            </w:pPr>
            <w:r>
              <w:rPr>
                <w:rFonts w:hint="eastAsia" w:ascii="宋体" w:hAnsi="宋体" w:eastAsia="宋体" w:cs="宋体"/>
                <w:b/>
                <w:bCs/>
                <w:color w:val="000000"/>
                <w:sz w:val="24"/>
                <w:szCs w:val="24"/>
                <w:lang w:val="en-US" w:eastAsia="zh-CN" w:bidi="ar"/>
              </w:rPr>
              <w:t>（响应文件中提供合同证明材料并加盖供应商公章，证明材料须能反映项目信息，签订时间和签章清晰可见，未提供或提供信息不全均不得分。合同服务内容相同或类似，由磋商小组统一认定后给予得分）</w:t>
            </w:r>
          </w:p>
        </w:tc>
      </w:tr>
      <w:tr w14:paraId="4B7BC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7" w:type="pct"/>
            <w:noWrap w:val="0"/>
            <w:vAlign w:val="center"/>
          </w:tcPr>
          <w:p w14:paraId="72D33C6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服务能力</w:t>
            </w:r>
          </w:p>
          <w:p w14:paraId="31B4F1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（20分）</w:t>
            </w:r>
          </w:p>
        </w:tc>
        <w:tc>
          <w:tcPr>
            <w:tcW w:w="3952" w:type="pct"/>
            <w:noWrap w:val="0"/>
            <w:vAlign w:val="center"/>
          </w:tcPr>
          <w:p w14:paraId="71E4A12D">
            <w:pPr>
              <w:keepNext w:val="0"/>
              <w:keepLines w:val="0"/>
              <w:pageBreakBefore w:val="0"/>
              <w:widowControl/>
              <w:numPr>
                <w:ilvl w:val="0"/>
                <w:numId w:val="0"/>
              </w:numPr>
              <w:spacing w:line="480" w:lineRule="exact"/>
              <w:jc w:val="both"/>
              <w:rPr>
                <w:rFonts w:hint="eastAsia" w:ascii="宋体" w:hAnsi="宋体" w:eastAsia="宋体" w:cs="宋体"/>
                <w:b/>
                <w:bCs w:val="0"/>
                <w:color w:val="000000"/>
                <w:sz w:val="24"/>
                <w:szCs w:val="24"/>
              </w:rPr>
            </w:pPr>
            <w:r>
              <w:rPr>
                <w:rFonts w:hint="eastAsia" w:ascii="宋体" w:hAnsi="宋体" w:eastAsia="宋体" w:cs="宋体"/>
                <w:bCs/>
                <w:color w:val="000000"/>
                <w:sz w:val="24"/>
                <w:szCs w:val="24"/>
              </w:rPr>
              <w:t>1.</w:t>
            </w:r>
            <w:r>
              <w:rPr>
                <w:rFonts w:hint="eastAsia" w:ascii="宋体" w:hAnsi="宋体" w:eastAsia="宋体" w:cs="宋体"/>
                <w:color w:val="000000"/>
                <w:sz w:val="24"/>
                <w:szCs w:val="24"/>
                <w:lang w:val="en-US" w:eastAsia="zh-CN"/>
              </w:rPr>
              <w:t>供应商</w:t>
            </w:r>
            <w:r>
              <w:rPr>
                <w:rFonts w:hint="eastAsia" w:ascii="宋体" w:hAnsi="宋体" w:eastAsia="宋体" w:cs="宋体"/>
                <w:bCs/>
                <w:color w:val="000000"/>
                <w:sz w:val="24"/>
                <w:szCs w:val="24"/>
              </w:rPr>
              <w:t>具有质量管理体系认证证书的</w:t>
            </w:r>
            <w:r>
              <w:rPr>
                <w:rFonts w:hint="eastAsia" w:ascii="宋体" w:hAnsi="宋体" w:eastAsia="宋体" w:cs="宋体"/>
                <w:b/>
                <w:bCs w:val="0"/>
                <w:color w:val="000000"/>
                <w:sz w:val="24"/>
                <w:szCs w:val="24"/>
              </w:rPr>
              <w:t>得</w:t>
            </w:r>
            <w:r>
              <w:rPr>
                <w:rFonts w:hint="eastAsia" w:ascii="宋体" w:hAnsi="宋体" w:eastAsia="宋体" w:cs="宋体"/>
                <w:b/>
                <w:bCs w:val="0"/>
                <w:color w:val="000000"/>
                <w:sz w:val="24"/>
                <w:szCs w:val="24"/>
                <w:lang w:val="en-US" w:eastAsia="zh-CN"/>
              </w:rPr>
              <w:t>5</w:t>
            </w:r>
            <w:r>
              <w:rPr>
                <w:rFonts w:hint="eastAsia" w:ascii="宋体" w:hAnsi="宋体" w:eastAsia="宋体" w:cs="宋体"/>
                <w:b/>
                <w:bCs w:val="0"/>
                <w:color w:val="000000"/>
                <w:sz w:val="24"/>
                <w:szCs w:val="24"/>
              </w:rPr>
              <w:t>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2.</w:t>
            </w:r>
            <w:r>
              <w:rPr>
                <w:rFonts w:hint="eastAsia" w:ascii="宋体" w:hAnsi="宋体" w:eastAsia="宋体" w:cs="宋体"/>
                <w:color w:val="000000"/>
                <w:sz w:val="24"/>
                <w:szCs w:val="24"/>
                <w:lang w:val="en-US" w:eastAsia="zh-CN"/>
              </w:rPr>
              <w:t>供应商</w:t>
            </w:r>
            <w:r>
              <w:rPr>
                <w:rFonts w:hint="eastAsia" w:ascii="宋体" w:hAnsi="宋体" w:eastAsia="宋体" w:cs="宋体"/>
                <w:bCs/>
                <w:color w:val="000000"/>
                <w:sz w:val="24"/>
                <w:szCs w:val="24"/>
              </w:rPr>
              <w:t>具有</w:t>
            </w:r>
            <w:r>
              <w:rPr>
                <w:rFonts w:hint="eastAsia" w:ascii="宋体" w:hAnsi="宋体" w:eastAsia="宋体" w:cs="宋体"/>
                <w:sz w:val="24"/>
                <w:szCs w:val="24"/>
              </w:rPr>
              <w:t>信息安全管理体系认证</w:t>
            </w:r>
            <w:r>
              <w:rPr>
                <w:rFonts w:hint="eastAsia" w:ascii="宋体" w:hAnsi="宋体" w:eastAsia="宋体" w:cs="宋体"/>
                <w:bCs/>
                <w:color w:val="000000"/>
                <w:sz w:val="24"/>
                <w:szCs w:val="24"/>
              </w:rPr>
              <w:t>证书的</w:t>
            </w:r>
            <w:r>
              <w:rPr>
                <w:rFonts w:hint="eastAsia" w:ascii="宋体" w:hAnsi="宋体" w:eastAsia="宋体" w:cs="宋体"/>
                <w:b/>
                <w:bCs w:val="0"/>
                <w:color w:val="000000"/>
                <w:sz w:val="24"/>
                <w:szCs w:val="24"/>
              </w:rPr>
              <w:t>得</w:t>
            </w:r>
            <w:r>
              <w:rPr>
                <w:rFonts w:hint="eastAsia" w:ascii="宋体" w:hAnsi="宋体" w:eastAsia="宋体" w:cs="宋体"/>
                <w:b/>
                <w:bCs w:val="0"/>
                <w:color w:val="000000"/>
                <w:sz w:val="24"/>
                <w:szCs w:val="24"/>
                <w:lang w:val="en-US" w:eastAsia="zh-CN"/>
              </w:rPr>
              <w:t>5</w:t>
            </w:r>
            <w:r>
              <w:rPr>
                <w:rFonts w:hint="eastAsia" w:ascii="宋体" w:hAnsi="宋体" w:eastAsia="宋体" w:cs="宋体"/>
                <w:b/>
                <w:bCs w:val="0"/>
                <w:color w:val="000000"/>
                <w:sz w:val="24"/>
                <w:szCs w:val="24"/>
              </w:rPr>
              <w:t>分；</w:t>
            </w:r>
          </w:p>
          <w:p w14:paraId="10838E10">
            <w:pPr>
              <w:keepNext w:val="0"/>
              <w:keepLines w:val="0"/>
              <w:pageBreakBefore w:val="0"/>
              <w:widowControl/>
              <w:numPr>
                <w:ilvl w:val="0"/>
                <w:numId w:val="0"/>
              </w:numPr>
              <w:spacing w:after="0" w:line="480" w:lineRule="exact"/>
              <w:jc w:val="both"/>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3.</w:t>
            </w:r>
            <w:r>
              <w:rPr>
                <w:rFonts w:hint="eastAsia" w:ascii="宋体" w:hAnsi="宋体" w:eastAsia="宋体" w:cs="宋体"/>
                <w:color w:val="000000"/>
                <w:sz w:val="24"/>
                <w:szCs w:val="24"/>
                <w:lang w:val="en-US" w:eastAsia="zh-CN"/>
              </w:rPr>
              <w:t>供应商</w:t>
            </w:r>
            <w:r>
              <w:rPr>
                <w:rFonts w:hint="eastAsia" w:ascii="宋体" w:hAnsi="宋体" w:eastAsia="宋体" w:cs="宋体"/>
                <w:bCs/>
                <w:color w:val="000000"/>
                <w:sz w:val="24"/>
                <w:szCs w:val="24"/>
              </w:rPr>
              <w:t>具有信息技术服务管理体系认证证书的</w:t>
            </w:r>
            <w:r>
              <w:rPr>
                <w:rFonts w:hint="eastAsia" w:ascii="宋体" w:hAnsi="宋体" w:eastAsia="宋体" w:cs="宋体"/>
                <w:b/>
                <w:bCs w:val="0"/>
                <w:color w:val="000000"/>
                <w:sz w:val="24"/>
                <w:szCs w:val="24"/>
              </w:rPr>
              <w:t>得</w:t>
            </w:r>
            <w:r>
              <w:rPr>
                <w:rFonts w:hint="eastAsia" w:ascii="宋体" w:hAnsi="宋体" w:eastAsia="宋体" w:cs="宋体"/>
                <w:b/>
                <w:bCs w:val="0"/>
                <w:color w:val="000000"/>
                <w:sz w:val="24"/>
                <w:szCs w:val="24"/>
                <w:lang w:val="en-US" w:eastAsia="zh-CN"/>
              </w:rPr>
              <w:t>5</w:t>
            </w:r>
            <w:r>
              <w:rPr>
                <w:rFonts w:hint="eastAsia" w:ascii="宋体" w:hAnsi="宋体" w:eastAsia="宋体" w:cs="宋体"/>
                <w:b/>
                <w:bCs w:val="0"/>
                <w:color w:val="000000"/>
                <w:sz w:val="24"/>
                <w:szCs w:val="24"/>
              </w:rPr>
              <w:t>分；</w:t>
            </w:r>
            <w:r>
              <w:rPr>
                <w:rFonts w:hint="eastAsia" w:ascii="宋体" w:hAnsi="宋体" w:eastAsia="宋体" w:cs="宋体"/>
                <w:bCs/>
                <w:color w:val="000000"/>
                <w:sz w:val="24"/>
                <w:szCs w:val="24"/>
              </w:rPr>
              <w:br w:type="textWrapping" w:clear="all"/>
            </w:r>
            <w:r>
              <w:rPr>
                <w:rFonts w:hint="eastAsia" w:ascii="宋体" w:hAnsi="宋体" w:eastAsia="宋体" w:cs="宋体"/>
                <w:b/>
                <w:bCs w:val="0"/>
                <w:color w:val="000000"/>
                <w:sz w:val="24"/>
                <w:szCs w:val="24"/>
                <w:lang w:eastAsia="zh-CN"/>
              </w:rPr>
              <w:t>（</w:t>
            </w:r>
            <w:r>
              <w:rPr>
                <w:rFonts w:hint="eastAsia" w:ascii="宋体" w:hAnsi="宋体" w:eastAsia="宋体" w:cs="宋体"/>
                <w:b/>
                <w:bCs/>
                <w:color w:val="000000"/>
                <w:sz w:val="24"/>
                <w:szCs w:val="24"/>
              </w:rPr>
              <w:t>上述1-</w:t>
            </w: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项</w:t>
            </w:r>
            <w:r>
              <w:rPr>
                <w:rFonts w:hint="eastAsia" w:ascii="宋体" w:hAnsi="宋体" w:eastAsia="宋体" w:cs="宋体"/>
                <w:b/>
                <w:bCs/>
                <w:color w:val="000000"/>
                <w:sz w:val="24"/>
                <w:szCs w:val="24"/>
                <w:lang w:val="en-US" w:eastAsia="zh-CN"/>
              </w:rPr>
              <w:t>响应</w:t>
            </w:r>
            <w:r>
              <w:rPr>
                <w:rFonts w:hint="eastAsia" w:ascii="宋体" w:hAnsi="宋体" w:eastAsia="宋体" w:cs="宋体"/>
                <w:b/>
                <w:bCs/>
                <w:color w:val="000000"/>
                <w:sz w:val="24"/>
                <w:szCs w:val="24"/>
              </w:rPr>
              <w:t>文件中提供有效证书</w:t>
            </w:r>
            <w:r>
              <w:rPr>
                <w:rFonts w:hint="eastAsia" w:ascii="宋体" w:hAnsi="宋体" w:eastAsia="宋体" w:cs="宋体"/>
                <w:b/>
                <w:bCs/>
                <w:color w:val="000000"/>
                <w:sz w:val="24"/>
                <w:szCs w:val="24"/>
                <w:lang w:val="en-US" w:eastAsia="zh-CN"/>
              </w:rPr>
              <w:t>证明材料</w:t>
            </w:r>
            <w:r>
              <w:rPr>
                <w:rFonts w:hint="eastAsia" w:ascii="宋体" w:hAnsi="宋体" w:eastAsia="宋体" w:cs="宋体"/>
                <w:b/>
                <w:bCs/>
                <w:color w:val="000000"/>
                <w:sz w:val="24"/>
                <w:szCs w:val="24"/>
              </w:rPr>
              <w:t>并加盖</w:t>
            </w:r>
            <w:r>
              <w:rPr>
                <w:rFonts w:hint="eastAsia" w:ascii="宋体" w:hAnsi="宋体" w:eastAsia="宋体" w:cs="宋体"/>
                <w:b/>
                <w:bCs/>
                <w:color w:val="000000"/>
                <w:sz w:val="24"/>
                <w:szCs w:val="24"/>
                <w:lang w:val="en-US" w:eastAsia="zh-CN"/>
              </w:rPr>
              <w:t>供应商</w:t>
            </w:r>
            <w:r>
              <w:rPr>
                <w:rFonts w:hint="eastAsia" w:ascii="宋体" w:hAnsi="宋体" w:eastAsia="宋体" w:cs="宋体"/>
                <w:b/>
                <w:bCs/>
                <w:color w:val="000000"/>
                <w:sz w:val="24"/>
                <w:szCs w:val="24"/>
              </w:rPr>
              <w:t>公章，否则不得分</w:t>
            </w:r>
            <w:r>
              <w:rPr>
                <w:rFonts w:hint="eastAsia" w:ascii="宋体" w:hAnsi="宋体" w:eastAsia="宋体" w:cs="宋体"/>
                <w:b/>
                <w:bCs/>
                <w:color w:val="000000"/>
                <w:sz w:val="24"/>
                <w:szCs w:val="24"/>
                <w:lang w:eastAsia="zh-CN"/>
              </w:rPr>
              <w:t>）</w:t>
            </w:r>
          </w:p>
          <w:p w14:paraId="5922B52E">
            <w:pPr>
              <w:widowControl/>
              <w:numPr>
                <w:ilvl w:val="0"/>
                <w:numId w:val="0"/>
              </w:numPr>
              <w:spacing w:line="480" w:lineRule="exact"/>
              <w:jc w:val="both"/>
              <w:rPr>
                <w:rFonts w:hint="eastAsia"/>
              </w:rPr>
            </w:pPr>
            <w:r>
              <w:rPr>
                <w:rFonts w:hint="eastAsia" w:ascii="宋体" w:hAnsi="宋体" w:eastAsia="宋体" w:cs="宋体"/>
                <w:color w:val="000000"/>
                <w:sz w:val="24"/>
                <w:szCs w:val="24"/>
                <w:highlight w:val="none"/>
                <w:lang w:val="en-US" w:eastAsia="zh-CN"/>
              </w:rPr>
              <w:t>4.供应商具有</w:t>
            </w:r>
            <w:r>
              <w:rPr>
                <w:rFonts w:hint="eastAsia" w:ascii="宋体" w:hAnsi="宋体" w:eastAsia="宋体" w:cs="宋体"/>
                <w:color w:val="000000"/>
                <w:sz w:val="24"/>
                <w:szCs w:val="24"/>
                <w:highlight w:val="none"/>
                <w:lang w:eastAsia="zh-CN"/>
              </w:rPr>
              <w:t>医保</w:t>
            </w:r>
            <w:r>
              <w:rPr>
                <w:rFonts w:hint="eastAsia" w:ascii="宋体" w:hAnsi="宋体" w:eastAsia="宋体" w:cs="宋体"/>
                <w:color w:val="000000"/>
                <w:sz w:val="24"/>
                <w:szCs w:val="24"/>
                <w:highlight w:val="none"/>
                <w:lang w:val="en-US" w:eastAsia="zh-CN"/>
              </w:rPr>
              <w:t>或医疗</w:t>
            </w:r>
            <w:r>
              <w:rPr>
                <w:rFonts w:hint="eastAsia" w:ascii="宋体" w:hAnsi="宋体" w:eastAsia="宋体" w:cs="宋体"/>
                <w:color w:val="000000"/>
                <w:sz w:val="24"/>
                <w:szCs w:val="24"/>
                <w:highlight w:val="none"/>
                <w:lang w:eastAsia="zh-CN"/>
              </w:rPr>
              <w:t>行业人工智能应用获奖情况</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获得过</w:t>
            </w:r>
            <w:r>
              <w:rPr>
                <w:rFonts w:hint="eastAsia" w:ascii="宋体" w:hAnsi="宋体" w:eastAsia="宋体" w:cs="宋体"/>
                <w:color w:val="000000"/>
                <w:sz w:val="24"/>
                <w:szCs w:val="24"/>
                <w:highlight w:val="none"/>
                <w:lang w:eastAsia="zh-CN"/>
              </w:rPr>
              <w:t>国家级</w:t>
            </w:r>
            <w:r>
              <w:rPr>
                <w:rFonts w:hint="eastAsia" w:ascii="宋体" w:hAnsi="宋体" w:eastAsia="宋体" w:cs="宋体"/>
                <w:color w:val="000000"/>
                <w:sz w:val="24"/>
                <w:szCs w:val="24"/>
                <w:highlight w:val="none"/>
                <w:lang w:val="en-US" w:eastAsia="zh-CN"/>
              </w:rPr>
              <w:t>奖项的得5分，省级奖项的得3分，市级奖项的得1分，</w:t>
            </w:r>
            <w:r>
              <w:rPr>
                <w:rFonts w:hint="eastAsia" w:ascii="宋体" w:hAnsi="宋体" w:eastAsia="宋体" w:cs="宋体"/>
                <w:b/>
                <w:bCs/>
                <w:color w:val="000000"/>
                <w:sz w:val="24"/>
                <w:szCs w:val="24"/>
                <w:highlight w:val="none"/>
                <w:lang w:val="en-US" w:eastAsia="zh-CN"/>
              </w:rPr>
              <w:t>本项最高得5分。</w:t>
            </w:r>
            <w:r>
              <w:rPr>
                <w:rFonts w:hint="eastAsia" w:ascii="宋体" w:hAnsi="宋体" w:eastAsia="宋体" w:cs="宋体"/>
                <w:color w:val="000000"/>
                <w:sz w:val="24"/>
                <w:szCs w:val="24"/>
                <w:highlight w:val="none"/>
                <w:lang w:val="en-US" w:eastAsia="zh-CN"/>
              </w:rPr>
              <w:t>各层次奖项都有的只计算1次，按最高得分计算。</w:t>
            </w:r>
          </w:p>
          <w:p w14:paraId="074EF603">
            <w:pPr>
              <w:widowControl/>
              <w:numPr>
                <w:ilvl w:val="0"/>
                <w:numId w:val="0"/>
              </w:numPr>
              <w:spacing w:line="480" w:lineRule="exact"/>
              <w:jc w:val="both"/>
              <w:rPr>
                <w:rFonts w:hint="eastAsia" w:ascii="宋体" w:hAnsi="宋体" w:cs="宋体" w:eastAsiaTheme="minorEastAsia"/>
                <w:b/>
                <w:bCs/>
                <w:color w:val="000000"/>
                <w:sz w:val="24"/>
                <w:szCs w:val="24"/>
                <w:lang w:val="en-US" w:eastAsia="zh-CN" w:bidi="ar"/>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供应商在医保或医疗行业人工智能应用获奖或者供应商参与/申请等项目获奖均予以认可。响应文件中提供供应商或者项目在</w:t>
            </w:r>
            <w:r>
              <w:rPr>
                <w:rFonts w:hint="eastAsia" w:ascii="宋体" w:hAnsi="宋体" w:eastAsia="宋体" w:cs="宋体"/>
                <w:b/>
                <w:bCs/>
                <w:color w:val="000000"/>
                <w:sz w:val="24"/>
                <w:szCs w:val="24"/>
              </w:rPr>
              <w:t>医保或医疗行业人工智能应用</w:t>
            </w:r>
            <w:r>
              <w:rPr>
                <w:rFonts w:hint="eastAsia" w:ascii="宋体" w:hAnsi="宋体" w:eastAsia="宋体" w:cs="宋体"/>
                <w:b/>
                <w:bCs/>
                <w:color w:val="000000"/>
                <w:sz w:val="24"/>
                <w:szCs w:val="24"/>
                <w:lang w:eastAsia="zh-CN"/>
              </w:rPr>
              <w:t>方面的有效获奖证书或者</w:t>
            </w:r>
            <w:r>
              <w:rPr>
                <w:rFonts w:hint="eastAsia" w:ascii="宋体" w:hAnsi="宋体" w:eastAsia="宋体" w:cs="宋体"/>
                <w:b/>
                <w:bCs/>
                <w:color w:val="000000"/>
                <w:sz w:val="24"/>
                <w:szCs w:val="24"/>
                <w:lang w:val="en-US" w:eastAsia="zh-CN"/>
              </w:rPr>
              <w:t>获奖相关</w:t>
            </w:r>
            <w:r>
              <w:rPr>
                <w:rFonts w:hint="eastAsia" w:ascii="宋体" w:hAnsi="宋体" w:eastAsia="宋体" w:cs="宋体"/>
                <w:b/>
                <w:bCs/>
                <w:color w:val="000000"/>
                <w:sz w:val="24"/>
                <w:szCs w:val="24"/>
                <w:lang w:eastAsia="zh-CN"/>
              </w:rPr>
              <w:t>文件</w:t>
            </w:r>
            <w:r>
              <w:rPr>
                <w:rFonts w:hint="eastAsia" w:ascii="宋体" w:hAnsi="宋体" w:eastAsia="宋体" w:cs="宋体"/>
                <w:b/>
                <w:bCs/>
                <w:color w:val="000000"/>
                <w:sz w:val="24"/>
                <w:szCs w:val="24"/>
                <w:lang w:val="en-US" w:eastAsia="zh-CN"/>
              </w:rPr>
              <w:t>证明材料</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并</w:t>
            </w:r>
            <w:r>
              <w:rPr>
                <w:rFonts w:hint="eastAsia" w:ascii="宋体" w:hAnsi="宋体" w:eastAsia="宋体" w:cs="宋体"/>
                <w:b/>
                <w:bCs/>
                <w:color w:val="000000"/>
                <w:sz w:val="24"/>
                <w:szCs w:val="24"/>
              </w:rPr>
              <w:t>加盖</w:t>
            </w:r>
            <w:r>
              <w:rPr>
                <w:rFonts w:hint="eastAsia" w:ascii="宋体" w:hAnsi="宋体" w:eastAsia="宋体" w:cs="宋体"/>
                <w:b/>
                <w:bCs/>
                <w:color w:val="000000"/>
                <w:sz w:val="24"/>
                <w:szCs w:val="24"/>
                <w:lang w:val="en-US" w:eastAsia="zh-CN"/>
              </w:rPr>
              <w:t>供应商</w:t>
            </w:r>
            <w:r>
              <w:rPr>
                <w:rFonts w:hint="eastAsia" w:ascii="宋体" w:hAnsi="宋体" w:eastAsia="宋体" w:cs="宋体"/>
                <w:b/>
                <w:bCs/>
                <w:color w:val="000000"/>
                <w:sz w:val="24"/>
                <w:szCs w:val="24"/>
              </w:rPr>
              <w:t>公章，否则不得分</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项目获奖证明材料须体现供应商名称</w:t>
            </w:r>
            <w:r>
              <w:rPr>
                <w:rFonts w:hint="eastAsia" w:ascii="宋体" w:hAnsi="宋体" w:eastAsia="宋体" w:cs="宋体"/>
                <w:b/>
                <w:bCs/>
                <w:color w:val="000000"/>
                <w:sz w:val="24"/>
                <w:szCs w:val="24"/>
                <w:lang w:eastAsia="zh-CN"/>
              </w:rPr>
              <w:t>）</w:t>
            </w:r>
          </w:p>
        </w:tc>
      </w:tr>
      <w:tr w14:paraId="2D1CB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7" w:type="pct"/>
            <w:noWrap w:val="0"/>
            <w:vAlign w:val="center"/>
          </w:tcPr>
          <w:p w14:paraId="414A2A5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团队服务能力（</w:t>
            </w:r>
            <w:r>
              <w:rPr>
                <w:rFonts w:hint="default" w:ascii="宋体" w:hAnsi="宋体" w:eastAsia="宋体" w:cs="宋体"/>
                <w:sz w:val="24"/>
                <w:szCs w:val="24"/>
                <w:lang w:val="en-US" w:eastAsia="zh-CN"/>
              </w:rPr>
              <w:t>5</w:t>
            </w:r>
            <w:r>
              <w:rPr>
                <w:rFonts w:hint="eastAsia" w:ascii="宋体" w:hAnsi="宋体" w:eastAsia="宋体" w:cs="宋体"/>
                <w:sz w:val="24"/>
                <w:szCs w:val="24"/>
                <w:lang w:val="en-US" w:eastAsia="zh-CN"/>
              </w:rPr>
              <w:t>分）</w:t>
            </w:r>
          </w:p>
        </w:tc>
        <w:tc>
          <w:tcPr>
            <w:tcW w:w="3952" w:type="pct"/>
            <w:noWrap w:val="0"/>
            <w:vAlign w:val="center"/>
          </w:tcPr>
          <w:p w14:paraId="4EBFB937">
            <w:pPr>
              <w:keepNext w:val="0"/>
              <w:keepLines w:val="0"/>
              <w:pageBreakBefore w:val="0"/>
              <w:widowControl/>
              <w:spacing w:line="48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拟派</w:t>
            </w:r>
            <w:r>
              <w:rPr>
                <w:rFonts w:hint="eastAsia" w:ascii="宋体" w:hAnsi="宋体" w:eastAsia="宋体" w:cs="宋体"/>
                <w:color w:val="000000"/>
                <w:sz w:val="24"/>
                <w:szCs w:val="24"/>
              </w:rPr>
              <w:t>项目经理</w:t>
            </w:r>
            <w:r>
              <w:rPr>
                <w:rFonts w:hint="eastAsia" w:ascii="宋体" w:hAnsi="宋体" w:eastAsia="宋体" w:cs="宋体"/>
                <w:color w:val="000000"/>
                <w:sz w:val="24"/>
                <w:szCs w:val="24"/>
                <w:lang w:val="en-US" w:eastAsia="zh-CN"/>
              </w:rPr>
              <w:t>具备医保或医疗大模型项目经验</w:t>
            </w:r>
            <w:r>
              <w:rPr>
                <w:rFonts w:hint="eastAsia" w:ascii="宋体" w:hAnsi="宋体" w:eastAsia="宋体" w:cs="宋体"/>
                <w:b/>
                <w:bCs/>
                <w:color w:val="000000"/>
                <w:sz w:val="24"/>
                <w:szCs w:val="24"/>
              </w:rPr>
              <w:t>得</w:t>
            </w:r>
            <w:r>
              <w:rPr>
                <w:rFonts w:hint="default"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分</w:t>
            </w:r>
            <w:r>
              <w:rPr>
                <w:rFonts w:hint="eastAsia" w:ascii="宋体" w:hAnsi="宋体" w:eastAsia="宋体" w:cs="宋体"/>
                <w:b/>
                <w:bCs/>
                <w:color w:val="000000"/>
                <w:sz w:val="24"/>
                <w:szCs w:val="24"/>
                <w:lang w:eastAsia="zh-CN"/>
              </w:rPr>
              <w:t>。</w:t>
            </w:r>
          </w:p>
          <w:p w14:paraId="306E961B">
            <w:pPr>
              <w:keepNext w:val="0"/>
              <w:keepLines w:val="0"/>
              <w:pageBreakBefore w:val="0"/>
              <w:spacing w:line="480" w:lineRule="exact"/>
              <w:jc w:val="left"/>
              <w:rPr>
                <w:rFonts w:hint="default" w:ascii="宋体" w:hAnsi="宋体" w:eastAsia="宋体" w:cs="宋体"/>
                <w:color w:val="000000"/>
                <w:sz w:val="24"/>
                <w:szCs w:val="24"/>
                <w:lang w:val="en-US" w:eastAsia="zh-CN"/>
              </w:rPr>
            </w:pPr>
            <w:r>
              <w:rPr>
                <w:rFonts w:hint="eastAsia" w:ascii="宋体" w:hAnsi="宋体" w:eastAsia="宋体" w:cs="宋体"/>
                <w:b/>
                <w:bCs/>
                <w:iCs/>
                <w:sz w:val="24"/>
                <w:szCs w:val="24"/>
                <w:lang w:eastAsia="zh-CN"/>
              </w:rPr>
              <w:t>（</w:t>
            </w:r>
            <w:r>
              <w:rPr>
                <w:rFonts w:hint="eastAsia" w:ascii="宋体" w:hAnsi="宋体" w:eastAsia="宋体" w:cs="宋体"/>
                <w:b/>
                <w:bCs/>
                <w:sz w:val="24"/>
                <w:szCs w:val="24"/>
                <w:lang w:val="en-US" w:eastAsia="zh-CN" w:bidi="ar-SA"/>
              </w:rPr>
              <w:t>响应文件中提供如下证明材料：（1）自</w:t>
            </w:r>
            <w:r>
              <w:rPr>
                <w:rFonts w:hint="eastAsia" w:ascii="宋体" w:hAnsi="宋体" w:eastAsia="宋体" w:cs="宋体"/>
                <w:b/>
                <w:bCs/>
                <w:sz w:val="24"/>
                <w:szCs w:val="24"/>
                <w:lang w:bidi="ar"/>
              </w:rPr>
              <w:t>2026年1月</w:t>
            </w:r>
            <w:r>
              <w:rPr>
                <w:rFonts w:hint="eastAsia" w:ascii="宋体" w:hAnsi="宋体" w:eastAsia="宋体" w:cs="宋体"/>
                <w:b/>
                <w:bCs/>
                <w:sz w:val="24"/>
                <w:szCs w:val="24"/>
                <w:lang w:val="en-US" w:eastAsia="zh-CN" w:bidi="ar"/>
              </w:rPr>
              <w:t>1日</w:t>
            </w:r>
            <w:r>
              <w:rPr>
                <w:rFonts w:hint="eastAsia" w:ascii="宋体" w:hAnsi="宋体" w:eastAsia="宋体" w:cs="宋体"/>
                <w:b/>
                <w:bCs/>
                <w:sz w:val="24"/>
                <w:szCs w:val="24"/>
                <w:lang w:bidi="ar"/>
              </w:rPr>
              <w:t>（含）</w:t>
            </w:r>
            <w:r>
              <w:rPr>
                <w:rFonts w:hint="eastAsia" w:ascii="宋体" w:hAnsi="宋体" w:eastAsia="宋体" w:cs="宋体"/>
                <w:b/>
                <w:bCs/>
                <w:sz w:val="24"/>
                <w:szCs w:val="24"/>
                <w:lang w:val="en-US" w:eastAsia="zh-CN" w:bidi="ar"/>
              </w:rPr>
              <w:t>以来</w:t>
            </w:r>
            <w:r>
              <w:rPr>
                <w:rFonts w:hint="eastAsia" w:ascii="宋体" w:hAnsi="宋体" w:eastAsia="宋体" w:cs="宋体"/>
                <w:b/>
                <w:bCs/>
                <w:sz w:val="24"/>
                <w:szCs w:val="24"/>
                <w:lang w:bidi="ar"/>
              </w:rPr>
              <w:t>任意1</w:t>
            </w:r>
            <w:r>
              <w:rPr>
                <w:rFonts w:hint="eastAsia" w:ascii="宋体" w:hAnsi="宋体" w:cs="宋体"/>
                <w:b/>
                <w:bCs/>
                <w:sz w:val="24"/>
                <w:szCs w:val="24"/>
                <w:lang w:val="en-US" w:eastAsia="zh-CN" w:bidi="ar"/>
              </w:rPr>
              <w:t>个</w:t>
            </w:r>
            <w:r>
              <w:rPr>
                <w:rFonts w:hint="eastAsia" w:ascii="宋体" w:hAnsi="宋体" w:eastAsia="宋体" w:cs="宋体"/>
                <w:b/>
                <w:bCs/>
                <w:sz w:val="24"/>
                <w:szCs w:val="24"/>
                <w:lang w:bidi="ar"/>
              </w:rPr>
              <w:t>月由</w:t>
            </w:r>
            <w:r>
              <w:rPr>
                <w:rFonts w:hint="eastAsia" w:ascii="宋体" w:hAnsi="宋体" w:eastAsia="宋体" w:cs="宋体"/>
                <w:b/>
                <w:bCs/>
                <w:sz w:val="24"/>
                <w:szCs w:val="24"/>
                <w:lang w:val="en-US" w:eastAsia="zh-CN" w:bidi="ar"/>
              </w:rPr>
              <w:t>供应商</w:t>
            </w:r>
            <w:r>
              <w:rPr>
                <w:rFonts w:hint="eastAsia" w:ascii="宋体" w:hAnsi="宋体" w:eastAsia="宋体" w:cs="宋体"/>
                <w:b/>
                <w:bCs/>
                <w:sz w:val="24"/>
                <w:szCs w:val="24"/>
                <w:lang w:bidi="ar"/>
              </w:rPr>
              <w:t>为其缴纳社保证明材料</w:t>
            </w:r>
            <w:r>
              <w:rPr>
                <w:rFonts w:hint="eastAsia" w:ascii="宋体" w:hAnsi="宋体" w:eastAsia="宋体" w:cs="宋体"/>
                <w:b/>
                <w:bCs/>
                <w:sz w:val="24"/>
                <w:szCs w:val="24"/>
                <w:lang w:eastAsia="zh-CN" w:bidi="ar"/>
              </w:rPr>
              <w:t>；（</w:t>
            </w:r>
            <w:r>
              <w:rPr>
                <w:rFonts w:hint="eastAsia" w:ascii="宋体" w:hAnsi="宋体" w:eastAsia="宋体" w:cs="宋体"/>
                <w:b/>
                <w:bCs/>
                <w:sz w:val="24"/>
                <w:szCs w:val="24"/>
                <w:lang w:val="en-US" w:eastAsia="zh-CN" w:bidi="ar"/>
              </w:rPr>
              <w:t>2）</w:t>
            </w:r>
            <w:r>
              <w:rPr>
                <w:rFonts w:hint="eastAsia" w:ascii="宋体" w:hAnsi="宋体" w:eastAsia="宋体" w:cs="宋体"/>
                <w:b/>
                <w:bCs/>
                <w:iCs/>
                <w:sz w:val="24"/>
                <w:szCs w:val="24"/>
              </w:rPr>
              <w:t>合同（合同中</w:t>
            </w:r>
            <w:r>
              <w:rPr>
                <w:rFonts w:hint="eastAsia" w:ascii="宋体" w:hAnsi="宋体" w:eastAsia="宋体" w:cs="宋体"/>
                <w:b/>
                <w:bCs/>
                <w:iCs/>
                <w:sz w:val="24"/>
                <w:szCs w:val="24"/>
                <w:lang w:val="en-US" w:eastAsia="zh-CN"/>
              </w:rPr>
              <w:t>至少</w:t>
            </w:r>
            <w:r>
              <w:rPr>
                <w:rFonts w:hint="eastAsia" w:ascii="宋体" w:hAnsi="宋体" w:eastAsia="宋体" w:cs="宋体"/>
                <w:b/>
                <w:bCs/>
                <w:iCs/>
                <w:sz w:val="24"/>
                <w:szCs w:val="24"/>
              </w:rPr>
              <w:t>能够反应项目经理姓名</w:t>
            </w:r>
            <w:r>
              <w:rPr>
                <w:rFonts w:hint="eastAsia" w:ascii="宋体" w:hAnsi="宋体" w:eastAsia="宋体" w:cs="宋体"/>
                <w:b/>
                <w:bCs/>
                <w:iCs/>
                <w:sz w:val="24"/>
                <w:szCs w:val="24"/>
                <w:lang w:eastAsia="zh-CN"/>
              </w:rPr>
              <w:t>、</w:t>
            </w:r>
            <w:r>
              <w:rPr>
                <w:rFonts w:hint="eastAsia" w:ascii="宋体" w:hAnsi="宋体" w:eastAsia="宋体" w:cs="宋体"/>
                <w:b/>
                <w:bCs/>
                <w:iCs/>
                <w:sz w:val="24"/>
                <w:szCs w:val="24"/>
              </w:rPr>
              <w:t>具备医保或医疗大模型项目经验</w:t>
            </w:r>
            <w:r>
              <w:rPr>
                <w:rFonts w:hint="eastAsia" w:ascii="宋体" w:hAnsi="宋体" w:eastAsia="宋体" w:cs="宋体"/>
                <w:b/>
                <w:bCs/>
                <w:iCs/>
                <w:sz w:val="24"/>
                <w:szCs w:val="24"/>
                <w:lang w:eastAsia="zh-CN"/>
              </w:rPr>
              <w:t>的</w:t>
            </w:r>
            <w:r>
              <w:rPr>
                <w:rFonts w:hint="eastAsia" w:ascii="宋体" w:hAnsi="宋体" w:eastAsia="宋体" w:cs="宋体"/>
                <w:b/>
                <w:bCs/>
                <w:iCs/>
                <w:sz w:val="24"/>
                <w:szCs w:val="24"/>
                <w:lang w:val="en-US" w:eastAsia="zh-CN"/>
              </w:rPr>
              <w:t>相关</w:t>
            </w:r>
            <w:r>
              <w:rPr>
                <w:rFonts w:hint="eastAsia" w:ascii="宋体" w:hAnsi="宋体" w:eastAsia="宋体" w:cs="宋体"/>
                <w:b/>
                <w:bCs/>
                <w:iCs/>
                <w:sz w:val="24"/>
                <w:szCs w:val="24"/>
              </w:rPr>
              <w:t>内容）</w:t>
            </w:r>
            <w:r>
              <w:rPr>
                <w:rFonts w:hint="eastAsia" w:ascii="宋体" w:hAnsi="宋体" w:eastAsia="宋体" w:cs="宋体"/>
                <w:b/>
                <w:bCs/>
                <w:iCs/>
                <w:sz w:val="24"/>
                <w:szCs w:val="24"/>
                <w:lang w:eastAsia="zh-CN"/>
              </w:rPr>
              <w:t>。</w:t>
            </w:r>
            <w:r>
              <w:rPr>
                <w:rFonts w:hint="eastAsia" w:ascii="宋体" w:hAnsi="宋体" w:eastAsia="宋体" w:cs="宋体"/>
                <w:b/>
                <w:bCs/>
                <w:iCs/>
                <w:sz w:val="24"/>
                <w:szCs w:val="24"/>
              </w:rPr>
              <w:t>如合同中无法体现项目经理姓名，还需同时提供供应商承诺的项目经理工作经验证明材料，证明材料至少须体现服务的项目名称、项目经理姓名、岗位职责等信息</w:t>
            </w:r>
            <w:r>
              <w:rPr>
                <w:rFonts w:hint="eastAsia" w:ascii="宋体" w:hAnsi="宋体" w:eastAsia="宋体" w:cs="宋体"/>
                <w:b/>
                <w:bCs/>
                <w:iCs/>
                <w:sz w:val="24"/>
                <w:szCs w:val="24"/>
                <w:lang w:eastAsia="zh-CN"/>
              </w:rPr>
              <w:t>。</w:t>
            </w:r>
            <w:r>
              <w:rPr>
                <w:rFonts w:hint="eastAsia" w:ascii="宋体" w:hAnsi="宋体" w:eastAsia="宋体" w:cs="宋体"/>
                <w:b/>
                <w:bCs/>
                <w:iCs/>
                <w:sz w:val="24"/>
                <w:szCs w:val="24"/>
                <w:lang w:val="en-US" w:eastAsia="zh-CN"/>
              </w:rPr>
              <w:t>上述证明材料加盖供应商公章，缺项或未提供均不得分。</w:t>
            </w:r>
            <w:r>
              <w:rPr>
                <w:rFonts w:hint="eastAsia" w:ascii="宋体" w:hAnsi="宋体" w:eastAsia="宋体" w:cs="宋体"/>
                <w:b/>
                <w:bCs/>
                <w:iCs/>
                <w:sz w:val="24"/>
                <w:szCs w:val="24"/>
              </w:rPr>
              <w:t>请供应商如实填写，后续采购人将有权核实</w:t>
            </w:r>
            <w:r>
              <w:rPr>
                <w:rFonts w:hint="eastAsia" w:ascii="宋体" w:hAnsi="宋体" w:eastAsia="宋体" w:cs="宋体"/>
                <w:b/>
                <w:bCs/>
                <w:iCs/>
                <w:sz w:val="24"/>
                <w:szCs w:val="24"/>
                <w:lang w:val="en-US" w:eastAsia="zh-CN"/>
              </w:rPr>
              <w:t>）</w:t>
            </w:r>
          </w:p>
          <w:p w14:paraId="2BDD3D2D">
            <w:pPr>
              <w:keepNext w:val="0"/>
              <w:keepLines w:val="0"/>
              <w:pageBreakBefore w:val="0"/>
              <w:widowControl/>
              <w:spacing w:line="480" w:lineRule="exact"/>
              <w:jc w:val="left"/>
              <w:rPr>
                <w:rFonts w:hint="eastAsia" w:ascii="宋体" w:hAnsi="宋体" w:eastAsia="宋体" w:cs="宋体"/>
                <w:b/>
                <w:bCs/>
                <w:color w:val="000000"/>
                <w:sz w:val="24"/>
                <w:szCs w:val="24"/>
                <w:highlight w:val="red"/>
                <w:lang w:eastAsia="zh-CN"/>
              </w:rPr>
            </w:pPr>
            <w:r>
              <w:rPr>
                <w:rFonts w:hint="eastAsia" w:ascii="宋体" w:hAnsi="宋体" w:eastAsia="宋体" w:cs="宋体"/>
                <w:color w:val="000000"/>
                <w:sz w:val="24"/>
                <w:szCs w:val="24"/>
              </w:rPr>
              <w:t>2.</w:t>
            </w:r>
            <w:r>
              <w:rPr>
                <w:rFonts w:ascii="宋体" w:hAnsi="宋体" w:eastAsia="宋体" w:cs="宋体"/>
                <w:color w:val="000000"/>
                <w:sz w:val="24"/>
              </w:rPr>
              <w:t>拟派团队成员（不低于4人，不包含项目经理）须为供应商单位正式员工，且团队成员中具有计算机技术与软件专业技术资格（软考）证书或计算机类职称证书的</w:t>
            </w:r>
            <w:r>
              <w:rPr>
                <w:rFonts w:ascii="宋体" w:hAnsi="宋体" w:eastAsia="宋体" w:cs="宋体"/>
                <w:b/>
                <w:color w:val="000000"/>
                <w:sz w:val="24"/>
              </w:rPr>
              <w:t>得3分。</w:t>
            </w:r>
          </w:p>
          <w:p w14:paraId="0E2BD69C">
            <w:pPr>
              <w:pStyle w:val="192"/>
              <w:keepNext w:val="0"/>
              <w:keepLines w:val="0"/>
              <w:pageBreakBefore w:val="0"/>
              <w:widowControl/>
              <w:suppressLineNumbers w:val="0"/>
              <w:spacing w:before="0" w:beforeAutospacing="0" w:after="0" w:afterAutospacing="0" w:line="480" w:lineRule="exact"/>
              <w:ind w:left="0" w:right="0"/>
              <w:jc w:val="both"/>
            </w:pPr>
            <w:r>
              <w:rPr>
                <w:rFonts w:hint="eastAsia" w:ascii="宋体" w:hAnsi="宋体" w:eastAsia="宋体" w:cs="宋体"/>
                <w:b/>
                <w:bCs/>
                <w:i w:val="0"/>
                <w:iCs w:val="0"/>
                <w:color w:val="000000"/>
                <w:spacing w:val="0"/>
                <w:sz w:val="24"/>
                <w:szCs w:val="24"/>
                <w:vertAlign w:val="baseline"/>
                <w:lang w:eastAsia="zh-CN"/>
              </w:rPr>
              <w:t>（</w:t>
            </w:r>
            <w:r>
              <w:rPr>
                <w:rFonts w:hint="eastAsia" w:ascii="宋体" w:hAnsi="宋体" w:eastAsia="宋体" w:cs="宋体"/>
                <w:b/>
                <w:bCs/>
                <w:i w:val="0"/>
                <w:iCs w:val="0"/>
                <w:color w:val="000000"/>
                <w:spacing w:val="0"/>
                <w:sz w:val="24"/>
                <w:szCs w:val="24"/>
                <w:vertAlign w:val="baseline"/>
              </w:rPr>
              <w:t>投标文件中</w:t>
            </w:r>
            <w:r>
              <w:rPr>
                <w:rFonts w:hint="eastAsia" w:ascii="宋体" w:hAnsi="宋体" w:eastAsia="宋体" w:cs="宋体"/>
                <w:b/>
                <w:bCs/>
                <w:i w:val="0"/>
                <w:iCs w:val="0"/>
                <w:color w:val="000000"/>
                <w:spacing w:val="0"/>
                <w:sz w:val="24"/>
                <w:szCs w:val="24"/>
                <w:vertAlign w:val="baseline"/>
                <w:lang w:val="en-US" w:eastAsia="zh-CN"/>
              </w:rPr>
              <w:t>同时</w:t>
            </w:r>
            <w:r>
              <w:rPr>
                <w:rFonts w:hint="eastAsia" w:ascii="宋体" w:hAnsi="宋体" w:eastAsia="宋体" w:cs="宋体"/>
                <w:b/>
                <w:bCs/>
                <w:i w:val="0"/>
                <w:iCs w:val="0"/>
                <w:color w:val="000000"/>
                <w:spacing w:val="0"/>
                <w:sz w:val="24"/>
                <w:szCs w:val="24"/>
                <w:vertAlign w:val="baseline"/>
              </w:rPr>
              <w:t>提供</w:t>
            </w:r>
            <w:r>
              <w:rPr>
                <w:rFonts w:hint="eastAsia" w:ascii="宋体" w:hAnsi="宋体" w:eastAsia="宋体" w:cs="宋体"/>
                <w:b/>
                <w:bCs/>
                <w:i w:val="0"/>
                <w:iCs w:val="0"/>
                <w:color w:val="000000"/>
                <w:spacing w:val="0"/>
                <w:sz w:val="24"/>
                <w:szCs w:val="24"/>
                <w:vertAlign w:val="baseline"/>
                <w:lang w:val="en-US" w:eastAsia="zh-CN"/>
              </w:rPr>
              <w:t>如下证明材料：</w:t>
            </w:r>
            <w:r>
              <w:rPr>
                <w:rFonts w:hint="eastAsia" w:ascii="宋体" w:hAnsi="宋体" w:eastAsia="宋体" w:cs="宋体"/>
                <w:b/>
                <w:bCs/>
                <w:i w:val="0"/>
                <w:iCs w:val="0"/>
                <w:color w:val="000000"/>
                <w:spacing w:val="0"/>
                <w:sz w:val="24"/>
                <w:szCs w:val="24"/>
                <w:vertAlign w:val="baseline"/>
                <w:lang w:eastAsia="zh-CN"/>
              </w:rPr>
              <w:t>（</w:t>
            </w:r>
            <w:r>
              <w:rPr>
                <w:rFonts w:hint="eastAsia" w:ascii="宋体" w:hAnsi="宋体" w:eastAsia="宋体" w:cs="宋体"/>
                <w:b/>
                <w:bCs/>
                <w:i w:val="0"/>
                <w:iCs w:val="0"/>
                <w:color w:val="000000"/>
                <w:spacing w:val="0"/>
                <w:sz w:val="24"/>
                <w:szCs w:val="24"/>
                <w:vertAlign w:val="baseline"/>
                <w:lang w:val="en-US" w:eastAsia="zh-CN"/>
              </w:rPr>
              <w:t>1</w:t>
            </w:r>
            <w:r>
              <w:rPr>
                <w:rFonts w:hint="eastAsia" w:ascii="宋体" w:hAnsi="宋体" w:eastAsia="宋体" w:cs="宋体"/>
                <w:b/>
                <w:bCs/>
                <w:i w:val="0"/>
                <w:iCs w:val="0"/>
                <w:color w:val="000000"/>
                <w:spacing w:val="0"/>
                <w:sz w:val="24"/>
                <w:szCs w:val="24"/>
                <w:vertAlign w:val="baseline"/>
                <w:lang w:eastAsia="zh-CN"/>
              </w:rPr>
              <w:t>）</w:t>
            </w:r>
            <w:r>
              <w:rPr>
                <w:rFonts w:hint="eastAsia" w:ascii="宋体" w:hAnsi="宋体" w:eastAsia="宋体" w:cs="宋体"/>
                <w:b/>
                <w:bCs/>
                <w:i w:val="0"/>
                <w:iCs w:val="0"/>
                <w:color w:val="000000"/>
                <w:spacing w:val="0"/>
                <w:sz w:val="24"/>
                <w:szCs w:val="24"/>
                <w:vertAlign w:val="baseline"/>
                <w:lang w:val="en-US" w:eastAsia="zh-CN"/>
              </w:rPr>
              <w:t>不低于4人的</w:t>
            </w:r>
            <w:r>
              <w:rPr>
                <w:rFonts w:hint="eastAsia" w:ascii="宋体" w:hAnsi="宋体" w:eastAsia="宋体" w:cs="宋体"/>
                <w:b/>
                <w:bCs/>
                <w:i w:val="0"/>
                <w:iCs w:val="0"/>
                <w:color w:val="000000"/>
                <w:spacing w:val="0"/>
                <w:sz w:val="24"/>
                <w:szCs w:val="24"/>
                <w:vertAlign w:val="baseline"/>
                <w:lang w:eastAsia="zh-CN"/>
              </w:rPr>
              <w:t>团队成员一览表及</w:t>
            </w:r>
            <w:r>
              <w:rPr>
                <w:rFonts w:hint="eastAsia" w:ascii="宋体" w:hAnsi="宋体" w:eastAsia="宋体" w:cs="宋体"/>
                <w:b/>
                <w:bCs/>
                <w:i w:val="0"/>
                <w:iCs w:val="0"/>
                <w:color w:val="000000"/>
                <w:spacing w:val="0"/>
                <w:sz w:val="24"/>
                <w:szCs w:val="24"/>
                <w:vertAlign w:val="baseline"/>
              </w:rPr>
              <w:t>202</w:t>
            </w:r>
            <w:r>
              <w:rPr>
                <w:rFonts w:hint="eastAsia" w:ascii="宋体" w:hAnsi="宋体" w:eastAsia="宋体" w:cs="宋体"/>
                <w:b/>
                <w:bCs/>
                <w:i w:val="0"/>
                <w:iCs w:val="0"/>
                <w:color w:val="000000"/>
                <w:spacing w:val="0"/>
                <w:sz w:val="24"/>
                <w:szCs w:val="24"/>
                <w:vertAlign w:val="baseline"/>
                <w:lang w:val="en-US" w:eastAsia="zh-CN"/>
              </w:rPr>
              <w:t>6</w:t>
            </w:r>
            <w:r>
              <w:rPr>
                <w:rFonts w:hint="eastAsia" w:ascii="宋体" w:hAnsi="宋体" w:eastAsia="宋体" w:cs="宋体"/>
                <w:b/>
                <w:bCs/>
                <w:i w:val="0"/>
                <w:iCs w:val="0"/>
                <w:color w:val="000000"/>
                <w:spacing w:val="0"/>
                <w:sz w:val="24"/>
                <w:szCs w:val="24"/>
                <w:vertAlign w:val="baseline"/>
              </w:rPr>
              <w:t>年</w:t>
            </w:r>
            <w:r>
              <w:rPr>
                <w:rFonts w:hint="eastAsia" w:ascii="宋体" w:hAnsi="宋体" w:cs="宋体"/>
                <w:b/>
                <w:bCs/>
                <w:i w:val="0"/>
                <w:iCs w:val="0"/>
                <w:color w:val="000000"/>
                <w:spacing w:val="0"/>
                <w:sz w:val="24"/>
                <w:szCs w:val="24"/>
                <w:vertAlign w:val="baseline"/>
                <w:lang w:val="en-US" w:eastAsia="zh-CN"/>
              </w:rPr>
              <w:t>1</w:t>
            </w:r>
            <w:r>
              <w:rPr>
                <w:rFonts w:hint="eastAsia" w:ascii="宋体" w:hAnsi="宋体" w:eastAsia="宋体" w:cs="宋体"/>
                <w:b/>
                <w:bCs/>
                <w:i w:val="0"/>
                <w:iCs w:val="0"/>
                <w:color w:val="000000"/>
                <w:spacing w:val="0"/>
                <w:sz w:val="24"/>
                <w:szCs w:val="24"/>
                <w:vertAlign w:val="baseline"/>
              </w:rPr>
              <w:t>月1日以来任意1个月由</w:t>
            </w:r>
            <w:r>
              <w:rPr>
                <w:rFonts w:hint="eastAsia" w:ascii="宋体" w:hAnsi="宋体" w:eastAsia="宋体" w:cs="宋体"/>
                <w:b/>
                <w:bCs/>
                <w:i w:val="0"/>
                <w:iCs w:val="0"/>
                <w:color w:val="000000"/>
                <w:spacing w:val="0"/>
                <w:sz w:val="24"/>
                <w:szCs w:val="24"/>
                <w:vertAlign w:val="baseline"/>
                <w:lang w:val="en-US" w:eastAsia="zh-CN"/>
              </w:rPr>
              <w:t>供应商</w:t>
            </w:r>
            <w:r>
              <w:rPr>
                <w:rFonts w:hint="eastAsia" w:ascii="宋体" w:hAnsi="宋体" w:eastAsia="宋体" w:cs="宋体"/>
                <w:b/>
                <w:bCs/>
                <w:i w:val="0"/>
                <w:iCs w:val="0"/>
                <w:color w:val="000000"/>
                <w:spacing w:val="0"/>
                <w:sz w:val="24"/>
                <w:szCs w:val="24"/>
                <w:vertAlign w:val="baseline"/>
              </w:rPr>
              <w:t>为</w:t>
            </w:r>
            <w:r>
              <w:rPr>
                <w:rFonts w:hint="eastAsia" w:ascii="宋体" w:hAnsi="宋体" w:eastAsia="宋体" w:cs="宋体"/>
                <w:b/>
                <w:bCs/>
                <w:i w:val="0"/>
                <w:iCs w:val="0"/>
                <w:color w:val="000000"/>
                <w:spacing w:val="0"/>
                <w:sz w:val="24"/>
                <w:szCs w:val="24"/>
                <w:vertAlign w:val="baseline"/>
                <w:lang w:eastAsia="zh-CN"/>
              </w:rPr>
              <w:t>所有团队成员</w:t>
            </w:r>
            <w:r>
              <w:rPr>
                <w:rFonts w:hint="eastAsia" w:ascii="宋体" w:hAnsi="宋体" w:eastAsia="宋体" w:cs="宋体"/>
                <w:b/>
                <w:bCs/>
                <w:i w:val="0"/>
                <w:iCs w:val="0"/>
                <w:color w:val="000000"/>
                <w:spacing w:val="0"/>
                <w:sz w:val="24"/>
                <w:szCs w:val="24"/>
                <w:vertAlign w:val="baseline"/>
              </w:rPr>
              <w:t>缴纳的社保证明材料</w:t>
            </w:r>
            <w:r>
              <w:rPr>
                <w:rFonts w:hint="eastAsia" w:ascii="宋体" w:hAnsi="宋体" w:eastAsia="宋体" w:cs="宋体"/>
                <w:b/>
                <w:bCs/>
                <w:i w:val="0"/>
                <w:iCs w:val="0"/>
                <w:color w:val="000000"/>
                <w:spacing w:val="0"/>
                <w:sz w:val="24"/>
                <w:szCs w:val="24"/>
                <w:vertAlign w:val="baseline"/>
                <w:lang w:eastAsia="zh-CN"/>
              </w:rPr>
              <w:t>；（</w:t>
            </w:r>
            <w:r>
              <w:rPr>
                <w:rFonts w:hint="eastAsia" w:ascii="宋体" w:hAnsi="宋体" w:eastAsia="宋体" w:cs="宋体"/>
                <w:b/>
                <w:bCs/>
                <w:i w:val="0"/>
                <w:iCs w:val="0"/>
                <w:color w:val="000000"/>
                <w:spacing w:val="0"/>
                <w:sz w:val="24"/>
                <w:szCs w:val="24"/>
                <w:vertAlign w:val="baseline"/>
                <w:lang w:val="en-US" w:eastAsia="zh-CN"/>
              </w:rPr>
              <w:t>2</w:t>
            </w:r>
            <w:r>
              <w:rPr>
                <w:rFonts w:hint="eastAsia" w:ascii="宋体" w:hAnsi="宋体" w:eastAsia="宋体" w:cs="宋体"/>
                <w:b/>
                <w:bCs/>
                <w:i w:val="0"/>
                <w:iCs w:val="0"/>
                <w:color w:val="000000"/>
                <w:spacing w:val="0"/>
                <w:sz w:val="24"/>
                <w:szCs w:val="24"/>
                <w:vertAlign w:val="baseline"/>
                <w:lang w:eastAsia="zh-CN"/>
              </w:rPr>
              <w:t>）</w:t>
            </w:r>
            <w:r>
              <w:rPr>
                <w:rFonts w:hint="eastAsia" w:ascii="宋体" w:hAnsi="宋体" w:eastAsia="宋体" w:cs="宋体"/>
                <w:b/>
                <w:bCs/>
                <w:i w:val="0"/>
                <w:iCs w:val="0"/>
                <w:color w:val="000000"/>
                <w:spacing w:val="0"/>
                <w:sz w:val="24"/>
                <w:szCs w:val="24"/>
                <w:vertAlign w:val="baseline"/>
                <w:lang w:val="en-US" w:eastAsia="zh-CN"/>
              </w:rPr>
              <w:t>有效证书扫描件，上述证明材料</w:t>
            </w:r>
            <w:r>
              <w:rPr>
                <w:rFonts w:hint="eastAsia" w:ascii="宋体" w:hAnsi="宋体" w:eastAsia="宋体" w:cs="宋体"/>
                <w:b/>
                <w:bCs/>
                <w:i w:val="0"/>
                <w:iCs w:val="0"/>
                <w:color w:val="000000"/>
                <w:spacing w:val="0"/>
                <w:sz w:val="24"/>
                <w:szCs w:val="24"/>
                <w:vertAlign w:val="baseline"/>
              </w:rPr>
              <w:t>加盖</w:t>
            </w:r>
            <w:r>
              <w:rPr>
                <w:rFonts w:hint="eastAsia" w:ascii="宋体" w:hAnsi="宋体" w:eastAsia="宋体" w:cs="宋体"/>
                <w:b/>
                <w:bCs/>
                <w:i w:val="0"/>
                <w:iCs w:val="0"/>
                <w:color w:val="000000"/>
                <w:spacing w:val="0"/>
                <w:sz w:val="24"/>
                <w:szCs w:val="24"/>
                <w:vertAlign w:val="baseline"/>
                <w:lang w:val="en-US" w:eastAsia="zh-CN"/>
              </w:rPr>
              <w:t>供应商</w:t>
            </w:r>
            <w:r>
              <w:rPr>
                <w:rFonts w:hint="eastAsia" w:ascii="宋体" w:hAnsi="宋体" w:eastAsia="宋体" w:cs="宋体"/>
                <w:b/>
                <w:bCs/>
                <w:i w:val="0"/>
                <w:iCs w:val="0"/>
                <w:color w:val="000000"/>
                <w:spacing w:val="0"/>
                <w:sz w:val="24"/>
                <w:szCs w:val="24"/>
                <w:vertAlign w:val="baseline"/>
              </w:rPr>
              <w:t>公章，否则不得分</w:t>
            </w:r>
            <w:r>
              <w:rPr>
                <w:rFonts w:hint="eastAsia" w:ascii="宋体" w:hAnsi="宋体" w:eastAsia="宋体" w:cs="宋体"/>
                <w:b/>
                <w:bCs/>
                <w:i w:val="0"/>
                <w:iCs w:val="0"/>
                <w:color w:val="000000"/>
                <w:spacing w:val="0"/>
                <w:sz w:val="24"/>
                <w:szCs w:val="24"/>
                <w:vertAlign w:val="baseline"/>
                <w:lang w:eastAsia="zh-CN"/>
              </w:rPr>
              <w:t>）</w:t>
            </w:r>
          </w:p>
        </w:tc>
      </w:tr>
    </w:tbl>
    <w:p w14:paraId="7138360D">
      <w:pPr>
        <w:spacing w:line="500" w:lineRule="exact"/>
        <w:ind w:firstLine="482"/>
        <w:jc w:val="left"/>
        <w:rPr>
          <w:rFonts w:asciiTheme="minorEastAsia" w:hAnsiTheme="minorEastAsia"/>
          <w:b/>
          <w:sz w:val="24"/>
          <w:szCs w:val="24"/>
        </w:rPr>
      </w:pPr>
      <w:r>
        <w:rPr>
          <w:rFonts w:hint="eastAsia" w:asciiTheme="minorEastAsia" w:hAnsiTheme="minorEastAsia"/>
          <w:b/>
          <w:sz w:val="24"/>
          <w:szCs w:val="24"/>
          <w:lang w:val="en-US" w:eastAsia="zh-CN"/>
        </w:rPr>
        <w:t>3.</w:t>
      </w:r>
      <w:r>
        <w:rPr>
          <w:rFonts w:hint="eastAsia" w:asciiTheme="minorEastAsia" w:hAnsiTheme="minorEastAsia"/>
          <w:b/>
          <w:sz w:val="24"/>
          <w:szCs w:val="24"/>
        </w:rPr>
        <w:t>技术分（</w:t>
      </w:r>
      <w:r>
        <w:rPr>
          <w:rFonts w:hint="default" w:asciiTheme="minorEastAsia" w:hAnsiTheme="minorEastAsia"/>
          <w:b/>
          <w:sz w:val="24"/>
          <w:szCs w:val="24"/>
          <w:lang w:val="en-US" w:eastAsia="zh-CN"/>
        </w:rPr>
        <w:t>50</w:t>
      </w:r>
      <w:r>
        <w:rPr>
          <w:rFonts w:hint="eastAsia" w:asciiTheme="minorEastAsia" w:hAnsiTheme="minorEastAsia"/>
          <w:b/>
          <w:sz w:val="24"/>
          <w:szCs w:val="24"/>
        </w:rPr>
        <w:t>分）</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本部分</w:t>
      </w:r>
      <w:r>
        <w:rPr>
          <w:rFonts w:hint="eastAsia" w:ascii="宋体" w:hAnsi="宋体" w:cs="Calibri"/>
          <w:b/>
          <w:color w:val="000000"/>
          <w:sz w:val="24"/>
          <w:szCs w:val="24"/>
          <w:highlight w:val="none"/>
        </w:rPr>
        <w:t>采用暗标方式进行评审</w:t>
      </w:r>
      <w:r>
        <w:rPr>
          <w:rFonts w:hint="eastAsia" w:ascii="宋体" w:hAnsi="宋体" w:cs="Calibri"/>
          <w:b/>
          <w:color w:val="000000"/>
          <w:sz w:val="24"/>
          <w:szCs w:val="24"/>
          <w:highlight w:val="none"/>
          <w:lang w:eastAsia="zh-CN"/>
        </w:rPr>
        <w:t>）</w:t>
      </w:r>
    </w:p>
    <w:tbl>
      <w:tblPr>
        <w:tblStyle w:val="33"/>
        <w:tblW w:w="8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4"/>
        <w:gridCol w:w="6413"/>
      </w:tblGrid>
      <w:tr w14:paraId="11E35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352BA03E">
            <w:pPr>
              <w:keepNext w:val="0"/>
              <w:keepLines w:val="0"/>
              <w:pageBreakBefore w:val="0"/>
              <w:spacing w:line="480" w:lineRule="exact"/>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6413" w:type="dxa"/>
            <w:noWrap w:val="0"/>
            <w:vAlign w:val="center"/>
          </w:tcPr>
          <w:p w14:paraId="2A5564DD">
            <w:pPr>
              <w:keepNext w:val="0"/>
              <w:keepLines w:val="0"/>
              <w:pageBreakBefore w:val="0"/>
              <w:spacing w:line="480" w:lineRule="exact"/>
              <w:jc w:val="center"/>
              <w:rPr>
                <w:rFonts w:hint="eastAsia" w:ascii="宋体" w:hAnsi="宋体" w:eastAsia="宋体" w:cs="宋体"/>
                <w:b/>
                <w:sz w:val="24"/>
                <w:szCs w:val="24"/>
              </w:rPr>
            </w:pPr>
            <w:r>
              <w:rPr>
                <w:rFonts w:hint="eastAsia" w:ascii="宋体" w:hAnsi="宋体" w:eastAsia="宋体" w:cs="宋体"/>
                <w:b/>
                <w:sz w:val="24"/>
                <w:szCs w:val="24"/>
              </w:rPr>
              <w:t>评审标准</w:t>
            </w:r>
          </w:p>
        </w:tc>
      </w:tr>
      <w:tr w14:paraId="4DE6A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71ED60F0">
            <w:pPr>
              <w:keepNext w:val="0"/>
              <w:keepLines w:val="0"/>
              <w:pageBreakBefore w:val="0"/>
              <w:spacing w:line="48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建设内容</w:t>
            </w:r>
            <w:r>
              <w:rPr>
                <w:rFonts w:hint="eastAsia" w:ascii="宋体" w:hAnsi="宋体" w:eastAsia="宋体" w:cs="宋体"/>
                <w:b w:val="0"/>
                <w:bCs w:val="0"/>
                <w:sz w:val="24"/>
                <w:szCs w:val="24"/>
              </w:rPr>
              <w:t>理解</w:t>
            </w:r>
          </w:p>
          <w:p w14:paraId="317E97EE">
            <w:pPr>
              <w:keepNext w:val="0"/>
              <w:keepLines w:val="0"/>
              <w:pageBreakBefore w:val="0"/>
              <w:spacing w:line="48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8分</w:t>
            </w:r>
            <w:r>
              <w:rPr>
                <w:rFonts w:hint="eastAsia" w:ascii="宋体" w:hAnsi="宋体" w:eastAsia="宋体" w:cs="宋体"/>
                <w:b w:val="0"/>
                <w:bCs w:val="0"/>
                <w:sz w:val="24"/>
                <w:szCs w:val="24"/>
                <w:lang w:eastAsia="zh-CN"/>
              </w:rPr>
              <w:t>）</w:t>
            </w:r>
          </w:p>
        </w:tc>
        <w:tc>
          <w:tcPr>
            <w:tcW w:w="6413" w:type="dxa"/>
            <w:noWrap w:val="0"/>
            <w:vAlign w:val="center"/>
          </w:tcPr>
          <w:p w14:paraId="313EAEEE">
            <w:pPr>
              <w:keepNext w:val="0"/>
              <w:keepLines w:val="0"/>
              <w:pageBreakBefore w:val="0"/>
              <w:spacing w:line="480" w:lineRule="exact"/>
              <w:jc w:val="both"/>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针对项目采购需求编制建设内容</w:t>
            </w:r>
            <w:r>
              <w:rPr>
                <w:rFonts w:hint="eastAsia" w:ascii="宋体" w:hAnsi="宋体" w:eastAsia="宋体" w:cs="宋体"/>
                <w:b w:val="0"/>
                <w:bCs w:val="0"/>
                <w:sz w:val="24"/>
                <w:szCs w:val="24"/>
              </w:rPr>
              <w:t>理解</w:t>
            </w:r>
            <w:r>
              <w:rPr>
                <w:rFonts w:hint="eastAsia" w:ascii="宋体" w:hAnsi="宋体" w:eastAsia="宋体" w:cs="宋体"/>
                <w:b w:val="0"/>
                <w:bCs w:val="0"/>
                <w:sz w:val="24"/>
                <w:szCs w:val="24"/>
                <w:lang w:val="en-US" w:eastAsia="zh-CN"/>
              </w:rPr>
              <w:t>方案，</w:t>
            </w:r>
            <w:r>
              <w:rPr>
                <w:rFonts w:hint="eastAsia" w:ascii="宋体" w:hAnsi="宋体" w:eastAsia="宋体" w:cs="宋体"/>
                <w:b w:val="0"/>
                <w:bCs w:val="0"/>
                <w:sz w:val="24"/>
                <w:szCs w:val="24"/>
              </w:rPr>
              <w:t>是否准确理解双通道药品审核业务背景、人工审核痛点、材料多源异构、审核周期长、政策规则复杂、系统对接等核心需求；是否明确“智能辅助、不替代人工决策”的业务定位；是否覆盖申请、材料上传、OCR解析、要点提炼、AI辅助判定、人工复核、结果回传、日志追溯等完整闭环</w:t>
            </w:r>
            <w:r>
              <w:rPr>
                <w:rFonts w:hint="eastAsia" w:ascii="宋体" w:hAnsi="宋体" w:eastAsia="宋体" w:cs="宋体"/>
                <w:b w:val="0"/>
                <w:bCs w:val="0"/>
                <w:sz w:val="24"/>
                <w:szCs w:val="24"/>
                <w:lang w:val="en-US" w:eastAsia="zh-CN"/>
              </w:rPr>
              <w:t>等。方案内容至少包含对采购</w:t>
            </w:r>
            <w:r>
              <w:rPr>
                <w:rFonts w:hint="eastAsia" w:ascii="宋体" w:hAnsi="宋体" w:eastAsia="宋体" w:cs="宋体"/>
                <w:sz w:val="24"/>
                <w:szCs w:val="24"/>
              </w:rPr>
              <w:t>需求内容的理解、</w:t>
            </w:r>
            <w:r>
              <w:rPr>
                <w:rFonts w:hint="eastAsia" w:ascii="宋体" w:hAnsi="宋体" w:eastAsia="宋体" w:cs="宋体"/>
                <w:sz w:val="24"/>
                <w:szCs w:val="24"/>
                <w:lang w:val="en-US" w:eastAsia="zh-CN"/>
              </w:rPr>
              <w:t>关键点分析、</w:t>
            </w:r>
            <w:r>
              <w:rPr>
                <w:rFonts w:hint="eastAsia" w:ascii="宋体" w:hAnsi="宋体" w:eastAsia="宋体" w:cs="宋体"/>
                <w:sz w:val="24"/>
                <w:szCs w:val="24"/>
              </w:rPr>
              <w:t>设计原则、设计思路、技术</w:t>
            </w:r>
            <w:r>
              <w:rPr>
                <w:rFonts w:hint="eastAsia" w:ascii="宋体" w:hAnsi="宋体" w:eastAsia="宋体" w:cs="宋体"/>
                <w:sz w:val="24"/>
                <w:szCs w:val="24"/>
                <w:lang w:val="en-US" w:eastAsia="zh-CN"/>
              </w:rPr>
              <w:t>总体</w:t>
            </w:r>
            <w:r>
              <w:rPr>
                <w:rFonts w:hint="eastAsia" w:ascii="宋体" w:hAnsi="宋体" w:eastAsia="宋体" w:cs="宋体"/>
                <w:sz w:val="24"/>
                <w:szCs w:val="24"/>
              </w:rPr>
              <w:t>路线等</w:t>
            </w:r>
            <w:r>
              <w:rPr>
                <w:rFonts w:hint="eastAsia" w:ascii="宋体" w:hAnsi="宋体" w:eastAsia="宋体" w:cs="宋体"/>
                <w:b w:val="0"/>
                <w:bCs w:val="0"/>
                <w:sz w:val="24"/>
                <w:szCs w:val="24"/>
                <w:lang w:val="en-US" w:eastAsia="zh-CN"/>
              </w:rPr>
              <w:t>：</w:t>
            </w:r>
          </w:p>
          <w:p w14:paraId="4FA9DD98">
            <w:pPr>
              <w:keepNext w:val="0"/>
              <w:keepLines w:val="0"/>
              <w:pageBreakBefore w:val="0"/>
              <w:spacing w:line="480" w:lineRule="exact"/>
              <w:jc w:val="left"/>
              <w:rPr>
                <w:rFonts w:hint="default" w:ascii="宋体" w:hAnsi="宋体" w:eastAsia="宋体" w:cs="宋体"/>
                <w:b/>
                <w:bCs/>
                <w:sz w:val="24"/>
                <w:szCs w:val="24"/>
                <w:lang w:val="en-US" w:eastAsia="zh-CN"/>
              </w:rPr>
            </w:pPr>
            <w:r>
              <w:rPr>
                <w:rFonts w:hint="eastAsia" w:ascii="宋体" w:hAnsi="宋体" w:eastAsia="宋体" w:cs="宋体"/>
                <w:sz w:val="24"/>
                <w:szCs w:val="24"/>
              </w:rPr>
              <w:t>项目总体理解透彻，结构清晰，</w:t>
            </w:r>
            <w:r>
              <w:rPr>
                <w:rFonts w:hint="eastAsia" w:ascii="宋体" w:hAnsi="宋体" w:eastAsia="宋体" w:cs="宋体"/>
                <w:color w:val="000000"/>
                <w:sz w:val="24"/>
                <w:szCs w:val="24"/>
              </w:rPr>
              <w:t>关键点把握到位，</w:t>
            </w:r>
            <w:r>
              <w:rPr>
                <w:rFonts w:hint="eastAsia" w:ascii="宋体" w:hAnsi="宋体" w:eastAsia="宋体" w:cs="宋体"/>
                <w:color w:val="000000"/>
                <w:sz w:val="24"/>
                <w:szCs w:val="24"/>
                <w:lang w:val="en-US" w:eastAsia="zh-CN"/>
              </w:rPr>
              <w:t>有</w:t>
            </w:r>
            <w:r>
              <w:rPr>
                <w:rFonts w:hint="eastAsia" w:ascii="宋体" w:hAnsi="宋体" w:eastAsia="宋体" w:cs="宋体"/>
                <w:color w:val="000000"/>
                <w:sz w:val="24"/>
                <w:szCs w:val="24"/>
                <w:lang w:eastAsia="zh-CN"/>
              </w:rPr>
              <w:t>提供设计方案或设计界面</w:t>
            </w:r>
            <w:r>
              <w:rPr>
                <w:rFonts w:hint="eastAsia" w:ascii="宋体" w:hAnsi="宋体" w:eastAsia="宋体" w:cs="宋体"/>
                <w:color w:val="000000"/>
                <w:sz w:val="24"/>
                <w:szCs w:val="24"/>
                <w:lang w:val="en-US" w:eastAsia="zh-CN"/>
              </w:rPr>
              <w:t>原型</w:t>
            </w:r>
            <w:r>
              <w:rPr>
                <w:rFonts w:hint="eastAsia" w:ascii="宋体" w:hAnsi="宋体" w:eastAsia="宋体" w:cs="宋体"/>
                <w:color w:val="000000"/>
                <w:sz w:val="24"/>
                <w:szCs w:val="24"/>
                <w:lang w:eastAsia="zh-CN"/>
              </w:rPr>
              <w:t>截图（须配说明）或设计思路等，内容详细，能够贴合采购需求，阐述清晰，</w:t>
            </w:r>
            <w:r>
              <w:rPr>
                <w:rFonts w:hint="eastAsia" w:ascii="宋体" w:hAnsi="宋体" w:eastAsia="宋体" w:cs="宋体"/>
                <w:color w:val="000000"/>
                <w:sz w:val="24"/>
                <w:szCs w:val="24"/>
              </w:rPr>
              <w:t>可实施性强的</w:t>
            </w:r>
            <w:r>
              <w:rPr>
                <w:rFonts w:hint="eastAsia" w:ascii="宋体" w:hAnsi="宋体" w:eastAsia="宋体" w:cs="宋体"/>
                <w:b/>
                <w:bCs/>
                <w:color w:val="000000"/>
                <w:sz w:val="24"/>
                <w:szCs w:val="24"/>
                <w:lang w:val="en-US" w:eastAsia="zh-CN"/>
              </w:rPr>
              <w:t>得8分；</w:t>
            </w:r>
          </w:p>
          <w:p w14:paraId="0A3CD9EE">
            <w:pPr>
              <w:keepNext w:val="0"/>
              <w:keepLines w:val="0"/>
              <w:pageBreakBefore w:val="0"/>
              <w:spacing w:line="480" w:lineRule="exact"/>
              <w:jc w:val="lef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项目总体理解</w:t>
            </w:r>
            <w:r>
              <w:rPr>
                <w:rFonts w:hint="eastAsia" w:ascii="宋体" w:hAnsi="宋体" w:eastAsia="宋体" w:cs="宋体"/>
                <w:sz w:val="24"/>
                <w:szCs w:val="24"/>
                <w:lang w:val="en-US" w:eastAsia="zh-CN"/>
              </w:rPr>
              <w:t>较</w:t>
            </w:r>
            <w:r>
              <w:rPr>
                <w:rFonts w:hint="eastAsia" w:ascii="宋体" w:hAnsi="宋体" w:eastAsia="宋体" w:cs="宋体"/>
                <w:sz w:val="24"/>
                <w:szCs w:val="24"/>
              </w:rPr>
              <w:t>透彻，结构</w:t>
            </w:r>
            <w:r>
              <w:rPr>
                <w:rFonts w:hint="eastAsia" w:ascii="宋体" w:hAnsi="宋体" w:eastAsia="宋体" w:cs="宋体"/>
                <w:sz w:val="24"/>
                <w:szCs w:val="24"/>
                <w:lang w:val="en-US" w:eastAsia="zh-CN"/>
              </w:rPr>
              <w:t>较</w:t>
            </w:r>
            <w:r>
              <w:rPr>
                <w:rFonts w:hint="eastAsia" w:ascii="宋体" w:hAnsi="宋体" w:eastAsia="宋体" w:cs="宋体"/>
                <w:sz w:val="24"/>
                <w:szCs w:val="24"/>
              </w:rPr>
              <w:t>清晰，</w:t>
            </w:r>
            <w:r>
              <w:rPr>
                <w:rFonts w:hint="eastAsia" w:ascii="宋体" w:hAnsi="宋体" w:eastAsia="宋体" w:cs="宋体"/>
                <w:color w:val="000000"/>
                <w:sz w:val="24"/>
                <w:szCs w:val="24"/>
              </w:rPr>
              <w:t>关键点把握</w:t>
            </w:r>
            <w:r>
              <w:rPr>
                <w:rFonts w:hint="eastAsia" w:ascii="宋体" w:hAnsi="宋体" w:eastAsia="宋体" w:cs="宋体"/>
                <w:color w:val="000000"/>
                <w:sz w:val="24"/>
                <w:szCs w:val="24"/>
                <w:lang w:val="en-US" w:eastAsia="zh-CN"/>
              </w:rPr>
              <w:t>较</w:t>
            </w:r>
            <w:r>
              <w:rPr>
                <w:rFonts w:hint="eastAsia" w:ascii="宋体" w:hAnsi="宋体" w:eastAsia="宋体" w:cs="宋体"/>
                <w:color w:val="000000"/>
                <w:sz w:val="24"/>
                <w:szCs w:val="24"/>
              </w:rPr>
              <w:t>到位</w:t>
            </w:r>
            <w:r>
              <w:rPr>
                <w:rFonts w:hint="eastAsia" w:ascii="宋体" w:hAnsi="宋体" w:eastAsia="宋体" w:cs="宋体"/>
                <w:color w:val="000000"/>
                <w:sz w:val="24"/>
                <w:szCs w:val="24"/>
                <w:lang w:eastAsia="zh-CN"/>
              </w:rPr>
              <w:t>，提供设计方案或设计界面</w:t>
            </w:r>
            <w:r>
              <w:rPr>
                <w:rFonts w:hint="eastAsia" w:ascii="宋体" w:hAnsi="宋体" w:eastAsia="宋体" w:cs="宋体"/>
                <w:color w:val="000000"/>
                <w:sz w:val="24"/>
                <w:szCs w:val="24"/>
                <w:lang w:val="en-US" w:eastAsia="zh-CN"/>
              </w:rPr>
              <w:t>原型</w:t>
            </w:r>
            <w:r>
              <w:rPr>
                <w:rFonts w:hint="eastAsia" w:ascii="宋体" w:hAnsi="宋体" w:eastAsia="宋体" w:cs="宋体"/>
                <w:color w:val="000000"/>
                <w:sz w:val="24"/>
                <w:szCs w:val="24"/>
                <w:lang w:eastAsia="zh-CN"/>
              </w:rPr>
              <w:t>截图（须配说明）或设计思路等，内容</w:t>
            </w:r>
            <w:r>
              <w:rPr>
                <w:rFonts w:hint="eastAsia" w:ascii="宋体" w:hAnsi="宋体" w:eastAsia="宋体" w:cs="宋体"/>
                <w:color w:val="000000"/>
                <w:sz w:val="24"/>
                <w:szCs w:val="24"/>
                <w:lang w:val="en-US" w:eastAsia="zh-CN"/>
              </w:rPr>
              <w:t>较</w:t>
            </w:r>
            <w:r>
              <w:rPr>
                <w:rFonts w:hint="eastAsia" w:ascii="宋体" w:hAnsi="宋体" w:eastAsia="宋体" w:cs="宋体"/>
                <w:color w:val="000000"/>
                <w:sz w:val="24"/>
                <w:szCs w:val="24"/>
                <w:lang w:eastAsia="zh-CN"/>
              </w:rPr>
              <w:t>详细，</w:t>
            </w:r>
            <w:r>
              <w:rPr>
                <w:rFonts w:hint="eastAsia" w:ascii="宋体" w:hAnsi="宋体" w:eastAsia="宋体" w:cs="宋体"/>
                <w:color w:val="000000"/>
                <w:sz w:val="24"/>
                <w:szCs w:val="24"/>
                <w:lang w:val="en-US" w:eastAsia="zh-CN"/>
              </w:rPr>
              <w:t>较</w:t>
            </w:r>
            <w:r>
              <w:rPr>
                <w:rFonts w:hint="eastAsia" w:ascii="宋体" w:hAnsi="宋体" w:eastAsia="宋体" w:cs="宋体"/>
                <w:color w:val="000000"/>
                <w:sz w:val="24"/>
                <w:szCs w:val="24"/>
                <w:lang w:eastAsia="zh-CN"/>
              </w:rPr>
              <w:t>能够贴合采购需求，阐述</w:t>
            </w:r>
            <w:r>
              <w:rPr>
                <w:rFonts w:hint="eastAsia" w:ascii="宋体" w:hAnsi="宋体" w:eastAsia="宋体" w:cs="宋体"/>
                <w:color w:val="000000"/>
                <w:sz w:val="24"/>
                <w:szCs w:val="24"/>
                <w:lang w:val="en-US" w:eastAsia="zh-CN"/>
              </w:rPr>
              <w:t>较</w:t>
            </w:r>
            <w:r>
              <w:rPr>
                <w:rFonts w:hint="eastAsia" w:ascii="宋体" w:hAnsi="宋体" w:eastAsia="宋体" w:cs="宋体"/>
                <w:color w:val="000000"/>
                <w:sz w:val="24"/>
                <w:szCs w:val="24"/>
                <w:lang w:eastAsia="zh-CN"/>
              </w:rPr>
              <w:t>清晰，</w:t>
            </w:r>
            <w:r>
              <w:rPr>
                <w:rFonts w:hint="eastAsia" w:ascii="宋体" w:hAnsi="宋体" w:eastAsia="宋体" w:cs="宋体"/>
                <w:color w:val="000000"/>
                <w:sz w:val="24"/>
                <w:szCs w:val="24"/>
              </w:rPr>
              <w:t>可实施性</w:t>
            </w:r>
            <w:r>
              <w:rPr>
                <w:rFonts w:hint="eastAsia" w:ascii="宋体" w:hAnsi="宋体" w:eastAsia="宋体" w:cs="宋体"/>
                <w:color w:val="000000"/>
                <w:sz w:val="24"/>
                <w:szCs w:val="24"/>
                <w:lang w:val="en-US" w:eastAsia="zh-CN"/>
              </w:rPr>
              <w:t>较</w:t>
            </w:r>
            <w:r>
              <w:rPr>
                <w:rFonts w:hint="eastAsia" w:ascii="宋体" w:hAnsi="宋体" w:eastAsia="宋体" w:cs="宋体"/>
                <w:color w:val="000000"/>
                <w:sz w:val="24"/>
                <w:szCs w:val="24"/>
              </w:rPr>
              <w:t>强的</w:t>
            </w:r>
            <w:r>
              <w:rPr>
                <w:rFonts w:hint="eastAsia" w:ascii="宋体" w:hAnsi="宋体" w:eastAsia="宋体" w:cs="宋体"/>
                <w:b/>
                <w:bCs/>
                <w:color w:val="000000"/>
                <w:sz w:val="24"/>
                <w:szCs w:val="24"/>
                <w:lang w:val="en-US" w:eastAsia="zh-CN"/>
              </w:rPr>
              <w:t>得6分；</w:t>
            </w:r>
          </w:p>
          <w:p w14:paraId="15BEEF9E">
            <w:pPr>
              <w:keepNext w:val="0"/>
              <w:keepLines w:val="0"/>
              <w:pageBreakBefore w:val="0"/>
              <w:spacing w:line="480" w:lineRule="exact"/>
              <w:jc w:val="left"/>
              <w:rPr>
                <w:rFonts w:hint="default" w:ascii="宋体" w:hAnsi="宋体" w:eastAsia="宋体" w:cs="宋体"/>
                <w:color w:val="000000"/>
                <w:sz w:val="24"/>
                <w:szCs w:val="24"/>
                <w:lang w:val="en-US" w:eastAsia="zh-CN"/>
              </w:rPr>
            </w:pPr>
            <w:r>
              <w:rPr>
                <w:rFonts w:hint="eastAsia" w:ascii="宋体" w:hAnsi="宋体" w:eastAsia="宋体" w:cs="宋体"/>
                <w:sz w:val="24"/>
                <w:szCs w:val="24"/>
              </w:rPr>
              <w:t>项目总体理解</w:t>
            </w:r>
            <w:r>
              <w:rPr>
                <w:rFonts w:hint="eastAsia" w:ascii="宋体" w:hAnsi="宋体" w:eastAsia="宋体" w:cs="宋体"/>
                <w:sz w:val="24"/>
                <w:szCs w:val="24"/>
                <w:lang w:val="en-US" w:eastAsia="zh-CN"/>
              </w:rPr>
              <w:t>无</w:t>
            </w:r>
            <w:r>
              <w:rPr>
                <w:rFonts w:hint="eastAsia" w:ascii="宋体" w:hAnsi="宋体" w:eastAsia="宋体" w:cs="宋体"/>
                <w:sz w:val="24"/>
                <w:szCs w:val="24"/>
              </w:rPr>
              <w:t>偏差，结构及</w:t>
            </w:r>
            <w:r>
              <w:rPr>
                <w:rFonts w:hint="eastAsia" w:ascii="宋体" w:hAnsi="宋体" w:eastAsia="宋体" w:cs="宋体"/>
                <w:color w:val="000000"/>
                <w:sz w:val="24"/>
                <w:szCs w:val="24"/>
              </w:rPr>
              <w:t>内容</w:t>
            </w:r>
            <w:r>
              <w:rPr>
                <w:rFonts w:hint="eastAsia" w:ascii="宋体" w:hAnsi="宋体" w:eastAsia="宋体" w:cs="宋体"/>
                <w:color w:val="000000"/>
                <w:sz w:val="24"/>
                <w:szCs w:val="24"/>
                <w:lang w:val="en-US" w:eastAsia="zh-CN"/>
              </w:rPr>
              <w:t>表述较</w:t>
            </w:r>
            <w:r>
              <w:rPr>
                <w:rFonts w:hint="eastAsia" w:ascii="宋体" w:hAnsi="宋体" w:eastAsia="宋体" w:cs="宋体"/>
                <w:color w:val="000000"/>
                <w:sz w:val="24"/>
                <w:szCs w:val="24"/>
              </w:rPr>
              <w:t>简单，</w:t>
            </w:r>
            <w:r>
              <w:rPr>
                <w:rFonts w:hint="eastAsia" w:ascii="宋体" w:hAnsi="宋体" w:eastAsia="宋体" w:cs="宋体"/>
                <w:color w:val="000000"/>
                <w:sz w:val="24"/>
                <w:szCs w:val="24"/>
                <w:lang w:val="en-US" w:eastAsia="zh-CN"/>
              </w:rPr>
              <w:t>没有</w:t>
            </w:r>
            <w:r>
              <w:rPr>
                <w:rFonts w:hint="eastAsia" w:ascii="宋体" w:hAnsi="宋体" w:eastAsia="宋体" w:cs="宋体"/>
                <w:color w:val="000000"/>
                <w:sz w:val="24"/>
                <w:szCs w:val="24"/>
                <w:lang w:eastAsia="zh-CN"/>
              </w:rPr>
              <w:t>提供设计方案或设计界面</w:t>
            </w:r>
            <w:r>
              <w:rPr>
                <w:rFonts w:hint="eastAsia" w:ascii="宋体" w:hAnsi="宋体" w:eastAsia="宋体" w:cs="宋体"/>
                <w:color w:val="000000"/>
                <w:sz w:val="24"/>
                <w:szCs w:val="24"/>
                <w:lang w:val="en-US" w:eastAsia="zh-CN"/>
              </w:rPr>
              <w:t>原型</w:t>
            </w:r>
            <w:r>
              <w:rPr>
                <w:rFonts w:hint="eastAsia" w:ascii="宋体" w:hAnsi="宋体" w:eastAsia="宋体" w:cs="宋体"/>
                <w:color w:val="000000"/>
                <w:sz w:val="24"/>
                <w:szCs w:val="24"/>
                <w:lang w:eastAsia="zh-CN"/>
              </w:rPr>
              <w:t>截图（须配说明）或设计思路等，阐述清晰</w:t>
            </w:r>
            <w:r>
              <w:rPr>
                <w:rFonts w:hint="eastAsia" w:ascii="宋体" w:hAnsi="宋体" w:eastAsia="宋体" w:cs="宋体"/>
                <w:color w:val="000000"/>
                <w:sz w:val="24"/>
                <w:szCs w:val="24"/>
                <w:lang w:val="en-US" w:eastAsia="zh-CN"/>
              </w:rPr>
              <w:t>性一般</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可实施性</w:t>
            </w:r>
            <w:r>
              <w:rPr>
                <w:rFonts w:hint="eastAsia" w:ascii="宋体" w:hAnsi="宋体" w:eastAsia="宋体" w:cs="宋体"/>
                <w:color w:val="000000"/>
                <w:sz w:val="24"/>
                <w:szCs w:val="24"/>
                <w:lang w:val="en-US" w:eastAsia="zh-CN"/>
              </w:rPr>
              <w:t>一般</w:t>
            </w:r>
            <w:r>
              <w:rPr>
                <w:rFonts w:hint="eastAsia" w:ascii="宋体" w:hAnsi="宋体" w:eastAsia="宋体" w:cs="宋体"/>
                <w:color w:val="000000"/>
                <w:sz w:val="24"/>
                <w:szCs w:val="24"/>
              </w:rPr>
              <w:t>的</w:t>
            </w:r>
            <w:r>
              <w:rPr>
                <w:rFonts w:hint="eastAsia" w:ascii="宋体" w:hAnsi="宋体" w:eastAsia="宋体" w:cs="宋体"/>
                <w:b/>
                <w:bCs/>
                <w:color w:val="000000"/>
                <w:sz w:val="24"/>
                <w:szCs w:val="24"/>
                <w:lang w:val="en-US" w:eastAsia="zh-CN"/>
              </w:rPr>
              <w:t>得4分；</w:t>
            </w:r>
          </w:p>
          <w:p w14:paraId="65F3CA52">
            <w:pPr>
              <w:tabs>
                <w:tab w:val="left" w:pos="840"/>
              </w:tabs>
              <w:spacing w:line="440" w:lineRule="exact"/>
              <w:rPr>
                <w:rFonts w:hint="eastAsia" w:ascii="宋体" w:hAnsi="宋体" w:eastAsia="宋体" w:cs="宋体"/>
                <w:b/>
                <w:bCs/>
                <w:sz w:val="24"/>
              </w:rPr>
            </w:pPr>
            <w:r>
              <w:rPr>
                <w:rFonts w:hint="eastAsia" w:ascii="宋体" w:hAnsi="宋体" w:eastAsia="宋体" w:cs="宋体"/>
                <w:sz w:val="24"/>
                <w:szCs w:val="24"/>
              </w:rPr>
              <w:t>项目总体理解</w:t>
            </w:r>
            <w:r>
              <w:rPr>
                <w:rFonts w:hint="eastAsia" w:ascii="宋体" w:hAnsi="宋体" w:eastAsia="宋体" w:cs="宋体"/>
                <w:sz w:val="24"/>
                <w:szCs w:val="24"/>
                <w:lang w:val="en-US" w:eastAsia="zh-CN"/>
              </w:rPr>
              <w:t>存在一定偏差</w:t>
            </w:r>
            <w:r>
              <w:rPr>
                <w:rFonts w:hint="eastAsia" w:ascii="宋体" w:hAnsi="宋体" w:eastAsia="宋体" w:cs="宋体"/>
                <w:sz w:val="24"/>
                <w:szCs w:val="24"/>
              </w:rPr>
              <w:t>，</w:t>
            </w:r>
            <w:r>
              <w:rPr>
                <w:rFonts w:hint="eastAsia" w:ascii="宋体" w:hAnsi="宋体" w:eastAsia="宋体" w:cs="宋体"/>
                <w:color w:val="000000"/>
                <w:sz w:val="24"/>
                <w:szCs w:val="24"/>
              </w:rPr>
              <w:t>内容</w:t>
            </w:r>
            <w:r>
              <w:rPr>
                <w:rFonts w:hint="eastAsia" w:ascii="宋体" w:hAnsi="宋体" w:eastAsia="宋体" w:cs="宋体"/>
                <w:color w:val="000000"/>
                <w:sz w:val="24"/>
                <w:szCs w:val="24"/>
                <w:lang w:val="en-US" w:eastAsia="zh-CN"/>
              </w:rPr>
              <w:t>表述</w:t>
            </w:r>
            <w:r>
              <w:rPr>
                <w:rFonts w:hint="eastAsia" w:ascii="宋体" w:hAnsi="宋体" w:eastAsia="宋体" w:cs="宋体"/>
                <w:color w:val="000000"/>
                <w:sz w:val="24"/>
                <w:szCs w:val="24"/>
              </w:rPr>
              <w:t>简单</w:t>
            </w:r>
            <w:r>
              <w:rPr>
                <w:rFonts w:hint="eastAsia" w:ascii="宋体" w:hAnsi="宋体" w:eastAsia="宋体" w:cs="宋体"/>
                <w:color w:val="000000"/>
                <w:sz w:val="24"/>
                <w:szCs w:val="24"/>
                <w:lang w:val="en-US" w:eastAsia="zh-CN"/>
              </w:rPr>
              <w:t>粗糙</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没有</w:t>
            </w:r>
            <w:r>
              <w:rPr>
                <w:rFonts w:hint="eastAsia" w:ascii="宋体" w:hAnsi="宋体" w:eastAsia="宋体" w:cs="宋体"/>
                <w:sz w:val="24"/>
              </w:rPr>
              <w:t>提供设计方案或设计界面</w:t>
            </w:r>
            <w:r>
              <w:rPr>
                <w:rFonts w:hint="eastAsia" w:ascii="宋体" w:hAnsi="宋体" w:eastAsia="宋体" w:cs="宋体"/>
                <w:color w:val="000000"/>
                <w:sz w:val="24"/>
                <w:szCs w:val="24"/>
                <w:lang w:val="en-US" w:eastAsia="zh-CN"/>
              </w:rPr>
              <w:t>原型</w:t>
            </w:r>
            <w:r>
              <w:rPr>
                <w:rFonts w:hint="eastAsia" w:ascii="宋体" w:hAnsi="宋体" w:eastAsia="宋体" w:cs="宋体"/>
                <w:sz w:val="24"/>
              </w:rPr>
              <w:t>截图（须配说明）或设计思路等，阐述不清晰</w:t>
            </w:r>
            <w:r>
              <w:rPr>
                <w:rFonts w:hint="eastAsia" w:ascii="宋体" w:hAnsi="宋体" w:eastAsia="宋体" w:cs="宋体"/>
                <w:sz w:val="24"/>
                <w:lang w:eastAsia="zh-CN"/>
              </w:rPr>
              <w:t>，</w:t>
            </w:r>
            <w:r>
              <w:rPr>
                <w:rFonts w:hint="eastAsia" w:ascii="宋体" w:hAnsi="宋体" w:eastAsia="宋体" w:cs="宋体"/>
                <w:sz w:val="24"/>
                <w:lang w:val="en-US" w:eastAsia="zh-CN"/>
              </w:rPr>
              <w:t>可实施性不强</w:t>
            </w:r>
            <w:r>
              <w:rPr>
                <w:rFonts w:hint="eastAsia" w:ascii="宋体" w:hAnsi="宋体" w:eastAsia="宋体" w:cs="宋体"/>
                <w:sz w:val="24"/>
              </w:rPr>
              <w:t>的</w:t>
            </w:r>
            <w:r>
              <w:rPr>
                <w:rFonts w:hint="eastAsia" w:ascii="宋体" w:hAnsi="宋体" w:eastAsia="宋体" w:cs="宋体"/>
                <w:b/>
                <w:bCs/>
                <w:sz w:val="24"/>
              </w:rPr>
              <w:t>得</w:t>
            </w:r>
            <w:r>
              <w:rPr>
                <w:rFonts w:hint="eastAsia" w:ascii="宋体" w:hAnsi="宋体" w:eastAsia="宋体" w:cs="宋体"/>
                <w:b/>
                <w:bCs/>
                <w:sz w:val="24"/>
                <w:lang w:val="en-US" w:eastAsia="zh-CN"/>
              </w:rPr>
              <w:t>2</w:t>
            </w:r>
            <w:r>
              <w:rPr>
                <w:rFonts w:hint="eastAsia" w:ascii="宋体" w:hAnsi="宋体" w:eastAsia="宋体" w:cs="宋体"/>
                <w:b/>
                <w:bCs/>
                <w:sz w:val="24"/>
              </w:rPr>
              <w:t>分；</w:t>
            </w:r>
          </w:p>
          <w:p w14:paraId="3785B680">
            <w:pPr>
              <w:tabs>
                <w:tab w:val="left" w:pos="840"/>
              </w:tabs>
              <w:spacing w:line="440" w:lineRule="exact"/>
              <w:rPr>
                <w:rFonts w:hint="eastAsia"/>
              </w:rPr>
            </w:pPr>
            <w:r>
              <w:rPr>
                <w:rFonts w:hint="eastAsia" w:ascii="宋体" w:hAnsi="宋体" w:eastAsia="宋体" w:cs="宋体"/>
                <w:b/>
                <w:bCs/>
                <w:sz w:val="24"/>
              </w:rPr>
              <w:t>该项未见描述不得分。</w:t>
            </w:r>
          </w:p>
        </w:tc>
      </w:tr>
      <w:tr w14:paraId="05155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6E36DA38">
            <w:pPr>
              <w:keepNext w:val="0"/>
              <w:keepLines w:val="0"/>
              <w:pageBreakBefore w:val="0"/>
              <w:tabs>
                <w:tab w:val="left" w:pos="246"/>
              </w:tabs>
              <w:spacing w:line="480" w:lineRule="exact"/>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技术架构</w:t>
            </w:r>
            <w:r>
              <w:rPr>
                <w:rFonts w:hint="eastAsia" w:ascii="宋体" w:hAnsi="宋体" w:eastAsia="宋体" w:cs="宋体"/>
                <w:b w:val="0"/>
                <w:bCs w:val="0"/>
                <w:sz w:val="24"/>
                <w:szCs w:val="24"/>
                <w:lang w:val="en-US" w:eastAsia="zh-CN"/>
              </w:rPr>
              <w:t>方案</w:t>
            </w:r>
          </w:p>
          <w:p w14:paraId="4C5A7754">
            <w:pPr>
              <w:keepNext w:val="0"/>
              <w:keepLines w:val="0"/>
              <w:pageBreakBefore w:val="0"/>
              <w:tabs>
                <w:tab w:val="left" w:pos="246"/>
              </w:tabs>
              <w:spacing w:line="48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default" w:ascii="宋体" w:hAnsi="宋体" w:eastAsia="宋体" w:cs="宋体"/>
                <w:b w:val="0"/>
                <w:bCs w:val="0"/>
                <w:sz w:val="24"/>
                <w:szCs w:val="24"/>
                <w:lang w:val="en-US" w:eastAsia="zh-CN"/>
              </w:rPr>
              <w:t>6</w:t>
            </w:r>
            <w:r>
              <w:rPr>
                <w:rFonts w:hint="eastAsia" w:ascii="宋体" w:hAnsi="宋体" w:eastAsia="宋体" w:cs="宋体"/>
                <w:b w:val="0"/>
                <w:bCs w:val="0"/>
                <w:sz w:val="24"/>
                <w:szCs w:val="24"/>
                <w:lang w:val="en-US" w:eastAsia="zh-CN"/>
              </w:rPr>
              <w:t>分</w:t>
            </w:r>
            <w:r>
              <w:rPr>
                <w:rFonts w:hint="eastAsia" w:ascii="宋体" w:hAnsi="宋体" w:eastAsia="宋体" w:cs="宋体"/>
                <w:b w:val="0"/>
                <w:bCs w:val="0"/>
                <w:sz w:val="24"/>
                <w:szCs w:val="24"/>
                <w:lang w:eastAsia="zh-CN"/>
              </w:rPr>
              <w:t>）</w:t>
            </w:r>
          </w:p>
        </w:tc>
        <w:tc>
          <w:tcPr>
            <w:tcW w:w="6413" w:type="dxa"/>
            <w:noWrap w:val="0"/>
            <w:vAlign w:val="center"/>
          </w:tcPr>
          <w:p w14:paraId="0415C595">
            <w:pPr>
              <w:keepNext w:val="0"/>
              <w:keepLines w:val="0"/>
              <w:pageBreakBefore w:val="0"/>
              <w:tabs>
                <w:tab w:val="left" w:pos="1760"/>
              </w:tabs>
              <w:spacing w:line="480" w:lineRule="exact"/>
              <w:jc w:val="lef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供应商结合采购需求提供技术架构方案，</w:t>
            </w:r>
            <w:r>
              <w:rPr>
                <w:rFonts w:hint="eastAsia" w:ascii="宋体" w:hAnsi="宋体" w:eastAsia="宋体" w:cs="宋体"/>
                <w:b w:val="0"/>
                <w:bCs w:val="0"/>
                <w:sz w:val="24"/>
                <w:szCs w:val="24"/>
                <w:lang w:eastAsia="zh-CN"/>
              </w:rPr>
              <w:t>是否具备清晰的分层架构和模块边界；是否体现异步任务、状态管理、接口回调、容器化部署、安全审计、持久化存储和可扩展能力</w:t>
            </w:r>
            <w:r>
              <w:rPr>
                <w:rFonts w:hint="eastAsia" w:ascii="宋体" w:hAnsi="宋体" w:eastAsia="宋体" w:cs="宋体"/>
                <w:b w:val="0"/>
                <w:bCs w:val="0"/>
                <w:sz w:val="24"/>
                <w:szCs w:val="24"/>
                <w:lang w:val="en-US" w:eastAsia="zh-CN"/>
              </w:rPr>
              <w:t>等：</w:t>
            </w:r>
          </w:p>
          <w:p w14:paraId="6C557919">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方案包含上述内容，</w:t>
            </w:r>
            <w:r>
              <w:rPr>
                <w:rFonts w:hint="eastAsia" w:ascii="宋体" w:hAnsi="宋体" w:eastAsia="宋体" w:cs="宋体"/>
                <w:b w:val="0"/>
                <w:bCs w:val="0"/>
                <w:sz w:val="24"/>
                <w:szCs w:val="24"/>
                <w:lang w:eastAsia="zh-CN"/>
              </w:rPr>
              <w:t>架构</w:t>
            </w:r>
            <w:r>
              <w:rPr>
                <w:rFonts w:hint="eastAsia" w:ascii="宋体" w:hAnsi="宋体" w:eastAsia="宋体" w:cs="宋体"/>
                <w:b w:val="0"/>
                <w:bCs w:val="0"/>
                <w:sz w:val="24"/>
                <w:szCs w:val="24"/>
                <w:lang w:val="en-US" w:eastAsia="zh-CN"/>
              </w:rPr>
              <w:t>整体</w:t>
            </w:r>
            <w:r>
              <w:rPr>
                <w:rFonts w:hint="eastAsia" w:ascii="宋体" w:hAnsi="宋体" w:eastAsia="宋体" w:cs="宋体"/>
                <w:b w:val="0"/>
                <w:bCs w:val="0"/>
                <w:sz w:val="24"/>
                <w:szCs w:val="24"/>
                <w:lang w:eastAsia="zh-CN"/>
              </w:rPr>
              <w:t>完整，</w:t>
            </w:r>
            <w:r>
              <w:rPr>
                <w:rFonts w:hint="eastAsia" w:ascii="宋体" w:hAnsi="宋体" w:eastAsia="宋体" w:cs="宋体"/>
                <w:b w:val="0"/>
                <w:bCs w:val="0"/>
                <w:sz w:val="24"/>
                <w:szCs w:val="24"/>
                <w:lang w:val="en-US" w:eastAsia="zh-CN"/>
              </w:rPr>
              <w:t>内容流程清晰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6</w:t>
            </w:r>
            <w:r>
              <w:rPr>
                <w:rFonts w:hint="eastAsia" w:ascii="宋体" w:hAnsi="宋体" w:eastAsia="宋体" w:cs="宋体"/>
                <w:b/>
                <w:bCs/>
                <w:sz w:val="24"/>
                <w:szCs w:val="24"/>
                <w:lang w:eastAsia="zh-CN"/>
              </w:rPr>
              <w:t>分；</w:t>
            </w:r>
          </w:p>
          <w:p w14:paraId="0B0E020C">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方案包含上述内容，</w:t>
            </w:r>
            <w:r>
              <w:rPr>
                <w:rFonts w:hint="eastAsia" w:ascii="宋体" w:hAnsi="宋体" w:eastAsia="宋体" w:cs="宋体"/>
                <w:b w:val="0"/>
                <w:bCs w:val="0"/>
                <w:sz w:val="24"/>
                <w:szCs w:val="24"/>
                <w:lang w:eastAsia="zh-CN"/>
              </w:rPr>
              <w:t>架构</w:t>
            </w:r>
            <w:r>
              <w:rPr>
                <w:rFonts w:hint="eastAsia" w:ascii="宋体" w:hAnsi="宋体" w:eastAsia="宋体" w:cs="宋体"/>
                <w:b w:val="0"/>
                <w:bCs w:val="0"/>
                <w:sz w:val="24"/>
                <w:szCs w:val="24"/>
                <w:lang w:val="en-US" w:eastAsia="zh-CN"/>
              </w:rPr>
              <w:t>整体较</w:t>
            </w:r>
            <w:r>
              <w:rPr>
                <w:rFonts w:hint="eastAsia" w:ascii="宋体" w:hAnsi="宋体" w:eastAsia="宋体" w:cs="宋体"/>
                <w:b w:val="0"/>
                <w:bCs w:val="0"/>
                <w:sz w:val="24"/>
                <w:szCs w:val="24"/>
                <w:lang w:eastAsia="zh-CN"/>
              </w:rPr>
              <w:t>完整，</w:t>
            </w:r>
            <w:r>
              <w:rPr>
                <w:rFonts w:hint="eastAsia" w:ascii="宋体" w:hAnsi="宋体" w:eastAsia="宋体" w:cs="宋体"/>
                <w:b w:val="0"/>
                <w:bCs w:val="0"/>
                <w:sz w:val="24"/>
                <w:szCs w:val="24"/>
                <w:lang w:val="en-US" w:eastAsia="zh-CN"/>
              </w:rPr>
              <w:t>内容流程较清晰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可实施性较强的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5</w:t>
            </w:r>
            <w:r>
              <w:rPr>
                <w:rFonts w:hint="eastAsia" w:ascii="宋体" w:hAnsi="宋体" w:eastAsia="宋体" w:cs="宋体"/>
                <w:b/>
                <w:bCs/>
                <w:sz w:val="24"/>
                <w:szCs w:val="24"/>
                <w:lang w:eastAsia="zh-CN"/>
              </w:rPr>
              <w:t>分；</w:t>
            </w:r>
          </w:p>
          <w:p w14:paraId="508A63C1">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方案基本包含上述内容，</w:t>
            </w:r>
            <w:r>
              <w:rPr>
                <w:rFonts w:hint="eastAsia" w:ascii="宋体" w:hAnsi="宋体" w:eastAsia="宋体" w:cs="宋体"/>
                <w:b w:val="0"/>
                <w:bCs w:val="0"/>
                <w:sz w:val="24"/>
                <w:szCs w:val="24"/>
                <w:lang w:eastAsia="zh-CN"/>
              </w:rPr>
              <w:t>架构</w:t>
            </w:r>
            <w:r>
              <w:rPr>
                <w:rFonts w:hint="eastAsia" w:ascii="宋体" w:hAnsi="宋体" w:eastAsia="宋体" w:cs="宋体"/>
                <w:b w:val="0"/>
                <w:bCs w:val="0"/>
                <w:sz w:val="24"/>
                <w:szCs w:val="24"/>
                <w:lang w:val="en-US" w:eastAsia="zh-CN"/>
              </w:rPr>
              <w:t>整体性一般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可实施性一般的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3</w:t>
            </w:r>
            <w:r>
              <w:rPr>
                <w:rFonts w:hint="eastAsia" w:ascii="宋体" w:hAnsi="宋体" w:eastAsia="宋体" w:cs="宋体"/>
                <w:b/>
                <w:bCs/>
                <w:sz w:val="24"/>
                <w:szCs w:val="24"/>
                <w:lang w:eastAsia="zh-CN"/>
              </w:rPr>
              <w:t>分；</w:t>
            </w:r>
          </w:p>
          <w:p w14:paraId="403265CB">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上述内容有缺项，</w:t>
            </w:r>
            <w:r>
              <w:rPr>
                <w:rFonts w:hint="eastAsia" w:ascii="宋体" w:hAnsi="宋体" w:eastAsia="宋体" w:cs="宋体"/>
                <w:b w:val="0"/>
                <w:bCs w:val="0"/>
                <w:sz w:val="24"/>
                <w:szCs w:val="24"/>
                <w:lang w:eastAsia="zh-CN"/>
              </w:rPr>
              <w:t>架构</w:t>
            </w:r>
            <w:r>
              <w:rPr>
                <w:rFonts w:hint="eastAsia" w:ascii="宋体" w:hAnsi="宋体" w:eastAsia="宋体" w:cs="宋体"/>
                <w:b w:val="0"/>
                <w:bCs w:val="0"/>
                <w:sz w:val="24"/>
                <w:szCs w:val="24"/>
                <w:lang w:val="en-US" w:eastAsia="zh-CN"/>
              </w:rPr>
              <w:t>整体性不强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内容流程合理性不高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可实施性不强的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1</w:t>
            </w:r>
            <w:r>
              <w:rPr>
                <w:rFonts w:hint="eastAsia" w:ascii="宋体" w:hAnsi="宋体" w:eastAsia="宋体" w:cs="宋体"/>
                <w:b/>
                <w:bCs/>
                <w:sz w:val="24"/>
                <w:szCs w:val="24"/>
                <w:lang w:eastAsia="zh-CN"/>
              </w:rPr>
              <w:t>分；</w:t>
            </w:r>
          </w:p>
          <w:p w14:paraId="19D64478">
            <w:pPr>
              <w:keepNext w:val="0"/>
              <w:keepLines w:val="0"/>
              <w:pageBreakBefore w:val="0"/>
              <w:tabs>
                <w:tab w:val="left" w:pos="1760"/>
              </w:tabs>
              <w:spacing w:line="480" w:lineRule="exact"/>
              <w:jc w:val="left"/>
              <w:rPr>
                <w:rFonts w:hint="eastAsia" w:ascii="宋体" w:hAnsi="宋体" w:eastAsia="宋体" w:cs="宋体"/>
                <w:b w:val="0"/>
                <w:bCs w:val="0"/>
                <w:sz w:val="24"/>
                <w:szCs w:val="24"/>
                <w:lang w:eastAsia="zh-CN"/>
              </w:rPr>
            </w:pPr>
            <w:r>
              <w:rPr>
                <w:rFonts w:hint="eastAsia" w:ascii="宋体" w:hAnsi="宋体" w:eastAsia="宋体" w:cs="宋体"/>
                <w:b/>
                <w:bCs/>
                <w:sz w:val="24"/>
              </w:rPr>
              <w:t>该项未见描述不得分。</w:t>
            </w:r>
          </w:p>
        </w:tc>
      </w:tr>
      <w:tr w14:paraId="79399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5A356A90">
            <w:pPr>
              <w:keepNext w:val="0"/>
              <w:keepLines w:val="0"/>
              <w:pageBreakBefore w:val="0"/>
              <w:spacing w:line="48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OCR技术方案</w:t>
            </w:r>
          </w:p>
          <w:p w14:paraId="21C1743E">
            <w:pPr>
              <w:keepNext w:val="0"/>
              <w:keepLines w:val="0"/>
              <w:pageBreakBefore w:val="0"/>
              <w:spacing w:line="48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default" w:ascii="宋体" w:hAnsi="宋体" w:eastAsia="宋体" w:cs="宋体"/>
                <w:b w:val="0"/>
                <w:bCs w:val="0"/>
                <w:sz w:val="24"/>
                <w:szCs w:val="24"/>
                <w:lang w:val="en-US" w:eastAsia="zh-CN"/>
              </w:rPr>
              <w:t>6</w:t>
            </w:r>
            <w:r>
              <w:rPr>
                <w:rFonts w:hint="eastAsia" w:ascii="宋体" w:hAnsi="宋体" w:eastAsia="宋体" w:cs="宋体"/>
                <w:b w:val="0"/>
                <w:bCs w:val="0"/>
                <w:sz w:val="24"/>
                <w:szCs w:val="24"/>
                <w:lang w:val="en-US" w:eastAsia="zh-CN"/>
              </w:rPr>
              <w:t>分</w:t>
            </w:r>
            <w:r>
              <w:rPr>
                <w:rFonts w:hint="eastAsia" w:ascii="宋体" w:hAnsi="宋体" w:eastAsia="宋体" w:cs="宋体"/>
                <w:b w:val="0"/>
                <w:bCs w:val="0"/>
                <w:sz w:val="24"/>
                <w:szCs w:val="24"/>
                <w:lang w:eastAsia="zh-CN"/>
              </w:rPr>
              <w:t>）</w:t>
            </w:r>
          </w:p>
        </w:tc>
        <w:tc>
          <w:tcPr>
            <w:tcW w:w="6413" w:type="dxa"/>
            <w:noWrap w:val="0"/>
            <w:vAlign w:val="center"/>
          </w:tcPr>
          <w:p w14:paraId="49AED483">
            <w:pPr>
              <w:keepNext w:val="0"/>
              <w:keepLines w:val="0"/>
              <w:pageBreakBefore w:val="0"/>
              <w:spacing w:line="480" w:lineRule="exact"/>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供应商结合采购需求提供</w:t>
            </w:r>
            <w:r>
              <w:rPr>
                <w:rFonts w:hint="eastAsia" w:ascii="宋体" w:hAnsi="宋体" w:eastAsia="宋体" w:cs="宋体"/>
                <w:b w:val="0"/>
                <w:bCs w:val="0"/>
                <w:sz w:val="24"/>
                <w:szCs w:val="24"/>
              </w:rPr>
              <w:t>OCR技术</w:t>
            </w:r>
            <w:r>
              <w:rPr>
                <w:rFonts w:hint="eastAsia" w:ascii="宋体" w:hAnsi="宋体" w:eastAsia="宋体" w:cs="宋体"/>
                <w:b w:val="0"/>
                <w:bCs w:val="0"/>
                <w:sz w:val="24"/>
                <w:szCs w:val="24"/>
                <w:lang w:val="en-US" w:eastAsia="zh-CN"/>
              </w:rPr>
              <w:t>方案，</w:t>
            </w:r>
            <w:r>
              <w:rPr>
                <w:rFonts w:hint="eastAsia" w:ascii="宋体" w:hAnsi="宋体" w:eastAsia="宋体" w:cs="宋体"/>
                <w:b w:val="0"/>
                <w:bCs w:val="0"/>
                <w:sz w:val="24"/>
                <w:szCs w:val="24"/>
              </w:rPr>
              <w:t>是否针对病历、检查报告等医疗材料提出完整OCR流程；是否包含图像预处理、文字检测、版面分析、文字识别、文本清洗、结构化输出、原</w:t>
            </w:r>
            <w:r>
              <w:rPr>
                <w:rFonts w:hint="eastAsia" w:ascii="宋体" w:hAnsi="宋体" w:eastAsia="宋体" w:cs="宋体"/>
                <w:b w:val="0"/>
                <w:bCs w:val="0"/>
                <w:sz w:val="24"/>
                <w:szCs w:val="24"/>
                <w:lang w:val="en-US" w:eastAsia="zh-CN"/>
              </w:rPr>
              <w:t>件</w:t>
            </w:r>
            <w:r>
              <w:rPr>
                <w:rFonts w:hint="eastAsia" w:ascii="宋体" w:hAnsi="宋体" w:eastAsia="宋体" w:cs="宋体"/>
                <w:b w:val="0"/>
                <w:bCs w:val="0"/>
                <w:sz w:val="24"/>
                <w:szCs w:val="24"/>
              </w:rPr>
              <w:t>追溯等能力</w:t>
            </w:r>
            <w:r>
              <w:rPr>
                <w:rFonts w:hint="eastAsia" w:ascii="宋体" w:hAnsi="宋体" w:eastAsia="宋体" w:cs="宋体"/>
                <w:b w:val="0"/>
                <w:bCs w:val="0"/>
                <w:sz w:val="24"/>
                <w:szCs w:val="24"/>
                <w:lang w:eastAsia="zh-CN"/>
              </w:rPr>
              <w:t>：</w:t>
            </w:r>
          </w:p>
          <w:p w14:paraId="43404AEA">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方案包含上述内容，整体技术方案具有针对性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6</w:t>
            </w:r>
            <w:r>
              <w:rPr>
                <w:rFonts w:hint="eastAsia" w:ascii="宋体" w:hAnsi="宋体" w:eastAsia="宋体" w:cs="宋体"/>
                <w:b/>
                <w:bCs/>
                <w:sz w:val="24"/>
                <w:szCs w:val="24"/>
                <w:lang w:eastAsia="zh-CN"/>
              </w:rPr>
              <w:t>分；</w:t>
            </w:r>
          </w:p>
          <w:p w14:paraId="21C8889C">
            <w:pPr>
              <w:keepNext w:val="0"/>
              <w:keepLines w:val="0"/>
              <w:pageBreakBefore w:val="0"/>
              <w:tabs>
                <w:tab w:val="left" w:pos="1760"/>
              </w:tabs>
              <w:spacing w:line="480" w:lineRule="exact"/>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方案包含上述内容，整体技术方案较具有针对性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内容流程较清晰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可实施性较强的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5</w:t>
            </w:r>
            <w:r>
              <w:rPr>
                <w:rFonts w:hint="eastAsia" w:ascii="宋体" w:hAnsi="宋体" w:eastAsia="宋体" w:cs="宋体"/>
                <w:b/>
                <w:bCs/>
                <w:sz w:val="24"/>
                <w:szCs w:val="24"/>
                <w:lang w:eastAsia="zh-CN"/>
              </w:rPr>
              <w:t>分；</w:t>
            </w:r>
          </w:p>
          <w:p w14:paraId="3ECD1203">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方案基本包含上述内容，整体技术方案较针对性一般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可实施性一般的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3</w:t>
            </w:r>
            <w:r>
              <w:rPr>
                <w:rFonts w:hint="eastAsia" w:ascii="宋体" w:hAnsi="宋体" w:eastAsia="宋体" w:cs="宋体"/>
                <w:b/>
                <w:bCs/>
                <w:sz w:val="24"/>
                <w:szCs w:val="24"/>
                <w:lang w:eastAsia="zh-CN"/>
              </w:rPr>
              <w:t>分；</w:t>
            </w:r>
          </w:p>
          <w:p w14:paraId="12F9C128">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上述内容有缺项，整体技术方案较针对性不强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内容流程合理性不高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可实施性不强的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1</w:t>
            </w:r>
            <w:r>
              <w:rPr>
                <w:rFonts w:hint="eastAsia" w:ascii="宋体" w:hAnsi="宋体" w:eastAsia="宋体" w:cs="宋体"/>
                <w:b/>
                <w:bCs/>
                <w:sz w:val="24"/>
                <w:szCs w:val="24"/>
                <w:lang w:eastAsia="zh-CN"/>
              </w:rPr>
              <w:t>分；</w:t>
            </w:r>
          </w:p>
          <w:p w14:paraId="787607DB">
            <w:pPr>
              <w:keepNext w:val="0"/>
              <w:keepLines w:val="0"/>
              <w:pageBreakBefore w:val="0"/>
              <w:spacing w:line="480" w:lineRule="exact"/>
              <w:jc w:val="left"/>
              <w:rPr>
                <w:rFonts w:hint="eastAsia" w:ascii="宋体" w:hAnsi="宋体" w:eastAsia="宋体" w:cs="宋体"/>
                <w:b w:val="0"/>
                <w:bCs w:val="0"/>
                <w:sz w:val="24"/>
                <w:szCs w:val="24"/>
              </w:rPr>
            </w:pPr>
            <w:r>
              <w:rPr>
                <w:rFonts w:hint="eastAsia" w:ascii="宋体" w:hAnsi="宋体" w:eastAsia="宋体" w:cs="宋体"/>
                <w:b/>
                <w:bCs/>
                <w:sz w:val="24"/>
              </w:rPr>
              <w:t>该项未见描述不得分。</w:t>
            </w:r>
          </w:p>
        </w:tc>
      </w:tr>
      <w:tr w14:paraId="7D2ED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4295301F">
            <w:pPr>
              <w:keepNext w:val="0"/>
              <w:keepLines w:val="0"/>
              <w:pageBreakBefore w:val="0"/>
              <w:spacing w:line="48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大模型技术方案</w:t>
            </w:r>
            <w:r>
              <w:rPr>
                <w:rFonts w:hint="eastAsia" w:ascii="宋体" w:hAnsi="宋体" w:eastAsia="宋体" w:cs="宋体"/>
                <w:b w:val="0"/>
                <w:bCs w:val="0"/>
                <w:sz w:val="24"/>
                <w:szCs w:val="24"/>
                <w:lang w:eastAsia="zh-CN"/>
              </w:rPr>
              <w:t>（</w:t>
            </w:r>
            <w:r>
              <w:rPr>
                <w:rFonts w:hint="default" w:ascii="宋体" w:hAnsi="宋体" w:eastAsia="宋体" w:cs="宋体"/>
                <w:b w:val="0"/>
                <w:bCs w:val="0"/>
                <w:sz w:val="24"/>
                <w:szCs w:val="24"/>
                <w:lang w:val="en-US" w:eastAsia="zh-CN"/>
              </w:rPr>
              <w:t>5</w:t>
            </w:r>
            <w:r>
              <w:rPr>
                <w:rFonts w:hint="eastAsia" w:ascii="宋体" w:hAnsi="宋体" w:eastAsia="宋体" w:cs="宋体"/>
                <w:b w:val="0"/>
                <w:bCs w:val="0"/>
                <w:sz w:val="24"/>
                <w:szCs w:val="24"/>
                <w:lang w:val="en-US" w:eastAsia="zh-CN"/>
              </w:rPr>
              <w:t>分</w:t>
            </w:r>
            <w:r>
              <w:rPr>
                <w:rFonts w:hint="eastAsia" w:ascii="宋体" w:hAnsi="宋体" w:eastAsia="宋体" w:cs="宋体"/>
                <w:b w:val="0"/>
                <w:bCs w:val="0"/>
                <w:sz w:val="24"/>
                <w:szCs w:val="24"/>
                <w:lang w:eastAsia="zh-CN"/>
              </w:rPr>
              <w:t>）</w:t>
            </w:r>
          </w:p>
        </w:tc>
        <w:tc>
          <w:tcPr>
            <w:tcW w:w="6413" w:type="dxa"/>
            <w:noWrap w:val="0"/>
            <w:vAlign w:val="center"/>
          </w:tcPr>
          <w:p w14:paraId="71EDCF53">
            <w:pPr>
              <w:keepNext w:val="0"/>
              <w:keepLines w:val="0"/>
              <w:pageBreakBefore w:val="0"/>
              <w:spacing w:line="480" w:lineRule="exact"/>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供应商结合采购需求提供本地</w:t>
            </w:r>
            <w:r>
              <w:rPr>
                <w:rFonts w:hint="eastAsia" w:ascii="宋体" w:hAnsi="宋体" w:eastAsia="宋体" w:cs="宋体"/>
                <w:sz w:val="24"/>
                <w:szCs w:val="24"/>
              </w:rPr>
              <w:t>或政务云专属环境部署</w:t>
            </w:r>
            <w:r>
              <w:rPr>
                <w:rFonts w:hint="eastAsia" w:ascii="宋体" w:hAnsi="宋体" w:eastAsia="宋体" w:cs="宋体"/>
                <w:b w:val="0"/>
                <w:bCs w:val="0"/>
                <w:sz w:val="24"/>
                <w:szCs w:val="24"/>
              </w:rPr>
              <w:t>大模型技术方案</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是否形成“知识库 + 信息抽取 + RAG检索增强 + 大模型推理 + 可解释输出”的完整技术路线；是否明确</w:t>
            </w:r>
            <w:r>
              <w:rPr>
                <w:rFonts w:hint="eastAsia" w:ascii="宋体" w:hAnsi="宋体" w:eastAsia="宋体" w:cs="宋体"/>
                <w:b w:val="0"/>
                <w:bCs w:val="0"/>
                <w:sz w:val="24"/>
                <w:szCs w:val="24"/>
                <w:lang w:val="en-US" w:eastAsia="zh-CN"/>
              </w:rPr>
              <w:t>基础大模型选型以及</w:t>
            </w:r>
            <w:r>
              <w:rPr>
                <w:rFonts w:hint="eastAsia" w:ascii="宋体" w:hAnsi="宋体" w:eastAsia="宋体" w:cs="宋体"/>
                <w:b w:val="0"/>
                <w:bCs w:val="0"/>
                <w:sz w:val="24"/>
                <w:szCs w:val="24"/>
              </w:rPr>
              <w:t>Embedding、向量库、多路召回、重排、Prompt规则约束、JSON结构化输出、政策依据引用、幻觉控制、人机协同和人工最终决策机制；是否支持持续迭代、知识库更新、模型异常降级和审核结论可追溯</w:t>
            </w:r>
            <w:r>
              <w:rPr>
                <w:rFonts w:hint="eastAsia" w:ascii="宋体" w:hAnsi="宋体" w:eastAsia="宋体" w:cs="宋体"/>
                <w:b w:val="0"/>
                <w:bCs w:val="0"/>
                <w:sz w:val="24"/>
                <w:szCs w:val="24"/>
                <w:lang w:eastAsia="zh-CN"/>
              </w:rPr>
              <w:t>：</w:t>
            </w:r>
          </w:p>
          <w:p w14:paraId="7BFA8EE0">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方案包含上述内容，整体技术方案具有针对性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5</w:t>
            </w:r>
            <w:r>
              <w:rPr>
                <w:rFonts w:hint="eastAsia" w:ascii="宋体" w:hAnsi="宋体" w:eastAsia="宋体" w:cs="宋体"/>
                <w:b/>
                <w:bCs/>
                <w:sz w:val="24"/>
                <w:szCs w:val="24"/>
                <w:lang w:eastAsia="zh-CN"/>
              </w:rPr>
              <w:t>分；</w:t>
            </w:r>
          </w:p>
          <w:p w14:paraId="18CCEA10">
            <w:pPr>
              <w:keepNext w:val="0"/>
              <w:keepLines w:val="0"/>
              <w:pageBreakBefore w:val="0"/>
              <w:tabs>
                <w:tab w:val="left" w:pos="1760"/>
              </w:tabs>
              <w:spacing w:line="480" w:lineRule="exact"/>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方案包含上述内容，整体技术方案较具有针对性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内容流程较清晰</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可实施性较强的</w:t>
            </w:r>
            <w:r>
              <w:rPr>
                <w:rFonts w:hint="eastAsia" w:ascii="宋体" w:hAnsi="宋体" w:eastAsia="宋体" w:cs="宋体"/>
                <w:b/>
                <w:bCs/>
                <w:sz w:val="24"/>
                <w:szCs w:val="24"/>
                <w:lang w:eastAsia="zh-CN"/>
              </w:rPr>
              <w:t>得</w:t>
            </w:r>
            <w:r>
              <w:rPr>
                <w:rFonts w:hint="default" w:ascii="宋体" w:hAnsi="宋体" w:eastAsia="宋体" w:cs="宋体"/>
                <w:b/>
                <w:bCs/>
                <w:sz w:val="24"/>
                <w:szCs w:val="24"/>
                <w:lang w:val="en-US" w:eastAsia="zh-CN"/>
              </w:rPr>
              <w:t>4</w:t>
            </w:r>
            <w:r>
              <w:rPr>
                <w:rFonts w:hint="eastAsia" w:ascii="宋体" w:hAnsi="宋体" w:eastAsia="宋体" w:cs="宋体"/>
                <w:b/>
                <w:bCs/>
                <w:sz w:val="24"/>
                <w:szCs w:val="24"/>
                <w:lang w:eastAsia="zh-CN"/>
              </w:rPr>
              <w:t>分；</w:t>
            </w:r>
          </w:p>
          <w:p w14:paraId="5C035828">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方案基本包含上述内容，整体技术方案较针对性一般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可实施性一般的</w:t>
            </w:r>
            <w:r>
              <w:rPr>
                <w:rFonts w:hint="eastAsia" w:ascii="宋体" w:hAnsi="宋体" w:eastAsia="宋体" w:cs="宋体"/>
                <w:b/>
                <w:bCs/>
                <w:sz w:val="24"/>
                <w:szCs w:val="24"/>
                <w:lang w:eastAsia="zh-CN"/>
              </w:rPr>
              <w:t>得</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分；</w:t>
            </w:r>
          </w:p>
          <w:p w14:paraId="05AB76E4">
            <w:pPr>
              <w:keepNext w:val="0"/>
              <w:keepLines w:val="0"/>
              <w:pageBreakBefore w:val="0"/>
              <w:tabs>
                <w:tab w:val="left" w:pos="1760"/>
              </w:tabs>
              <w:spacing w:line="480" w:lineRule="exact"/>
              <w:jc w:val="left"/>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上述内容有缺项，整体技术方案较针对性不强</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内容流程合理性不高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可实施性不强的</w:t>
            </w:r>
            <w:r>
              <w:rPr>
                <w:rFonts w:hint="eastAsia" w:ascii="宋体" w:hAnsi="宋体" w:eastAsia="宋体" w:cs="宋体"/>
                <w:b/>
                <w:bCs/>
                <w:sz w:val="24"/>
                <w:szCs w:val="24"/>
                <w:lang w:eastAsia="zh-CN"/>
              </w:rPr>
              <w:t>得</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分；</w:t>
            </w:r>
          </w:p>
          <w:p w14:paraId="2EF7C731">
            <w:pPr>
              <w:keepNext w:val="0"/>
              <w:keepLines w:val="0"/>
              <w:pageBreakBefore w:val="0"/>
              <w:spacing w:line="480" w:lineRule="exact"/>
              <w:jc w:val="left"/>
              <w:rPr>
                <w:rFonts w:hint="eastAsia" w:ascii="宋体" w:hAnsi="宋体" w:eastAsia="宋体" w:cs="宋体"/>
                <w:b w:val="0"/>
                <w:bCs w:val="0"/>
                <w:sz w:val="24"/>
                <w:szCs w:val="24"/>
              </w:rPr>
            </w:pPr>
            <w:r>
              <w:rPr>
                <w:rFonts w:hint="eastAsia" w:ascii="宋体" w:hAnsi="宋体" w:eastAsia="宋体" w:cs="宋体"/>
                <w:b/>
                <w:bCs/>
                <w:sz w:val="24"/>
              </w:rPr>
              <w:t>该项未见描述不得分。</w:t>
            </w:r>
          </w:p>
        </w:tc>
      </w:tr>
      <w:tr w14:paraId="54F81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136E262F">
            <w:pPr>
              <w:keepNext w:val="0"/>
              <w:keepLines w:val="0"/>
              <w:pageBreakBefore w:val="0"/>
              <w:widowControl/>
              <w:spacing w:line="480" w:lineRule="exact"/>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人员</w:t>
            </w:r>
            <w:r>
              <w:rPr>
                <w:rFonts w:hint="eastAsia" w:ascii="宋体" w:hAnsi="宋体" w:eastAsia="宋体" w:cs="宋体"/>
                <w:b w:val="0"/>
                <w:bCs w:val="0"/>
                <w:sz w:val="24"/>
                <w:szCs w:val="24"/>
                <w:lang w:val="en-US" w:eastAsia="zh-CN"/>
              </w:rPr>
              <w:t>配置</w:t>
            </w:r>
            <w:r>
              <w:rPr>
                <w:rFonts w:hint="eastAsia" w:ascii="宋体" w:hAnsi="宋体" w:eastAsia="宋体" w:cs="宋体"/>
                <w:b w:val="0"/>
                <w:bCs w:val="0"/>
                <w:sz w:val="24"/>
                <w:szCs w:val="24"/>
              </w:rPr>
              <w:t>方案（5分）</w:t>
            </w:r>
          </w:p>
        </w:tc>
        <w:tc>
          <w:tcPr>
            <w:tcW w:w="6413" w:type="dxa"/>
            <w:noWrap w:val="0"/>
            <w:vAlign w:val="center"/>
          </w:tcPr>
          <w:p w14:paraId="1D4971DE">
            <w:pPr>
              <w:keepNext w:val="0"/>
              <w:keepLines w:val="0"/>
              <w:pageBreakBefore w:val="0"/>
              <w:spacing w:line="48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供应商</w:t>
            </w:r>
            <w:r>
              <w:rPr>
                <w:rFonts w:hint="eastAsia" w:ascii="宋体" w:hAnsi="宋体" w:eastAsia="宋体" w:cs="宋体"/>
                <w:b w:val="0"/>
                <w:bCs w:val="0"/>
                <w:sz w:val="24"/>
                <w:szCs w:val="24"/>
                <w:lang w:val="zh-CN"/>
              </w:rPr>
              <w:t>根据本项目特点提供项目</w:t>
            </w:r>
            <w:r>
              <w:rPr>
                <w:rFonts w:hint="eastAsia" w:ascii="宋体" w:hAnsi="宋体" w:eastAsia="宋体" w:cs="宋体"/>
                <w:b w:val="0"/>
                <w:bCs w:val="0"/>
                <w:sz w:val="24"/>
                <w:szCs w:val="24"/>
              </w:rPr>
              <w:t>人员</w:t>
            </w:r>
            <w:r>
              <w:rPr>
                <w:rFonts w:hint="eastAsia" w:ascii="宋体" w:hAnsi="宋体" w:eastAsia="宋体" w:cs="宋体"/>
                <w:b w:val="0"/>
                <w:bCs w:val="0"/>
                <w:sz w:val="24"/>
                <w:szCs w:val="24"/>
                <w:lang w:val="en-US" w:eastAsia="zh-CN"/>
              </w:rPr>
              <w:t>配置</w:t>
            </w:r>
            <w:r>
              <w:rPr>
                <w:rFonts w:hint="eastAsia" w:ascii="宋体" w:hAnsi="宋体" w:eastAsia="宋体" w:cs="宋体"/>
                <w:b w:val="0"/>
                <w:bCs w:val="0"/>
                <w:sz w:val="24"/>
                <w:szCs w:val="24"/>
              </w:rPr>
              <w:t>方案</w:t>
            </w:r>
            <w:r>
              <w:rPr>
                <w:rFonts w:hint="eastAsia" w:ascii="宋体" w:hAnsi="宋体" w:eastAsia="宋体" w:cs="宋体"/>
                <w:b w:val="0"/>
                <w:bCs w:val="0"/>
                <w:sz w:val="24"/>
                <w:szCs w:val="24"/>
                <w:lang w:val="zh-CN"/>
              </w:rPr>
              <w:t>，内容包含但不限于项目</w:t>
            </w:r>
            <w:r>
              <w:rPr>
                <w:rFonts w:hint="eastAsia" w:ascii="宋体" w:hAnsi="宋体" w:eastAsia="宋体" w:cs="宋体"/>
                <w:b w:val="0"/>
                <w:bCs w:val="0"/>
                <w:sz w:val="24"/>
                <w:szCs w:val="24"/>
              </w:rPr>
              <w:t>人员</w:t>
            </w:r>
            <w:r>
              <w:rPr>
                <w:rFonts w:hint="eastAsia" w:ascii="宋体" w:hAnsi="宋体" w:eastAsia="宋体" w:cs="宋体"/>
                <w:b w:val="0"/>
                <w:bCs w:val="0"/>
                <w:sz w:val="24"/>
                <w:szCs w:val="24"/>
                <w:lang w:val="en-US" w:eastAsia="zh-CN"/>
              </w:rPr>
              <w:t>配置</w:t>
            </w:r>
            <w:r>
              <w:rPr>
                <w:rFonts w:hint="eastAsia" w:ascii="宋体" w:hAnsi="宋体" w:eastAsia="宋体" w:cs="宋体"/>
                <w:b w:val="0"/>
                <w:bCs w:val="0"/>
                <w:sz w:val="24"/>
                <w:szCs w:val="24"/>
                <w:lang w:val="zh-CN"/>
              </w:rPr>
              <w:t>、</w:t>
            </w:r>
            <w:r>
              <w:rPr>
                <w:rFonts w:hint="eastAsia" w:ascii="宋体" w:hAnsi="宋体" w:eastAsia="宋体" w:cs="宋体"/>
                <w:b w:val="0"/>
                <w:bCs w:val="0"/>
                <w:sz w:val="24"/>
                <w:szCs w:val="24"/>
              </w:rPr>
              <w:t>角色配置、沟通协作机制、风险管理</w:t>
            </w:r>
            <w:r>
              <w:rPr>
                <w:rFonts w:hint="eastAsia" w:ascii="宋体" w:hAnsi="宋体" w:eastAsia="宋体" w:cs="宋体"/>
                <w:b w:val="0"/>
                <w:bCs w:val="0"/>
                <w:sz w:val="24"/>
                <w:szCs w:val="24"/>
                <w:lang w:val="zh-CN"/>
              </w:rPr>
              <w:t>等：</w:t>
            </w:r>
          </w:p>
          <w:p w14:paraId="15C76B5C">
            <w:pPr>
              <w:keepNext w:val="0"/>
              <w:keepLines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方案内容详实</w:t>
            </w:r>
            <w:r>
              <w:rPr>
                <w:rFonts w:hint="eastAsia" w:ascii="宋体" w:hAnsi="宋体" w:eastAsia="宋体" w:cs="宋体"/>
                <w:b w:val="0"/>
                <w:bCs w:val="0"/>
                <w:sz w:val="24"/>
                <w:szCs w:val="24"/>
              </w:rPr>
              <w:t>完整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人员安排流程合理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可行性高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风险可控</w:t>
            </w:r>
            <w:r>
              <w:rPr>
                <w:rFonts w:hint="eastAsia" w:ascii="宋体" w:hAnsi="宋体" w:eastAsia="宋体" w:cs="宋体"/>
                <w:b w:val="0"/>
                <w:bCs w:val="0"/>
                <w:sz w:val="24"/>
                <w:szCs w:val="24"/>
                <w:lang w:val="zh-CN"/>
              </w:rPr>
              <w:t>的</w:t>
            </w:r>
            <w:r>
              <w:rPr>
                <w:rFonts w:hint="eastAsia" w:ascii="宋体" w:hAnsi="宋体" w:eastAsia="宋体" w:cs="宋体"/>
                <w:b/>
                <w:bCs/>
                <w:sz w:val="24"/>
                <w:szCs w:val="24"/>
                <w:lang w:val="zh-CN"/>
              </w:rPr>
              <w:t>得5分；</w:t>
            </w:r>
          </w:p>
          <w:p w14:paraId="6491E20C">
            <w:pPr>
              <w:keepNext w:val="0"/>
              <w:keepLines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方案内容</w:t>
            </w:r>
            <w:r>
              <w:rPr>
                <w:rFonts w:hint="eastAsia" w:ascii="宋体" w:hAnsi="宋体" w:eastAsia="宋体" w:cs="宋体"/>
                <w:b w:val="0"/>
                <w:bCs w:val="0"/>
                <w:sz w:val="24"/>
                <w:szCs w:val="24"/>
              </w:rPr>
              <w:t>较</w:t>
            </w:r>
            <w:r>
              <w:rPr>
                <w:rFonts w:hint="eastAsia" w:ascii="宋体" w:hAnsi="宋体" w:eastAsia="宋体" w:cs="宋体"/>
                <w:b w:val="0"/>
                <w:bCs w:val="0"/>
                <w:sz w:val="24"/>
                <w:szCs w:val="24"/>
                <w:lang w:val="zh-CN"/>
              </w:rPr>
              <w:t>详实</w:t>
            </w:r>
            <w:r>
              <w:rPr>
                <w:rFonts w:hint="eastAsia" w:ascii="宋体" w:hAnsi="宋体" w:eastAsia="宋体" w:cs="宋体"/>
                <w:b w:val="0"/>
                <w:bCs w:val="0"/>
                <w:sz w:val="24"/>
                <w:szCs w:val="24"/>
              </w:rPr>
              <w:t>完整</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人员安排流程较合理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可行性较高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风险较可控</w:t>
            </w:r>
            <w:r>
              <w:rPr>
                <w:rFonts w:hint="eastAsia" w:ascii="宋体" w:hAnsi="宋体" w:eastAsia="宋体" w:cs="宋体"/>
                <w:b w:val="0"/>
                <w:bCs w:val="0"/>
                <w:sz w:val="24"/>
                <w:szCs w:val="24"/>
                <w:lang w:val="zh-CN"/>
              </w:rPr>
              <w:t>的</w:t>
            </w:r>
            <w:r>
              <w:rPr>
                <w:rFonts w:hint="eastAsia" w:ascii="宋体" w:hAnsi="宋体" w:eastAsia="宋体" w:cs="宋体"/>
                <w:b/>
                <w:bCs/>
                <w:sz w:val="24"/>
                <w:szCs w:val="24"/>
                <w:lang w:val="zh-CN"/>
              </w:rPr>
              <w:t>得</w:t>
            </w:r>
            <w:r>
              <w:rPr>
                <w:rFonts w:hint="eastAsia" w:ascii="宋体" w:hAnsi="宋体" w:eastAsia="宋体" w:cs="宋体"/>
                <w:b/>
                <w:bCs/>
                <w:sz w:val="24"/>
                <w:szCs w:val="24"/>
              </w:rPr>
              <w:t>4</w:t>
            </w:r>
            <w:r>
              <w:rPr>
                <w:rFonts w:hint="eastAsia" w:ascii="宋体" w:hAnsi="宋体" w:eastAsia="宋体" w:cs="宋体"/>
                <w:b/>
                <w:bCs/>
                <w:sz w:val="24"/>
                <w:szCs w:val="24"/>
                <w:lang w:val="zh-CN"/>
              </w:rPr>
              <w:t>分；</w:t>
            </w:r>
          </w:p>
          <w:p w14:paraId="2E7CF1D0">
            <w:pPr>
              <w:keepNext w:val="0"/>
              <w:keepLines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方案内容</w:t>
            </w:r>
            <w:r>
              <w:rPr>
                <w:rFonts w:hint="eastAsia" w:ascii="宋体" w:hAnsi="宋体" w:eastAsia="宋体" w:cs="宋体"/>
                <w:b w:val="0"/>
                <w:bCs w:val="0"/>
                <w:sz w:val="24"/>
                <w:szCs w:val="24"/>
                <w:lang w:val="en-US" w:eastAsia="zh-CN"/>
              </w:rPr>
              <w:t>简单</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人员安排流程</w:t>
            </w:r>
            <w:r>
              <w:rPr>
                <w:rFonts w:hint="eastAsia" w:ascii="宋体" w:hAnsi="宋体" w:eastAsia="宋体" w:cs="宋体"/>
                <w:b w:val="0"/>
                <w:bCs w:val="0"/>
                <w:sz w:val="24"/>
                <w:szCs w:val="24"/>
                <w:lang w:val="en-US" w:eastAsia="zh-CN"/>
              </w:rPr>
              <w:t>合理性</w:t>
            </w:r>
            <w:r>
              <w:rPr>
                <w:rFonts w:hint="eastAsia" w:ascii="宋体" w:hAnsi="宋体" w:eastAsia="宋体" w:cs="宋体"/>
                <w:b w:val="0"/>
                <w:bCs w:val="0"/>
                <w:sz w:val="24"/>
                <w:szCs w:val="24"/>
              </w:rPr>
              <w:t>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可行性一般</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风险可控一般</w:t>
            </w:r>
            <w:r>
              <w:rPr>
                <w:rFonts w:hint="eastAsia" w:ascii="宋体" w:hAnsi="宋体" w:eastAsia="宋体" w:cs="宋体"/>
                <w:b w:val="0"/>
                <w:bCs w:val="0"/>
                <w:sz w:val="24"/>
                <w:szCs w:val="24"/>
                <w:lang w:val="zh-CN"/>
              </w:rPr>
              <w:t>的</w:t>
            </w:r>
            <w:r>
              <w:rPr>
                <w:rFonts w:hint="eastAsia" w:ascii="宋体" w:hAnsi="宋体" w:eastAsia="宋体" w:cs="宋体"/>
                <w:b/>
                <w:bCs/>
                <w:sz w:val="24"/>
                <w:szCs w:val="24"/>
                <w:lang w:val="zh-CN"/>
              </w:rPr>
              <w:t>得</w:t>
            </w:r>
            <w:r>
              <w:rPr>
                <w:rFonts w:hint="eastAsia" w:ascii="宋体" w:hAnsi="宋体" w:eastAsia="宋体" w:cs="宋体"/>
                <w:b/>
                <w:bCs/>
                <w:sz w:val="24"/>
                <w:szCs w:val="24"/>
              </w:rPr>
              <w:t>3</w:t>
            </w:r>
            <w:r>
              <w:rPr>
                <w:rFonts w:hint="eastAsia" w:ascii="宋体" w:hAnsi="宋体" w:eastAsia="宋体" w:cs="宋体"/>
                <w:b/>
                <w:bCs/>
                <w:sz w:val="24"/>
                <w:szCs w:val="24"/>
                <w:lang w:val="zh-CN"/>
              </w:rPr>
              <w:t>分；</w:t>
            </w:r>
          </w:p>
          <w:p w14:paraId="3E0AC22F">
            <w:pPr>
              <w:keepNext w:val="0"/>
              <w:keepLines w:val="0"/>
              <w:pageBreakBefore w:val="0"/>
              <w:tabs>
                <w:tab w:val="left" w:pos="1760"/>
              </w:tabs>
              <w:spacing w:line="480" w:lineRule="exact"/>
              <w:jc w:val="left"/>
              <w:rPr>
                <w:rFonts w:hint="eastAsia"/>
                <w:lang w:val="zh-CN"/>
              </w:rPr>
            </w:pPr>
            <w:r>
              <w:rPr>
                <w:rFonts w:hint="eastAsia" w:ascii="宋体" w:hAnsi="宋体" w:eastAsia="宋体" w:cs="宋体"/>
                <w:b w:val="0"/>
                <w:bCs w:val="0"/>
                <w:sz w:val="24"/>
                <w:szCs w:val="24"/>
                <w:lang w:val="zh-CN"/>
              </w:rPr>
              <w:t>方案内容</w:t>
            </w:r>
            <w:r>
              <w:rPr>
                <w:rFonts w:hint="eastAsia" w:ascii="宋体" w:hAnsi="宋体" w:eastAsia="宋体" w:cs="宋体"/>
                <w:b w:val="0"/>
                <w:bCs w:val="0"/>
                <w:sz w:val="24"/>
                <w:szCs w:val="24"/>
                <w:lang w:val="en-US" w:eastAsia="zh-CN"/>
              </w:rPr>
              <w:t>简单粗糙，合理性不高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可实施性不强的</w:t>
            </w:r>
            <w:r>
              <w:rPr>
                <w:rFonts w:hint="eastAsia" w:ascii="宋体" w:hAnsi="宋体" w:eastAsia="宋体" w:cs="宋体"/>
                <w:b/>
                <w:bCs/>
                <w:sz w:val="24"/>
                <w:szCs w:val="24"/>
                <w:lang w:eastAsia="zh-CN"/>
              </w:rPr>
              <w:t>得</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分；</w:t>
            </w:r>
          </w:p>
          <w:p w14:paraId="3E7C1924">
            <w:pPr>
              <w:keepNext w:val="0"/>
              <w:keepLines w:val="0"/>
              <w:pageBreakBefore w:val="0"/>
              <w:spacing w:line="480" w:lineRule="exact"/>
              <w:jc w:val="left"/>
              <w:rPr>
                <w:rFonts w:hint="eastAsia" w:ascii="宋体" w:hAnsi="宋体" w:eastAsia="宋体" w:cs="宋体"/>
                <w:b w:val="0"/>
                <w:bCs w:val="0"/>
                <w:sz w:val="24"/>
                <w:szCs w:val="24"/>
                <w:lang w:val="en-US" w:eastAsia="zh-CN" w:bidi="ar-SA"/>
              </w:rPr>
            </w:pPr>
            <w:r>
              <w:rPr>
                <w:rFonts w:hint="eastAsia" w:ascii="宋体" w:hAnsi="宋体" w:eastAsia="宋体" w:cs="宋体"/>
                <w:b/>
                <w:bCs/>
                <w:sz w:val="24"/>
              </w:rPr>
              <w:t>该项未见描述不得分。</w:t>
            </w:r>
          </w:p>
        </w:tc>
      </w:tr>
      <w:tr w14:paraId="42162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22729D6E">
            <w:pPr>
              <w:keepNext w:val="0"/>
              <w:keepLines w:val="0"/>
              <w:pageBreakBefore w:val="0"/>
              <w:widowControl/>
              <w:spacing w:line="48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val="en-US" w:eastAsia="zh-CN"/>
              </w:rPr>
              <w:t>项目</w:t>
            </w:r>
            <w:r>
              <w:rPr>
                <w:rFonts w:hint="eastAsia" w:ascii="宋体" w:hAnsi="宋体" w:eastAsia="宋体" w:cs="宋体"/>
                <w:b w:val="0"/>
                <w:bCs w:val="0"/>
                <w:color w:val="000000"/>
                <w:sz w:val="24"/>
                <w:szCs w:val="24"/>
              </w:rPr>
              <w:t>进度方案（5分）</w:t>
            </w:r>
          </w:p>
        </w:tc>
        <w:tc>
          <w:tcPr>
            <w:tcW w:w="6413" w:type="dxa"/>
            <w:noWrap w:val="0"/>
            <w:vAlign w:val="center"/>
          </w:tcPr>
          <w:p w14:paraId="52EF1B6D">
            <w:pPr>
              <w:keepNext w:val="0"/>
              <w:keepLines w:val="0"/>
              <w:pageBreakBefore w:val="0"/>
              <w:widowControl/>
              <w:spacing w:line="480" w:lineRule="exact"/>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供应商</w:t>
            </w:r>
            <w:r>
              <w:rPr>
                <w:rFonts w:hint="eastAsia" w:ascii="宋体" w:hAnsi="宋体" w:eastAsia="宋体" w:cs="宋体"/>
                <w:b w:val="0"/>
                <w:bCs w:val="0"/>
                <w:sz w:val="24"/>
                <w:szCs w:val="24"/>
              </w:rPr>
              <w:t>根据本项目特点提供开发进度方案，内容包括但不限于</w:t>
            </w:r>
            <w:r>
              <w:rPr>
                <w:rFonts w:hint="eastAsia" w:ascii="宋体" w:hAnsi="宋体" w:eastAsia="宋体" w:cs="宋体"/>
                <w:b w:val="0"/>
                <w:bCs w:val="0"/>
                <w:color w:val="000000"/>
                <w:sz w:val="24"/>
                <w:szCs w:val="24"/>
              </w:rPr>
              <w:t>进度需求理解、进度计划等</w:t>
            </w:r>
            <w:r>
              <w:rPr>
                <w:rFonts w:hint="eastAsia" w:ascii="宋体" w:hAnsi="宋体" w:eastAsia="宋体" w:cs="宋体"/>
                <w:b w:val="0"/>
                <w:bCs w:val="0"/>
                <w:color w:val="000000"/>
                <w:sz w:val="24"/>
                <w:szCs w:val="24"/>
                <w:lang w:eastAsia="zh-CN"/>
              </w:rPr>
              <w:t>：</w:t>
            </w:r>
          </w:p>
          <w:p w14:paraId="6F0AF901">
            <w:pPr>
              <w:keepNext w:val="0"/>
              <w:keepLines w:val="0"/>
              <w:pageBreakBefore w:val="0"/>
              <w:widowControl/>
              <w:spacing w:line="480" w:lineRule="exact"/>
              <w:jc w:val="left"/>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项目整体</w:t>
            </w:r>
            <w:r>
              <w:rPr>
                <w:rFonts w:hint="eastAsia" w:ascii="宋体" w:hAnsi="宋体" w:eastAsia="宋体" w:cs="宋体"/>
                <w:b w:val="0"/>
                <w:bCs w:val="0"/>
                <w:color w:val="000000"/>
                <w:sz w:val="24"/>
                <w:szCs w:val="24"/>
              </w:rPr>
              <w:t>进度</w:t>
            </w:r>
            <w:r>
              <w:rPr>
                <w:rFonts w:hint="eastAsia" w:ascii="宋体" w:hAnsi="宋体" w:eastAsia="宋体" w:cs="宋体"/>
                <w:b w:val="0"/>
                <w:bCs w:val="0"/>
                <w:color w:val="000000"/>
                <w:sz w:val="24"/>
                <w:szCs w:val="24"/>
                <w:lang w:val="en-US" w:eastAsia="zh-CN"/>
              </w:rPr>
              <w:t>安排合理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进度计划可行</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进度安排描述详细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可实施性强</w:t>
            </w:r>
            <w:r>
              <w:rPr>
                <w:rFonts w:hint="eastAsia" w:ascii="宋体" w:hAnsi="宋体" w:eastAsia="宋体" w:cs="宋体"/>
                <w:b w:val="0"/>
                <w:bCs w:val="0"/>
                <w:color w:val="000000"/>
                <w:sz w:val="24"/>
                <w:szCs w:val="24"/>
              </w:rPr>
              <w:t>的</w:t>
            </w:r>
            <w:r>
              <w:rPr>
                <w:rFonts w:hint="eastAsia" w:ascii="宋体" w:hAnsi="宋体" w:eastAsia="宋体" w:cs="宋体"/>
                <w:b/>
                <w:bCs/>
                <w:sz w:val="24"/>
                <w:szCs w:val="24"/>
              </w:rPr>
              <w:t>得5分</w:t>
            </w:r>
            <w:r>
              <w:rPr>
                <w:rFonts w:hint="eastAsia" w:ascii="宋体" w:hAnsi="宋体" w:eastAsia="宋体" w:cs="宋体"/>
                <w:b/>
                <w:bCs/>
                <w:color w:val="000000"/>
                <w:sz w:val="24"/>
                <w:szCs w:val="24"/>
              </w:rPr>
              <w:t>；</w:t>
            </w:r>
          </w:p>
          <w:p w14:paraId="1111C400">
            <w:pPr>
              <w:keepNext w:val="0"/>
              <w:keepLines w:val="0"/>
              <w:pageBreakBefore w:val="0"/>
              <w:widowControl/>
              <w:spacing w:line="480" w:lineRule="exact"/>
              <w:jc w:val="left"/>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项目整体</w:t>
            </w:r>
            <w:r>
              <w:rPr>
                <w:rFonts w:hint="eastAsia" w:ascii="宋体" w:hAnsi="宋体" w:eastAsia="宋体" w:cs="宋体"/>
                <w:b w:val="0"/>
                <w:bCs w:val="0"/>
                <w:color w:val="000000"/>
                <w:sz w:val="24"/>
                <w:szCs w:val="24"/>
              </w:rPr>
              <w:t>进度</w:t>
            </w:r>
            <w:r>
              <w:rPr>
                <w:rFonts w:hint="eastAsia" w:ascii="宋体" w:hAnsi="宋体" w:eastAsia="宋体" w:cs="宋体"/>
                <w:b w:val="0"/>
                <w:bCs w:val="0"/>
                <w:color w:val="000000"/>
                <w:sz w:val="24"/>
                <w:szCs w:val="24"/>
                <w:lang w:val="en-US" w:eastAsia="zh-CN"/>
              </w:rPr>
              <w:t>安排较合理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进度计划</w:t>
            </w:r>
            <w:r>
              <w:rPr>
                <w:rFonts w:hint="eastAsia" w:ascii="宋体" w:hAnsi="宋体" w:eastAsia="宋体" w:cs="宋体"/>
                <w:b w:val="0"/>
                <w:bCs w:val="0"/>
                <w:color w:val="000000"/>
                <w:sz w:val="24"/>
                <w:szCs w:val="24"/>
                <w:lang w:val="en-US" w:eastAsia="zh-CN"/>
              </w:rPr>
              <w:t>较</w:t>
            </w:r>
            <w:r>
              <w:rPr>
                <w:rFonts w:hint="eastAsia" w:ascii="宋体" w:hAnsi="宋体" w:eastAsia="宋体" w:cs="宋体"/>
                <w:b w:val="0"/>
                <w:bCs w:val="0"/>
                <w:color w:val="000000"/>
                <w:sz w:val="24"/>
                <w:szCs w:val="24"/>
              </w:rPr>
              <w:t>可行</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进度安排描述</w:t>
            </w:r>
            <w:r>
              <w:rPr>
                <w:rFonts w:hint="eastAsia" w:ascii="宋体" w:hAnsi="宋体" w:eastAsia="宋体" w:cs="宋体"/>
                <w:b w:val="0"/>
                <w:bCs w:val="0"/>
                <w:color w:val="000000"/>
                <w:sz w:val="24"/>
                <w:szCs w:val="24"/>
                <w:lang w:val="en-US" w:eastAsia="zh-CN"/>
              </w:rPr>
              <w:t>较</w:t>
            </w:r>
            <w:r>
              <w:rPr>
                <w:rFonts w:hint="eastAsia" w:ascii="宋体" w:hAnsi="宋体" w:eastAsia="宋体" w:cs="宋体"/>
                <w:b w:val="0"/>
                <w:bCs w:val="0"/>
                <w:color w:val="000000"/>
                <w:sz w:val="24"/>
                <w:szCs w:val="24"/>
              </w:rPr>
              <w:t>详细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可实施性较强</w:t>
            </w:r>
            <w:r>
              <w:rPr>
                <w:rFonts w:hint="eastAsia" w:ascii="宋体" w:hAnsi="宋体" w:eastAsia="宋体" w:cs="宋体"/>
                <w:b w:val="0"/>
                <w:bCs w:val="0"/>
                <w:color w:val="000000"/>
                <w:sz w:val="24"/>
                <w:szCs w:val="24"/>
              </w:rPr>
              <w:t>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分</w:t>
            </w:r>
            <w:r>
              <w:rPr>
                <w:rFonts w:hint="eastAsia" w:ascii="宋体" w:hAnsi="宋体" w:eastAsia="宋体" w:cs="宋体"/>
                <w:b/>
                <w:bCs/>
                <w:color w:val="000000"/>
                <w:sz w:val="24"/>
                <w:szCs w:val="24"/>
              </w:rPr>
              <w:t>；</w:t>
            </w:r>
          </w:p>
          <w:p w14:paraId="2C1F4154">
            <w:pPr>
              <w:keepNext w:val="0"/>
              <w:keepLines w:val="0"/>
              <w:pageBreakBefore w:val="0"/>
              <w:widowControl/>
              <w:spacing w:line="480" w:lineRule="exact"/>
              <w:jc w:val="left"/>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项目整体</w:t>
            </w:r>
            <w:r>
              <w:rPr>
                <w:rFonts w:hint="eastAsia" w:ascii="宋体" w:hAnsi="宋体" w:eastAsia="宋体" w:cs="宋体"/>
                <w:b w:val="0"/>
                <w:bCs w:val="0"/>
                <w:color w:val="000000"/>
                <w:sz w:val="24"/>
                <w:szCs w:val="24"/>
              </w:rPr>
              <w:t>进度</w:t>
            </w:r>
            <w:r>
              <w:rPr>
                <w:rFonts w:hint="eastAsia" w:ascii="宋体" w:hAnsi="宋体" w:eastAsia="宋体" w:cs="宋体"/>
                <w:b w:val="0"/>
                <w:bCs w:val="0"/>
                <w:color w:val="000000"/>
                <w:sz w:val="24"/>
                <w:szCs w:val="24"/>
                <w:lang w:val="en-US" w:eastAsia="zh-CN"/>
              </w:rPr>
              <w:t>安排合理性一般</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进度计划可行</w:t>
            </w:r>
            <w:r>
              <w:rPr>
                <w:rFonts w:hint="eastAsia" w:ascii="宋体" w:hAnsi="宋体" w:eastAsia="宋体" w:cs="宋体"/>
                <w:b w:val="0"/>
                <w:bCs w:val="0"/>
                <w:color w:val="000000"/>
                <w:sz w:val="24"/>
                <w:szCs w:val="24"/>
                <w:lang w:val="en-US" w:eastAsia="zh-CN"/>
              </w:rPr>
              <w:t>性一般</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进度安排描述</w:t>
            </w:r>
            <w:r>
              <w:rPr>
                <w:rFonts w:hint="eastAsia" w:ascii="宋体" w:hAnsi="宋体" w:eastAsia="宋体" w:cs="宋体"/>
                <w:b w:val="0"/>
                <w:bCs w:val="0"/>
                <w:color w:val="000000"/>
                <w:sz w:val="24"/>
                <w:szCs w:val="24"/>
                <w:lang w:val="en-US" w:eastAsia="zh-CN"/>
              </w:rPr>
              <w:t>内容简单</w:t>
            </w:r>
            <w:r>
              <w:rPr>
                <w:rFonts w:hint="eastAsia" w:ascii="宋体" w:hAnsi="宋体" w:eastAsia="宋体" w:cs="宋体"/>
                <w:b w:val="0"/>
                <w:bCs w:val="0"/>
                <w:color w:val="000000"/>
                <w:sz w:val="24"/>
                <w:szCs w:val="24"/>
              </w:rPr>
              <w:t>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分</w:t>
            </w:r>
            <w:r>
              <w:rPr>
                <w:rFonts w:hint="eastAsia" w:ascii="宋体" w:hAnsi="宋体" w:eastAsia="宋体" w:cs="宋体"/>
                <w:b/>
                <w:bCs/>
                <w:color w:val="000000"/>
                <w:sz w:val="24"/>
                <w:szCs w:val="24"/>
              </w:rPr>
              <w:t>；</w:t>
            </w:r>
          </w:p>
          <w:p w14:paraId="46E91983">
            <w:pPr>
              <w:keepNext w:val="0"/>
              <w:keepLines w:val="0"/>
              <w:pageBreakBefore w:val="0"/>
              <w:widowControl/>
              <w:spacing w:line="480" w:lineRule="exact"/>
              <w:jc w:val="left"/>
              <w:rPr>
                <w:rFonts w:hint="eastAsia"/>
              </w:rPr>
            </w:pPr>
            <w:r>
              <w:rPr>
                <w:rFonts w:hint="eastAsia" w:ascii="宋体" w:hAnsi="宋体" w:eastAsia="宋体" w:cs="宋体"/>
                <w:b w:val="0"/>
                <w:bCs w:val="0"/>
                <w:color w:val="000000"/>
                <w:sz w:val="24"/>
                <w:szCs w:val="24"/>
                <w:lang w:val="en-US" w:eastAsia="zh-CN"/>
              </w:rPr>
              <w:t>项目整体</w:t>
            </w:r>
            <w:r>
              <w:rPr>
                <w:rFonts w:hint="eastAsia" w:ascii="宋体" w:hAnsi="宋体" w:eastAsia="宋体" w:cs="宋体"/>
                <w:b w:val="0"/>
                <w:bCs w:val="0"/>
                <w:color w:val="000000"/>
                <w:sz w:val="24"/>
                <w:szCs w:val="24"/>
              </w:rPr>
              <w:t>进度</w:t>
            </w:r>
            <w:r>
              <w:rPr>
                <w:rFonts w:hint="eastAsia" w:ascii="宋体" w:hAnsi="宋体" w:eastAsia="宋体" w:cs="宋体"/>
                <w:b w:val="0"/>
                <w:bCs w:val="0"/>
                <w:color w:val="000000"/>
                <w:sz w:val="24"/>
                <w:szCs w:val="24"/>
                <w:lang w:val="en-US" w:eastAsia="zh-CN"/>
              </w:rPr>
              <w:t>安排合理性不高</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进度计划可行</w:t>
            </w:r>
            <w:r>
              <w:rPr>
                <w:rFonts w:hint="eastAsia" w:ascii="宋体" w:hAnsi="宋体" w:eastAsia="宋体" w:cs="宋体"/>
                <w:b w:val="0"/>
                <w:bCs w:val="0"/>
                <w:color w:val="000000"/>
                <w:sz w:val="24"/>
                <w:szCs w:val="24"/>
                <w:lang w:val="en-US" w:eastAsia="zh-CN"/>
              </w:rPr>
              <w:t>性不强</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进度安排描述</w:t>
            </w:r>
            <w:r>
              <w:rPr>
                <w:rFonts w:hint="eastAsia" w:ascii="宋体" w:hAnsi="宋体" w:eastAsia="宋体" w:cs="宋体"/>
                <w:b w:val="0"/>
                <w:bCs w:val="0"/>
                <w:color w:val="000000"/>
                <w:sz w:val="24"/>
                <w:szCs w:val="24"/>
                <w:lang w:val="en-US" w:eastAsia="zh-CN"/>
              </w:rPr>
              <w:t>内容粗糙</w:t>
            </w:r>
            <w:r>
              <w:rPr>
                <w:rFonts w:hint="eastAsia" w:ascii="宋体" w:hAnsi="宋体" w:eastAsia="宋体" w:cs="宋体"/>
                <w:b w:val="0"/>
                <w:bCs w:val="0"/>
                <w:color w:val="000000"/>
                <w:sz w:val="24"/>
                <w:szCs w:val="24"/>
              </w:rPr>
              <w:t>的</w:t>
            </w:r>
            <w:r>
              <w:rPr>
                <w:rFonts w:hint="eastAsia" w:ascii="宋体" w:hAnsi="宋体" w:eastAsia="宋体" w:cs="宋体"/>
                <w:b/>
                <w:bCs/>
                <w:sz w:val="24"/>
                <w:szCs w:val="24"/>
              </w:rPr>
              <w:t>得</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分</w:t>
            </w:r>
            <w:r>
              <w:rPr>
                <w:rFonts w:hint="eastAsia" w:ascii="宋体" w:hAnsi="宋体" w:eastAsia="宋体" w:cs="宋体"/>
                <w:b/>
                <w:bCs/>
                <w:color w:val="000000"/>
                <w:sz w:val="24"/>
                <w:szCs w:val="24"/>
              </w:rPr>
              <w:t>；</w:t>
            </w:r>
          </w:p>
          <w:p w14:paraId="60215C5D">
            <w:pPr>
              <w:keepNext w:val="0"/>
              <w:keepLines w:val="0"/>
              <w:pageBreakBefore w:val="0"/>
              <w:spacing w:line="480" w:lineRule="exact"/>
              <w:jc w:val="left"/>
              <w:rPr>
                <w:rFonts w:hint="eastAsia" w:ascii="宋体" w:hAnsi="宋体" w:eastAsia="宋体" w:cs="宋体"/>
                <w:b w:val="0"/>
                <w:bCs w:val="0"/>
                <w:sz w:val="24"/>
                <w:szCs w:val="24"/>
              </w:rPr>
            </w:pPr>
            <w:r>
              <w:rPr>
                <w:rFonts w:hint="eastAsia" w:ascii="宋体" w:hAnsi="宋体" w:eastAsia="宋体" w:cs="宋体"/>
                <w:b/>
                <w:bCs/>
                <w:sz w:val="24"/>
              </w:rPr>
              <w:t>该项未见描述不得分。</w:t>
            </w:r>
          </w:p>
        </w:tc>
      </w:tr>
      <w:tr w14:paraId="3E0CA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5FAE2687">
            <w:pPr>
              <w:keepNext w:val="0"/>
              <w:keepLines w:val="0"/>
              <w:pageBreakBefore w:val="0"/>
              <w:widowControl/>
              <w:spacing w:line="480" w:lineRule="exact"/>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项目实施方案（5分）</w:t>
            </w:r>
          </w:p>
        </w:tc>
        <w:tc>
          <w:tcPr>
            <w:tcW w:w="6413" w:type="dxa"/>
            <w:noWrap w:val="0"/>
            <w:vAlign w:val="center"/>
          </w:tcPr>
          <w:p w14:paraId="384F0A48">
            <w:pPr>
              <w:keepNext w:val="0"/>
              <w:keepLines w:val="0"/>
              <w:pageBreakBefore w:val="0"/>
              <w:spacing w:line="48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供应商</w:t>
            </w:r>
            <w:r>
              <w:rPr>
                <w:rFonts w:hint="eastAsia" w:ascii="宋体" w:hAnsi="宋体" w:eastAsia="宋体" w:cs="宋体"/>
                <w:b w:val="0"/>
                <w:bCs w:val="0"/>
                <w:sz w:val="24"/>
                <w:szCs w:val="24"/>
                <w:lang w:val="zh-CN"/>
              </w:rPr>
              <w:t>根据项目</w:t>
            </w:r>
            <w:r>
              <w:rPr>
                <w:rFonts w:hint="eastAsia" w:ascii="宋体" w:hAnsi="宋体" w:eastAsia="宋体" w:cs="宋体"/>
                <w:b w:val="0"/>
                <w:bCs w:val="0"/>
                <w:sz w:val="24"/>
                <w:szCs w:val="24"/>
                <w:lang w:val="en-US" w:eastAsia="zh-CN"/>
              </w:rPr>
              <w:t>采购需求</w:t>
            </w:r>
            <w:r>
              <w:rPr>
                <w:rFonts w:hint="eastAsia" w:ascii="宋体" w:hAnsi="宋体" w:eastAsia="宋体" w:cs="宋体"/>
                <w:b w:val="0"/>
                <w:bCs w:val="0"/>
                <w:sz w:val="24"/>
                <w:szCs w:val="24"/>
                <w:lang w:val="zh-CN"/>
              </w:rPr>
              <w:t>提供项目实施方案，内容包含但不限于组织管理、实施过程管理、质量管理保障措施、测试方案等：</w:t>
            </w:r>
          </w:p>
          <w:p w14:paraId="29E23AB8">
            <w:pPr>
              <w:spacing w:line="440" w:lineRule="exact"/>
              <w:rPr>
                <w:rFonts w:ascii="宋体" w:hAnsi="宋体" w:eastAsia="宋体" w:cs="Times New Roman"/>
                <w:sz w:val="24"/>
                <w:szCs w:val="24"/>
              </w:rPr>
            </w:pPr>
            <w:r>
              <w:rPr>
                <w:rFonts w:hint="eastAsia" w:ascii="宋体" w:hAnsi="宋体" w:eastAsia="宋体" w:cs="Times New Roman"/>
                <w:sz w:val="24"/>
                <w:szCs w:val="24"/>
              </w:rPr>
              <w:t>方案包含上述全部内容，实施流程清晰，进度计划内容详细，服务措施完善，可操作性强，能够满足本项目需求的</w:t>
            </w:r>
            <w:r>
              <w:rPr>
                <w:rFonts w:hint="eastAsia" w:ascii="宋体" w:hAnsi="宋体" w:eastAsia="宋体" w:cs="Times New Roman"/>
                <w:b/>
                <w:sz w:val="24"/>
                <w:szCs w:val="24"/>
              </w:rPr>
              <w:t>得5分；</w:t>
            </w:r>
          </w:p>
          <w:p w14:paraId="3BA48326">
            <w:pPr>
              <w:spacing w:line="440" w:lineRule="exact"/>
              <w:rPr>
                <w:rFonts w:ascii="宋体" w:hAnsi="宋体" w:eastAsia="宋体" w:cs="Times New Roman"/>
                <w:sz w:val="24"/>
                <w:szCs w:val="24"/>
              </w:rPr>
            </w:pPr>
            <w:r>
              <w:rPr>
                <w:rFonts w:hint="eastAsia" w:ascii="宋体" w:hAnsi="宋体" w:eastAsia="宋体" w:cs="Times New Roman"/>
                <w:sz w:val="24"/>
                <w:szCs w:val="24"/>
              </w:rPr>
              <w:t>方案包含上述全部内容，流程较清晰，进度计划内容较详细，服务流程较完善，可操作性较强，较能够满足本项目需求的</w:t>
            </w:r>
            <w:r>
              <w:rPr>
                <w:rFonts w:hint="eastAsia" w:ascii="宋体" w:hAnsi="宋体" w:eastAsia="宋体" w:cs="Times New Roman"/>
                <w:b/>
                <w:sz w:val="24"/>
                <w:szCs w:val="24"/>
              </w:rPr>
              <w:t>得4分；</w:t>
            </w:r>
          </w:p>
          <w:p w14:paraId="2937DC08">
            <w:pPr>
              <w:spacing w:line="440" w:lineRule="exact"/>
              <w:rPr>
                <w:rFonts w:ascii="宋体" w:hAnsi="宋体" w:eastAsia="宋体" w:cs="Times New Roman"/>
                <w:sz w:val="24"/>
                <w:szCs w:val="24"/>
              </w:rPr>
            </w:pPr>
            <w:r>
              <w:rPr>
                <w:rFonts w:hint="eastAsia" w:ascii="宋体" w:hAnsi="宋体" w:eastAsia="宋体" w:cs="Times New Roman"/>
                <w:sz w:val="24"/>
                <w:szCs w:val="24"/>
              </w:rPr>
              <w:t>方案包含上述全部内容，流程简单，进度计划内容不够详细，服务流程完善度一般，可操作性一般，较能够满足本项目需求的</w:t>
            </w:r>
            <w:r>
              <w:rPr>
                <w:rFonts w:hint="eastAsia" w:ascii="宋体" w:hAnsi="宋体" w:eastAsia="宋体" w:cs="Times New Roman"/>
                <w:b/>
                <w:sz w:val="24"/>
                <w:szCs w:val="24"/>
              </w:rPr>
              <w:t>得3分；</w:t>
            </w:r>
          </w:p>
          <w:p w14:paraId="7DCB9F12">
            <w:pPr>
              <w:spacing w:line="440" w:lineRule="exact"/>
              <w:rPr>
                <w:rFonts w:ascii="宋体" w:hAnsi="宋体" w:eastAsia="宋体" w:cs="Times New Roman"/>
                <w:b/>
                <w:sz w:val="24"/>
                <w:szCs w:val="24"/>
              </w:rPr>
            </w:pPr>
            <w:r>
              <w:rPr>
                <w:rFonts w:hint="eastAsia" w:ascii="宋体" w:hAnsi="宋体" w:eastAsia="宋体" w:cs="Times New Roman"/>
                <w:sz w:val="24"/>
                <w:szCs w:val="24"/>
              </w:rPr>
              <w:t>上述内容有缺项，内容合理性一般，措施简单粗糙，可操作性不强，基本能够满足本项目需求的</w:t>
            </w:r>
            <w:r>
              <w:rPr>
                <w:rFonts w:hint="eastAsia" w:ascii="宋体" w:hAnsi="宋体" w:eastAsia="宋体" w:cs="Times New Roman"/>
                <w:b/>
                <w:sz w:val="24"/>
                <w:szCs w:val="24"/>
              </w:rPr>
              <w:t>得1分；</w:t>
            </w:r>
          </w:p>
          <w:p w14:paraId="4A839476">
            <w:pPr>
              <w:keepNext w:val="0"/>
              <w:keepLines w:val="0"/>
              <w:pageBreakBefore w:val="0"/>
              <w:spacing w:line="480" w:lineRule="exact"/>
              <w:jc w:val="left"/>
              <w:rPr>
                <w:rFonts w:hint="eastAsia" w:ascii="宋体" w:hAnsi="宋体" w:eastAsia="宋体" w:cs="宋体"/>
                <w:b w:val="0"/>
                <w:bCs w:val="0"/>
                <w:color w:val="000000"/>
                <w:sz w:val="24"/>
                <w:szCs w:val="24"/>
                <w:lang w:val="en-US" w:eastAsia="zh-CN" w:bidi="ar-SA"/>
              </w:rPr>
            </w:pPr>
            <w:r>
              <w:rPr>
                <w:rFonts w:hint="eastAsia" w:ascii="宋体" w:hAnsi="宋体" w:eastAsia="宋体" w:cs="Times New Roman"/>
                <w:b/>
                <w:sz w:val="24"/>
                <w:szCs w:val="24"/>
              </w:rPr>
              <w:t>该项未见阐述不得分。</w:t>
            </w:r>
          </w:p>
        </w:tc>
      </w:tr>
      <w:tr w14:paraId="5E73E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06DC60EA">
            <w:pPr>
              <w:keepNext w:val="0"/>
              <w:keepLines w:val="0"/>
              <w:pageBreakBefore w:val="0"/>
              <w:widowControl/>
              <w:spacing w:line="480" w:lineRule="exact"/>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rPr>
              <w:t>培训方案（5分）</w:t>
            </w:r>
          </w:p>
        </w:tc>
        <w:tc>
          <w:tcPr>
            <w:tcW w:w="6413" w:type="dxa"/>
            <w:noWrap w:val="0"/>
            <w:vAlign w:val="top"/>
          </w:tcPr>
          <w:p w14:paraId="5D6A0C16">
            <w:pPr>
              <w:spacing w:line="360" w:lineRule="auto"/>
              <w:rPr>
                <w:rFonts w:hint="eastAsia" w:ascii="宋体" w:hAnsi="宋体" w:eastAsia="宋体" w:cs="宋体"/>
                <w:spacing w:val="-2"/>
                <w:sz w:val="24"/>
                <w:szCs w:val="21"/>
                <w:lang w:eastAsia="zh-CN"/>
              </w:rPr>
            </w:pPr>
            <w:r>
              <w:rPr>
                <w:rFonts w:hint="eastAsia" w:ascii="宋体" w:hAnsi="宋体" w:eastAsia="宋体" w:cs="宋体"/>
                <w:color w:val="000000"/>
                <w:sz w:val="24"/>
                <w:szCs w:val="24"/>
              </w:rPr>
              <w:t>供应商结合项目需求提供培训方案，</w:t>
            </w:r>
            <w:r>
              <w:rPr>
                <w:rFonts w:hint="eastAsia" w:ascii="宋体" w:hAnsi="宋体" w:eastAsia="宋体" w:cs="宋体"/>
                <w:spacing w:val="-2"/>
                <w:sz w:val="24"/>
                <w:szCs w:val="21"/>
              </w:rPr>
              <w:t>内容包括但不限于培训计划、培训内容、培训对象、培训目标等</w:t>
            </w:r>
            <w:r>
              <w:rPr>
                <w:rFonts w:hint="eastAsia" w:ascii="宋体" w:hAnsi="宋体" w:eastAsia="宋体" w:cs="宋体"/>
                <w:spacing w:val="-2"/>
                <w:sz w:val="24"/>
                <w:szCs w:val="21"/>
                <w:lang w:eastAsia="zh-CN"/>
              </w:rPr>
              <w:t>：</w:t>
            </w:r>
          </w:p>
          <w:p w14:paraId="76BAD6E5">
            <w:pPr>
              <w:widowControl/>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技术培训方案内容详实，课程设置合理、可操作性强，培训方式多样化的</w:t>
            </w:r>
            <w:r>
              <w:rPr>
                <w:rFonts w:hint="eastAsia" w:ascii="宋体" w:hAnsi="宋体" w:eastAsia="宋体" w:cs="宋体"/>
                <w:b/>
                <w:color w:val="000000"/>
                <w:sz w:val="24"/>
                <w:szCs w:val="24"/>
              </w:rPr>
              <w:t>得 5分；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技术培训方案内容较详实，课程设置较合理，可操作性较强，培训方式固定的</w:t>
            </w:r>
            <w:r>
              <w:rPr>
                <w:rFonts w:hint="eastAsia" w:ascii="宋体" w:hAnsi="宋体" w:eastAsia="宋体" w:cs="宋体"/>
                <w:b/>
                <w:color w:val="000000"/>
                <w:sz w:val="24"/>
                <w:szCs w:val="24"/>
              </w:rPr>
              <w:t>得4分；</w:t>
            </w:r>
            <w:r>
              <w:rPr>
                <w:rFonts w:hint="eastAsia" w:ascii="宋体" w:hAnsi="宋体" w:eastAsia="宋体" w:cs="宋体"/>
                <w:b/>
                <w:color w:val="000000"/>
                <w:sz w:val="24"/>
                <w:szCs w:val="24"/>
              </w:rPr>
              <w:br w:type="textWrapping"/>
            </w:r>
            <w:r>
              <w:rPr>
                <w:rFonts w:hint="eastAsia" w:ascii="宋体" w:hAnsi="宋体" w:eastAsia="宋体" w:cs="宋体"/>
                <w:color w:val="000000"/>
                <w:sz w:val="24"/>
                <w:szCs w:val="24"/>
              </w:rPr>
              <w:t>技术培训方案内容较单一，课程设置及培训方式合理性一般，可操作性一般的</w:t>
            </w:r>
            <w:r>
              <w:rPr>
                <w:rFonts w:hint="eastAsia" w:ascii="宋体" w:hAnsi="宋体" w:eastAsia="宋体" w:cs="宋体"/>
                <w:b/>
                <w:color w:val="000000"/>
                <w:sz w:val="24"/>
                <w:szCs w:val="24"/>
              </w:rPr>
              <w:t>得3分。</w:t>
            </w:r>
          </w:p>
          <w:p w14:paraId="0D2BC162">
            <w:pPr>
              <w:keepNext w:val="0"/>
              <w:keepLines w:val="0"/>
              <w:pageBreakBefore w:val="0"/>
              <w:spacing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color w:val="000000"/>
                <w:sz w:val="24"/>
                <w:szCs w:val="24"/>
              </w:rPr>
              <w:t>技术培训方案内容简单粗糙，课程设置及培训方式单一，可操作不强的</w:t>
            </w:r>
            <w:r>
              <w:rPr>
                <w:rFonts w:hint="eastAsia" w:ascii="宋体" w:hAnsi="宋体" w:eastAsia="宋体" w:cs="宋体"/>
                <w:b/>
                <w:color w:val="000000"/>
                <w:sz w:val="24"/>
                <w:szCs w:val="24"/>
              </w:rPr>
              <w:t>得1分。</w:t>
            </w:r>
            <w:r>
              <w:rPr>
                <w:rFonts w:hint="eastAsia" w:ascii="宋体" w:hAnsi="宋体" w:eastAsia="宋体" w:cs="宋体"/>
                <w:color w:val="000000"/>
                <w:sz w:val="24"/>
                <w:szCs w:val="24"/>
              </w:rPr>
              <w:br w:type="textWrapping"/>
            </w:r>
            <w:r>
              <w:rPr>
                <w:rFonts w:hint="eastAsia" w:ascii="宋体" w:hAnsi="宋体" w:eastAsia="宋体" w:cs="宋体"/>
                <w:b/>
                <w:color w:val="000000"/>
                <w:sz w:val="24"/>
                <w:szCs w:val="24"/>
              </w:rPr>
              <w:t>该项未见阐述不得分。</w:t>
            </w:r>
          </w:p>
        </w:tc>
      </w:tr>
      <w:tr w14:paraId="66746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44" w:type="dxa"/>
            <w:noWrap w:val="0"/>
            <w:vAlign w:val="center"/>
          </w:tcPr>
          <w:p w14:paraId="2733B3DE">
            <w:pPr>
              <w:pStyle w:val="2"/>
              <w:ind w:left="0" w:firstLine="0"/>
              <w:rPr>
                <w:rFonts w:hint="eastAsia" w:ascii="宋体" w:hAnsi="宋体" w:eastAsia="宋体" w:cs="宋体"/>
                <w:b w:val="0"/>
                <w:bCs w:val="0"/>
                <w:sz w:val="24"/>
                <w:szCs w:val="24"/>
              </w:rPr>
            </w:pPr>
          </w:p>
          <w:p w14:paraId="41A5A4D1">
            <w:pPr>
              <w:pStyle w:val="2"/>
              <w:rPr>
                <w:rFonts w:hint="eastAsia" w:ascii="宋体" w:hAnsi="宋体" w:eastAsia="宋体" w:cs="宋体"/>
                <w:b w:val="0"/>
                <w:bCs w:val="0"/>
                <w:sz w:val="24"/>
                <w:szCs w:val="24"/>
              </w:rPr>
            </w:pPr>
          </w:p>
          <w:p w14:paraId="0DD7E4BE">
            <w:pPr>
              <w:keepNext w:val="0"/>
              <w:keepLines w:val="0"/>
              <w:pageBreakBefore w:val="0"/>
              <w:spacing w:line="480" w:lineRule="exact"/>
              <w:jc w:val="center"/>
              <w:rPr>
                <w:rFonts w:hint="eastAsia"/>
                <w:lang w:val="en-US" w:eastAsia="zh-CN"/>
              </w:rPr>
            </w:pPr>
            <w:r>
              <w:rPr>
                <w:rFonts w:hint="eastAsia" w:ascii="宋体" w:hAnsi="宋体" w:eastAsia="宋体" w:cs="宋体"/>
                <w:b w:val="0"/>
                <w:bCs w:val="0"/>
                <w:sz w:val="24"/>
                <w:szCs w:val="24"/>
                <w:lang w:val="en-US" w:eastAsia="zh-CN"/>
              </w:rPr>
              <w:t>维护</w:t>
            </w:r>
            <w:r>
              <w:rPr>
                <w:rFonts w:hint="eastAsia" w:ascii="宋体" w:hAnsi="宋体" w:eastAsia="宋体" w:cs="宋体"/>
                <w:b w:val="0"/>
                <w:bCs w:val="0"/>
                <w:sz w:val="24"/>
                <w:szCs w:val="24"/>
              </w:rPr>
              <w:t>服务</w:t>
            </w:r>
            <w:r>
              <w:rPr>
                <w:rFonts w:hint="eastAsia" w:ascii="宋体" w:hAnsi="宋体" w:eastAsia="宋体" w:cs="宋体"/>
                <w:b w:val="0"/>
                <w:bCs w:val="0"/>
                <w:sz w:val="24"/>
                <w:szCs w:val="24"/>
                <w:lang w:val="en-US" w:eastAsia="zh-CN"/>
              </w:rPr>
              <w:t>方案</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5分）</w:t>
            </w:r>
          </w:p>
          <w:p w14:paraId="079722DD">
            <w:pPr>
              <w:rPr>
                <w:rFonts w:hint="eastAsia"/>
                <w:lang w:val="en-US" w:eastAsia="zh-CN"/>
              </w:rPr>
            </w:pPr>
          </w:p>
          <w:p w14:paraId="785DCA5F">
            <w:pPr>
              <w:jc w:val="left"/>
              <w:rPr>
                <w:rFonts w:hint="eastAsia"/>
                <w:lang w:val="en-US" w:eastAsia="zh-CN"/>
              </w:rPr>
            </w:pPr>
          </w:p>
        </w:tc>
        <w:tc>
          <w:tcPr>
            <w:tcW w:w="6413" w:type="dxa"/>
            <w:noWrap w:val="0"/>
            <w:vAlign w:val="center"/>
          </w:tcPr>
          <w:p w14:paraId="753075BB">
            <w:pPr>
              <w:spacing w:line="440" w:lineRule="exact"/>
              <w:rPr>
                <w:rFonts w:ascii="宋体" w:hAnsi="宋体" w:eastAsia="宋体" w:cs="宋体"/>
                <w:sz w:val="24"/>
                <w:szCs w:val="21"/>
              </w:rPr>
            </w:pPr>
            <w:r>
              <w:rPr>
                <w:rFonts w:hint="eastAsia" w:ascii="宋体" w:hAnsi="宋体" w:eastAsia="宋体" w:cs="宋体"/>
                <w:sz w:val="24"/>
                <w:szCs w:val="21"/>
              </w:rPr>
              <w:t>供应商结合项目需求提供维护服务方案，内容包括但不限于维护服务、响应时间、故障处理、恢复时效、支撑保障等。</w:t>
            </w:r>
          </w:p>
          <w:p w14:paraId="3D3143F8">
            <w:pPr>
              <w:spacing w:line="440" w:lineRule="exact"/>
              <w:rPr>
                <w:rFonts w:ascii="宋体" w:hAnsi="宋体" w:eastAsia="宋体" w:cs="宋体"/>
                <w:sz w:val="24"/>
                <w:szCs w:val="21"/>
              </w:rPr>
            </w:pPr>
            <w:r>
              <w:rPr>
                <w:rFonts w:hint="eastAsia" w:ascii="宋体" w:hAnsi="宋体" w:eastAsia="宋体" w:cs="宋体"/>
                <w:sz w:val="24"/>
                <w:szCs w:val="21"/>
              </w:rPr>
              <w:t>维护服务优于或贴合项目需求，阐述详细，流程清晰，响应时间及故障处理及时，支撑保障措施完善的</w:t>
            </w:r>
            <w:r>
              <w:rPr>
                <w:rFonts w:hint="eastAsia" w:ascii="宋体" w:hAnsi="宋体" w:eastAsia="宋体" w:cs="宋体"/>
                <w:b/>
                <w:sz w:val="24"/>
                <w:szCs w:val="21"/>
              </w:rPr>
              <w:t>得</w:t>
            </w:r>
            <w:r>
              <w:rPr>
                <w:rFonts w:hint="eastAsia" w:ascii="宋体" w:hAnsi="宋体" w:eastAsia="宋体" w:cs="宋体"/>
                <w:b/>
                <w:bCs/>
                <w:sz w:val="24"/>
                <w:szCs w:val="21"/>
              </w:rPr>
              <w:t>5分</w:t>
            </w:r>
            <w:r>
              <w:rPr>
                <w:rFonts w:hint="eastAsia" w:ascii="宋体" w:hAnsi="宋体" w:eastAsia="宋体" w:cs="宋体"/>
                <w:sz w:val="24"/>
                <w:szCs w:val="21"/>
              </w:rPr>
              <w:t>；</w:t>
            </w:r>
          </w:p>
          <w:p w14:paraId="5E4132CE">
            <w:pPr>
              <w:spacing w:line="440" w:lineRule="exact"/>
              <w:rPr>
                <w:rFonts w:ascii="宋体" w:hAnsi="宋体" w:eastAsia="宋体" w:cs="宋体"/>
                <w:sz w:val="24"/>
                <w:szCs w:val="21"/>
              </w:rPr>
            </w:pPr>
            <w:r>
              <w:rPr>
                <w:rFonts w:hint="eastAsia" w:ascii="宋体" w:hAnsi="宋体" w:eastAsia="宋体" w:cs="宋体"/>
                <w:sz w:val="24"/>
                <w:szCs w:val="21"/>
              </w:rPr>
              <w:t>维护服务较贴合项目需求，阐述较详细，流程较清晰，响应时间及故障处理较及时，支撑保障措施较完善的</w:t>
            </w:r>
            <w:r>
              <w:rPr>
                <w:rFonts w:hint="eastAsia" w:ascii="宋体" w:hAnsi="宋体" w:eastAsia="宋体" w:cs="宋体"/>
                <w:b/>
                <w:sz w:val="24"/>
                <w:szCs w:val="21"/>
              </w:rPr>
              <w:t>得</w:t>
            </w:r>
            <w:r>
              <w:rPr>
                <w:rFonts w:hint="eastAsia" w:ascii="宋体" w:hAnsi="宋体" w:eastAsia="宋体" w:cs="宋体"/>
                <w:b/>
                <w:bCs/>
                <w:sz w:val="24"/>
                <w:szCs w:val="21"/>
              </w:rPr>
              <w:t>4分</w:t>
            </w:r>
            <w:r>
              <w:rPr>
                <w:rFonts w:hint="eastAsia" w:ascii="宋体" w:hAnsi="宋体" w:eastAsia="宋体" w:cs="宋体"/>
                <w:sz w:val="24"/>
                <w:szCs w:val="21"/>
              </w:rPr>
              <w:t>；</w:t>
            </w:r>
          </w:p>
          <w:p w14:paraId="32416D4B">
            <w:pPr>
              <w:spacing w:line="440" w:lineRule="exact"/>
              <w:rPr>
                <w:rFonts w:ascii="宋体" w:hAnsi="宋体" w:eastAsia="宋体" w:cs="宋体"/>
                <w:sz w:val="24"/>
                <w:szCs w:val="21"/>
              </w:rPr>
            </w:pPr>
            <w:r>
              <w:rPr>
                <w:rFonts w:hint="eastAsia" w:ascii="宋体" w:hAnsi="宋体" w:eastAsia="宋体" w:cs="宋体"/>
                <w:sz w:val="24"/>
                <w:szCs w:val="21"/>
              </w:rPr>
              <w:t>维护服务基本贴合项目需求，阐述不够详细，流程清晰性一般，响应时间及故障处理符合要求，支撑保障措施完善性一般的</w:t>
            </w:r>
            <w:r>
              <w:rPr>
                <w:rFonts w:hint="eastAsia" w:ascii="宋体" w:hAnsi="宋体" w:eastAsia="宋体" w:cs="宋体"/>
                <w:b/>
                <w:sz w:val="24"/>
                <w:szCs w:val="21"/>
              </w:rPr>
              <w:t>得</w:t>
            </w:r>
            <w:r>
              <w:rPr>
                <w:rFonts w:hint="eastAsia" w:ascii="宋体" w:hAnsi="宋体" w:eastAsia="宋体" w:cs="宋体"/>
                <w:b/>
                <w:bCs/>
                <w:sz w:val="24"/>
                <w:szCs w:val="21"/>
              </w:rPr>
              <w:t>3分</w:t>
            </w:r>
            <w:r>
              <w:rPr>
                <w:rFonts w:hint="eastAsia" w:ascii="宋体" w:hAnsi="宋体" w:eastAsia="宋体" w:cs="宋体"/>
                <w:sz w:val="24"/>
                <w:szCs w:val="21"/>
              </w:rPr>
              <w:t>；</w:t>
            </w:r>
          </w:p>
          <w:p w14:paraId="734EBC7A">
            <w:pPr>
              <w:spacing w:line="440" w:lineRule="exact"/>
              <w:rPr>
                <w:rFonts w:ascii="宋体" w:hAnsi="宋体" w:eastAsia="宋体" w:cs="宋体"/>
                <w:sz w:val="24"/>
                <w:szCs w:val="21"/>
              </w:rPr>
            </w:pPr>
            <w:r>
              <w:rPr>
                <w:rFonts w:hint="eastAsia" w:ascii="宋体" w:hAnsi="宋体" w:eastAsia="宋体" w:cs="宋体"/>
                <w:sz w:val="24"/>
                <w:szCs w:val="21"/>
              </w:rPr>
              <w:t>方案与项目需求有偏差，内容简单粗糙，支撑保障措施及可实施性一般的</w:t>
            </w:r>
            <w:r>
              <w:rPr>
                <w:rFonts w:hint="eastAsia" w:ascii="宋体" w:hAnsi="宋体" w:eastAsia="宋体" w:cs="宋体"/>
                <w:b/>
                <w:sz w:val="24"/>
                <w:szCs w:val="21"/>
              </w:rPr>
              <w:t>得</w:t>
            </w:r>
            <w:r>
              <w:rPr>
                <w:rFonts w:hint="eastAsia" w:ascii="宋体" w:hAnsi="宋体" w:eastAsia="宋体" w:cs="宋体"/>
                <w:b/>
                <w:bCs/>
                <w:sz w:val="24"/>
                <w:szCs w:val="21"/>
              </w:rPr>
              <w:t>1分</w:t>
            </w:r>
            <w:r>
              <w:rPr>
                <w:rFonts w:hint="eastAsia" w:ascii="宋体" w:hAnsi="宋体" w:eastAsia="宋体" w:cs="宋体"/>
                <w:sz w:val="24"/>
                <w:szCs w:val="21"/>
              </w:rPr>
              <w:t>；</w:t>
            </w:r>
          </w:p>
          <w:p w14:paraId="5F6D451D">
            <w:pPr>
              <w:keepNext w:val="0"/>
              <w:keepLines w:val="0"/>
              <w:pageBreakBefore w:val="0"/>
              <w:spacing w:line="480" w:lineRule="exact"/>
              <w:jc w:val="left"/>
              <w:rPr>
                <w:rFonts w:hint="eastAsia" w:ascii="宋体" w:hAnsi="宋体" w:eastAsia="宋体" w:cs="宋体"/>
                <w:b w:val="0"/>
                <w:bCs w:val="0"/>
                <w:sz w:val="24"/>
                <w:szCs w:val="24"/>
                <w:lang w:val="en-US" w:eastAsia="zh-CN"/>
              </w:rPr>
            </w:pPr>
            <w:r>
              <w:rPr>
                <w:rFonts w:hint="eastAsia" w:ascii="宋体" w:hAnsi="宋体" w:eastAsia="宋体" w:cs="宋体"/>
                <w:b/>
                <w:bCs/>
                <w:sz w:val="24"/>
                <w:szCs w:val="21"/>
              </w:rPr>
              <w:t>该项未见阐述不得分</w:t>
            </w:r>
            <w:r>
              <w:rPr>
                <w:rFonts w:hint="eastAsia" w:ascii="宋体" w:hAnsi="宋体" w:eastAsia="宋体" w:cs="宋体"/>
                <w:sz w:val="24"/>
                <w:szCs w:val="21"/>
              </w:rPr>
              <w:t>。</w:t>
            </w:r>
          </w:p>
        </w:tc>
      </w:tr>
    </w:tbl>
    <w:p w14:paraId="635F486C">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注：</w:t>
      </w:r>
    </w:p>
    <w:p w14:paraId="14E3D211">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1.</w:t>
      </w:r>
      <w:r>
        <w:rPr>
          <w:rFonts w:hint="eastAsia" w:ascii="宋体" w:hAnsi="宋体" w:cs="Calibri"/>
          <w:b/>
          <w:color w:val="000000"/>
          <w:sz w:val="24"/>
          <w:szCs w:val="24"/>
          <w:highlight w:val="none"/>
        </w:rPr>
        <w:t>本项目评标标准中的技术分（</w:t>
      </w:r>
      <w:r>
        <w:rPr>
          <w:rFonts w:hint="default" w:ascii="宋体" w:hAnsi="宋体" w:cs="Calibri"/>
          <w:b/>
          <w:color w:val="000000"/>
          <w:sz w:val="24"/>
          <w:szCs w:val="24"/>
          <w:highlight w:val="none"/>
          <w:lang w:val="en-US" w:eastAsia="zh-CN"/>
        </w:rPr>
        <w:t>50</w:t>
      </w:r>
      <w:r>
        <w:rPr>
          <w:rFonts w:hint="eastAsia" w:ascii="宋体" w:hAnsi="宋体" w:cs="Calibri"/>
          <w:b/>
          <w:color w:val="000000"/>
          <w:sz w:val="24"/>
          <w:szCs w:val="24"/>
          <w:highlight w:val="none"/>
        </w:rPr>
        <w:t>分）采用暗标方式进行评审。</w:t>
      </w:r>
    </w:p>
    <w:p w14:paraId="4201D0F3">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2.</w:t>
      </w:r>
      <w:r>
        <w:rPr>
          <w:rFonts w:hint="eastAsia" w:ascii="宋体" w:hAnsi="宋体" w:cs="Calibri"/>
          <w:b/>
          <w:color w:val="000000"/>
          <w:sz w:val="24"/>
          <w:szCs w:val="24"/>
          <w:highlight w:val="none"/>
        </w:rPr>
        <w:t>编制要求：</w:t>
      </w:r>
    </w:p>
    <w:p w14:paraId="30092EF2">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2.1方案内容、文字</w:t>
      </w:r>
      <w:r>
        <w:rPr>
          <w:rFonts w:hint="eastAsia" w:ascii="宋体" w:hAnsi="宋体" w:cs="Calibri"/>
          <w:b/>
          <w:color w:val="000000"/>
          <w:sz w:val="24"/>
          <w:szCs w:val="24"/>
          <w:highlight w:val="none"/>
          <w:lang w:eastAsia="zh-CN"/>
        </w:rPr>
        <w:t>、各类型图表、框图</w:t>
      </w:r>
      <w:r>
        <w:rPr>
          <w:rFonts w:hint="eastAsia" w:ascii="宋体" w:hAnsi="宋体" w:cs="Calibri"/>
          <w:b/>
          <w:color w:val="000000"/>
          <w:sz w:val="24"/>
          <w:szCs w:val="24"/>
          <w:highlight w:val="none"/>
        </w:rPr>
        <w:t>均不得出现供应商名称、相关人员姓名和其他可识别供应商身份的字符、徽标、人员名称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投标人独享的企业标准或编号</w:t>
      </w:r>
      <w:r>
        <w:rPr>
          <w:rFonts w:hint="eastAsia" w:ascii="宋体" w:hAnsi="宋体" w:cs="Calibri"/>
          <w:b/>
          <w:color w:val="000000"/>
          <w:sz w:val="24"/>
          <w:szCs w:val="24"/>
          <w:highlight w:val="none"/>
        </w:rPr>
        <w:t>等内容</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不得出现能显示企业特征或批注、底纹、阴影、水印等提示性的标记或标识</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不得出现以前所承担过的项目名称，不得作任何标识或暗示该供应商单</w:t>
      </w:r>
      <w:r>
        <w:rPr>
          <w:rFonts w:hint="eastAsia" w:ascii="宋体" w:hAnsi="宋体" w:cs="Calibri"/>
          <w:b/>
          <w:color w:val="000000"/>
          <w:sz w:val="24"/>
          <w:szCs w:val="24"/>
          <w:highlight w:val="none"/>
          <w:lang w:val="en-US" w:eastAsia="zh-CN"/>
        </w:rPr>
        <w:t xml:space="preserve"> </w:t>
      </w:r>
      <w:r>
        <w:rPr>
          <w:rFonts w:hint="eastAsia" w:ascii="宋体" w:hAnsi="宋体" w:cs="Calibri"/>
          <w:b/>
          <w:color w:val="000000"/>
          <w:sz w:val="24"/>
          <w:szCs w:val="24"/>
          <w:highlight w:val="none"/>
        </w:rPr>
        <w:t>位名称或人员姓名的标记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相关人员姓名应以职务或职称代替</w:t>
      </w:r>
      <w:r>
        <w:rPr>
          <w:rFonts w:hint="eastAsia" w:ascii="宋体" w:hAnsi="宋体" w:cs="Calibri"/>
          <w:b/>
          <w:color w:val="000000"/>
          <w:sz w:val="24"/>
          <w:szCs w:val="24"/>
          <w:highlight w:val="none"/>
        </w:rPr>
        <w:t>。</w:t>
      </w:r>
    </w:p>
    <w:p w14:paraId="3BE08376">
      <w:pPr>
        <w:keepNext w:val="0"/>
        <w:keepLines w:val="0"/>
        <w:pageBreakBefore w:val="0"/>
        <w:widowControl/>
        <w:numPr>
          <w:ilvl w:val="0"/>
          <w:numId w:val="0"/>
        </w:numPr>
        <w:spacing w:line="360" w:lineRule="auto"/>
        <w:jc w:val="lef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2.2</w:t>
      </w:r>
      <w:r>
        <w:rPr>
          <w:rFonts w:hint="eastAsia" w:ascii="宋体" w:hAnsi="宋体" w:cs="Calibri"/>
          <w:b/>
          <w:color w:val="000000"/>
          <w:sz w:val="24"/>
          <w:szCs w:val="24"/>
          <w:highlight w:val="none"/>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576908D3">
      <w:pPr>
        <w:keepNext w:val="0"/>
        <w:keepLines w:val="0"/>
        <w:pageBreakBefore w:val="0"/>
        <w:widowControl/>
        <w:numPr>
          <w:ilvl w:val="0"/>
          <w:numId w:val="0"/>
        </w:numPr>
        <w:spacing w:line="360" w:lineRule="auto"/>
        <w:jc w:val="lef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2.3供应商需按照</w:t>
      </w:r>
      <w:r>
        <w:rPr>
          <w:rFonts w:hint="eastAsia" w:ascii="宋体" w:hAnsi="宋体" w:cs="Calibri"/>
          <w:b/>
          <w:color w:val="000000"/>
          <w:sz w:val="24"/>
          <w:szCs w:val="24"/>
          <w:highlight w:val="none"/>
          <w:lang w:val="en-US" w:eastAsia="zh-CN"/>
        </w:rPr>
        <w:t>上述</w:t>
      </w:r>
      <w:r>
        <w:rPr>
          <w:rFonts w:hint="eastAsia" w:ascii="宋体" w:hAnsi="宋体" w:cs="Calibri"/>
          <w:b/>
          <w:color w:val="000000"/>
          <w:sz w:val="24"/>
          <w:szCs w:val="24"/>
          <w:highlight w:val="none"/>
        </w:rPr>
        <w:t>要求编制方案，未按要求编制的本项</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lang w:val="en-US" w:eastAsia="zh-CN"/>
        </w:rPr>
        <w:t>暗标50分</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不得分。</w:t>
      </w:r>
    </w:p>
    <w:p w14:paraId="69BE2885">
      <w:pPr>
        <w:widowControl/>
        <w:jc w:val="left"/>
        <w:rPr>
          <w:sz w:val="24"/>
          <w:szCs w:val="24"/>
        </w:rPr>
      </w:pPr>
      <w:r>
        <w:rPr>
          <w:sz w:val="24"/>
          <w:szCs w:val="24"/>
        </w:rPr>
        <w:br w:type="page" w:clear="all"/>
      </w:r>
    </w:p>
    <w:p w14:paraId="36335D4D">
      <w:pPr>
        <w:pStyle w:val="3"/>
        <w:spacing w:line="360" w:lineRule="auto"/>
        <w:jc w:val="center"/>
        <w:rPr>
          <w:rFonts w:ascii="黑体" w:hAnsi="黑体" w:eastAsia="黑体"/>
          <w:b w:val="0"/>
        </w:rPr>
      </w:pPr>
      <w:bookmarkStart w:id="5" w:name="_Toc161932696"/>
      <w:r>
        <w:rPr>
          <w:rFonts w:hint="eastAsia" w:ascii="黑体" w:hAnsi="黑体" w:eastAsia="黑体"/>
          <w:b w:val="0"/>
        </w:rPr>
        <w:t>第六章  响应文件格式</w:t>
      </w:r>
      <w:bookmarkEnd w:id="5"/>
    </w:p>
    <w:p w14:paraId="6F34DC1F">
      <w:pPr>
        <w:spacing w:line="500" w:lineRule="exact"/>
        <w:jc w:val="left"/>
        <w:rPr>
          <w:sz w:val="24"/>
          <w:szCs w:val="24"/>
        </w:rPr>
      </w:pPr>
    </w:p>
    <w:p w14:paraId="737315ED">
      <w:pPr>
        <w:jc w:val="center"/>
        <w:rPr>
          <w:rFonts w:ascii="宋体" w:hAnsi="宋体" w:eastAsia="宋体" w:cs="Times New Roman"/>
          <w:b/>
          <w:color w:val="000000"/>
          <w:sz w:val="72"/>
          <w:szCs w:val="21"/>
        </w:rPr>
      </w:pPr>
    </w:p>
    <w:p w14:paraId="1E7D4A32">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响  应  文  件</w:t>
      </w:r>
    </w:p>
    <w:p w14:paraId="561075D1">
      <w:pPr>
        <w:jc w:val="center"/>
        <w:rPr>
          <w:rFonts w:ascii="宋体" w:hAnsi="宋体" w:eastAsia="宋体" w:cs="Times New Roman"/>
          <w:b/>
          <w:color w:val="000000"/>
          <w:sz w:val="72"/>
          <w:szCs w:val="21"/>
        </w:rPr>
      </w:pPr>
    </w:p>
    <w:p w14:paraId="7E35F32A">
      <w:pPr>
        <w:jc w:val="center"/>
        <w:rPr>
          <w:rFonts w:ascii="宋体" w:hAnsi="宋体" w:eastAsia="宋体" w:cs="Times New Roman"/>
          <w:b/>
          <w:color w:val="000000"/>
          <w:sz w:val="72"/>
          <w:szCs w:val="21"/>
        </w:rPr>
      </w:pPr>
    </w:p>
    <w:p w14:paraId="247202DD">
      <w:pPr>
        <w:jc w:val="center"/>
        <w:rPr>
          <w:rFonts w:ascii="宋体" w:hAnsi="宋体" w:eastAsia="宋体" w:cs="Times New Roman"/>
          <w:b/>
          <w:color w:val="000000"/>
          <w:sz w:val="36"/>
          <w:szCs w:val="21"/>
        </w:rPr>
      </w:pPr>
    </w:p>
    <w:p w14:paraId="6BEE34DC">
      <w:pPr>
        <w:jc w:val="center"/>
        <w:rPr>
          <w:rFonts w:ascii="宋体" w:hAnsi="宋体" w:eastAsia="宋体" w:cs="Times New Roman"/>
          <w:b/>
          <w:color w:val="000000"/>
          <w:sz w:val="36"/>
          <w:szCs w:val="21"/>
        </w:rPr>
      </w:pPr>
    </w:p>
    <w:p w14:paraId="503C86BB">
      <w:pPr>
        <w:jc w:val="center"/>
        <w:rPr>
          <w:rFonts w:ascii="宋体" w:hAnsi="宋体" w:eastAsia="宋体" w:cs="Times New Roman"/>
          <w:b/>
          <w:color w:val="000000"/>
          <w:sz w:val="36"/>
          <w:szCs w:val="21"/>
        </w:rPr>
      </w:pPr>
    </w:p>
    <w:p w14:paraId="704BB29B">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4CE8DD6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0F4B881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（加盖CA电子公章）</w:t>
      </w:r>
    </w:p>
    <w:p w14:paraId="7217892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7DC658A8">
      <w:pPr>
        <w:spacing w:line="440" w:lineRule="exact"/>
        <w:jc w:val="center"/>
        <w:rPr>
          <w:rFonts w:ascii="宋体" w:hAnsi="宋体" w:eastAsia="宋体" w:cs="Times New Roman"/>
          <w:b/>
          <w:bCs/>
          <w:color w:val="000000"/>
          <w:sz w:val="32"/>
          <w:szCs w:val="32"/>
        </w:rPr>
      </w:pPr>
    </w:p>
    <w:p w14:paraId="53C9D367">
      <w:pPr>
        <w:spacing w:line="440" w:lineRule="exact"/>
        <w:rPr>
          <w:rFonts w:ascii="宋体" w:hAnsi="宋体" w:eastAsia="宋体" w:cs="Times New Roman"/>
          <w:color w:val="000000"/>
          <w:szCs w:val="21"/>
        </w:rPr>
      </w:pPr>
    </w:p>
    <w:p w14:paraId="2CAC0744">
      <w:pPr>
        <w:spacing w:line="500" w:lineRule="exact"/>
        <w:jc w:val="left"/>
        <w:rPr>
          <w:sz w:val="24"/>
          <w:szCs w:val="24"/>
        </w:rPr>
      </w:pPr>
    </w:p>
    <w:p w14:paraId="610CCD5A">
      <w:pPr>
        <w:spacing w:line="500" w:lineRule="exact"/>
        <w:jc w:val="left"/>
        <w:rPr>
          <w:sz w:val="24"/>
          <w:szCs w:val="24"/>
        </w:rPr>
      </w:pPr>
    </w:p>
    <w:p w14:paraId="3DE74C52">
      <w:pPr>
        <w:spacing w:line="500" w:lineRule="exact"/>
        <w:jc w:val="left"/>
        <w:rPr>
          <w:sz w:val="24"/>
          <w:szCs w:val="24"/>
        </w:rPr>
      </w:pPr>
    </w:p>
    <w:p w14:paraId="1FD9D3B3">
      <w:pPr>
        <w:widowControl/>
        <w:jc w:val="left"/>
        <w:rPr>
          <w:sz w:val="24"/>
          <w:szCs w:val="24"/>
        </w:rPr>
      </w:pPr>
      <w:r>
        <w:rPr>
          <w:sz w:val="24"/>
          <w:szCs w:val="24"/>
        </w:rPr>
        <w:br w:type="page" w:clear="all"/>
      </w:r>
    </w:p>
    <w:p w14:paraId="5811970E">
      <w:pPr>
        <w:keepNext/>
        <w:keepLines/>
        <w:spacing w:before="360" w:after="200" w:line="360" w:lineRule="auto"/>
        <w:jc w:val="left"/>
        <w:outlineLvl w:val="1"/>
        <w:rPr>
          <w:rFonts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14:paraId="27D0F0AB">
      <w:pPr>
        <w:rPr>
          <w:b/>
        </w:rPr>
      </w:pPr>
    </w:p>
    <w:p w14:paraId="4F96E41F">
      <w:pPr>
        <w:rPr>
          <w:rFonts w:hint="eastAsia"/>
          <w:b/>
        </w:rPr>
      </w:pPr>
    </w:p>
    <w:p w14:paraId="03C3D6EA">
      <w:pPr>
        <w:rPr>
          <w:b/>
        </w:rPr>
      </w:pPr>
    </w:p>
    <w:p w14:paraId="3D68C4C1">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二、上一年度的财务状况报告</w:t>
      </w:r>
    </w:p>
    <w:p w14:paraId="56A751E8">
      <w:pPr>
        <w:spacing w:line="500" w:lineRule="exact"/>
        <w:ind w:firstLine="480"/>
        <w:jc w:val="left"/>
        <w:rPr>
          <w:sz w:val="24"/>
          <w:szCs w:val="24"/>
        </w:rPr>
      </w:pPr>
      <w:r>
        <w:rPr>
          <w:rFonts w:hint="eastAsia"/>
          <w:sz w:val="24"/>
          <w:szCs w:val="24"/>
        </w:rPr>
        <w:t>（成立不满一年无需提供）</w:t>
      </w:r>
    </w:p>
    <w:p w14:paraId="2FAFD1FD"/>
    <w:p w14:paraId="15250190">
      <w:pPr>
        <w:rPr>
          <w:rFonts w:hint="eastAsia"/>
        </w:rPr>
      </w:pPr>
    </w:p>
    <w:p w14:paraId="2C4EF70D">
      <w:pPr>
        <w:rPr>
          <w:rFonts w:hint="eastAsia"/>
        </w:rPr>
      </w:pPr>
    </w:p>
    <w:p w14:paraId="5A2EF76C">
      <w:pPr>
        <w:rPr>
          <w:rFonts w:hint="eastAsia"/>
        </w:rPr>
      </w:pPr>
    </w:p>
    <w:p w14:paraId="0AD49ECB"/>
    <w:p w14:paraId="5335E480">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三、依法缴纳税收和社会保障资金的相关材料</w:t>
      </w:r>
    </w:p>
    <w:p w14:paraId="64C79D39">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20179721">
      <w:pPr>
        <w:rPr>
          <w:rFonts w:hint="eastAsia"/>
        </w:rPr>
      </w:pPr>
    </w:p>
    <w:p w14:paraId="3466F45B"/>
    <w:p w14:paraId="5F79B16F"/>
    <w:p w14:paraId="70296770">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CFDC151">
      <w:pPr>
        <w:jc w:val="left"/>
        <w:rPr>
          <w:rFonts w:ascii="MS Mincho" w:hAnsi="Calibri" w:eastAsia="宋体" w:cs="Times New Roman"/>
          <w:color w:val="000000"/>
          <w:szCs w:val="24"/>
        </w:rPr>
      </w:pPr>
    </w:p>
    <w:p w14:paraId="16C86A72">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14:paraId="31EC318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DD33F5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7CD7DAC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706C8DD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0F45821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76BADBC">
      <w:pPr>
        <w:spacing w:line="500" w:lineRule="exact"/>
        <w:ind w:firstLine="480"/>
        <w:jc w:val="left"/>
        <w:rPr>
          <w:rFonts w:ascii="Calibri" w:hAnsi="Calibri" w:eastAsia="宋体" w:cs="Times New Roman"/>
          <w:sz w:val="24"/>
          <w:szCs w:val="24"/>
        </w:rPr>
      </w:pPr>
    </w:p>
    <w:p w14:paraId="7548CE5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0CF4E99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963DE8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BE65D1B"/>
    <w:p w14:paraId="10D56334"/>
    <w:p w14:paraId="1EEFBEC5">
      <w:pPr>
        <w:keepNext/>
        <w:keepLines/>
        <w:spacing w:before="360" w:after="200" w:line="360" w:lineRule="auto"/>
        <w:jc w:val="left"/>
        <w:outlineLvl w:val="1"/>
        <w:rPr>
          <w:rFonts w:hint="eastAsia"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14:paraId="7FBB87FC"/>
    <w:p w14:paraId="01453855">
      <w:pPr>
        <w:spacing w:line="360" w:lineRule="auto"/>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1CB3640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1D6FA55B">
      <w:pPr>
        <w:spacing w:line="360" w:lineRule="auto"/>
        <w:ind w:firstLine="480"/>
        <w:rPr>
          <w:rFonts w:hint="eastAsia" w:ascii="Calibri" w:hAnsi="Calibri" w:eastAsia="宋体" w:cs="Times New Roman"/>
          <w:sz w:val="24"/>
          <w:szCs w:val="24"/>
        </w:rPr>
      </w:pPr>
    </w:p>
    <w:p w14:paraId="4377E4A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1E7FED2E">
      <w:pPr>
        <w:jc w:val="left"/>
        <w:rPr>
          <w:rFonts w:ascii="Calibri" w:hAnsi="Calibri" w:eastAsia="宋体" w:cs="Times New Roman"/>
          <w:sz w:val="24"/>
          <w:szCs w:val="24"/>
        </w:rPr>
      </w:pPr>
    </w:p>
    <w:p w14:paraId="7AD830BE">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33EDD985">
      <w:pPr>
        <w:spacing w:line="360" w:lineRule="auto"/>
        <w:ind w:firstLine="480"/>
        <w:rPr>
          <w:rFonts w:ascii="Calibri" w:hAnsi="Calibri" w:eastAsia="宋体" w:cs="Times New Roman"/>
          <w:sz w:val="24"/>
          <w:szCs w:val="24"/>
        </w:rPr>
      </w:pPr>
    </w:p>
    <w:p w14:paraId="22E62D7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0F2AC9A">
      <w:pPr>
        <w:spacing w:line="360" w:lineRule="auto"/>
        <w:ind w:firstLine="480"/>
        <w:rPr>
          <w:rFonts w:hint="eastAsia" w:ascii="Calibri" w:hAnsi="Calibri" w:eastAsia="宋体" w:cs="Times New Roman"/>
          <w:sz w:val="24"/>
          <w:szCs w:val="24"/>
        </w:rPr>
      </w:pPr>
    </w:p>
    <w:p w14:paraId="31FBEA9A">
      <w:pPr>
        <w:spacing w:line="360" w:lineRule="auto"/>
        <w:ind w:firstLine="480"/>
        <w:rPr>
          <w:rFonts w:ascii="Calibri" w:hAnsi="Calibri" w:eastAsia="宋体" w:cs="Times New Roman"/>
          <w:sz w:val="24"/>
          <w:szCs w:val="24"/>
        </w:rPr>
      </w:pPr>
    </w:p>
    <w:p w14:paraId="4F63D15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供应商（盖章）：</w:t>
      </w:r>
    </w:p>
    <w:p w14:paraId="35056DE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9DF2E8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2B41364B">
      <w:pPr>
        <w:keepNext/>
        <w:keepLines/>
        <w:spacing w:before="360" w:after="200" w:line="360" w:lineRule="auto"/>
        <w:jc w:val="left"/>
        <w:outlineLvl w:val="1"/>
        <w:rPr>
          <w:rFonts w:hint="eastAsia"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14:paraId="28F22592"/>
    <w:p w14:paraId="7225EB3C">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4093B1D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852AEA2">
      <w:pPr>
        <w:spacing w:line="500" w:lineRule="exact"/>
        <w:ind w:firstLine="480"/>
        <w:jc w:val="left"/>
        <w:rPr>
          <w:rFonts w:ascii="Calibri" w:hAnsi="Calibri" w:eastAsia="宋体" w:cs="Times New Roman"/>
          <w:sz w:val="24"/>
          <w:szCs w:val="24"/>
        </w:rPr>
      </w:pPr>
    </w:p>
    <w:p w14:paraId="6B9C518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供应商（盖章）：</w:t>
      </w:r>
    </w:p>
    <w:p w14:paraId="40A2820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71338DD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F25393D"/>
    <w:p w14:paraId="126C7F22"/>
    <w:p w14:paraId="32BFA5E3">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六、法律、行政法规规定的其他条件的证明文件</w:t>
      </w:r>
    </w:p>
    <w:p w14:paraId="196770B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78506EC"/>
    <w:p w14:paraId="09451362"/>
    <w:p w14:paraId="1E8B3E8D">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 、落实政府采购政策需满足的资格要求的证明文件</w:t>
      </w:r>
    </w:p>
    <w:p w14:paraId="1D333B1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DEAE983"/>
    <w:p w14:paraId="4FF5B04A"/>
    <w:p w14:paraId="1EC1DCCB">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八、特定资格要求的证明文件</w:t>
      </w:r>
    </w:p>
    <w:p w14:paraId="098FE74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3470252"/>
    <w:p w14:paraId="36E43A44">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14:paraId="50E2F8D5">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096DC64E">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5173B89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）响应文件和</w:t>
      </w:r>
      <w:r>
        <w:rPr>
          <w:rFonts w:ascii="Calibri" w:hAnsi="Calibri" w:eastAsia="宋体" w:cs="Times New Roman"/>
          <w:sz w:val="24"/>
          <w:szCs w:val="24"/>
        </w:rPr>
        <w:t>处理有关事宜，其法律后果由我方承担。</w:t>
      </w:r>
    </w:p>
    <w:p w14:paraId="666FFCE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0255461E">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13C91825">
      <w:pPr>
        <w:spacing w:line="360" w:lineRule="auto"/>
        <w:rPr>
          <w:rFonts w:ascii="Calibri" w:hAnsi="Calibri" w:eastAsia="宋体" w:cs="Times New Roman"/>
          <w:sz w:val="24"/>
          <w:szCs w:val="24"/>
        </w:rPr>
      </w:pPr>
      <w:r>
        <w:rPr>
          <w:rFonts w:hint="eastAsia" w:ascii="Calibri" w:hAnsi="Calibri" w:eastAsia="宋体" w:cs="Times New Roman"/>
          <w:sz w:val="24"/>
          <w:szCs w:val="24"/>
        </w:rPr>
        <w:t>供应商</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23B4502E">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02B4AED">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022DCF66">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0EDAFC51">
      <w:pPr>
        <w:tabs>
          <w:tab w:val="left" w:pos="5580"/>
        </w:tabs>
        <w:spacing w:line="360" w:lineRule="auto"/>
        <w:ind w:firstLine="480"/>
        <w:rPr>
          <w:rFonts w:ascii="宋体" w:hAnsi="宋体" w:eastAsia="宋体" w:cs="Times New Roman"/>
          <w:color w:val="000000"/>
          <w:sz w:val="24"/>
          <w:szCs w:val="20"/>
        </w:rPr>
      </w:pPr>
    </w:p>
    <w:p w14:paraId="353E8500">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F33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EA2FFD1">
            <w:pPr>
              <w:tabs>
                <w:tab w:val="left" w:pos="5580"/>
              </w:tabs>
              <w:spacing w:line="360" w:lineRule="auto"/>
              <w:jc w:val="left"/>
              <w:rPr>
                <w:rFonts w:ascii="宋体" w:hAnsi="宋体" w:eastAsia="宋体" w:cs="Times New Roman"/>
                <w:color w:val="000000"/>
                <w:sz w:val="24"/>
                <w:szCs w:val="20"/>
              </w:rPr>
            </w:pPr>
          </w:p>
          <w:p w14:paraId="022CBC93">
            <w:pPr>
              <w:tabs>
                <w:tab w:val="left" w:pos="5580"/>
              </w:tabs>
              <w:spacing w:line="360" w:lineRule="auto"/>
              <w:jc w:val="left"/>
              <w:rPr>
                <w:rFonts w:ascii="宋体" w:hAnsi="宋体" w:eastAsia="宋体" w:cs="Times New Roman"/>
                <w:color w:val="000000"/>
                <w:sz w:val="24"/>
                <w:szCs w:val="20"/>
              </w:rPr>
            </w:pPr>
          </w:p>
          <w:p w14:paraId="61BC72E7">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3D20E35B">
            <w:pPr>
              <w:tabs>
                <w:tab w:val="left" w:pos="5580"/>
              </w:tabs>
              <w:spacing w:line="360" w:lineRule="auto"/>
              <w:jc w:val="left"/>
              <w:rPr>
                <w:rFonts w:ascii="宋体" w:hAnsi="宋体" w:eastAsia="宋体" w:cs="Times New Roman"/>
                <w:color w:val="000000"/>
                <w:sz w:val="24"/>
                <w:szCs w:val="20"/>
              </w:rPr>
            </w:pPr>
          </w:p>
          <w:p w14:paraId="7505324C">
            <w:pPr>
              <w:tabs>
                <w:tab w:val="left" w:pos="5580"/>
              </w:tabs>
              <w:spacing w:line="360" w:lineRule="auto"/>
              <w:jc w:val="left"/>
              <w:rPr>
                <w:rFonts w:ascii="宋体" w:hAnsi="宋体" w:eastAsia="宋体" w:cs="Times New Roman"/>
                <w:color w:val="000000"/>
                <w:sz w:val="24"/>
                <w:szCs w:val="20"/>
              </w:rPr>
            </w:pPr>
          </w:p>
          <w:p w14:paraId="7C27E251">
            <w:pPr>
              <w:tabs>
                <w:tab w:val="left" w:pos="5580"/>
              </w:tabs>
              <w:spacing w:line="360" w:lineRule="auto"/>
              <w:jc w:val="left"/>
              <w:rPr>
                <w:rFonts w:ascii="宋体" w:hAnsi="宋体" w:eastAsia="宋体" w:cs="Times New Roman"/>
                <w:color w:val="000000"/>
                <w:sz w:val="24"/>
                <w:szCs w:val="20"/>
              </w:rPr>
            </w:pPr>
          </w:p>
        </w:tc>
      </w:tr>
    </w:tbl>
    <w:p w14:paraId="4A3F548B">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D9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1E3F872">
            <w:pPr>
              <w:tabs>
                <w:tab w:val="left" w:pos="5580"/>
              </w:tabs>
              <w:spacing w:line="360" w:lineRule="auto"/>
              <w:jc w:val="left"/>
              <w:rPr>
                <w:rFonts w:ascii="宋体" w:hAnsi="宋体" w:eastAsia="宋体" w:cs="Times New Roman"/>
                <w:color w:val="000000"/>
                <w:sz w:val="24"/>
                <w:szCs w:val="20"/>
              </w:rPr>
            </w:pPr>
          </w:p>
          <w:p w14:paraId="75FB5B8B">
            <w:pPr>
              <w:tabs>
                <w:tab w:val="left" w:pos="5580"/>
              </w:tabs>
              <w:spacing w:line="360" w:lineRule="auto"/>
              <w:jc w:val="left"/>
              <w:rPr>
                <w:rFonts w:ascii="宋体" w:hAnsi="宋体" w:eastAsia="宋体" w:cs="Times New Roman"/>
                <w:color w:val="000000"/>
                <w:sz w:val="24"/>
                <w:szCs w:val="20"/>
              </w:rPr>
            </w:pPr>
          </w:p>
          <w:p w14:paraId="3EBFE49F">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1B9848BA">
            <w:pPr>
              <w:tabs>
                <w:tab w:val="left" w:pos="5580"/>
              </w:tabs>
              <w:spacing w:line="360" w:lineRule="auto"/>
              <w:jc w:val="left"/>
              <w:rPr>
                <w:rFonts w:ascii="宋体" w:hAnsi="宋体" w:eastAsia="宋体" w:cs="Times New Roman"/>
                <w:color w:val="000000"/>
                <w:sz w:val="24"/>
                <w:szCs w:val="20"/>
              </w:rPr>
            </w:pPr>
          </w:p>
          <w:p w14:paraId="6C38F53B">
            <w:pPr>
              <w:tabs>
                <w:tab w:val="left" w:pos="5580"/>
              </w:tabs>
              <w:spacing w:line="360" w:lineRule="auto"/>
              <w:jc w:val="left"/>
              <w:rPr>
                <w:rFonts w:ascii="宋体" w:hAnsi="宋体" w:eastAsia="宋体" w:cs="Times New Roman"/>
                <w:color w:val="000000"/>
                <w:sz w:val="24"/>
                <w:szCs w:val="20"/>
              </w:rPr>
            </w:pPr>
          </w:p>
          <w:p w14:paraId="72354D9D">
            <w:pPr>
              <w:tabs>
                <w:tab w:val="left" w:pos="5580"/>
              </w:tabs>
              <w:spacing w:line="360" w:lineRule="auto"/>
              <w:jc w:val="left"/>
              <w:rPr>
                <w:rFonts w:ascii="宋体" w:hAnsi="宋体" w:eastAsia="宋体" w:cs="Times New Roman"/>
                <w:color w:val="000000"/>
                <w:sz w:val="24"/>
                <w:szCs w:val="20"/>
              </w:rPr>
            </w:pPr>
          </w:p>
        </w:tc>
      </w:tr>
    </w:tbl>
    <w:p w14:paraId="4D1CAFAD">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55082E5A">
      <w:pPr>
        <w:tabs>
          <w:tab w:val="left" w:pos="5580"/>
        </w:tabs>
        <w:spacing w:line="360" w:lineRule="auto"/>
        <w:ind w:firstLine="480"/>
        <w:jc w:val="left"/>
        <w:rPr>
          <w:rFonts w:cs="Times New Roman" w:asciiTheme="minorEastAsia" w:hAnsiTheme="minorEastAsia"/>
          <w:sz w:val="24"/>
          <w:szCs w:val="24"/>
        </w:rPr>
      </w:pPr>
      <w:r>
        <w:rPr>
          <w:rFonts w:cs="Times New Roman" w:asciiTheme="minorEastAsia" w:hAnsiTheme="minorEastAsia"/>
          <w:sz w:val="24"/>
          <w:szCs w:val="24"/>
        </w:rPr>
        <w:t>1、若供应商为事业单位或其他组织或分支机构（仅当</w:t>
      </w:r>
      <w:r>
        <w:rPr>
          <w:rFonts w:hint="eastAsia" w:cs="Times New Roman" w:asciiTheme="minorEastAsia" w:hAnsiTheme="minorEastAsia"/>
          <w:sz w:val="24"/>
          <w:szCs w:val="24"/>
        </w:rPr>
        <w:t>磋商文件</w:t>
      </w:r>
      <w:r>
        <w:rPr>
          <w:rFonts w:cs="Times New Roman" w:asciiTheme="minorEastAsia" w:hAnsiTheme="minorEastAsia"/>
          <w:sz w:val="24"/>
          <w:szCs w:val="24"/>
        </w:rPr>
        <w:t>注明允许分支机构参与</w:t>
      </w:r>
      <w:r>
        <w:rPr>
          <w:rFonts w:hint="eastAsia" w:cs="Times New Roman" w:asciiTheme="minorEastAsia" w:hAnsiTheme="minorEastAsia"/>
          <w:sz w:val="24"/>
          <w:szCs w:val="24"/>
        </w:rPr>
        <w:t>磋商</w:t>
      </w:r>
      <w:r>
        <w:rPr>
          <w:rFonts w:cs="Times New Roman" w:asciiTheme="minorEastAsia" w:hAnsiTheme="minorEastAsia"/>
          <w:sz w:val="24"/>
          <w:szCs w:val="24"/>
        </w:rPr>
        <w:t>的），则法定代表人（单位负责人）</w:t>
      </w:r>
      <w:r>
        <w:rPr>
          <w:rFonts w:hint="eastAsia" w:cs="Times New Roman" w:asciiTheme="minorEastAsia" w:hAnsiTheme="minorEastAsia"/>
          <w:sz w:val="24"/>
          <w:szCs w:val="24"/>
        </w:rPr>
        <w:t>处</w:t>
      </w:r>
      <w:r>
        <w:rPr>
          <w:rFonts w:cs="Times New Roman" w:asciiTheme="minorEastAsia" w:hAnsiTheme="minorEastAsia"/>
          <w:sz w:val="24"/>
          <w:szCs w:val="24"/>
        </w:rPr>
        <w:t>的签署人可为单位负责人</w:t>
      </w:r>
      <w:r>
        <w:rPr>
          <w:rFonts w:hint="eastAsia" w:cs="Times New Roman" w:asciiTheme="minorEastAsia" w:hAnsiTheme="minorEastAsia"/>
          <w:sz w:val="24"/>
          <w:szCs w:val="24"/>
        </w:rPr>
        <w:t>。</w:t>
      </w:r>
    </w:p>
    <w:p w14:paraId="5D20675C">
      <w:pPr>
        <w:tabs>
          <w:tab w:val="left" w:pos="5580"/>
        </w:tabs>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w:t>
      </w:r>
      <w:r>
        <w:rPr>
          <w:rFonts w:cs="Times New Roman" w:asciiTheme="minorEastAsia" w:hAnsiTheme="minorEastAsia"/>
          <w:sz w:val="24"/>
          <w:szCs w:val="24"/>
        </w:rPr>
        <w:t>若</w:t>
      </w:r>
      <w:r>
        <w:rPr>
          <w:rFonts w:hint="eastAsia" w:cs="Times New Roman" w:asciiTheme="minorEastAsia" w:hAnsiTheme="minorEastAsia"/>
          <w:sz w:val="24"/>
          <w:szCs w:val="24"/>
        </w:rPr>
        <w:t>响应文件</w:t>
      </w:r>
      <w:r>
        <w:rPr>
          <w:rFonts w:cs="Times New Roman" w:asciiTheme="minorEastAsia" w:hAnsiTheme="minorEastAsia"/>
          <w:sz w:val="24"/>
          <w:szCs w:val="24"/>
        </w:rPr>
        <w:t>中全部签字之处均为法定代表人（单位负责人）本人签署，则可不提供本《</w:t>
      </w:r>
      <w:r>
        <w:rPr>
          <w:rFonts w:hint="eastAsia" w:cs="Times New Roman" w:asciiTheme="minorEastAsia" w:hAnsiTheme="minorEastAsia"/>
          <w:sz w:val="24"/>
          <w:szCs w:val="24"/>
        </w:rPr>
        <w:t>授权委托书</w:t>
      </w:r>
      <w:r>
        <w:rPr>
          <w:rFonts w:cs="Times New Roman" w:asciiTheme="minorEastAsia" w:hAnsiTheme="minorEastAsia"/>
          <w:sz w:val="24"/>
          <w:szCs w:val="24"/>
        </w:rPr>
        <w:t>》，但须提供</w:t>
      </w:r>
      <w:r>
        <w:rPr>
          <w:rFonts w:hint="eastAsia" w:cs="Times New Roman" w:asciiTheme="minorEastAsia" w:hAnsiTheme="minorEastAsia"/>
          <w:sz w:val="24"/>
          <w:szCs w:val="24"/>
        </w:rPr>
        <w:t>《</w:t>
      </w:r>
      <w:r>
        <w:rPr>
          <w:rFonts w:cs="Times New Roman" w:asciiTheme="minorEastAsia" w:hAnsiTheme="minorEastAsia"/>
          <w:sz w:val="24"/>
          <w:szCs w:val="24"/>
        </w:rPr>
        <w:t>法定代表人（单位负责人）身份证</w:t>
      </w:r>
      <w:r>
        <w:rPr>
          <w:rFonts w:hint="eastAsia" w:cs="Times New Roman" w:asciiTheme="minorEastAsia" w:hAnsiTheme="minorEastAsia"/>
          <w:sz w:val="24"/>
          <w:szCs w:val="24"/>
        </w:rPr>
        <w:t>明》</w:t>
      </w:r>
      <w:r>
        <w:rPr>
          <w:rFonts w:cs="Times New Roman" w:asciiTheme="minorEastAsia" w:hAnsiTheme="minorEastAsia"/>
          <w:sz w:val="24"/>
          <w:szCs w:val="24"/>
        </w:rPr>
        <w:t>。</w:t>
      </w:r>
    </w:p>
    <w:p w14:paraId="3964E4E1">
      <w:pPr>
        <w:tabs>
          <w:tab w:val="left" w:pos="5580"/>
        </w:tabs>
        <w:spacing w:line="360" w:lineRule="auto"/>
        <w:ind w:firstLine="480"/>
        <w:jc w:val="left"/>
        <w:rPr>
          <w:rFonts w:cs="Times New Roman" w:asciiTheme="minorEastAsia" w:hAnsiTheme="minorEastAsia"/>
          <w:sz w:val="24"/>
          <w:szCs w:val="24"/>
        </w:rPr>
      </w:pPr>
      <w:r>
        <w:rPr>
          <w:rFonts w:cs="Times New Roman" w:asciiTheme="minorEastAsia" w:hAnsiTheme="minorEastAsia"/>
          <w:sz w:val="24"/>
          <w:szCs w:val="24"/>
        </w:rPr>
        <w:t>3、</w:t>
      </w:r>
      <w:r>
        <w:rPr>
          <w:rFonts w:hint="eastAsia" w:cs="Times New Roman" w:asciiTheme="minorEastAsia" w:hAnsiTheme="minorEastAsia"/>
          <w:sz w:val="24"/>
          <w:szCs w:val="24"/>
        </w:rPr>
        <w:t>供应商为自然人的情形，可不提供本</w:t>
      </w:r>
      <w:r>
        <w:rPr>
          <w:rFonts w:cs="Times New Roman" w:asciiTheme="minorEastAsia" w:hAnsiTheme="minorEastAsia"/>
          <w:sz w:val="24"/>
          <w:szCs w:val="24"/>
        </w:rPr>
        <w:t>《</w:t>
      </w:r>
      <w:r>
        <w:rPr>
          <w:rFonts w:hint="eastAsia" w:cs="Times New Roman" w:asciiTheme="minorEastAsia" w:hAnsiTheme="minorEastAsia"/>
          <w:sz w:val="24"/>
          <w:szCs w:val="24"/>
        </w:rPr>
        <w:t>授权委托书</w:t>
      </w:r>
      <w:r>
        <w:rPr>
          <w:rFonts w:cs="Times New Roman" w:asciiTheme="minorEastAsia" w:hAnsiTheme="minorEastAsia"/>
          <w:sz w:val="24"/>
          <w:szCs w:val="24"/>
        </w:rPr>
        <w:t>》</w:t>
      </w:r>
      <w:r>
        <w:rPr>
          <w:rFonts w:hint="eastAsia" w:cs="Times New Roman" w:asciiTheme="minorEastAsia" w:hAnsiTheme="minorEastAsia"/>
          <w:sz w:val="24"/>
          <w:szCs w:val="24"/>
        </w:rPr>
        <w:t>。</w:t>
      </w:r>
    </w:p>
    <w:p w14:paraId="2143199C">
      <w:pPr>
        <w:rPr>
          <w:rFonts w:hint="eastAsia"/>
        </w:rPr>
      </w:pPr>
    </w:p>
    <w:p w14:paraId="3FC2EE6E">
      <w:pPr>
        <w:rPr>
          <w:rFonts w:hint="eastAsia"/>
        </w:rPr>
      </w:pPr>
    </w:p>
    <w:p w14:paraId="4D20E552">
      <w:pPr>
        <w:rPr>
          <w:rFonts w:hint="eastAsia"/>
        </w:rPr>
      </w:pPr>
    </w:p>
    <w:p w14:paraId="5ECE95DA"/>
    <w:p w14:paraId="54CB6623"/>
    <w:p w14:paraId="32EB8C9C">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5BDACA0B">
      <w:pPr>
        <w:spacing w:line="200" w:lineRule="exact"/>
        <w:rPr>
          <w:rFonts w:ascii="宋体" w:hAnsi="宋体" w:eastAsia="宋体" w:cs="Times New Roman"/>
          <w:sz w:val="20"/>
          <w:szCs w:val="20"/>
        </w:rPr>
      </w:pPr>
    </w:p>
    <w:p w14:paraId="31EBAAFE">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00243733">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19536D1F">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31C8D1CA">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03B0AD2">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1C9D6E73">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491D5BF0">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6050AA98">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2AE8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FA82ED2">
            <w:pPr>
              <w:tabs>
                <w:tab w:val="left" w:pos="5580"/>
              </w:tabs>
              <w:spacing w:line="360" w:lineRule="auto"/>
              <w:jc w:val="left"/>
              <w:rPr>
                <w:rFonts w:ascii="宋体" w:hAnsi="宋体" w:eastAsia="宋体" w:cs="Times New Roman"/>
                <w:color w:val="000000"/>
                <w:sz w:val="24"/>
                <w:szCs w:val="20"/>
              </w:rPr>
            </w:pPr>
          </w:p>
          <w:p w14:paraId="612E0126">
            <w:pPr>
              <w:tabs>
                <w:tab w:val="left" w:pos="5580"/>
              </w:tabs>
              <w:spacing w:line="360" w:lineRule="auto"/>
              <w:jc w:val="left"/>
              <w:rPr>
                <w:rFonts w:ascii="宋体" w:hAnsi="宋体" w:eastAsia="宋体" w:cs="Times New Roman"/>
                <w:color w:val="000000"/>
                <w:sz w:val="24"/>
                <w:szCs w:val="20"/>
              </w:rPr>
            </w:pPr>
          </w:p>
          <w:p w14:paraId="02CB877B">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5DAF539A">
            <w:pPr>
              <w:tabs>
                <w:tab w:val="left" w:pos="5580"/>
              </w:tabs>
              <w:spacing w:line="360" w:lineRule="auto"/>
              <w:jc w:val="left"/>
              <w:rPr>
                <w:rFonts w:ascii="宋体" w:hAnsi="宋体" w:eastAsia="宋体" w:cs="Times New Roman"/>
                <w:color w:val="000000"/>
                <w:sz w:val="24"/>
                <w:szCs w:val="20"/>
              </w:rPr>
            </w:pPr>
          </w:p>
          <w:p w14:paraId="72A2BAC6">
            <w:pPr>
              <w:tabs>
                <w:tab w:val="left" w:pos="5580"/>
              </w:tabs>
              <w:spacing w:line="360" w:lineRule="auto"/>
              <w:jc w:val="left"/>
              <w:rPr>
                <w:rFonts w:ascii="宋体" w:hAnsi="宋体" w:eastAsia="宋体" w:cs="Times New Roman"/>
                <w:color w:val="000000"/>
                <w:sz w:val="24"/>
                <w:szCs w:val="20"/>
              </w:rPr>
            </w:pPr>
          </w:p>
          <w:p w14:paraId="0B47E4EB">
            <w:pPr>
              <w:tabs>
                <w:tab w:val="left" w:pos="5580"/>
              </w:tabs>
              <w:spacing w:line="360" w:lineRule="auto"/>
              <w:jc w:val="left"/>
              <w:rPr>
                <w:rFonts w:ascii="宋体" w:hAnsi="宋体" w:eastAsia="宋体" w:cs="Times New Roman"/>
                <w:color w:val="000000"/>
                <w:sz w:val="24"/>
                <w:szCs w:val="20"/>
              </w:rPr>
            </w:pPr>
          </w:p>
        </w:tc>
      </w:tr>
    </w:tbl>
    <w:p w14:paraId="3D8D48BD">
      <w:pPr>
        <w:tabs>
          <w:tab w:val="left" w:pos="567"/>
        </w:tabs>
        <w:spacing w:before="120" w:line="583" w:lineRule="auto"/>
        <w:ind w:right="4305"/>
        <w:rPr>
          <w:rFonts w:ascii="宋体" w:hAnsi="宋体" w:eastAsia="宋体" w:cs="Times New Roman"/>
          <w:spacing w:val="-3"/>
          <w:sz w:val="24"/>
          <w:szCs w:val="24"/>
        </w:rPr>
      </w:pPr>
    </w:p>
    <w:p w14:paraId="44465FE0">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供应商</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5AA4903A">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4069FE7B">
      <w:pPr>
        <w:spacing w:line="360" w:lineRule="auto"/>
        <w:rPr>
          <w:rFonts w:ascii="Calibri" w:hAnsi="Calibri" w:eastAsia="宋体" w:cs="Times New Roman"/>
          <w:sz w:val="24"/>
          <w:szCs w:val="24"/>
        </w:rPr>
      </w:pPr>
    </w:p>
    <w:p w14:paraId="3E3A2D84">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55DD8721">
      <w:pPr>
        <w:spacing w:line="360" w:lineRule="auto"/>
        <w:rPr>
          <w:rFonts w:ascii="Calibri" w:hAnsi="Calibri" w:eastAsia="宋体" w:cs="Times New Roman"/>
          <w:sz w:val="24"/>
          <w:szCs w:val="24"/>
        </w:rPr>
      </w:pPr>
    </w:p>
    <w:p w14:paraId="2EB28D44">
      <w:pPr>
        <w:rPr>
          <w:rFonts w:hint="eastAsia"/>
        </w:rPr>
      </w:pPr>
    </w:p>
    <w:p w14:paraId="55A13C49">
      <w:pPr>
        <w:rPr>
          <w:rFonts w:hint="eastAsia"/>
        </w:rPr>
      </w:pPr>
    </w:p>
    <w:p w14:paraId="2CAEA7F5">
      <w:pPr>
        <w:rPr>
          <w:rFonts w:hint="eastAsia"/>
        </w:rPr>
      </w:pPr>
    </w:p>
    <w:p w14:paraId="1CA9D22F">
      <w:pPr>
        <w:rPr>
          <w:rFonts w:hint="eastAsia"/>
        </w:rPr>
      </w:pPr>
    </w:p>
    <w:p w14:paraId="38601CD8"/>
    <w:p w14:paraId="44951A5F">
      <w:pPr>
        <w:keepNext/>
        <w:keepLines/>
        <w:spacing w:before="260" w:after="260" w:line="416" w:lineRule="auto"/>
        <w:jc w:val="left"/>
        <w:outlineLvl w:val="1"/>
        <w:rPr>
          <w:rFonts w:ascii="黑体" w:hAnsi="黑体" w:eastAsia="黑体" w:cs="Times New Roman"/>
          <w:b/>
          <w:color w:val="000000"/>
          <w:sz w:val="32"/>
          <w:szCs w:val="32"/>
        </w:rPr>
      </w:pPr>
      <w:r>
        <w:rPr>
          <w:rFonts w:hint="eastAsia" w:ascii="Arial" w:hAnsi="Arial" w:eastAsia="宋体" w:cs="Arial"/>
          <w:b/>
          <w:iCs/>
          <w:sz w:val="36"/>
        </w:rPr>
        <w:t>十、磋商响应函</w:t>
      </w:r>
    </w:p>
    <w:p w14:paraId="066E6580">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磋商响应函</w:t>
      </w:r>
    </w:p>
    <w:p w14:paraId="18A6A0BB">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1E7F045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根据贵方的JSZC-_________________号磋商文件，正式授权下述签字人_________________(姓名)代表我方______________（供应商的名称），全权处理本次项目磋商采购的有关事宜。</w:t>
      </w:r>
    </w:p>
    <w:p w14:paraId="5E8752D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3434DD9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1.按磋商文件规定的各项要求，向买方提供所需服务（包含与服务相关的货物、工程）。</w:t>
      </w:r>
    </w:p>
    <w:p w14:paraId="57CFE21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2.我们完全理解贵方不一定将合同授予最低报价的供应商。</w:t>
      </w:r>
    </w:p>
    <w:p w14:paraId="3962E4B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3.我们已详细审核全部磋商文件及其有效补充文件，我们知道必须放弃提出含糊不清或误解问题的权利。</w:t>
      </w:r>
    </w:p>
    <w:p w14:paraId="36945FC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4.我们同意从规定的开启日期起遵循本响应文件，并在规定的磋商有效期期满之前均具有约束力。</w:t>
      </w:r>
    </w:p>
    <w:p w14:paraId="435B02FF">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.同意向贵方提供贵方可能另外要求的与磋商采购有关的任何证据或资料，并保证我方已提供和将要提供的文件是真实的、准确的。</w:t>
      </w:r>
    </w:p>
    <w:p w14:paraId="6DC99778">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.一旦我方成交,我方将根据磋商文件的规定，严格履行合同的责任和义务,并保证在磋商文件规定的时间完成项目，交付买方验收、使用。</w:t>
      </w:r>
    </w:p>
    <w:p w14:paraId="08B8A4B8">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.与本磋商有关的正式通讯地址为：</w:t>
      </w:r>
    </w:p>
    <w:p w14:paraId="6FD11EF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32E5986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34C1403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2EC6A99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2E5C19C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供应商开户行：</w:t>
      </w:r>
    </w:p>
    <w:p w14:paraId="44BB0DF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61D25275"/>
    <w:p w14:paraId="7146D770"/>
    <w:p w14:paraId="05B1E11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175AA41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ABE50C9">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F3038A4"/>
    <w:p w14:paraId="5FC3D923"/>
    <w:p w14:paraId="0864ED3F">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十一、中小企业声明函（服务）（分包号：**）</w:t>
      </w:r>
    </w:p>
    <w:p w14:paraId="194CC1D2">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10772488">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053F3D5E">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54387327">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5C96847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B31C072">
      <w:pPr>
        <w:spacing w:line="560" w:lineRule="exact"/>
        <w:ind w:right="1620"/>
        <w:rPr>
          <w:rFonts w:ascii="宋体" w:hAnsi="宋体" w:eastAsia="宋体" w:cs="Times New Roman"/>
          <w:color w:val="000000"/>
          <w:sz w:val="24"/>
          <w:szCs w:val="24"/>
        </w:rPr>
      </w:pPr>
    </w:p>
    <w:p w14:paraId="73148708">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5A3C38BD">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3A13C94">
      <w:pPr>
        <w:spacing w:line="360" w:lineRule="auto"/>
        <w:ind w:right="480"/>
        <w:jc w:val="left"/>
        <w:rPr>
          <w:rFonts w:ascii="宋体" w:hAnsi="宋体" w:eastAsia="宋体" w:cs="Times New Roman"/>
          <w:sz w:val="24"/>
          <w:szCs w:val="24"/>
        </w:rPr>
      </w:pPr>
    </w:p>
    <w:p w14:paraId="3A9B4095">
      <w:pPr>
        <w:spacing w:line="360" w:lineRule="auto"/>
        <w:ind w:right="480"/>
        <w:jc w:val="left"/>
        <w:rPr>
          <w:rFonts w:ascii="宋体" w:hAnsi="宋体" w:eastAsia="宋体" w:cs="Times New Roman"/>
          <w:sz w:val="24"/>
          <w:szCs w:val="24"/>
        </w:rPr>
      </w:pPr>
    </w:p>
    <w:p w14:paraId="772B9F0A">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4126C1F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2D2320D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1D8A3A0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3、成交供应商的《中小企业声明函》随成交结果公开，接受社会监督。</w:t>
      </w:r>
    </w:p>
    <w:p w14:paraId="47EBA146"/>
    <w:p w14:paraId="26E05705"/>
    <w:p w14:paraId="162B4F44">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十二、残疾人福利性单位声明函（分包号：**）</w:t>
      </w:r>
    </w:p>
    <w:p w14:paraId="7EDE2236">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296AED6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385A5597">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66D0016A">
      <w:pPr>
        <w:spacing w:line="500" w:lineRule="exact"/>
        <w:ind w:firstLine="480"/>
        <w:rPr>
          <w:rFonts w:ascii="宋体" w:hAnsi="宋体" w:eastAsia="宋体" w:cs="Times New Roman"/>
          <w:color w:val="000000"/>
          <w:sz w:val="24"/>
          <w:szCs w:val="21"/>
        </w:rPr>
      </w:pPr>
    </w:p>
    <w:p w14:paraId="006F791C">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74D61113">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5226A920"/>
    <w:p w14:paraId="0C92B87A"/>
    <w:p w14:paraId="6C3D7620">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48989A3A">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08874929">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2、成交供应商的《残疾人福利性单位声明函》随成交结果公开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48E98C8B"/>
    <w:p w14:paraId="46BCACF6"/>
    <w:p w14:paraId="5C0330FA">
      <w:pPr>
        <w:rPr>
          <w:rFonts w:hint="eastAsia"/>
        </w:rPr>
      </w:pPr>
    </w:p>
    <w:p w14:paraId="5DE90E36">
      <w:pPr>
        <w:rPr>
          <w:rFonts w:hint="eastAsia"/>
        </w:rPr>
      </w:pPr>
    </w:p>
    <w:p w14:paraId="51B4DB7A">
      <w:pPr>
        <w:rPr>
          <w:rFonts w:hint="eastAsia"/>
        </w:rPr>
      </w:pPr>
    </w:p>
    <w:p w14:paraId="1762D1DF">
      <w:pPr>
        <w:rPr>
          <w:rFonts w:hint="eastAsia"/>
        </w:rPr>
      </w:pPr>
    </w:p>
    <w:p w14:paraId="7BBCB2CE">
      <w:pPr>
        <w:rPr>
          <w:rFonts w:hint="eastAsia"/>
        </w:rPr>
      </w:pPr>
    </w:p>
    <w:p w14:paraId="740E9295"/>
    <w:p w14:paraId="2B6B885A">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w:t>
      </w:r>
      <w:r>
        <w:rPr>
          <w:rFonts w:hint="eastAsia" w:ascii="Arial" w:hAnsi="Arial" w:eastAsia="宋体" w:cs="Arial"/>
          <w:b/>
          <w:iCs/>
          <w:sz w:val="36"/>
          <w:lang w:val="en-US" w:eastAsia="zh-CN"/>
        </w:rPr>
        <w:t>三</w:t>
      </w:r>
      <w:r>
        <w:rPr>
          <w:rFonts w:hint="eastAsia" w:ascii="Arial" w:hAnsi="Arial" w:eastAsia="宋体" w:cs="Arial"/>
          <w:b/>
          <w:iCs/>
          <w:sz w:val="36"/>
        </w:rPr>
        <w:t>、分项报价表（分包号：**）</w:t>
      </w:r>
    </w:p>
    <w:p w14:paraId="4D7C786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分项报价表</w:t>
      </w:r>
    </w:p>
    <w:p w14:paraId="5F090799">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7C3610F3">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35E0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04FC683E">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333D1D8E">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44806911">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6955C80C">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21D3A60D">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3B1650EF">
            <w:pPr>
              <w:spacing w:line="560" w:lineRule="exact"/>
              <w:jc w:val="center"/>
              <w:rPr>
                <w:rFonts w:ascii="宋体" w:hAnsi="宋体"/>
                <w:color w:val="000000"/>
                <w:sz w:val="24"/>
              </w:rPr>
            </w:pPr>
            <w:r>
              <w:rPr>
                <w:rFonts w:hint="eastAsia" w:ascii="宋体" w:hAnsi="宋体"/>
                <w:color w:val="000000"/>
                <w:sz w:val="24"/>
              </w:rPr>
              <w:t>单项</w:t>
            </w:r>
          </w:p>
          <w:p w14:paraId="7266539C">
            <w:pPr>
              <w:spacing w:line="560" w:lineRule="exact"/>
              <w:jc w:val="center"/>
              <w:rPr>
                <w:rFonts w:ascii="宋体" w:hAnsi="宋体"/>
                <w:color w:val="000000"/>
                <w:sz w:val="24"/>
              </w:rPr>
            </w:pPr>
            <w:r>
              <w:rPr>
                <w:rFonts w:hint="eastAsia" w:ascii="宋体" w:hAnsi="宋体"/>
                <w:color w:val="000000"/>
                <w:sz w:val="24"/>
              </w:rPr>
              <w:t>合计价</w:t>
            </w:r>
          </w:p>
        </w:tc>
      </w:tr>
      <w:tr w14:paraId="1385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FF1583B">
            <w:pPr>
              <w:spacing w:line="560" w:lineRule="exact"/>
              <w:jc w:val="center"/>
              <w:rPr>
                <w:rFonts w:ascii="宋体" w:hAnsi="宋体"/>
                <w:color w:val="000000"/>
                <w:sz w:val="24"/>
              </w:rPr>
            </w:pPr>
          </w:p>
        </w:tc>
        <w:tc>
          <w:tcPr>
            <w:tcW w:w="1756" w:type="dxa"/>
            <w:noWrap w:val="0"/>
            <w:vAlign w:val="center"/>
          </w:tcPr>
          <w:p w14:paraId="65B9E2D3">
            <w:pPr>
              <w:spacing w:line="560" w:lineRule="exact"/>
              <w:jc w:val="center"/>
              <w:rPr>
                <w:rFonts w:ascii="宋体" w:hAnsi="宋体"/>
                <w:color w:val="000000"/>
                <w:sz w:val="24"/>
              </w:rPr>
            </w:pPr>
          </w:p>
        </w:tc>
        <w:tc>
          <w:tcPr>
            <w:tcW w:w="1417" w:type="dxa"/>
            <w:noWrap w:val="0"/>
            <w:vAlign w:val="center"/>
          </w:tcPr>
          <w:p w14:paraId="43FE588A">
            <w:pPr>
              <w:spacing w:line="560" w:lineRule="exact"/>
              <w:jc w:val="center"/>
              <w:rPr>
                <w:rFonts w:ascii="宋体" w:hAnsi="宋体"/>
                <w:color w:val="000000"/>
                <w:sz w:val="24"/>
              </w:rPr>
            </w:pPr>
          </w:p>
        </w:tc>
        <w:tc>
          <w:tcPr>
            <w:tcW w:w="993" w:type="dxa"/>
            <w:noWrap w:val="0"/>
            <w:vAlign w:val="center"/>
          </w:tcPr>
          <w:p w14:paraId="71A0A6DC">
            <w:pPr>
              <w:spacing w:line="560" w:lineRule="exact"/>
              <w:jc w:val="center"/>
              <w:rPr>
                <w:rFonts w:ascii="宋体" w:hAnsi="宋体"/>
                <w:color w:val="000000"/>
                <w:sz w:val="24"/>
              </w:rPr>
            </w:pPr>
          </w:p>
        </w:tc>
        <w:tc>
          <w:tcPr>
            <w:tcW w:w="1093" w:type="dxa"/>
            <w:noWrap w:val="0"/>
            <w:vAlign w:val="center"/>
          </w:tcPr>
          <w:p w14:paraId="3EE8DC38">
            <w:pPr>
              <w:spacing w:line="560" w:lineRule="exact"/>
              <w:jc w:val="center"/>
              <w:rPr>
                <w:rFonts w:ascii="宋体" w:hAnsi="宋体"/>
                <w:color w:val="000000"/>
                <w:sz w:val="24"/>
              </w:rPr>
            </w:pPr>
          </w:p>
        </w:tc>
        <w:tc>
          <w:tcPr>
            <w:tcW w:w="2350" w:type="dxa"/>
            <w:noWrap w:val="0"/>
            <w:vAlign w:val="center"/>
          </w:tcPr>
          <w:p w14:paraId="3B43FAD1">
            <w:pPr>
              <w:spacing w:line="560" w:lineRule="exact"/>
              <w:jc w:val="center"/>
              <w:rPr>
                <w:rFonts w:ascii="宋体" w:hAnsi="宋体"/>
                <w:color w:val="000000"/>
                <w:sz w:val="24"/>
              </w:rPr>
            </w:pPr>
          </w:p>
        </w:tc>
      </w:tr>
      <w:tr w14:paraId="6408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960C583">
            <w:pPr>
              <w:spacing w:line="560" w:lineRule="exact"/>
              <w:jc w:val="center"/>
              <w:rPr>
                <w:rFonts w:ascii="宋体" w:hAnsi="宋体"/>
                <w:color w:val="000000"/>
                <w:sz w:val="24"/>
              </w:rPr>
            </w:pPr>
          </w:p>
        </w:tc>
        <w:tc>
          <w:tcPr>
            <w:tcW w:w="1756" w:type="dxa"/>
            <w:noWrap w:val="0"/>
            <w:vAlign w:val="center"/>
          </w:tcPr>
          <w:p w14:paraId="729A7D98">
            <w:pPr>
              <w:spacing w:line="560" w:lineRule="exact"/>
              <w:jc w:val="center"/>
              <w:rPr>
                <w:rFonts w:ascii="宋体" w:hAnsi="宋体"/>
                <w:color w:val="000000"/>
                <w:sz w:val="24"/>
              </w:rPr>
            </w:pPr>
          </w:p>
        </w:tc>
        <w:tc>
          <w:tcPr>
            <w:tcW w:w="1417" w:type="dxa"/>
            <w:noWrap w:val="0"/>
            <w:vAlign w:val="center"/>
          </w:tcPr>
          <w:p w14:paraId="42901961">
            <w:pPr>
              <w:spacing w:line="560" w:lineRule="exact"/>
              <w:jc w:val="center"/>
              <w:rPr>
                <w:rFonts w:ascii="宋体" w:hAnsi="宋体"/>
                <w:color w:val="000000"/>
                <w:sz w:val="24"/>
              </w:rPr>
            </w:pPr>
          </w:p>
        </w:tc>
        <w:tc>
          <w:tcPr>
            <w:tcW w:w="993" w:type="dxa"/>
            <w:noWrap w:val="0"/>
            <w:vAlign w:val="center"/>
          </w:tcPr>
          <w:p w14:paraId="0155BAF8">
            <w:pPr>
              <w:spacing w:line="560" w:lineRule="exact"/>
              <w:jc w:val="center"/>
              <w:rPr>
                <w:rFonts w:ascii="宋体" w:hAnsi="宋体"/>
                <w:color w:val="000000"/>
                <w:sz w:val="24"/>
              </w:rPr>
            </w:pPr>
          </w:p>
        </w:tc>
        <w:tc>
          <w:tcPr>
            <w:tcW w:w="1093" w:type="dxa"/>
            <w:noWrap w:val="0"/>
            <w:vAlign w:val="center"/>
          </w:tcPr>
          <w:p w14:paraId="573573E6">
            <w:pPr>
              <w:spacing w:line="560" w:lineRule="exact"/>
              <w:jc w:val="center"/>
              <w:rPr>
                <w:rFonts w:ascii="宋体" w:hAnsi="宋体"/>
                <w:color w:val="000000"/>
                <w:sz w:val="24"/>
              </w:rPr>
            </w:pPr>
          </w:p>
        </w:tc>
        <w:tc>
          <w:tcPr>
            <w:tcW w:w="2350" w:type="dxa"/>
            <w:noWrap w:val="0"/>
            <w:vAlign w:val="center"/>
          </w:tcPr>
          <w:p w14:paraId="0C0DBA1B">
            <w:pPr>
              <w:spacing w:line="560" w:lineRule="exact"/>
              <w:jc w:val="center"/>
              <w:rPr>
                <w:rFonts w:ascii="宋体" w:hAnsi="宋体"/>
                <w:color w:val="000000"/>
                <w:sz w:val="24"/>
              </w:rPr>
            </w:pPr>
          </w:p>
        </w:tc>
      </w:tr>
      <w:tr w14:paraId="34CC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388008C">
            <w:pPr>
              <w:spacing w:line="560" w:lineRule="exact"/>
              <w:jc w:val="center"/>
              <w:rPr>
                <w:rFonts w:ascii="宋体" w:hAnsi="宋体"/>
                <w:color w:val="000000"/>
                <w:sz w:val="24"/>
              </w:rPr>
            </w:pPr>
          </w:p>
        </w:tc>
        <w:tc>
          <w:tcPr>
            <w:tcW w:w="1756" w:type="dxa"/>
            <w:noWrap w:val="0"/>
            <w:vAlign w:val="center"/>
          </w:tcPr>
          <w:p w14:paraId="5286A86D">
            <w:pPr>
              <w:spacing w:line="560" w:lineRule="exact"/>
              <w:jc w:val="center"/>
              <w:rPr>
                <w:rFonts w:ascii="宋体" w:hAnsi="宋体"/>
                <w:color w:val="000000"/>
                <w:sz w:val="24"/>
              </w:rPr>
            </w:pPr>
          </w:p>
        </w:tc>
        <w:tc>
          <w:tcPr>
            <w:tcW w:w="1417" w:type="dxa"/>
            <w:noWrap w:val="0"/>
            <w:vAlign w:val="center"/>
          </w:tcPr>
          <w:p w14:paraId="1B3C1CD6">
            <w:pPr>
              <w:spacing w:line="560" w:lineRule="exact"/>
              <w:jc w:val="center"/>
              <w:rPr>
                <w:rFonts w:ascii="宋体" w:hAnsi="宋体"/>
                <w:color w:val="000000"/>
                <w:sz w:val="24"/>
              </w:rPr>
            </w:pPr>
          </w:p>
        </w:tc>
        <w:tc>
          <w:tcPr>
            <w:tcW w:w="993" w:type="dxa"/>
            <w:noWrap w:val="0"/>
            <w:vAlign w:val="center"/>
          </w:tcPr>
          <w:p w14:paraId="48D8E9EE">
            <w:pPr>
              <w:spacing w:line="560" w:lineRule="exact"/>
              <w:jc w:val="center"/>
              <w:rPr>
                <w:rFonts w:ascii="宋体" w:hAnsi="宋体"/>
                <w:color w:val="000000"/>
                <w:sz w:val="24"/>
              </w:rPr>
            </w:pPr>
          </w:p>
        </w:tc>
        <w:tc>
          <w:tcPr>
            <w:tcW w:w="1093" w:type="dxa"/>
            <w:noWrap w:val="0"/>
            <w:vAlign w:val="center"/>
          </w:tcPr>
          <w:p w14:paraId="503A6D3C">
            <w:pPr>
              <w:spacing w:line="560" w:lineRule="exact"/>
              <w:jc w:val="center"/>
              <w:rPr>
                <w:rFonts w:ascii="宋体" w:hAnsi="宋体"/>
                <w:color w:val="000000"/>
                <w:sz w:val="24"/>
              </w:rPr>
            </w:pPr>
          </w:p>
        </w:tc>
        <w:tc>
          <w:tcPr>
            <w:tcW w:w="2350" w:type="dxa"/>
            <w:noWrap w:val="0"/>
            <w:vAlign w:val="center"/>
          </w:tcPr>
          <w:p w14:paraId="39F4003C">
            <w:pPr>
              <w:spacing w:line="560" w:lineRule="exact"/>
              <w:jc w:val="center"/>
              <w:rPr>
                <w:rFonts w:ascii="宋体" w:hAnsi="宋体"/>
                <w:color w:val="000000"/>
                <w:sz w:val="24"/>
              </w:rPr>
            </w:pPr>
          </w:p>
        </w:tc>
      </w:tr>
      <w:tr w14:paraId="1242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055684A1">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5A3F49FA">
            <w:pPr>
              <w:spacing w:line="560" w:lineRule="exact"/>
              <w:jc w:val="center"/>
              <w:rPr>
                <w:rFonts w:ascii="宋体" w:hAnsi="宋体"/>
                <w:color w:val="000000"/>
                <w:sz w:val="24"/>
              </w:rPr>
            </w:pPr>
          </w:p>
        </w:tc>
      </w:tr>
    </w:tbl>
    <w:p w14:paraId="6293B08A">
      <w:pPr>
        <w:spacing w:line="360" w:lineRule="auto"/>
        <w:ind w:firstLine="420"/>
        <w:rPr>
          <w:rFonts w:ascii="Times New Roman" w:hAnsi="Times New Roman" w:eastAsia="宋体" w:cs="Times New Roman"/>
          <w:color w:val="000000"/>
          <w:szCs w:val="24"/>
        </w:rPr>
      </w:pPr>
    </w:p>
    <w:p w14:paraId="31B35B0D">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供应商（盖章）：</w:t>
      </w:r>
    </w:p>
    <w:p w14:paraId="08FA4698">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5EA85627">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0B434761">
      <w:pPr>
        <w:spacing w:line="500" w:lineRule="exact"/>
        <w:ind w:firstLine="480"/>
        <w:rPr>
          <w:rFonts w:ascii="宋体" w:hAnsi="宋体" w:eastAsia="宋体" w:cs="Times New Roman"/>
          <w:color w:val="000000"/>
          <w:sz w:val="24"/>
          <w:szCs w:val="24"/>
          <w:highlight w:val="yellow"/>
        </w:rPr>
      </w:pPr>
    </w:p>
    <w:p w14:paraId="50C50FD2"/>
    <w:p w14:paraId="42B60CB5">
      <w:pPr>
        <w:pStyle w:val="2"/>
      </w:pPr>
    </w:p>
    <w:p w14:paraId="1D2ED934">
      <w:pPr>
        <w:pStyle w:val="2"/>
      </w:pPr>
    </w:p>
    <w:p w14:paraId="0B89C895">
      <w:pPr>
        <w:pStyle w:val="2"/>
      </w:pPr>
    </w:p>
    <w:p w14:paraId="2D53D96D">
      <w:pPr>
        <w:pStyle w:val="2"/>
      </w:pPr>
    </w:p>
    <w:p w14:paraId="6FF4336B">
      <w:pPr>
        <w:rPr>
          <w:rFonts w:hint="eastAsia"/>
        </w:rPr>
      </w:pPr>
    </w:p>
    <w:p w14:paraId="4EC16E8B">
      <w:pPr>
        <w:rPr>
          <w:rFonts w:hint="eastAsia"/>
        </w:rPr>
      </w:pPr>
    </w:p>
    <w:p w14:paraId="532C4136">
      <w:pPr>
        <w:rPr>
          <w:rFonts w:hint="eastAsia"/>
        </w:rPr>
      </w:pPr>
    </w:p>
    <w:p w14:paraId="61162EB7">
      <w:pPr>
        <w:rPr>
          <w:rFonts w:hint="eastAsia"/>
        </w:rPr>
      </w:pPr>
    </w:p>
    <w:p w14:paraId="51F401C3">
      <w:pPr>
        <w:rPr>
          <w:rFonts w:hint="eastAsia"/>
        </w:rPr>
      </w:pPr>
    </w:p>
    <w:p w14:paraId="1E3A4BBB">
      <w:pPr>
        <w:rPr>
          <w:rFonts w:hint="eastAsia"/>
        </w:rPr>
      </w:pPr>
    </w:p>
    <w:p w14:paraId="26E1CDF4">
      <w:pPr>
        <w:rPr>
          <w:rFonts w:hint="eastAsia"/>
        </w:rPr>
      </w:pPr>
    </w:p>
    <w:p w14:paraId="0A30FB1D"/>
    <w:p w14:paraId="19B6911F">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w:t>
      </w:r>
      <w:r>
        <w:rPr>
          <w:rFonts w:hint="eastAsia" w:ascii="Arial" w:hAnsi="Arial" w:eastAsia="宋体" w:cs="Arial"/>
          <w:b/>
          <w:iCs/>
          <w:sz w:val="36"/>
          <w:lang w:val="en-US" w:eastAsia="zh-CN"/>
        </w:rPr>
        <w:t>四</w:t>
      </w:r>
      <w:r>
        <w:rPr>
          <w:rFonts w:hint="eastAsia" w:ascii="Arial" w:hAnsi="Arial" w:eastAsia="宋体" w:cs="Arial"/>
          <w:b/>
          <w:iCs/>
          <w:sz w:val="36"/>
        </w:rPr>
        <w:t>、技术要求响应及偏离表（分包号：**）</w:t>
      </w:r>
    </w:p>
    <w:p w14:paraId="29339E8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F1895C2">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3"/>
        <w:tblW w:w="8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3273"/>
        <w:gridCol w:w="2745"/>
        <w:gridCol w:w="1589"/>
      </w:tblGrid>
      <w:tr w14:paraId="55B74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48" w:type="dxa"/>
            <w:noWrap w:val="0"/>
            <w:vAlign w:val="center"/>
          </w:tcPr>
          <w:p w14:paraId="7C54259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67602AC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磋商文件要求</w:t>
            </w:r>
          </w:p>
        </w:tc>
        <w:tc>
          <w:tcPr>
            <w:tcW w:w="2745" w:type="dxa"/>
            <w:noWrap w:val="0"/>
            <w:vAlign w:val="center"/>
          </w:tcPr>
          <w:p w14:paraId="442389E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589" w:type="dxa"/>
            <w:noWrap w:val="0"/>
            <w:vAlign w:val="center"/>
          </w:tcPr>
          <w:p w14:paraId="4FEBF22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53258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6142B84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6390DD93">
            <w:pPr>
              <w:jc w:val="center"/>
              <w:rPr>
                <w:rFonts w:ascii="宋体" w:hAnsi="宋体" w:eastAsia="宋体" w:cs="Times New Roman"/>
                <w:color w:val="000000"/>
                <w:sz w:val="24"/>
                <w:szCs w:val="24"/>
              </w:rPr>
            </w:pPr>
          </w:p>
        </w:tc>
        <w:tc>
          <w:tcPr>
            <w:tcW w:w="2745" w:type="dxa"/>
            <w:noWrap w:val="0"/>
            <w:vAlign w:val="center"/>
          </w:tcPr>
          <w:p w14:paraId="2F191A1F">
            <w:pPr>
              <w:jc w:val="center"/>
              <w:rPr>
                <w:rFonts w:ascii="宋体" w:hAnsi="宋体" w:eastAsia="宋体" w:cs="Times New Roman"/>
                <w:color w:val="000000"/>
                <w:sz w:val="24"/>
                <w:szCs w:val="24"/>
              </w:rPr>
            </w:pPr>
          </w:p>
        </w:tc>
        <w:tc>
          <w:tcPr>
            <w:tcW w:w="1589" w:type="dxa"/>
            <w:noWrap w:val="0"/>
            <w:vAlign w:val="center"/>
          </w:tcPr>
          <w:p w14:paraId="18415CCB">
            <w:pPr>
              <w:jc w:val="center"/>
              <w:rPr>
                <w:rFonts w:ascii="宋体" w:hAnsi="宋体" w:eastAsia="宋体" w:cs="Times New Roman"/>
                <w:color w:val="000000"/>
                <w:sz w:val="24"/>
                <w:szCs w:val="24"/>
              </w:rPr>
            </w:pPr>
          </w:p>
        </w:tc>
      </w:tr>
      <w:tr w14:paraId="5E637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306FC20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3B2690F3">
            <w:pPr>
              <w:jc w:val="center"/>
              <w:rPr>
                <w:rFonts w:ascii="宋体" w:hAnsi="宋体" w:eastAsia="宋体" w:cs="Times New Roman"/>
                <w:color w:val="000000"/>
                <w:sz w:val="24"/>
                <w:szCs w:val="24"/>
              </w:rPr>
            </w:pPr>
          </w:p>
        </w:tc>
        <w:tc>
          <w:tcPr>
            <w:tcW w:w="2745" w:type="dxa"/>
            <w:noWrap w:val="0"/>
            <w:vAlign w:val="center"/>
          </w:tcPr>
          <w:p w14:paraId="47A82270">
            <w:pPr>
              <w:jc w:val="center"/>
              <w:rPr>
                <w:rFonts w:ascii="宋体" w:hAnsi="宋体" w:eastAsia="宋体" w:cs="Times New Roman"/>
                <w:color w:val="000000"/>
                <w:sz w:val="24"/>
                <w:szCs w:val="24"/>
              </w:rPr>
            </w:pPr>
          </w:p>
        </w:tc>
        <w:tc>
          <w:tcPr>
            <w:tcW w:w="1589" w:type="dxa"/>
            <w:noWrap w:val="0"/>
            <w:vAlign w:val="center"/>
          </w:tcPr>
          <w:p w14:paraId="243E1AD4">
            <w:pPr>
              <w:jc w:val="center"/>
              <w:rPr>
                <w:rFonts w:ascii="宋体" w:hAnsi="宋体" w:eastAsia="宋体" w:cs="Times New Roman"/>
                <w:color w:val="000000"/>
                <w:sz w:val="24"/>
                <w:szCs w:val="24"/>
              </w:rPr>
            </w:pPr>
          </w:p>
        </w:tc>
      </w:tr>
      <w:tr w14:paraId="42CA0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1F86446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2C8DF065">
            <w:pPr>
              <w:jc w:val="center"/>
              <w:rPr>
                <w:rFonts w:ascii="宋体" w:hAnsi="宋体" w:eastAsia="宋体" w:cs="Times New Roman"/>
                <w:color w:val="000000"/>
                <w:sz w:val="24"/>
                <w:szCs w:val="24"/>
              </w:rPr>
            </w:pPr>
          </w:p>
        </w:tc>
        <w:tc>
          <w:tcPr>
            <w:tcW w:w="2745" w:type="dxa"/>
            <w:noWrap w:val="0"/>
            <w:vAlign w:val="center"/>
          </w:tcPr>
          <w:p w14:paraId="2DD2D8B5">
            <w:pPr>
              <w:jc w:val="center"/>
              <w:rPr>
                <w:rFonts w:ascii="宋体" w:hAnsi="宋体" w:eastAsia="宋体" w:cs="Times New Roman"/>
                <w:color w:val="000000"/>
                <w:sz w:val="24"/>
                <w:szCs w:val="24"/>
              </w:rPr>
            </w:pPr>
          </w:p>
        </w:tc>
        <w:tc>
          <w:tcPr>
            <w:tcW w:w="1589" w:type="dxa"/>
            <w:noWrap w:val="0"/>
            <w:vAlign w:val="center"/>
          </w:tcPr>
          <w:p w14:paraId="1916CC4F">
            <w:pPr>
              <w:jc w:val="center"/>
              <w:rPr>
                <w:rFonts w:ascii="宋体" w:hAnsi="宋体" w:eastAsia="宋体" w:cs="Times New Roman"/>
                <w:color w:val="000000"/>
                <w:sz w:val="24"/>
                <w:szCs w:val="24"/>
              </w:rPr>
            </w:pPr>
          </w:p>
        </w:tc>
      </w:tr>
      <w:tr w14:paraId="612AF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56D45B8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2A413ECE">
            <w:pPr>
              <w:jc w:val="center"/>
              <w:rPr>
                <w:rFonts w:ascii="宋体" w:hAnsi="宋体" w:eastAsia="宋体" w:cs="Times New Roman"/>
                <w:color w:val="000000"/>
                <w:sz w:val="24"/>
                <w:szCs w:val="24"/>
              </w:rPr>
            </w:pPr>
          </w:p>
        </w:tc>
        <w:tc>
          <w:tcPr>
            <w:tcW w:w="2745" w:type="dxa"/>
            <w:noWrap w:val="0"/>
            <w:vAlign w:val="center"/>
          </w:tcPr>
          <w:p w14:paraId="555D5FFE">
            <w:pPr>
              <w:jc w:val="center"/>
              <w:rPr>
                <w:rFonts w:ascii="宋体" w:hAnsi="宋体" w:eastAsia="宋体" w:cs="Times New Roman"/>
                <w:color w:val="000000"/>
                <w:sz w:val="24"/>
                <w:szCs w:val="24"/>
              </w:rPr>
            </w:pPr>
          </w:p>
        </w:tc>
        <w:tc>
          <w:tcPr>
            <w:tcW w:w="1589" w:type="dxa"/>
            <w:noWrap w:val="0"/>
            <w:vAlign w:val="center"/>
          </w:tcPr>
          <w:p w14:paraId="36A379F8">
            <w:pPr>
              <w:jc w:val="center"/>
              <w:rPr>
                <w:rFonts w:ascii="宋体" w:hAnsi="宋体" w:eastAsia="宋体" w:cs="Times New Roman"/>
                <w:color w:val="000000"/>
                <w:sz w:val="24"/>
                <w:szCs w:val="24"/>
              </w:rPr>
            </w:pPr>
          </w:p>
        </w:tc>
      </w:tr>
    </w:tbl>
    <w:p w14:paraId="6EC11B30">
      <w:pPr>
        <w:spacing w:line="500" w:lineRule="exact"/>
        <w:ind w:firstLine="480"/>
        <w:rPr>
          <w:rFonts w:ascii="宋体" w:hAnsi="宋体" w:eastAsia="宋体" w:cs="Times New Roman"/>
          <w:color w:val="000000"/>
          <w:sz w:val="24"/>
          <w:szCs w:val="24"/>
        </w:rPr>
      </w:pPr>
    </w:p>
    <w:p w14:paraId="0A6DA8F5">
      <w:pPr>
        <w:spacing w:line="500" w:lineRule="exact"/>
        <w:ind w:firstLine="480"/>
        <w:rPr>
          <w:rFonts w:ascii="宋体" w:hAnsi="宋体" w:eastAsia="宋体" w:cs="Times New Roman"/>
          <w:color w:val="000000"/>
          <w:sz w:val="24"/>
          <w:szCs w:val="24"/>
        </w:rPr>
      </w:pPr>
    </w:p>
    <w:p w14:paraId="23C546F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2FD2D88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EB3BDB9">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0B64AD7"/>
    <w:p w14:paraId="6BF1C452">
      <w:pPr>
        <w:rPr>
          <w:rFonts w:hint="eastAsia"/>
        </w:rPr>
      </w:pPr>
    </w:p>
    <w:p w14:paraId="4DDCE8E9">
      <w:pPr>
        <w:rPr>
          <w:rFonts w:hint="eastAsia"/>
        </w:rPr>
      </w:pPr>
    </w:p>
    <w:p w14:paraId="76E5B8E0">
      <w:pPr>
        <w:rPr>
          <w:rFonts w:hint="eastAsia"/>
        </w:rPr>
      </w:pPr>
    </w:p>
    <w:p w14:paraId="70F49530">
      <w:pPr>
        <w:rPr>
          <w:rFonts w:hint="eastAsia"/>
        </w:rPr>
      </w:pPr>
    </w:p>
    <w:p w14:paraId="16F35405">
      <w:pPr>
        <w:rPr>
          <w:rFonts w:hint="eastAsia"/>
        </w:rPr>
      </w:pPr>
    </w:p>
    <w:p w14:paraId="02426372">
      <w:pPr>
        <w:rPr>
          <w:rFonts w:hint="eastAsia"/>
        </w:rPr>
      </w:pPr>
    </w:p>
    <w:p w14:paraId="61184178">
      <w:pPr>
        <w:rPr>
          <w:rFonts w:hint="eastAsia"/>
        </w:rPr>
      </w:pPr>
    </w:p>
    <w:p w14:paraId="65F3C3EF">
      <w:pPr>
        <w:rPr>
          <w:rFonts w:hint="eastAsia"/>
        </w:rPr>
      </w:pPr>
    </w:p>
    <w:p w14:paraId="36BBFA4E">
      <w:pPr>
        <w:rPr>
          <w:rFonts w:hint="eastAsia"/>
        </w:rPr>
      </w:pPr>
    </w:p>
    <w:p w14:paraId="5AD2B31B">
      <w:pPr>
        <w:rPr>
          <w:rFonts w:hint="eastAsia"/>
        </w:rPr>
      </w:pPr>
    </w:p>
    <w:p w14:paraId="7D69629E">
      <w:pPr>
        <w:rPr>
          <w:rFonts w:hint="eastAsia"/>
        </w:rPr>
      </w:pPr>
    </w:p>
    <w:p w14:paraId="4E39C937">
      <w:pPr>
        <w:rPr>
          <w:rFonts w:hint="eastAsia"/>
        </w:rPr>
      </w:pPr>
    </w:p>
    <w:p w14:paraId="671EA6D1">
      <w:pPr>
        <w:rPr>
          <w:rFonts w:hint="eastAsia"/>
        </w:rPr>
      </w:pPr>
    </w:p>
    <w:p w14:paraId="79BE4FA4">
      <w:pPr>
        <w:rPr>
          <w:rFonts w:hint="eastAsia"/>
        </w:rPr>
      </w:pPr>
    </w:p>
    <w:p w14:paraId="18B8E34C"/>
    <w:p w14:paraId="69AF3715">
      <w:pPr>
        <w:keepNext/>
        <w:keepLines/>
        <w:spacing w:before="360" w:after="200" w:line="360" w:lineRule="auto"/>
        <w:jc w:val="left"/>
        <w:outlineLvl w:val="1"/>
        <w:rPr>
          <w:rFonts w:ascii="Arial" w:hAnsi="Arial" w:eastAsia="宋体" w:cs="Arial"/>
          <w:b/>
          <w:iCs/>
          <w:sz w:val="36"/>
        </w:rPr>
      </w:pPr>
      <w:bookmarkStart w:id="6" w:name="_Hlt26955054"/>
      <w:bookmarkEnd w:id="6"/>
      <w:r>
        <w:rPr>
          <w:rFonts w:hint="eastAsia" w:ascii="Arial" w:hAnsi="Arial" w:eastAsia="宋体" w:cs="Arial"/>
          <w:b/>
          <w:iCs/>
          <w:sz w:val="36"/>
        </w:rPr>
        <w:t>十</w:t>
      </w:r>
      <w:r>
        <w:rPr>
          <w:rFonts w:hint="eastAsia" w:ascii="Arial" w:hAnsi="Arial" w:eastAsia="宋体" w:cs="Arial"/>
          <w:b/>
          <w:iCs/>
          <w:sz w:val="36"/>
          <w:lang w:val="en-US" w:eastAsia="zh-CN"/>
        </w:rPr>
        <w:t>五</w:t>
      </w:r>
      <w:r>
        <w:rPr>
          <w:rFonts w:hint="eastAsia" w:ascii="Arial" w:hAnsi="Arial" w:eastAsia="宋体" w:cs="Arial"/>
          <w:b/>
          <w:iCs/>
          <w:sz w:val="36"/>
        </w:rPr>
        <w:t>、商务要求响应及偏离表（分包号：**）</w:t>
      </w:r>
    </w:p>
    <w:p w14:paraId="4034604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1EFB084B">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21F7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6C826729">
            <w:pPr>
              <w:jc w:val="center"/>
              <w:rPr>
                <w:rFonts w:ascii="宋体" w:hAnsi="宋体" w:eastAsia="宋体" w:cs="Times New Roman"/>
                <w:color w:val="000000"/>
                <w:sz w:val="24"/>
                <w:szCs w:val="24"/>
              </w:rPr>
            </w:pPr>
            <w:bookmarkStart w:id="7" w:name="_Hlt24879081"/>
            <w:bookmarkEnd w:id="7"/>
            <w:bookmarkStart w:id="8" w:name="_Hlt26580838"/>
            <w:bookmarkEnd w:id="8"/>
            <w:bookmarkStart w:id="9" w:name="_Hlt26955056"/>
            <w:bookmarkEnd w:id="9"/>
            <w:bookmarkStart w:id="10" w:name="_Hlt26671343"/>
            <w:bookmarkEnd w:id="10"/>
            <w:bookmarkStart w:id="11" w:name="_Hlt26782999"/>
            <w:bookmarkEnd w:id="11"/>
            <w:bookmarkStart w:id="12" w:name="_Hlt26609391"/>
            <w:bookmarkEnd w:id="12"/>
            <w:bookmarkStart w:id="13" w:name="_Hlt26955064"/>
            <w:bookmarkEnd w:id="13"/>
            <w:bookmarkStart w:id="14" w:name="_Hlt26671372"/>
            <w:bookmarkEnd w:id="14"/>
            <w:r>
              <w:rPr>
                <w:rFonts w:hint="eastAsia" w:ascii="宋体" w:hAnsi="宋体" w:eastAsia="宋体" w:cs="Times New Roman"/>
                <w:color w:val="000000"/>
                <w:sz w:val="24"/>
                <w:szCs w:val="24"/>
              </w:rPr>
              <w:t>序号</w:t>
            </w:r>
          </w:p>
        </w:tc>
        <w:tc>
          <w:tcPr>
            <w:tcW w:w="3263" w:type="dxa"/>
            <w:noWrap w:val="0"/>
            <w:vAlign w:val="center"/>
          </w:tcPr>
          <w:p w14:paraId="7F6308B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磋商文件要求</w:t>
            </w:r>
          </w:p>
        </w:tc>
        <w:tc>
          <w:tcPr>
            <w:tcW w:w="3034" w:type="dxa"/>
            <w:noWrap w:val="0"/>
            <w:vAlign w:val="center"/>
          </w:tcPr>
          <w:p w14:paraId="1CCB02C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1" w:type="dxa"/>
            <w:noWrap w:val="0"/>
            <w:vAlign w:val="center"/>
          </w:tcPr>
          <w:p w14:paraId="3079FD8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3380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3CE599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4B030CFE">
            <w:pPr>
              <w:jc w:val="center"/>
              <w:rPr>
                <w:rFonts w:ascii="宋体" w:hAnsi="宋体" w:eastAsia="宋体" w:cs="Times New Roman"/>
                <w:color w:val="000000"/>
                <w:sz w:val="24"/>
                <w:szCs w:val="24"/>
              </w:rPr>
            </w:pPr>
          </w:p>
        </w:tc>
        <w:tc>
          <w:tcPr>
            <w:tcW w:w="3034" w:type="dxa"/>
            <w:noWrap w:val="0"/>
            <w:vAlign w:val="center"/>
          </w:tcPr>
          <w:p w14:paraId="4A6E0989">
            <w:pPr>
              <w:jc w:val="center"/>
              <w:rPr>
                <w:rFonts w:ascii="宋体" w:hAnsi="宋体" w:eastAsia="宋体" w:cs="Times New Roman"/>
                <w:color w:val="000000"/>
                <w:sz w:val="24"/>
                <w:szCs w:val="24"/>
              </w:rPr>
            </w:pPr>
          </w:p>
        </w:tc>
        <w:tc>
          <w:tcPr>
            <w:tcW w:w="1391" w:type="dxa"/>
            <w:noWrap w:val="0"/>
            <w:vAlign w:val="center"/>
          </w:tcPr>
          <w:p w14:paraId="0562F8A0">
            <w:pPr>
              <w:jc w:val="center"/>
              <w:rPr>
                <w:rFonts w:ascii="宋体" w:hAnsi="宋体" w:eastAsia="宋体" w:cs="Times New Roman"/>
                <w:color w:val="000000"/>
                <w:sz w:val="24"/>
                <w:szCs w:val="24"/>
              </w:rPr>
            </w:pPr>
          </w:p>
        </w:tc>
      </w:tr>
      <w:tr w14:paraId="7CA17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6EA40E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749F027E">
            <w:pPr>
              <w:jc w:val="center"/>
              <w:rPr>
                <w:rFonts w:ascii="宋体" w:hAnsi="宋体" w:eastAsia="宋体" w:cs="Times New Roman"/>
                <w:color w:val="000000"/>
                <w:sz w:val="24"/>
                <w:szCs w:val="24"/>
              </w:rPr>
            </w:pPr>
          </w:p>
        </w:tc>
        <w:tc>
          <w:tcPr>
            <w:tcW w:w="3034" w:type="dxa"/>
            <w:noWrap w:val="0"/>
            <w:vAlign w:val="center"/>
          </w:tcPr>
          <w:p w14:paraId="0FDAC6E3">
            <w:pPr>
              <w:jc w:val="center"/>
              <w:rPr>
                <w:rFonts w:ascii="宋体" w:hAnsi="宋体" w:eastAsia="宋体" w:cs="Times New Roman"/>
                <w:color w:val="000000"/>
                <w:sz w:val="24"/>
                <w:szCs w:val="24"/>
              </w:rPr>
            </w:pPr>
          </w:p>
        </w:tc>
        <w:tc>
          <w:tcPr>
            <w:tcW w:w="1391" w:type="dxa"/>
            <w:noWrap w:val="0"/>
            <w:vAlign w:val="center"/>
          </w:tcPr>
          <w:p w14:paraId="7586624B">
            <w:pPr>
              <w:jc w:val="center"/>
              <w:rPr>
                <w:rFonts w:ascii="宋体" w:hAnsi="宋体" w:eastAsia="宋体" w:cs="Times New Roman"/>
                <w:color w:val="000000"/>
                <w:sz w:val="24"/>
                <w:szCs w:val="24"/>
              </w:rPr>
            </w:pPr>
          </w:p>
        </w:tc>
      </w:tr>
      <w:tr w14:paraId="38C6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0D7751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607F9970">
            <w:pPr>
              <w:jc w:val="center"/>
              <w:rPr>
                <w:rFonts w:ascii="宋体" w:hAnsi="宋体" w:eastAsia="宋体" w:cs="Times New Roman"/>
                <w:color w:val="000000"/>
                <w:sz w:val="24"/>
                <w:szCs w:val="24"/>
              </w:rPr>
            </w:pPr>
          </w:p>
        </w:tc>
        <w:tc>
          <w:tcPr>
            <w:tcW w:w="3034" w:type="dxa"/>
            <w:noWrap w:val="0"/>
            <w:vAlign w:val="center"/>
          </w:tcPr>
          <w:p w14:paraId="0108CC4C">
            <w:pPr>
              <w:jc w:val="center"/>
              <w:rPr>
                <w:rFonts w:ascii="宋体" w:hAnsi="宋体" w:eastAsia="宋体" w:cs="Times New Roman"/>
                <w:color w:val="000000"/>
                <w:sz w:val="24"/>
                <w:szCs w:val="24"/>
              </w:rPr>
            </w:pPr>
          </w:p>
        </w:tc>
        <w:tc>
          <w:tcPr>
            <w:tcW w:w="1391" w:type="dxa"/>
            <w:noWrap w:val="0"/>
            <w:vAlign w:val="center"/>
          </w:tcPr>
          <w:p w14:paraId="2C5BE5EC">
            <w:pPr>
              <w:jc w:val="center"/>
              <w:rPr>
                <w:rFonts w:ascii="宋体" w:hAnsi="宋体" w:eastAsia="宋体" w:cs="Times New Roman"/>
                <w:color w:val="000000"/>
                <w:sz w:val="24"/>
                <w:szCs w:val="24"/>
              </w:rPr>
            </w:pPr>
          </w:p>
        </w:tc>
      </w:tr>
      <w:tr w14:paraId="5E726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C0CB71C">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0EDCD5A1">
            <w:pPr>
              <w:jc w:val="center"/>
              <w:rPr>
                <w:rFonts w:ascii="宋体" w:hAnsi="宋体" w:eastAsia="宋体" w:cs="Times New Roman"/>
                <w:color w:val="000000"/>
                <w:sz w:val="24"/>
                <w:szCs w:val="24"/>
              </w:rPr>
            </w:pPr>
          </w:p>
        </w:tc>
        <w:tc>
          <w:tcPr>
            <w:tcW w:w="3034" w:type="dxa"/>
            <w:noWrap w:val="0"/>
            <w:vAlign w:val="center"/>
          </w:tcPr>
          <w:p w14:paraId="7D407C2C">
            <w:pPr>
              <w:jc w:val="center"/>
              <w:rPr>
                <w:rFonts w:ascii="宋体" w:hAnsi="宋体" w:eastAsia="宋体" w:cs="Times New Roman"/>
                <w:color w:val="000000"/>
                <w:sz w:val="24"/>
                <w:szCs w:val="24"/>
              </w:rPr>
            </w:pPr>
          </w:p>
        </w:tc>
        <w:tc>
          <w:tcPr>
            <w:tcW w:w="1391" w:type="dxa"/>
            <w:noWrap w:val="0"/>
            <w:vAlign w:val="center"/>
          </w:tcPr>
          <w:p w14:paraId="14A5893D">
            <w:pPr>
              <w:jc w:val="center"/>
              <w:rPr>
                <w:rFonts w:ascii="宋体" w:hAnsi="宋体" w:eastAsia="宋体" w:cs="Times New Roman"/>
                <w:color w:val="000000"/>
                <w:sz w:val="24"/>
                <w:szCs w:val="24"/>
              </w:rPr>
            </w:pPr>
          </w:p>
        </w:tc>
      </w:tr>
    </w:tbl>
    <w:p w14:paraId="0C02E2C1">
      <w:pPr>
        <w:spacing w:line="500" w:lineRule="exact"/>
        <w:ind w:firstLine="480"/>
        <w:rPr>
          <w:rFonts w:ascii="宋体" w:hAnsi="宋体" w:eastAsia="宋体" w:cs="Times New Roman"/>
          <w:color w:val="000000"/>
          <w:sz w:val="24"/>
          <w:szCs w:val="24"/>
        </w:rPr>
      </w:pPr>
    </w:p>
    <w:p w14:paraId="76DF067D">
      <w:pPr>
        <w:spacing w:line="500" w:lineRule="exact"/>
        <w:ind w:firstLine="480"/>
        <w:rPr>
          <w:rFonts w:ascii="宋体" w:hAnsi="宋体" w:eastAsia="宋体" w:cs="Times New Roman"/>
          <w:color w:val="000000"/>
          <w:sz w:val="24"/>
          <w:szCs w:val="24"/>
        </w:rPr>
      </w:pPr>
    </w:p>
    <w:p w14:paraId="2ECBC07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325D014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7BEE5C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22DAF62">
      <w:pPr>
        <w:spacing w:line="500" w:lineRule="exact"/>
        <w:rPr>
          <w:rFonts w:ascii="Times New Roman" w:hAnsi="Times New Roman" w:eastAsia="宋体" w:cs="Times New Roman"/>
          <w:color w:val="000000"/>
          <w:sz w:val="24"/>
          <w:szCs w:val="24"/>
        </w:rPr>
      </w:pPr>
    </w:p>
    <w:p w14:paraId="6CD0DCEA">
      <w:pPr>
        <w:spacing w:line="500" w:lineRule="exact"/>
        <w:rPr>
          <w:rFonts w:ascii="Times New Roman" w:hAnsi="Times New Roman" w:eastAsia="宋体" w:cs="Times New Roman"/>
          <w:color w:val="000000"/>
          <w:sz w:val="24"/>
          <w:szCs w:val="24"/>
        </w:rPr>
      </w:pPr>
    </w:p>
    <w:p w14:paraId="5CAD3E56">
      <w:pPr>
        <w:spacing w:line="500" w:lineRule="exact"/>
        <w:rPr>
          <w:rFonts w:ascii="Times New Roman" w:hAnsi="Times New Roman" w:eastAsia="宋体" w:cs="Times New Roman"/>
          <w:color w:val="000000"/>
          <w:sz w:val="24"/>
          <w:szCs w:val="24"/>
        </w:rPr>
      </w:pPr>
    </w:p>
    <w:p w14:paraId="0F81DD96">
      <w:pPr>
        <w:spacing w:line="500" w:lineRule="exact"/>
        <w:rPr>
          <w:rFonts w:ascii="Times New Roman" w:hAnsi="Times New Roman" w:eastAsia="宋体" w:cs="Times New Roman"/>
          <w:color w:val="000000"/>
          <w:sz w:val="24"/>
          <w:szCs w:val="24"/>
        </w:rPr>
      </w:pPr>
    </w:p>
    <w:p w14:paraId="4E5A6C7D">
      <w:pPr>
        <w:spacing w:line="500" w:lineRule="exact"/>
        <w:rPr>
          <w:rFonts w:ascii="Times New Roman" w:hAnsi="Times New Roman" w:eastAsia="宋体" w:cs="Times New Roman"/>
          <w:color w:val="000000"/>
          <w:sz w:val="24"/>
          <w:szCs w:val="24"/>
        </w:rPr>
      </w:pPr>
    </w:p>
    <w:p w14:paraId="36728EDA">
      <w:pPr>
        <w:spacing w:line="500" w:lineRule="exact"/>
        <w:rPr>
          <w:rFonts w:ascii="Times New Roman" w:hAnsi="Times New Roman" w:eastAsia="宋体" w:cs="Times New Roman"/>
          <w:color w:val="000000"/>
          <w:sz w:val="24"/>
          <w:szCs w:val="24"/>
        </w:rPr>
      </w:pPr>
    </w:p>
    <w:p w14:paraId="7D6CE1E2">
      <w:pPr>
        <w:spacing w:line="500" w:lineRule="exact"/>
        <w:rPr>
          <w:rFonts w:ascii="Times New Roman" w:hAnsi="Times New Roman" w:eastAsia="宋体" w:cs="Times New Roman"/>
          <w:color w:val="000000"/>
          <w:sz w:val="24"/>
          <w:szCs w:val="24"/>
        </w:rPr>
      </w:pPr>
    </w:p>
    <w:p w14:paraId="5DE119CD">
      <w:pPr>
        <w:spacing w:line="500" w:lineRule="exact"/>
        <w:rPr>
          <w:rFonts w:ascii="Times New Roman" w:hAnsi="Times New Roman" w:eastAsia="宋体" w:cs="Times New Roman"/>
          <w:color w:val="000000"/>
          <w:sz w:val="24"/>
          <w:szCs w:val="24"/>
        </w:rPr>
      </w:pPr>
    </w:p>
    <w:p w14:paraId="4600E255">
      <w:pPr>
        <w:spacing w:line="500" w:lineRule="exact"/>
        <w:rPr>
          <w:rFonts w:ascii="Times New Roman" w:hAnsi="Times New Roman" w:eastAsia="宋体" w:cs="Times New Roman"/>
          <w:color w:val="000000"/>
          <w:sz w:val="24"/>
          <w:szCs w:val="24"/>
        </w:rPr>
      </w:pPr>
    </w:p>
    <w:p w14:paraId="4CB9C0F2">
      <w:pPr>
        <w:spacing w:line="500" w:lineRule="exact"/>
        <w:rPr>
          <w:rFonts w:ascii="Times New Roman" w:hAnsi="Times New Roman" w:eastAsia="宋体" w:cs="Times New Roman"/>
          <w:color w:val="000000"/>
          <w:sz w:val="24"/>
          <w:szCs w:val="24"/>
        </w:rPr>
      </w:pPr>
    </w:p>
    <w:p w14:paraId="50CCD056"/>
    <w:p w14:paraId="1AFF5764">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六</w:t>
      </w:r>
      <w:r>
        <w:rPr>
          <w:rFonts w:hint="eastAsia" w:ascii="Arial" w:hAnsi="Arial" w:eastAsia="宋体" w:cs="Arial"/>
          <w:iCs/>
          <w:sz w:val="36"/>
        </w:rPr>
        <w:t>、类似项目业绩一览表（分包号：**）</w:t>
      </w:r>
    </w:p>
    <w:p w14:paraId="1DBA0B8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93E9EB5">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502A3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1A1CC2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3E39C13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4F2E86E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3C02D49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2EC5F43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6EBAB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2358249">
            <w:pPr>
              <w:jc w:val="center"/>
              <w:rPr>
                <w:rFonts w:ascii="宋体" w:hAnsi="宋体" w:eastAsia="宋体" w:cs="Times New Roman"/>
                <w:color w:val="000000"/>
                <w:sz w:val="24"/>
                <w:szCs w:val="24"/>
              </w:rPr>
            </w:pPr>
          </w:p>
        </w:tc>
        <w:tc>
          <w:tcPr>
            <w:tcW w:w="2686" w:type="dxa"/>
            <w:noWrap w:val="0"/>
            <w:vAlign w:val="center"/>
          </w:tcPr>
          <w:p w14:paraId="5F341E6C">
            <w:pPr>
              <w:jc w:val="center"/>
              <w:rPr>
                <w:rFonts w:ascii="宋体" w:hAnsi="宋体" w:eastAsia="宋体" w:cs="Times New Roman"/>
                <w:color w:val="000000"/>
                <w:sz w:val="24"/>
                <w:szCs w:val="24"/>
              </w:rPr>
            </w:pPr>
          </w:p>
        </w:tc>
        <w:tc>
          <w:tcPr>
            <w:tcW w:w="1850" w:type="dxa"/>
            <w:noWrap w:val="0"/>
          </w:tcPr>
          <w:p w14:paraId="165968D6">
            <w:pPr>
              <w:jc w:val="center"/>
              <w:rPr>
                <w:rFonts w:ascii="宋体" w:hAnsi="宋体" w:eastAsia="宋体" w:cs="Times New Roman"/>
                <w:color w:val="000000"/>
                <w:sz w:val="24"/>
                <w:szCs w:val="24"/>
              </w:rPr>
            </w:pPr>
          </w:p>
        </w:tc>
        <w:tc>
          <w:tcPr>
            <w:tcW w:w="1985" w:type="dxa"/>
            <w:noWrap w:val="0"/>
            <w:vAlign w:val="center"/>
          </w:tcPr>
          <w:p w14:paraId="1DD9F63B">
            <w:pPr>
              <w:jc w:val="center"/>
              <w:rPr>
                <w:rFonts w:ascii="宋体" w:hAnsi="宋体" w:eastAsia="宋体" w:cs="Times New Roman"/>
                <w:color w:val="000000"/>
                <w:sz w:val="24"/>
                <w:szCs w:val="24"/>
              </w:rPr>
            </w:pPr>
          </w:p>
        </w:tc>
        <w:tc>
          <w:tcPr>
            <w:tcW w:w="1309" w:type="dxa"/>
            <w:noWrap w:val="0"/>
            <w:vAlign w:val="center"/>
          </w:tcPr>
          <w:p w14:paraId="32538E9A">
            <w:pPr>
              <w:jc w:val="center"/>
              <w:rPr>
                <w:rFonts w:ascii="宋体" w:hAnsi="宋体" w:eastAsia="宋体" w:cs="Times New Roman"/>
                <w:color w:val="000000"/>
                <w:sz w:val="24"/>
                <w:szCs w:val="24"/>
              </w:rPr>
            </w:pPr>
          </w:p>
        </w:tc>
      </w:tr>
      <w:tr w14:paraId="798CE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EC41157">
            <w:pPr>
              <w:jc w:val="center"/>
              <w:rPr>
                <w:rFonts w:ascii="宋体" w:hAnsi="宋体" w:eastAsia="宋体" w:cs="Times New Roman"/>
                <w:color w:val="000000"/>
                <w:sz w:val="24"/>
                <w:szCs w:val="24"/>
              </w:rPr>
            </w:pPr>
          </w:p>
        </w:tc>
        <w:tc>
          <w:tcPr>
            <w:tcW w:w="2686" w:type="dxa"/>
            <w:noWrap w:val="0"/>
            <w:vAlign w:val="center"/>
          </w:tcPr>
          <w:p w14:paraId="2C9F6499">
            <w:pPr>
              <w:jc w:val="center"/>
              <w:rPr>
                <w:rFonts w:ascii="宋体" w:hAnsi="宋体" w:eastAsia="宋体" w:cs="Times New Roman"/>
                <w:color w:val="000000"/>
                <w:sz w:val="24"/>
                <w:szCs w:val="24"/>
              </w:rPr>
            </w:pPr>
          </w:p>
        </w:tc>
        <w:tc>
          <w:tcPr>
            <w:tcW w:w="1850" w:type="dxa"/>
            <w:noWrap w:val="0"/>
          </w:tcPr>
          <w:p w14:paraId="59850462">
            <w:pPr>
              <w:jc w:val="center"/>
              <w:rPr>
                <w:rFonts w:ascii="宋体" w:hAnsi="宋体" w:eastAsia="宋体" w:cs="Times New Roman"/>
                <w:color w:val="000000"/>
                <w:sz w:val="24"/>
                <w:szCs w:val="24"/>
              </w:rPr>
            </w:pPr>
          </w:p>
        </w:tc>
        <w:tc>
          <w:tcPr>
            <w:tcW w:w="1985" w:type="dxa"/>
            <w:noWrap w:val="0"/>
            <w:vAlign w:val="center"/>
          </w:tcPr>
          <w:p w14:paraId="3CF617C7">
            <w:pPr>
              <w:jc w:val="center"/>
              <w:rPr>
                <w:rFonts w:ascii="宋体" w:hAnsi="宋体" w:eastAsia="宋体" w:cs="Times New Roman"/>
                <w:color w:val="000000"/>
                <w:sz w:val="24"/>
                <w:szCs w:val="24"/>
              </w:rPr>
            </w:pPr>
          </w:p>
        </w:tc>
        <w:tc>
          <w:tcPr>
            <w:tcW w:w="1309" w:type="dxa"/>
            <w:noWrap w:val="0"/>
            <w:vAlign w:val="center"/>
          </w:tcPr>
          <w:p w14:paraId="68AE84C4">
            <w:pPr>
              <w:jc w:val="center"/>
              <w:rPr>
                <w:rFonts w:ascii="宋体" w:hAnsi="宋体" w:eastAsia="宋体" w:cs="Times New Roman"/>
                <w:color w:val="000000"/>
                <w:sz w:val="24"/>
                <w:szCs w:val="24"/>
              </w:rPr>
            </w:pPr>
          </w:p>
        </w:tc>
      </w:tr>
      <w:tr w14:paraId="03C33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0652FB4">
            <w:pPr>
              <w:jc w:val="center"/>
              <w:rPr>
                <w:rFonts w:ascii="宋体" w:hAnsi="宋体" w:eastAsia="宋体" w:cs="Times New Roman"/>
                <w:color w:val="000000"/>
                <w:sz w:val="24"/>
                <w:szCs w:val="24"/>
              </w:rPr>
            </w:pPr>
          </w:p>
        </w:tc>
        <w:tc>
          <w:tcPr>
            <w:tcW w:w="2686" w:type="dxa"/>
            <w:noWrap w:val="0"/>
            <w:vAlign w:val="center"/>
          </w:tcPr>
          <w:p w14:paraId="417A2797">
            <w:pPr>
              <w:jc w:val="center"/>
              <w:rPr>
                <w:rFonts w:ascii="宋体" w:hAnsi="宋体" w:eastAsia="宋体" w:cs="Times New Roman"/>
                <w:color w:val="000000"/>
                <w:sz w:val="24"/>
                <w:szCs w:val="24"/>
              </w:rPr>
            </w:pPr>
          </w:p>
        </w:tc>
        <w:tc>
          <w:tcPr>
            <w:tcW w:w="1850" w:type="dxa"/>
            <w:noWrap w:val="0"/>
          </w:tcPr>
          <w:p w14:paraId="115D4678">
            <w:pPr>
              <w:jc w:val="center"/>
              <w:rPr>
                <w:rFonts w:ascii="宋体" w:hAnsi="宋体" w:eastAsia="宋体" w:cs="Times New Roman"/>
                <w:color w:val="000000"/>
                <w:sz w:val="24"/>
                <w:szCs w:val="24"/>
              </w:rPr>
            </w:pPr>
          </w:p>
        </w:tc>
        <w:tc>
          <w:tcPr>
            <w:tcW w:w="1985" w:type="dxa"/>
            <w:noWrap w:val="0"/>
            <w:vAlign w:val="center"/>
          </w:tcPr>
          <w:p w14:paraId="6784C39E">
            <w:pPr>
              <w:jc w:val="center"/>
              <w:rPr>
                <w:rFonts w:ascii="宋体" w:hAnsi="宋体" w:eastAsia="宋体" w:cs="Times New Roman"/>
                <w:color w:val="000000"/>
                <w:sz w:val="24"/>
                <w:szCs w:val="24"/>
              </w:rPr>
            </w:pPr>
          </w:p>
        </w:tc>
        <w:tc>
          <w:tcPr>
            <w:tcW w:w="1309" w:type="dxa"/>
            <w:noWrap w:val="0"/>
            <w:vAlign w:val="center"/>
          </w:tcPr>
          <w:p w14:paraId="0A990B11">
            <w:pPr>
              <w:jc w:val="center"/>
              <w:rPr>
                <w:rFonts w:ascii="宋体" w:hAnsi="宋体" w:eastAsia="宋体" w:cs="Times New Roman"/>
                <w:color w:val="000000"/>
                <w:sz w:val="24"/>
                <w:szCs w:val="24"/>
              </w:rPr>
            </w:pPr>
          </w:p>
        </w:tc>
      </w:tr>
    </w:tbl>
    <w:p w14:paraId="66F82D8B">
      <w:pPr>
        <w:spacing w:line="500" w:lineRule="exact"/>
        <w:ind w:firstLine="480"/>
        <w:rPr>
          <w:rFonts w:ascii="宋体" w:hAnsi="宋体" w:eastAsia="宋体" w:cs="Times New Roman"/>
          <w:color w:val="000000"/>
          <w:sz w:val="24"/>
          <w:szCs w:val="24"/>
        </w:rPr>
      </w:pPr>
    </w:p>
    <w:p w14:paraId="55B17558">
      <w:pPr>
        <w:spacing w:line="500" w:lineRule="exact"/>
        <w:ind w:firstLine="480"/>
        <w:rPr>
          <w:rFonts w:ascii="宋体" w:hAnsi="宋体" w:eastAsia="宋体" w:cs="Times New Roman"/>
          <w:color w:val="000000"/>
          <w:sz w:val="24"/>
          <w:szCs w:val="24"/>
        </w:rPr>
      </w:pPr>
    </w:p>
    <w:p w14:paraId="2BA1431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10B40A8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854E72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5957FAC"/>
    <w:p w14:paraId="5BFDAD29"/>
    <w:p w14:paraId="2BB56014"/>
    <w:p w14:paraId="2CC9F82B"/>
    <w:p w14:paraId="29677A1D"/>
    <w:p w14:paraId="4FD4E75A"/>
    <w:p w14:paraId="4CDFBD39"/>
    <w:p w14:paraId="6D3741AA"/>
    <w:p w14:paraId="7ADE44F7"/>
    <w:p w14:paraId="19E2A1D7"/>
    <w:p w14:paraId="4D1531D4"/>
    <w:p w14:paraId="7AA848C2"/>
    <w:p w14:paraId="12EB31E2"/>
    <w:p w14:paraId="4DE11D6F"/>
    <w:p w14:paraId="191AF15E"/>
    <w:p w14:paraId="5C2203D6"/>
    <w:p w14:paraId="79E56782"/>
    <w:p w14:paraId="7527DFA7"/>
    <w:p w14:paraId="73CA4EF6">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七</w:t>
      </w:r>
      <w:r>
        <w:rPr>
          <w:rFonts w:hint="eastAsia" w:ascii="Arial" w:hAnsi="Arial" w:eastAsia="宋体" w:cs="Arial"/>
          <w:iCs/>
          <w:sz w:val="36"/>
        </w:rPr>
        <w:t>、项目团队人员一览表（分包号：**）</w:t>
      </w:r>
    </w:p>
    <w:p w14:paraId="618EFE8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0ED56642">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37FAE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7DDE263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3A70220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51BAF59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482C688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134" w:type="dxa"/>
            <w:noWrap w:val="0"/>
            <w:vAlign w:val="center"/>
          </w:tcPr>
          <w:p w14:paraId="2CC53E3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601" w:type="dxa"/>
            <w:noWrap w:val="0"/>
            <w:vAlign w:val="center"/>
          </w:tcPr>
          <w:p w14:paraId="2A28F94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12EF0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F757215">
            <w:pPr>
              <w:jc w:val="center"/>
              <w:rPr>
                <w:rFonts w:ascii="宋体" w:hAnsi="宋体" w:eastAsia="宋体" w:cs="Times New Roman"/>
                <w:color w:val="000000"/>
                <w:sz w:val="24"/>
                <w:szCs w:val="24"/>
              </w:rPr>
            </w:pPr>
          </w:p>
        </w:tc>
        <w:tc>
          <w:tcPr>
            <w:tcW w:w="1446" w:type="dxa"/>
            <w:noWrap w:val="0"/>
            <w:vAlign w:val="center"/>
          </w:tcPr>
          <w:p w14:paraId="42BBA830">
            <w:pPr>
              <w:jc w:val="center"/>
              <w:rPr>
                <w:rFonts w:ascii="宋体" w:hAnsi="宋体" w:eastAsia="宋体" w:cs="Times New Roman"/>
                <w:color w:val="000000"/>
                <w:sz w:val="24"/>
                <w:szCs w:val="24"/>
              </w:rPr>
            </w:pPr>
          </w:p>
        </w:tc>
        <w:tc>
          <w:tcPr>
            <w:tcW w:w="2239" w:type="dxa"/>
            <w:noWrap w:val="0"/>
          </w:tcPr>
          <w:p w14:paraId="5730F0D7">
            <w:pPr>
              <w:jc w:val="center"/>
              <w:rPr>
                <w:rFonts w:ascii="宋体" w:hAnsi="宋体" w:eastAsia="宋体" w:cs="Times New Roman"/>
                <w:color w:val="000000"/>
                <w:sz w:val="24"/>
                <w:szCs w:val="24"/>
              </w:rPr>
            </w:pPr>
          </w:p>
        </w:tc>
        <w:tc>
          <w:tcPr>
            <w:tcW w:w="1134" w:type="dxa"/>
            <w:noWrap w:val="0"/>
          </w:tcPr>
          <w:p w14:paraId="094A31B2">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134" w:type="dxa"/>
            <w:noWrap w:val="0"/>
            <w:vAlign w:val="center"/>
          </w:tcPr>
          <w:p w14:paraId="264F3C2F">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601" w:type="dxa"/>
            <w:noWrap w:val="0"/>
            <w:vAlign w:val="center"/>
          </w:tcPr>
          <w:p w14:paraId="1981FE77">
            <w:pPr>
              <w:jc w:val="center"/>
              <w:rPr>
                <w:rFonts w:ascii="宋体" w:hAnsi="宋体" w:eastAsia="宋体" w:cs="Times New Roman"/>
                <w:color w:val="000000"/>
                <w:sz w:val="24"/>
                <w:szCs w:val="24"/>
              </w:rPr>
            </w:pPr>
          </w:p>
        </w:tc>
      </w:tr>
      <w:tr w14:paraId="3ED4D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0346E55">
            <w:pPr>
              <w:jc w:val="center"/>
              <w:rPr>
                <w:rFonts w:ascii="宋体" w:hAnsi="宋体" w:eastAsia="宋体" w:cs="Times New Roman"/>
                <w:color w:val="000000"/>
                <w:sz w:val="24"/>
                <w:szCs w:val="24"/>
              </w:rPr>
            </w:pPr>
          </w:p>
        </w:tc>
        <w:tc>
          <w:tcPr>
            <w:tcW w:w="1446" w:type="dxa"/>
            <w:noWrap w:val="0"/>
            <w:vAlign w:val="center"/>
          </w:tcPr>
          <w:p w14:paraId="27108A16">
            <w:pPr>
              <w:jc w:val="center"/>
              <w:rPr>
                <w:rFonts w:ascii="宋体" w:hAnsi="宋体" w:eastAsia="宋体" w:cs="Times New Roman"/>
                <w:color w:val="000000"/>
                <w:sz w:val="24"/>
                <w:szCs w:val="24"/>
              </w:rPr>
            </w:pPr>
          </w:p>
        </w:tc>
        <w:tc>
          <w:tcPr>
            <w:tcW w:w="2239" w:type="dxa"/>
            <w:noWrap w:val="0"/>
          </w:tcPr>
          <w:p w14:paraId="00DEFBDD">
            <w:pPr>
              <w:jc w:val="center"/>
              <w:rPr>
                <w:rFonts w:ascii="宋体" w:hAnsi="宋体" w:eastAsia="宋体" w:cs="Times New Roman"/>
                <w:color w:val="000000"/>
                <w:sz w:val="24"/>
                <w:szCs w:val="24"/>
              </w:rPr>
            </w:pPr>
          </w:p>
        </w:tc>
        <w:tc>
          <w:tcPr>
            <w:tcW w:w="1134" w:type="dxa"/>
            <w:noWrap w:val="0"/>
          </w:tcPr>
          <w:p w14:paraId="5F0A7FB1">
            <w:pPr>
              <w:jc w:val="center"/>
              <w:rPr>
                <w:rFonts w:ascii="宋体" w:hAnsi="宋体" w:eastAsia="宋体" w:cs="Times New Roman"/>
                <w:color w:val="000000"/>
                <w:sz w:val="24"/>
                <w:szCs w:val="24"/>
              </w:rPr>
            </w:pPr>
          </w:p>
        </w:tc>
        <w:tc>
          <w:tcPr>
            <w:tcW w:w="1134" w:type="dxa"/>
            <w:noWrap w:val="0"/>
            <w:vAlign w:val="center"/>
          </w:tcPr>
          <w:p w14:paraId="6CFFF20B">
            <w:pPr>
              <w:jc w:val="center"/>
              <w:rPr>
                <w:rFonts w:ascii="宋体" w:hAnsi="宋体" w:eastAsia="宋体" w:cs="Times New Roman"/>
                <w:color w:val="000000"/>
                <w:sz w:val="24"/>
                <w:szCs w:val="24"/>
              </w:rPr>
            </w:pPr>
          </w:p>
        </w:tc>
        <w:tc>
          <w:tcPr>
            <w:tcW w:w="1601" w:type="dxa"/>
            <w:noWrap w:val="0"/>
            <w:vAlign w:val="center"/>
          </w:tcPr>
          <w:p w14:paraId="6446008B">
            <w:pPr>
              <w:jc w:val="center"/>
              <w:rPr>
                <w:rFonts w:ascii="宋体" w:hAnsi="宋体" w:eastAsia="宋体" w:cs="Times New Roman"/>
                <w:color w:val="000000"/>
                <w:sz w:val="24"/>
                <w:szCs w:val="24"/>
              </w:rPr>
            </w:pPr>
          </w:p>
        </w:tc>
      </w:tr>
      <w:tr w14:paraId="34B41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F3F71A1">
            <w:pPr>
              <w:jc w:val="center"/>
              <w:rPr>
                <w:rFonts w:ascii="宋体" w:hAnsi="宋体" w:eastAsia="宋体" w:cs="Times New Roman"/>
                <w:color w:val="000000"/>
                <w:sz w:val="24"/>
                <w:szCs w:val="24"/>
              </w:rPr>
            </w:pPr>
          </w:p>
        </w:tc>
        <w:tc>
          <w:tcPr>
            <w:tcW w:w="1446" w:type="dxa"/>
            <w:noWrap w:val="0"/>
            <w:vAlign w:val="center"/>
          </w:tcPr>
          <w:p w14:paraId="21FD43F1">
            <w:pPr>
              <w:jc w:val="center"/>
              <w:rPr>
                <w:rFonts w:ascii="宋体" w:hAnsi="宋体" w:eastAsia="宋体" w:cs="Times New Roman"/>
                <w:color w:val="000000"/>
                <w:sz w:val="24"/>
                <w:szCs w:val="24"/>
              </w:rPr>
            </w:pPr>
          </w:p>
        </w:tc>
        <w:tc>
          <w:tcPr>
            <w:tcW w:w="2239" w:type="dxa"/>
            <w:noWrap w:val="0"/>
          </w:tcPr>
          <w:p w14:paraId="0C228575">
            <w:pPr>
              <w:jc w:val="center"/>
              <w:rPr>
                <w:rFonts w:ascii="宋体" w:hAnsi="宋体" w:eastAsia="宋体" w:cs="Times New Roman"/>
                <w:color w:val="000000"/>
                <w:sz w:val="24"/>
                <w:szCs w:val="24"/>
              </w:rPr>
            </w:pPr>
          </w:p>
        </w:tc>
        <w:tc>
          <w:tcPr>
            <w:tcW w:w="1134" w:type="dxa"/>
            <w:noWrap w:val="0"/>
          </w:tcPr>
          <w:p w14:paraId="4230F4C1">
            <w:pPr>
              <w:jc w:val="center"/>
              <w:rPr>
                <w:rFonts w:ascii="宋体" w:hAnsi="宋体" w:eastAsia="宋体" w:cs="Times New Roman"/>
                <w:color w:val="000000"/>
                <w:sz w:val="24"/>
                <w:szCs w:val="24"/>
              </w:rPr>
            </w:pPr>
          </w:p>
        </w:tc>
        <w:tc>
          <w:tcPr>
            <w:tcW w:w="1134" w:type="dxa"/>
            <w:noWrap w:val="0"/>
            <w:vAlign w:val="center"/>
          </w:tcPr>
          <w:p w14:paraId="294C695E">
            <w:pPr>
              <w:jc w:val="center"/>
              <w:rPr>
                <w:rFonts w:ascii="宋体" w:hAnsi="宋体" w:eastAsia="宋体" w:cs="Times New Roman"/>
                <w:color w:val="000000"/>
                <w:sz w:val="24"/>
                <w:szCs w:val="24"/>
              </w:rPr>
            </w:pPr>
          </w:p>
        </w:tc>
        <w:tc>
          <w:tcPr>
            <w:tcW w:w="1601" w:type="dxa"/>
            <w:noWrap w:val="0"/>
            <w:vAlign w:val="center"/>
          </w:tcPr>
          <w:p w14:paraId="12185AA5">
            <w:pPr>
              <w:jc w:val="center"/>
              <w:rPr>
                <w:rFonts w:ascii="宋体" w:hAnsi="宋体" w:eastAsia="宋体" w:cs="Times New Roman"/>
                <w:color w:val="000000"/>
                <w:sz w:val="24"/>
                <w:szCs w:val="24"/>
              </w:rPr>
            </w:pPr>
          </w:p>
        </w:tc>
      </w:tr>
    </w:tbl>
    <w:p w14:paraId="571F7BAD">
      <w:pPr>
        <w:spacing w:line="500" w:lineRule="exact"/>
        <w:ind w:firstLine="480"/>
        <w:rPr>
          <w:rFonts w:ascii="宋体" w:hAnsi="宋体" w:eastAsia="宋体" w:cs="Times New Roman"/>
          <w:color w:val="000000"/>
          <w:sz w:val="24"/>
          <w:szCs w:val="24"/>
        </w:rPr>
      </w:pPr>
    </w:p>
    <w:p w14:paraId="1FAFD91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48DAB81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63126FB">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2A1BB06">
      <w:pPr>
        <w:rPr>
          <w:rFonts w:hint="eastAsia" w:ascii="Times New Roman" w:hAnsi="Times New Roman" w:eastAsia="宋体" w:cs="Times New Roman"/>
          <w:color w:val="000000"/>
          <w:sz w:val="24"/>
          <w:szCs w:val="24"/>
        </w:rPr>
      </w:pPr>
    </w:p>
    <w:p w14:paraId="3A190BDB">
      <w:pPr>
        <w:rPr>
          <w:rFonts w:hint="eastAsia" w:ascii="Times New Roman" w:hAnsi="Times New Roman" w:eastAsia="宋体" w:cs="Times New Roman"/>
          <w:color w:val="000000"/>
          <w:sz w:val="24"/>
          <w:szCs w:val="24"/>
        </w:rPr>
      </w:pPr>
    </w:p>
    <w:p w14:paraId="301EFDB8">
      <w:pPr>
        <w:rPr>
          <w:rFonts w:hint="eastAsia" w:ascii="Times New Roman" w:hAnsi="Times New Roman" w:eastAsia="宋体" w:cs="Times New Roman"/>
          <w:color w:val="000000"/>
          <w:sz w:val="24"/>
          <w:szCs w:val="24"/>
        </w:rPr>
      </w:pPr>
    </w:p>
    <w:p w14:paraId="58AD3187">
      <w:pPr>
        <w:rPr>
          <w:sz w:val="24"/>
          <w:szCs w:val="24"/>
        </w:rPr>
      </w:pPr>
      <w:r>
        <w:rPr>
          <w:sz w:val="24"/>
          <w:szCs w:val="24"/>
        </w:rPr>
        <w:t>注：表格格式不为固定格式，请各投标人根据招标文件具体内容自行编制。</w:t>
      </w:r>
    </w:p>
    <w:p w14:paraId="3DE3F567">
      <w:pPr>
        <w:spacing w:line="500" w:lineRule="exact"/>
        <w:ind w:firstLine="480"/>
        <w:rPr>
          <w:rFonts w:ascii="Times New Roman" w:hAnsi="Times New Roman" w:eastAsia="宋体" w:cs="Times New Roman"/>
          <w:color w:val="000000"/>
          <w:sz w:val="24"/>
          <w:szCs w:val="24"/>
        </w:rPr>
      </w:pPr>
    </w:p>
    <w:p w14:paraId="3704924F">
      <w:pPr>
        <w:widowControl/>
        <w:jc w:val="left"/>
        <w:rPr>
          <w:rFonts w:ascii="黑体" w:hAnsi="黑体" w:eastAsia="黑体" w:cs="仿宋"/>
          <w:bCs/>
          <w:color w:val="000000"/>
          <w:sz w:val="40"/>
          <w:szCs w:val="32"/>
        </w:rPr>
      </w:pPr>
      <w:bookmarkStart w:id="15" w:name="_Hlt26609389"/>
      <w:bookmarkEnd w:id="15"/>
      <w:bookmarkStart w:id="16" w:name="_Hlt26671374"/>
      <w:bookmarkEnd w:id="16"/>
      <w:bookmarkStart w:id="17" w:name="_Hlt26955066"/>
      <w:bookmarkEnd w:id="17"/>
      <w:bookmarkStart w:id="18" w:name="_格式2__法定代表人授权书"/>
      <w:bookmarkEnd w:id="18"/>
      <w:r>
        <w:rPr>
          <w:rFonts w:ascii="黑体" w:hAnsi="黑体" w:eastAsia="黑体" w:cs="仿宋"/>
          <w:bCs/>
          <w:color w:val="000000"/>
          <w:sz w:val="40"/>
          <w:szCs w:val="32"/>
        </w:rPr>
        <w:br w:type="page" w:clear="all"/>
      </w:r>
    </w:p>
    <w:p w14:paraId="081D0D1D">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188C35A0">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213F3189">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4B6C101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476977F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61EBEA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09D7A8AA">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5A0DDB84">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284878B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28C0841B">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69CFBC0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40C6484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7122346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2E08DF92">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3F1924B0">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04EFD75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0C6F661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63FDF192">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16EFBE2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7A761B9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7ED8B2B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06D569C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5F32149B">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7F867E9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3C86055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158BC76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0F8E340B">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3766097A">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684C514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AB7EC19">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496D889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6D20EC6E">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6F9D7B53">
      <w:pPr>
        <w:widowControl/>
        <w:spacing w:line="500" w:lineRule="exact"/>
        <w:ind w:firstLine="480"/>
        <w:jc w:val="left"/>
        <w:rPr>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537433F3"/>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MS Mincho">
    <w:panose1 w:val="02020609040205080304"/>
    <w:charset w:val="80"/>
    <w:family w:val="auto"/>
    <w:pitch w:val="default"/>
    <w:sig w:usb0="A00002BF" w:usb1="68C7FCFB" w:usb2="00000010" w:usb3="00000000" w:csb0="4002009F" w:csb1="DFD7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仿宋_GBK">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5F28D">
    <w:pPr>
      <w:pStyle w:val="21"/>
      <w:jc w:val="center"/>
    </w:pPr>
  </w:p>
  <w:p w14:paraId="2A1D8B34">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0CBAF2B4">
        <w:pPr>
          <w:pStyle w:val="21"/>
          <w:jc w:val="center"/>
        </w:pPr>
        <w:r>
          <w:fldChar w:fldCharType="begin"/>
        </w:r>
        <w:r>
          <w:instrText xml:space="preserve"> PAGE   \* MERGEFORMAT </w:instrText>
        </w:r>
        <w:r>
          <w:fldChar w:fldCharType="separate"/>
        </w:r>
        <w:r>
          <w:rPr>
            <w:lang w:val="zh-CN"/>
          </w:rPr>
          <w:t>34</w:t>
        </w:r>
        <w:r>
          <w:rPr>
            <w:lang w:val="zh-CN"/>
          </w:rPr>
          <w:fldChar w:fldCharType="end"/>
        </w:r>
      </w:p>
    </w:sdtContent>
  </w:sdt>
  <w:p w14:paraId="261A46ED">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14"/>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26D0C"/>
    <w:rsid w:val="07EA393C"/>
    <w:rsid w:val="09056E9B"/>
    <w:rsid w:val="09BC3B35"/>
    <w:rsid w:val="147A7209"/>
    <w:rsid w:val="21B028F0"/>
    <w:rsid w:val="26136DDF"/>
    <w:rsid w:val="38D86BFE"/>
    <w:rsid w:val="4011377A"/>
    <w:rsid w:val="416242A7"/>
    <w:rsid w:val="547E6906"/>
    <w:rsid w:val="72520E64"/>
    <w:rsid w:val="74B25B21"/>
    <w:rsid w:val="75880BBE"/>
    <w:rsid w:val="7EFA5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0"/>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List Bullet"/>
    <w:basedOn w:val="1"/>
    <w:qFormat/>
    <w:uiPriority w:val="0"/>
    <w:pPr>
      <w:numPr>
        <w:ilvl w:val="0"/>
        <w:numId w:val="1"/>
      </w:numPr>
    </w:pPr>
  </w:style>
  <w:style w:type="paragraph" w:styleId="15">
    <w:name w:val="annotation text"/>
    <w:basedOn w:val="1"/>
    <w:qFormat/>
    <w:uiPriority w:val="0"/>
    <w:pPr>
      <w:spacing w:line="360" w:lineRule="auto"/>
      <w:ind w:firstLine="922"/>
      <w:jc w:val="left"/>
    </w:pPr>
    <w:rPr>
      <w:rFonts w:ascii="Times New Roman" w:hAnsi="Times New Roman" w:eastAsia="宋体" w:cs="Times New Roman"/>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unhideWhenUsed/>
    <w:qFormat/>
    <w:uiPriority w:val="99"/>
    <w:pPr>
      <w:tabs>
        <w:tab w:val="center" w:pos="4153"/>
        <w:tab w:val="right" w:pos="8306"/>
      </w:tabs>
      <w:jc w:val="left"/>
    </w:pPr>
    <w:rPr>
      <w:sz w:val="18"/>
      <w:szCs w:val="18"/>
    </w:rPr>
  </w:style>
  <w:style w:type="paragraph" w:styleId="22">
    <w:name w:val="header"/>
    <w:basedOn w:val="1"/>
    <w:link w:val="56"/>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tabs>
        <w:tab w:val="right" w:leader="dot" w:pos="8296"/>
      </w:tabs>
      <w:jc w:val="center"/>
    </w:pPr>
    <w:rPr>
      <w:rFonts w:ascii="黑体" w:hAnsi="黑体" w:eastAsia="黑体"/>
      <w:sz w:val="36"/>
      <w:szCs w:val="32"/>
    </w:r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1"/>
    <w:qFormat/>
    <w:uiPriority w:val="11"/>
    <w:pPr>
      <w:spacing w:before="200" w:after="200"/>
    </w:pPr>
    <w:rPr>
      <w:sz w:val="24"/>
      <w:szCs w:val="24"/>
    </w:rPr>
  </w:style>
  <w:style w:type="paragraph" w:styleId="26">
    <w:name w:val="footnote text"/>
    <w:basedOn w:val="1"/>
    <w:link w:val="184"/>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32">
    <w:name w:val="Title"/>
    <w:basedOn w:val="1"/>
    <w:next w:val="1"/>
    <w:link w:val="50"/>
    <w:qFormat/>
    <w:uiPriority w:val="10"/>
    <w:pPr>
      <w:spacing w:before="300" w:after="200"/>
      <w:contextualSpacing/>
    </w:pPr>
    <w:rPr>
      <w:sz w:val="48"/>
      <w:szCs w:val="48"/>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Hyperlink"/>
    <w:unhideWhenUsed/>
    <w:qFormat/>
    <w:uiPriority w:val="99"/>
    <w:rPr>
      <w:color w:val="0026E5" w:themeColor="hyperlink"/>
      <w:u w:val="single"/>
      <w14:textFill>
        <w14:solidFill>
          <w14:schemeClr w14:val="hlink"/>
        </w14:solidFill>
      </w14:textFill>
    </w:rPr>
  </w:style>
  <w:style w:type="character" w:styleId="38">
    <w:name w:val="footnote reference"/>
    <w:basedOn w:val="35"/>
    <w:unhideWhenUsed/>
    <w:qFormat/>
    <w:uiPriority w:val="99"/>
    <w:rPr>
      <w:vertAlign w:val="superscript"/>
    </w:rPr>
  </w:style>
  <w:style w:type="character" w:customStyle="1" w:styleId="39">
    <w:name w:val="Heading 1 Char"/>
    <w:basedOn w:val="35"/>
    <w:uiPriority w:val="9"/>
    <w:rPr>
      <w:rFonts w:ascii="Arial" w:hAnsi="Arial" w:eastAsia="Arial" w:cs="Arial"/>
      <w:sz w:val="40"/>
      <w:szCs w:val="40"/>
    </w:rPr>
  </w:style>
  <w:style w:type="character" w:customStyle="1" w:styleId="40">
    <w:name w:val="Heading 2 Char"/>
    <w:basedOn w:val="35"/>
    <w:uiPriority w:val="9"/>
    <w:rPr>
      <w:rFonts w:ascii="Arial" w:hAnsi="Arial" w:eastAsia="Arial" w:cs="Arial"/>
      <w:sz w:val="34"/>
    </w:rPr>
  </w:style>
  <w:style w:type="character" w:customStyle="1" w:styleId="41">
    <w:name w:val="Heading 3 Char"/>
    <w:basedOn w:val="35"/>
    <w:uiPriority w:val="9"/>
    <w:rPr>
      <w:rFonts w:ascii="Arial" w:hAnsi="Arial" w:eastAsia="Arial" w:cs="Arial"/>
      <w:sz w:val="30"/>
      <w:szCs w:val="30"/>
    </w:rPr>
  </w:style>
  <w:style w:type="character" w:customStyle="1" w:styleId="42">
    <w:name w:val="Heading 4 Char"/>
    <w:basedOn w:val="35"/>
    <w:link w:val="6"/>
    <w:uiPriority w:val="9"/>
    <w:rPr>
      <w:rFonts w:ascii="Arial" w:hAnsi="Arial" w:eastAsia="Arial" w:cs="Arial"/>
      <w:b/>
      <w:bCs/>
      <w:sz w:val="26"/>
      <w:szCs w:val="26"/>
    </w:rPr>
  </w:style>
  <w:style w:type="character" w:customStyle="1" w:styleId="43">
    <w:name w:val="Heading 5 Char"/>
    <w:basedOn w:val="35"/>
    <w:link w:val="7"/>
    <w:uiPriority w:val="9"/>
    <w:rPr>
      <w:rFonts w:ascii="Arial" w:hAnsi="Arial" w:eastAsia="Arial" w:cs="Arial"/>
      <w:b/>
      <w:bCs/>
      <w:sz w:val="24"/>
      <w:szCs w:val="24"/>
    </w:rPr>
  </w:style>
  <w:style w:type="character" w:customStyle="1" w:styleId="44">
    <w:name w:val="Heading 6 Char"/>
    <w:basedOn w:val="35"/>
    <w:link w:val="8"/>
    <w:uiPriority w:val="9"/>
    <w:rPr>
      <w:rFonts w:ascii="Arial" w:hAnsi="Arial" w:eastAsia="Arial" w:cs="Arial"/>
      <w:b/>
      <w:bCs/>
      <w:sz w:val="22"/>
      <w:szCs w:val="22"/>
    </w:rPr>
  </w:style>
  <w:style w:type="character" w:customStyle="1" w:styleId="45">
    <w:name w:val="Heading 7 Char"/>
    <w:basedOn w:val="35"/>
    <w:link w:val="9"/>
    <w:uiPriority w:val="9"/>
    <w:rPr>
      <w:rFonts w:ascii="Arial" w:hAnsi="Arial" w:eastAsia="Arial" w:cs="Arial"/>
      <w:b/>
      <w:bCs/>
      <w:i/>
      <w:iCs/>
      <w:sz w:val="22"/>
      <w:szCs w:val="22"/>
    </w:rPr>
  </w:style>
  <w:style w:type="character" w:customStyle="1" w:styleId="46">
    <w:name w:val="Heading 8 Char"/>
    <w:basedOn w:val="35"/>
    <w:link w:val="10"/>
    <w:uiPriority w:val="9"/>
    <w:rPr>
      <w:rFonts w:ascii="Arial" w:hAnsi="Arial" w:eastAsia="Arial" w:cs="Arial"/>
      <w:i/>
      <w:iCs/>
      <w:sz w:val="22"/>
      <w:szCs w:val="22"/>
    </w:rPr>
  </w:style>
  <w:style w:type="character" w:customStyle="1" w:styleId="47">
    <w:name w:val="Heading 9 Char"/>
    <w:basedOn w:val="35"/>
    <w:link w:val="11"/>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basedOn w:val="35"/>
    <w:link w:val="32"/>
    <w:qFormat/>
    <w:uiPriority w:val="10"/>
    <w:rPr>
      <w:sz w:val="48"/>
      <w:szCs w:val="48"/>
    </w:rPr>
  </w:style>
  <w:style w:type="character" w:customStyle="1" w:styleId="51">
    <w:name w:val="Subtitle Char"/>
    <w:basedOn w:val="35"/>
    <w:link w:val="25"/>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5"/>
    <w:link w:val="22"/>
    <w:qFormat/>
    <w:uiPriority w:val="99"/>
  </w:style>
  <w:style w:type="character" w:customStyle="1" w:styleId="57">
    <w:name w:val="Footer Char"/>
    <w:basedOn w:val="35"/>
    <w:qFormat/>
    <w:uiPriority w:val="99"/>
  </w:style>
  <w:style w:type="character" w:customStyle="1" w:styleId="58">
    <w:name w:val="Caption Char"/>
    <w:qFormat/>
    <w:uiPriority w:val="99"/>
  </w:style>
  <w:style w:type="table" w:customStyle="1" w:styleId="59">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7">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8">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9">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0">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1">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2">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4">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5">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6">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7">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8">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9">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8">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5">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6">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7">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8">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9">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0">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6">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7">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4">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6">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7">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8">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9">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0">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1">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3">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4">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5">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6">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7">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8">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0">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1">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2">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3">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4">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5">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7">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8">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9">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0">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1">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2">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4">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5">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6">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7">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8">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9">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1">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5">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6">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7">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8">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9">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0">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9">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0">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1">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2">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3">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4">
    <w:name w:val="Footnote Text Char"/>
    <w:link w:val="26"/>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188">
    <w:name w:val="font31"/>
    <w:basedOn w:val="189"/>
    <w:link w:val="1"/>
    <w:qFormat/>
    <w:uiPriority w:val="0"/>
    <w:rPr>
      <w:rFonts w:asciiTheme="minorHAnsi" w:hAnsiTheme="minorHAnsi" w:eastAsiaTheme="minorEastAsia" w:cstheme="minorBidi"/>
      <w:sz w:val="21"/>
      <w:szCs w:val="22"/>
      <w:lang w:val="en-US" w:eastAsia="zh-CN" w:bidi="ar-SA"/>
    </w:rPr>
  </w:style>
  <w:style w:type="character" w:customStyle="1" w:styleId="189">
    <w:name w:val="默认段落字体1"/>
    <w:link w:val="1"/>
    <w:unhideWhenUsed/>
    <w:qFormat/>
    <w:uiPriority w:val="1"/>
  </w:style>
  <w:style w:type="character" w:customStyle="1" w:styleId="190">
    <w:name w:val="font21"/>
    <w:basedOn w:val="189"/>
    <w:link w:val="1"/>
    <w:qFormat/>
    <w:uiPriority w:val="0"/>
    <w:rPr>
      <w:rFonts w:ascii="Segoe UI" w:hAnsi="Segoe UI" w:eastAsia="Segoe UI" w:cs="Segoe UI"/>
      <w:color w:val="404040"/>
      <w:sz w:val="24"/>
      <w:szCs w:val="24"/>
      <w:u w:val="none"/>
    </w:rPr>
  </w:style>
  <w:style w:type="paragraph" w:customStyle="1" w:styleId="191">
    <w:name w:val="批注文字1"/>
    <w:basedOn w:val="1"/>
    <w:qFormat/>
    <w:uiPriority w:val="0"/>
    <w:pPr>
      <w:spacing w:line="360" w:lineRule="auto"/>
      <w:ind w:firstLine="922"/>
      <w:jc w:val="left"/>
    </w:pPr>
    <w:rPr>
      <w:rFonts w:ascii="Times New Roman" w:hAnsi="Times New Roman" w:eastAsia="宋体" w:cs="Times New Roman"/>
      <w:szCs w:val="24"/>
    </w:rPr>
  </w:style>
  <w:style w:type="paragraph" w:customStyle="1" w:styleId="192">
    <w:name w:val="普通(网站)1"/>
    <w:basedOn w:val="1"/>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63</Pages>
  <Words>1975</Words>
  <Characters>2129</Characters>
  <TotalTime>75</TotalTime>
  <ScaleCrop>false</ScaleCrop>
  <LinksUpToDate>false</LinksUpToDate>
  <CharactersWithSpaces>2156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2026-07-03T11:06:00Z</dcterms:created>
  <dc:creator>djmilk</dc:creator>
  <cp:lastModifiedBy>ljy</cp:lastModifiedBy>
  <dcterms:modified xsi:type="dcterms:W3CDTF">2026-07-30T10:42:11Z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F1BC1C26ED454853A1F973957BC87B54_13</vt:lpwstr>
  </property>
  <property fmtid="{D5CDD505-2E9C-101B-9397-08002B2CF9AE}" pid="4" name="KSOTemplateDocerSaveRecord">
    <vt:lpwstr>eyJoZGlkIjoiMzY5YjJkNGZkMjA4ZGQ4NjQwYzFlOGRmOWQyN2I4MTUiLCJ1c2VySWQiOiIyMTUxOTU3MTcifQ==</vt:lpwstr>
  </property>
</Properties>
</file>