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hint="eastAsia" w:ascii="宋体" w:hAnsi="宋体"/>
          <w:b/>
          <w:bCs/>
          <w:sz w:val="84"/>
          <w:highlight w:val="none"/>
        </w:rPr>
      </w:pPr>
      <w:r>
        <w:rPr>
          <w:rFonts w:hint="eastAsia" w:ascii="宋体" w:hAnsi="宋体"/>
          <w:b/>
          <w:bCs/>
          <w:sz w:val="84"/>
          <w:highlight w:val="none"/>
        </w:rPr>
      </w:r>
      <w:r/>
    </w:p>
    <w:p>
      <w:pPr>
        <w:pStyle w:val="1035"/>
        <w:ind w:firstLine="0"/>
        <w:jc w:val="center"/>
        <w:rPr>
          <w:rFonts w:hint="eastAsia" w:ascii="宋体" w:hAnsi="宋体"/>
          <w:b/>
          <w:bCs/>
          <w:sz w:val="84"/>
          <w:highlight w:val="none"/>
        </w:rPr>
      </w:pPr>
      <w:r>
        <w:rPr>
          <w:rFonts w:hint="eastAsia" w:ascii="宋体" w:hAnsi="宋体"/>
          <w:b/>
          <w:bCs/>
          <w:sz w:val="84"/>
          <w:highlight w:val="none"/>
        </w:rPr>
        <w:t xml:space="preserve">招　标　文　件</w:t>
      </w:r>
      <w:r/>
    </w:p>
    <w:p>
      <w:pPr>
        <w:pStyle w:val="1035"/>
        <w:ind w:firstLine="1121"/>
        <w:rPr>
          <w:rFonts w:ascii="宋体" w:hAnsi="宋体" w:eastAsia="宋体"/>
          <w:b/>
          <w:bCs/>
          <w:sz w:val="32"/>
          <w:highlight w:val="none"/>
          <w:lang w:val="en-US" w:eastAsia="zh-CN"/>
        </w:rPr>
      </w:pPr>
      <w:r>
        <w:rPr>
          <w:rFonts w:hint="eastAsia" w:ascii="宋体" w:hAnsi="宋体"/>
          <w:b/>
          <w:bCs/>
          <w:sz w:val="32"/>
          <w:highlight w:val="none"/>
        </w:rPr>
        <w:t xml:space="preserve">项目名称：南通市口腔医院</w:t>
      </w:r>
      <w:r>
        <w:rPr>
          <w:rFonts w:hint="eastAsia" w:ascii="宋体" w:hAnsi="宋体"/>
          <w:b/>
          <w:bCs/>
          <w:sz w:val="32"/>
          <w:highlight w:val="none"/>
          <w:lang w:eastAsia="zh-CN"/>
        </w:rPr>
        <w:t xml:space="preserve">超融合</w:t>
      </w:r>
      <w:r>
        <w:rPr>
          <w:rFonts w:hint="eastAsia" w:ascii="宋体" w:hAnsi="宋体"/>
          <w:b/>
          <w:bCs/>
          <w:sz w:val="32"/>
          <w:highlight w:val="none"/>
        </w:rPr>
        <w:t xml:space="preserve">服务器采购项目</w:t>
      </w:r>
      <w:r>
        <w:rPr>
          <w:rFonts w:hint="eastAsia" w:ascii="宋体" w:hAnsi="宋体"/>
          <w:b/>
          <w:bCs/>
          <w:sz w:val="32"/>
          <w:highlight w:val="none"/>
          <w:lang w:val="en-US" w:eastAsia="zh-CN"/>
        </w:rPr>
        <w:t xml:space="preserve">  </w:t>
      </w:r>
      <w:r/>
    </w:p>
    <w:p>
      <w:pPr>
        <w:ind w:firstLine="1124"/>
        <w:rPr>
          <w:rFonts w:ascii="宋体" w:hAnsi="宋体"/>
          <w:b/>
          <w:sz w:val="30"/>
          <w:szCs w:val="30"/>
          <w:highlight w:val="none"/>
        </w:rPr>
      </w:pPr>
      <w:r>
        <w:rPr>
          <w:rFonts w:hint="eastAsia" w:ascii="宋体" w:hAnsi="宋体"/>
          <w:b/>
          <w:bCs/>
          <w:sz w:val="32"/>
          <w:highlight w:val="none"/>
        </w:rPr>
        <w:t xml:space="preserve">项目编号：JSZC-320600-JZCG-G2026-0082</w:t>
      </w:r>
      <w:r>
        <w:rPr>
          <w:rFonts w:hint="eastAsia" w:ascii="宋体" w:hAnsi="宋体"/>
          <w:b/>
          <w:bCs/>
          <w:sz w:val="32"/>
          <w:highlight w:val="none"/>
          <w:lang w:val="en-US" w:eastAsia="zh-CN"/>
        </w:rPr>
        <w:t xml:space="preserve">         </w:t>
      </w:r>
      <w:r>
        <w:rPr>
          <w:rFonts w:hint="eastAsia" w:ascii="宋体" w:hAnsi="宋体"/>
          <w:highlight w:val="none"/>
        </w:rPr>
        <w:t xml:space="preserve">         </w:t>
      </w:r>
      <w:r>
        <w:rPr>
          <w:rFonts w:hint="eastAsia" w:ascii="宋体" w:hAnsi="宋体"/>
          <w:b/>
          <w:sz w:val="30"/>
          <w:szCs w:val="30"/>
          <w:highlight w:val="none"/>
        </w:rPr>
        <w:t xml:space="preserve">   </w:t>
      </w:r>
      <w:r>
        <w:rPr>
          <w:rFonts w:ascii="宋体" w:hAnsi="宋体"/>
          <w:highlight w:val="none"/>
        </w:rPr>
        <w:t xml:space="preserve">  </w:t>
      </w:r>
      <w:r>
        <w:rPr>
          <w:rFonts w:ascii="宋体" w:hAnsi="宋体"/>
          <w:b/>
          <w:sz w:val="30"/>
          <w:szCs w:val="30"/>
          <w:highlight w:val="none"/>
        </w:rPr>
        <w:t xml:space="preserve"> </w:t>
      </w:r>
      <w:r/>
    </w:p>
    <w:p>
      <w:pPr>
        <w:pStyle w:val="1035"/>
        <w:ind w:firstLine="0"/>
        <w:spacing w:before="0" w:after="0"/>
        <w:rPr>
          <w:rFonts w:hint="eastAsia" w:ascii="宋体" w:hAnsi="宋体"/>
          <w:highlight w:val="none"/>
        </w:rPr>
      </w:pPr>
      <w:r>
        <w:rPr>
          <w:rFonts w:hint="eastAsia" w:ascii="宋体" w:hAnsi="宋体"/>
          <w:highlight w:val="none"/>
        </w:rPr>
      </w:r>
      <w:r/>
    </w:p>
    <w:p>
      <w:pPr>
        <w:pStyle w:val="1035"/>
        <w:ind w:firstLine="0"/>
        <w:spacing w:before="0" w:after="0"/>
        <w:rPr>
          <w:rFonts w:hint="eastAsia" w:ascii="宋体" w:hAnsi="宋体"/>
          <w:highlight w:val="none"/>
        </w:rPr>
      </w:pPr>
      <w:r>
        <w:rPr>
          <w:rFonts w:hint="eastAsia" w:ascii="宋体" w:hAnsi="宋体"/>
          <w:highlight w:val="none"/>
        </w:rPr>
      </w:r>
      <w:r/>
    </w:p>
    <w:p>
      <w:pPr>
        <w:pStyle w:val="1035"/>
        <w:ind w:firstLine="0"/>
        <w:spacing w:before="0" w:after="0"/>
        <w:tabs>
          <w:tab w:val="left" w:pos="6511" w:leader="none"/>
        </w:tabs>
        <w:rPr>
          <w:rFonts w:hint="eastAsia" w:ascii="宋体" w:hAnsi="宋体" w:eastAsia="宋体"/>
          <w:highlight w:val="none"/>
          <w:lang w:eastAsia="zh-CN"/>
        </w:rPr>
      </w:pPr>
      <w:r>
        <w:rPr>
          <w:rFonts w:hint="eastAsia" w:ascii="宋体" w:hAnsi="宋体" w:eastAsia="宋体"/>
          <w:highlight w:val="none"/>
          <w:lang w:eastAsia="zh-CN"/>
        </w:rPr>
        <w:tab/>
      </w:r>
      <w:r/>
    </w:p>
    <w:p>
      <w:pPr>
        <w:pStyle w:val="1035"/>
        <w:ind w:firstLine="0"/>
        <w:spacing w:before="0" w:after="0"/>
        <w:rPr>
          <w:rFonts w:hint="eastAsia" w:ascii="宋体" w:hAnsi="宋体"/>
          <w:highlight w:val="none"/>
        </w:rPr>
      </w:pPr>
      <w:r>
        <w:rPr>
          <w:rFonts w:hint="eastAsia" w:ascii="宋体" w:hAnsi="宋体"/>
          <w:highlight w:val="none"/>
        </w:rPr>
      </w:r>
      <w:r/>
    </w:p>
    <w:p>
      <w:pPr>
        <w:pStyle w:val="1035"/>
        <w:ind w:firstLine="0"/>
        <w:spacing w:before="0" w:after="0"/>
        <w:rPr>
          <w:rFonts w:hint="eastAsia" w:ascii="宋体" w:hAnsi="宋体"/>
          <w:highlight w:val="none"/>
        </w:rPr>
      </w:pPr>
      <w:r>
        <w:rPr>
          <w:rFonts w:hint="eastAsia" w:ascii="宋体" w:hAnsi="宋体"/>
          <w:highlight w:val="none"/>
        </w:rPr>
      </w:r>
      <w:r/>
    </w:p>
    <w:p>
      <w:pPr>
        <w:pStyle w:val="1035"/>
        <w:ind w:firstLine="0"/>
        <w:spacing w:before="0" w:after="0"/>
        <w:rPr>
          <w:rFonts w:hint="eastAsia" w:ascii="宋体" w:hAnsi="宋体"/>
          <w:highlight w:val="none"/>
        </w:rPr>
      </w:pPr>
      <w:r>
        <w:rPr>
          <w:rFonts w:hint="eastAsia" w:ascii="宋体" w:hAnsi="宋体"/>
          <w:highlight w:val="none"/>
        </w:rPr>
      </w:r>
      <w:r/>
    </w:p>
    <w:p>
      <w:pPr>
        <w:pStyle w:val="1035"/>
        <w:ind w:firstLine="0"/>
        <w:spacing w:before="0" w:after="0"/>
        <w:rPr>
          <w:rFonts w:hint="eastAsia" w:ascii="宋体" w:hAnsi="宋体"/>
          <w:highlight w:val="none"/>
        </w:rPr>
      </w:pPr>
      <w:r>
        <w:rPr>
          <w:rFonts w:hint="eastAsia" w:ascii="宋体" w:hAnsi="宋体"/>
          <w:highlight w:val="none"/>
        </w:rPr>
      </w:r>
      <w:r/>
    </w:p>
    <w:p>
      <w:pPr>
        <w:pStyle w:val="1035"/>
        <w:ind w:firstLine="0"/>
        <w:spacing w:before="0" w:after="0"/>
        <w:rPr>
          <w:rFonts w:hint="eastAsia" w:ascii="宋体" w:hAnsi="宋体"/>
          <w:highlight w:val="none"/>
        </w:rPr>
      </w:pPr>
      <w:r>
        <w:rPr>
          <w:rFonts w:hint="eastAsia" w:ascii="宋体" w:hAnsi="宋体"/>
          <w:highlight w:val="none"/>
        </w:rPr>
      </w:r>
      <w:r/>
    </w:p>
    <w:p>
      <w:pPr>
        <w:pStyle w:val="1035"/>
        <w:ind w:firstLine="0"/>
        <w:spacing w:before="0" w:after="0"/>
        <w:rPr>
          <w:rFonts w:hint="eastAsia" w:ascii="宋体" w:hAnsi="宋体"/>
          <w:highlight w:val="none"/>
        </w:rPr>
      </w:pPr>
      <w:r>
        <w:rPr>
          <w:rFonts w:hint="eastAsia" w:ascii="宋体" w:hAnsi="宋体"/>
          <w:highlight w:val="none"/>
        </w:rPr>
      </w:r>
      <w:r/>
    </w:p>
    <w:p>
      <w:pPr>
        <w:pStyle w:val="1035"/>
        <w:ind w:firstLine="0"/>
        <w:jc w:val="center"/>
        <w:rPr>
          <w:rFonts w:hint="eastAsia" w:ascii="宋体" w:hAnsi="宋体"/>
          <w:b/>
          <w:bCs/>
          <w:sz w:val="32"/>
          <w:highlight w:val="none"/>
        </w:rPr>
      </w:pPr>
      <w:r>
        <w:rPr>
          <w:rFonts w:hint="eastAsia" w:ascii="宋体" w:hAnsi="宋体"/>
          <w:b/>
          <w:bCs/>
          <w:sz w:val="32"/>
          <w:highlight w:val="none"/>
        </w:rPr>
        <w:t xml:space="preserve">南通市公共资源交易中心</w:t>
      </w:r>
      <w:r/>
    </w:p>
    <w:p>
      <w:pPr>
        <w:pStyle w:val="1035"/>
        <w:ind w:firstLine="0"/>
        <w:jc w:val="center"/>
        <w:rPr>
          <w:rFonts w:hint="eastAsia" w:ascii="宋体" w:hAnsi="宋体"/>
          <w:b/>
          <w:bCs/>
          <w:sz w:val="32"/>
          <w:highlight w:val="none"/>
        </w:rPr>
      </w:pPr>
      <w:r>
        <w:rPr>
          <w:rFonts w:hint="eastAsia" w:ascii="宋体" w:hAnsi="宋体"/>
          <w:b/>
          <w:bCs/>
          <w:sz w:val="32"/>
          <w:highlight w:val="none"/>
        </w:rPr>
        <w:t xml:space="preserve">（南通市政府采购中心）</w:t>
      </w:r>
      <w:r/>
    </w:p>
    <w:p>
      <w:pPr>
        <w:pStyle w:val="1035"/>
        <w:ind w:firstLine="3213"/>
        <w:jc w:val="both"/>
        <w:rPr>
          <w:rFonts w:hint="eastAsia" w:ascii="宋体" w:hAnsi="宋体"/>
          <w:b/>
          <w:bCs/>
          <w:sz w:val="32"/>
          <w:highlight w:val="none"/>
        </w:rPr>
      </w:pPr>
      <w:r>
        <w:rPr>
          <w:rFonts w:hint="eastAsia" w:ascii="宋体" w:hAnsi="宋体"/>
          <w:b/>
          <w:bCs/>
          <w:sz w:val="32"/>
          <w:highlight w:val="none"/>
          <w:lang w:val="en-US" w:eastAsia="zh-CN"/>
        </w:rPr>
        <w:t xml:space="preserve"> </w:t>
      </w:r>
      <w:r>
        <w:rPr>
          <w:rFonts w:hint="eastAsia" w:ascii="宋体" w:hAnsi="宋体"/>
          <w:b/>
          <w:bCs/>
          <w:sz w:val="32"/>
          <w:highlight w:val="none"/>
          <w:u w:val="single"/>
          <w:lang w:val="en-US" w:eastAsia="zh-CN"/>
        </w:rPr>
        <w:t xml:space="preserve"> 2026</w:t>
      </w:r>
      <w:r>
        <w:rPr>
          <w:rFonts w:hint="eastAsia" w:ascii="宋体" w:hAnsi="宋体"/>
          <w:b/>
          <w:bCs/>
          <w:sz w:val="32"/>
          <w:highlight w:val="none"/>
        </w:rPr>
        <w:t xml:space="preserve">年</w:t>
      </w:r>
      <w:r>
        <w:rPr>
          <w:rFonts w:hint="eastAsia" w:ascii="宋体" w:hAnsi="宋体"/>
          <w:b/>
          <w:bCs/>
          <w:sz w:val="32"/>
          <w:highlight w:val="none"/>
          <w:u w:val="single"/>
        </w:rPr>
        <w:t xml:space="preserve"> </w:t>
      </w:r>
      <w:r>
        <w:rPr>
          <w:rFonts w:hint="eastAsia" w:ascii="宋体" w:hAnsi="宋体"/>
          <w:b/>
          <w:bCs/>
          <w:sz w:val="32"/>
          <w:highlight w:val="none"/>
          <w:u w:val="single"/>
          <w:lang w:val="en-US" w:eastAsia="zh-CN"/>
        </w:rPr>
        <w:t xml:space="preserve">7 </w:t>
      </w:r>
      <w:r>
        <w:rPr>
          <w:rFonts w:hint="eastAsia" w:ascii="宋体" w:hAnsi="宋体"/>
          <w:b/>
          <w:bCs/>
          <w:sz w:val="32"/>
          <w:highlight w:val="none"/>
        </w:rPr>
        <w:t xml:space="preserve">月</w:t>
      </w:r>
      <w:r/>
    </w:p>
    <w:p>
      <w:pPr>
        <w:pStyle w:val="1035"/>
        <w:ind w:firstLine="0"/>
        <w:rPr>
          <w:rFonts w:hint="eastAsia" w:ascii="宋体" w:hAnsi="宋体"/>
          <w:highlight w:val="none"/>
          <w:u w:val="single"/>
        </w:rPr>
      </w:pPr>
      <w:r>
        <w:rPr>
          <w:rFonts w:hint="eastAsia" w:ascii="宋体" w:hAnsi="宋体"/>
          <w:highlight w:val="none"/>
        </w:rPr>
        <w:t xml:space="preserve">                        </w:t>
      </w:r>
      <w:r/>
    </w:p>
    <w:p>
      <w:pPr>
        <w:pStyle w:val="1035"/>
        <w:ind w:firstLine="0"/>
        <w:jc w:val="center"/>
        <w:rPr>
          <w:rFonts w:hint="eastAsia" w:ascii="宋体" w:hAnsi="宋体"/>
          <w:highlight w:val="none"/>
        </w:rPr>
      </w:pPr>
      <w:r>
        <w:rPr>
          <w:rFonts w:hint="eastAsia" w:ascii="宋体" w:hAnsi="宋体"/>
          <w:highlight w:val="none"/>
        </w:rPr>
      </w:r>
      <w:r/>
    </w:p>
    <w:p>
      <w:pPr>
        <w:jc w:val="center"/>
        <w:spacing w:line="480" w:lineRule="auto"/>
        <w:rPr>
          <w:rFonts w:hint="eastAsia" w:ascii="宋体" w:hAnsi="宋体"/>
          <w:b/>
          <w:sz w:val="44"/>
          <w:highlight w:val="none"/>
        </w:rPr>
        <w:outlineLvl w:val="0"/>
      </w:pPr>
      <w:r>
        <w:rPr>
          <w:rFonts w:ascii="宋体" w:hAnsi="宋体"/>
          <w:highlight w:val="none"/>
        </w:rP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宋体" w:hAnsi="宋体"/>
          <w:highlight w:val="none"/>
        </w:rPr>
        <w:t xml:space="preserve"> </w:t>
      </w:r>
      <w:r>
        <w:rPr>
          <w:rFonts w:hint="eastAsia" w:ascii="宋体" w:hAnsi="宋体"/>
          <w:b/>
          <w:sz w:val="44"/>
          <w:highlight w:val="none"/>
        </w:rPr>
        <w:t xml:space="preserve">总  目  录</w:t>
      </w:r>
      <w:r/>
    </w:p>
    <w:p>
      <w:pPr>
        <w:spacing w:line="480" w:lineRule="auto"/>
        <w:rPr>
          <w:rFonts w:hint="eastAsia" w:ascii="宋体" w:hAnsi="宋体"/>
          <w:b/>
          <w:sz w:val="28"/>
          <w:highlight w:val="none"/>
        </w:rPr>
      </w:pPr>
      <w:r>
        <w:rPr>
          <w:rFonts w:hint="eastAsia" w:ascii="宋体" w:hAnsi="宋体"/>
          <w:b/>
          <w:sz w:val="28"/>
          <w:highlight w:val="none"/>
        </w:rPr>
      </w:r>
      <w:r/>
    </w:p>
    <w:p>
      <w:pPr>
        <w:numPr>
          <w:ilvl w:val="0"/>
          <w:numId w:val="4"/>
        </w:numPr>
        <w:spacing w:line="480" w:lineRule="auto"/>
        <w:rPr>
          <w:rFonts w:hint="eastAsia" w:ascii="宋体" w:hAnsi="宋体"/>
          <w:sz w:val="32"/>
          <w:highlight w:val="none"/>
        </w:rPr>
        <w:outlineLvl w:val="0"/>
      </w:pPr>
      <w:r>
        <w:rPr>
          <w:rFonts w:hint="eastAsia" w:ascii="宋体" w:hAnsi="宋体"/>
          <w:sz w:val="36"/>
          <w:highlight w:val="none"/>
        </w:rPr>
        <w:t xml:space="preserve">投标邀请…………………………………… </w:t>
      </w:r>
      <w:r>
        <w:rPr>
          <w:rFonts w:hint="eastAsia" w:ascii="宋体" w:hAnsi="宋体"/>
          <w:sz w:val="36"/>
          <w:highlight w:val="none"/>
          <w:lang w:val="en-US" w:eastAsia="zh-CN"/>
        </w:rPr>
        <w:t xml:space="preserve"> </w:t>
      </w:r>
      <w:r/>
    </w:p>
    <w:p>
      <w:pPr>
        <w:numPr>
          <w:ilvl w:val="0"/>
          <w:numId w:val="4"/>
        </w:numPr>
        <w:spacing w:line="480" w:lineRule="auto"/>
        <w:rPr>
          <w:rFonts w:hint="eastAsia" w:ascii="宋体" w:hAnsi="宋体"/>
          <w:sz w:val="36"/>
          <w:highlight w:val="none"/>
        </w:rPr>
        <w:outlineLvl w:val="0"/>
      </w:pPr>
      <w:r>
        <w:rPr>
          <w:rFonts w:hint="eastAsia" w:ascii="宋体" w:hAnsi="宋体"/>
          <w:bCs/>
          <w:sz w:val="36"/>
          <w:szCs w:val="36"/>
          <w:highlight w:val="none"/>
        </w:rPr>
        <w:t xml:space="preserve">投标人须知</w:t>
      </w:r>
      <w:r>
        <w:rPr>
          <w:rFonts w:hint="eastAsia" w:ascii="宋体" w:hAnsi="宋体"/>
          <w:sz w:val="36"/>
          <w:szCs w:val="36"/>
          <w:highlight w:val="none"/>
        </w:rPr>
        <w:t xml:space="preserve">…</w:t>
      </w:r>
      <w:r>
        <w:rPr>
          <w:rFonts w:hint="eastAsia" w:ascii="宋体" w:hAnsi="宋体"/>
          <w:sz w:val="36"/>
          <w:highlight w:val="none"/>
        </w:rPr>
        <w:t xml:space="preserve">……………………………… </w:t>
      </w:r>
      <w:r>
        <w:rPr>
          <w:rFonts w:hint="eastAsia" w:ascii="宋体" w:hAnsi="宋体"/>
          <w:sz w:val="36"/>
          <w:highlight w:val="none"/>
          <w:lang w:val="en-US" w:eastAsia="zh-CN"/>
        </w:rPr>
        <w:t xml:space="preserve"> </w:t>
      </w:r>
      <w:r/>
    </w:p>
    <w:p>
      <w:pPr>
        <w:numPr>
          <w:ilvl w:val="0"/>
          <w:numId w:val="4"/>
        </w:numPr>
        <w:spacing w:line="480" w:lineRule="auto"/>
        <w:rPr>
          <w:rFonts w:hint="eastAsia" w:ascii="宋体" w:hAnsi="宋体"/>
          <w:sz w:val="36"/>
          <w:highlight w:val="none"/>
        </w:rPr>
        <w:outlineLvl w:val="0"/>
      </w:pPr>
      <w:r>
        <w:rPr>
          <w:rFonts w:hint="eastAsia" w:ascii="宋体" w:hAnsi="宋体"/>
          <w:sz w:val="36"/>
          <w:highlight w:val="none"/>
        </w:rPr>
        <w:t xml:space="preserve">合同文本…………………………………… </w:t>
      </w:r>
      <w:r>
        <w:rPr>
          <w:rFonts w:hint="eastAsia" w:ascii="宋体" w:hAnsi="宋体"/>
          <w:sz w:val="36"/>
          <w:highlight w:val="none"/>
          <w:lang w:val="en-US" w:eastAsia="zh-CN"/>
        </w:rPr>
        <w:t xml:space="preserve"> </w:t>
      </w:r>
      <w:r/>
    </w:p>
    <w:p>
      <w:pPr>
        <w:numPr>
          <w:ilvl w:val="0"/>
          <w:numId w:val="4"/>
        </w:numPr>
        <w:spacing w:line="480" w:lineRule="auto"/>
        <w:rPr>
          <w:rFonts w:hint="eastAsia" w:ascii="宋体" w:hAnsi="宋体"/>
          <w:sz w:val="36"/>
          <w:highlight w:val="none"/>
        </w:rPr>
        <w:outlineLvl w:val="0"/>
      </w:pPr>
      <w:r>
        <w:rPr>
          <w:rFonts w:hint="eastAsia" w:ascii="宋体" w:hAnsi="宋体"/>
          <w:sz w:val="36"/>
          <w:highlight w:val="none"/>
        </w:rPr>
        <w:t xml:space="preserve">采购需求…………………………………… </w:t>
      </w:r>
      <w:r>
        <w:rPr>
          <w:rFonts w:hint="eastAsia" w:ascii="宋体" w:hAnsi="宋体"/>
          <w:sz w:val="36"/>
          <w:highlight w:val="none"/>
          <w:lang w:val="en-US" w:eastAsia="zh-CN"/>
        </w:rPr>
        <w:t xml:space="preserve"> </w:t>
      </w:r>
      <w:r/>
    </w:p>
    <w:p>
      <w:pPr>
        <w:numPr>
          <w:ilvl w:val="0"/>
          <w:numId w:val="4"/>
        </w:numPr>
        <w:spacing w:line="480" w:lineRule="auto"/>
        <w:rPr>
          <w:rFonts w:hint="eastAsia" w:ascii="宋体" w:hAnsi="宋体"/>
          <w:sz w:val="36"/>
          <w:highlight w:val="none"/>
        </w:rPr>
        <w:outlineLvl w:val="0"/>
      </w:pPr>
      <w:r>
        <w:rPr>
          <w:rFonts w:hint="eastAsia" w:ascii="宋体" w:hAnsi="宋体"/>
          <w:bCs/>
          <w:sz w:val="36"/>
          <w:szCs w:val="36"/>
          <w:highlight w:val="none"/>
        </w:rPr>
        <w:t xml:space="preserve">评标方法与评标标准</w:t>
      </w:r>
      <w:r>
        <w:rPr>
          <w:rFonts w:hint="eastAsia" w:ascii="宋体" w:hAnsi="宋体"/>
          <w:sz w:val="36"/>
          <w:highlight w:val="none"/>
        </w:rPr>
        <w:t xml:space="preserve">……………………… </w:t>
      </w:r>
      <w:r>
        <w:rPr>
          <w:rFonts w:hint="eastAsia" w:ascii="宋体" w:hAnsi="宋体"/>
          <w:sz w:val="36"/>
          <w:highlight w:val="none"/>
          <w:lang w:val="en-US" w:eastAsia="zh-CN"/>
        </w:rPr>
        <w:t xml:space="preserve"> </w:t>
      </w:r>
      <w:r/>
    </w:p>
    <w:p>
      <w:pPr>
        <w:numPr>
          <w:ilvl w:val="0"/>
          <w:numId w:val="4"/>
        </w:numPr>
        <w:spacing w:line="480" w:lineRule="auto"/>
        <w:rPr>
          <w:rFonts w:hint="eastAsia" w:ascii="宋体" w:hAnsi="宋体"/>
          <w:sz w:val="36"/>
          <w:highlight w:val="none"/>
        </w:rPr>
        <w:outlineLvl w:val="0"/>
      </w:pPr>
      <w:r>
        <w:rPr>
          <w:rFonts w:hint="eastAsia" w:ascii="宋体" w:hAnsi="宋体"/>
          <w:sz w:val="36"/>
          <w:highlight w:val="none"/>
        </w:rPr>
        <w:t xml:space="preserve">投标文件格式……………………………… </w:t>
      </w:r>
      <w:r>
        <w:rPr>
          <w:rFonts w:hint="eastAsia" w:ascii="宋体" w:hAnsi="宋体"/>
          <w:sz w:val="36"/>
          <w:highlight w:val="none"/>
          <w:lang w:val="en-US" w:eastAsia="zh-CN"/>
        </w:rPr>
        <w:t xml:space="preserve"> </w:t>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pStyle w:val="944"/>
        <w:rPr>
          <w:rFonts w:hint="eastAsia" w:ascii="宋体" w:hAnsi="宋体" w:eastAsia="宋体"/>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sz w:val="44"/>
          <w:szCs w:val="44"/>
          <w:highlight w:val="none"/>
        </w:rPr>
      </w:r>
      <w:r/>
    </w:p>
    <w:p>
      <w:pPr>
        <w:pStyle w:val="944"/>
        <w:rPr>
          <w:rFonts w:hint="eastAsia" w:ascii="宋体" w:hAnsi="宋体" w:eastAsia="宋体"/>
          <w:bCs/>
          <w:sz w:val="44"/>
          <w:szCs w:val="44"/>
          <w:highlight w:val="none"/>
        </w:rPr>
      </w:pPr>
      <w:r>
        <w:rPr>
          <w:rFonts w:hint="eastAsia" w:ascii="宋体" w:hAnsi="宋体" w:eastAsia="宋体"/>
          <w:sz w:val="44"/>
          <w:szCs w:val="44"/>
          <w:highlight w:val="none"/>
        </w:rPr>
        <w:t xml:space="preserve">第一章  </w:t>
      </w:r>
      <w:bookmarkEnd w:id="0"/>
      <w:r>
        <w:rPr>
          <w:rFonts w:hint="eastAsia" w:ascii="宋体" w:hAnsi="宋体" w:eastAsia="宋体"/>
          <w:sz w:val="44"/>
          <w:szCs w:val="44"/>
          <w:highlight w:val="none"/>
        </w:rPr>
        <w:t xml:space="preserve">投标邀请</w:t>
      </w:r>
      <w:r/>
    </w:p>
    <w:p>
      <w:pPr>
        <w:ind w:firstLine="480"/>
        <w:rPr>
          <w:rFonts w:ascii="宋体" w:hAnsi="宋体"/>
          <w:sz w:val="24"/>
          <w:szCs w:val="24"/>
          <w:highlight w:val="none"/>
        </w:rPr>
      </w:pPr>
      <w:r>
        <w:rPr>
          <w:rFonts w:hint="eastAsia" w:ascii="宋体" w:hAnsi="宋体"/>
          <w:sz w:val="24"/>
          <w:szCs w:val="24"/>
          <w:highlight w:val="none"/>
        </w:rPr>
        <w:t xml:space="preserve">受南通市口腔医院的委托，南通市政府采购中心就</w:t>
      </w:r>
      <w:r>
        <w:rPr>
          <w:rFonts w:hint="eastAsia" w:ascii="宋体" w:hAnsi="宋体"/>
          <w:sz w:val="24"/>
          <w:szCs w:val="24"/>
          <w:highlight w:val="none"/>
          <w:u w:val="single"/>
          <w:lang w:val="en-US" w:eastAsia="zh-CN"/>
        </w:rPr>
        <w:t xml:space="preserve">南通市口腔医院超融合服务器采购</w:t>
      </w:r>
      <w:r>
        <w:rPr>
          <w:rFonts w:hint="eastAsia" w:ascii="宋体" w:hAnsi="宋体"/>
          <w:sz w:val="24"/>
          <w:szCs w:val="24"/>
          <w:highlight w:val="none"/>
        </w:rPr>
        <w:t xml:space="preserve">项目([项目编号</w:t>
      </w:r>
      <w:r>
        <w:rPr>
          <w:rFonts w:hint="eastAsia" w:ascii="宋体" w:hAnsi="宋体"/>
          <w:sz w:val="24"/>
          <w:szCs w:val="24"/>
          <w:highlight w:val="none"/>
          <w:u w:val="single"/>
        </w:rPr>
        <w:t xml:space="preserve">JSZC-320600-JZCG-G2026-0082</w:t>
      </w:r>
      <w:r>
        <w:rPr>
          <w:rFonts w:hint="eastAsia" w:ascii="宋体" w:hAnsi="宋体"/>
          <w:sz w:val="24"/>
          <w:szCs w:val="24"/>
          <w:highlight w:val="none"/>
        </w:rPr>
        <w:t xml:space="preserve">)进行公开招标采购，欢迎符合条件的供应商投标。</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val="en-US" w:eastAsia="zh-CN"/>
        </w:rPr>
        <w:t xml:space="preserve">南通市口腔医院超融合服务器采购</w:t>
      </w:r>
      <w:r>
        <w:rPr>
          <w:rFonts w:hint="eastAsia" w:ascii="宋体" w:hAnsi="宋体"/>
          <w:sz w:val="24"/>
          <w:szCs w:val="24"/>
          <w:highlight w:val="none"/>
          <w:u w:val="none"/>
          <w:lang w:val="en-US" w:eastAsia="zh-CN"/>
        </w:rPr>
        <w:t xml:space="preserve">项目</w:t>
      </w:r>
      <w:r>
        <w:rPr>
          <w:rFonts w:hint="eastAsia" w:ascii="宋体" w:hAnsi="宋体"/>
          <w:sz w:val="24"/>
          <w:szCs w:val="24"/>
          <w:highlight w:val="none"/>
        </w:rPr>
        <w:t xml:space="preserve">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lang w:val="en-US" w:eastAsia="zh-CN"/>
        </w:rPr>
        <w:t xml:space="preserve">2026</w:t>
      </w:r>
      <w:r>
        <w:rPr>
          <w:rFonts w:hint="eastAsia" w:ascii="宋体" w:hAnsi="宋体"/>
          <w:bCs/>
          <w:sz w:val="24"/>
          <w:szCs w:val="24"/>
          <w:highlight w:val="none"/>
          <w:u w:val="single"/>
        </w:rPr>
        <w:t xml:space="preserve">年8</w:t>
      </w:r>
      <w:r>
        <w:rPr>
          <w:rFonts w:hint="eastAsia" w:ascii="宋体" w:hAnsi="宋体"/>
          <w:bCs/>
          <w:sz w:val="24"/>
          <w:szCs w:val="24"/>
          <w:highlight w:val="none"/>
          <w:u w:val="single"/>
        </w:rPr>
        <w:t xml:space="preserve">月19</w:t>
      </w:r>
      <w:r>
        <w:rPr>
          <w:rFonts w:hint="eastAsia" w:ascii="宋体" w:hAnsi="宋体"/>
          <w:bCs/>
          <w:sz w:val="24"/>
          <w:szCs w:val="24"/>
          <w:highlight w:val="none"/>
          <w:u w:val="single"/>
        </w:rPr>
        <w:t xml:space="preserve">日10点00分（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946"/>
        <w:ind w:firstLine="498"/>
        <w:spacing w:before="145" w:after="145" w:line="360" w:lineRule="auto"/>
        <w:rPr>
          <w:rFonts w:ascii="宋体" w:hAnsi="宋体"/>
          <w:highlight w:val="none"/>
        </w:rPr>
      </w:pPr>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ascii="宋体" w:hAnsi="宋体"/>
          <w:highlight w:val="none"/>
        </w:rPr>
        <w:t xml:space="preserve">一、项目基本情况</w:t>
      </w:r>
      <w:bookmarkEnd w:id="6"/>
      <w:r/>
      <w:bookmarkEnd w:id="7"/>
      <w:r/>
      <w:bookmarkEnd w:id="8"/>
      <w:r/>
      <w:bookmarkEnd w:id="9"/>
      <w:r/>
      <w:bookmarkEnd w:id="10"/>
      <w:r/>
      <w:r/>
    </w:p>
    <w:p>
      <w:pPr>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1.项目编号：JSZC-320600-JZCG-G2026-0082</w:t>
      </w:r>
      <w:r>
        <w:rPr>
          <w:rFonts w:hint="eastAsia" w:ascii="宋体" w:hAnsi="宋体"/>
          <w:sz w:val="24"/>
          <w:szCs w:val="24"/>
          <w:highlight w:val="none"/>
          <w:lang w:val="en-US" w:eastAsia="zh-CN"/>
        </w:rPr>
        <w:t xml:space="preserve">     </w:t>
      </w:r>
      <w:r/>
    </w:p>
    <w:p>
      <w:pPr>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2.项目名称：南通市口腔医院超融合服务器采购项目</w:t>
      </w:r>
      <w:bookmarkEnd w:id="11"/>
      <w:r/>
    </w:p>
    <w:p>
      <w:pPr>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 97万元   </w:t>
      </w:r>
      <w:r/>
    </w:p>
    <w:p>
      <w:pPr>
        <w:ind w:firstLine="480"/>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本项目设定最高限价</w:t>
      </w:r>
      <w:r>
        <w:rPr>
          <w:rFonts w:hint="eastAsia" w:ascii="宋体" w:hAnsi="宋体"/>
          <w:sz w:val="24"/>
          <w:szCs w:val="24"/>
          <w:highlight w:val="none"/>
        </w:rPr>
        <w:t xml:space="preserve">，</w:t>
      </w:r>
      <w:r>
        <w:rPr>
          <w:rFonts w:ascii="宋体" w:hAnsi="宋体"/>
          <w:sz w:val="24"/>
          <w:szCs w:val="24"/>
          <w:highlight w:val="none"/>
        </w:rPr>
        <w:t xml:space="preserve">最高限价为</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 97万</w:t>
      </w:r>
      <w:r>
        <w:rPr>
          <w:rFonts w:hint="eastAsia" w:ascii="宋体" w:hAnsi="宋体"/>
          <w:sz w:val="24"/>
          <w:szCs w:val="24"/>
          <w:highlight w:val="none"/>
        </w:rPr>
        <w:t xml:space="preserve">元。</w:t>
      </w:r>
      <w:r/>
    </w:p>
    <w:p>
      <w:pPr>
        <w:ind w:firstLine="480"/>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cs="宋体"/>
          <w:sz w:val="24"/>
          <w:szCs w:val="24"/>
          <w:highlight w:val="none"/>
        </w:rPr>
        <w:t xml:space="preserve">详细内容见本招标文件第四章</w:t>
      </w:r>
      <w:r/>
    </w:p>
    <w:p>
      <w:pPr>
        <w:ind w:firstLine="480"/>
        <w:rPr>
          <w:rFonts w:hint="eastAsia" w:ascii="宋体" w:hAnsi="宋体" w:eastAsia="宋体"/>
          <w:sz w:val="24"/>
          <w:szCs w:val="24"/>
          <w:highlight w:val="none"/>
          <w:lang w:val="en-US" w:eastAsia="zh-CN"/>
        </w:rPr>
      </w:pPr>
      <w:r>
        <w:rPr>
          <w:rFonts w:hint="eastAsia" w:ascii="宋体" w:hAnsi="宋体"/>
          <w:sz w:val="24"/>
          <w:szCs w:val="24"/>
          <w:highlight w:val="none"/>
        </w:rPr>
        <w:t xml:space="preserve">6.合同履行期限：</w:t>
      </w:r>
      <w:r>
        <w:rPr>
          <w:rFonts w:hint="eastAsia" w:ascii="宋体" w:hAnsi="宋体"/>
          <w:sz w:val="24"/>
          <w:szCs w:val="24"/>
          <w:highlight w:val="none"/>
          <w:lang w:val="en-US" w:eastAsia="zh-CN"/>
        </w:rPr>
        <w:t xml:space="preserve">合同签订之日起60个工作日内安装调试完成</w:t>
      </w:r>
      <w:r/>
    </w:p>
    <w:p>
      <w:pPr>
        <w:pStyle w:val="946"/>
        <w:ind w:firstLine="498"/>
        <w:spacing w:before="145" w:after="145" w:line="360" w:lineRule="auto"/>
        <w:rPr>
          <w:rFonts w:ascii="宋体" w:hAnsi="宋体"/>
          <w:highlight w:val="none"/>
        </w:rPr>
      </w:pPr>
      <w:r/>
      <w:bookmarkStart w:id="12" w:name="_Toc35393791"/>
      <w:r/>
      <w:bookmarkStart w:id="13" w:name="_Toc35393622"/>
      <w:r/>
      <w:bookmarkStart w:id="14" w:name="_Toc28359003"/>
      <w:r/>
      <w:bookmarkStart w:id="15" w:name="_Toc28359080"/>
      <w:r/>
      <w:bookmarkStart w:id="16" w:name="_Toc38985264"/>
      <w:r>
        <w:rPr>
          <w:rFonts w:hint="eastAsia" w:ascii="宋体" w:hAnsi="宋体"/>
          <w:highlight w:val="none"/>
        </w:rPr>
        <w:t xml:space="preserve">二、申请人的资格要求：</w:t>
      </w:r>
      <w:bookmarkEnd w:id="12"/>
      <w:r/>
      <w:bookmarkEnd w:id="13"/>
      <w:r/>
      <w:bookmarkEnd w:id="14"/>
      <w:r/>
      <w:bookmarkEnd w:id="15"/>
      <w:r/>
      <w:bookmarkEnd w:id="16"/>
      <w:r/>
      <w:r/>
    </w:p>
    <w:p>
      <w:pPr>
        <w:ind w:firstLine="480"/>
        <w:rPr>
          <w:rFonts w:hint="eastAsia" w:ascii="宋体" w:hAnsi="宋体"/>
          <w:sz w:val="24"/>
          <w:szCs w:val="24"/>
          <w:highlight w:val="none"/>
        </w:rPr>
      </w:pPr>
      <w:r/>
      <w:bookmarkStart w:id="17" w:name="_Toc35393792"/>
      <w:r/>
      <w:bookmarkStart w:id="18" w:name="_Toc35393623"/>
      <w:r/>
      <w:bookmarkStart w:id="19" w:name="_Toc28359004"/>
      <w:r/>
      <w:bookmarkStart w:id="20" w:name="_Toc38985265"/>
      <w:r/>
      <w:bookmarkStart w:id="21" w:name="_Toc28359081"/>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p>
    <w:p>
      <w:pPr>
        <w:ind w:firstLine="480"/>
        <w:rPr>
          <w:rFonts w:hint="eastAsia" w:ascii="宋体" w:hAnsi="宋体"/>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eastAsia="宋体"/>
          <w:highlight w:val="none"/>
          <w:lang w:val="en-US" w:eastAsia="zh-CN"/>
        </w:rPr>
      </w:pPr>
      <w:r>
        <w:rPr>
          <w:rFonts w:hint="eastAsia" w:ascii="宋体" w:hAnsi="宋体"/>
          <w:sz w:val="24"/>
          <w:szCs w:val="24"/>
          <w:highlight w:val="none"/>
        </w:rPr>
        <w:t xml:space="preserve">3.落实政府采购政策需满足的资格要求：</w:t>
      </w:r>
      <w:r>
        <w:rPr>
          <w:rFonts w:hint="eastAsia" w:ascii="宋体" w:hAnsi="宋体"/>
          <w:sz w:val="24"/>
          <w:szCs w:val="24"/>
          <w:highlight w:val="none"/>
          <w:lang w:val="en-US" w:eastAsia="zh-CN"/>
        </w:rPr>
        <w:t xml:space="preserve">无</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4.本项目不接受联合体投标。</w:t>
      </w:r>
      <w:r/>
    </w:p>
    <w:p>
      <w:pPr>
        <w:ind w:left="480"/>
        <w:spacing w:line="360" w:lineRule="auto"/>
        <w:rPr>
          <w:rFonts w:ascii="宋体" w:hAnsi="宋体"/>
          <w:sz w:val="24"/>
          <w:szCs w:val="24"/>
          <w:highlight w:val="none"/>
        </w:rPr>
      </w:pPr>
      <w:r>
        <w:rPr>
          <w:rFonts w:hint="eastAsia" w:ascii="宋体" w:hAnsi="宋体"/>
          <w:sz w:val="24"/>
          <w:szCs w:val="24"/>
          <w:highlight w:val="none"/>
        </w:rPr>
        <w:t xml:space="preserve">5.本项目不接受分包。</w:t>
      </w:r>
      <w:r/>
    </w:p>
    <w:p>
      <w:pPr>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p>
    <w:p>
      <w:pPr>
        <w:ind w:firstLine="480"/>
        <w:rPr>
          <w:rFonts w:ascii="宋体" w:hAnsi="宋体" w:cs="宋体"/>
          <w:sz w:val="24"/>
          <w:szCs w:val="24"/>
          <w:highlight w:val="none"/>
        </w:rPr>
      </w:pPr>
      <w:r>
        <w:rPr>
          <w:rFonts w:hint="eastAsia" w:ascii="宋体" w:hAnsi="宋体"/>
          <w:sz w:val="24"/>
          <w:szCs w:val="24"/>
          <w:highlight w:val="none"/>
        </w:rPr>
        <w:t xml:space="preserve">无</w:t>
      </w:r>
      <w:r/>
    </w:p>
    <w:p>
      <w:pPr>
        <w:pStyle w:val="946"/>
        <w:ind w:firstLine="498"/>
        <w:spacing w:before="145" w:after="145" w:line="360" w:lineRule="auto"/>
        <w:rPr>
          <w:rFonts w:ascii="宋体" w:hAnsi="宋体"/>
          <w:highlight w:val="none"/>
        </w:rPr>
      </w:pPr>
      <w:r>
        <w:rPr>
          <w:rFonts w:hint="eastAsia" w:ascii="宋体" w:hAnsi="宋体"/>
          <w:highlight w:val="none"/>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highlight w:val="none"/>
        </w:rPr>
        <w:t xml:space="preserve">1.时间：自招标文件公告发</w:t>
      </w:r>
      <w:bookmarkStart w:id="27" w:name="OLE_LINK26"/>
      <w:r>
        <w:rPr>
          <w:rFonts w:hint="eastAsia" w:ascii="宋体" w:hAnsi="宋体" w:cs="宋体"/>
          <w:sz w:val="24"/>
          <w:szCs w:val="24"/>
          <w:highlight w:val="none"/>
        </w:rPr>
        <w:t xml:space="preserve">布</w:t>
      </w:r>
      <w:bookmarkStart w:id="28" w:name="OLE_LINK28"/>
      <w:r>
        <w:rPr>
          <w:rFonts w:hint="eastAsia" w:ascii="宋体" w:hAnsi="宋体" w:cs="宋体"/>
          <w:sz w:val="24"/>
          <w:szCs w:val="24"/>
          <w:highlight w:val="none"/>
        </w:rPr>
        <w:t xml:space="preserve">之日起5个</w:t>
      </w:r>
      <w:bookmarkEnd w:id="27"/>
      <w:r>
        <w:rPr>
          <w:rFonts w:hint="eastAsia" w:ascii="宋体" w:hAnsi="宋体" w:cs="宋体"/>
          <w:sz w:val="24"/>
          <w:szCs w:val="24"/>
          <w:highlight w:val="none"/>
        </w:rPr>
        <w:t xml:space="preserve">工作日。</w:t>
      </w:r>
      <w:bookmarkEnd w:id="28"/>
      <w:r/>
    </w:p>
    <w:p>
      <w:pPr>
        <w:ind w:firstLine="540"/>
        <w:spacing w:line="360" w:lineRule="auto"/>
        <w:rPr>
          <w:rFonts w:hint="eastAsia" w:ascii="宋体" w:hAnsi="宋体" w:eastAsia="宋体" w:cs="宋体"/>
          <w:b/>
          <w:bCs/>
          <w:sz w:val="28"/>
          <w:szCs w:val="28"/>
          <w:highlight w:val="none"/>
        </w:rPr>
      </w:pPr>
      <w:r>
        <w:rPr>
          <w:rFonts w:hint="eastAsia" w:ascii="宋体" w:hAnsi="宋体" w:cs="宋体"/>
          <w:sz w:val="24"/>
          <w:szCs w:val="24"/>
          <w:highlight w:val="none"/>
        </w:rPr>
        <w:t xml:space="preserve">2.方式：</w:t>
      </w:r>
      <w:bookmarkStart w:id="29" w:name="OLE_LINK27"/>
      <w:r>
        <w:rPr>
          <w:rFonts w:hint="eastAsia" w:ascii="宋体" w:hAnsi="宋体" w:eastAsia="宋体" w:cs="宋体"/>
          <w:b/>
          <w:bCs/>
          <w:sz w:val="28"/>
          <w:szCs w:val="28"/>
          <w:highlight w:val="none"/>
          <w:lang w:val="en-US" w:eastAsia="zh-CN"/>
        </w:rPr>
        <w:t xml:space="preserve">凡有意参与投标的供应商须登录江苏省政府采购网首页点击“苏采云”→通过CA锁进行响应确认，并自行在招标文件有效获取期内及时下载获取。</w:t>
      </w:r>
      <w:bookmarkEnd w:id="29"/>
      <w:r/>
    </w:p>
    <w:p>
      <w:pPr>
        <w:pStyle w:val="946"/>
        <w:ind w:firstLine="498"/>
        <w:spacing w:before="145" w:after="145" w:line="360" w:lineRule="auto"/>
        <w:rPr>
          <w:rFonts w:ascii="宋体" w:hAnsi="宋体"/>
          <w:highlight w:val="none"/>
        </w:rPr>
      </w:pPr>
      <w:r>
        <w:rPr>
          <w:rFonts w:hint="eastAsia" w:ascii="宋体" w:hAnsi="宋体"/>
          <w:highlight w:val="none"/>
        </w:rPr>
        <w:t xml:space="preserve">四、提交投标文件</w:t>
      </w:r>
      <w:bookmarkEnd w:id="22"/>
      <w:r/>
      <w:bookmarkEnd w:id="23"/>
      <w:r>
        <w:rPr>
          <w:rFonts w:hint="eastAsia" w:ascii="宋体" w:hAnsi="宋体"/>
          <w:highlight w:val="none"/>
        </w:rPr>
        <w:t xml:space="preserve">截止时间、开标时间和地点</w:t>
      </w:r>
      <w:bookmarkEnd w:id="24"/>
      <w:r/>
      <w:bookmarkEnd w:id="25"/>
      <w:r/>
      <w:bookmarkEnd w:id="26"/>
      <w:r/>
      <w:r/>
    </w:p>
    <w:p>
      <w:pPr>
        <w:ind w:firstLine="480"/>
        <w:rPr>
          <w:rFonts w:ascii="宋体" w:hAnsi="宋体"/>
          <w:bCs/>
          <w:sz w:val="24"/>
          <w:szCs w:val="24"/>
          <w:highlight w:val="none"/>
          <w:u w:val="single"/>
        </w:rPr>
      </w:pPr>
      <w:r>
        <w:rPr>
          <w:rFonts w:hint="eastAsia" w:ascii="宋体" w:hAnsi="宋体"/>
          <w:bCs/>
          <w:sz w:val="24"/>
          <w:szCs w:val="24"/>
          <w:highlight w:val="none"/>
          <w:u w:val="none"/>
        </w:rPr>
        <w:t xml:space="preserve">1.</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2026</w:t>
      </w:r>
      <w:r>
        <w:rPr>
          <w:rFonts w:hint="eastAsia" w:ascii="宋体" w:hAnsi="宋体"/>
          <w:bCs/>
          <w:sz w:val="24"/>
          <w:szCs w:val="24"/>
          <w:highlight w:val="none"/>
          <w:u w:val="single"/>
        </w:rPr>
        <w:t xml:space="preserve">年8</w:t>
      </w:r>
      <w:r>
        <w:rPr>
          <w:rFonts w:hint="eastAsia" w:ascii="宋体" w:hAnsi="宋体"/>
          <w:bCs/>
          <w:sz w:val="24"/>
          <w:szCs w:val="24"/>
          <w:highlight w:val="none"/>
          <w:u w:val="single"/>
        </w:rPr>
        <w:t xml:space="preserve">月19</w:t>
      </w:r>
      <w:r>
        <w:rPr>
          <w:rFonts w:hint="eastAsia" w:ascii="宋体" w:hAnsi="宋体"/>
          <w:bCs/>
          <w:sz w:val="24"/>
          <w:szCs w:val="24"/>
          <w:highlight w:val="none"/>
          <w:u w:val="single"/>
        </w:rPr>
        <w:t xml:space="preserve">日10点00分</w:t>
      </w:r>
      <w:r>
        <w:rPr>
          <w:rFonts w:hint="eastAsia" w:ascii="宋体" w:hAnsi="宋体"/>
          <w:bCs/>
          <w:sz w:val="24"/>
          <w:szCs w:val="24"/>
          <w:highlight w:val="none"/>
        </w:rPr>
        <w:t xml:space="preserve">（北京时间）</w:t>
      </w:r>
      <w:r/>
    </w:p>
    <w:p>
      <w:pPr>
        <w:ind w:firstLine="480"/>
        <w:rPr>
          <w:rFonts w:hint="eastAsia"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p>
    <w:p>
      <w:pPr>
        <w:pStyle w:val="946"/>
        <w:ind w:firstLine="498"/>
        <w:spacing w:before="145" w:after="145" w:line="360" w:lineRule="auto"/>
        <w:rPr>
          <w:rFonts w:ascii="宋体" w:hAnsi="宋体"/>
          <w:highlight w:val="none"/>
        </w:rPr>
      </w:pPr>
      <w:r/>
      <w:bookmarkStart w:id="30" w:name="_Toc28359007"/>
      <w:r/>
      <w:bookmarkStart w:id="31" w:name="_Toc38985267"/>
      <w:r/>
      <w:bookmarkStart w:id="32" w:name="_Toc35393625"/>
      <w:r/>
      <w:bookmarkStart w:id="33" w:name="_Toc35393794"/>
      <w:r/>
      <w:bookmarkStart w:id="34" w:name="_Toc28359084"/>
      <w:r>
        <w:rPr>
          <w:rFonts w:hint="eastAsia" w:ascii="宋体" w:hAnsi="宋体"/>
          <w:highlight w:val="none"/>
        </w:rPr>
        <w:t xml:space="preserve">五、公告期限</w:t>
      </w:r>
      <w:bookmarkEnd w:id="30"/>
      <w:r/>
      <w:bookmarkEnd w:id="31"/>
      <w:r/>
      <w:bookmarkEnd w:id="32"/>
      <w:r/>
      <w:bookmarkEnd w:id="33"/>
      <w:r/>
      <w:bookmarkEnd w:id="34"/>
      <w:r/>
      <w:r/>
    </w:p>
    <w:p>
      <w:pPr>
        <w:ind w:firstLine="480"/>
        <w:rPr>
          <w:rFonts w:ascii="宋体" w:hAnsi="宋体" w:cs="宋体"/>
          <w:sz w:val="24"/>
          <w:szCs w:val="24"/>
          <w:highlight w:val="none"/>
        </w:rPr>
      </w:pPr>
      <w:r/>
      <w:bookmarkStart w:id="35" w:name="_Toc38985268"/>
      <w:r/>
      <w:bookmarkStart w:id="36" w:name="_Toc35393795"/>
      <w:r/>
      <w:bookmarkStart w:id="37" w:name="_Toc35393626"/>
      <w:r>
        <w:rPr>
          <w:rFonts w:hint="eastAsia" w:ascii="宋体" w:hAnsi="宋体" w:cs="宋体"/>
          <w:sz w:val="24"/>
          <w:szCs w:val="24"/>
          <w:highlight w:val="none"/>
        </w:rPr>
        <w:t xml:space="preserve">招标公告及招标文件公告期限为自本公告发布之日起5个工作日。</w:t>
      </w:r>
      <w:r/>
    </w:p>
    <w:p>
      <w:pPr>
        <w:pStyle w:val="946"/>
        <w:ind w:firstLine="498"/>
        <w:spacing w:before="145" w:after="145" w:line="360" w:lineRule="auto"/>
        <w:rPr>
          <w:rFonts w:hint="eastAsia" w:ascii="宋体" w:hAnsi="宋体"/>
          <w:highlight w:val="none"/>
        </w:rPr>
      </w:pPr>
      <w:r>
        <w:rPr>
          <w:rFonts w:hint="eastAsia" w:ascii="宋体" w:hAnsi="宋体"/>
          <w:highlight w:val="none"/>
        </w:rPr>
        <w:t xml:space="preserve">六、其他补充事宜</w:t>
      </w:r>
      <w:bookmarkEnd w:id="35"/>
      <w:r/>
      <w:bookmarkEnd w:id="36"/>
      <w:r/>
      <w:bookmarkEnd w:id="37"/>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投标保证金：免收</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项目演示、样品、答辩等：</w:t>
      </w:r>
      <w:r>
        <w:rPr>
          <w:rFonts w:hint="eastAsia" w:ascii="宋体" w:hAnsi="宋体" w:cs="宋体"/>
          <w:sz w:val="24"/>
          <w:szCs w:val="24"/>
          <w:highlight w:val="none"/>
        </w:rPr>
        <w:t xml:space="preserve">无</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系统操作过程中如遇问题，请致电“苏采云”客服0519-86722801。</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4.有关本次招标的事项若存在变动或修改，均以江苏政府采购网发布的更正或补充通知为准，敬请及时关注。</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6.“苏采云”系统使用相关提醒</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6.1根据省财政厅《关</w:t>
      </w:r>
      <w:r>
        <w:rPr>
          <w:rFonts w:hint="eastAsia" w:ascii="宋体" w:hAnsi="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00" w:lineRule="exact"/>
        <w:rPr>
          <w:rFonts w:hint="eastAsia" w:ascii="宋体" w:hAnsi="宋体" w:eastAsia="宋体"/>
          <w:bCs/>
          <w:sz w:val="24"/>
          <w:szCs w:val="24"/>
          <w:highlight w:val="none"/>
        </w:rPr>
      </w:pPr>
      <w:r>
        <w:rPr>
          <w:rFonts w:hint="eastAsia" w:ascii="宋体" w:hAnsi="宋体"/>
          <w:bCs/>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bCs/>
          <w:sz w:val="24"/>
          <w:szCs w:val="24"/>
          <w:highlight w:val="none"/>
        </w:rPr>
        <w:t xml:space="preserve">供应商也可前往“江苏政务服务网”（www.jszwfw.gov.cn），“一企来办”专栏下“政府采购”模块详细了解关于CA办理、标书制作、开标投标指引等事宜。</w:t>
      </w:r>
      <w:r/>
    </w:p>
    <w:p>
      <w:pPr>
        <w:ind w:firstLine="480"/>
        <w:spacing w:line="500" w:lineRule="exact"/>
        <w:rPr>
          <w:rFonts w:ascii="宋体" w:hAnsi="宋体"/>
          <w:bCs/>
          <w:sz w:val="24"/>
          <w:szCs w:val="24"/>
          <w:highlight w:val="none"/>
        </w:rPr>
      </w:pPr>
      <w:r>
        <w:rPr>
          <w:rFonts w:hint="eastAsia" w:ascii="宋体" w:hAnsi="宋体" w:eastAsia="宋体"/>
          <w:bCs/>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6.3开标当天投标供应商应及时登录“苏采云”不见面开标大厅，并在规定时间内自行实施远程解密。</w:t>
      </w:r>
      <w:bookmarkStart w:id="38" w:name="OLE_LINK29"/>
      <w:r>
        <w:rPr>
          <w:rFonts w:hint="eastAsia" w:ascii="宋体" w:hAnsi="宋体"/>
          <w:b/>
          <w:bCs w:val="0"/>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bookmarkEnd w:id="38"/>
      <w:r>
        <w:rPr>
          <w:rFonts w:hint="eastAsia" w:ascii="宋体" w:hAnsi="宋体"/>
          <w:bCs/>
          <w:sz w:val="24"/>
          <w:szCs w:val="24"/>
          <w:highlight w:val="none"/>
        </w:rPr>
        <w:t xml:space="preserve">因采购人原因或网上招投标平台发生故障，导致无法按时完成响应文件解密或开、评标工作无法进行的，可根据实际情况相应延迟解密时间或调整开、评标时间。</w:t>
      </w:r>
      <w:r/>
    </w:p>
    <w:p>
      <w:pPr>
        <w:pStyle w:val="993"/>
        <w:rPr>
          <w:rFonts w:eastAsia="宋体"/>
          <w:highlight w:val="none"/>
          <w:lang w:val="en-US" w:eastAsia="zh-CN"/>
        </w:rPr>
      </w:pPr>
      <w:r>
        <w:rPr>
          <w:rFonts w:hint="eastAsia"/>
          <w:highlight w:val="none"/>
          <w:lang w:val="en-US" w:eastAsia="zh-CN"/>
        </w:rPr>
        <w:t xml:space="preserve">         </w:t>
      </w:r>
      <w:r/>
    </w:p>
    <w:p>
      <w:pPr>
        <w:pStyle w:val="946"/>
        <w:ind w:firstLine="498"/>
        <w:spacing w:before="145" w:after="145" w:line="360" w:lineRule="auto"/>
        <w:rPr>
          <w:rFonts w:ascii="宋体" w:hAnsi="宋体"/>
          <w:highlight w:val="none"/>
        </w:rPr>
      </w:pPr>
      <w:r/>
      <w:bookmarkStart w:id="39" w:name="_Toc35393796"/>
      <w:r/>
      <w:bookmarkStart w:id="40" w:name="_Toc28359085"/>
      <w:r/>
      <w:bookmarkStart w:id="41" w:name="_Toc35393627"/>
      <w:r/>
      <w:bookmarkStart w:id="42" w:name="_Toc28359008"/>
      <w:r/>
      <w:bookmarkStart w:id="43" w:name="_Toc38985269"/>
      <w:r>
        <w:rPr>
          <w:rFonts w:hint="eastAsia" w:ascii="宋体" w:hAnsi="宋体"/>
          <w:highlight w:val="none"/>
        </w:rPr>
        <w:t xml:space="preserve">七、本次招标联系方式</w:t>
      </w:r>
      <w:bookmarkEnd w:id="39"/>
      <w:r/>
      <w:bookmarkEnd w:id="40"/>
      <w:r/>
      <w:bookmarkEnd w:id="41"/>
      <w:r/>
      <w:bookmarkEnd w:id="42"/>
      <w:r/>
      <w:bookmarkEnd w:id="43"/>
      <w:r/>
      <w:r/>
    </w:p>
    <w:p>
      <w:pPr>
        <w:jc w:val="left"/>
        <w:widowControl/>
        <w:rPr>
          <w:rFonts w:ascii="宋体" w:hAnsi="宋体"/>
          <w:sz w:val="24"/>
          <w:szCs w:val="24"/>
          <w:highlight w:val="none"/>
        </w:rPr>
      </w:pPr>
      <w:r>
        <w:rPr>
          <w:rFonts w:hint="eastAsia" w:ascii="宋体" w:hAnsi="宋体" w:cs="宋体"/>
          <w:sz w:val="28"/>
          <w:szCs w:val="28"/>
          <w:highlight w:val="none"/>
        </w:rPr>
        <w:t xml:space="preserve">　　　</w:t>
      </w:r>
      <w:r>
        <w:rPr>
          <w:rFonts w:hint="eastAsia" w:ascii="宋体" w:hAnsi="宋体" w:cs="宋体"/>
          <w:sz w:val="24"/>
          <w:szCs w:val="24"/>
          <w:highlight w:val="none"/>
        </w:rPr>
        <w:t xml:space="preserve">1.采购人信息</w:t>
      </w:r>
      <w:r/>
    </w:p>
    <w:p>
      <w:pPr>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 南通市口腔医院 </w:t>
      </w:r>
      <w:r/>
    </w:p>
    <w:p>
      <w:pPr>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地</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址：</w:t>
      </w:r>
      <w:r>
        <w:rPr>
          <w:rFonts w:hint="eastAsia" w:ascii="宋体" w:hAnsi="宋体"/>
          <w:sz w:val="24"/>
          <w:szCs w:val="24"/>
          <w:highlight w:val="none"/>
          <w:u w:val="single"/>
          <w:lang w:val="en-US" w:eastAsia="zh-CN"/>
        </w:rPr>
        <w:t xml:space="preserve">江苏省南通市崇川区跃龙南路36号</w:t>
      </w:r>
      <w:r/>
    </w:p>
    <w:p>
      <w:pPr>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 沈老师 </w:t>
      </w:r>
      <w:r/>
    </w:p>
    <w:p>
      <w:pPr>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联系方式：</w:t>
      </w:r>
      <w:bookmarkStart w:id="44" w:name="_Toc28359086"/>
      <w:r/>
      <w:bookmarkStart w:id="45" w:name="_Toc28359009"/>
      <w:r>
        <w:rPr>
          <w:rFonts w:hint="eastAsia" w:ascii="宋体" w:hAnsi="宋体" w:cs="宋体"/>
          <w:sz w:val="24"/>
          <w:highlight w:val="none"/>
          <w:u w:val="single"/>
          <w:lang w:val="en-US" w:eastAsia="zh-CN"/>
        </w:rPr>
        <w:t xml:space="preserve">0513-89898889</w:t>
      </w:r>
      <w:r/>
    </w:p>
    <w:p>
      <w:pPr>
        <w:numPr>
          <w:ilvl w:val="0"/>
          <w:numId w:val="5"/>
        </w:numPr>
        <w:ind w:left="1079" w:hanging="30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南通市政府采购中心信息</w:t>
      </w:r>
      <w:bookmarkEnd w:id="44"/>
      <w:r/>
      <w:bookmarkEnd w:id="45"/>
      <w:r/>
      <w:r/>
    </w:p>
    <w:p>
      <w:pPr>
        <w:numPr>
          <w:ilvl w:val="0"/>
          <w:numId w:val="0"/>
        </w:numPr>
        <w:ind w:firstLine="240"/>
        <w:jc w:val="left"/>
        <w:spacing w:line="360" w:lineRule="auto"/>
        <w:rPr>
          <w:rFonts w:ascii="宋体" w:hAnsi="宋体" w:eastAsia="宋体" w:cs="Times New Roman"/>
          <w:sz w:val="24"/>
          <w:szCs w:val="24"/>
          <w:highlight w:val="none"/>
          <w:u w:val="single"/>
          <w:lang w:val="en-US" w:eastAsia="zh-CN"/>
        </w:rPr>
      </w:pPr>
      <w:r>
        <w:rPr>
          <w:rFonts w:hint="eastAsia" w:ascii="宋体" w:hAnsi="宋体"/>
          <w:sz w:val="24"/>
          <w:szCs w:val="24"/>
          <w:highlight w:val="none"/>
        </w:rPr>
        <w:t xml:space="preserve">地　址：</w:t>
      </w:r>
      <w:r>
        <w:rPr>
          <w:rFonts w:hint="eastAsia" w:ascii="宋体" w:hAnsi="宋体" w:eastAsia="宋体" w:cs="Times New Roman"/>
          <w:sz w:val="24"/>
          <w:szCs w:val="24"/>
          <w:highlight w:val="none"/>
          <w:u w:val="single"/>
        </w:rPr>
        <w:t xml:space="preserve">南通市</w:t>
      </w:r>
      <w:bookmarkStart w:id="46" w:name="OLE_LINK30"/>
      <w:r>
        <w:rPr>
          <w:rFonts w:hint="eastAsia" w:ascii="宋体" w:hAnsi="宋体" w:eastAsia="宋体" w:cs="Times New Roman"/>
          <w:sz w:val="24"/>
          <w:szCs w:val="24"/>
          <w:highlight w:val="none"/>
          <w:u w:val="single"/>
        </w:rPr>
        <w:t xml:space="preserve">崇川区</w:t>
      </w:r>
      <w:r>
        <w:rPr>
          <w:rFonts w:hint="eastAsia" w:ascii="宋体" w:hAnsi="宋体" w:eastAsia="宋体" w:cs="Times New Roman"/>
          <w:sz w:val="24"/>
          <w:szCs w:val="24"/>
          <w:highlight w:val="none"/>
          <w:u w:val="single"/>
          <w:lang w:val="en-US" w:eastAsia="zh-CN"/>
        </w:rPr>
        <w:t xml:space="preserve">青年中路128号</w:t>
      </w:r>
      <w:bookmarkEnd w:id="46"/>
      <w:r/>
      <w:r/>
    </w:p>
    <w:p>
      <w:pPr>
        <w:ind w:left="1079" w:hanging="300"/>
        <w:jc w:val="left"/>
        <w:spacing w:line="360" w:lineRule="auto"/>
        <w:rPr>
          <w:rFonts w:hint="eastAsia" w:ascii="宋体" w:hAnsi="宋体"/>
          <w:sz w:val="24"/>
          <w:szCs w:val="24"/>
          <w:highlight w:val="none"/>
          <w:u w:val="single"/>
          <w:lang w:val="en-US" w:eastAsia="zh-CN"/>
        </w:rPr>
      </w:pPr>
      <w:r/>
      <w:bookmarkStart w:id="47" w:name="_Toc28359010"/>
      <w:r/>
      <w:bookmarkStart w:id="48" w:name="_Toc28359087"/>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 朱工 </w:t>
      </w:r>
      <w:r/>
    </w:p>
    <w:p>
      <w:pPr>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0513-81069836 </w:t>
      </w:r>
      <w:r/>
    </w:p>
    <w:p>
      <w:pPr>
        <w:ind w:left="1079" w:hanging="30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3.软件技术支持：13063936179、0519-86722801、</w:t>
      </w:r>
      <w:r>
        <w:rPr>
          <w:rFonts w:ascii="宋体" w:hAnsi="宋体" w:eastAsia="宋体" w:cs="宋体"/>
          <w:sz w:val="24"/>
          <w:szCs w:val="24"/>
          <w:highlight w:val="none"/>
        </w:rPr>
        <w:t xml:space="preserve">0513-59001950</w:t>
      </w:r>
      <w:bookmarkEnd w:id="47"/>
      <w:bookmarkEnd w:id="48"/>
      <w:r/>
    </w:p>
    <w:p>
      <w:pPr>
        <w:ind w:firstLine="480"/>
        <w:spacing w:line="560" w:lineRule="exact"/>
        <w:rPr>
          <w:rFonts w:hint="eastAsia" w:ascii="宋体" w:hAnsi="宋体"/>
          <w:sz w:val="24"/>
          <w:highlight w:val="none"/>
        </w:rPr>
      </w:pPr>
      <w:r>
        <w:rPr>
          <w:rFonts w:hint="eastAsia" w:ascii="宋体" w:hAnsi="宋体"/>
          <w:sz w:val="24"/>
          <w:highlight w:val="none"/>
        </w:rPr>
      </w:r>
      <w:r/>
    </w:p>
    <w:p>
      <w:pPr>
        <w:pStyle w:val="945"/>
        <w:jc w:val="center"/>
        <w:rPr>
          <w:rFonts w:hint="eastAsia" w:ascii="宋体" w:hAnsi="宋体" w:eastAsia="宋体"/>
          <w:b w:val="0"/>
          <w:bCs w:val="0"/>
          <w:highlight w:val="none"/>
        </w:rPr>
      </w:pPr>
      <w:r/>
      <w:bookmarkStart w:id="49" w:name="_Toc120614211"/>
      <w:r/>
      <w:bookmarkStart w:id="226" w:name="_GoBack"/>
      <w:r/>
      <w:bookmarkEnd w:id="226"/>
      <w:r>
        <w:rPr>
          <w:rFonts w:hint="eastAsia" w:ascii="宋体" w:hAnsi="宋体" w:eastAsia="宋体"/>
          <w:highlight w:val="none"/>
        </w:rPr>
        <w:t xml:space="preserve">第二章  </w:t>
      </w:r>
      <w:bookmarkEnd w:id="1"/>
      <w:r/>
      <w:bookmarkEnd w:id="2"/>
      <w:r/>
      <w:bookmarkEnd w:id="3"/>
      <w:r/>
      <w:bookmarkEnd w:id="4"/>
      <w:r/>
      <w:bookmarkEnd w:id="5"/>
      <w:r/>
      <w:bookmarkEnd w:id="49"/>
      <w:r/>
      <w:bookmarkStart w:id="50" w:name="_Toc16938518"/>
      <w:r/>
      <w:bookmarkStart w:id="51" w:name="_Toc120614213"/>
      <w:r/>
      <w:bookmarkStart w:id="52" w:name="_Toc513029202"/>
      <w:r/>
      <w:bookmarkStart w:id="53" w:name="_Toc20823274"/>
      <w:r>
        <w:rPr>
          <w:rFonts w:hint="eastAsia" w:ascii="宋体" w:hAnsi="宋体" w:eastAsia="宋体"/>
          <w:highlight w:val="none"/>
        </w:rPr>
        <w:t xml:space="preserve">投标人须知</w:t>
      </w:r>
      <w:bookmarkEnd w:id="50"/>
      <w:r/>
      <w:bookmarkEnd w:id="51"/>
      <w:r/>
      <w:bookmarkEnd w:id="52"/>
      <w:r/>
      <w:bookmarkEnd w:id="53"/>
      <w:r/>
      <w:r/>
    </w:p>
    <w:p>
      <w:pPr>
        <w:pStyle w:val="946"/>
        <w:ind w:firstLine="498"/>
        <w:spacing w:before="145" w:after="145" w:line="360" w:lineRule="auto"/>
        <w:rPr>
          <w:rFonts w:hint="eastAsia" w:ascii="宋体" w:hAnsi="宋体"/>
          <w:highlight w:val="none"/>
        </w:rPr>
      </w:pPr>
      <w:r/>
      <w:bookmarkStart w:id="54" w:name="_Toc513029203"/>
      <w:r/>
      <w:bookmarkStart w:id="55" w:name="_Toc20823275"/>
      <w:r/>
      <w:bookmarkStart w:id="56" w:name="_Toc16938519"/>
      <w:r/>
      <w:bookmarkStart w:id="57" w:name="_Toc120614214"/>
      <w:r>
        <w:rPr>
          <w:rFonts w:hint="eastAsia" w:ascii="宋体" w:hAnsi="宋体"/>
          <w:highlight w:val="none"/>
        </w:rPr>
        <w:t xml:space="preserve">一、总则</w:t>
      </w:r>
      <w:bookmarkEnd w:id="54"/>
      <w:r/>
      <w:bookmarkEnd w:id="55"/>
      <w:r/>
      <w:bookmarkEnd w:id="56"/>
      <w:r/>
      <w:bookmarkEnd w:id="57"/>
      <w:r/>
      <w:r/>
    </w:p>
    <w:p>
      <w:pPr>
        <w:pStyle w:val="947"/>
        <w:ind w:firstLine="420"/>
        <w:spacing w:before="0" w:after="0" w:line="240" w:lineRule="auto"/>
        <w:rPr>
          <w:rFonts w:hint="eastAsia" w:ascii="宋体" w:hAnsi="宋体" w:eastAsia="宋体"/>
          <w:b w:val="0"/>
          <w:bCs w:val="0"/>
          <w:highlight w:val="none"/>
        </w:rPr>
      </w:pPr>
      <w:r/>
      <w:bookmarkStart w:id="58" w:name="_Hlt16619475"/>
      <w:r/>
      <w:bookmarkEnd w:id="58"/>
      <w:r/>
      <w:bookmarkStart w:id="59" w:name="_Toc458694821"/>
      <w:r/>
      <w:bookmarkStart w:id="60" w:name="_Toc513029204"/>
      <w:r/>
      <w:bookmarkStart w:id="61" w:name="_Toc20823276"/>
      <w:r/>
      <w:bookmarkStart w:id="62" w:name="_Toc16938520"/>
      <w:r>
        <w:rPr>
          <w:rFonts w:hint="eastAsia" w:ascii="宋体" w:hAnsi="宋体" w:eastAsia="宋体"/>
          <w:b w:val="0"/>
          <w:bCs w:val="0"/>
          <w:highlight w:val="none"/>
        </w:rPr>
        <w:t xml:space="preserve">1</w:t>
      </w:r>
      <w:bookmarkEnd w:id="59"/>
      <w:r>
        <w:rPr>
          <w:rFonts w:hint="eastAsia" w:ascii="宋体" w:hAnsi="宋体" w:eastAsia="宋体"/>
          <w:b w:val="0"/>
          <w:bCs w:val="0"/>
          <w:highlight w:val="none"/>
        </w:rPr>
        <w:t xml:space="preserve">、招标方式</w:t>
      </w:r>
      <w:bookmarkEnd w:id="60"/>
      <w:r/>
      <w:bookmarkEnd w:id="61"/>
      <w:r/>
      <w:bookmarkEnd w:id="62"/>
      <w:r/>
      <w:r/>
    </w:p>
    <w:p>
      <w:pPr>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947"/>
        <w:ind w:firstLine="420"/>
        <w:spacing w:before="0" w:after="0" w:line="240" w:lineRule="auto"/>
        <w:rPr>
          <w:rFonts w:hint="eastAsia" w:ascii="宋体" w:hAnsi="宋体" w:eastAsia="宋体"/>
          <w:b w:val="0"/>
          <w:bCs w:val="0"/>
          <w:highlight w:val="none"/>
        </w:rPr>
      </w:pPr>
      <w:r/>
      <w:bookmarkStart w:id="63" w:name="_Toc16938521"/>
      <w:r/>
      <w:bookmarkStart w:id="64" w:name="_Toc513029205"/>
      <w:r/>
      <w:bookmarkStart w:id="65" w:name="_Toc20823277"/>
      <w:r>
        <w:rPr>
          <w:rFonts w:hint="eastAsia" w:ascii="宋体" w:hAnsi="宋体" w:eastAsia="宋体"/>
          <w:b w:val="0"/>
          <w:bCs w:val="0"/>
          <w:highlight w:val="none"/>
        </w:rPr>
        <w:t xml:space="preserve">2、合格的投标人</w:t>
      </w:r>
      <w:bookmarkEnd w:id="63"/>
      <w:r/>
      <w:bookmarkEnd w:id="64"/>
      <w:r/>
      <w:bookmarkEnd w:id="65"/>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p>
    <w:p>
      <w:pPr>
        <w:pStyle w:val="947"/>
        <w:ind w:firstLine="420"/>
        <w:spacing w:before="0" w:after="0" w:line="240" w:lineRule="auto"/>
        <w:rPr>
          <w:rFonts w:hint="eastAsia" w:ascii="宋体" w:hAnsi="宋体" w:eastAsia="宋体"/>
          <w:b w:val="0"/>
          <w:bCs w:val="0"/>
          <w:highlight w:val="none"/>
        </w:rPr>
      </w:pPr>
      <w:r/>
      <w:bookmarkStart w:id="66" w:name="_Toc513029206"/>
      <w:r/>
      <w:bookmarkStart w:id="67" w:name="_Toc16938522"/>
      <w:r/>
      <w:bookmarkStart w:id="68" w:name="_Toc20823278"/>
      <w:r>
        <w:rPr>
          <w:rFonts w:hint="eastAsia" w:ascii="宋体" w:hAnsi="宋体" w:eastAsia="宋体"/>
          <w:b w:val="0"/>
          <w:bCs w:val="0"/>
          <w:highlight w:val="none"/>
        </w:rPr>
        <w:t xml:space="preserve">3、适用法律</w:t>
      </w:r>
      <w:bookmarkEnd w:id="66"/>
      <w:r/>
      <w:bookmarkEnd w:id="67"/>
      <w:r/>
      <w:bookmarkEnd w:id="68"/>
      <w:r/>
      <w:r/>
    </w:p>
    <w:p>
      <w:pPr>
        <w:ind w:firstLine="420"/>
        <w:spacing w:line="400" w:lineRule="exact"/>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3.2 在本项目政府采购活动过程中，如果所执行的标准有更新的，按照最新标准执行。</w:t>
      </w:r>
      <w:r/>
    </w:p>
    <w:p>
      <w:pPr>
        <w:pStyle w:val="947"/>
        <w:ind w:firstLine="420"/>
        <w:spacing w:before="0" w:after="0" w:line="240" w:lineRule="auto"/>
        <w:rPr>
          <w:rFonts w:hint="eastAsia" w:ascii="宋体" w:hAnsi="宋体" w:eastAsia="宋体"/>
          <w:b w:val="0"/>
          <w:bCs w:val="0"/>
          <w:highlight w:val="none"/>
        </w:rPr>
      </w:pPr>
      <w:r/>
      <w:bookmarkStart w:id="69" w:name="_Toc462564067"/>
      <w:r/>
      <w:bookmarkStart w:id="70" w:name="_Toc16938523"/>
      <w:r/>
      <w:bookmarkStart w:id="71" w:name="_Toc513029207"/>
      <w:r/>
      <w:bookmarkStart w:id="72" w:name="_Toc20823279"/>
      <w:r>
        <w:rPr>
          <w:rFonts w:hint="eastAsia" w:ascii="宋体" w:hAnsi="宋体" w:eastAsia="宋体"/>
          <w:b w:val="0"/>
          <w:bCs w:val="0"/>
          <w:highlight w:val="none"/>
        </w:rPr>
        <w:t xml:space="preserve">4、投标费用</w:t>
      </w:r>
      <w:bookmarkEnd w:id="69"/>
      <w:r/>
      <w:bookmarkEnd w:id="70"/>
      <w:r/>
      <w:bookmarkEnd w:id="71"/>
      <w:r/>
      <w:bookmarkEnd w:id="72"/>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p>
    <w:p>
      <w:pPr>
        <w:ind w:firstLine="480"/>
        <w:spacing w:line="5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p>
    <w:p>
      <w:pPr>
        <w:pStyle w:val="947"/>
        <w:ind w:firstLine="420"/>
        <w:spacing w:before="0" w:after="0" w:line="240" w:lineRule="auto"/>
        <w:rPr>
          <w:rFonts w:hint="eastAsia" w:ascii="宋体" w:hAnsi="宋体" w:eastAsia="宋体" w:cs="Times New Roman"/>
          <w:b w:val="0"/>
          <w:bCs w:val="0"/>
          <w:highlight w:val="none"/>
        </w:rPr>
      </w:pPr>
      <w:r>
        <w:rPr>
          <w:rFonts w:hint="eastAsia" w:ascii="宋体" w:hAnsi="宋体" w:eastAsia="宋体" w:cs="Times New Roman"/>
          <w:b w:val="0"/>
          <w:bCs w:val="0"/>
          <w:highlight w:val="none"/>
        </w:rPr>
        <w:t xml:space="preserve">5、招标文件的约束力</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p>
    <w:p>
      <w:pPr>
        <w:pStyle w:val="946"/>
        <w:ind w:firstLine="321"/>
        <w:spacing w:before="145" w:after="145" w:line="360" w:lineRule="auto"/>
        <w:rPr>
          <w:rFonts w:hint="eastAsia" w:ascii="宋体" w:hAnsi="宋体"/>
          <w:highlight w:val="none"/>
        </w:rPr>
      </w:pPr>
      <w:r/>
      <w:bookmarkStart w:id="73" w:name="_Toc20823281"/>
      <w:r/>
      <w:bookmarkStart w:id="74" w:name="_Toc513029209"/>
      <w:r/>
      <w:bookmarkStart w:id="75" w:name="_Toc16938525"/>
      <w:r/>
      <w:bookmarkStart w:id="76" w:name="_Toc120614215"/>
      <w:r>
        <w:rPr>
          <w:rFonts w:hint="eastAsia" w:ascii="宋体" w:hAnsi="宋体"/>
          <w:highlight w:val="none"/>
        </w:rPr>
        <w:t xml:space="preserve">二、招标文件</w:t>
      </w:r>
      <w:bookmarkEnd w:id="73"/>
      <w:r/>
      <w:bookmarkEnd w:id="74"/>
      <w:r/>
      <w:bookmarkEnd w:id="75"/>
      <w:r/>
      <w:bookmarkEnd w:id="76"/>
      <w:r/>
      <w:r/>
    </w:p>
    <w:p>
      <w:pPr>
        <w:pStyle w:val="947"/>
        <w:ind w:firstLine="420"/>
        <w:spacing w:before="0" w:after="0" w:line="240" w:lineRule="auto"/>
        <w:rPr>
          <w:rFonts w:hint="eastAsia" w:ascii="宋体" w:hAnsi="宋体" w:eastAsia="宋体"/>
          <w:b w:val="0"/>
          <w:bCs w:val="0"/>
          <w:highlight w:val="none"/>
        </w:rPr>
      </w:pPr>
      <w:r/>
      <w:bookmarkStart w:id="77" w:name="_Toc513029210"/>
      <w:r/>
      <w:bookmarkStart w:id="78" w:name="_Toc16938526"/>
      <w:r/>
      <w:bookmarkStart w:id="79" w:name="_Toc20823282"/>
      <w:r>
        <w:rPr>
          <w:rFonts w:hint="eastAsia" w:ascii="宋体" w:hAnsi="宋体" w:eastAsia="宋体"/>
          <w:b w:val="0"/>
          <w:bCs w:val="0"/>
          <w:highlight w:val="none"/>
        </w:rPr>
        <w:t xml:space="preserve">6、招标文件构成</w:t>
      </w:r>
      <w:bookmarkEnd w:id="77"/>
      <w:r/>
      <w:bookmarkEnd w:id="78"/>
      <w:r/>
      <w:bookmarkEnd w:id="79"/>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w:t>
      </w:r>
      <w:bookmarkStart w:id="80" w:name="OLE_LINK31"/>
      <w:r>
        <w:rPr>
          <w:rFonts w:hint="eastAsia" w:ascii="宋体" w:hAnsi="宋体"/>
          <w:sz w:val="24"/>
          <w:highlight w:val="none"/>
        </w:rPr>
        <w:t xml:space="preserve">招标文件由以下部分组成：</w:t>
      </w:r>
      <w:bookmarkEnd w:id="80"/>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（1）投标邀请</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（2）投标人须知</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（3）合同文本</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（4）采购需求</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（5）评标方法与评标标准</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（6）投标文件格式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7"/>
        <w:ind w:firstLine="560"/>
        <w:spacing w:before="0" w:after="0" w:line="240" w:lineRule="auto"/>
        <w:rPr>
          <w:rFonts w:hint="eastAsia" w:ascii="宋体" w:hAnsi="宋体" w:eastAsia="宋体"/>
          <w:b w:val="0"/>
          <w:bCs w:val="0"/>
          <w:highlight w:val="none"/>
        </w:rPr>
      </w:pPr>
      <w:r/>
      <w:bookmarkStart w:id="81" w:name="_Toc20823284"/>
      <w:r/>
      <w:bookmarkStart w:id="82" w:name="_Toc16938528"/>
      <w:r/>
      <w:bookmarkStart w:id="83" w:name="_Toc513029212"/>
      <w:r/>
      <w:bookmarkStart w:id="84" w:name="_Toc462564071"/>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、招标文件的修改</w:t>
      </w:r>
      <w:bookmarkEnd w:id="81"/>
      <w:r/>
      <w:bookmarkEnd w:id="82"/>
      <w:r/>
      <w:bookmarkEnd w:id="83"/>
      <w:r/>
      <w:bookmarkEnd w:id="84"/>
      <w:r/>
      <w:r/>
    </w:p>
    <w:p>
      <w:pPr>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.1</w:t>
      </w:r>
      <w:r>
        <w:rPr>
          <w:rFonts w:hint="eastAsia" w:ascii="宋体" w:hAnsi="宋体"/>
          <w:sz w:val="24"/>
          <w:highlight w:val="none"/>
        </w:rPr>
        <w:t xml:space="preserve"> 在投标截止时间前，采购中心可以对招标文件进行修改。</w:t>
      </w:r>
      <w:r/>
    </w:p>
    <w:p>
      <w:pPr>
        <w:ind w:firstLine="480"/>
        <w:spacing w:line="500" w:lineRule="exact"/>
        <w:rPr>
          <w:rFonts w:hint="eastAsia" w:ascii="宋体" w:hAnsi="宋体"/>
          <w:sz w:val="28"/>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p>
    <w:p>
      <w:pPr>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p>
    <w:p>
      <w:pPr>
        <w:pStyle w:val="946"/>
        <w:ind w:firstLine="482"/>
        <w:spacing w:before="145" w:after="145" w:line="360" w:lineRule="auto"/>
        <w:rPr>
          <w:rFonts w:hint="eastAsia" w:ascii="宋体" w:hAnsi="宋体"/>
          <w:highlight w:val="none"/>
        </w:rPr>
      </w:pPr>
      <w:r/>
      <w:bookmarkStart w:id="85" w:name="_Toc462564072"/>
      <w:r/>
      <w:bookmarkStart w:id="86" w:name="_Toc513029213"/>
      <w:r/>
      <w:bookmarkStart w:id="87" w:name="_Toc20823285"/>
      <w:r/>
      <w:bookmarkStart w:id="88" w:name="_Toc16938529"/>
      <w:r/>
      <w:bookmarkStart w:id="89" w:name="_Toc120614216"/>
      <w:r>
        <w:rPr>
          <w:rFonts w:hint="eastAsia" w:ascii="宋体" w:hAnsi="宋体"/>
          <w:highlight w:val="none"/>
        </w:rPr>
        <w:t xml:space="preserve">三、投标文件的编制</w:t>
      </w:r>
      <w:bookmarkEnd w:id="85"/>
      <w:r/>
      <w:bookmarkEnd w:id="86"/>
      <w:r/>
      <w:bookmarkEnd w:id="87"/>
      <w:r/>
      <w:bookmarkEnd w:id="88"/>
      <w:r/>
      <w:bookmarkEnd w:id="89"/>
      <w:r/>
      <w:r/>
    </w:p>
    <w:p>
      <w:pPr>
        <w:pStyle w:val="947"/>
        <w:ind w:firstLine="560"/>
        <w:spacing w:before="0" w:after="0" w:line="240" w:lineRule="auto"/>
        <w:rPr>
          <w:rFonts w:hint="eastAsia" w:ascii="宋体" w:hAnsi="宋体" w:eastAsia="宋体"/>
          <w:bCs w:val="0"/>
          <w:highlight w:val="none"/>
        </w:rPr>
      </w:pPr>
      <w:r/>
      <w:bookmarkStart w:id="90" w:name="_Toc16938530"/>
      <w:r/>
      <w:bookmarkStart w:id="91" w:name="_Toc513029214"/>
      <w:r/>
      <w:bookmarkStart w:id="92" w:name="_Toc20823286"/>
      <w:r/>
      <w:bookmarkStart w:id="93" w:name="_Toc462564073"/>
      <w:r>
        <w:rPr>
          <w:rFonts w:hint="eastAsia" w:ascii="宋体" w:hAnsi="宋体" w:eastAsia="宋体"/>
          <w:b w:val="0"/>
          <w:bCs w:val="0"/>
          <w:highlight w:val="none"/>
          <w:lang w:val="en-US" w:eastAsia="zh-CN"/>
        </w:rPr>
        <w:t xml:space="preserve">8</w:t>
      </w:r>
      <w:r>
        <w:rPr>
          <w:rFonts w:hint="eastAsia" w:ascii="宋体" w:hAnsi="宋体" w:eastAsia="宋体"/>
          <w:b w:val="0"/>
          <w:bCs w:val="0"/>
          <w:highlight w:val="none"/>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除技术性能另有规定外，投标文件所使用的度量衡单位，均须采用国家法定计量单位。</w:t>
      </w:r>
      <w:r/>
    </w:p>
    <w:p>
      <w:pPr>
        <w:pStyle w:val="947"/>
        <w:ind w:firstLine="420"/>
        <w:spacing w:before="0" w:after="0" w:line="240" w:lineRule="auto"/>
        <w:rPr>
          <w:rFonts w:hint="eastAsia" w:ascii="宋体" w:hAnsi="宋体" w:eastAsia="宋体"/>
          <w:b w:val="0"/>
          <w:bCs w:val="0"/>
          <w:highlight w:val="none"/>
        </w:rPr>
      </w:pPr>
      <w:r/>
      <w:bookmarkStart w:id="94" w:name="_Hlt26668975"/>
      <w:r/>
      <w:bookmarkEnd w:id="94"/>
      <w:r/>
      <w:bookmarkStart w:id="95" w:name="_Hlt26954838"/>
      <w:r/>
      <w:bookmarkEnd w:id="95"/>
      <w:r/>
      <w:bookmarkStart w:id="96" w:name="_Hlt26670360"/>
      <w:r/>
      <w:bookmarkEnd w:id="96"/>
      <w:r/>
      <w:bookmarkStart w:id="97" w:name="_Toc513029215"/>
      <w:r/>
      <w:bookmarkStart w:id="98" w:name="_Toc462564074"/>
      <w:r/>
      <w:bookmarkStart w:id="99" w:name="_Toc20823287"/>
      <w:r/>
      <w:bookmarkStart w:id="100" w:name="_Toc16938531"/>
      <w:r/>
      <w:bookmarkStart w:id="101" w:name="_Toc14577354"/>
      <w:r/>
      <w:bookmarkStart w:id="102" w:name="_Toc513029216"/>
      <w:r/>
      <w:bookmarkStart w:id="103" w:name="_Toc14577357"/>
      <w:r/>
      <w:bookmarkStart w:id="104" w:name="_Toc513029219"/>
      <w:r/>
      <w:bookmarkStart w:id="105" w:name="_Toc49090509"/>
      <w:r/>
      <w:bookmarkStart w:id="106" w:name="_Toc49090507"/>
      <w:r>
        <w:rPr>
          <w:rFonts w:hint="eastAsia" w:ascii="宋体" w:hAnsi="宋体" w:eastAsia="宋体"/>
          <w:b w:val="0"/>
          <w:bCs w:val="0"/>
          <w:highlight w:val="none"/>
          <w:lang w:val="en-US" w:eastAsia="zh-CN"/>
        </w:rPr>
        <w:t xml:space="preserve">9</w:t>
      </w:r>
      <w:r>
        <w:rPr>
          <w:rFonts w:hint="eastAsia" w:ascii="宋体" w:hAnsi="宋体" w:eastAsia="宋体"/>
          <w:b w:val="0"/>
          <w:bCs w:val="0"/>
          <w:highlight w:val="none"/>
        </w:rPr>
        <w:t xml:space="preserve">、投标文件构成</w:t>
      </w:r>
      <w:bookmarkEnd w:id="97"/>
      <w:r/>
      <w:bookmarkEnd w:id="98"/>
      <w:r/>
      <w:bookmarkEnd w:id="99"/>
      <w:r/>
      <w:bookmarkEnd w:id="100"/>
      <w:r/>
      <w:r/>
    </w:p>
    <w:p>
      <w:pPr>
        <w:ind w:firstLine="480"/>
        <w:spacing w:line="440" w:lineRule="exact"/>
        <w:rPr>
          <w:rFonts w:hint="eastAsia" w:ascii="宋体" w:hAnsi="宋体" w:eastAsia="宋体" w:cs="Times New Roman"/>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投标人编写的投标文件应包括资格证明文</w:t>
      </w:r>
      <w:r>
        <w:rPr>
          <w:rFonts w:hint="eastAsia" w:ascii="宋体" w:hAnsi="宋体" w:eastAsia="宋体" w:cs="Times New Roman"/>
          <w:sz w:val="24"/>
          <w:highlight w:val="none"/>
        </w:rPr>
        <w:t xml:space="preserve">件、实质性要求响应及偏离表、投标分项报价表、技术要求响应及偏离表、商务要求响应及偏离表、其他证明文件、投标函、开标一览表等部分。</w:t>
      </w:r>
      <w:r/>
    </w:p>
    <w:p>
      <w:pPr>
        <w:ind w:firstLine="480"/>
        <w:spacing w:line="440" w:lineRule="exact"/>
        <w:rPr>
          <w:rFonts w:hint="eastAsia"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bookmarkEnd w:id="101"/>
      <w:bookmarkEnd w:id="102"/>
      <w:bookmarkEnd w:id="103"/>
      <w:bookmarkEnd w:id="104"/>
      <w:bookmarkEnd w:id="105"/>
      <w:bookmarkEnd w:id="106"/>
      <w:r/>
    </w:p>
    <w:p>
      <w:pPr>
        <w:pStyle w:val="947"/>
        <w:ind w:firstLine="420"/>
        <w:spacing w:before="0" w:after="0" w:line="240" w:lineRule="auto"/>
        <w:rPr>
          <w:rFonts w:hint="eastAsia" w:ascii="宋体" w:hAnsi="宋体" w:eastAsia="宋体"/>
          <w:b w:val="0"/>
          <w:bCs w:val="0"/>
          <w:highlight w:val="none"/>
        </w:rPr>
      </w:pPr>
      <w:r/>
      <w:bookmarkStart w:id="107" w:name="_Toc14577355"/>
      <w:r/>
      <w:bookmarkStart w:id="108" w:name="_Toc49090508"/>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、证明投标人及投标标的符合招标文件规定的文件</w:t>
      </w:r>
      <w:r/>
    </w:p>
    <w:p>
      <w:pPr>
        <w:spacing w:line="480" w:lineRule="exact"/>
        <w:rPr>
          <w:rFonts w:hint="eastAsia" w:ascii="宋体" w:hAnsi="宋体"/>
          <w:sz w:val="24"/>
          <w:szCs w:val="24"/>
          <w:highlight w:val="none"/>
        </w:rPr>
      </w:pPr>
      <w:r>
        <w:rPr>
          <w:rFonts w:hint="eastAsia" w:ascii="宋体" w:hAnsi="宋体"/>
          <w:sz w:val="24"/>
          <w:szCs w:val="24"/>
          <w:highlight w:val="none"/>
        </w:rPr>
        <w:t xml:space="preserve">    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p>
    <w:p>
      <w:pPr>
        <w:pStyle w:val="947"/>
        <w:ind w:firstLine="360"/>
        <w:spacing w:before="0" w:after="0" w:line="240" w:lineRule="auto"/>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10.2招标文件对证明文件无明确形式要求的，证明文件可以以文字资料、图纸和数据等形式提交。</w:t>
      </w:r>
      <w:bookmarkEnd w:id="107"/>
      <w:bookmarkEnd w:id="108"/>
      <w:r/>
    </w:p>
    <w:p>
      <w:pPr>
        <w:pStyle w:val="947"/>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、投标分项报价</w:t>
      </w:r>
      <w:bookmarkStart w:id="109" w:name="_Hlt26670373"/>
      <w:r/>
      <w:bookmarkEnd w:id="109"/>
      <w:r>
        <w:rPr>
          <w:rFonts w:hint="eastAsia" w:ascii="宋体" w:hAnsi="宋体" w:eastAsia="宋体"/>
          <w:b w:val="0"/>
          <w:bCs w:val="0"/>
          <w:highlight w:val="none"/>
        </w:rPr>
        <w:t xml:space="preserve">表</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10" w:name="_Hlt26954840"/>
      <w:r/>
      <w:bookmarkEnd w:id="110"/>
      <w:r>
        <w:rPr>
          <w:rFonts w:hint="eastAsia" w:ascii="宋体" w:hAnsi="宋体"/>
          <w:sz w:val="24"/>
          <w:highlight w:val="none"/>
        </w:rPr>
        <w:t xml:space="preserve">标人应按照招标文件规定格式填报投标分项报价表</w:t>
      </w:r>
      <w:bookmarkStart w:id="111" w:name="_Hlt26670399"/>
      <w:r/>
      <w:bookmarkEnd w:id="111"/>
      <w:r>
        <w:rPr>
          <w:rFonts w:hint="eastAsia" w:ascii="宋体" w:hAnsi="宋体"/>
          <w:sz w:val="24"/>
          <w:highlight w:val="none"/>
        </w:rPr>
        <w:t xml:space="preserve">。</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947"/>
        <w:ind w:firstLine="420"/>
        <w:spacing w:before="0" w:after="0" w:line="240" w:lineRule="auto"/>
        <w:rPr>
          <w:rFonts w:hint="eastAsia" w:ascii="宋体" w:hAnsi="宋体" w:eastAsia="宋体"/>
          <w:b w:val="0"/>
          <w:bCs w:val="0"/>
          <w:highlight w:val="none"/>
        </w:rPr>
      </w:pPr>
      <w:r/>
      <w:bookmarkStart w:id="112" w:name="_Hlt26670486"/>
      <w:r/>
      <w:bookmarkEnd w:id="112"/>
      <w:r/>
      <w:bookmarkStart w:id="113" w:name="_Hlt26954844"/>
      <w:r/>
      <w:bookmarkEnd w:id="113"/>
      <w:r/>
      <w:bookmarkStart w:id="114" w:name="_Hlt26670482"/>
      <w:r/>
      <w:bookmarkEnd w:id="114"/>
      <w:r/>
      <w:bookmarkStart w:id="115" w:name="_Hlt26954846"/>
      <w:r/>
      <w:bookmarkEnd w:id="115"/>
      <w:r/>
      <w:bookmarkStart w:id="116" w:name="_Hlt26954842"/>
      <w:r/>
      <w:bookmarkEnd w:id="116"/>
      <w:r/>
      <w:bookmarkStart w:id="117" w:name="_Hlt26670403"/>
      <w:r/>
      <w:bookmarkEnd w:id="117"/>
      <w:r/>
      <w:bookmarkStart w:id="118" w:name="_Hlt26668983"/>
      <w:r/>
      <w:bookmarkEnd w:id="118"/>
      <w:r/>
      <w:bookmarkStart w:id="119" w:name="_Hlt26670425"/>
      <w:r/>
      <w:bookmarkEnd w:id="119"/>
      <w:r/>
      <w:bookmarkStart w:id="120" w:name="_Hlt26954848"/>
      <w:r/>
      <w:bookmarkEnd w:id="120"/>
      <w:r/>
      <w:bookmarkStart w:id="121" w:name="_Hlt26954731"/>
      <w:r/>
      <w:bookmarkEnd w:id="121"/>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、技术要求响应及偏离表、商务要求响应及偏离表</w:t>
      </w:r>
      <w:r/>
    </w:p>
    <w:p>
      <w:pPr>
        <w:ind w:firstLine="480"/>
        <w:spacing w:line="500" w:lineRule="exact"/>
        <w:rPr>
          <w:rFonts w:hint="eastAsia" w:ascii="宋体" w:hAnsi="宋体" w:cs="宋体"/>
          <w:sz w:val="24"/>
          <w:highlight w:val="none"/>
          <w:lang w:val="zh-CN"/>
        </w:rPr>
      </w:pPr>
      <w:r>
        <w:rPr>
          <w:rFonts w:ascii="宋体" w:hAnsi="宋体" w:cs="宋体"/>
          <w:bCs/>
          <w:sz w:val="24"/>
          <w:highlight w:val="none"/>
          <w:lang w:val="zh-CN"/>
        </w:rPr>
        <w:t xml:space="preserve">1</w:t>
      </w:r>
      <w:r>
        <w:rPr>
          <w:rFonts w:hint="eastAsia" w:ascii="宋体" w:hAnsi="宋体" w:cs="宋体"/>
          <w:bCs/>
          <w:sz w:val="24"/>
          <w:highlight w:val="none"/>
          <w:lang w:val="en-US" w:eastAsia="zh-CN"/>
        </w:rPr>
        <w:t xml:space="preserve">2</w:t>
      </w:r>
      <w:r>
        <w:rPr>
          <w:rFonts w:ascii="宋体" w:hAnsi="宋体" w:cs="宋体"/>
          <w:bCs/>
          <w:sz w:val="24"/>
          <w:highlight w:val="none"/>
          <w:lang w:val="zh-CN"/>
        </w:rPr>
        <w:t xml:space="preserve">.1</w:t>
      </w:r>
      <w:r>
        <w:rPr>
          <w:rFonts w:ascii="宋体" w:hAnsi="宋体" w:cs="宋体"/>
          <w:sz w:val="24"/>
          <w:highlight w:val="none"/>
          <w:lang w:val="zh-CN"/>
        </w:rPr>
        <w:t xml:space="preserve"> </w:t>
      </w:r>
      <w:r>
        <w:rPr>
          <w:rFonts w:hint="eastAsia" w:ascii="宋体" w:hAnsi="宋体" w:cs="宋体"/>
          <w:sz w:val="24"/>
          <w:highlight w:val="none"/>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.2 投标人可在投标文件中提供认为需要的其他技术文件或说明。</w:t>
      </w:r>
      <w:r/>
    </w:p>
    <w:p>
      <w:pPr>
        <w:pStyle w:val="947"/>
        <w:ind w:firstLine="422"/>
        <w:spacing w:before="0" w:after="0" w:line="240" w:lineRule="auto"/>
        <w:rPr>
          <w:rFonts w:hint="eastAsia" w:ascii="宋体" w:hAnsi="宋体" w:eastAsia="宋体" w:cs="Times New Roman"/>
          <w:b/>
          <w:bCs/>
          <w:highlight w:val="none"/>
          <w:lang w:val="zh-CN"/>
        </w:rPr>
      </w:pPr>
      <w:r/>
      <w:bookmarkStart w:id="122" w:name="_Toc49090510"/>
      <w:r/>
      <w:bookmarkStart w:id="123" w:name="_Toc14577359"/>
      <w:r>
        <w:rPr>
          <w:rFonts w:hint="eastAsia" w:ascii="宋体" w:hAnsi="宋体" w:eastAsia="宋体" w:cs="Times New Roman"/>
          <w:b/>
          <w:bCs/>
          <w:highlight w:val="none"/>
          <w:lang w:val="zh-CN"/>
        </w:rPr>
        <w:t xml:space="preserve">1</w:t>
      </w:r>
      <w:r>
        <w:rPr>
          <w:rFonts w:hint="eastAsia" w:ascii="宋体" w:hAnsi="宋体" w:eastAsia="宋体" w:cs="Times New Roman"/>
          <w:b/>
          <w:bCs/>
          <w:highlight w:val="none"/>
          <w:lang w:val="en-US" w:eastAsia="zh-CN"/>
        </w:rPr>
        <w:t xml:space="preserve">3</w:t>
      </w:r>
      <w:r>
        <w:rPr>
          <w:rFonts w:hint="eastAsia" w:ascii="宋体" w:hAnsi="宋体" w:eastAsia="宋体" w:cs="Times New Roman"/>
          <w:b/>
          <w:bCs/>
          <w:highlight w:val="none"/>
          <w:lang w:val="zh-CN"/>
        </w:rPr>
        <w:t xml:space="preserve">、服务承诺、培训计划</w:t>
      </w:r>
      <w:r>
        <w:rPr>
          <w:rFonts w:hint="eastAsia" w:ascii="宋体" w:hAnsi="宋体" w:eastAsia="宋体" w:cs="Times New Roman"/>
          <w:b/>
          <w:bCs/>
          <w:highlight w:val="none"/>
        </w:rPr>
        <w:t xml:space="preserve">、人员安排及</w:t>
      </w:r>
      <w:r>
        <w:rPr>
          <w:rFonts w:hint="eastAsia" w:ascii="宋体" w:hAnsi="宋体" w:eastAsia="宋体" w:cs="Times New Roman"/>
          <w:b/>
          <w:bCs/>
          <w:highlight w:val="none"/>
          <w:lang w:val="zh-CN"/>
        </w:rPr>
        <w:t xml:space="preserve">其他（根据项目需求的实际要求进行填写）</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.2 投标人需根据招标文件要求提供培训计划。</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.3  投标人需根据招标文件要求提供所投标的的主要组成部分、功能设计、实现思路及关键技术等。</w:t>
      </w:r>
      <w:bookmarkEnd w:id="122"/>
      <w:bookmarkEnd w:id="123"/>
      <w:r/>
    </w:p>
    <w:p>
      <w:pPr>
        <w:pStyle w:val="947"/>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、投标函和开标一览表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p>
    <w:p>
      <w:pPr>
        <w:ind w:firstLine="480"/>
        <w:spacing w:line="500" w:lineRule="exact"/>
        <w:rPr>
          <w:rFonts w:hint="eastAsia" w:ascii="宋体" w:hAnsi="宋体"/>
          <w:b/>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.2</w:t>
      </w:r>
      <w:r>
        <w:rPr>
          <w:rFonts w:hint="eastAsia" w:ascii="宋体" w:hAnsi="宋体"/>
          <w:sz w:val="24"/>
          <w:highlight w:val="none"/>
        </w:rPr>
        <w:t xml:space="preserve"> </w:t>
      </w:r>
      <w:r>
        <w:rPr>
          <w:rFonts w:hint="eastAsia" w:ascii="宋体" w:hAnsi="宋体"/>
          <w:b/>
          <w:bCs/>
          <w:sz w:val="24"/>
          <w:highlight w:val="none"/>
        </w:rPr>
        <w:t xml:space="preserve">对于采用货币报价的项目，开标一览表中的投标总报价应与投标分项报价表中的投标总报价一致，如不一致，</w:t>
      </w:r>
      <w:r>
        <w:rPr>
          <w:rFonts w:hint="eastAsia" w:ascii="宋体" w:hAnsi="宋体"/>
          <w:b/>
          <w:bCs/>
          <w:sz w:val="24"/>
          <w:szCs w:val="24"/>
          <w:highlight w:val="none"/>
        </w:rPr>
        <w:t xml:space="preserve">不作为无效投标处理</w:t>
      </w:r>
      <w:r>
        <w:rPr>
          <w:rFonts w:hint="eastAsia" w:ascii="宋体" w:hAnsi="宋体"/>
          <w:b/>
          <w:bCs/>
          <w:sz w:val="24"/>
          <w:highlight w:val="none"/>
        </w:rPr>
        <w:t xml:space="preserve">，但评标时按开标一览表中价格为准。</w:t>
      </w:r>
      <w:r/>
    </w:p>
    <w:p>
      <w:pPr>
        <w:pStyle w:val="947"/>
        <w:ind w:firstLine="420"/>
        <w:spacing w:before="0" w:after="0" w:line="240" w:lineRule="auto"/>
        <w:rPr>
          <w:rFonts w:hint="eastAsia" w:ascii="宋体" w:hAnsi="宋体" w:eastAsia="宋体"/>
          <w:b w:val="0"/>
          <w:bCs w:val="0"/>
          <w:highlight w:val="none"/>
        </w:rPr>
      </w:pPr>
      <w:r/>
      <w:bookmarkStart w:id="124" w:name="_Hlt26954850"/>
      <w:r/>
      <w:bookmarkEnd w:id="124"/>
      <w:r/>
      <w:bookmarkStart w:id="125" w:name="_Hlt26954734"/>
      <w:r/>
      <w:bookmarkEnd w:id="125"/>
      <w:r/>
      <w:bookmarkStart w:id="126" w:name="_Hlt26670489"/>
      <w:r/>
      <w:bookmarkEnd w:id="126"/>
      <w:r/>
      <w:bookmarkStart w:id="127" w:name="_Toc14577360"/>
      <w:r/>
      <w:bookmarkStart w:id="128" w:name="_Toc49090511"/>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、投标有效期</w:t>
      </w:r>
      <w:bookmarkEnd w:id="127"/>
      <w:r/>
      <w:bookmarkEnd w:id="128"/>
      <w:r/>
      <w:r/>
    </w:p>
    <w:p>
      <w:pPr>
        <w:ind w:firstLine="480"/>
        <w:spacing w:line="500" w:lineRule="exact"/>
        <w:rPr>
          <w:rFonts w:hint="eastAsia" w:ascii="宋体" w:hAnsi="宋体"/>
          <w:bCs/>
          <w:i/>
          <w:iCs/>
          <w:sz w:val="24"/>
          <w:highlight w:val="none"/>
          <w:u w:val="singl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宋体" w:hAnsi="宋体"/>
          <w:b/>
          <w:sz w:val="24"/>
          <w:highlight w:val="none"/>
          <w:u w:val="single"/>
        </w:rPr>
        <w:t xml:space="preserve">九十（90）天</w:t>
      </w:r>
      <w:r>
        <w:rPr>
          <w:rFonts w:hint="eastAsia" w:ascii="宋体" w:hAnsi="宋体"/>
          <w:bCs/>
          <w:sz w:val="24"/>
          <w:highlight w:val="none"/>
        </w:rPr>
        <w:t xml:space="preserve">。</w:t>
      </w:r>
      <w:r>
        <w:rPr>
          <w:rFonts w:hint="eastAsia" w:ascii="宋体" w:hAnsi="宋体"/>
          <w:bCs/>
          <w:i/>
          <w:iCs/>
          <w:sz w:val="24"/>
          <w:highlight w:val="none"/>
          <w:u w:val="single"/>
        </w:rPr>
        <w:t xml:space="preserve">投标有效期比规定短的将被视为未实质性响应招标</w:t>
      </w:r>
      <w:r>
        <w:rPr>
          <w:rFonts w:ascii="宋体" w:hAnsi="宋体"/>
          <w:bCs/>
          <w:i/>
          <w:iCs/>
          <w:sz w:val="24"/>
          <w:highlight w:val="none"/>
          <w:u w:val="single"/>
        </w:rPr>
        <w:t xml:space="preserve">文件</w:t>
      </w:r>
      <w:r>
        <w:rPr>
          <w:rFonts w:hint="eastAsia" w:ascii="宋体" w:hAnsi="宋体"/>
          <w:bCs/>
          <w:i/>
          <w:iCs/>
          <w:sz w:val="24"/>
          <w:highlight w:val="none"/>
          <w:u w:val="single"/>
        </w:rPr>
        <w:t xml:space="preserve">而予以拒绝。</w:t>
      </w:r>
      <w:r/>
    </w:p>
    <w:p>
      <w:pPr>
        <w:pStyle w:val="947"/>
        <w:ind w:firstLine="420"/>
        <w:spacing w:before="0" w:after="0" w:line="240" w:lineRule="auto"/>
        <w:rPr>
          <w:rFonts w:hint="eastAsia" w:ascii="宋体" w:hAnsi="宋体" w:eastAsia="宋体"/>
          <w:b w:val="0"/>
          <w:bCs w:val="0"/>
          <w:highlight w:val="none"/>
        </w:rPr>
      </w:pPr>
      <w:r/>
      <w:bookmarkStart w:id="129" w:name="_Hlt26954852"/>
      <w:r/>
      <w:bookmarkEnd w:id="129"/>
      <w:r/>
      <w:bookmarkStart w:id="130" w:name="_Hlt26954739"/>
      <w:r/>
      <w:bookmarkEnd w:id="130"/>
      <w:r/>
      <w:bookmarkStart w:id="131" w:name="_Toc513029224"/>
      <w:r/>
      <w:bookmarkStart w:id="132" w:name="_Toc16938540"/>
      <w:r/>
      <w:bookmarkStart w:id="133" w:name="_Toc120614217"/>
      <w:r/>
      <w:bookmarkStart w:id="134" w:name="_Toc20823296"/>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6</w:t>
      </w:r>
      <w:r>
        <w:rPr>
          <w:rFonts w:hint="eastAsia" w:ascii="宋体" w:hAnsi="宋体" w:eastAsia="宋体"/>
          <w:b w:val="0"/>
          <w:bCs w:val="0"/>
          <w:highlight w:val="none"/>
        </w:rPr>
        <w:t xml:space="preserve">、投标有效期的延长</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6</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946"/>
        <w:ind w:firstLine="482"/>
        <w:spacing w:before="145" w:after="145" w:line="360" w:lineRule="auto"/>
        <w:rPr>
          <w:rFonts w:hint="eastAsia" w:ascii="宋体" w:hAnsi="宋体"/>
          <w:highlight w:val="none"/>
        </w:rPr>
      </w:pPr>
      <w:r>
        <w:rPr>
          <w:rFonts w:hint="eastAsia" w:ascii="宋体" w:hAnsi="宋体"/>
          <w:highlight w:val="none"/>
        </w:rPr>
        <w:t xml:space="preserve">四、投标文件的递交</w:t>
      </w:r>
      <w:bookmarkEnd w:id="131"/>
      <w:r/>
      <w:bookmarkEnd w:id="132"/>
      <w:r/>
      <w:bookmarkEnd w:id="133"/>
      <w:r/>
      <w:bookmarkEnd w:id="134"/>
      <w:r/>
      <w:r/>
    </w:p>
    <w:p>
      <w:pPr>
        <w:pStyle w:val="947"/>
        <w:ind w:firstLine="560"/>
        <w:spacing w:before="0" w:after="0" w:line="240" w:lineRule="auto"/>
        <w:rPr>
          <w:rFonts w:hint="eastAsia" w:ascii="宋体" w:hAnsi="宋体" w:eastAsia="宋体"/>
          <w:b w:val="0"/>
          <w:bCs w:val="0"/>
          <w:highlight w:val="none"/>
        </w:rPr>
      </w:pPr>
      <w:r/>
      <w:bookmarkStart w:id="135" w:name="_Toc20823297"/>
      <w:r/>
      <w:bookmarkStart w:id="136" w:name="_Toc16938541"/>
      <w:r/>
      <w:bookmarkStart w:id="137" w:name="_Toc513029225"/>
      <w:r/>
      <w:bookmarkStart w:id="138" w:name="_Toc462564084"/>
      <w:r/>
      <w:bookmarkStart w:id="139" w:name="_Toc16938543"/>
      <w:r/>
      <w:bookmarkStart w:id="140" w:name="_Toc20823299"/>
      <w:r/>
      <w:bookmarkStart w:id="141" w:name="_Toc513029227"/>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、投标文件</w:t>
      </w:r>
      <w:bookmarkEnd w:id="135"/>
      <w:r/>
      <w:bookmarkEnd w:id="136"/>
      <w:r/>
      <w:bookmarkEnd w:id="137"/>
      <w:r/>
      <w:bookmarkEnd w:id="138"/>
      <w:r>
        <w:rPr>
          <w:rFonts w:hint="eastAsia" w:ascii="宋体" w:hAnsi="宋体" w:eastAsia="宋体"/>
          <w:b w:val="0"/>
          <w:bCs w:val="0"/>
          <w:highlight w:val="none"/>
        </w:rPr>
        <w:t xml:space="preserve">的递交</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7</w:t>
      </w:r>
      <w:r>
        <w:rPr>
          <w:rFonts w:hint="eastAsia" w:ascii="宋体" w:hAnsi="宋体"/>
          <w:sz w:val="24"/>
          <w:highlight w:val="none"/>
        </w:rPr>
        <w:t xml:space="preserve">.1</w:t>
      </w:r>
      <w:r>
        <w:rPr>
          <w:rFonts w:hint="eastAsia" w:ascii="宋体" w:hAnsi="宋体"/>
          <w:bCs/>
          <w:sz w:val="24"/>
          <w:highlight w:val="none"/>
        </w:rPr>
        <w:t xml:space="preserve"> 电子投标文件的递交</w:t>
      </w:r>
      <w:r/>
    </w:p>
    <w:p>
      <w:pPr>
        <w:pStyle w:val="1055"/>
        <w:ind w:left="525"/>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42" w:name="_Toc513029226"/>
      <w:r/>
      <w:bookmarkStart w:id="143" w:name="_Toc16938542"/>
      <w:r/>
      <w:bookmarkStart w:id="144" w:name="_Toc20823298"/>
      <w:r/>
      <w:r/>
    </w:p>
    <w:p>
      <w:pPr>
        <w:pStyle w:val="947"/>
        <w:ind w:firstLine="420"/>
        <w:pageBreakBefore w:val="0"/>
        <w:spacing w:before="0" w:after="0"/>
        <w:widowControl w:val="off"/>
        <w:rPr>
          <w:rFonts w:hint="eastAsia" w:ascii="宋体" w:hAnsi="宋体" w:eastAsia="宋体"/>
          <w:b w:val="0"/>
          <w:highlight w:val="none"/>
        </w:rPr>
      </w:pPr>
      <w:r>
        <w:rPr>
          <w:rFonts w:hint="eastAsia" w:ascii="宋体" w:hAnsi="宋体" w:eastAsia="宋体"/>
          <w:b w:val="0"/>
          <w:highlight w:val="none"/>
        </w:rPr>
        <w:t xml:space="preserve">1</w:t>
      </w:r>
      <w:r>
        <w:rPr>
          <w:rFonts w:hint="eastAsia" w:ascii="宋体" w:hAnsi="宋体" w:eastAsia="宋体"/>
          <w:b w:val="0"/>
          <w:highlight w:val="none"/>
          <w:lang w:val="en-US" w:eastAsia="zh-CN"/>
        </w:rPr>
        <w:t xml:space="preserve">8</w:t>
      </w:r>
      <w:r>
        <w:rPr>
          <w:rFonts w:hint="eastAsia" w:ascii="宋体" w:hAnsi="宋体" w:eastAsia="宋体"/>
          <w:b w:val="0"/>
          <w:highlight w:val="none"/>
        </w:rPr>
        <w:t xml:space="preserve">、投标截止</w:t>
      </w:r>
      <w:bookmarkEnd w:id="142"/>
      <w:r/>
      <w:bookmarkEnd w:id="143"/>
      <w:r/>
      <w:bookmarkEnd w:id="144"/>
      <w:r>
        <w:rPr>
          <w:rFonts w:hint="eastAsia" w:ascii="宋体" w:hAnsi="宋体" w:eastAsia="宋体"/>
          <w:b w:val="0"/>
          <w:highlight w:val="none"/>
        </w:rPr>
        <w:t xml:space="preserve">时间</w:t>
      </w:r>
      <w:r/>
    </w:p>
    <w:p>
      <w:pPr>
        <w:ind w:firstLine="480"/>
        <w:pageBreakBefore w:val="0"/>
        <w:spacing w:line="500" w:lineRule="exact"/>
        <w:widowControl w:val="off"/>
        <w:rPr>
          <w:rFonts w:hint="eastAsia" w:ascii="宋体" w:hAnsi="宋体"/>
          <w:bCs/>
          <w:i/>
          <w:sz w:val="24"/>
          <w:highlight w:val="none"/>
          <w:u w:val="single"/>
        </w:rPr>
      </w:pPr>
      <w:r>
        <w:rPr>
          <w:rFonts w:hint="eastAsia" w:ascii="宋体" w:hAnsi="宋体"/>
          <w:i/>
          <w:sz w:val="24"/>
          <w:highlight w:val="none"/>
          <w:u w:val="single"/>
        </w:rPr>
        <w:t xml:space="preserve">1</w:t>
      </w:r>
      <w:r>
        <w:rPr>
          <w:rFonts w:hint="eastAsia" w:ascii="宋体" w:hAnsi="宋体"/>
          <w:i/>
          <w:sz w:val="24"/>
          <w:highlight w:val="none"/>
          <w:u w:val="single"/>
          <w:lang w:val="en-US" w:eastAsia="zh-CN"/>
        </w:rPr>
        <w:t xml:space="preserve">8</w:t>
      </w:r>
      <w:r>
        <w:rPr>
          <w:rFonts w:hint="eastAsia" w:ascii="宋体" w:hAnsi="宋体"/>
          <w:i/>
          <w:sz w:val="24"/>
          <w:highlight w:val="none"/>
          <w:u w:val="single"/>
        </w:rPr>
        <w:t xml:space="preserve">.1</w:t>
      </w:r>
      <w:r>
        <w:rPr>
          <w:rFonts w:hint="eastAsia" w:ascii="宋体" w:hAnsi="宋体"/>
          <w:bCs/>
          <w:i/>
          <w:sz w:val="24"/>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bCs/>
          <w:sz w:val="24"/>
          <w:highlight w:val="none"/>
          <w:lang w:val="en-US" w:eastAsia="zh-CN"/>
        </w:rPr>
        <w:t xml:space="preserve">7</w:t>
      </w:r>
      <w:r>
        <w:rPr>
          <w:rFonts w:hint="eastAsia" w:ascii="宋体" w:hAnsi="宋体"/>
          <w:bCs/>
          <w:sz w:val="24"/>
          <w:highlight w:val="none"/>
        </w:rPr>
        <w:t xml:space="preserve">.1.2条 规定做无效投标处理。</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8</w:t>
      </w:r>
      <w:r>
        <w:rPr>
          <w:rFonts w:hint="eastAsia" w:ascii="宋体" w:hAnsi="宋体"/>
          <w:sz w:val="24"/>
          <w:highlight w:val="none"/>
        </w:rPr>
        <w:t xml:space="preserve">.2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bookmarkEnd w:id="139"/>
      <w:bookmarkEnd w:id="140"/>
      <w:bookmarkEnd w:id="141"/>
      <w:r/>
    </w:p>
    <w:p>
      <w:pPr>
        <w:pStyle w:val="947"/>
        <w:ind w:firstLine="420"/>
        <w:spacing w:before="0" w:after="0" w:line="240" w:lineRule="auto"/>
        <w:rPr>
          <w:rFonts w:hint="eastAsia" w:ascii="宋体" w:hAnsi="宋体" w:eastAsia="宋体"/>
          <w:b w:val="0"/>
          <w:bCs w:val="0"/>
          <w:highlight w:val="none"/>
        </w:rPr>
      </w:pPr>
      <w:r/>
      <w:bookmarkStart w:id="145" w:name="_Toc513029229"/>
      <w:r/>
      <w:bookmarkStart w:id="146" w:name="_Toc16938545"/>
      <w:r/>
      <w:bookmarkStart w:id="147" w:name="_Toc120614218"/>
      <w:r/>
      <w:bookmarkStart w:id="148" w:name="_Toc20823301"/>
      <w:r>
        <w:rPr>
          <w:rFonts w:hint="eastAsia" w:ascii="宋体" w:hAnsi="宋体" w:eastAsia="宋体"/>
          <w:b w:val="0"/>
          <w:bCs w:val="0"/>
          <w:highlight w:val="none"/>
          <w:lang w:val="en-US" w:eastAsia="zh-CN"/>
        </w:rPr>
        <w:t xml:space="preserve">19</w:t>
      </w:r>
      <w:r>
        <w:rPr>
          <w:rFonts w:hint="eastAsia" w:ascii="宋体" w:hAnsi="宋体" w:eastAsia="宋体"/>
          <w:b w:val="0"/>
          <w:bCs w:val="0"/>
          <w:highlight w:val="none"/>
        </w:rPr>
        <w:t xml:space="preserve">、投标文件的拒收</w:t>
      </w:r>
      <w:r/>
    </w:p>
    <w:p>
      <w:pPr>
        <w:ind w:firstLine="480"/>
        <w:spacing w:line="500" w:lineRule="exact"/>
        <w:rPr>
          <w:rFonts w:hint="eastAsia" w:ascii="宋体" w:hAnsi="宋体"/>
          <w:bCs/>
          <w:sz w:val="24"/>
          <w:highlight w:val="none"/>
        </w:rPr>
      </w:pPr>
      <w:r>
        <w:rPr>
          <w:rFonts w:hint="eastAsia" w:ascii="宋体" w:hAnsi="宋体"/>
          <w:sz w:val="24"/>
          <w:highlight w:val="none"/>
          <w:lang w:val="en-US" w:eastAsia="zh-CN"/>
        </w:rPr>
        <w:t xml:space="preserve">19</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p>
    <w:p>
      <w:pPr>
        <w:pStyle w:val="947"/>
        <w:ind w:firstLine="420"/>
        <w:spacing w:before="0" w:after="0" w:line="240" w:lineRule="auto"/>
        <w:rPr>
          <w:rFonts w:hint="eastAsia" w:ascii="宋体" w:hAnsi="宋体" w:eastAsia="宋体"/>
          <w:b w:val="0"/>
          <w:bCs w:val="0"/>
          <w:highlight w:val="none"/>
        </w:rPr>
      </w:pPr>
      <w:r/>
      <w:bookmarkStart w:id="149" w:name="_Toc513029228"/>
      <w:r/>
      <w:bookmarkStart w:id="150" w:name="_Toc16938544"/>
      <w:r/>
      <w:bookmarkStart w:id="151" w:name="_Toc20823300"/>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、投标文件的撤回和修改</w:t>
      </w:r>
      <w:bookmarkEnd w:id="149"/>
      <w:r/>
      <w:bookmarkEnd w:id="150"/>
      <w:r/>
      <w:bookmarkEnd w:id="151"/>
      <w:r/>
      <w:r/>
    </w:p>
    <w:p>
      <w:pPr>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 投标文件的撤回</w:t>
      </w:r>
      <w:r/>
    </w:p>
    <w:p>
      <w:pPr>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.1.1 电子投标文件的撤回</w:t>
      </w:r>
      <w:r/>
    </w:p>
    <w:p>
      <w:pPr>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 投标文件的修改</w:t>
      </w:r>
      <w:r/>
    </w:p>
    <w:p>
      <w:pPr>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.2.1投标人可在投标截止时间前，对其电子投标文件进行修改，具体操作方法见《操作手册》。</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.2.2</w:t>
      </w:r>
      <w:r>
        <w:rPr>
          <w:rFonts w:hint="eastAsia" w:ascii="宋体" w:hAnsi="宋体"/>
          <w:bCs/>
          <w:sz w:val="24"/>
          <w:highlight w:val="none"/>
        </w:rPr>
        <w:t xml:space="preserve"> 在投标截止时间之后，投标人不得对其电子投标文件作任何修改。</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.3</w:t>
      </w:r>
      <w:r>
        <w:rPr>
          <w:rFonts w:hint="eastAsia" w:ascii="宋体" w:hAnsi="宋体"/>
          <w:bCs/>
          <w:sz w:val="24"/>
          <w:highlight w:val="none"/>
        </w:rPr>
        <w:t xml:space="preserve"> 在投标截止时间至招标文件中规定的投标有效期满之间的这段时间内，投标人不得撤回其投标。</w:t>
      </w:r>
      <w:r/>
    </w:p>
    <w:p>
      <w:pPr>
        <w:pStyle w:val="946"/>
        <w:ind w:firstLine="482"/>
        <w:spacing w:before="145" w:after="145" w:line="360" w:lineRule="auto"/>
        <w:rPr>
          <w:rFonts w:hint="eastAsia" w:ascii="宋体" w:hAnsi="宋体"/>
          <w:highlight w:val="none"/>
        </w:rPr>
      </w:pPr>
      <w:r>
        <w:rPr>
          <w:rFonts w:hint="eastAsia" w:ascii="宋体" w:hAnsi="宋体"/>
          <w:highlight w:val="none"/>
        </w:rPr>
        <w:t xml:space="preserve">五、开标与评标</w:t>
      </w:r>
      <w:bookmarkEnd w:id="145"/>
      <w:r/>
      <w:bookmarkEnd w:id="146"/>
      <w:r/>
      <w:bookmarkEnd w:id="147"/>
      <w:r/>
      <w:bookmarkEnd w:id="148"/>
      <w:r/>
      <w:r/>
    </w:p>
    <w:p>
      <w:pPr>
        <w:pStyle w:val="947"/>
        <w:ind w:firstLine="420"/>
        <w:spacing w:before="0" w:after="0" w:line="240" w:lineRule="auto"/>
        <w:rPr>
          <w:rFonts w:hint="eastAsia" w:ascii="宋体" w:hAnsi="宋体" w:eastAsia="宋体"/>
          <w:b w:val="0"/>
          <w:bCs w:val="0"/>
          <w:highlight w:val="none"/>
        </w:rPr>
      </w:pPr>
      <w:r/>
      <w:bookmarkStart w:id="152" w:name="_Toc16938546"/>
      <w:r/>
      <w:bookmarkStart w:id="153" w:name="_Toc513029230"/>
      <w:r/>
      <w:bookmarkStart w:id="154" w:name="_Toc20823302"/>
      <w:r/>
      <w:bookmarkStart w:id="155" w:name="_Toc20823303"/>
      <w:r/>
      <w:bookmarkStart w:id="156" w:name="_Toc513029231"/>
      <w:r/>
      <w:bookmarkStart w:id="157" w:name="_Toc16938547"/>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、开标</w:t>
      </w:r>
      <w:bookmarkEnd w:id="152"/>
      <w:r/>
      <w:bookmarkEnd w:id="153"/>
      <w:r/>
      <w:bookmarkEnd w:id="154"/>
      <w:r/>
      <w:r/>
    </w:p>
    <w:p>
      <w:pPr>
        <w:ind w:firstLine="360"/>
        <w:rPr>
          <w:rFonts w:hint="eastAsia" w:ascii="宋体" w:hAnsi="宋体"/>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p>
    <w:p>
      <w:pPr>
        <w:ind w:firstLine="480"/>
        <w:spacing w:line="500" w:lineRule="exact"/>
        <w:rPr>
          <w:rFonts w:hint="eastAsia" w:ascii="宋体" w:hAnsi="宋体"/>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1</w:t>
      </w:r>
      <w:r>
        <w:rPr>
          <w:rFonts w:hint="eastAsia" w:ascii="宋体" w:hAnsi="宋体"/>
          <w:bCs/>
          <w:sz w:val="24"/>
          <w:highlight w:val="none"/>
        </w:rPr>
        <w:t xml:space="preserve">.3投标人在开标过程中涉及到的投标文件解密、开标结果确认等工作，应按照《操作手册》规定执行。</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.4投标人如果对开标过程和开标记录有疑义，应当根据《操作手册》规定提出，如 苏采云系统中《开标记录表》宣布后5分钟内未提出的，视同认可开标结果。</w:t>
      </w:r>
      <w:r/>
    </w:p>
    <w:p>
      <w:pPr>
        <w:pStyle w:val="947"/>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、评标委员会</w:t>
      </w:r>
      <w:r/>
    </w:p>
    <w:p>
      <w:pPr>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p>
    <w:p>
      <w:pPr>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 评委会由采购人代表和有关技术、经济等方面的专家组成，且人员构成符合政府采购有关规定。</w:t>
      </w:r>
      <w:r/>
    </w:p>
    <w:p>
      <w:pPr>
        <w:pStyle w:val="947"/>
        <w:ind w:firstLine="360"/>
        <w:spacing w:before="0" w:after="0" w:line="240" w:lineRule="auto"/>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22.3评委会独立工作，负责评审所有投标文件并确定中标侯选人。</w:t>
      </w:r>
      <w:bookmarkEnd w:id="155"/>
      <w:bookmarkEnd w:id="156"/>
      <w:bookmarkEnd w:id="157"/>
      <w:r/>
    </w:p>
    <w:p>
      <w:pPr>
        <w:pStyle w:val="947"/>
        <w:ind w:firstLine="420"/>
        <w:spacing w:before="0" w:after="0" w:line="240" w:lineRule="auto"/>
        <w:rPr>
          <w:rFonts w:hint="eastAsia" w:ascii="宋体" w:hAnsi="宋体" w:eastAsia="宋体"/>
          <w:b w:val="0"/>
          <w:bCs w:val="0"/>
          <w:highlight w:val="none"/>
        </w:rPr>
      </w:pPr>
      <w:r/>
      <w:bookmarkStart w:id="158" w:name="_Toc16938548"/>
      <w:r/>
      <w:bookmarkStart w:id="159" w:name="_Toc20823304"/>
      <w:r/>
      <w:bookmarkStart w:id="160" w:name="_Toc513029232"/>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3</w:t>
      </w:r>
      <w:r>
        <w:rPr>
          <w:rFonts w:hint="eastAsia" w:ascii="宋体" w:hAnsi="宋体" w:eastAsia="宋体"/>
          <w:b w:val="0"/>
          <w:bCs w:val="0"/>
          <w:highlight w:val="none"/>
        </w:rPr>
        <w:t xml:space="preserve">、评标过程的保密与公正</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p>
    <w:p>
      <w:pPr>
        <w:pStyle w:val="947"/>
        <w:ind w:firstLine="360"/>
        <w:spacing w:before="0" w:after="0" w:line="240" w:lineRule="auto"/>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23.4 采用综合评分法的项目，未中标的投标人可于中标结果公告期限届满之日起通过苏采云系统查看自己的评审得分及排序情况。</w:t>
      </w:r>
      <w:bookmarkEnd w:id="158"/>
      <w:bookmarkEnd w:id="159"/>
      <w:bookmarkEnd w:id="160"/>
      <w:r/>
    </w:p>
    <w:p>
      <w:pPr>
        <w:pStyle w:val="947"/>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、投标文件的澄清</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highlight w:val="none"/>
        </w:rPr>
      </w:pP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.3 接到评委会澄清、说明和补正要求的投标人如未按规定做出澄清、说明和补正，其风险由投标人自行承担。</w:t>
      </w:r>
      <w:r/>
    </w:p>
    <w:p>
      <w:pPr>
        <w:pStyle w:val="947"/>
        <w:ind w:firstLine="420"/>
        <w:spacing w:before="0" w:after="0" w:line="240" w:lineRule="auto"/>
        <w:rPr>
          <w:rFonts w:hint="eastAsia" w:ascii="宋体" w:hAnsi="宋体" w:eastAsia="宋体"/>
          <w:b w:val="0"/>
          <w:bCs w:val="0"/>
          <w:highlight w:val="none"/>
        </w:rPr>
      </w:pPr>
      <w:r/>
      <w:bookmarkStart w:id="161" w:name="_Toc513029233"/>
      <w:r/>
      <w:bookmarkStart w:id="162" w:name="_Toc16938549"/>
      <w:r/>
      <w:bookmarkStart w:id="163" w:name="_Toc20823305"/>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、对投标文件的初审</w:t>
      </w:r>
      <w:bookmarkEnd w:id="161"/>
      <w:r/>
      <w:bookmarkEnd w:id="162"/>
      <w:r/>
      <w:bookmarkEnd w:id="163"/>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投标文件初审分为资格审查和符合性审查。</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460" w:lineRule="exact"/>
        <w:rPr>
          <w:rFonts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highlight w:val="none"/>
        </w:rPr>
      </w:pPr>
      <w:r/>
      <w:bookmarkStart w:id="164" w:name="_Toc513029234"/>
      <w:r/>
      <w:bookmarkStart w:id="165" w:name="_Toc16938550"/>
      <w:r/>
      <w:bookmarkStart w:id="166" w:name="_Toc20823306"/>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460" w:lineRule="exact"/>
        <w:rPr>
          <w:rFonts w:hint="eastAsia" w:ascii="宋体" w:hAnsi="宋体"/>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w:t>
      </w:r>
      <w:r>
        <w:rPr>
          <w:rFonts w:hint="eastAsia" w:ascii="宋体" w:hAnsi="宋体"/>
          <w:sz w:val="24"/>
          <w:highlight w:val="none"/>
        </w:rPr>
        <w:t xml:space="preserve">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p>
    <w:p>
      <w:pPr>
        <w:pStyle w:val="947"/>
        <w:ind w:firstLine="420"/>
        <w:spacing w:before="0" w:after="0" w:line="240" w:lineRule="auto"/>
        <w:rPr>
          <w:rFonts w:hint="eastAsia" w:ascii="宋体" w:hAnsi="宋体" w:eastAsia="宋体" w:cs="Times New Roman"/>
          <w:b w:val="0"/>
          <w:bCs w:val="0"/>
          <w:highlight w:val="none"/>
          <w:lang w:val="en-US" w:eastAsia="zh-CN"/>
        </w:rPr>
      </w:pPr>
      <w:r>
        <w:rPr>
          <w:rFonts w:hint="eastAsia" w:ascii="宋体" w:hAnsi="宋体" w:eastAsia="宋体" w:cs="Times New Roman"/>
          <w:b w:val="0"/>
          <w:bCs w:val="0"/>
          <w:highlight w:val="none"/>
          <w:lang w:val="en-US" w:eastAsia="zh-CN"/>
        </w:rPr>
        <w:t xml:space="preserve">26、异常低价审查</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26.1 评标过程中出现下列情形之一的，评标委员会应当启动异常低价投标审查程序：</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（1）投标报价低于全部通过符合性审查供应商投标报价平均值50%的，即投标报价&lt;全部通过符合性审查供应商投标报价平均值×50%；</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（2）投标报价低于通过符合性审查的次低报价供应商投标报价50%的，即投标报价&lt;通过符合性审查的次低报价供应商投标报价×50%；</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（3）投标报价低于采购项目最高限价45%的，即投标报价&lt;采购项目最高限价×45%；</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（4）评标委员会基于专业判断，认为供应商报价过低，有可能影响产品质量或者不能诚信履约的其他情形。</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47"/>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w:t>
      </w:r>
      <w:bookmarkEnd w:id="164"/>
      <w:r/>
      <w:bookmarkEnd w:id="165"/>
      <w:r/>
      <w:bookmarkEnd w:id="166"/>
      <w:r>
        <w:rPr>
          <w:rFonts w:hint="eastAsia" w:ascii="宋体" w:hAnsi="宋体" w:eastAsia="宋体"/>
          <w:b w:val="0"/>
          <w:bCs w:val="0"/>
          <w:highlight w:val="none"/>
        </w:rPr>
        <w:t xml:space="preserve">无效投标条款和废标条款</w:t>
      </w:r>
      <w:r/>
    </w:p>
    <w:p>
      <w:pPr>
        <w:ind w:left="479"/>
        <w:spacing w:line="440" w:lineRule="exact"/>
        <w:rPr>
          <w:rFonts w:hint="eastAsia" w:ascii="宋体" w:hAnsi="宋体"/>
          <w:bCs/>
          <w:sz w:val="24"/>
          <w:highlight w:val="none"/>
        </w:rPr>
      </w:pPr>
      <w:r/>
      <w:bookmarkStart w:id="167" w:name="_Toc16938551"/>
      <w:r/>
      <w:bookmarkStart w:id="168" w:name="_Toc20823307"/>
      <w:r/>
      <w:bookmarkStart w:id="169" w:name="_Toc513029235"/>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.1无效投标条款</w:t>
      </w:r>
      <w:r/>
    </w:p>
    <w:p>
      <w:pPr>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.1.2 投标人未按照招标文件要求上传电子投标文件的。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.1.3同一投标人</w:t>
      </w:r>
      <w:r>
        <w:rPr>
          <w:rFonts w:hint="eastAsia" w:ascii="宋体" w:hAnsi="宋体" w:eastAsia="宋体" w:cs="Times New Roman"/>
          <w:bCs/>
          <w:sz w:val="24"/>
          <w:szCs w:val="21"/>
          <w:highlight w:val="none"/>
          <w:lang w:val="en-US" w:eastAsia="zh-CN" w:bidi="ar-SA"/>
        </w:rPr>
        <w:t xml:space="preserve">同一分包</w:t>
      </w:r>
      <w:r>
        <w:rPr>
          <w:rFonts w:hint="eastAsia" w:ascii="宋体" w:hAnsi="宋体"/>
          <w:bCs/>
          <w:sz w:val="24"/>
          <w:highlight w:val="none"/>
        </w:rPr>
        <w:t xml:space="preserve">提交两个（含两个）以上不同的投标报价的。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.1.4投标人不具备招标文件中规定资格要求的。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.1.5投标人的报价超过了采购预算或最高限价的。</w:t>
      </w:r>
      <w:r/>
    </w:p>
    <w:p>
      <w:pPr>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.1.6未通过符合性审查的。</w:t>
      </w:r>
      <w:r/>
    </w:p>
    <w:p>
      <w:pPr>
        <w:ind w:firstLine="360"/>
        <w:spacing w:line="400" w:lineRule="exact"/>
        <w:rPr>
          <w:rFonts w:hint="eastAsia" w:ascii="宋体" w:hAnsi="宋体"/>
          <w:bCs/>
          <w:i/>
          <w:color w:val="000000"/>
          <w:sz w:val="24"/>
          <w:szCs w:val="21"/>
          <w:highlight w:val="none"/>
          <w:u w:val="single"/>
        </w:rPr>
      </w:pPr>
      <w:r>
        <w:rPr>
          <w:rFonts w:hint="eastAsia" w:ascii="宋体" w:hAnsi="宋体"/>
          <w:bCs/>
          <w:sz w:val="24"/>
          <w:highlight w:val="none"/>
        </w:rPr>
        <w:t xml:space="preserve"> 2</w:t>
      </w:r>
      <w:r>
        <w:rPr>
          <w:rFonts w:hint="eastAsia" w:ascii="宋体" w:hAnsi="宋体"/>
          <w:bCs/>
          <w:sz w:val="24"/>
          <w:highlight w:val="none"/>
          <w:lang w:val="en-US" w:eastAsia="zh-CN"/>
        </w:rPr>
        <w:t xml:space="preserve">7</w:t>
      </w:r>
      <w:r>
        <w:rPr>
          <w:rFonts w:hint="eastAsia" w:ascii="宋体" w:hAnsi="宋体"/>
          <w:bCs/>
          <w:sz w:val="24"/>
          <w:highlight w:val="none"/>
        </w:rPr>
        <w:t xml:space="preserve">.1.7不符合招标文件中规定的实质性要求和条件的</w:t>
      </w:r>
      <w:r>
        <w:rPr>
          <w:rFonts w:hint="eastAsia" w:ascii="宋体" w:hAnsi="宋体"/>
          <w:bCs/>
          <w:sz w:val="24"/>
          <w:highlight w:val="none"/>
          <w:lang w:eastAsia="zh-CN"/>
        </w:rPr>
        <w:t xml:space="preserve">。</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.1.9 投标文件含有采购人不能接受的附加条件的。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.1.10评标委员会按照本招标文件规定对投标人进行异常低价投标审查后，认为投标人不能证明其报价合理性的。</w:t>
      </w:r>
      <w:r/>
    </w:p>
    <w:p>
      <w:pPr>
        <w:ind w:left="479"/>
        <w:spacing w:line="440" w:lineRule="exact"/>
        <w:rPr>
          <w:rFonts w:hint="eastAsia" w:ascii="宋体" w:hAnsi="宋体"/>
          <w:bCs/>
          <w:sz w:val="24"/>
          <w:highlight w:val="none"/>
          <w:lang w:val="en-US" w:eastAsia="zh-CN"/>
        </w:rPr>
      </w:pPr>
      <w:r/>
      <w:bookmarkStart w:id="170" w:name="OLE_LINK13"/>
      <w:r>
        <w:rPr>
          <w:rFonts w:hint="eastAsia" w:ascii="宋体" w:hAnsi="宋体"/>
          <w:bCs/>
          <w:sz w:val="24"/>
          <w:highlight w:val="none"/>
          <w:lang w:val="en-US" w:eastAsia="zh-CN"/>
        </w:rPr>
        <w:t xml:space="preserve">27.1.11</w:t>
      </w:r>
      <w:bookmarkEnd w:id="170"/>
      <w:r>
        <w:rPr>
          <w:rFonts w:hint="eastAsia" w:ascii="宋体" w:hAnsi="宋体"/>
          <w:bCs/>
          <w:sz w:val="24"/>
          <w:highlight w:val="none"/>
          <w:lang w:val="en-US" w:eastAsia="zh-CN"/>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479"/>
        <w:spacing w:line="440" w:lineRule="exact"/>
        <w:rPr>
          <w:rFonts w:hint="eastAsia" w:ascii="宋体" w:hAnsi="宋体"/>
          <w:bCs/>
          <w:sz w:val="24"/>
          <w:highlight w:val="none"/>
          <w:lang w:val="en-US" w:eastAsia="zh-CN"/>
        </w:rPr>
      </w:pPr>
      <w:r>
        <w:rPr>
          <w:rFonts w:hint="eastAsia" w:ascii="宋体" w:hAnsi="宋体"/>
          <w:bCs/>
          <w:sz w:val="24"/>
          <w:highlight w:val="none"/>
          <w:lang w:val="en-US" w:eastAsia="zh-CN"/>
        </w:rPr>
        <w:t xml:space="preserve">27.1.12 投标文件未按照招标文件要求加盖CA电子公章的。</w:t>
      </w:r>
      <w:r/>
    </w:p>
    <w:p>
      <w:pPr>
        <w:ind w:left="479"/>
        <w:spacing w:line="440" w:lineRule="exact"/>
        <w:rPr>
          <w:rFonts w:hint="eastAsia" w:ascii="宋体" w:hAnsi="宋体"/>
          <w:bCs/>
          <w:sz w:val="24"/>
          <w:highlight w:val="none"/>
          <w:lang w:val="en-US" w:eastAsia="zh-CN"/>
        </w:rPr>
      </w:pPr>
      <w:r>
        <w:rPr>
          <w:rFonts w:hint="eastAsia" w:ascii="宋体" w:hAnsi="宋体"/>
          <w:bCs/>
          <w:sz w:val="24"/>
          <w:highlight w:val="none"/>
          <w:lang w:val="en-US" w:eastAsia="zh-CN"/>
        </w:rPr>
        <w:t xml:space="preserve">27.1.13 投标人所投标产品不符合招标文件中所列国家强制性标准的。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w:t>
      </w:r>
      <w:r>
        <w:rPr>
          <w:rFonts w:hint="eastAsia" w:ascii="宋体" w:hAnsi="宋体"/>
          <w:bCs/>
          <w:sz w:val="24"/>
          <w:highlight w:val="none"/>
          <w:lang w:val="en-US" w:eastAsia="zh-CN"/>
        </w:rPr>
        <w:t xml:space="preserve">4</w:t>
      </w:r>
      <w:r>
        <w:rPr>
          <w:rFonts w:hint="eastAsia" w:ascii="宋体" w:hAnsi="宋体"/>
          <w:bCs/>
          <w:sz w:val="24"/>
          <w:highlight w:val="none"/>
        </w:rPr>
        <w:t xml:space="preserve">其他法律、法规及本招标文件规定的属无效投标的情形。</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.2废标条款</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.2.1符合专业条件的供应商或者对招标文件作实质响应的供应商不足三家的。2</w:t>
      </w:r>
      <w:r>
        <w:rPr>
          <w:rFonts w:hint="eastAsia" w:ascii="宋体" w:hAnsi="宋体"/>
          <w:bCs/>
          <w:sz w:val="24"/>
          <w:highlight w:val="none"/>
          <w:lang w:val="en-US" w:eastAsia="zh-CN"/>
        </w:rPr>
        <w:t xml:space="preserve">7</w:t>
      </w:r>
      <w:r>
        <w:rPr>
          <w:rFonts w:hint="eastAsia" w:ascii="宋体" w:hAnsi="宋体"/>
          <w:bCs/>
          <w:sz w:val="24"/>
          <w:highlight w:val="none"/>
        </w:rPr>
        <w:t xml:space="preserve">.2.2出现影响采购公正的违法、违规行为的。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.2.3因重大变故，采购任务取消的。</w:t>
      </w:r>
      <w:r/>
    </w:p>
    <w:p>
      <w:pPr>
        <w:ind w:left="479"/>
        <w:spacing w:line="440" w:lineRule="exact"/>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.2.4评标委员会认定招标文件存在歧义、重大缺陷导致评审工作无法进行。</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.3 投标截止时间结束后参加投标的供应商不足三家的处理：</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.3.1如出现投标截止时间结束后参加投标的供应商或者在评标期间对招标文件做出实质响应的供应商不足三家情况，按政府采购相关规定执行。</w:t>
      </w:r>
      <w:r/>
    </w:p>
    <w:p>
      <w:pPr>
        <w:pStyle w:val="993"/>
        <w:rPr>
          <w:rFonts w:eastAsia="宋体"/>
          <w:highlight w:val="none"/>
          <w:lang w:val="en-US" w:eastAsia="zh-CN"/>
        </w:rPr>
      </w:pPr>
      <w:r>
        <w:rPr>
          <w:rFonts w:hint="eastAsia"/>
          <w:bCs/>
          <w:sz w:val="24"/>
          <w:highlight w:val="none"/>
          <w:lang w:val="en-US" w:eastAsia="zh-CN"/>
        </w:rPr>
        <w:t xml:space="preserve">                 </w:t>
      </w:r>
      <w:r/>
    </w:p>
    <w:p>
      <w:pPr>
        <w:pStyle w:val="946"/>
        <w:ind w:firstLine="482"/>
        <w:spacing w:before="145" w:after="145" w:line="360" w:lineRule="auto"/>
        <w:rPr>
          <w:rFonts w:hint="eastAsia" w:ascii="宋体" w:hAnsi="宋体"/>
          <w:highlight w:val="none"/>
        </w:rPr>
      </w:pPr>
      <w:r/>
      <w:bookmarkStart w:id="171" w:name="_Toc120614219"/>
      <w:r>
        <w:rPr>
          <w:rFonts w:hint="eastAsia" w:ascii="宋体" w:hAnsi="宋体"/>
          <w:highlight w:val="none"/>
        </w:rPr>
        <w:t xml:space="preserve">六、</w:t>
      </w:r>
      <w:bookmarkEnd w:id="167"/>
      <w:r/>
      <w:bookmarkEnd w:id="168"/>
      <w:r/>
      <w:bookmarkEnd w:id="169"/>
      <w:r>
        <w:rPr>
          <w:rFonts w:hint="eastAsia" w:ascii="宋体" w:hAnsi="宋体"/>
          <w:highlight w:val="none"/>
        </w:rPr>
        <w:t xml:space="preserve">定标</w:t>
      </w:r>
      <w:bookmarkEnd w:id="171"/>
      <w:r/>
      <w:r/>
    </w:p>
    <w:p>
      <w:pPr>
        <w:pStyle w:val="947"/>
        <w:ind w:firstLine="600"/>
        <w:spacing w:before="0" w:after="0" w:line="240" w:lineRule="auto"/>
        <w:rPr>
          <w:rFonts w:hint="eastAsia" w:ascii="宋体" w:hAnsi="宋体" w:eastAsia="宋体"/>
          <w:b w:val="0"/>
          <w:sz w:val="30"/>
          <w:szCs w:val="30"/>
          <w:highlight w:val="none"/>
        </w:rPr>
      </w:pPr>
      <w:r/>
      <w:bookmarkStart w:id="172" w:name="_Toc513029238"/>
      <w:r/>
      <w:bookmarkStart w:id="173" w:name="_Toc20823310"/>
      <w:r/>
      <w:bookmarkStart w:id="174" w:name="_Toc16938554"/>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8</w:t>
      </w:r>
      <w:r>
        <w:rPr>
          <w:rFonts w:hint="eastAsia" w:ascii="宋体" w:hAnsi="宋体" w:eastAsia="宋体"/>
          <w:b w:val="0"/>
          <w:sz w:val="30"/>
          <w:szCs w:val="30"/>
          <w:highlight w:val="none"/>
        </w:rPr>
        <w:t xml:space="preserve">、</w:t>
      </w:r>
      <w:bookmarkEnd w:id="172"/>
      <w:r>
        <w:rPr>
          <w:rFonts w:hint="eastAsia" w:ascii="宋体" w:hAnsi="宋体" w:eastAsia="宋体"/>
          <w:b w:val="0"/>
          <w:sz w:val="30"/>
          <w:szCs w:val="30"/>
          <w:highlight w:val="none"/>
        </w:rPr>
        <w:t xml:space="preserve">确定</w:t>
      </w:r>
      <w:bookmarkEnd w:id="173"/>
      <w:r/>
      <w:bookmarkEnd w:id="174"/>
      <w:r>
        <w:rPr>
          <w:rFonts w:hint="eastAsia" w:ascii="宋体" w:hAnsi="宋体" w:eastAsia="宋体"/>
          <w:b w:val="0"/>
          <w:sz w:val="30"/>
          <w:szCs w:val="30"/>
          <w:highlight w:val="none"/>
        </w:rPr>
        <w:t xml:space="preserve">中标单位</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.1中标候选人的选取原则和数量见招标文件第五章规定。 </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.2 采购人应根据评委会推荐的中标候选人确定中标人。</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.3 </w:t>
      </w:r>
      <w:r>
        <w:rPr>
          <w:rFonts w:hint="eastAsia" w:ascii="宋体" w:hAnsi="宋体"/>
          <w:sz w:val="24"/>
          <w:szCs w:val="24"/>
          <w:highlight w:val="none"/>
        </w:rPr>
        <w:t xml:space="preserve">采购中心将在“江苏政府采购网”发布中标公告，公告期限为1个工作日。</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  若有充分证据证明，中标人出现下列情况之一的，一经查实，将被取消中标资格：</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.4.1提供虚假材料谋取中标的。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.4.2向采购人、采购中心行贿或者提供其他不正当利益的。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.4.3属于本文件规定的无效条件，但在评标过程中又未被评委会发现的。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.4.4与采购人或者其他供应商恶意串通的。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.4.5采取不正当手段诋毁、排挤其他供应商的。</w:t>
      </w:r>
      <w:r/>
    </w:p>
    <w:p>
      <w:pPr>
        <w:ind w:firstLine="480"/>
        <w:spacing w:line="480" w:lineRule="exact"/>
        <w:rPr>
          <w:rFonts w:ascii="宋体" w:hAnsi="宋体"/>
          <w:sz w:val="24"/>
          <w:szCs w:val="24"/>
          <w:highlight w:val="none"/>
        </w:rPr>
      </w:pPr>
      <w:r/>
      <w:bookmarkStart w:id="175" w:name="_Toc200451960"/>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 </w:t>
      </w:r>
      <w:r>
        <w:rPr>
          <w:rFonts w:ascii="宋体" w:hAnsi="宋体" w:cs="宋体"/>
          <w:sz w:val="24"/>
          <w:szCs w:val="24"/>
          <w:highlight w:val="none"/>
        </w:rPr>
        <w:t xml:space="preserve">有下列情形之一的，</w:t>
      </w:r>
      <w:r>
        <w:rPr>
          <w:rFonts w:hint="eastAsia" w:ascii="宋体" w:hAnsi="宋体" w:cs="宋体"/>
          <w:sz w:val="24"/>
          <w:szCs w:val="24"/>
          <w:highlight w:val="none"/>
        </w:rPr>
        <w:t xml:space="preserve">视为投标人</w:t>
      </w:r>
      <w:r>
        <w:rPr>
          <w:rFonts w:ascii="宋体" w:hAnsi="宋体" w:cs="宋体"/>
          <w:sz w:val="24"/>
          <w:szCs w:val="24"/>
          <w:highlight w:val="none"/>
        </w:rPr>
        <w:t xml:space="preserve">串通</w:t>
      </w:r>
      <w:r>
        <w:rPr>
          <w:rFonts w:hint="eastAsia" w:ascii="宋体" w:hAnsi="宋体" w:cs="宋体"/>
          <w:sz w:val="24"/>
          <w:szCs w:val="24"/>
          <w:highlight w:val="none"/>
        </w:rPr>
        <w:t xml:space="preserve">投标，投标无效：</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.5.1不同投标人的投标文件由同一单位或者个人编制。</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.5.2不同投标人委托同一单位或者个人办理投标事宜。</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.5.3 不同投标人的投标文件载明的项目管理成员或者联系人员为同一人。</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.5.4不同投标人的投标文件异常一致或者投标报价呈规律性差异。</w:t>
      </w:r>
      <w:r/>
    </w:p>
    <w:p>
      <w:pPr>
        <w:pStyle w:val="947"/>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9</w:t>
      </w:r>
      <w:r>
        <w:rPr>
          <w:rFonts w:hint="eastAsia" w:ascii="宋体" w:hAnsi="宋体" w:eastAsia="宋体"/>
          <w:b w:val="0"/>
          <w:sz w:val="30"/>
          <w:szCs w:val="30"/>
          <w:highlight w:val="none"/>
        </w:rPr>
        <w:t xml:space="preserve">、质疑处理</w:t>
      </w:r>
      <w:bookmarkEnd w:id="175"/>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.4条款的规定向采购人提出质疑。上述应知其权益受到损害之日，是指：</w:t>
      </w:r>
      <w:r/>
    </w:p>
    <w:p>
      <w:pPr>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.2.1</w:t>
      </w:r>
      <w:r>
        <w:rPr>
          <w:rFonts w:ascii="宋体" w:hAnsi="宋体" w:cs="宋体"/>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.2.2</w:t>
      </w:r>
      <w:r>
        <w:rPr>
          <w:rFonts w:ascii="宋体" w:hAnsi="宋体" w:cs="宋体"/>
          <w:sz w:val="24"/>
          <w:szCs w:val="24"/>
          <w:highlight w:val="none"/>
        </w:rPr>
        <w:t xml:space="preserve">对采购过程提出质疑的，为各采购程序环节结束之日；</w:t>
      </w:r>
      <w:r/>
    </w:p>
    <w:p>
      <w:pPr>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.2.3</w:t>
      </w:r>
      <w:r>
        <w:rPr>
          <w:rFonts w:ascii="宋体" w:hAnsi="宋体" w:cs="宋体"/>
          <w:sz w:val="24"/>
          <w:szCs w:val="24"/>
          <w:highlight w:val="none"/>
        </w:rPr>
        <w:t xml:space="preserve">对中标或者成交结果提出质疑的，为中标或者成交结果公告期限届满之日。</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ascii="宋体" w:hAnsi="宋体" w:cs="宋体"/>
          <w:sz w:val="24"/>
          <w:szCs w:val="24"/>
          <w:highlight w:val="none"/>
        </w:rPr>
        <w:t xml:space="preserve">采购人</w:t>
      </w:r>
      <w:r>
        <w:rPr>
          <w:rFonts w:hint="eastAsia" w:ascii="宋体" w:hAnsi="宋体" w:cs="宋体"/>
          <w:sz w:val="24"/>
          <w:szCs w:val="24"/>
          <w:highlight w:val="none"/>
        </w:rPr>
        <w:t xml:space="preserve">将只对供应商第一次质疑作出答复。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.4</w:t>
      </w:r>
      <w:r>
        <w:rPr>
          <w:rFonts w:hint="eastAsia" w:ascii="宋体" w:hAnsi="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采购人只接收以纸质原件形式送达的质疑,建议供应商尽量通过邮寄方式提交质疑（采购人</w:t>
      </w:r>
      <w:r>
        <w:rPr>
          <w:rFonts w:hint="eastAsia" w:ascii="宋体" w:hAnsi="宋体"/>
          <w:sz w:val="24"/>
          <w:szCs w:val="24"/>
          <w:highlight w:val="none"/>
          <w:lang w:eastAsia="zh-CN"/>
        </w:rPr>
        <w:t xml:space="preserve">不</w:t>
      </w:r>
      <w:r>
        <w:rPr>
          <w:rFonts w:hint="eastAsia" w:ascii="宋体" w:hAnsi="宋体"/>
          <w:sz w:val="24"/>
          <w:szCs w:val="24"/>
          <w:highlight w:val="none"/>
        </w:rPr>
        <w:t xml:space="preserve">接受未填写快递运单的快件）。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 以下情形的质疑不予受理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.5.1 内容不符合《政府采购质疑和投诉办法》第十二条规定的质疑。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.5.2 超出政府采购法定期限的质疑。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.5.3 以传真、电子邮件等方式递交的非原件形式的质疑。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.5.4 未参加投标活动的供应商或在投标活动中自身权益未受到损害的供应商所提出的质疑。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.5.5供应商组成联合体参加投标，联合体中任何一方或多方未按要求签字、盖章、加盖公章的质疑。</w:t>
      </w:r>
      <w:r/>
    </w:p>
    <w:p>
      <w:pPr>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p>
    <w:p>
      <w:pPr>
        <w:pStyle w:val="947"/>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lang w:val="en-US" w:eastAsia="zh-CN"/>
        </w:rPr>
        <w:t xml:space="preserve">30</w:t>
      </w:r>
      <w:r>
        <w:rPr>
          <w:rFonts w:hint="eastAsia" w:ascii="宋体" w:hAnsi="宋体" w:eastAsia="宋体"/>
          <w:b w:val="0"/>
          <w:sz w:val="30"/>
          <w:szCs w:val="30"/>
          <w:highlight w:val="none"/>
        </w:rPr>
        <w:t xml:space="preserve">、中标通知书</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46"/>
        <w:spacing w:before="145" w:after="145" w:line="360" w:lineRule="auto"/>
        <w:rPr>
          <w:rFonts w:hint="eastAsia" w:ascii="宋体" w:hAnsi="宋体"/>
          <w:highlight w:val="none"/>
        </w:rPr>
      </w:pPr>
      <w:r/>
      <w:bookmarkStart w:id="176" w:name="_Toc120614220"/>
      <w:r/>
      <w:bookmarkStart w:id="177" w:name="_Toc20823308"/>
      <w:r/>
      <w:bookmarkStart w:id="178" w:name="_Toc513029236"/>
      <w:r/>
      <w:bookmarkStart w:id="179" w:name="_Toc16938552"/>
      <w:r>
        <w:rPr>
          <w:rFonts w:hint="eastAsia" w:ascii="宋体" w:hAnsi="宋体"/>
          <w:highlight w:val="none"/>
        </w:rPr>
        <w:t xml:space="preserve">七、授予合同</w:t>
      </w:r>
      <w:bookmarkEnd w:id="176"/>
      <w:r/>
      <w:bookmarkEnd w:id="177"/>
      <w:bookmarkEnd w:id="178"/>
      <w:bookmarkEnd w:id="179"/>
      <w:r/>
    </w:p>
    <w:p>
      <w:pPr>
        <w:pStyle w:val="947"/>
        <w:ind w:firstLine="600"/>
        <w:spacing w:before="0" w:after="0" w:line="240" w:lineRule="auto"/>
        <w:rPr>
          <w:rFonts w:hint="eastAsia" w:ascii="宋体" w:hAnsi="宋体" w:eastAsia="宋体"/>
          <w:b w:val="0"/>
          <w:sz w:val="30"/>
          <w:szCs w:val="30"/>
          <w:highlight w:val="none"/>
        </w:rPr>
      </w:pPr>
      <w:r/>
      <w:bookmarkStart w:id="180" w:name="_Toc513029237"/>
      <w:r/>
      <w:bookmarkStart w:id="181" w:name="_Toc20823309"/>
      <w:r/>
      <w:bookmarkStart w:id="182" w:name="_Toc16938553"/>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1</w:t>
      </w:r>
      <w:r>
        <w:rPr>
          <w:rFonts w:hint="eastAsia" w:ascii="宋体" w:hAnsi="宋体" w:eastAsia="宋体"/>
          <w:b w:val="0"/>
          <w:sz w:val="30"/>
          <w:szCs w:val="30"/>
          <w:highlight w:val="none"/>
        </w:rPr>
        <w:t xml:space="preserve">. 签订合同</w:t>
      </w:r>
      <w:r/>
    </w:p>
    <w:p>
      <w:pPr>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1</w:t>
      </w:r>
      <w:r>
        <w:rPr>
          <w:rFonts w:hint="eastAsia" w:ascii="宋体" w:hAnsi="宋体"/>
          <w:sz w:val="24"/>
          <w:szCs w:val="24"/>
          <w:highlight w:val="none"/>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47"/>
        <w:ind w:firstLine="600"/>
        <w:spacing w:before="0" w:after="0" w:line="240" w:lineRule="auto"/>
        <w:rPr>
          <w:rFonts w:hint="eastAsia" w:ascii="宋体" w:hAnsi="宋体" w:eastAsia="宋体" w:cs="Times New Roman"/>
          <w:b w:val="0"/>
          <w:bCs w:val="0"/>
          <w:sz w:val="30"/>
          <w:szCs w:val="30"/>
          <w:highlight w:val="none"/>
        </w:rPr>
      </w:pPr>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2</w:t>
      </w:r>
      <w:r>
        <w:rPr>
          <w:rFonts w:hint="eastAsia" w:ascii="宋体" w:hAnsi="宋体" w:eastAsia="宋体"/>
          <w:b w:val="0"/>
          <w:sz w:val="30"/>
          <w:szCs w:val="30"/>
          <w:highlight w:val="none"/>
        </w:rPr>
        <w:t xml:space="preserve">、</w:t>
      </w:r>
      <w:r>
        <w:rPr>
          <w:rFonts w:hint="eastAsia" w:ascii="宋体" w:hAnsi="宋体" w:eastAsia="宋体" w:cs="Times New Roman"/>
          <w:b w:val="0"/>
          <w:bCs w:val="0"/>
          <w:sz w:val="30"/>
          <w:szCs w:val="30"/>
          <w:highlight w:val="none"/>
        </w:rPr>
        <w:t xml:space="preserve">货物（包含与货物相关的服务）的追加</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bookmarkEnd w:id="181"/>
      <w:bookmarkEnd w:id="182"/>
      <w:r/>
    </w:p>
    <w:p>
      <w:pPr>
        <w:pStyle w:val="947"/>
        <w:ind w:firstLine="600"/>
        <w:spacing w:before="0" w:after="0" w:line="240" w:lineRule="auto"/>
        <w:rPr>
          <w:rFonts w:ascii="宋体" w:hAnsi="宋体" w:eastAsia="宋体"/>
          <w:b w:val="0"/>
          <w:sz w:val="30"/>
          <w:szCs w:val="30"/>
          <w:highlight w:val="none"/>
        </w:rPr>
      </w:pPr>
      <w:r/>
      <w:bookmarkStart w:id="183" w:name="_Toc120614221"/>
      <w:r/>
      <w:bookmarkStart w:id="184" w:name="_Toc16938558"/>
      <w:r/>
      <w:bookmarkStart w:id="185" w:name="_Toc513029242"/>
      <w:r/>
      <w:bookmarkStart w:id="186" w:name="_Toc479757207"/>
      <w:r/>
      <w:bookmarkStart w:id="187" w:name="_Toc20823314"/>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3</w:t>
      </w:r>
      <w:r>
        <w:rPr>
          <w:rFonts w:hint="eastAsia" w:ascii="宋体" w:hAnsi="宋体" w:eastAsia="宋体"/>
          <w:b w:val="0"/>
          <w:sz w:val="30"/>
          <w:szCs w:val="30"/>
          <w:highlight w:val="none"/>
        </w:rPr>
        <w:t xml:space="preserve">、政府采购履约资金扶持政策</w:t>
      </w:r>
      <w:r/>
    </w:p>
    <w:p>
      <w:pPr>
        <w:pStyle w:val="775"/>
        <w:rPr>
          <w:rFonts w:ascii="宋体" w:hAnsi="宋体"/>
          <w:bCs/>
          <w:sz w:val="24"/>
          <w:highlight w:val="none"/>
        </w:rPr>
      </w:pPr>
      <w:r>
        <w:rPr>
          <w:rFonts w:ascii="宋体" w:hAnsi="宋体"/>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775"/>
        <w:rPr>
          <w:rFonts w:hint="eastAsia" w:ascii="宋体" w:hAnsi="宋体"/>
          <w:highlight w:val="none"/>
          <w:lang w:val="en-US"/>
        </w:rPr>
      </w:pPr>
      <w:r>
        <w:rPr>
          <w:rFonts w:hint="eastAsia" w:ascii="宋体" w:hAnsi="宋体"/>
          <w:highlight w:val="none"/>
          <w:lang w:val="en-US"/>
        </w:rPr>
      </w:r>
      <w:r/>
    </w:p>
    <w:p>
      <w:pPr>
        <w:pStyle w:val="944"/>
        <w:rPr>
          <w:rFonts w:hint="eastAsia" w:ascii="宋体" w:hAnsi="宋体" w:eastAsia="宋体"/>
          <w:bCs/>
          <w:sz w:val="44"/>
          <w:highlight w:val="none"/>
          <w:lang w:eastAsia="zh-CN"/>
        </w:rPr>
      </w:pPr>
      <w:r>
        <w:rPr>
          <w:rFonts w:hint="eastAsia" w:ascii="宋体" w:hAnsi="宋体" w:eastAsia="宋体"/>
          <w:bCs/>
          <w:sz w:val="44"/>
          <w:highlight w:val="none"/>
          <w:lang w:eastAsia="zh-CN"/>
        </w:rPr>
      </w:r>
      <w:r/>
    </w:p>
    <w:p>
      <w:pPr>
        <w:rPr>
          <w:rFonts w:hint="eastAsia" w:ascii="宋体" w:hAnsi="宋体"/>
          <w:highlight w:val="none"/>
        </w:rPr>
      </w:pPr>
      <w:r>
        <w:rPr>
          <w:rFonts w:hint="eastAsia" w:ascii="宋体" w:hAnsi="宋体"/>
          <w:highlight w:val="none"/>
        </w:rPr>
      </w:r>
      <w:r/>
    </w:p>
    <w:p>
      <w:pPr>
        <w:pStyle w:val="1008"/>
        <w:ind w:firstLine="600"/>
        <w:rPr>
          <w:rFonts w:hint="eastAsia" w:ascii="宋体" w:hAnsi="宋体" w:eastAsia="宋体"/>
          <w:highlight w:val="none"/>
          <w:lang w:eastAsia="zh-CN"/>
        </w:rPr>
      </w:pPr>
      <w:r>
        <w:rPr>
          <w:rFonts w:hint="eastAsia" w:ascii="宋体" w:hAnsi="宋体" w:eastAsia="宋体"/>
          <w:highlight w:val="none"/>
          <w:lang w:eastAsia="zh-CN"/>
        </w:rPr>
      </w:r>
      <w:r/>
    </w:p>
    <w:p>
      <w:pPr>
        <w:pStyle w:val="944"/>
        <w:rPr>
          <w:rFonts w:hint="eastAsia" w:ascii="宋体" w:hAnsi="宋体" w:eastAsia="宋体"/>
          <w:bCs/>
          <w:sz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bCs/>
          <w:sz w:val="44"/>
          <w:highlight w:val="none"/>
        </w:rPr>
      </w:r>
      <w:r/>
    </w:p>
    <w:p>
      <w:pPr>
        <w:pStyle w:val="944"/>
        <w:rPr>
          <w:rFonts w:hint="eastAsia" w:ascii="宋体" w:hAnsi="宋体" w:eastAsia="宋体"/>
          <w:bCs/>
          <w:sz w:val="44"/>
          <w:highlight w:val="none"/>
        </w:rPr>
      </w:pPr>
      <w:r>
        <w:rPr>
          <w:rFonts w:hint="eastAsia" w:ascii="宋体" w:hAnsi="宋体" w:eastAsia="宋体"/>
          <w:bCs/>
          <w:sz w:val="44"/>
          <w:highlight w:val="none"/>
        </w:rPr>
        <w:t xml:space="preserve">第三章  合同</w:t>
      </w:r>
      <w:bookmarkEnd w:id="183"/>
      <w:r/>
      <w:bookmarkEnd w:id="184"/>
      <w:r/>
      <w:bookmarkEnd w:id="185"/>
      <w:r/>
      <w:bookmarkEnd w:id="186"/>
      <w:r/>
      <w:bookmarkEnd w:id="187"/>
      <w:r>
        <w:rPr>
          <w:rFonts w:hint="eastAsia" w:ascii="宋体" w:hAnsi="宋体" w:eastAsia="宋体"/>
          <w:bCs/>
          <w:sz w:val="44"/>
          <w:highlight w:val="none"/>
        </w:rPr>
        <w:t xml:space="preserve">文本</w:t>
      </w:r>
      <w:r/>
    </w:p>
    <w:p>
      <w:pPr>
        <w:ind w:firstLine="480"/>
        <w:spacing w:line="500" w:lineRule="exact"/>
        <w:rPr>
          <w:rFonts w:hint="eastAsia" w:ascii="宋体" w:hAnsi="宋体"/>
          <w:bCs/>
          <w:color w:val="000000"/>
          <w:sz w:val="24"/>
          <w:highlight w:val="none"/>
        </w:rPr>
      </w:pPr>
      <w:r/>
      <w:bookmarkStart w:id="188" w:name="_Toc20823315"/>
      <w:r/>
      <w:bookmarkStart w:id="189" w:name="_Toc513029243"/>
      <w:r/>
      <w:bookmarkStart w:id="190" w:name="_Toc16938559"/>
      <w:r>
        <w:rPr>
          <w:rFonts w:hint="eastAsia" w:ascii="宋体" w:hAnsi="宋体"/>
          <w:bCs/>
          <w:color w:val="000000"/>
          <w:sz w:val="24"/>
          <w:highlight w:val="none"/>
          <w:lang w:val="en-US" w:eastAsia="zh-CN"/>
        </w:rPr>
        <w:t xml:space="preserve">以下为</w:t>
      </w:r>
      <w:r>
        <w:rPr>
          <w:rFonts w:hint="eastAsia" w:ascii="宋体" w:hAnsi="宋体"/>
          <w:bCs/>
          <w:color w:val="000000"/>
          <w:sz w:val="24"/>
          <w:highlight w:val="none"/>
        </w:rPr>
        <w:t xml:space="preserve">中标后签定本项目合同的通用条款，中标人不得提出实质性的修改。</w:t>
      </w:r>
      <w:r/>
    </w:p>
    <w:p>
      <w:pPr>
        <w:ind w:firstLine="640"/>
        <w:spacing w:line="500" w:lineRule="exact"/>
        <w:rPr>
          <w:rFonts w:hint="eastAsia" w:ascii="宋体" w:hAnsi="宋体"/>
          <w:bCs/>
          <w:sz w:val="32"/>
          <w:szCs w:val="32"/>
          <w:highlight w:val="none"/>
        </w:rPr>
      </w:pPr>
      <w:r>
        <w:rPr>
          <w:rFonts w:hint="eastAsia" w:ascii="宋体" w:hAnsi="宋体"/>
          <w:bCs/>
          <w:sz w:val="32"/>
          <w:szCs w:val="32"/>
          <w:highlight w:val="none"/>
        </w:rPr>
      </w:r>
      <w:bookmarkEnd w:id="188"/>
      <w:bookmarkEnd w:id="189"/>
      <w:bookmarkEnd w:id="190"/>
      <w:r/>
    </w:p>
    <w:p>
      <w:pPr>
        <w:pStyle w:val="1028"/>
        <w:jc w:val="center"/>
        <w:rPr>
          <w:rFonts w:ascii="宋体" w:hAnsi="宋体" w:eastAsia="宋体" w:cs="宋体"/>
          <w:b/>
          <w:bCs/>
          <w:spacing w:val="-20"/>
          <w:sz w:val="32"/>
          <w:szCs w:val="32"/>
          <w:highlight w:val="none"/>
        </w:rPr>
      </w:pPr>
      <w:r/>
      <w:bookmarkStart w:id="191" w:name="_Hlt16619350"/>
      <w:r/>
      <w:bookmarkStart w:id="192" w:name="_Toc16938590"/>
      <w:r/>
      <w:bookmarkStart w:id="193" w:name="_Toc20823346"/>
      <w:r/>
      <w:bookmarkStart w:id="194" w:name="_Toc120614244"/>
      <w:r/>
      <w:bookmarkStart w:id="195" w:name="_Toc462564139"/>
      <w:r/>
      <w:bookmarkStart w:id="196" w:name="_Toc479757211"/>
      <w:r>
        <w:rPr>
          <w:rFonts w:hint="eastAsia" w:ascii="宋体" w:hAnsi="宋体" w:eastAsia="宋体" w:cs="宋体"/>
          <w:b/>
          <w:bCs/>
          <w:spacing w:val="-20"/>
          <w:sz w:val="32"/>
          <w:szCs w:val="32"/>
          <w:highlight w:val="none"/>
        </w:rPr>
        <w:t xml:space="preserve">财政部 政府采购货物买卖合同（试行）</w:t>
      </w:r>
      <w:r/>
    </w:p>
    <w:p>
      <w:pPr>
        <w:pStyle w:val="1028"/>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28"/>
          <w:szCs w:val="28"/>
          <w:highlight w:val="none"/>
        </w:rPr>
      </w:pPr>
      <w:r>
        <w:rPr>
          <w:rFonts w:hint="eastAsia" w:ascii="宋体" w:hAnsi="宋体" w:cs="宋体"/>
          <w:sz w:val="28"/>
          <w:szCs w:val="28"/>
          <w:highlight w:val="none"/>
        </w:rPr>
        <w:t xml:space="preserve">项目名称：</w:t>
      </w:r>
      <w:r>
        <w:rPr>
          <w:rFonts w:hint="eastAsia"/>
          <w:sz w:val="28"/>
          <w:szCs w:val="28"/>
          <w:highlight w:val="none"/>
          <w:u w:val="single"/>
        </w:rPr>
        <w:t xml:space="preserve">                             </w:t>
      </w:r>
      <w:r/>
    </w:p>
    <w:p>
      <w:pPr>
        <w:ind w:left="420"/>
        <w:spacing w:line="360" w:lineRule="auto"/>
        <w:rPr>
          <w:sz w:val="28"/>
          <w:szCs w:val="28"/>
          <w:highlight w:val="none"/>
          <w:u w:val="single"/>
        </w:rPr>
      </w:pPr>
      <w:r>
        <w:rPr>
          <w:rFonts w:hint="eastAsia"/>
          <w:sz w:val="28"/>
          <w:szCs w:val="28"/>
          <w:highlight w:val="none"/>
        </w:rPr>
        <w:t xml:space="preserve">合同编号：</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甲    方：</w:t>
      </w:r>
      <w:r>
        <w:rPr>
          <w:rFonts w:hint="eastAsia"/>
          <w:sz w:val="28"/>
          <w:szCs w:val="28"/>
          <w:highlight w:val="none"/>
          <w:u w:val="single"/>
        </w:rPr>
        <w:t xml:space="preserve">                             </w:t>
      </w:r>
      <w:r/>
    </w:p>
    <w:p>
      <w:pPr>
        <w:ind w:left="420"/>
        <w:spacing w:line="360" w:lineRule="auto"/>
        <w:rPr>
          <w:sz w:val="28"/>
          <w:szCs w:val="28"/>
          <w:highlight w:val="none"/>
          <w:u w:val="single"/>
        </w:rPr>
      </w:pPr>
      <w:r>
        <w:rPr>
          <w:rFonts w:hint="eastAsia"/>
          <w:sz w:val="28"/>
          <w:szCs w:val="28"/>
          <w:highlight w:val="none"/>
        </w:rPr>
        <w:t xml:space="preserve">乙    方：</w:t>
      </w:r>
      <w:r>
        <w:rPr>
          <w:rFonts w:hint="eastAsia"/>
          <w:sz w:val="28"/>
          <w:szCs w:val="28"/>
          <w:highlight w:val="none"/>
          <w:u w:val="single"/>
        </w:rPr>
        <w:t xml:space="preserve">                             </w:t>
      </w:r>
      <w:r/>
    </w:p>
    <w:p>
      <w:pPr>
        <w:ind w:left="420"/>
        <w:spacing w:line="360" w:lineRule="auto"/>
        <w:rPr>
          <w:sz w:val="28"/>
          <w:szCs w:val="28"/>
          <w:highlight w:val="none"/>
        </w:rPr>
      </w:pPr>
      <w:r>
        <w:rPr>
          <w:rFonts w:hint="eastAsia"/>
          <w:sz w:val="28"/>
          <w:szCs w:val="28"/>
          <w:highlight w:val="none"/>
        </w:rPr>
        <w:t xml:space="preserve">签订时间：</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ascii="宋体" w:hAnsi="宋体"/>
          <w:sz w:val="32"/>
          <w:szCs w:val="32"/>
          <w:highlight w:val="none"/>
        </w:rPr>
      </w:pPr>
      <w:r>
        <w:rPr>
          <w:rFonts w:hint="eastAsia" w:ascii="宋体" w:hAnsi="宋体"/>
          <w:sz w:val="32"/>
          <w:szCs w:val="32"/>
          <w:highlight w:val="none"/>
        </w:rPr>
        <w:t xml:space="preserve">使 用 说 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1.本合同标准文本适用于购买现成货物的采购项目，不包括需要供应商定制开发、创新研发的货物采购项目。</w:t>
      </w:r>
      <w:r/>
    </w:p>
    <w:p>
      <w:pPr>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t xml:space="preserve"> </w:t>
      </w:r>
      <w:r>
        <w:rPr>
          <w:rFonts w:hint="eastAsia" w:ascii="宋体" w:hAnsi="宋体" w:cs="仿宋_GB2312"/>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14"/>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highlight w:val="none"/>
        </w:rPr>
      </w:r>
      <w:r/>
    </w:p>
    <w:p>
      <w:pPr>
        <w:pStyle w:val="1030"/>
        <w:spacing w:line="400" w:lineRule="exact"/>
        <w:rPr>
          <w:rFonts w:ascii="黑体" w:hAnsi="黑体" w:eastAsia="黑体"/>
          <w:sz w:val="28"/>
          <w:szCs w:val="28"/>
          <w:highlight w:val="none"/>
        </w:rPr>
      </w:pPr>
      <w:r>
        <w:rPr>
          <w:rFonts w:ascii="黑体" w:hAnsi="黑体" w:eastAsia="黑体"/>
          <w:sz w:val="28"/>
          <w:szCs w:val="28"/>
          <w:highlight w:val="none"/>
        </w:rPr>
      </w:r>
      <w:r/>
    </w:p>
    <w:p>
      <w:pPr>
        <w:pStyle w:val="1030"/>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p>
    <w:p>
      <w:pPr>
        <w:pStyle w:val="1030"/>
        <w:spacing w:line="400" w:lineRule="exact"/>
        <w:rPr>
          <w:rFonts w:ascii="黑体" w:hAnsi="华文中宋" w:eastAsia="黑体"/>
          <w:b w:val="0"/>
          <w:bCs w:val="0"/>
          <w:sz w:val="28"/>
          <w:szCs w:val="28"/>
          <w:highlight w:val="none"/>
        </w:rPr>
      </w:pPr>
      <w:r>
        <w:rPr>
          <w:rFonts w:ascii="黑体" w:hAnsi="华文中宋" w:eastAsia="黑体"/>
          <w:b w:val="0"/>
          <w:bCs w:val="0"/>
          <w:sz w:val="28"/>
          <w:szCs w:val="28"/>
          <w:highlight w:val="none"/>
        </w:rPr>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highlight w:val="none"/>
        </w:rPr>
      </w:pPr>
      <w:r>
        <w:rPr>
          <w:highlight w:val="none"/>
        </w:rPr>
      </w:r>
      <w:r/>
    </w:p>
    <w:p>
      <w:pPr>
        <w:pStyle w:val="1058"/>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项目信息</w:t>
      </w:r>
      <w:r/>
    </w:p>
    <w:p>
      <w:pPr>
        <w:pStyle w:val="1058"/>
        <w:numPr>
          <w:ilvl w:val="0"/>
          <w:numId w:val="7"/>
        </w:numPr>
        <w:ind w:left="0" w:firstLine="420"/>
        <w:spacing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p>
    <w:p>
      <w:pPr>
        <w:pStyle w:val="1058"/>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1058"/>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1037"/>
        <w:ind w:firstLine="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37"/>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1037"/>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037"/>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1037"/>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1037"/>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1037"/>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037"/>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宋体" w:hAnsi="宋体"/>
          <w:iCs/>
          <w:szCs w:val="21"/>
          <w:highlight w:val="none"/>
        </w:rPr>
        <w:t xml:space="preserve">       </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1037"/>
        <w:ind w:firstLine="0"/>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1037"/>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1037"/>
        <w:ind w:firstLine="420"/>
        <w:rPr>
          <w:rFonts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p>
    <w:p>
      <w:pPr>
        <w:ind w:firstLine="480"/>
        <w:jc w:val="left"/>
        <w:spacing w:line="360" w:lineRule="auto"/>
        <w:rPr>
          <w:rFonts w:hint="eastAsia" w:ascii="宋体" w:hAnsi="宋体"/>
          <w:szCs w:val="21"/>
          <w:highlight w:val="none"/>
        </w:rPr>
      </w:pPr>
      <w:r>
        <w:rPr>
          <w:rFonts w:hint="eastAsia" w:ascii="宋体" w:hAnsi="宋体"/>
          <w:szCs w:val="21"/>
          <w:highlight w:val="none"/>
        </w:rPr>
        <w:t xml:space="preserve">    （注：固定单价合同应填写单价和最高限价）</w:t>
      </w:r>
      <w:r/>
    </w:p>
    <w:p>
      <w:pPr>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80"/>
        <w:jc w:val="left"/>
        <w:spacing w:line="360" w:lineRule="auto"/>
        <w:rPr>
          <w:rFonts w:hint="eastAsia" w:ascii="宋体" w:hAnsi="宋体"/>
          <w:szCs w:val="21"/>
          <w:highlight w:val="none"/>
          <w:u w:val="singl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jc w:val="left"/>
        <w:spacing w:line="360" w:lineRule="auto"/>
        <w:rPr>
          <w:rFonts w:ascii="宋体" w:hAnsi="宋体"/>
          <w:szCs w:val="21"/>
          <w:highlight w:val="none"/>
          <w:lang w:val="en-US"/>
        </w:rPr>
      </w:pPr>
      <w:r>
        <w:rPr>
          <w:rFonts w:hint="eastAsia" w:ascii="宋体" w:hAnsi="宋体"/>
          <w:szCs w:val="21"/>
          <w:highlight w:val="none"/>
          <w:lang w:val="en-US" w:eastAsia="zh-CN"/>
        </w:rPr>
        <w:t xml:space="preserve">注：</w:t>
      </w:r>
      <w:r>
        <w:rPr>
          <w:rFonts w:hint="eastAsia" w:ascii="宋体" w:hAnsi="宋体" w:eastAsia="宋体" w:cs="Times New Roman"/>
          <w:szCs w:val="21"/>
          <w:highlight w:val="none"/>
        </w:rPr>
        <w:t xml:space="preserve">合同金额已包含但不限于本项目所有产品的产品成本、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p>
    <w:p>
      <w:pPr>
        <w:pStyle w:val="1021"/>
        <w:ind w:left="0" w:firstLine="420"/>
        <w:spacing w:line="400" w:lineRule="exact"/>
        <w:rPr>
          <w:sz w:val="21"/>
          <w:szCs w:val="21"/>
          <w:highlight w:val="none"/>
          <w:lang w:eastAsia="zh-CN"/>
        </w:rPr>
      </w:pPr>
      <w:r>
        <w:rPr>
          <w:rFonts w:hint="eastAsia" w:ascii="宋体" w:hAnsi="宋体"/>
          <w:sz w:val="21"/>
          <w:szCs w:val="21"/>
          <w:highlight w:val="none"/>
          <w:lang w:eastAsia="zh-CN"/>
        </w:rPr>
        <w:t xml:space="preserve">（3）付款方式（按项目实际勾选填写）：</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spacing w:before="120" w:after="120"/>
        <w:rPr>
          <w:rFonts w:hint="eastAsia" w:ascii="宋体" w:hAnsi="宋体" w:cs="Courier New"/>
          <w:bCs/>
          <w:color w:val="000000"/>
          <w:sz w:val="21"/>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cs="Courier New"/>
          <w:bCs/>
          <w:color w:val="ff0000"/>
          <w:sz w:val="21"/>
          <w:szCs w:val="21"/>
          <w:highlight w:val="none"/>
        </w:rPr>
        <w:t xml:space="preserve"> </w:t>
      </w:r>
      <w:r>
        <w:rPr>
          <w:rFonts w:hint="eastAsia" w:ascii="宋体" w:hAnsi="宋体" w:cs="Courier New"/>
          <w:bCs/>
          <w:color w:val="000000"/>
          <w:sz w:val="21"/>
          <w:szCs w:val="21"/>
          <w:highlight w:val="none"/>
        </w:rPr>
        <w:t xml:space="preserve">（1）</w:t>
      </w:r>
      <w:r>
        <w:rPr>
          <w:rFonts w:hint="eastAsia" w:ascii="宋体" w:hAnsi="宋体" w:cs="Courier New"/>
          <w:bCs/>
          <w:color w:val="000000"/>
          <w:sz w:val="21"/>
          <w:szCs w:val="21"/>
          <w:highlight w:val="none"/>
          <w:lang w:val="en-US" w:eastAsia="zh-CN"/>
        </w:rPr>
        <w:t xml:space="preserve">合同签订后</w:t>
      </w:r>
      <w:r>
        <w:rPr>
          <w:rFonts w:hint="eastAsia" w:ascii="宋体" w:hAnsi="宋体" w:cs="Courier New"/>
          <w:bCs/>
          <w:color w:val="000000"/>
          <w:sz w:val="21"/>
          <w:szCs w:val="21"/>
          <w:highlight w:val="none"/>
          <w:lang w:eastAsia="zh-CN"/>
        </w:rPr>
        <w:t xml:space="preserve">，</w:t>
      </w:r>
      <w:r>
        <w:rPr>
          <w:rFonts w:hint="eastAsia" w:ascii="宋体" w:hAnsi="宋体" w:cs="Courier New"/>
          <w:bCs/>
          <w:color w:val="000000"/>
          <w:sz w:val="21"/>
          <w:szCs w:val="21"/>
          <w:highlight w:val="none"/>
          <w:lang w:val="en-US" w:eastAsia="zh-CN"/>
        </w:rPr>
        <w:t xml:space="preserve">甲方收到乙方</w:t>
      </w:r>
      <w:r>
        <w:rPr>
          <w:rFonts w:hint="eastAsia" w:ascii="宋体" w:hAnsi="宋体" w:cs="Courier New"/>
          <w:bCs/>
          <w:color w:val="000000"/>
          <w:sz w:val="21"/>
          <w:szCs w:val="21"/>
          <w:highlight w:val="none"/>
        </w:rPr>
        <w:t xml:space="preserve">正式发票后10个工作日内</w:t>
      </w:r>
      <w:r>
        <w:rPr>
          <w:rFonts w:hint="eastAsia" w:ascii="宋体" w:hAnsi="宋体" w:cs="Courier New"/>
          <w:bCs/>
          <w:color w:val="000000"/>
          <w:sz w:val="21"/>
          <w:szCs w:val="21"/>
          <w:highlight w:val="none"/>
          <w:lang w:val="en-US" w:eastAsia="zh-CN"/>
        </w:rPr>
        <w:t xml:space="preserve">预付合同总价款的30%作为预付款，待设备供货安装完毕验收合格，甲方收到乙方</w:t>
      </w:r>
      <w:r>
        <w:rPr>
          <w:rFonts w:hint="eastAsia" w:ascii="宋体" w:hAnsi="宋体" w:cs="Courier New"/>
          <w:bCs/>
          <w:color w:val="000000"/>
          <w:sz w:val="21"/>
          <w:szCs w:val="21"/>
          <w:highlight w:val="none"/>
        </w:rPr>
        <w:t xml:space="preserve">正式发票后10个工作日</w:t>
      </w:r>
      <w:r>
        <w:rPr>
          <w:rFonts w:hint="eastAsia" w:ascii="宋体" w:hAnsi="宋体" w:cs="Courier New"/>
          <w:bCs/>
          <w:color w:val="000000"/>
          <w:sz w:val="21"/>
          <w:szCs w:val="21"/>
          <w:highlight w:val="none"/>
          <w:lang w:val="en-US" w:eastAsia="zh-CN"/>
        </w:rPr>
        <w:t xml:space="preserve">内支付到合同总价款的95%。</w:t>
      </w:r>
      <w:r>
        <w:rPr>
          <w:rFonts w:hint="eastAsia" w:ascii="宋体" w:hAnsi="宋体" w:cs="Courier New"/>
          <w:bCs/>
          <w:color w:val="000000"/>
          <w:sz w:val="21"/>
          <w:szCs w:val="21"/>
          <w:highlight w:val="none"/>
        </w:rPr>
        <w:t xml:space="preserve">                            </w:t>
      </w:r>
      <w:r/>
    </w:p>
    <w:p>
      <w:pPr>
        <w:spacing w:before="120" w:after="120"/>
        <w:rPr>
          <w:rFonts w:hint="eastAsia" w:ascii="宋体" w:hAnsi="宋体" w:cs="Courier New"/>
          <w:bCs/>
          <w:color w:val="000000"/>
          <w:sz w:val="21"/>
          <w:szCs w:val="21"/>
          <w:highlight w:val="none"/>
        </w:rPr>
      </w:pPr>
      <w:r>
        <w:rPr>
          <w:rFonts w:hint="eastAsia" w:ascii="宋体" w:hAnsi="宋体" w:cs="Courier New"/>
          <w:bCs/>
          <w:color w:val="000000"/>
          <w:sz w:val="21"/>
          <w:szCs w:val="21"/>
          <w:highlight w:val="none"/>
        </w:rPr>
        <w:t xml:space="preserve">（3）余款</w:t>
      </w:r>
      <w:r>
        <w:rPr>
          <w:rFonts w:hint="eastAsia" w:ascii="宋体" w:hAnsi="宋体" w:cs="Courier New"/>
          <w:bCs/>
          <w:color w:val="000000"/>
          <w:sz w:val="21"/>
          <w:szCs w:val="21"/>
          <w:highlight w:val="none"/>
          <w:lang w:val="en-US" w:eastAsia="zh-CN"/>
        </w:rPr>
        <w:t xml:space="preserve">5</w:t>
      </w:r>
      <w:r>
        <w:rPr>
          <w:rFonts w:hint="eastAsia" w:ascii="宋体" w:hAnsi="宋体" w:cs="Courier New"/>
          <w:bCs/>
          <w:color w:val="000000"/>
          <w:sz w:val="21"/>
          <w:szCs w:val="21"/>
          <w:highlight w:val="none"/>
        </w:rPr>
        <w:t xml:space="preserve">%待项目验收合格后一年后支付；      </w:t>
      </w:r>
      <w:r/>
    </w:p>
    <w:p>
      <w:pPr>
        <w:spacing w:before="120" w:after="120"/>
        <w:rPr>
          <w:rFonts w:ascii="宋体" w:hAnsi="宋体" w:cs="Courier New"/>
          <w:bCs/>
          <w:color w:val="000000"/>
          <w:sz w:val="24"/>
          <w:szCs w:val="24"/>
          <w:highlight w:val="none"/>
        </w:rPr>
      </w:pPr>
      <w:r>
        <w:rPr>
          <w:rFonts w:hint="eastAsia" w:ascii="宋体" w:hAnsi="宋体" w:cs="Courier New"/>
          <w:bCs/>
          <w:color w:val="000000"/>
          <w:sz w:val="21"/>
          <w:szCs w:val="21"/>
          <w:highlight w:val="none"/>
        </w:rPr>
        <w:t xml:space="preserve">（4）每次付款前，中标单位须向招标方提供对应金额的发票。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6"/>
        </w:numPr>
        <w:ind w:firstLine="420"/>
        <w:spacing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1037"/>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8"/>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525"/>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1037"/>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6"/>
        </w:numPr>
        <w:ind w:firstLine="420"/>
        <w:spacing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line="400" w:lineRule="exact"/>
        <w:rPr>
          <w:rFonts w:ascii="宋体" w:hAnsi="宋体"/>
          <w:szCs w:val="21"/>
        </w:rPr>
      </w:pPr>
      <w:r>
        <w:rPr>
          <w:rFonts w:hint="eastAsia" w:ascii="宋体" w:hAnsi="宋体"/>
          <w:szCs w:val="21"/>
        </w:rPr>
        <w:t xml:space="preserve">本合同正本一式三份，具有同等法律效力，甲方、乙方及财政监管部门各执一份。</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spacing w:line="400" w:lineRule="exact"/>
        <w:rPr>
          <w:highlight w:val="none"/>
        </w:rPr>
      </w:pPr>
      <w:r>
        <w:rPr>
          <w:rFonts w:hint="eastAsia" w:ascii="宋体" w:hAnsi="宋体"/>
          <w:szCs w:val="21"/>
          <w:highlight w:val="none"/>
        </w:rPr>
        <w:t xml:space="preserve">附件：具体标的及其技术要求和商务要求、联合协议、分包意向协议等</w:t>
      </w:r>
      <w:r/>
    </w:p>
    <w:tbl>
      <w:tblPr>
        <w:tblStyle w:val="774"/>
        <w:tblW w:w="0" w:type="auto"/>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10"/>
        <w:gridCol w:w="3418"/>
        <w:gridCol w:w="1267"/>
        <w:gridCol w:w="3140"/>
      </w:tblGrid>
      <w:tr>
        <w:trPr>
          <w:trHeight w:val="490"/>
        </w:trPr>
        <w:tc>
          <w:tcPr>
            <w:gridSpan w:val="2"/>
            <w:tcW w:w="4628" w:type="dxa"/>
            <w:vAlign w:val="center"/>
            <w:textDirection w:val="lrTb"/>
            <w:noWrap w:val="false"/>
          </w:tcPr>
          <w:p>
            <w:pPr>
              <w:jc w:val="both"/>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407"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trHeight w:val="917"/>
        </w:trPr>
        <w:tc>
          <w:tcPr>
            <w:tcW w:w="1210"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3418" w:type="dxa"/>
            <w:vAlign w:val="center"/>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1171"/>
        </w:trPr>
        <w:tc>
          <w:tcPr>
            <w:tcW w:w="1210"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3418" w:type="dxa"/>
            <w:vAlign w:val="center"/>
            <w:vMerge w:val="restart"/>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3140" w:type="dxa"/>
            <w:vAlign w:val="center"/>
            <w:textDirection w:val="lrTb"/>
            <w:noWrap w:val="false"/>
          </w:tcPr>
          <w:p>
            <w:pPr>
              <w:jc w:val="center"/>
              <w:spacing w:line="300" w:lineRule="exact"/>
              <w:rPr>
                <w:szCs w:val="21"/>
                <w:highlight w:val="none"/>
              </w:rPr>
            </w:pPr>
            <w:r>
              <w:rPr>
                <w:szCs w:val="21"/>
                <w:highlight w:val="none"/>
              </w:rPr>
            </w:r>
            <w:r/>
          </w:p>
        </w:tc>
      </w:tr>
      <w:tr>
        <w:trPr>
          <w:trHeight w:val="483"/>
        </w:trPr>
        <w:tc>
          <w:tcPr>
            <w:tcW w:w="1210" w:type="dxa"/>
            <w:vAlign w:val="center"/>
            <w:vMerge w:val="continue"/>
            <w:textDirection w:val="lrTb"/>
            <w:noWrap w:val="false"/>
          </w:tcPr>
          <w:p>
            <w:pPr>
              <w:jc w:val="center"/>
              <w:spacing w:line="300" w:lineRule="exact"/>
              <w:rPr>
                <w:szCs w:val="21"/>
                <w:highlight w:val="none"/>
              </w:rPr>
            </w:pPr>
            <w:r>
              <w:rPr>
                <w:szCs w:val="21"/>
                <w:highlight w:val="none"/>
              </w:rPr>
            </w:r>
            <w:r/>
          </w:p>
        </w:tc>
        <w:tc>
          <w:tcPr>
            <w:tcW w:w="3418" w:type="dxa"/>
            <w:vAlign w:val="center"/>
            <w:vMerge w:val="continue"/>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W w:w="3418" w:type="dxa"/>
            <w:vAlign w:val="center"/>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3418" w:type="dxa"/>
            <w:vAlign w:val="center"/>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3418" w:type="dxa"/>
            <w:vAlign w:val="center"/>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3418" w:type="dxa"/>
            <w:vAlign w:val="center"/>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3418" w:type="dxa"/>
            <w:vAlign w:val="center"/>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3418" w:type="dxa"/>
            <w:vAlign w:val="center"/>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3418" w:type="dxa"/>
            <w:vAlign w:val="center"/>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jc w:val="center"/>
              <w:spacing w:line="300" w:lineRule="exact"/>
              <w:rPr>
                <w:szCs w:val="21"/>
                <w:highlight w:val="none"/>
              </w:rPr>
            </w:pPr>
            <w:r>
              <w:rPr>
                <w:szCs w:val="21"/>
                <w:highlight w:val="none"/>
              </w:rPr>
            </w:r>
            <w:r/>
          </w:p>
        </w:tc>
        <w:tc>
          <w:tcPr>
            <w:tcW w:w="3418" w:type="dxa"/>
            <w:vAlign w:val="center"/>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jc w:val="center"/>
              <w:spacing w:line="300" w:lineRule="exact"/>
              <w:rPr>
                <w:szCs w:val="21"/>
                <w:highlight w:val="none"/>
              </w:rPr>
            </w:pPr>
            <w:r>
              <w:rPr>
                <w:szCs w:val="21"/>
                <w:highlight w:val="none"/>
              </w:rPr>
            </w:r>
            <w:r/>
          </w:p>
        </w:tc>
        <w:tc>
          <w:tcPr>
            <w:tcW w:w="3418" w:type="dxa"/>
            <w:vAlign w:val="center"/>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210" w:type="dxa"/>
            <w:vAlign w:val="center"/>
            <w:textDirection w:val="lrTb"/>
            <w:noWrap w:val="false"/>
          </w:tcPr>
          <w:p>
            <w:pPr>
              <w:jc w:val="center"/>
              <w:spacing w:line="300" w:lineRule="exact"/>
              <w:rPr>
                <w:szCs w:val="21"/>
                <w:highlight w:val="none"/>
              </w:rPr>
            </w:pPr>
            <w:r>
              <w:rPr>
                <w:szCs w:val="21"/>
                <w:highlight w:val="none"/>
              </w:rPr>
            </w:r>
            <w:r/>
          </w:p>
        </w:tc>
        <w:tc>
          <w:tcPr>
            <w:tcW w:w="3418" w:type="dxa"/>
            <w:vAlign w:val="center"/>
            <w:textDirection w:val="lrTb"/>
            <w:noWrap w:val="false"/>
          </w:tcPr>
          <w:p>
            <w:pPr>
              <w:jc w:val="center"/>
              <w:spacing w:line="300" w:lineRule="exact"/>
              <w:rPr>
                <w:szCs w:val="21"/>
                <w:highlight w:val="none"/>
              </w:rPr>
            </w:pPr>
            <w:r>
              <w:rPr>
                <w:szCs w:val="21"/>
                <w:highlight w:val="none"/>
              </w:rPr>
            </w:r>
            <w:r/>
          </w:p>
        </w:tc>
        <w:tc>
          <w:tcPr>
            <w:tcW w:w="1267"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314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586"/>
        </w:trPr>
        <w:tc>
          <w:tcPr>
            <w:gridSpan w:val="4"/>
            <w:tcW w:w="9035" w:type="dxa"/>
            <w:vAlign w:val="center"/>
            <w:textDirection w:val="lrTb"/>
            <w:noWrap w:val="false"/>
          </w:tcPr>
          <w:p>
            <w:pPr>
              <w:pStyle w:val="1058"/>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1030"/>
        <w:spacing w:before="156"/>
        <w:rPr>
          <w:rFonts w:ascii="黑体" w:hAnsi="黑体" w:eastAsia="黑体"/>
          <w:sz w:val="28"/>
          <w:szCs w:val="28"/>
          <w:highlight w:val="none"/>
        </w:rPr>
      </w:pPr>
      <w:r>
        <w:rPr>
          <w:rFonts w:ascii="宋体" w:hAnsi="宋体"/>
          <w:sz w:val="21"/>
          <w:szCs w:val="21"/>
          <w:highlight w:val="none"/>
          <w:u w:val="single"/>
        </w:rPr>
        <w:br w:type="page" w:clear="all"/>
      </w:r>
      <w:r>
        <w:rPr>
          <w:rFonts w:hint="eastAsia" w:ascii="黑体" w:hAnsi="黑体" w:eastAsia="黑体"/>
          <w:b w:val="0"/>
          <w:bCs w:val="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9"/>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10"/>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037"/>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1026"/>
        <w:ind w:firstLine="42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26"/>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13. 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037"/>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11"/>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7"/>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1037"/>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1037"/>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1037"/>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37"/>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p>
    <w:p>
      <w:pPr>
        <w:pStyle w:val="1030"/>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 xml:space="preserve">第三节 政府采购合同专用条款</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highlight w:val="none"/>
              </w:rPr>
            </w:pPr>
            <w:r>
              <w:rPr>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highlight w:val="none"/>
              </w:rPr>
            </w:pPr>
            <w:r>
              <w:rPr>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第二节</w:t>
            </w:r>
            <w:r/>
          </w:p>
          <w:p>
            <w:pPr>
              <w:pStyle w:val="1037"/>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pStyle w:val="1028"/>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line="520" w:lineRule="exact"/>
        <w:rPr>
          <w:rFonts w:hint="eastAsia" w:hAnsi="宋体"/>
          <w:bCs/>
          <w:sz w:val="44"/>
          <w:highlight w:val="none"/>
        </w:rPr>
      </w:pPr>
      <w:r>
        <w:rPr>
          <w:rFonts w:hint="eastAsia" w:hAnsi="宋体"/>
          <w:bCs/>
          <w:sz w:val="44"/>
          <w:highlight w:val="none"/>
        </w:rPr>
      </w:r>
      <w:r/>
    </w:p>
    <w:p>
      <w:pPr>
        <w:jc w:val="center"/>
        <w:spacing w:line="520" w:lineRule="exact"/>
        <w:rPr>
          <w:rFonts w:hint="eastAsia" w:hAnsi="宋体"/>
          <w:bCs/>
          <w:sz w:val="44"/>
          <w:highlight w:val="none"/>
        </w:rPr>
      </w:pPr>
      <w:r>
        <w:rPr>
          <w:rFonts w:hint="eastAsia" w:hAnsi="宋体"/>
          <w:bCs/>
          <w:sz w:val="44"/>
          <w:highlight w:val="none"/>
        </w:rPr>
      </w:r>
      <w:r/>
    </w:p>
    <w:p>
      <w:pPr>
        <w:jc w:val="center"/>
        <w:spacing w:line="520" w:lineRule="exact"/>
        <w:rPr>
          <w:rFonts w:hint="eastAsia" w:hAnsi="宋体"/>
          <w:bCs/>
          <w:sz w:val="44"/>
          <w:highlight w:val="none"/>
        </w:rPr>
      </w:pPr>
      <w:r>
        <w:rPr>
          <w:rFonts w:hint="eastAsia" w:hAnsi="宋体"/>
          <w:bCs/>
          <w:sz w:val="44"/>
          <w:highlight w:val="none"/>
        </w:rPr>
      </w:r>
      <w:r/>
    </w:p>
    <w:p>
      <w:pPr>
        <w:jc w:val="center"/>
        <w:spacing w:line="520" w:lineRule="exact"/>
        <w:rPr>
          <w:rFonts w:hint="eastAsia" w:hAnsi="宋体"/>
          <w:bCs/>
          <w:sz w:val="44"/>
          <w:highlight w:val="none"/>
        </w:rPr>
      </w:pPr>
      <w:r>
        <w:rPr>
          <w:rFonts w:hint="eastAsia" w:hAnsi="宋体"/>
          <w:bCs/>
          <w:sz w:val="44"/>
          <w:highlight w:val="none"/>
        </w:rPr>
      </w:r>
      <w:r/>
    </w:p>
    <w:p>
      <w:pPr>
        <w:jc w:val="center"/>
        <w:spacing w:line="520" w:lineRule="exact"/>
        <w:rPr>
          <w:rFonts w:hint="eastAsia" w:hAnsi="宋体"/>
          <w:bCs/>
          <w:sz w:val="44"/>
          <w:highlight w:val="none"/>
        </w:rPr>
      </w:pPr>
      <w:r>
        <w:rPr>
          <w:rFonts w:hint="eastAsia" w:hAnsi="宋体"/>
          <w:bCs/>
          <w:sz w:val="44"/>
          <w:highlight w:val="none"/>
        </w:rPr>
      </w:r>
      <w:r/>
    </w:p>
    <w:p>
      <w:pPr>
        <w:jc w:val="center"/>
        <w:spacing w:line="520" w:lineRule="exact"/>
        <w:rPr>
          <w:rFonts w:hint="eastAsia" w:hAnsi="宋体"/>
          <w:bCs/>
          <w:sz w:val="44"/>
          <w:highlight w:val="none"/>
        </w:rPr>
      </w:pPr>
      <w:r>
        <w:rPr>
          <w:rFonts w:hint="eastAsia" w:hAnsi="宋体"/>
          <w:bCs/>
          <w:sz w:val="44"/>
          <w:highlight w:val="none"/>
        </w:rPr>
      </w:r>
      <w:r/>
    </w:p>
    <w:p>
      <w:pPr>
        <w:jc w:val="center"/>
        <w:spacing w:line="520" w:lineRule="exact"/>
        <w:rPr>
          <w:rFonts w:hint="eastAsia" w:hAnsi="宋体"/>
          <w:bCs/>
          <w:sz w:val="44"/>
          <w:highlight w:val="none"/>
        </w:rPr>
      </w:pPr>
      <w:r>
        <w:rPr>
          <w:rFonts w:hint="eastAsia" w:hAnsi="宋体"/>
          <w:bCs/>
          <w:sz w:val="44"/>
          <w:highlight w:val="none"/>
        </w:rPr>
      </w:r>
      <w:r/>
    </w:p>
    <w:p>
      <w:pPr>
        <w:jc w:val="center"/>
        <w:spacing w:line="520" w:lineRule="exact"/>
        <w:rPr>
          <w:rFonts w:hint="eastAsia" w:hAnsi="宋体"/>
          <w:bCs/>
          <w:sz w:val="44"/>
          <w:highlight w:val="none"/>
        </w:rPr>
      </w:pPr>
      <w:r>
        <w:rPr>
          <w:rFonts w:hint="eastAsia" w:hAnsi="宋体"/>
          <w:bCs/>
          <w:sz w:val="44"/>
          <w:highlight w:val="none"/>
        </w:rPr>
      </w:r>
      <w:r/>
    </w:p>
    <w:p>
      <w:pPr>
        <w:jc w:val="center"/>
        <w:spacing w:line="520" w:lineRule="exact"/>
        <w:rPr>
          <w:rFonts w:hint="eastAsia" w:hAnsi="宋体"/>
          <w:bCs/>
          <w:sz w:val="44"/>
          <w:highlight w:val="none"/>
        </w:rPr>
      </w:pPr>
      <w:r>
        <w:rPr>
          <w:rFonts w:hint="eastAsia" w:hAnsi="宋体"/>
          <w:bCs/>
          <w:sz w:val="44"/>
          <w:highlight w:val="none"/>
        </w:rPr>
      </w:r>
      <w:r/>
    </w:p>
    <w:p>
      <w:pPr>
        <w:jc w:val="center"/>
        <w:spacing w:line="520" w:lineRule="exact"/>
        <w:rPr>
          <w:rFonts w:hint="eastAsia" w:hAnsi="宋体"/>
          <w:bCs/>
          <w:sz w:val="44"/>
          <w:highlight w:val="none"/>
        </w:rPr>
      </w:pPr>
      <w:r>
        <w:rPr>
          <w:rFonts w:hint="eastAsia" w:hAnsi="宋体"/>
          <w:bCs/>
          <w:sz w:val="44"/>
          <w:highlight w:val="none"/>
        </w:rPr>
      </w:r>
      <w:r/>
    </w:p>
    <w:p>
      <w:pPr>
        <w:jc w:val="center"/>
        <w:spacing w:line="520" w:lineRule="exact"/>
        <w:rPr>
          <w:rFonts w:hint="eastAsia" w:hAnsi="宋体"/>
          <w:sz w:val="24"/>
          <w:szCs w:val="24"/>
          <w:highlight w:val="none"/>
        </w:rPr>
      </w:pPr>
      <w:r>
        <w:rPr>
          <w:rFonts w:hint="eastAsia" w:hAnsi="宋体"/>
          <w:bCs/>
          <w:sz w:val="44"/>
          <w:highlight w:val="none"/>
        </w:rPr>
        <w:t xml:space="preserve">第</w:t>
      </w:r>
      <w:bookmarkEnd w:id="191"/>
      <w:r>
        <w:rPr>
          <w:rFonts w:hint="eastAsia" w:hAnsi="宋体"/>
          <w:bCs/>
          <w:sz w:val="44"/>
          <w:highlight w:val="none"/>
        </w:rPr>
        <w:t xml:space="preserve">四章 采购需求</w:t>
      </w:r>
      <w:bookmarkEnd w:id="192"/>
      <w:r/>
      <w:bookmarkEnd w:id="193"/>
      <w:r/>
      <w:bookmarkEnd w:id="194"/>
      <w:r/>
      <w:r/>
    </w:p>
    <w:p>
      <w:pPr>
        <w:ind w:firstLine="560"/>
        <w:spacing w:line="520" w:lineRule="exact"/>
        <w:rPr>
          <w:rFonts w:hint="eastAsia" w:ascii="宋体" w:hAnsi="宋体"/>
          <w:sz w:val="28"/>
          <w:szCs w:val="28"/>
          <w:highlight w:val="none"/>
        </w:rPr>
      </w:pPr>
      <w:r/>
      <w:bookmarkStart w:id="197" w:name="_Toc26554093"/>
      <w:r/>
      <w:bookmarkStart w:id="198" w:name="_Toc49090575"/>
      <w:r>
        <w:rPr>
          <w:rFonts w:hint="eastAsia" w:ascii="宋体" w:hAnsi="宋体"/>
          <w:sz w:val="28"/>
          <w:szCs w:val="28"/>
          <w:highlight w:val="none"/>
        </w:rPr>
        <w:t xml:space="preserve">项目属性:</w:t>
      </w:r>
      <w:r>
        <w:rPr>
          <w:rFonts w:hint="eastAsia" w:ascii="宋体" w:hAnsi="宋体"/>
          <w:sz w:val="28"/>
          <w:szCs w:val="28"/>
          <w:highlight w:val="none"/>
          <w:lang w:val="en-US" w:eastAsia="zh-CN"/>
        </w:rPr>
        <w:t xml:space="preserve">货物</w:t>
      </w:r>
      <w:r>
        <w:rPr>
          <w:rFonts w:hint="eastAsia" w:ascii="宋体" w:hAnsi="宋体"/>
          <w:sz w:val="28"/>
          <w:szCs w:val="28"/>
          <w:highlight w:val="none"/>
        </w:rPr>
        <w:t xml:space="preserve">类项目。</w:t>
      </w:r>
      <w:r/>
    </w:p>
    <w:p>
      <w:pPr>
        <w:ind w:firstLine="562"/>
        <w:spacing w:line="520" w:lineRule="exact"/>
        <w:rPr>
          <w:rFonts w:ascii="宋体" w:hAnsi="宋体"/>
          <w:sz w:val="28"/>
          <w:szCs w:val="28"/>
          <w:highlight w:val="none"/>
        </w:rPr>
      </w:pPr>
      <w:r>
        <w:rPr>
          <w:rFonts w:hint="eastAsia" w:ascii="宋体" w:hAnsi="宋体"/>
          <w:b/>
          <w:sz w:val="28"/>
          <w:szCs w:val="28"/>
          <w:highlight w:val="none"/>
        </w:rPr>
        <w:t xml:space="preserve">一、采购</w:t>
      </w:r>
      <w:r>
        <w:rPr>
          <w:rFonts w:ascii="宋体" w:hAnsi="宋体"/>
          <w:b/>
          <w:sz w:val="28"/>
          <w:szCs w:val="28"/>
          <w:highlight w:val="none"/>
        </w:rPr>
        <w:t xml:space="preserve">标的清单</w:t>
      </w:r>
      <w:r/>
    </w:p>
    <w:tbl>
      <w:tblPr>
        <w:tblStyle w:val="774"/>
        <w:tblW w:w="0" w:type="auto"/>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2693"/>
        <w:gridCol w:w="1107"/>
        <w:gridCol w:w="876"/>
        <w:gridCol w:w="1962"/>
        <w:gridCol w:w="912"/>
        <w:gridCol w:w="1020"/>
      </w:tblGrid>
      <w:tr>
        <w:trPr>
          <w:cantSplit/>
        </w:trPr>
        <w:tc>
          <w:tcPr>
            <w:tcW w:w="594" w:type="dxa"/>
            <w:vAlign w:val="center"/>
            <w:textDirection w:val="lrTb"/>
            <w:noWrap w:val="false"/>
          </w:tcPr>
          <w:p>
            <w:pPr>
              <w:jc w:val="center"/>
              <w:spacing w:line="520" w:lineRule="exact"/>
              <w:rPr>
                <w:rFonts w:ascii="宋体" w:hAnsi="宋体"/>
                <w:b/>
                <w:bCs/>
                <w:sz w:val="28"/>
                <w:szCs w:val="28"/>
                <w:highlight w:val="none"/>
              </w:rPr>
            </w:pPr>
            <w:r>
              <w:rPr>
                <w:rFonts w:hint="eastAsia" w:ascii="宋体" w:hAnsi="宋体"/>
                <w:b/>
                <w:bCs/>
                <w:sz w:val="28"/>
                <w:szCs w:val="28"/>
                <w:highlight w:val="none"/>
              </w:rPr>
              <w:t xml:space="preserve">序号</w:t>
            </w:r>
            <w:r/>
          </w:p>
        </w:tc>
        <w:tc>
          <w:tcPr>
            <w:tcW w:w="2693" w:type="dxa"/>
            <w:vAlign w:val="center"/>
            <w:textDirection w:val="lrTb"/>
            <w:noWrap w:val="false"/>
          </w:tcPr>
          <w:p>
            <w:pPr>
              <w:ind w:firstLine="600"/>
              <w:spacing w:line="520" w:lineRule="exact"/>
              <w:rPr>
                <w:rFonts w:ascii="宋体" w:hAnsi="宋体"/>
                <w:b/>
                <w:bCs/>
                <w:sz w:val="28"/>
                <w:szCs w:val="28"/>
                <w:highlight w:val="none"/>
              </w:rPr>
            </w:pPr>
            <w:r>
              <w:rPr>
                <w:rFonts w:hint="eastAsia" w:ascii="宋体" w:hAnsi="宋体"/>
                <w:b/>
                <w:bCs/>
                <w:sz w:val="28"/>
                <w:szCs w:val="28"/>
                <w:highlight w:val="none"/>
              </w:rPr>
              <w:t xml:space="preserve">采购</w:t>
            </w:r>
            <w:r>
              <w:rPr>
                <w:rFonts w:ascii="宋体" w:hAnsi="宋体"/>
                <w:b/>
                <w:bCs/>
                <w:sz w:val="28"/>
                <w:szCs w:val="28"/>
                <w:highlight w:val="none"/>
              </w:rPr>
              <w:t xml:space="preserve">标的</w:t>
            </w:r>
            <w:r/>
          </w:p>
        </w:tc>
        <w:tc>
          <w:tcPr>
            <w:tcW w:w="1107" w:type="dxa"/>
            <w:vAlign w:val="center"/>
            <w:textDirection w:val="lrTb"/>
            <w:noWrap w:val="false"/>
          </w:tcPr>
          <w:p>
            <w:pPr>
              <w:spacing w:line="520" w:lineRule="exact"/>
              <w:rPr>
                <w:rFonts w:hint="eastAsia"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数量</w:t>
            </w:r>
            <w:r/>
          </w:p>
        </w:tc>
        <w:tc>
          <w:tcPr>
            <w:tcW w:w="876" w:type="dxa"/>
            <w:vAlign w:val="center"/>
            <w:textDirection w:val="lrTb"/>
            <w:noWrap w:val="false"/>
          </w:tcPr>
          <w:p>
            <w:pPr>
              <w:spacing w:line="520" w:lineRule="exact"/>
              <w:rPr>
                <w:rFonts w:hint="eastAsia"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单位</w:t>
            </w:r>
            <w:r/>
          </w:p>
        </w:tc>
        <w:tc>
          <w:tcPr>
            <w:tcW w:w="1962" w:type="dxa"/>
            <w:vAlign w:val="center"/>
            <w:textDirection w:val="lrTb"/>
            <w:noWrap w:val="false"/>
          </w:tcPr>
          <w:p>
            <w:pPr>
              <w:jc w:val="center"/>
              <w:spacing w:line="520" w:lineRule="exact"/>
              <w:rPr>
                <w:rFonts w:hint="eastAsia" w:ascii="宋体" w:hAnsi="宋体"/>
                <w:b/>
                <w:bCs/>
                <w:sz w:val="28"/>
                <w:szCs w:val="28"/>
                <w:highlight w:val="none"/>
                <w:lang w:val="en-US" w:eastAsia="zh-CN" w:bidi="ar-SA"/>
              </w:rPr>
            </w:pPr>
            <w:r>
              <w:rPr>
                <w:rFonts w:hint="eastAsia" w:ascii="宋体" w:hAnsi="宋体"/>
                <w:b/>
                <w:bCs/>
                <w:sz w:val="28"/>
                <w:szCs w:val="28"/>
                <w:highlight w:val="none"/>
              </w:rPr>
              <w:t xml:space="preserve">对应中</w:t>
            </w:r>
            <w:r>
              <w:rPr>
                <w:rFonts w:ascii="宋体" w:hAnsi="宋体"/>
                <w:b/>
                <w:bCs/>
                <w:sz w:val="28"/>
                <w:szCs w:val="28"/>
                <w:highlight w:val="none"/>
              </w:rPr>
              <w:t xml:space="preserve">小企业划分标准所属行业</w:t>
            </w:r>
            <w:r/>
          </w:p>
        </w:tc>
        <w:tc>
          <w:tcPr>
            <w:tcW w:w="912" w:type="dxa"/>
            <w:vAlign w:val="center"/>
            <w:textDirection w:val="lrTb"/>
            <w:noWrap w:val="false"/>
          </w:tcPr>
          <w:p>
            <w:pPr>
              <w:spacing w:line="520" w:lineRule="exact"/>
              <w:rPr>
                <w:rFonts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是否主要标的</w:t>
            </w:r>
            <w:r/>
          </w:p>
        </w:tc>
        <w:tc>
          <w:tcPr>
            <w:tcW w:w="1020" w:type="dxa"/>
            <w:vAlign w:val="center"/>
            <w:textDirection w:val="lrTb"/>
            <w:noWrap w:val="false"/>
          </w:tcPr>
          <w:p>
            <w:pPr>
              <w:spacing w:line="520" w:lineRule="exact"/>
              <w:rPr>
                <w:rFonts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是否强制节能</w:t>
            </w:r>
            <w:r/>
          </w:p>
        </w:tc>
      </w:tr>
      <w:tr>
        <w:trPr>
          <w:cantSplit/>
          <w:trHeight w:val="291"/>
        </w:trPr>
        <w:tc>
          <w:tcPr>
            <w:tcW w:w="594" w:type="dxa"/>
            <w:vAlign w:val="center"/>
            <w:vMerge w:val="restart"/>
            <w:textDirection w:val="lrTb"/>
            <w:noWrap w:val="false"/>
          </w:tcPr>
          <w:p>
            <w:pPr>
              <w:jc w:val="center"/>
              <w:spacing w:line="52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w:t>
            </w:r>
            <w:r/>
          </w:p>
          <w:p>
            <w:pPr>
              <w:jc w:val="center"/>
              <w:spacing w:line="520" w:lineRule="exact"/>
              <w:rPr>
                <w:rFonts w:ascii="宋体" w:hAnsi="宋体"/>
                <w:sz w:val="24"/>
                <w:szCs w:val="24"/>
                <w:highlight w:val="none"/>
                <w:lang w:val="en-US" w:eastAsia="zh-CN"/>
              </w:rPr>
            </w:pPr>
            <w:r>
              <w:rPr>
                <w:rFonts w:ascii="宋体" w:hAnsi="宋体"/>
                <w:sz w:val="24"/>
                <w:szCs w:val="24"/>
                <w:highlight w:val="none"/>
                <w:lang w:val="en-US" w:eastAsia="zh-CN"/>
              </w:rPr>
            </w:r>
            <w:r/>
          </w:p>
        </w:tc>
        <w:tc>
          <w:tcPr>
            <w:tcW w:w="269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lang w:eastAsia="zh-CN"/>
              </w:rPr>
              <w:t xml:space="preserve">外网</w:t>
            </w:r>
            <w:r>
              <w:rPr>
                <w:rFonts w:hint="eastAsia" w:ascii="宋体" w:hAnsi="宋体" w:eastAsia="宋体" w:cs="宋体"/>
                <w:sz w:val="24"/>
                <w:szCs w:val="24"/>
                <w:lang w:val="en-US" w:eastAsia="zh-CN"/>
              </w:rPr>
              <w:t xml:space="preserve">国产化</w:t>
            </w:r>
            <w:r>
              <w:rPr>
                <w:rFonts w:hint="eastAsia" w:ascii="宋体" w:hAnsi="宋体" w:eastAsia="宋体" w:cs="宋体"/>
                <w:sz w:val="24"/>
                <w:szCs w:val="24"/>
                <w:lang w:eastAsia="zh-CN"/>
              </w:rPr>
              <w:t xml:space="preserve">超融合</w:t>
            </w:r>
            <w:r>
              <w:rPr>
                <w:rFonts w:hint="eastAsia" w:ascii="宋体" w:hAnsi="宋体" w:eastAsia="宋体" w:cs="宋体"/>
                <w:sz w:val="24"/>
                <w:szCs w:val="24"/>
                <w:lang w:val="en-US" w:eastAsia="zh-CN"/>
              </w:rPr>
              <w:t xml:space="preserve">服务器</w:t>
            </w:r>
            <w:r/>
          </w:p>
        </w:tc>
        <w:tc>
          <w:tcPr>
            <w:tcW w:w="110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lang w:val="en-US" w:eastAsia="zh-CN"/>
              </w:rPr>
              <w:t xml:space="preserve">4</w:t>
            </w:r>
            <w:r/>
          </w:p>
        </w:tc>
        <w:tc>
          <w:tcPr>
            <w:tcW w:w="876"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lang w:val="en-US" w:eastAsia="zh-CN"/>
              </w:rPr>
              <w:t xml:space="preserve">台</w:t>
            </w:r>
            <w:r/>
          </w:p>
        </w:tc>
        <w:tc>
          <w:tcPr>
            <w:tcW w:w="1962"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 xml:space="preserve">制造业</w:t>
            </w:r>
            <w:r/>
          </w:p>
        </w:tc>
        <w:tc>
          <w:tcPr>
            <w:tcW w:w="912" w:type="dxa"/>
            <w:vAlign w:val="center"/>
            <w:textDirection w:val="lrTb"/>
            <w:noWrap w:val="false"/>
          </w:tcPr>
          <w:p>
            <w:pPr>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是</w:t>
            </w:r>
            <w:r/>
          </w:p>
        </w:tc>
        <w:tc>
          <w:tcPr>
            <w:tcW w:w="1020" w:type="dxa"/>
            <w:vAlign w:val="center"/>
            <w:textDirection w:val="lrTb"/>
            <w:noWrap w:val="false"/>
          </w:tcPr>
          <w:p>
            <w:pPr>
              <w:jc w:val="center"/>
              <w:spacing w:line="52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r>
      <w:tr>
        <w:trPr>
          <w:cantSplit/>
          <w:trHeight w:val="291"/>
        </w:trPr>
        <w:tc>
          <w:tcPr>
            <w:tcW w:w="594" w:type="dxa"/>
            <w:vAlign w:val="center"/>
            <w:vMerge w:val="continue"/>
            <w:textDirection w:val="lrTb"/>
            <w:noWrap w:val="false"/>
          </w:tcPr>
          <w:p>
            <w:pPr>
              <w:jc w:val="center"/>
              <w:spacing w:line="520" w:lineRule="exact"/>
              <w:rPr>
                <w:rFonts w:ascii="宋体" w:hAnsi="宋体"/>
                <w:sz w:val="24"/>
                <w:szCs w:val="24"/>
                <w:highlight w:val="none"/>
                <w:lang w:val="en-US" w:eastAsia="zh-CN"/>
              </w:rPr>
            </w:pPr>
            <w:r>
              <w:rPr>
                <w:rFonts w:ascii="宋体" w:hAnsi="宋体"/>
                <w:sz w:val="24"/>
                <w:szCs w:val="24"/>
                <w:highlight w:val="none"/>
                <w:lang w:val="en-US" w:eastAsia="zh-CN"/>
              </w:rPr>
            </w:r>
            <w:r/>
          </w:p>
        </w:tc>
        <w:tc>
          <w:tcPr>
            <w:tcW w:w="269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外网</w:t>
            </w:r>
            <w:r>
              <w:rPr>
                <w:rFonts w:hint="eastAsia" w:ascii="宋体" w:hAnsi="宋体" w:eastAsia="宋体" w:cs="宋体"/>
                <w:color w:val="000000"/>
                <w:sz w:val="24"/>
                <w:szCs w:val="24"/>
                <w:highlight w:val="none"/>
                <w:lang w:val="en-US" w:eastAsia="zh-CN"/>
              </w:rPr>
              <w:t xml:space="preserve">国产化</w:t>
            </w:r>
            <w:r>
              <w:rPr>
                <w:rFonts w:hint="eastAsia" w:ascii="宋体" w:hAnsi="宋体" w:eastAsia="宋体" w:cs="宋体"/>
                <w:color w:val="000000"/>
                <w:sz w:val="24"/>
                <w:szCs w:val="24"/>
                <w:highlight w:val="none"/>
                <w:lang w:eastAsia="zh-CN"/>
              </w:rPr>
              <w:t xml:space="preserve">超融合</w:t>
            </w:r>
            <w:r>
              <w:rPr>
                <w:rFonts w:hint="eastAsia" w:ascii="宋体" w:hAnsi="宋体" w:eastAsia="宋体" w:cs="宋体"/>
                <w:color w:val="000000"/>
                <w:sz w:val="24"/>
                <w:szCs w:val="24"/>
                <w:highlight w:val="none"/>
              </w:rPr>
              <w:t xml:space="preserve">软件</w:t>
            </w:r>
            <w:r/>
          </w:p>
        </w:tc>
        <w:tc>
          <w:tcPr>
            <w:tcW w:w="110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 xml:space="preserve">1</w:t>
            </w:r>
            <w:r/>
          </w:p>
        </w:tc>
        <w:tc>
          <w:tcPr>
            <w:tcW w:w="876"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lang w:val="en-US" w:eastAsia="zh-CN"/>
              </w:rPr>
              <w:t xml:space="preserve">套</w:t>
            </w:r>
            <w:r/>
          </w:p>
        </w:tc>
        <w:tc>
          <w:tcPr>
            <w:tcW w:w="1962"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 xml:space="preserve">软件和信息技术服务业</w:t>
            </w:r>
            <w:r/>
          </w:p>
        </w:tc>
        <w:tc>
          <w:tcPr>
            <w:tcW w:w="912" w:type="dxa"/>
            <w:vAlign w:val="center"/>
            <w:textDirection w:val="lrTb"/>
            <w:noWrap w:val="false"/>
          </w:tcPr>
          <w:p>
            <w:pPr>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020" w:type="dxa"/>
            <w:vAlign w:val="center"/>
            <w:textDirection w:val="lrTb"/>
            <w:noWrap w:val="false"/>
          </w:tcPr>
          <w:p>
            <w:pPr>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r>
      <w:tr>
        <w:trPr>
          <w:cantSplit/>
          <w:trHeight w:val="291"/>
        </w:trPr>
        <w:tc>
          <w:tcPr>
            <w:tcW w:w="594" w:type="dxa"/>
            <w:vAlign w:val="center"/>
            <w:textDirection w:val="lrTb"/>
            <w:noWrap w:val="false"/>
          </w:tcPr>
          <w:p>
            <w:pPr>
              <w:jc w:val="center"/>
              <w:spacing w:line="520" w:lineRule="exact"/>
              <w:rPr>
                <w:rFonts w:ascii="宋体" w:hAnsi="宋体"/>
                <w:sz w:val="24"/>
                <w:szCs w:val="24"/>
                <w:highlight w:val="none"/>
                <w:lang w:val="en-US" w:eastAsia="zh-CN"/>
              </w:rPr>
            </w:pPr>
            <w:r>
              <w:rPr>
                <w:rFonts w:hint="eastAsia" w:ascii="宋体" w:hAnsi="宋体"/>
                <w:sz w:val="24"/>
                <w:szCs w:val="24"/>
                <w:highlight w:val="none"/>
                <w:lang w:val="en-US" w:eastAsia="zh-CN"/>
              </w:rPr>
              <w:t xml:space="preserve">2</w:t>
            </w:r>
            <w:r/>
          </w:p>
        </w:tc>
        <w:tc>
          <w:tcPr>
            <w:tcW w:w="269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bidi="ar"/>
              </w:rPr>
              <w:t xml:space="preserve">万兆交换机</w:t>
            </w:r>
            <w:r/>
          </w:p>
        </w:tc>
        <w:tc>
          <w:tcPr>
            <w:tcW w:w="110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rPr>
              <w:t xml:space="preserve">2</w:t>
            </w:r>
            <w:r/>
          </w:p>
        </w:tc>
        <w:tc>
          <w:tcPr>
            <w:tcW w:w="876"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rPr>
              <w:t xml:space="preserve">台</w:t>
            </w:r>
            <w:r/>
          </w:p>
        </w:tc>
        <w:tc>
          <w:tcPr>
            <w:tcW w:w="1962"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 xml:space="preserve">制造业</w:t>
            </w:r>
            <w:r/>
          </w:p>
        </w:tc>
        <w:tc>
          <w:tcPr>
            <w:tcW w:w="912" w:type="dxa"/>
            <w:vAlign w:val="center"/>
            <w:textDirection w:val="lrTb"/>
            <w:noWrap w:val="false"/>
          </w:tcPr>
          <w:p>
            <w:pPr>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020" w:type="dxa"/>
            <w:vAlign w:val="center"/>
            <w:textDirection w:val="lrTb"/>
            <w:noWrap w:val="false"/>
          </w:tcPr>
          <w:p>
            <w:pPr>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r>
      <w:tr>
        <w:trPr>
          <w:cantSplit/>
          <w:trHeight w:val="291"/>
        </w:trPr>
        <w:tc>
          <w:tcPr>
            <w:tcW w:w="594" w:type="dxa"/>
            <w:vAlign w:val="center"/>
            <w:textDirection w:val="lrTb"/>
            <w:noWrap w:val="false"/>
          </w:tcPr>
          <w:p>
            <w:pPr>
              <w:jc w:val="center"/>
              <w:spacing w:line="520" w:lineRule="exact"/>
              <w:rPr>
                <w:rFonts w:ascii="宋体" w:hAnsi="宋体"/>
                <w:sz w:val="24"/>
                <w:szCs w:val="24"/>
                <w:highlight w:val="none"/>
                <w:lang w:val="en-US" w:eastAsia="zh-CN"/>
              </w:rPr>
            </w:pPr>
            <w:r>
              <w:rPr>
                <w:rFonts w:hint="eastAsia" w:ascii="宋体" w:hAnsi="宋体"/>
                <w:sz w:val="24"/>
                <w:szCs w:val="24"/>
                <w:highlight w:val="none"/>
                <w:lang w:val="en-US" w:eastAsia="zh-CN"/>
              </w:rPr>
              <w:t xml:space="preserve">3</w:t>
            </w:r>
            <w:r/>
          </w:p>
        </w:tc>
        <w:tc>
          <w:tcPr>
            <w:tcW w:w="269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rPr>
              <w:t xml:space="preserve">系统集成服务</w:t>
            </w:r>
            <w:r/>
          </w:p>
        </w:tc>
        <w:tc>
          <w:tcPr>
            <w:tcW w:w="1107"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rPr>
              <w:t xml:space="preserve">1</w:t>
            </w:r>
            <w:r/>
          </w:p>
        </w:tc>
        <w:tc>
          <w:tcPr>
            <w:tcW w:w="876"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rPr>
              <w:t xml:space="preserve">项</w:t>
            </w:r>
            <w:r/>
          </w:p>
        </w:tc>
        <w:tc>
          <w:tcPr>
            <w:tcW w:w="1962"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bCs/>
                <w:sz w:val="24"/>
                <w:szCs w:val="24"/>
              </w:rPr>
              <w:t xml:space="preserve">软件和信息技术服务业</w:t>
            </w:r>
            <w:r/>
          </w:p>
        </w:tc>
        <w:tc>
          <w:tcPr>
            <w:tcW w:w="912" w:type="dxa"/>
            <w:vAlign w:val="center"/>
            <w:textDirection w:val="lrTb"/>
            <w:noWrap w:val="false"/>
          </w:tcPr>
          <w:p>
            <w:pPr>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020" w:type="dxa"/>
            <w:vAlign w:val="center"/>
            <w:textDirection w:val="lrTb"/>
            <w:noWrap w:val="false"/>
          </w:tcPr>
          <w:p>
            <w:pPr>
              <w:jc w:val="center"/>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r>
    </w:tbl>
    <w:p>
      <w:pPr>
        <w:ind w:firstLine="422"/>
        <w:spacing w:line="520" w:lineRule="exact"/>
        <w:rPr>
          <w:rFonts w:hint="eastAsia" w:ascii="宋体" w:hAnsi="宋体" w:eastAsia="宋体" w:cs="Times New Roman"/>
          <w:b/>
          <w:sz w:val="28"/>
          <w:szCs w:val="28"/>
          <w:highlight w:val="none"/>
          <w:lang w:eastAsia="zh-CN"/>
        </w:rPr>
      </w:pPr>
      <w:r>
        <w:rPr>
          <w:rFonts w:hint="eastAsia" w:ascii="宋体" w:hAnsi="宋体" w:eastAsia="宋体" w:cs="Times New Roman"/>
          <w:b/>
          <w:sz w:val="28"/>
          <w:szCs w:val="28"/>
          <w:highlight w:val="none"/>
          <w:lang w:eastAsia="zh-CN"/>
        </w:rPr>
        <w:t xml:space="preserve">二、政府采购中实施本国产品标准及相关政策</w:t>
      </w:r>
      <w:r/>
    </w:p>
    <w:p>
      <w:pPr>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1.本项目对采购本国产品给予政策支持，具体内容见招标文件“第五章 评标方法与评标标准”。</w:t>
      </w:r>
      <w:r/>
    </w:p>
    <w:p>
      <w:pPr>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520" w:lineRule="exact"/>
        <w:rPr>
          <w:rFonts w:ascii="宋体" w:hAnsi="宋体"/>
          <w:sz w:val="28"/>
          <w:szCs w:val="28"/>
          <w:highlight w:val="none"/>
        </w:rPr>
      </w:pPr>
      <w:r>
        <w:rPr>
          <w:rFonts w:hint="eastAsia" w:ascii="宋体" w:hAnsi="宋体"/>
          <w:b/>
          <w:sz w:val="28"/>
          <w:szCs w:val="28"/>
          <w:highlight w:val="none"/>
          <w:lang w:eastAsia="zh-CN"/>
        </w:rPr>
        <w:t xml:space="preserve">三、</w:t>
      </w:r>
      <w:r>
        <w:rPr>
          <w:rFonts w:ascii="宋体" w:hAnsi="宋体"/>
          <w:b/>
          <w:sz w:val="28"/>
          <w:szCs w:val="28"/>
          <w:highlight w:val="none"/>
        </w:rPr>
        <w:t xml:space="preserve">技术要求</w:t>
      </w:r>
      <w:r/>
    </w:p>
    <w:p>
      <w:pPr>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p>
    <w:p>
      <w:pPr>
        <w:numPr>
          <w:ilvl w:val="0"/>
          <w:numId w:val="13"/>
        </w:numPr>
        <w:ind w:firstLine="600"/>
        <w:spacing w:line="52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
          <w:bCs/>
          <w:caps/>
          <w:sz w:val="28"/>
          <w:szCs w:val="28"/>
          <w:highlight w:val="none"/>
          <w:lang w:val="en-US" w:eastAsia="zh-CN" w:bidi="ar-SA"/>
        </w:rPr>
        <w:t xml:space="preserve">采购标的需实现的功能或者目标，以及为落实政府采购政策需满足的要求；</w:t>
      </w:r>
      <w:r/>
    </w:p>
    <w:p>
      <w:pPr>
        <w:numPr>
          <w:ilvl w:val="0"/>
          <w:numId w:val="0"/>
        </w:numPr>
        <w:ind w:firstLine="480"/>
        <w:keepLines w:val="0"/>
        <w:keepNext w:val="0"/>
        <w:pageBreakBefore w:val="0"/>
        <w:spacing w:line="5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随着医院应用业务的不断发展，外网的虚拟化计算平台承受能力日益减弱，且故障率显著提高，考虑到医院未来信息化的发展，同时保障核心医疗业务不中断，满足业务连续性需求。本次项目新建一套国产化的计算存储资源池，用于医院外网应用系统的部署。</w:t>
      </w:r>
      <w:r/>
    </w:p>
    <w:p>
      <w:pPr>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p>
    <w:p>
      <w:pPr>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p>
    <w:p>
      <w:pPr>
        <w:ind w:firstLine="601"/>
        <w:keepLines w:val="0"/>
        <w:keepNext w:val="0"/>
        <w:pageBreakBefore w:val="0"/>
        <w:spacing w:line="420" w:lineRule="exact"/>
        <w:widowControl w:val="off"/>
        <w:rPr>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p>
    <w:p>
      <w:pPr>
        <w:numPr>
          <w:ilvl w:val="0"/>
          <w:numId w:val="13"/>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highlight w:val="none"/>
          <w:lang w:val="en-US" w:eastAsia="zh-CN"/>
        </w:rPr>
        <w:t xml:space="preserve"> </w:t>
      </w:r>
      <w:r>
        <w:rPr>
          <w:rFonts w:hint="eastAsia" w:ascii="宋体" w:hAnsi="宋体" w:eastAsia="宋体" w:cs="宋体"/>
          <w:b/>
          <w:bCs/>
          <w:caps/>
          <w:sz w:val="28"/>
          <w:szCs w:val="28"/>
          <w:highlight w:val="none"/>
          <w:lang w:val="en-US" w:eastAsia="zh-CN" w:bidi="ar-SA"/>
        </w:rPr>
        <w:t xml:space="preserve">采购标的</w:t>
      </w:r>
      <w:r>
        <w:rPr>
          <w:rFonts w:hint="eastAsia" w:ascii="宋体" w:hAnsi="宋体" w:cs="宋体"/>
          <w:b/>
          <w:bCs/>
          <w:sz w:val="28"/>
          <w:szCs w:val="28"/>
          <w:highlight w:val="none"/>
        </w:rPr>
        <w:t xml:space="preserve">需执行的国家相关标准、行业标准、地方标准或者其他标准、规范</w:t>
      </w:r>
      <w:r/>
    </w:p>
    <w:p>
      <w:pPr>
        <w:numPr>
          <w:ilvl w:val="0"/>
          <w:numId w:val="0"/>
        </w:numPr>
        <w:ind w:firstLine="480"/>
        <w:keepLines w:val="0"/>
        <w:keepNext w:val="0"/>
        <w:pageBreakBefore w:val="0"/>
        <w:spacing w:line="5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产品的技术标准按国家标准执行，无国家标准的，按行业标准执行；无国家和行业标准的，按企业标准执行；但在招标文件中有特别要求的，按招标文件中规定的要求执行，并且符合相关法律、法规规定的要求。</w:t>
      </w:r>
      <w:r/>
    </w:p>
    <w:p>
      <w:pPr>
        <w:numPr>
          <w:ilvl w:val="0"/>
          <w:numId w:val="0"/>
        </w:numPr>
        <w:ind w:firstLine="480"/>
        <w:keepLines w:val="0"/>
        <w:keepNext w:val="0"/>
        <w:pageBreakBefore w:val="0"/>
        <w:spacing w:line="5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2、项目提供的技术要求(规格)只是对产品的一些原则性要求，并不是最详尽的描述和要求，投标供应商有责任依据相关设计技术规范和有关行业国家标准执行。</w:t>
      </w:r>
      <w:r/>
    </w:p>
    <w:p>
      <w:pPr>
        <w:numPr>
          <w:ilvl w:val="0"/>
          <w:numId w:val="0"/>
        </w:numPr>
        <w:ind w:firstLine="480"/>
        <w:keepLines w:val="0"/>
        <w:keepNext w:val="0"/>
        <w:pageBreakBefore w:val="0"/>
        <w:spacing w:line="520" w:lineRule="exact"/>
        <w:widowControl w:val="off"/>
        <w:rPr>
          <w:rFonts w:ascii="宋体" w:hAnsi="宋体" w:eastAsia="宋体" w:cs="Times New Roman"/>
          <w:caps/>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3、投标供应商应保证提供的产品不得侵犯第三方专利权、商标权和设计权、版权等。否则，投标供应商应负全部责任，并承担由此引起的一切后果。</w:t>
      </w:r>
      <w:r>
        <w:rPr>
          <w:rFonts w:hint="eastAsia" w:ascii="宋体" w:hAnsi="宋体" w:eastAsia="宋体" w:cs="Times New Roman"/>
          <w:caps/>
          <w:sz w:val="24"/>
          <w:szCs w:val="24"/>
          <w:highlight w:val="none"/>
          <w:lang w:val="en-US" w:eastAsia="zh-CN" w:bidi="ar-SA"/>
        </w:rPr>
        <w:t xml:space="preserve"> </w:t>
      </w:r>
      <w:r/>
    </w:p>
    <w:p>
      <w:pPr>
        <w:numPr>
          <w:ilvl w:val="0"/>
          <w:numId w:val="13"/>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采购标的需满足的质量、安全、技术规格、物理特性等要求；</w:t>
      </w:r>
      <w:r/>
    </w:p>
    <w:p>
      <w:pPr>
        <w:numPr>
          <w:ilvl w:val="0"/>
          <w:numId w:val="0"/>
        </w:numPr>
        <w:ind w:left="600"/>
        <w:rPr>
          <w:rFonts w:hint="eastAsia" w:ascii="宋体" w:hAnsi="宋体" w:eastAsia="宋体" w:cs="宋体"/>
          <w:b/>
          <w:bCs/>
          <w:sz w:val="24"/>
          <w:szCs w:val="24"/>
          <w:lang w:val="en-US" w:eastAsia="zh-CN"/>
        </w:rPr>
      </w:pPr>
      <w:r>
        <w:rPr>
          <w:rFonts w:hint="eastAsia" w:ascii="宋体" w:hAnsi="宋体" w:eastAsia="宋体" w:cs="Times New Roman"/>
          <w:caps/>
          <w:sz w:val="24"/>
          <w:szCs w:val="24"/>
          <w:highlight w:val="none"/>
          <w:lang w:val="en-US" w:eastAsia="zh-CN" w:bidi="ar-SA"/>
        </w:rPr>
        <w:t xml:space="preserve"> </w:t>
      </w:r>
      <w:r>
        <w:rPr>
          <w:rFonts w:hint="eastAsia" w:ascii="宋体" w:hAnsi="宋体" w:eastAsia="宋体" w:cs="Times New Roman"/>
          <w:b/>
          <w:bCs/>
          <w:caps/>
          <w:sz w:val="24"/>
          <w:szCs w:val="24"/>
          <w:highlight w:val="none"/>
          <w:lang w:val="en-US" w:eastAsia="zh-CN" w:bidi="ar-SA"/>
        </w:rPr>
        <w:t xml:space="preserve">一、</w:t>
      </w:r>
      <w:r>
        <w:rPr>
          <w:rFonts w:hint="eastAsia" w:ascii="宋体" w:hAnsi="宋体" w:eastAsia="宋体" w:cs="宋体"/>
          <w:b/>
          <w:bCs/>
          <w:sz w:val="24"/>
          <w:szCs w:val="24"/>
          <w:lang w:eastAsia="zh-CN"/>
        </w:rPr>
        <w:t xml:space="preserve">外网</w:t>
      </w:r>
      <w:r>
        <w:rPr>
          <w:rFonts w:hint="eastAsia" w:ascii="宋体" w:hAnsi="宋体" w:eastAsia="宋体" w:cs="宋体"/>
          <w:b/>
          <w:bCs/>
          <w:sz w:val="24"/>
          <w:szCs w:val="24"/>
          <w:lang w:val="en-US" w:eastAsia="zh-CN"/>
        </w:rPr>
        <w:t xml:space="preserve">国产化</w:t>
      </w:r>
      <w:r>
        <w:rPr>
          <w:rFonts w:hint="eastAsia" w:ascii="宋体" w:hAnsi="宋体" w:eastAsia="宋体" w:cs="宋体"/>
          <w:b/>
          <w:bCs/>
          <w:sz w:val="24"/>
          <w:szCs w:val="24"/>
          <w:lang w:eastAsia="zh-CN"/>
        </w:rPr>
        <w:t xml:space="preserve">超融合</w:t>
      </w:r>
      <w:r>
        <w:rPr>
          <w:rFonts w:hint="eastAsia" w:ascii="宋体" w:hAnsi="宋体" w:eastAsia="宋体" w:cs="宋体"/>
          <w:b/>
          <w:bCs/>
          <w:sz w:val="24"/>
          <w:szCs w:val="24"/>
          <w:lang w:val="en-US" w:eastAsia="zh-CN"/>
        </w:rPr>
        <w:t xml:space="preserve">服务器技术参数要求</w:t>
      </w:r>
      <w:r/>
    </w:p>
    <w:tbl>
      <w:tblPr>
        <w:tblStyle w:val="774"/>
        <w:tblW w:w="0" w:type="auto"/>
        <w:tblInd w:w="-10" w:type="dxa"/>
        <w:tblLayout w:type="fixed"/>
        <w:tblCellMar>
          <w:left w:w="10" w:type="dxa"/>
          <w:top w:w="10" w:type="dxa"/>
          <w:right w:w="10" w:type="dxa"/>
          <w:bottom w:w="0" w:type="dxa"/>
        </w:tblCellMar>
        <w:tblLook w:val="04A0" w:firstRow="1" w:lastRow="0" w:firstColumn="1" w:lastColumn="0" w:noHBand="0" w:noVBand="1"/>
      </w:tblPr>
      <w:tblGrid>
        <w:gridCol w:w="494"/>
        <w:gridCol w:w="1079"/>
        <w:gridCol w:w="1154"/>
        <w:gridCol w:w="1978"/>
        <w:gridCol w:w="4312"/>
      </w:tblGrid>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指标分类</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一级指标</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二级指标</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center"/>
              <w:keepLines w:val="0"/>
              <w:keepNext w:val="0"/>
              <w:widowControl/>
              <w:rPr>
                <w:rFonts w:hint="eastAsia" w:ascii="宋体" w:hAnsi="宋体" w:eastAsia="宋体" w:cs="宋体"/>
                <w:b/>
                <w:i w:val="0"/>
                <w:color w:val="000000"/>
                <w:sz w:val="24"/>
                <w:szCs w:val="24"/>
                <w:u w:val="none"/>
              </w:rPr>
              <w:suppressLineNumbers w:val="0"/>
            </w:pPr>
            <w:r>
              <w:rPr>
                <w:rFonts w:hint="eastAsia" w:ascii="宋体" w:hAnsi="宋体" w:eastAsia="宋体" w:cs="宋体"/>
                <w:b/>
                <w:i w:val="0"/>
                <w:color w:val="000000"/>
                <w:sz w:val="24"/>
                <w:szCs w:val="24"/>
                <w:u w:val="none"/>
                <w:lang w:val="en-US" w:eastAsia="zh-CN" w:bidi="ar"/>
              </w:rPr>
              <w:t xml:space="preserve">超融合服务器</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 信息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配置≥2颗国产C86架构处理器，单颗处理器主频≥2.2GHz，单颗CPU核心数≥32C</w:t>
            </w:r>
            <w:r/>
          </w:p>
        </w:tc>
      </w:tr>
      <w:tr>
        <w:trPr>
          <w:trHeight w:val="10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★主板支持的CPU和内存情况</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主板需支持2颗国产C86架构处理器，单颗处理器主频≥2.2GHz，单颗CPU核心数≥32C，内存配置≥512GB DDR4内存，单根≥32G；</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★主板内存槽数量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支持≥16个内存插槽，最大可支持2TB内存容量，支持ECC</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★主板存储接口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 SATA、SAS存储接口</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★PCIe 插槽接口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符合PCIe4.0或以上的高速串行计算机扩展总线标准，PCIe的接口速率与位宽需保证向下兼容</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★主板PCIe插槽数量及规格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最大支持≥6个PCIe 4.0插槽（不含OCP插槽和存储设备专用插槽）</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特殊孔位及接口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a)服务器机箱内主板可根据用户实际使用需求支持安装多功能导入装置板卡，机箱内需预留多功能导入装置板卡安装位置，容量不小于55mm×45mm×15mm（长×宽×高，单位毫米）；</w:t>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continue"/>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b)服务器主板可根据用户实际使用需求预留满足 USB2.0 或 USB3.0 数据传输规范的接口，工作电压 5V，采用 USB2.0 时，最大过电流应不小于 0.5A，采用 USB3.0 时，最大过电流应不小于 1A</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板载网络接口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板载网络接口不少于1 个1GE 网口</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 OCP插槽数量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≥16</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≥DDR4，DDR4-3200MT/s</w:t>
            </w:r>
            <w:r/>
          </w:p>
        </w:tc>
      </w:tr>
      <w:tr>
        <w:trPr>
          <w:trHeight w:val="1223"/>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★内存通道</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支持多个内存接口通道，每个通道可支持 1DPC 或 2DPC，当支持 2DPC时，印制电路板上应具备插槽的序号标识，具体通道数应在随机文件中明确</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存储规格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硬盘类型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支持固态硬盘和机械硬盘</w:t>
            </w:r>
            <w:r/>
          </w:p>
        </w:tc>
      </w:tr>
      <w:tr>
        <w:trPr>
          <w:trHeight w:val="213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★硬磁盘实配容量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配备固态硬盘：≥2*480GB SSD</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配备固态硬盘：≥4*3.84TB SSD</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硬盘接口类型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支持SATA接口、SAS接口、PCIe接口</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★硬盘实配数量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配备固态硬盘：≥2*480GB SSD</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配备固态硬盘：≥4*3.84TB SSD</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★硬盘插槽数量及规格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支持3.5 英寸硬盘槽位≥12 个；</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后置支持≥4块2.5英寸盘位</w:t>
            </w:r>
            <w:r/>
          </w:p>
        </w:tc>
      </w:tr>
      <w:tr>
        <w:trPr>
          <w:trHeight w:val="1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硬盘其他参数要求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RAID卡规格（若支持RAID卡）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卡支持的 SAS接口数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r>
      <w:tr>
        <w:trPr>
          <w:trHeight w:val="10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SAS 直通卡规格(若支持 SAS直通卡)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SAS 直通卡 SAS 接口数量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HBA 卡规格(若支持 HBA直通卡)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HBA 卡端口数量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1418"/>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网络规格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★网口速率和数量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光口卡：实配≥2个双口万兆SFP卡，满配多模光模块，两块网卡芯片型号一致;</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管理口：实配≥1个千兆RJ45远程管理接口.</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存储型服务器网口速率和数量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独立网卡网口数量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配备独立网卡，独立网卡网口数量≥2</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独立网卡接口类型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支持SFP+</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板载网卡接口类型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 RJ45</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外部接口规格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★显示接口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显示接口类型应不少于 1 种，如：VGA、DP、HDMI 等，至少包含VGA接口</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★USB 接口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配备USB接口≥4个</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特殊接口及孔位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其他接口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电源冗余模式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整机电源模块支持1+1冗余</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★电源模块数量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不少于2个电源模块</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★电源功率</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电源模块功率应有一定冗余，满足处理器满载时的需求。单电源功率≥800W</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电源指示灯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★外观和结构</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a)服务器的零部件应紧固无松动，可插拔部件应可靠连接，开关、按钮和其它控制部件应灵活可靠，布局应方便使用；</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b) 产品表面不应有明显的凹痕、划伤、裂缝、变形和污染等。表面涂层均匀，不应起泡、龟裂、脱落和磨损，金属零部件无锈蚀及其它机械损伤；</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c) 产品表面说明功能的文字、符号和标志应清晰、端正且牢固；</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d) 应在服务器的显著位置提供运行状态的指示功能，并在随机文件中明确具体含义；</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e) 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f) 本产品不涉及高密度服务器</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g) 服务器尺寸具体要求在随机文件中明确</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★尺寸（高</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×宽×深）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可安装在19英寸标准机柜内</w:t>
            </w:r>
            <w:r/>
          </w:p>
        </w:tc>
      </w:tr>
      <w:tr>
        <w:trPr>
          <w:trHeight w:val="1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服务器导轨</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实配免工具维护导轨，供应商给出导轨尺寸、安装方式等信息</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 个数与机柜高度单位(U)比</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CPU个数≥2个，机柜高度2U</w:t>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★环境适应性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气候环境适应性应符合GB/T9813.3 的有关规定，工作温度 10～35℃，贮存运输温度-40～55℃；工作相对湿度 35 ～80 ，贮存运输相对湿度 20％～93 （40℃）；大气压 86～106kPa</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特殊机型环境适应性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★机械环境适应性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机械环境适应性应符合GB/T9813.3 的有关规定。</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★噪声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符合GB/T 9813.3 的有关规定</w:t>
            </w:r>
            <w:r/>
          </w:p>
        </w:tc>
      </w:tr>
      <w:tr>
        <w:trPr>
          <w:trHeight w:val="14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AI 计算单元规格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AI 计算单元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一键式迁移</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★机柜尺寸</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2000*600*1000（42U）</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机柜管理板</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产品规格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机柜电源规格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★主板外部接口种类</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至少支持USB、显示、管理等接口</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主板防烧</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板设计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扩展功能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网络功能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★网络功能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支持网络连接、网络访问、数据交换和网络管控功能</w:t>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★计算处理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支持通用计算及虚拟化功能。处理器需集成整型计算单元、浮点计算单元、内存控制器、I/O 模块等，处理器与存储部件、网络部件、I/O部件等组成计算系统，提供数据处理、网络接入等计算相关功能</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★密码算法实现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 芯片应符合GM/T 0008 的相关规定，或芯片密码模块应符合GB/T 37092 或 GM/T 0028 的相关规定</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存储功能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内存校验</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SATA SSD NAND 健康状态上报</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SATA SSD单 die 故障隔离</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RAID卡功能（若支持RAID卡）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卡RAID 级别支持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RAID模式支持： RAID 0/1/10/5</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卡BBU 单元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实配持电池或电容备份单元</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光驱功能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光驱类型（是否支持 RW，以及光盘类型CD/DVD）</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★电源热插拔</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整机电源模块应具备热插拔功能</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★电源过流保护</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支持过流及短路保护的功能</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★散热方式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支持风冷或液冷等散热方式</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其他功能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81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管理系统功能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★BMC 固件基础功能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 支持 DHCP 设置网络功能；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2)支持静态 IP 设置网络功能；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3)支持设备日志记录，包括但不限于登录日志、操作日志和报警日志等功能；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4)支持日志信息导出和记录删除功能；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5)支持通过管理接口向外输出准确的报警信息功能；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6)设备的 BMC 管理软件应能够按报警的严重程度进行区分；</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7)支持 IPMI2.0、SNMP 或 Redfish等接口功能；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8)支持键盘、鼠标和视频的重定向、文本控制台的重定向、远程虚拟媒体、高可靠的硬件监控和管理功能；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9)支持基于网络开启、关闭和重启设备的功能，并查询当前设备开机运行状态；</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10)支持故障提示功能，并可通过接口读取服务器故障信息；</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11)支持基于网络的固件更新功能，包括 BMC 和 BIOS 等；</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12)支持基于网络安装操作系统的功能，并可通过网络控制台访问设备；</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13)支持通过本地的硬盘或光驱等存储设备，基于网络完成设备的操作系统安装功能；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14)支持通过浏览器打开管理界面并登录功能；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15)支持设置口令策略功能；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16)支持访问权限设置功能，并通过日志记录访问事件；</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17)支持对出厂默认的用户名及口令进行安全保护功能，并提供默认口令修改提示；</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18)支持读取设备主板的工作环境温度功能；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19)支持读取服务器 CPU 等核心器件的温度功能；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20)支持通过外部管理工具进行 BMC参数设置的功能，并可基于网络通过外部管理工具对 BMC 进行管理；</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21)应支持固件版本查询、固件升级</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22)支持基于网络实现开关机和复位控制的功能；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23)BMC 启动时间应不超过 180s，实现功能包括网络、IPMI、散热、传感器服务可用；</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24)支持 BMC 固件设置的恢复出厂功能</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BMC 固件增强功能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54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★BIOS 固件基础功能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1）支持查看固件版本、内存信息、主板信息、处理器信息和系统时间信息功能；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2）支持上电初始化界面显示 CPU 信息、内存信息、固件版本和部分快捷键信息功能；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3）支持设置界面中英文显示切换功能；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4）支持查看 PCIe 设备信息，SATA设备信息功能；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5）支持操作系统安装和引导功能，应并向操作系统提供计算机主板信息和服务接口；</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6）支持设置启动顺序，并按照设置的启动顺序启动功能；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7）支持安全启动功能；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8）支持设置口令、修改口令验证口令功能；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9）支持 RAID 识别和启动功能；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10）支持固件更新功能；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11）支持 BIOS 固件设置的恢复出厂功能；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12）支持网络引导启用和关闭功能。</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★远程控制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支持远程关机和重新启动功能</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操作系统及驱动功能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★操作系统及驱动的升级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支持通过网络、闪存盘对操作系统、驱动进行升级</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操作系统及驱动的备份还原</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r>
      <w:tr>
        <w:trPr>
          <w:trHeight w:val="10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★操作系统功能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 支持访问控制、安全审计、网络接入鉴别等功能；</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b) 操作系统其他功能应满足操作系统政府采购需求标准中加*的指标要求</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中文信息处理功能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★中文信息处理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中文信息处理须符合 GB 18030 的有关规定</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机柜管理功能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机柜通信方式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多集群作业管理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关键部件安全要求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★关键部件安全要求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CPU须通过中国信息安全测评中心的安全可靠测评</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固件安全要求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★故障检测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支持故障检测，可以检测到具体的FRU（内存、硬盘等）的故障并发出告警</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内存故障智能预测和自愈修复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硬盘故障智能预测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PCIe 链路故障智能诊断</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内存故障隔离</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内存、PCIe 卡的故障精准告警功能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异常下电关键数据保护</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BMC/BIOS固件双镜像保护</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 核重启隔离</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内存地址隔离</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内存存储阵列替换</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安全启动</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系统安全要求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syslog 双向鉴别</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★弱口令字典检查</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支持弱口令字典检查功能，出现在弱口令字典中的字符串不能被设置为用户口令</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★白名单访问控制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支持基于时间、IP 或 MAC 白名单访问控制</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双因素鉴别</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★二次鉴别</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支持二次鉴别功能。对于用户配置、权限配置、公钥导入等重要的管理操作，已登录用户应通过二次鉴别后，才能执行操作</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匿名化用户告警接收邮箱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★密码证书安全加密存储</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支持对带外管理系统中的用户口令和证书等敏感信息进行加密存储，禁止使用私有的和业界已知不安全的密码算法</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★敏感信息安全加密传输</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支持使用安全的传输加密协议（如SSH 或 HTTPS 等）传输用户的敏感信息</w:t>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信息安全要求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★研发过程安全</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漏洞管理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供应商承诺，制造商已建立漏洞全量视图，保证产品版本涉及到的所有漏洞(如驱动程序、BMC 软件等)都可以查看</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网络关键设备服务器要求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1103"/>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增强要求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物理安全</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★物理安全</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安全要求应符合GB 4943.1 的规定；</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安全要求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限用物质的限量要求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★限用物质的限量要求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限用物质的限量应符合GB/T 26572的要求</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CPU性能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 主频</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C86架构；单CPU核数≥32；</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★单 CPU 核数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CPU主频（基频）≥2.2GHz；</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★单 CPU 末级缓存容量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单CPU 末级缓存容量：≥64MB</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内存性能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单内存模</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块容量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≥32GB</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★内存速率</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≥DDR4-3200MT/s</w:t>
            </w:r>
            <w:r/>
          </w:p>
        </w:tc>
      </w:tr>
      <w:tr>
        <w:trPr>
          <w:trHeight w:val="46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存储性能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硬盘转速</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RAID卡性能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卡缓存容量大小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FC HBA卡性能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FC HBA 卡速率</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网络性能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独立网卡速率</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板载网卡速率</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电源能耗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★电源能耗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在符合GB/T 9813.3 的有关规定的基础上，电源能耗技术参数符合80 PLUS标准中铂金/钛金级别同等标准</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部件兼容性要求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★内存兼容性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适配 3 种及以上厂商的内存产品，且均不低于产品支持的内存规格</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★固态存储兼容性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适配3种或以上厂商的固态存储产品，且均不低于产品支持的固态存储设备规格</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FC HBA 卡兼容性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RAID 卡兼容性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★网卡兼容性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网卡应适配2种或以上厂商产品</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★功能卡兼容性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内置或适配符合PCIe 的功能卡，如：网络功能卡、存储功能卡及图形显示功能卡</w:t>
            </w:r>
            <w:r/>
          </w:p>
        </w:tc>
      </w:tr>
      <w:tr>
        <w:trPr>
          <w:trHeight w:val="1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外设兼容性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★外设兼容性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兼容多种主流生产商的外部设备，包括显示器、键盘、鼠标、闪存盘、移动硬盘、USB 光驱及 KVM 等，要求使用不同厂商的外部设备时，系统均能正常识别和安装驱动</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软件兼容性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★数据库兼容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 3 个及以上厂商的数据库产品</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★中间件兼容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 3 个及以上厂商的中间件产品</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★平台软件兼容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 3 个及以上厂商的大数据平台</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虚拟化软件兼容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兼容 2 款及以上虚拟化软件</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可靠性要求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存储可靠性要求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SATA SSD可靠性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可靠性要求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整机可靠性要求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★整机可靠性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m1 值（MTBF 的不可接受值）不得低于300000h</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可靠性要求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★风扇可靠性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风扇寿命≥ 40000h</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可靠性要求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★部件可靠性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支持硬盘、电源、风扇热插拔(内置风扇除外)</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包装及运输要求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包装及运输要求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★标志、包装、运输和贮存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符合GB/T 9813.3 和商品包装政府采购需求标准的相关规定</w:t>
            </w:r>
            <w:r/>
          </w:p>
        </w:tc>
      </w:tr>
      <w:tr>
        <w:trPr>
          <w:trHeight w:val="28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服务响应</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★服务响应</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 提供电话、电子邮件、远程连接等多种形式服务；</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b) 提供同城4h、异地12h技术响应服务，2个工作日解决问题，对于未能解决的问题和故障应提供可行的升级方案，并提供周转设备；</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c) 建立全国技术服务体系和服务团体，符合专业服务体系标准要求，提供原厂中文服务；</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d) 服务周期内提供产品的维修、换件和升级服务</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★培训服务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供应商提供培训材料、产品手册、培训视频等培训相关内容</w:t>
            </w:r>
            <w:r/>
          </w:p>
        </w:tc>
      </w:tr>
      <w:tr>
        <w:trPr>
          <w:trHeight w:val="20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服务周期</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★服务周期</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a) 产品免费服务周期（含换件和维修）应不小于3年；</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b) 设备停产后继续提供质量保障服务（含备品备件），服务终止时间与最后一批设备交付时间间隔不低于6年；</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c) 产品停止服务时间应提前1年告知客户；</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d) 产品发布日期需在随机文件中明确</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服务工具要求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★工具要求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供应商提供设置服务器硬件、辅助操作系统安装等功能的辅助工具和管理软件。且随附软件应具有合法授权或版权</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辅助工具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★驱动安装升级指引</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供应商提供出厂安装的配件所需的驱动程序，形式包括但不限于驱动光盘、驱动下载链接等。其他配件应提供指引</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随机附开盖工具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代码迁移工具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性能分析工具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跨架构平台应用兼容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★管理软件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具备资源管理、系统管理、性能监控、健康监控、基于网络控制、报警设置功能。</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增值服务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★厂家升级产品软件与扩容服务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供应商提供原厂级的部件/软件产品升级和扩容能力</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服务保障升级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2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★提供上门服务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供应商具备提供上门服务的能力(可收费)</w:t>
            </w:r>
            <w:r/>
          </w:p>
        </w:tc>
      </w:tr>
      <w:tr>
        <w:trPr>
          <w:trHeight w:val="7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服务要求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业务场景性能优化服务及整体架构升级服务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w:t>
            </w:r>
            <w:r/>
          </w:p>
        </w:tc>
      </w:tr>
      <w:tr>
        <w:trPr>
          <w:trHeight w:val="104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供保要求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供应链质量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★抗干扰性</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当产品部件出现供应风险时，应通知客户并提供风险应对方案确保产品的服务保障，必要时应停止相关受影响产品的销售。</w:t>
            </w:r>
            <w:r/>
          </w:p>
        </w:tc>
      </w:tr>
      <w:tr>
        <w:trPr>
          <w:trHeight w:val="5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9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79"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供保要求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4" w:type="dxa"/>
            <w:vAlign w:val="center"/>
            <w:vMerge w:val="continue"/>
            <w:textDirection w:val="lrTb"/>
            <w:noWrap w:val="false"/>
          </w:tcPr>
          <w:p>
            <w:pPr>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978"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★供应能力证明</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2" w:type="dxa"/>
            <w:vAlign w:val="center"/>
            <w:textDirection w:val="lrTb"/>
            <w:noWrap w:val="false"/>
          </w:tcPr>
          <w:p>
            <w:pPr>
              <w:jc w:val="left"/>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供应商提供</w:t>
            </w:r>
            <w:r>
              <w:rPr>
                <w:rFonts w:hint="eastAsia" w:ascii="宋体" w:hAnsi="宋体" w:eastAsia="宋体" w:cs="宋体"/>
                <w:b/>
                <w:bCs/>
                <w:i w:val="0"/>
                <w:color w:val="000000"/>
                <w:sz w:val="24"/>
                <w:szCs w:val="24"/>
                <w:u w:val="none"/>
                <w:lang w:val="en-US" w:eastAsia="zh-CN" w:bidi="ar"/>
              </w:rPr>
              <w:t xml:space="preserve">供应链稳定承诺书</w:t>
            </w:r>
            <w:r>
              <w:rPr>
                <w:rFonts w:hint="eastAsia" w:ascii="宋体" w:hAnsi="宋体" w:eastAsia="宋体" w:cs="宋体"/>
                <w:i w:val="0"/>
                <w:color w:val="000000"/>
                <w:sz w:val="24"/>
                <w:szCs w:val="24"/>
                <w:u w:val="none"/>
                <w:lang w:val="en-US" w:eastAsia="zh-CN" w:bidi="ar"/>
              </w:rPr>
              <w:t xml:space="preserve">，确保产品的部件在产品服务周期内稳定供货。</w:t>
            </w:r>
            <w:r/>
          </w:p>
        </w:tc>
      </w:tr>
    </w:tbl>
    <w:p>
      <w:pPr>
        <w:pStyle w:val="775"/>
        <w:rPr>
          <w:rFonts w:hint="eastAsia"/>
          <w:lang w:val="en-US" w:eastAsia="zh-CN"/>
        </w:rPr>
      </w:pPr>
      <w:r>
        <w:rPr>
          <w:rFonts w:hint="eastAsia"/>
          <w:lang w:val="en-US" w:eastAsia="zh-CN"/>
        </w:rPr>
      </w:r>
      <w:r/>
    </w:p>
    <w:p>
      <w:pPr>
        <w:pStyle w:val="1046"/>
        <w:numPr>
          <w:ilvl w:val="0"/>
          <w:numId w:val="0"/>
        </w:numPr>
        <w:ind w:left="211"/>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特别说明：</w:t>
      </w:r>
      <w:r/>
    </w:p>
    <w:p>
      <w:pPr>
        <w:pStyle w:val="1046"/>
        <w:numPr>
          <w:ilvl w:val="0"/>
          <w:numId w:val="0"/>
        </w:numPr>
        <w:ind w:left="211"/>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承诺书</w:t>
      </w:r>
      <w:r/>
    </w:p>
    <w:p>
      <w:pPr>
        <w:pStyle w:val="1046"/>
        <w:ind w:left="418" w:firstLine="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1、研发过程安全承诺书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供《研发过程安全承诺书》，承诺书中需载明“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宋体"/>
          <w:b/>
          <w:sz w:val="24"/>
          <w:szCs w:val="24"/>
        </w:rPr>
        <w:t xml:space="preserve">响应文件中需提供该承诺书，未按要求提供的视为非实质性响应，响应无效。</w:t>
      </w:r>
      <w:r/>
    </w:p>
    <w:p>
      <w:pPr>
        <w:ind w:left="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2、供应链稳定承诺书</w:t>
      </w:r>
      <w:r/>
    </w:p>
    <w:p>
      <w:pPr>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供应商提供《供应链稳定承诺书》，承诺书中需载明“确保产品的部件在产品服务周期内稳定供货“。</w:t>
      </w:r>
      <w:r>
        <w:rPr>
          <w:rFonts w:hint="eastAsia" w:ascii="宋体" w:hAnsi="宋体" w:eastAsia="宋体" w:cs="宋体"/>
          <w:b/>
          <w:sz w:val="24"/>
          <w:szCs w:val="24"/>
        </w:rPr>
        <w:t xml:space="preserve">响应文件中需提供该承诺书，未按要求提供的视为非实质性响应，响应无效。</w:t>
      </w:r>
      <w:r/>
    </w:p>
    <w:p>
      <w:pPr>
        <w:pStyle w:val="775"/>
        <w:rPr>
          <w:rFonts w:hint="eastAsia"/>
          <w:lang w:val="en-US" w:eastAsia="zh-CN"/>
        </w:rPr>
      </w:pPr>
      <w:r>
        <w:rPr>
          <w:rFonts w:hint="eastAsia"/>
          <w:lang w:val="en-US" w:eastAsia="zh-CN"/>
        </w:rPr>
      </w:r>
      <w:r/>
    </w:p>
    <w:p>
      <w:pPr>
        <w:pStyle w:val="775"/>
        <w:rPr>
          <w:b/>
          <w:bCs/>
          <w:sz w:val="24"/>
          <w:szCs w:val="24"/>
          <w:lang w:val="en-US" w:eastAsia="zh-CN"/>
        </w:rPr>
      </w:pPr>
      <w:r>
        <w:rPr>
          <w:rFonts w:hint="eastAsia"/>
          <w:b/>
          <w:bCs/>
          <w:sz w:val="24"/>
          <w:szCs w:val="24"/>
          <w:lang w:val="en-US" w:eastAsia="zh-CN"/>
        </w:rPr>
        <w:t xml:space="preserve">二、</w:t>
      </w:r>
      <w:r>
        <w:rPr>
          <w:rFonts w:hint="eastAsia" w:ascii="宋体" w:hAnsi="宋体" w:eastAsia="宋体" w:cs="宋体"/>
          <w:b/>
          <w:bCs/>
          <w:color w:val="000000"/>
          <w:sz w:val="24"/>
          <w:szCs w:val="24"/>
          <w:lang w:val="en-US" w:eastAsia="zh-CN"/>
        </w:rPr>
        <w:t xml:space="preserve">外网国产化超融合虚拟化软件及</w:t>
      </w:r>
      <w:r>
        <w:rPr>
          <w:rFonts w:hint="eastAsia" w:ascii="宋体" w:hAnsi="宋体" w:eastAsia="宋体" w:cs="宋体"/>
          <w:b/>
          <w:bCs/>
          <w:sz w:val="24"/>
          <w:szCs w:val="24"/>
          <w:lang w:val="en-US" w:eastAsia="zh-CN"/>
        </w:rPr>
        <w:t xml:space="preserve">万兆交换机技术参数要求</w:t>
      </w:r>
      <w:r/>
    </w:p>
    <w:p>
      <w:pPr>
        <w:pStyle w:val="775"/>
        <w:rPr>
          <w:rFonts w:hint="eastAsia"/>
          <w:lang w:val="en-US" w:eastAsia="zh-CN"/>
        </w:rPr>
      </w:pPr>
      <w:r>
        <w:rPr>
          <w:rFonts w:hint="eastAsia"/>
          <w:lang w:val="en-US" w:eastAsia="zh-CN"/>
        </w:rPr>
      </w:r>
      <w:r/>
    </w:p>
    <w:p>
      <w:pPr>
        <w:pStyle w:val="775"/>
        <w:rPr>
          <w:lang w:val="en-US" w:eastAsia="zh-CN"/>
        </w:rPr>
      </w:pPr>
      <w:r>
        <w:rPr>
          <w:lang w:val="en-US" w:eastAsia="zh-CN"/>
        </w:rPr>
      </w:r>
      <w:r/>
    </w:p>
    <w:tbl>
      <w:tblPr>
        <w:tblStyle w:val="7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418"/>
        <w:gridCol w:w="6526"/>
      </w:tblGrid>
      <w:tr>
        <w:trPr>
          <w:jc w:val="center"/>
        </w:trPr>
        <w:tc>
          <w:tcPr>
            <w:tcW w:w="1271" w:type="dxa"/>
            <w:vAlign w:val="top"/>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产品类别</w:t>
            </w:r>
            <w:r/>
          </w:p>
        </w:tc>
        <w:tc>
          <w:tcPr>
            <w:tcW w:w="1418"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指标项</w:t>
            </w:r>
            <w:r/>
          </w:p>
        </w:tc>
        <w:tc>
          <w:tcPr>
            <w:tcW w:w="6526"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技术参数要求</w:t>
            </w:r>
            <w:r/>
          </w:p>
        </w:tc>
      </w:tr>
      <w:tr>
        <w:trPr>
          <w:jc w:val="center"/>
        </w:trPr>
        <w:tc>
          <w:tcPr>
            <w:tcW w:w="1271" w:type="dxa"/>
            <w:vAlign w:val="center"/>
            <w:vMerge w:val="restart"/>
            <w:textDirection w:val="lrTb"/>
            <w:noWrap w:val="false"/>
          </w:tcPr>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外网国产化超融合虚拟化软件</w:t>
            </w:r>
            <w:r/>
          </w:p>
        </w:tc>
        <w:tc>
          <w:tcPr>
            <w:tcW w:w="1418" w:type="dxa"/>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基本要求</w:t>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★所投软件需支持主流国产CPU芯片，包括且不仅限于鲲鹏、海光、兆芯、飞腾等。</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云计算管理平台</w:t>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云计算管理平台，和底层资源池部分的（计算虚拟化、存储虚拟化、网络虚拟化）均为同一厂商品牌提供，以保障平台的兼容性</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restart"/>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计算虚拟化</w:t>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颗CPU服务器虚拟化软件授权，须为正版企业版授权。</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自动收集所有的相关的组件的日志，告警，提供告警合并功能</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▲为避免主机假死导致系列问题发生，支持识别假死主机并标签化为亚健康主机，通过邮件或短信告警提醒我单位进行处理，并限制重要业务在亚健康主机上运行，规避风险（投标时需提供截图证明。）</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支持以EXCEL表格的方式导出虚拟机的配置信息，包括名称、IP、CPU内存磁盘配置、使用率信息</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▲我单位业务重要，为了避免停电影响，平台支持与UPS电源联动，当市电断电时通过UPS临时供应电量，当UPS电量过低时，按照虚拟机优先级先将不重要的虚拟机进行软关机（投标时需提供截图证明。）</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▲为保证升级过程中我单位业务的连续性，云平台支持在线升级；为保证升级时间与步骤可控，升级过程中支持对升级节点进行升级顺序编排、升级暂停（投标时需提供截图证明。）</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restart"/>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存储虚拟化</w:t>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颗CPU存储虚拟化授权，须为企业版正版授权。</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▲硬件故障会影响我单位数据安全，需要提供数据重建优先级调整功能，可以查看数据重建信息，包括重建的对象名称、数据量和优先级等信息，保障重要的业务优先恢复（投标时需提供</w:t>
            </w:r>
            <w:r>
              <w:rPr>
                <w:rFonts w:hint="eastAsia" w:ascii="宋体" w:hAnsi="宋体" w:eastAsia="宋体" w:cs="宋体"/>
                <w:color w:val="000000"/>
                <w:sz w:val="24"/>
                <w:szCs w:val="24"/>
                <w:lang w:val="en-US" w:eastAsia="zh-CN"/>
              </w:rPr>
              <w:t xml:space="preserve">经过中国计量认证CMA或中国合格评定国家认可委员会CNAS认可的测试机构出具</w:t>
            </w:r>
            <w:r>
              <w:rPr>
                <w:rFonts w:hint="eastAsia" w:ascii="宋体" w:hAnsi="宋体" w:eastAsia="宋体" w:cs="宋体"/>
                <w:color w:val="000000"/>
                <w:sz w:val="24"/>
                <w:szCs w:val="24"/>
              </w:rPr>
              <w:t xml:space="preserve">的功能测试页截图证明材料。）</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支持物理内存提供读缓存操作，支持在虚拟机中启用读缓存机制，提高虚拟机磁盘读性能。</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▲为保障我单位业务在硬件故障情况下的性能稳定性，为避免数据重建过程中IO抢占导致对业务的性能造成影响，同时要求对数据重建速度进行智能限速。（投标时需提供截图证明）</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支持条带化功能，并且支持以虚拟磁盘为单位设置不同的条带数</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▲针对卡慢磁盘进行自动隔离，恢复业务性能，并在界面提示告警信息及磁盘隔离原因。</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支持为虚拟磁盘配置不同的存储策略以满足特定场景。</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▲为保障数据安全，支持坏道修复功能，发现坏道后，主动修复坏道区域的数据，及时恢复数据副本的冗余性；当硬盘的坏道数过多，系统能自动将该盘的数据迁移至其他健康的硬盘上，保障数据的安全</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支持硬件健康状态监测，支持邮件和短信告警</w:t>
            </w:r>
            <w:r/>
          </w:p>
        </w:tc>
      </w:tr>
      <w:tr>
        <w:trPr>
          <w:jc w:val="center"/>
          <w:trHeight w:val="585"/>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▲支持快照功能。快照类型支持存储快照、磁盘快照。支持静默快照功能。（投标时需提供截图证明）</w:t>
            </w:r>
            <w:r/>
          </w:p>
        </w:tc>
      </w:tr>
      <w:tr>
        <w:trPr>
          <w:jc w:val="center"/>
        </w:trPr>
        <w:tc>
          <w:tcPr>
            <w:tcW w:w="1271"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网络虚拟化</w:t>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颗CPU网络虚拟化软件授权，须为企业版正版授权。</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为了简化我单位运维，要求提供网络硬件检测等能力，以便及时检测和处理网络硬件故障，保障网络的稳定性和可靠性。</w:t>
            </w:r>
            <w:r/>
          </w:p>
        </w:tc>
      </w:tr>
      <w:tr>
        <w:trPr>
          <w:jc w:val="center"/>
        </w:trPr>
        <w:tc>
          <w:tcPr>
            <w:tcW w:w="1271"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了提升我单位运维人员部署效率，需要能够在图形化管理平台上，通过托、拉、拽方式完成虚拟网络拓扑创建，能够通过同一界面中的功能按键，实现虚拟网络连接、开启和关闭等操作。（投标时需提供截图证明）</w:t>
            </w:r>
            <w:r/>
          </w:p>
        </w:tc>
      </w:tr>
      <w:tr>
        <w:trPr>
          <w:jc w:val="center"/>
        </w:trPr>
        <w:tc>
          <w:tcPr>
            <w:tcW w:w="1271"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我单位要求产品不限制虚拟路由器的创建数量，并且需要支持高可用（HA）功能。当虚拟路由器所在的主机发生故障时，系统应能够自动进行故障恢复，以确保业务的高可靠性。</w:t>
            </w:r>
            <w:r/>
          </w:p>
        </w:tc>
      </w:tr>
      <w:tr>
        <w:trPr>
          <w:jc w:val="center"/>
        </w:trPr>
        <w:tc>
          <w:tcPr>
            <w:tcW w:w="1271"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▲为了方便我单位定位业务虚拟机出现的网络问题，需提供网络可视化功能，在图形化界面观察到所有虚拟机的流量走向与访问关系，包括源对象、源IP、目标对象、目的IP、访问次数、服务类型等信息。</w:t>
            </w:r>
            <w:r/>
          </w:p>
        </w:tc>
      </w:tr>
      <w:tr>
        <w:trPr>
          <w:jc w:val="center"/>
        </w:trPr>
        <w:tc>
          <w:tcPr>
            <w:tcW w:w="1271"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为了提升排障效率，要求支持跳转连通性探测页面，可以点击开始探测按钮查看探测页面信息，可以在网络连通性探测页面查看网络探测是否成功</w:t>
            </w:r>
            <w:r/>
          </w:p>
        </w:tc>
      </w:tr>
      <w:tr>
        <w:trPr>
          <w:jc w:val="center"/>
        </w:trPr>
        <w:tc>
          <w:tcPr>
            <w:tcW w:w="1271"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restart"/>
            <w:textDirection w:val="lrTb"/>
            <w:noWrap w:val="false"/>
          </w:tcPr>
          <w:p>
            <w:pPr>
              <w:jc w:val="center"/>
              <w:spacing w:line="360" w:lineRule="auto"/>
              <w:widowControl/>
              <w:rPr>
                <w:rFonts w:hint="eastAsia" w:ascii="宋体" w:hAnsi="宋体" w:eastAsia="宋体" w:cs="宋体"/>
                <w:b/>
                <w:sz w:val="24"/>
                <w:szCs w:val="24"/>
                <w:lang w:val="en-US" w:eastAsia="zh-CN" w:bidi="ar-SA"/>
              </w:rPr>
            </w:pPr>
            <w:r>
              <w:rPr>
                <w:rFonts w:hint="eastAsia" w:ascii="宋体" w:hAnsi="宋体" w:eastAsia="宋体" w:cs="宋体"/>
                <w:color w:val="000000"/>
                <w:sz w:val="24"/>
                <w:szCs w:val="24"/>
              </w:rPr>
              <w:t xml:space="preserve">安全虚拟化</w:t>
            </w:r>
            <w:r/>
          </w:p>
        </w:tc>
        <w:tc>
          <w:tcPr>
            <w:tcW w:w="65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颗CPU服务器虚拟化软件授权，须为正版企业版授权。</w:t>
            </w:r>
            <w:r/>
          </w:p>
        </w:tc>
      </w:tr>
      <w:tr>
        <w:trPr>
          <w:jc w:val="center"/>
        </w:trPr>
        <w:tc>
          <w:tcPr>
            <w:tcW w:w="1271" w:type="dxa"/>
            <w:vAlign w:val="center"/>
            <w:vMerge w:val="continue"/>
            <w:textDirection w:val="lrTb"/>
            <w:noWrap w:val="false"/>
          </w:tcPr>
          <w:p>
            <w:pPr>
              <w:jc w:val="center"/>
              <w:spacing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tc>
        <w:tc>
          <w:tcPr>
            <w:tcW w:w="6526" w:type="dxa"/>
            <w:vAlign w:val="top"/>
            <w:textDirection w:val="lrTb"/>
            <w:noWrap w:val="false"/>
          </w:tcPr>
          <w:p>
            <w:pPr>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▲平台自主可控，超融合产品的安全虚拟化软件完全自主研发，非OEM，需提供安全虚拟化的软件著作权证书。（投标时提供计算机软件著作权登记证书）</w:t>
            </w:r>
            <w:r/>
          </w:p>
        </w:tc>
      </w:tr>
      <w:tr>
        <w:trPr>
          <w:jc w:val="center"/>
        </w:trPr>
        <w:tc>
          <w:tcPr>
            <w:tcW w:w="1271"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top"/>
            <w:textDirection w:val="lrTb"/>
            <w:noWrap w:val="false"/>
          </w:tcPr>
          <w:p>
            <w:pPr>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虚拟机安装性能优化工具时，虚拟化平台支持自动安装组件功能对操作系统进行安全防护，以保障业务安全性和运维高效性。</w:t>
            </w:r>
            <w:r/>
          </w:p>
        </w:tc>
      </w:tr>
      <w:tr>
        <w:trPr>
          <w:jc w:val="center"/>
        </w:trPr>
        <w:tc>
          <w:tcPr>
            <w:tcW w:w="1271"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平台提供可靠的向导化勒索病毒防护和处理解决方案，包括紧急隔离、保留当前状态、恢复云主机、扫描病毒、恢复网络。并支持事前勒索病毒防护、事中检测疑似勒索可打自动对虚拟机打快照、事后勒索病毒向导化处理，支持对虚拟机漏洞情况进行扫描，支持查看漏洞详情并修复数据。</w:t>
            </w:r>
            <w:r/>
          </w:p>
        </w:tc>
      </w:tr>
      <w:tr>
        <w:trPr>
          <w:jc w:val="center"/>
        </w:trPr>
        <w:tc>
          <w:tcPr>
            <w:tcW w:w="1271"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26" w:type="dxa"/>
            <w:vAlign w:val="center"/>
            <w:textDirection w:val="lrTb"/>
            <w:noWrap w:val="false"/>
          </w:tcPr>
          <w:p>
            <w:pPr>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rPr>
              <w:t xml:space="preserve">支持对虚拟机漏洞情况进行扫描，并获得准确的漏洞扫描结果，扫描后可以查看漏洞详细信息，包括检测时间、检测来源、解决建议、修复流程等。并提供扫描出的漏洞修复能力。</w:t>
            </w:r>
            <w:r/>
          </w:p>
        </w:tc>
      </w:tr>
      <w:tr>
        <w:trPr>
          <w:jc w:val="center"/>
          <w:trHeight w:val="20"/>
        </w:trPr>
        <w:tc>
          <w:tcPr>
            <w:tcW w:w="1271" w:type="dxa"/>
            <w:vAlign w:val="center"/>
            <w:vMerge w:val="restart"/>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万兆交换机</w:t>
            </w:r>
            <w:r/>
          </w:p>
        </w:tc>
        <w:tc>
          <w:tcPr>
            <w:tcW w:w="1418" w:type="dxa"/>
            <w:vAlign w:val="center"/>
            <w:vMerge w:val="restart"/>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基础硬件</w:t>
            </w:r>
            <w:r/>
          </w:p>
        </w:tc>
        <w:tc>
          <w:tcPr>
            <w:tcW w:w="652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★交换容量≥2.56Tbps，包转发率≥720Mpps，以官网最小值为准，要求提供官网截图和官网链接证明；</w:t>
            </w:r>
            <w:r/>
          </w:p>
        </w:tc>
      </w:tr>
      <w:tr>
        <w:trPr>
          <w:jc w:val="center"/>
          <w:trHeight w:val="20"/>
        </w:trPr>
        <w:tc>
          <w:tcPr>
            <w:tcW w:w="1271" w:type="dxa"/>
            <w:vAlign w:val="center"/>
            <w:vMerge w:val="continue"/>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★支持并实配10G/1G接口数≥20个，25G/10G接口数量≥4个，40G接口数≥2个，整机可扩展支持10G接口数≥32个，支持可拔插双模块化电源，可拔插双模块化风扇，前后风道，要求提供官网截图和官网链接证明；</w:t>
            </w:r>
            <w:r/>
          </w:p>
        </w:tc>
      </w:tr>
      <w:tr>
        <w:trPr>
          <w:jc w:val="center"/>
          <w:trHeight w:val="20"/>
        </w:trPr>
        <w:tc>
          <w:tcPr>
            <w:tcW w:w="1271" w:type="dxa"/>
            <w:vAlign w:val="center"/>
            <w:vMerge w:val="continue"/>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418" w:type="dxa"/>
            <w:vAlign w:val="center"/>
            <w:vMerge w:val="restart"/>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功能指标</w:t>
            </w:r>
            <w:r/>
          </w:p>
        </w:tc>
        <w:tc>
          <w:tcPr>
            <w:tcW w:w="652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支持硬件健康状态可视化，可以对风扇状态、电源、温度、板载电压进行监控，尤其是在日常巡查中发现电压异常前兆，可及时处理，避免出现电压异常宕机，投标时提供国家认可的检测机构出具的测试报告并加盖公章；</w:t>
            </w:r>
            <w:r/>
          </w:p>
        </w:tc>
      </w:tr>
      <w:tr>
        <w:trPr>
          <w:jc w:val="center"/>
          <w:trHeight w:val="20"/>
        </w:trPr>
        <w:tc>
          <w:tcPr>
            <w:tcW w:w="1271" w:type="dxa"/>
            <w:vAlign w:val="center"/>
            <w:vMerge w:val="continue"/>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▲支持硬件层级双boot，采用两个FLASH芯片存储boot软件（系统引导程序），实现硬件级boot冗余备份，避免因FLASH芯片故障导致交换机无法启动。投标时提供国家认可的检测机构出具的测试报告并加盖公章；</w:t>
            </w:r>
            <w:r/>
          </w:p>
        </w:tc>
      </w:tr>
      <w:tr>
        <w:trPr>
          <w:jc w:val="center"/>
          <w:trHeight w:val="20"/>
        </w:trPr>
        <w:tc>
          <w:tcPr>
            <w:tcW w:w="1271" w:type="dxa"/>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▲设备支持故障隔离技术，用于监测光模块状态，一旦出现故障，可马上识别、并将故障模块隔离，确保不影响其它端口和整机的正常运行，更换模块后该端口也可马上恢复正常工作</w:t>
            </w:r>
            <w:r>
              <w:rPr>
                <w:rFonts w:hint="eastAsia" w:ascii="宋体" w:hAnsi="宋体" w:eastAsia="宋体" w:cs="宋体"/>
                <w:sz w:val="24"/>
                <w:szCs w:val="24"/>
                <w:lang w:eastAsia="zh-CN"/>
              </w:rPr>
              <w:t xml:space="preserve">。</w:t>
            </w:r>
            <w:r/>
          </w:p>
        </w:tc>
      </w:tr>
      <w:tr>
        <w:trPr>
          <w:jc w:val="center"/>
          <w:trHeight w:val="20"/>
        </w:trPr>
        <w:tc>
          <w:tcPr>
            <w:tcW w:w="1271" w:type="dxa"/>
            <w:vAlign w:val="center"/>
            <w:vMerge w:val="continue"/>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支持RIP，OSPF，BGP，RIPng，OSPFv3，BGP4+；</w:t>
            </w:r>
            <w:r/>
          </w:p>
        </w:tc>
      </w:tr>
      <w:tr>
        <w:trPr>
          <w:jc w:val="center"/>
          <w:trHeight w:val="20"/>
        </w:trPr>
        <w:tc>
          <w:tcPr>
            <w:tcW w:w="1271" w:type="dxa"/>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支持多虚一技术，可将多台物理设备虚拟化为一台逻辑设备统一管理，VSL故障恢复时间＜30ms；</w:t>
            </w:r>
            <w:r/>
          </w:p>
        </w:tc>
      </w:tr>
      <w:tr>
        <w:trPr>
          <w:jc w:val="center"/>
          <w:trHeight w:val="20"/>
        </w:trPr>
        <w:tc>
          <w:tcPr>
            <w:tcW w:w="1271" w:type="dxa"/>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652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lang w:val="en-US"/>
              </w:rPr>
              <w:suppressLineNumbers w:val="0"/>
            </w:pPr>
            <w:r>
              <w:rPr>
                <w:rFonts w:hint="eastAsia" w:ascii="宋体" w:hAnsi="宋体" w:eastAsia="宋体" w:cs="宋体"/>
                <w:sz w:val="24"/>
                <w:szCs w:val="24"/>
              </w:rPr>
              <w:t xml:space="preserve">支持支持同时开启802.1X或WEB认证，CPP、ACL、防ARP欺骗等功能不会相互冲突、制约；</w:t>
            </w:r>
            <w:r/>
          </w:p>
        </w:tc>
      </w:tr>
      <w:tr>
        <w:trPr>
          <w:jc w:val="center"/>
          <w:trHeight w:val="20"/>
        </w:trPr>
        <w:tc>
          <w:tcPr>
            <w:tcW w:w="1271" w:type="dxa"/>
            <w:vAlign w:val="center"/>
            <w:vMerge w:val="continue"/>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418"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配置要求</w:t>
            </w:r>
            <w:r/>
          </w:p>
        </w:tc>
        <w:tc>
          <w:tcPr>
            <w:tcW w:w="652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★实配要求：单台配置双电源冗余</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含8个万兆多模模块，40G *1根堆叠线</w:t>
            </w:r>
            <w:r>
              <w:rPr>
                <w:rFonts w:hint="eastAsia" w:ascii="宋体" w:hAnsi="宋体" w:eastAsia="宋体" w:cs="宋体"/>
                <w:sz w:val="24"/>
                <w:szCs w:val="24"/>
              </w:rPr>
              <w:t xml:space="preserve">，三年质保。</w:t>
            </w:r>
            <w:r/>
          </w:p>
        </w:tc>
      </w:tr>
    </w:tbl>
    <w:p>
      <w:pPr>
        <w:ind w:right="139"/>
        <w:spacing w:line="360" w:lineRule="auto"/>
        <w:rPr>
          <w:rFonts w:hint="eastAsia" w:ascii="宋体" w:hAnsi="宋体" w:eastAsia="宋体" w:cs="宋体"/>
          <w:b/>
          <w:bCs/>
          <w:sz w:val="24"/>
          <w:szCs w:val="24"/>
          <w:lang w:val="ru-RU"/>
        </w:rPr>
      </w:pPr>
      <w:r>
        <w:rPr>
          <w:rFonts w:hint="eastAsia" w:ascii="宋体" w:hAnsi="宋体" w:eastAsia="宋体" w:cs="宋体"/>
          <w:b/>
          <w:bCs/>
          <w:sz w:val="24"/>
          <w:szCs w:val="24"/>
          <w:lang w:val="ru-RU"/>
        </w:rPr>
        <w:t xml:space="preserve">备注：</w:t>
      </w:r>
      <w:r/>
    </w:p>
    <w:p>
      <w:pPr>
        <w:ind w:right="139" w:firstLine="482"/>
        <w:jc w:val="left"/>
        <w:keepLines w:val="0"/>
        <w:keepNext w:val="0"/>
        <w:pageBreakBefore w:val="0"/>
        <w:spacing w:line="360" w:lineRule="auto"/>
        <w:widowControl w:val="off"/>
        <w:rPr>
          <w:rFonts w:hint="eastAsia" w:ascii="宋体" w:hAnsi="宋体" w:eastAsia="宋体" w:cs="宋体"/>
          <w:b/>
          <w:bCs/>
          <w:sz w:val="24"/>
          <w:szCs w:val="24"/>
          <w:lang w:val="ru-RU"/>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w:t>
      </w:r>
      <w:r>
        <w:rPr>
          <w:rFonts w:hint="eastAsia" w:ascii="宋体" w:hAnsi="宋体" w:eastAsia="宋体" w:cs="宋体"/>
          <w:b/>
          <w:bCs/>
          <w:sz w:val="24"/>
          <w:szCs w:val="24"/>
          <w:lang w:val="ru-RU"/>
        </w:rPr>
        <w:t xml:space="preserve">投标人提供的所有投标资料（含资质及产品证明材料等）必须真实可靠，否则予以无效投标处理，同时列入政府采购违法失信行为记录名单，如有违法行为的须承担相应法律责任。</w:t>
      </w:r>
      <w:r/>
    </w:p>
    <w:p>
      <w:pPr>
        <w:ind w:right="139" w:firstLine="482"/>
        <w:jc w:val="left"/>
        <w:keepLines w:val="0"/>
        <w:keepNext w:val="0"/>
        <w:pageBreakBefore w:val="0"/>
        <w:spacing w:line="360" w:lineRule="auto"/>
        <w:widowControl w:val="off"/>
        <w:rPr>
          <w:rFonts w:hint="eastAsia" w:ascii="宋体" w:hAnsi="宋体" w:eastAsia="宋体" w:cs="宋体"/>
          <w:b/>
          <w:bCs/>
          <w:sz w:val="24"/>
          <w:szCs w:val="24"/>
          <w:lang w:val="ru-RU"/>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w:t>
      </w:r>
      <w:r>
        <w:rPr>
          <w:rFonts w:hint="eastAsia" w:ascii="宋体" w:hAnsi="宋体" w:eastAsia="宋体" w:cs="宋体"/>
          <w:b/>
          <w:bCs/>
          <w:sz w:val="24"/>
          <w:szCs w:val="24"/>
          <w:lang w:val="ru-RU"/>
        </w:rPr>
        <w:t xml:space="preserve">本次项目产品参数中所涉及的功能截图、参数证明材料等在投标时需提供具体的证明材料。开标完成后三个工作日内中标供应商须向采购方提供：①投标设备生产厂家盖章的技术偏离表原件（须加盖生产厂家</w:t>
      </w:r>
      <w:r>
        <w:rPr>
          <w:rFonts w:hint="eastAsia" w:ascii="宋体" w:hAnsi="宋体" w:eastAsia="宋体" w:cs="宋体"/>
          <w:b/>
          <w:bCs/>
          <w:sz w:val="24"/>
          <w:szCs w:val="24"/>
          <w:lang w:val="ru-RU" w:eastAsia="zh-CN"/>
        </w:rPr>
        <w:t xml:space="preserve">公章</w:t>
      </w:r>
      <w:r>
        <w:rPr>
          <w:rFonts w:hint="eastAsia" w:ascii="宋体" w:hAnsi="宋体" w:eastAsia="宋体" w:cs="宋体"/>
          <w:b/>
          <w:bCs/>
          <w:sz w:val="24"/>
          <w:szCs w:val="24"/>
          <w:lang w:val="ru-RU"/>
        </w:rPr>
        <w:t xml:space="preserve">），②产品参数中所涉及的功能截图、参数证明材料复印件的原件（须加盖生产厂家</w:t>
      </w:r>
      <w:r>
        <w:rPr>
          <w:rFonts w:hint="eastAsia" w:ascii="宋体" w:hAnsi="宋体" w:eastAsia="宋体" w:cs="宋体"/>
          <w:b/>
          <w:bCs/>
          <w:sz w:val="24"/>
          <w:szCs w:val="24"/>
          <w:lang w:val="ru-RU" w:eastAsia="zh-CN"/>
        </w:rPr>
        <w:t xml:space="preserve">公章</w:t>
      </w:r>
      <w:r>
        <w:rPr>
          <w:rFonts w:hint="eastAsia" w:ascii="宋体" w:hAnsi="宋体" w:eastAsia="宋体" w:cs="宋体"/>
          <w:b/>
          <w:bCs/>
          <w:sz w:val="24"/>
          <w:szCs w:val="24"/>
          <w:lang w:val="ru-RU"/>
        </w:rPr>
        <w:t xml:space="preserve">）；③投标设备生产厂家针对本项目的原厂授权函和投标设备原厂质保售后服务承诺函原件（须加盖生产厂家</w:t>
      </w:r>
      <w:r>
        <w:rPr>
          <w:rFonts w:hint="eastAsia" w:ascii="宋体" w:hAnsi="宋体" w:eastAsia="宋体" w:cs="宋体"/>
          <w:b/>
          <w:bCs/>
          <w:sz w:val="24"/>
          <w:szCs w:val="24"/>
          <w:lang w:val="ru-RU" w:eastAsia="zh-CN"/>
        </w:rPr>
        <w:t xml:space="preserve">公章</w:t>
      </w:r>
      <w:r>
        <w:rPr>
          <w:rFonts w:hint="eastAsia" w:ascii="宋体" w:hAnsi="宋体" w:eastAsia="宋体" w:cs="宋体"/>
          <w:b/>
          <w:bCs/>
          <w:sz w:val="24"/>
          <w:szCs w:val="24"/>
          <w:lang w:val="ru-RU"/>
        </w:rPr>
        <w:t xml:space="preserve">）。如未能提供①②③所要求的材料，视为虚假应标，不予签订合同并取消其中标资格。</w:t>
      </w:r>
      <w:r/>
    </w:p>
    <w:p>
      <w:pPr>
        <w:ind w:right="139" w:firstLine="482"/>
        <w:jc w:val="left"/>
        <w:keepLines w:val="0"/>
        <w:keepNext w:val="0"/>
        <w:pageBreakBefore w:val="0"/>
        <w:spacing w:line="360" w:lineRule="auto"/>
        <w:widowControl w:val="off"/>
        <w:rPr>
          <w:rFonts w:hint="eastAsia" w:ascii="宋体" w:hAnsi="宋体" w:eastAsia="宋体" w:cs="宋体"/>
          <w:sz w:val="24"/>
          <w:szCs w:val="24"/>
          <w:lang w:val="ru-RU"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w:t>
      </w:r>
      <w:r>
        <w:rPr>
          <w:rFonts w:hint="eastAsia" w:ascii="宋体" w:hAnsi="宋体" w:eastAsia="宋体" w:cs="宋体"/>
          <w:b/>
          <w:bCs/>
          <w:sz w:val="24"/>
          <w:szCs w:val="24"/>
          <w:lang w:val="ru-RU"/>
        </w:rPr>
        <w:t xml:space="preserve">为保障所采购的设备能达到预期效果，必要时用户有权要求中标供应商在七个工作日内提供项目采购的产品进行功能性测试，发现虚假强行应标的将</w:t>
      </w:r>
      <w:r>
        <w:rPr>
          <w:rFonts w:hint="eastAsia" w:ascii="宋体" w:hAnsi="宋体" w:eastAsia="宋体" w:cs="宋体"/>
          <w:b/>
          <w:bCs/>
          <w:sz w:val="24"/>
          <w:szCs w:val="24"/>
          <w:lang w:val="en-US" w:eastAsia="zh-CN"/>
        </w:rPr>
        <w:t xml:space="preserve">不予签合同</w:t>
      </w:r>
      <w:r>
        <w:rPr>
          <w:rFonts w:hint="eastAsia" w:ascii="宋体" w:hAnsi="宋体" w:eastAsia="宋体" w:cs="宋体"/>
          <w:b/>
          <w:bCs/>
          <w:sz w:val="24"/>
          <w:szCs w:val="24"/>
          <w:lang w:val="ru-RU"/>
        </w:rPr>
        <w:t xml:space="preserve">。给招标人造成损失的,依法承担法律责任</w:t>
      </w:r>
      <w:r>
        <w:rPr>
          <w:rFonts w:hint="eastAsia" w:ascii="宋体" w:hAnsi="宋体" w:eastAsia="宋体" w:cs="宋体"/>
          <w:b/>
          <w:bCs/>
          <w:sz w:val="24"/>
          <w:szCs w:val="24"/>
          <w:lang w:val="ru-RU" w:eastAsia="zh-CN"/>
        </w:rPr>
        <w:t xml:space="preserve">。</w:t>
      </w:r>
      <w:r/>
    </w:p>
    <w:p>
      <w:pPr>
        <w:numPr>
          <w:ilvl w:val="0"/>
          <w:numId w:val="0"/>
        </w:numPr>
        <w:ind w:left="600"/>
        <w:rPr>
          <w:rFonts w:ascii="宋体" w:hAnsi="宋体" w:eastAsia="宋体" w:cs="Times New Roman"/>
          <w:caps/>
          <w:sz w:val="24"/>
          <w:szCs w:val="24"/>
          <w:highlight w:val="none"/>
          <w:lang w:val="en-US" w:eastAsia="zh-CN" w:bidi="ar-SA"/>
        </w:rPr>
      </w:pPr>
      <w:r>
        <w:rPr>
          <w:rFonts w:ascii="宋体" w:hAnsi="宋体" w:eastAsia="宋体" w:cs="Times New Roman"/>
          <w:caps/>
          <w:sz w:val="24"/>
          <w:szCs w:val="24"/>
          <w:highlight w:val="none"/>
          <w:lang w:val="en-US" w:eastAsia="zh-CN" w:bidi="ar-SA"/>
        </w:rPr>
      </w:r>
      <w:r/>
    </w:p>
    <w:p>
      <w:pPr>
        <w:numPr>
          <w:ilvl w:val="0"/>
          <w:numId w:val="13"/>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采购标的的其他技术要求</w:t>
      </w:r>
      <w:r/>
    </w:p>
    <w:p>
      <w:pPr>
        <w:numPr>
          <w:ilvl w:val="0"/>
          <w:numId w:val="0"/>
        </w:numPr>
        <w:ind w:left="600"/>
        <w:rPr>
          <w:rFonts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  无</w:t>
      </w:r>
      <w:r/>
    </w:p>
    <w:p>
      <w:pPr>
        <w:pStyle w:val="993"/>
        <w:rPr>
          <w:rFonts w:hint="eastAsia"/>
          <w:highlight w:val="none"/>
        </w:rPr>
      </w:pPr>
      <w:r>
        <w:rPr>
          <w:rFonts w:hint="eastAsia"/>
          <w:highlight w:val="none"/>
        </w:rPr>
      </w:r>
      <w:r/>
    </w:p>
    <w:p>
      <w:pPr>
        <w:numPr>
          <w:ilvl w:val="0"/>
          <w:numId w:val="0"/>
        </w:numPr>
        <w:spacing w:line="520" w:lineRule="exact"/>
        <w:rPr>
          <w:rFonts w:hint="eastAsia" w:ascii="宋体" w:hAnsi="宋体"/>
          <w:b/>
          <w:sz w:val="28"/>
          <w:szCs w:val="28"/>
          <w:highlight w:val="none"/>
        </w:rPr>
      </w:pPr>
      <w:r>
        <w:rPr>
          <w:rFonts w:hint="eastAsia" w:ascii="宋体" w:hAnsi="宋体"/>
          <w:b/>
          <w:sz w:val="28"/>
          <w:szCs w:val="28"/>
          <w:highlight w:val="none"/>
          <w:lang w:eastAsia="zh-CN"/>
        </w:rPr>
        <w:t xml:space="preserve">四、</w:t>
      </w:r>
      <w:r>
        <w:rPr>
          <w:rFonts w:hint="eastAsia" w:ascii="宋体" w:hAnsi="宋体"/>
          <w:b/>
          <w:sz w:val="28"/>
          <w:szCs w:val="28"/>
          <w:highlight w:val="none"/>
        </w:rPr>
        <w:t xml:space="preserve">商务要求</w:t>
      </w:r>
      <w:r/>
    </w:p>
    <w:p>
      <w:pPr>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p>
    <w:p>
      <w:pPr>
        <w:numPr>
          <w:ilvl w:val="0"/>
          <w:numId w:val="14"/>
        </w:numPr>
        <w:ind w:left="0" w:firstLine="601"/>
        <w:keepLines w:val="0"/>
        <w:keepNext w:val="0"/>
        <w:pageBreakBefore w:val="0"/>
        <w:spacing w:line="52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采购标的的数量、采购项目交付或者实施的时间和地点；</w:t>
      </w:r>
      <w:r/>
    </w:p>
    <w:p>
      <w:pPr>
        <w:numPr>
          <w:ilvl w:val="0"/>
          <w:numId w:val="15"/>
        </w:numPr>
        <w:ind w:left="0"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采购标的的数量：</w:t>
      </w:r>
      <w:r>
        <w:rPr>
          <w:rFonts w:hint="eastAsia" w:ascii="宋体" w:hAnsi="宋体" w:eastAsia="宋体" w:cs="Times New Roman"/>
          <w:sz w:val="24"/>
          <w:szCs w:val="24"/>
          <w:highlight w:val="none"/>
          <w:u w:val="single"/>
        </w:rPr>
        <w:t xml:space="preserve"> </w:t>
      </w:r>
      <w:r>
        <w:rPr>
          <w:rFonts w:hint="eastAsia" w:ascii="宋体" w:hAnsi="宋体" w:eastAsia="宋体" w:cs="宋体"/>
          <w:sz w:val="24"/>
          <w:szCs w:val="24"/>
          <w:u w:val="single"/>
          <w:lang w:eastAsia="zh-CN"/>
        </w:rPr>
        <w:t xml:space="preserve">外网</w:t>
      </w:r>
      <w:r>
        <w:rPr>
          <w:rFonts w:hint="eastAsia" w:ascii="宋体" w:hAnsi="宋体" w:eastAsia="宋体" w:cs="宋体"/>
          <w:sz w:val="24"/>
          <w:szCs w:val="24"/>
          <w:u w:val="single"/>
          <w:lang w:val="en-US" w:eastAsia="zh-CN"/>
        </w:rPr>
        <w:t xml:space="preserve">国产化</w:t>
      </w:r>
      <w:r>
        <w:rPr>
          <w:rFonts w:hint="eastAsia" w:ascii="宋体" w:hAnsi="宋体" w:eastAsia="宋体" w:cs="宋体"/>
          <w:sz w:val="24"/>
          <w:szCs w:val="24"/>
          <w:u w:val="single"/>
          <w:lang w:eastAsia="zh-CN"/>
        </w:rPr>
        <w:t xml:space="preserve">超融合</w:t>
      </w:r>
      <w:r>
        <w:rPr>
          <w:rFonts w:hint="eastAsia" w:ascii="宋体" w:hAnsi="宋体" w:eastAsia="宋体" w:cs="宋体"/>
          <w:sz w:val="24"/>
          <w:szCs w:val="24"/>
          <w:u w:val="single"/>
          <w:lang w:val="en-US" w:eastAsia="zh-CN"/>
        </w:rPr>
        <w:t xml:space="preserve">服务器</w:t>
      </w:r>
      <w:r>
        <w:rPr>
          <w:rFonts w:hint="eastAsia" w:ascii="宋体" w:hAnsi="宋体" w:eastAsia="宋体" w:cs="宋体"/>
          <w:bCs/>
          <w:sz w:val="24"/>
          <w:szCs w:val="24"/>
          <w:u w:val="single"/>
          <w:lang w:val="en-US" w:eastAsia="zh-CN"/>
        </w:rPr>
        <w:t xml:space="preserve">4台、</w:t>
      </w:r>
      <w:r>
        <w:rPr>
          <w:rFonts w:hint="eastAsia" w:ascii="宋体" w:hAnsi="宋体" w:eastAsia="宋体" w:cs="宋体"/>
          <w:color w:val="000000"/>
          <w:sz w:val="24"/>
          <w:szCs w:val="24"/>
          <w:highlight w:val="none"/>
          <w:u w:val="single"/>
          <w:lang w:eastAsia="zh-CN"/>
        </w:rPr>
        <w:t xml:space="preserve">外网</w:t>
      </w:r>
      <w:r>
        <w:rPr>
          <w:rFonts w:hint="eastAsia" w:ascii="宋体" w:hAnsi="宋体" w:eastAsia="宋体" w:cs="宋体"/>
          <w:color w:val="000000"/>
          <w:sz w:val="24"/>
          <w:szCs w:val="24"/>
          <w:highlight w:val="none"/>
          <w:u w:val="single"/>
          <w:lang w:val="en-US" w:eastAsia="zh-CN"/>
        </w:rPr>
        <w:t xml:space="preserve">国产化</w:t>
      </w:r>
      <w:r>
        <w:rPr>
          <w:rFonts w:hint="eastAsia" w:ascii="宋体" w:hAnsi="宋体" w:eastAsia="宋体" w:cs="宋体"/>
          <w:color w:val="000000"/>
          <w:sz w:val="24"/>
          <w:szCs w:val="24"/>
          <w:highlight w:val="none"/>
          <w:u w:val="single"/>
          <w:lang w:eastAsia="zh-CN"/>
        </w:rPr>
        <w:t xml:space="preserve">超融合</w:t>
      </w:r>
      <w:r>
        <w:rPr>
          <w:rFonts w:hint="eastAsia" w:ascii="宋体" w:hAnsi="宋体" w:eastAsia="宋体" w:cs="宋体"/>
          <w:color w:val="000000"/>
          <w:sz w:val="24"/>
          <w:szCs w:val="24"/>
          <w:highlight w:val="none"/>
          <w:u w:val="single"/>
        </w:rPr>
        <w:t xml:space="preserve">软件</w:t>
      </w:r>
      <w:r>
        <w:rPr>
          <w:rFonts w:hint="eastAsia" w:ascii="宋体" w:hAnsi="宋体" w:eastAsia="宋体" w:cs="宋体"/>
          <w:color w:val="000000"/>
          <w:sz w:val="24"/>
          <w:szCs w:val="24"/>
          <w:highlight w:val="none"/>
          <w:u w:val="single"/>
          <w:lang w:val="en-US" w:eastAsia="zh-CN"/>
        </w:rPr>
        <w:t xml:space="preserve">1套、</w:t>
      </w:r>
      <w:r>
        <w:rPr>
          <w:rFonts w:hint="eastAsia" w:ascii="宋体" w:hAnsi="宋体" w:eastAsia="宋体" w:cs="宋体"/>
          <w:color w:val="000000"/>
          <w:sz w:val="24"/>
          <w:szCs w:val="24"/>
          <w:u w:val="single"/>
          <w:lang w:val="en-US" w:eastAsia="zh-CN" w:bidi="ar"/>
        </w:rPr>
        <w:t xml:space="preserve">万兆交换机2台，</w:t>
      </w:r>
      <w:r>
        <w:rPr>
          <w:rFonts w:hint="eastAsia" w:ascii="宋体" w:hAnsi="宋体" w:eastAsia="宋体" w:cs="宋体"/>
          <w:color w:val="000000"/>
          <w:sz w:val="24"/>
          <w:szCs w:val="24"/>
          <w:u w:val="single"/>
        </w:rPr>
        <w:t xml:space="preserve">系统集成服务</w:t>
      </w:r>
      <w:r>
        <w:rPr>
          <w:rFonts w:hint="eastAsia" w:ascii="宋体" w:hAnsi="宋体" w:eastAsia="宋体" w:cs="宋体"/>
          <w:color w:val="000000"/>
          <w:sz w:val="24"/>
          <w:szCs w:val="24"/>
          <w:u w:val="single"/>
          <w:lang w:val="en-US" w:eastAsia="zh-CN"/>
        </w:rPr>
        <w:t xml:space="preserve">1项</w:t>
      </w:r>
      <w:r>
        <w:rPr>
          <w:rFonts w:hint="eastAsia" w:ascii="宋体" w:hAnsi="宋体" w:eastAsia="宋体" w:cs="Times New Roman"/>
          <w:sz w:val="24"/>
          <w:szCs w:val="24"/>
          <w:highlight w:val="none"/>
        </w:rPr>
        <w:t xml:space="preserve">。</w:t>
      </w:r>
      <w:r/>
    </w:p>
    <w:p>
      <w:pPr>
        <w:numPr>
          <w:ilvl w:val="0"/>
          <w:numId w:val="15"/>
        </w:numPr>
        <w:ind w:left="0"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采购项目交付时间：</w:t>
      </w:r>
      <w:r>
        <w:rPr>
          <w:rFonts w:hint="eastAsia" w:ascii="宋体" w:hAnsi="宋体" w:eastAsia="宋体" w:cs="宋体"/>
          <w:sz w:val="24"/>
          <w:szCs w:val="24"/>
          <w:u w:val="single"/>
          <w:lang w:eastAsia="zh-CN"/>
        </w:rPr>
        <w:t xml:space="preserve">合同签订之日起60个工作日内安装调试完成</w:t>
      </w:r>
      <w:r>
        <w:rPr>
          <w:rFonts w:hint="eastAsia" w:ascii="宋体" w:hAnsi="宋体" w:eastAsia="宋体" w:cs="Times New Roman"/>
          <w:sz w:val="24"/>
          <w:szCs w:val="24"/>
          <w:highlight w:val="none"/>
        </w:rPr>
        <w:t xml:space="preserve">。</w:t>
      </w:r>
      <w:r/>
    </w:p>
    <w:p>
      <w:pPr>
        <w:numPr>
          <w:ilvl w:val="0"/>
          <w:numId w:val="15"/>
        </w:numPr>
        <w:ind w:left="0"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采购项目交付地点：</w:t>
      </w:r>
      <w:r>
        <w:rPr>
          <w:rFonts w:hint="eastAsia" w:ascii="宋体" w:hAnsi="宋体" w:eastAsia="宋体" w:cs="Times New Roman"/>
          <w:sz w:val="24"/>
          <w:szCs w:val="24"/>
          <w:highlight w:val="none"/>
          <w:u w:val="single"/>
        </w:rPr>
        <w:t xml:space="preserve">  </w:t>
      </w:r>
      <w:r>
        <w:rPr>
          <w:rFonts w:hint="eastAsia" w:ascii="宋体" w:hAnsi="宋体" w:eastAsia="宋体" w:cs="宋体"/>
          <w:color w:val="000000"/>
          <w:sz w:val="24"/>
          <w:szCs w:val="24"/>
          <w:u w:val="single"/>
          <w:lang w:eastAsia="zh-CN"/>
        </w:rPr>
        <w:t xml:space="preserve">南通市口腔医院</w:t>
      </w:r>
      <w:r>
        <w:rPr>
          <w:rFonts w:hint="eastAsia" w:ascii="宋体" w:hAnsi="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所有货品必须原包装进场，具体按采购人指定地点送货、安装。 </w:t>
      </w:r>
      <w:r>
        <w:rPr>
          <w:rFonts w:hint="eastAsia" w:ascii="宋体" w:hAnsi="宋体" w:eastAsia="宋体" w:cs="Times New Roman"/>
          <w:sz w:val="24"/>
          <w:szCs w:val="24"/>
          <w:highlight w:val="none"/>
        </w:rPr>
        <w:t xml:space="preserve">。</w:t>
      </w:r>
      <w:r/>
    </w:p>
    <w:p>
      <w:pPr>
        <w:numPr>
          <w:ilvl w:val="0"/>
          <w:numId w:val="14"/>
        </w:numPr>
        <w:ind w:left="0" w:firstLine="562"/>
        <w:keepLines w:val="0"/>
        <w:keepNext w:val="0"/>
        <w:pageBreakBefore w:val="0"/>
        <w:spacing w:line="520" w:lineRule="exact"/>
        <w:widowControl w:val="off"/>
        <w:rPr>
          <w:rFonts w:ascii="宋体" w:hAnsi="宋体"/>
          <w:b/>
          <w:sz w:val="28"/>
          <w:szCs w:val="28"/>
          <w:highlight w:val="none"/>
        </w:rPr>
      </w:pPr>
      <w:r>
        <w:rPr>
          <w:rFonts w:hint="eastAsia" w:ascii="宋体" w:hAnsi="宋体" w:eastAsia="宋体" w:cs="宋体"/>
          <w:b/>
          <w:bCs/>
          <w:sz w:val="28"/>
          <w:szCs w:val="28"/>
          <w:highlight w:val="none"/>
        </w:rPr>
        <w:t xml:space="preserve">采购标的需满足的服务标准、期限、效率等要求；</w:t>
      </w:r>
      <w:r/>
    </w:p>
    <w:p>
      <w:pPr>
        <w:ind w:firstLine="482"/>
        <w:keepLines w:val="0"/>
        <w:keepNext w:val="0"/>
        <w:pageBreakBefore w:val="0"/>
        <w:widowControl w:val="off"/>
        <w:rPr>
          <w:rFonts w:hint="eastAsia" w:ascii="宋体" w:hAnsi="宋体" w:eastAsia="宋体" w:cs="宋体"/>
          <w:sz w:val="24"/>
          <w:szCs w:val="24"/>
        </w:rPr>
      </w:pPr>
      <w:r>
        <w:rPr>
          <w:rFonts w:hint="eastAsia" w:ascii="宋体" w:hAnsi="宋体" w:eastAsia="宋体" w:cs="宋体"/>
          <w:b/>
          <w:bCs/>
          <w:sz w:val="24"/>
          <w:szCs w:val="24"/>
        </w:rPr>
        <w:t xml:space="preserve">（1）合同签订及质保期 </w:t>
      </w:r>
      <w:r/>
    </w:p>
    <w:p>
      <w:pPr>
        <w:ind w:firstLine="480"/>
        <w:keepLines w:val="0"/>
        <w:keepNext w:val="0"/>
        <w:pageBreakBefore w:val="0"/>
        <w:spacing w:line="48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①签定合同日期：自中标（成交）通知书发出之日起 15日内按时签约。</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②设备质保：</w:t>
      </w:r>
      <w:r>
        <w:rPr>
          <w:rFonts w:hint="eastAsia"/>
          <w:b/>
          <w:bCs/>
          <w:sz w:val="24"/>
          <w:szCs w:val="24"/>
        </w:rPr>
        <w:t xml:space="preserve">所投产品软硬件质保期均为三年</w:t>
      </w:r>
      <w:r>
        <w:rPr>
          <w:rFonts w:hint="eastAsia"/>
          <w:sz w:val="24"/>
          <w:szCs w:val="24"/>
        </w:rPr>
        <w:t xml:space="preserve">。在质保期内因产品本身质量</w:t>
      </w:r>
      <w:r>
        <w:rPr>
          <w:rFonts w:hint="eastAsia"/>
          <w:sz w:val="24"/>
          <w:szCs w:val="24"/>
          <w:lang w:val="en-US" w:eastAsia="zh-CN"/>
        </w:rPr>
        <w:t xml:space="preserve">问</w:t>
      </w:r>
      <w:r>
        <w:rPr>
          <w:rFonts w:hint="eastAsia"/>
          <w:sz w:val="24"/>
          <w:szCs w:val="24"/>
        </w:rPr>
        <w:t xml:space="preserve">题发生故障，需免费更换或维修，超过质保期后，所有产品提供终身成本维修（维修只收取部件成本费）。</w:t>
      </w:r>
      <w:r/>
    </w:p>
    <w:p>
      <w:pPr>
        <w:ind w:firstLine="482"/>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（2）项目实施与服务要求</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①所有</w:t>
      </w:r>
      <w:r>
        <w:rPr>
          <w:rFonts w:hint="eastAsia"/>
          <w:sz w:val="24"/>
          <w:szCs w:val="24"/>
          <w:lang w:val="en-US" w:eastAsia="zh-CN"/>
        </w:rPr>
        <w:t xml:space="preserve">硬件</w:t>
      </w:r>
      <w:r>
        <w:rPr>
          <w:rFonts w:hint="eastAsia"/>
          <w:sz w:val="24"/>
          <w:szCs w:val="24"/>
        </w:rPr>
        <w:t xml:space="preserve">设备均为原厂全新设备，原包装进场</w:t>
      </w:r>
      <w:r>
        <w:rPr>
          <w:rFonts w:hint="eastAsia"/>
          <w:b w:val="0"/>
          <w:bCs w:val="0"/>
          <w:sz w:val="24"/>
          <w:szCs w:val="24"/>
        </w:rPr>
        <w:t xml:space="preserve">，三年质保期内采</w:t>
      </w:r>
      <w:r>
        <w:rPr>
          <w:rFonts w:hint="eastAsia"/>
          <w:sz w:val="24"/>
          <w:szCs w:val="24"/>
        </w:rPr>
        <w:t xml:space="preserve">购单位如设备需要进行位置调整可跟据实现情况提供安装调试服务。 </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②中标单位需在签订合同前，将主要技术参数要求、评分标准中涉及的产品服务、资质证明文件加盖厂家原厂盖章件提交业主单位，如不能在签订合同前提供，视为未实质性响应招标文件，用户有权拒签合同。所产生的一切后果由中标单位承担。 </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③中标单位需在签订合同前，提供招标要求清单中除系统集成服务以外的所有产品原厂授权函及免费质保的售后服务承诺函原件并加盖原厂公章，此项为签合同必备条件，如不能在签订合同前提供，视为未实质性响应招标文件，用户有权拒签合同，所产生的一切后果由中标单位承担。 </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④签订合</w:t>
      </w:r>
      <w:r>
        <w:rPr>
          <w:rFonts w:hint="eastAsia" w:eastAsia="宋体"/>
          <w:sz w:val="24"/>
          <w:szCs w:val="24"/>
          <w:lang w:eastAsia="zh-CN"/>
        </w:rPr>
        <w:t xml:space="preserve">同</w:t>
      </w:r>
      <w:r>
        <w:rPr>
          <w:rFonts w:hint="eastAsia"/>
          <w:sz w:val="24"/>
          <w:szCs w:val="24"/>
        </w:rPr>
        <w:t xml:space="preserve">前必要时业主单位可要求中标单位提供部分主要设备进行功能测试及检测报告等进行核实。如发现不满足功能或与原件不符，视作投标人虚假应标，所产生的一切后果由中标单位承担，并将相关证据提交管理部门进行处理。</w:t>
      </w:r>
      <w:r/>
    </w:p>
    <w:p>
      <w:pPr>
        <w:pStyle w:val="775"/>
        <w:rPr>
          <w:rFonts w:hint="eastAsia"/>
          <w:color w:val="000000"/>
          <w:lang w:val="en-US" w:eastAsia="zh-CN"/>
        </w:rPr>
      </w:pPr>
      <w:r>
        <w:rPr>
          <w:rFonts w:hint="eastAsia" w:eastAsia="宋体" w:cs="Times New Roman"/>
          <w:color w:val="000000"/>
          <w:sz w:val="24"/>
          <w:szCs w:val="24"/>
          <w:lang w:val="en-US" w:eastAsia="zh-CN" w:bidi="ar-SA"/>
        </w:rPr>
        <w:t xml:space="preserve">⑤</w:t>
      </w:r>
      <w:r>
        <w:rPr>
          <w:rFonts w:hint="eastAsia" w:ascii="宋体" w:hAnsi="宋体" w:eastAsia="宋体" w:cs="宋体"/>
          <w:color w:val="000000"/>
          <w:sz w:val="24"/>
          <w:szCs w:val="24"/>
        </w:rPr>
        <w:t xml:space="preserve">投标供应商针对本次项目组成多人项目服务团队</w:t>
      </w:r>
      <w:r>
        <w:rPr>
          <w:rFonts w:hint="eastAsia" w:ascii="宋体" w:hAnsi="宋体" w:eastAsia="宋体" w:cs="宋体"/>
          <w:color w:val="000000"/>
          <w:sz w:val="24"/>
          <w:szCs w:val="24"/>
          <w:lang w:eastAsia="zh-CN"/>
        </w:rPr>
        <w:t xml:space="preserve">，</w:t>
      </w:r>
      <w:r>
        <w:rPr>
          <w:rFonts w:hint="eastAsia"/>
          <w:color w:val="000000"/>
          <w:sz w:val="24"/>
          <w:szCs w:val="24"/>
        </w:rPr>
        <w:t xml:space="preserve">中标单位</w:t>
      </w:r>
      <w:r>
        <w:rPr>
          <w:rFonts w:hint="eastAsia" w:eastAsia="宋体"/>
          <w:color w:val="000000"/>
          <w:sz w:val="24"/>
          <w:szCs w:val="24"/>
          <w:lang w:val="en-US" w:eastAsia="zh-CN"/>
        </w:rPr>
        <w:t xml:space="preserve">应</w:t>
      </w:r>
      <w:r>
        <w:rPr>
          <w:rFonts w:hint="eastAsia" w:ascii="Times New Roman" w:hAnsi="Times New Roman" w:eastAsia="宋体" w:cs="Times New Roman"/>
          <w:color w:val="000000"/>
          <w:sz w:val="24"/>
          <w:szCs w:val="24"/>
          <w:lang w:val="en-US" w:eastAsia="zh-CN" w:bidi="ar-SA"/>
        </w:rPr>
        <w:t xml:space="preserve">派遣数量足够的、有经验的、健康的和称职的并且具有相关技术专业工作经验的技术人员到现场，对合同设备的安装、调试、试运行、验收做技术培训和投入运行进行技术指导、协助。</w:t>
      </w:r>
      <w:r/>
    </w:p>
    <w:p>
      <w:pPr>
        <w:ind w:left="0" w:firstLine="482"/>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（3）售后服务要求</w:t>
      </w:r>
      <w:r/>
    </w:p>
    <w:p>
      <w:pPr>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①质保期内提供所有安全产品的专业培训、应用交付专业服务和整体运维服务。 </w:t>
      </w:r>
      <w:r/>
    </w:p>
    <w:p>
      <w:pPr>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②本项目中所有软硬件提供原厂质保服务、软件升级服务、全免费上门主动服务和应急服务等。售后服务的价格包含在投标总价中，采购方不再另外付费。中标商提供7*24小时售后服务，对于现场应急服务应立即响应，10分钟内电话响应或者远程技术支持，根据采购方要求本项目的维保售后人员至少实现4小时内解决问题；质保期内免费提供软件各种版本（含跨版本）的升级，免费提供所有授权（License）。 </w:t>
      </w:r>
      <w:r/>
    </w:p>
    <w:p>
      <w:pPr>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③质保期内免费提供所有软件（包括大、小版本等）的升级，不得以任何借口收取任何升级费用。</w:t>
      </w:r>
      <w:r/>
    </w:p>
    <w:p>
      <w:pPr>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④本项目实施时投标方应提供所需的连接配件（如光纤跳线等）、辅助材料等。 </w:t>
      </w:r>
      <w:r/>
    </w:p>
    <w:p>
      <w:pPr>
        <w:ind w:left="0"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⑤根据采购方使用需要，提供现场培训，直到交付使用，以确保用户本次项目产品的使用、维护、常见故障的排除。质保期按照采购方要求提供培训服务，使受训人员能独立进行管理、故障处理、日常测试维护等工作。 </w:t>
      </w:r>
      <w:r/>
    </w:p>
    <w:p>
      <w:pPr>
        <w:ind w:left="0" w:firstLine="480"/>
        <w:keepLines w:val="0"/>
        <w:keepNext w:val="0"/>
        <w:pageBreakBefore w:val="0"/>
        <w:widowControl w:val="off"/>
        <w:rPr>
          <w:rFonts w:eastAsia="宋体"/>
          <w:highlight w:val="none"/>
          <w:lang w:val="en-US" w:eastAsia="zh-CN"/>
        </w:rPr>
      </w:pPr>
      <w:r>
        <w:rPr>
          <w:rFonts w:hint="eastAsia" w:ascii="宋体" w:hAnsi="宋体" w:eastAsia="宋体" w:cs="宋体"/>
          <w:sz w:val="24"/>
          <w:szCs w:val="24"/>
        </w:rPr>
        <w:t xml:space="preserve">⑥如遇重大节日或采购方认为的重要时期，需按采购方指定要求进行特殊时期的检查和驻场技术保障工作。</w:t>
      </w:r>
      <w:r/>
    </w:p>
    <w:p>
      <w:pPr>
        <w:numPr>
          <w:ilvl w:val="0"/>
          <w:numId w:val="14"/>
        </w:numPr>
        <w:ind w:firstLine="601"/>
        <w:spacing w:line="520" w:lineRule="exact"/>
        <w:rPr>
          <w:rFonts w:ascii="宋体" w:hAnsi="宋体"/>
          <w:b/>
          <w:sz w:val="28"/>
          <w:szCs w:val="28"/>
          <w:highlight w:val="none"/>
        </w:rPr>
      </w:pPr>
      <w:r>
        <w:rPr>
          <w:rFonts w:hint="eastAsia" w:ascii="宋体" w:hAnsi="宋体" w:cs="宋体"/>
          <w:b/>
          <w:bCs/>
          <w:sz w:val="28"/>
          <w:szCs w:val="28"/>
          <w:highlight w:val="none"/>
        </w:rPr>
        <w:t xml:space="preserve">付款方式</w:t>
      </w:r>
      <w:r/>
    </w:p>
    <w:p>
      <w:pPr>
        <w:pStyle w:val="993"/>
        <w:rPr>
          <w:rFonts w:hint="eastAsia" w:ascii="宋体" w:hAnsi="宋体" w:eastAsia="宋体" w:cs="宋体"/>
          <w:caps w:val="0"/>
          <w:sz w:val="24"/>
          <w:szCs w:val="24"/>
          <w:lang w:val="en-US" w:eastAsia="zh-CN" w:bidi="ar-SA"/>
        </w:rPr>
      </w:pPr>
      <w:r>
        <w:rPr>
          <w:rFonts w:hint="eastAsia"/>
          <w:highlight w:val="none"/>
          <w:lang w:val="en-US" w:eastAsia="zh-CN"/>
        </w:rPr>
        <w:t xml:space="preserve">    </w:t>
      </w:r>
      <w:r>
        <w:rPr>
          <w:rFonts w:hint="eastAsia" w:ascii="宋体" w:hAnsi="宋体" w:eastAsia="宋体" w:cs="宋体"/>
          <w:caps w:val="0"/>
          <w:sz w:val="24"/>
          <w:szCs w:val="24"/>
          <w:lang w:val="en-US" w:eastAsia="zh-CN" w:bidi="ar-SA"/>
        </w:rPr>
        <w:t xml:space="preserve">合同签订后</w:t>
      </w:r>
      <w:r>
        <w:rPr>
          <w:rFonts w:hint="eastAsia"/>
          <w:lang w:eastAsia="zh-CN"/>
        </w:rPr>
        <w:t xml:space="preserve">，</w:t>
      </w:r>
      <w:r>
        <w:rPr>
          <w:rFonts w:hint="eastAsia"/>
          <w:lang w:val="en-US" w:eastAsia="zh-CN"/>
        </w:rPr>
        <w:t xml:space="preserve">甲方收到乙方</w:t>
      </w:r>
      <w:r>
        <w:rPr>
          <w:rFonts w:ascii="Times New Roman" w:hAnsi="Times New Roman" w:cs="Times New Roman"/>
          <w:sz w:val="24"/>
          <w:szCs w:val="24"/>
        </w:rPr>
        <w:t xml:space="preserve">正式发票后10个工作日内</w:t>
      </w:r>
      <w:r>
        <w:rPr>
          <w:rFonts w:hint="eastAsia" w:ascii="宋体" w:hAnsi="宋体" w:eastAsia="宋体" w:cs="宋体"/>
          <w:caps w:val="0"/>
          <w:sz w:val="24"/>
          <w:szCs w:val="24"/>
          <w:lang w:val="en-US" w:eastAsia="zh-CN" w:bidi="ar-SA"/>
        </w:rPr>
        <w:t xml:space="preserve">预付合同总价款的30%作为预付款，待设备供货安装完毕验收合格</w:t>
      </w:r>
      <w:r>
        <w:rPr>
          <w:rFonts w:hint="eastAsia" w:eastAsia="宋体" w:cs="宋体"/>
          <w:caps w:val="0"/>
          <w:sz w:val="24"/>
          <w:szCs w:val="24"/>
          <w:lang w:val="en-US" w:eastAsia="zh-CN" w:bidi="ar-SA"/>
        </w:rPr>
        <w:t xml:space="preserve">，</w:t>
      </w:r>
      <w:r>
        <w:rPr>
          <w:rFonts w:hint="eastAsia"/>
          <w:lang w:val="en-US" w:eastAsia="zh-CN"/>
        </w:rPr>
        <w:t xml:space="preserve">甲方收到乙方</w:t>
      </w:r>
      <w:r>
        <w:rPr>
          <w:rFonts w:ascii="Times New Roman" w:hAnsi="Times New Roman" w:cs="Times New Roman"/>
          <w:sz w:val="24"/>
          <w:szCs w:val="24"/>
        </w:rPr>
        <w:t xml:space="preserve">正式发票后10个工作日</w:t>
      </w:r>
      <w:r>
        <w:rPr>
          <w:rFonts w:hint="eastAsia" w:ascii="Times New Roman" w:hAnsi="Times New Roman" w:cs="Times New Roman"/>
          <w:sz w:val="24"/>
          <w:szCs w:val="24"/>
          <w:lang w:val="en-US" w:eastAsia="zh-CN"/>
        </w:rPr>
        <w:t xml:space="preserve">内</w:t>
      </w:r>
      <w:r>
        <w:rPr>
          <w:rFonts w:hint="eastAsia" w:ascii="宋体" w:hAnsi="宋体" w:eastAsia="宋体" w:cs="宋体"/>
          <w:caps w:val="0"/>
          <w:sz w:val="24"/>
          <w:szCs w:val="24"/>
          <w:lang w:val="en-US" w:eastAsia="zh-CN" w:bidi="ar-SA"/>
        </w:rPr>
        <w:t xml:space="preserve">支付到合同总价款的95%，余款5%待项目验收合格后一年后支付。</w:t>
      </w:r>
      <w:r/>
    </w:p>
    <w:p>
      <w:pPr>
        <w:numPr>
          <w:ilvl w:val="0"/>
          <w:numId w:val="14"/>
        </w:numPr>
        <w:ind w:firstLine="601"/>
        <w:spacing w:line="520" w:lineRule="exact"/>
        <w:rPr>
          <w:rFonts w:ascii="宋体" w:hAnsi="宋体"/>
          <w:b/>
          <w:sz w:val="28"/>
          <w:szCs w:val="28"/>
          <w:highlight w:val="none"/>
        </w:rPr>
      </w:pPr>
      <w:r>
        <w:rPr>
          <w:rFonts w:hint="eastAsia" w:ascii="宋体" w:hAnsi="宋体"/>
          <w:b/>
          <w:sz w:val="28"/>
          <w:szCs w:val="28"/>
          <w:highlight w:val="none"/>
        </w:rPr>
        <w:t xml:space="preserve">履约保证金要求</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1、履约保证金是否收取： </w:t>
      </w:r>
      <w:r>
        <w:rPr>
          <w:rFonts w:hint="eastAsia" w:ascii="宋体" w:hAnsi="宋体" w:eastAsia="宋体" w:cs="Times New Roman"/>
          <w:sz w:val="24"/>
          <w:szCs w:val="24"/>
          <w:highlight w:val="none"/>
          <w:lang w:val="en-US" w:eastAsia="zh-CN"/>
        </w:rPr>
        <w:t xml:space="preserve">否 </w:t>
      </w:r>
      <w:r>
        <w:rPr>
          <w:rFonts w:hint="eastAsia" w:ascii="宋体" w:hAnsi="宋体" w:eastAsia="宋体" w:cs="Times New Roman"/>
          <w:sz w:val="24"/>
          <w:szCs w:val="24"/>
          <w:highlight w:val="none"/>
          <w:lang w:eastAsia="zh-CN"/>
        </w:rPr>
        <w:t xml:space="preserve">。</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2、履约保证金的数额： 本项目中标后的履约保证金为</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  </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3、缴纳履约保证金时间：中标供应商在中标通知书发出之日起 </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内。</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4、缴纳履约保证金形式：</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等非现金形式。</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Times New Roman"/>
          <w:sz w:val="24"/>
          <w:szCs w:val="24"/>
          <w:highlight w:val="none"/>
          <w:lang w:val="en-US" w:eastAsia="zh-CN"/>
        </w:rPr>
        <w:t xml:space="preserve"> </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5、退还履约保证金时间： </w:t>
      </w:r>
      <w:r>
        <w:rPr>
          <w:rFonts w:hint="eastAsia" w:ascii="宋体" w:hAnsi="宋体" w:eastAsia="宋体" w:cs="Times New Roman"/>
          <w:sz w:val="24"/>
          <w:szCs w:val="24"/>
          <w:highlight w:val="none"/>
          <w:lang w:val="en-US" w:eastAsia="zh-CN"/>
        </w:rPr>
        <w:t xml:space="preserve">/</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6、退还履约保证金方式： </w:t>
      </w:r>
      <w:r>
        <w:rPr>
          <w:rFonts w:hint="eastAsia" w:ascii="宋体" w:hAnsi="宋体" w:eastAsia="宋体" w:cs="Times New Roman"/>
          <w:sz w:val="24"/>
          <w:szCs w:val="24"/>
          <w:highlight w:val="none"/>
          <w:lang w:val="en-US" w:eastAsia="zh-CN"/>
        </w:rPr>
        <w:t xml:space="preserve">/</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7、退还履约保证金条件：</w:t>
      </w:r>
      <w:r>
        <w:rPr>
          <w:rFonts w:hint="eastAsia" w:ascii="宋体" w:hAnsi="宋体" w:eastAsia="宋体" w:cs="Times New Roman"/>
          <w:sz w:val="24"/>
          <w:szCs w:val="24"/>
          <w:highlight w:val="none"/>
          <w:lang w:val="en-US" w:eastAsia="zh-CN"/>
        </w:rPr>
        <w:t xml:space="preserve">/</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8、不予退还履约保证金的情形：</w:t>
      </w:r>
      <w:r>
        <w:rPr>
          <w:rFonts w:hint="eastAsia" w:ascii="宋体" w:hAnsi="宋体" w:eastAsia="宋体" w:cs="Times New Roman"/>
          <w:sz w:val="24"/>
          <w:szCs w:val="24"/>
          <w:highlight w:val="none"/>
          <w:lang w:val="en-US" w:eastAsia="zh-CN"/>
        </w:rPr>
        <w:t xml:space="preserve">/</w:t>
      </w:r>
      <w:r/>
    </w:p>
    <w:p>
      <w:pPr>
        <w:ind w:left="525" w:firstLine="480"/>
        <w:keepLines w:val="0"/>
        <w:keepNext w:val="0"/>
        <w:pageBreakBefore w:val="0"/>
        <w:spacing w:line="480" w:lineRule="exact"/>
        <w:widowControl w:val="off"/>
        <w:rPr>
          <w:rFonts w:hint="eastAsia" w:ascii="宋体" w:hAnsi="宋体" w:eastAsia="宋体" w:cs="宋体"/>
          <w:b/>
          <w:bCs/>
          <w:sz w:val="28"/>
          <w:szCs w:val="28"/>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Times New Roman"/>
          <w:sz w:val="24"/>
          <w:szCs w:val="24"/>
          <w:highlight w:val="none"/>
        </w:rPr>
        <w:fldChar w:fldCharType="begin"/>
      </w:r>
      <w:r>
        <w:rPr>
          <w:rFonts w:hint="eastAsia" w:ascii="宋体" w:hAnsi="宋体" w:eastAsia="宋体" w:cs="Times New Roman"/>
          <w:sz w:val="24"/>
          <w:szCs w:val="24"/>
          <w:highlight w:val="none"/>
        </w:rPr>
        <w:instrText xml:space="preserve"> HYPERLINK "http://ggzyjy.nantong.gov.cn/NTdzbhweb/supermarket/"</w:instrText>
      </w:r>
      <w:r>
        <w:rPr>
          <w:rFonts w:hint="eastAsia" w:ascii="宋体" w:hAnsi="宋体" w:eastAsia="宋体" w:cs="Times New Roman"/>
          <w:sz w:val="24"/>
          <w:szCs w:val="24"/>
          <w:highlight w:val="none"/>
        </w:rPr>
        <w:fldChar w:fldCharType="separate"/>
      </w:r>
      <w:r>
        <w:rPr>
          <w:rFonts w:hint="eastAsia" w:ascii="宋体" w:hAnsi="宋体" w:eastAsia="宋体" w:cs="Times New Roman"/>
          <w:sz w:val="24"/>
          <w:szCs w:val="24"/>
          <w:highlight w:val="none"/>
        </w:rPr>
        <w:t xml:space="preserve">http://ggzyjy.nantong.gov.cn/NTdzbhweb/supermarket/</w:t>
      </w:r>
      <w:r>
        <w:rPr>
          <w:rFonts w:hint="eastAsia" w:ascii="宋体" w:hAnsi="宋体" w:eastAsia="宋体" w:cs="Times New Roman"/>
          <w:sz w:val="24"/>
          <w:szCs w:val="24"/>
          <w:highlight w:val="none"/>
        </w:rPr>
        <w:fldChar w:fldCharType="end"/>
      </w:r>
      <w:r>
        <w:rPr>
          <w:rFonts w:hint="eastAsia" w:ascii="宋体" w:hAnsi="宋体" w:eastAsia="宋体" w:cs="Times New Roman"/>
          <w:sz w:val="24"/>
          <w:szCs w:val="24"/>
          <w:highlight w:val="none"/>
        </w:rPr>
        <w:t xml:space="preserve">）“履约保证保险”模块在线申请履约保证保险投保。</w:t>
      </w:r>
      <w:r/>
    </w:p>
    <w:p>
      <w:pPr>
        <w:numPr>
          <w:ilvl w:val="0"/>
          <w:numId w:val="14"/>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采购标的的验收标准</w:t>
      </w:r>
      <w:r/>
    </w:p>
    <w:p>
      <w:pPr>
        <w:pStyle w:val="993"/>
        <w:numPr>
          <w:ilvl w:val="0"/>
          <w:numId w:val="0"/>
        </w:numPr>
        <w:rPr>
          <w:rFonts w:hint="eastAsia" w:ascii="仿宋" w:hAnsi="仿宋" w:eastAsia="宋体"/>
          <w:color w:val="000000"/>
          <w:sz w:val="28"/>
          <w:szCs w:val="28"/>
          <w:highlight w:val="none"/>
          <w:lang w:val="en-US" w:eastAsia="zh-CN"/>
        </w:rPr>
      </w:pPr>
      <w:r>
        <w:rPr>
          <w:rFonts w:hint="eastAsia"/>
          <w:highlight w:val="none"/>
          <w:lang w:val="en-US" w:eastAsia="zh-CN"/>
        </w:rPr>
        <w:t xml:space="preserve">    </w:t>
      </w:r>
      <w:r>
        <w:rPr>
          <w:rFonts w:hint="eastAsia" w:ascii="宋体" w:hAnsi="宋体" w:eastAsia="宋体" w:cs="宋体"/>
          <w:color w:val="000000"/>
          <w:sz w:val="24"/>
          <w:szCs w:val="24"/>
        </w:rPr>
        <w:t xml:space="preserve">采购单位按合同约定积极配合供应商履约，供应商按合同约定组织相关专业技术人员进行维保服务，验收合格的作为支付货款依据</w:t>
      </w:r>
      <w:r>
        <w:rPr>
          <w:rFonts w:hint="eastAsia" w:eastAsia="宋体" w:cs="宋体"/>
          <w:color w:val="000000"/>
          <w:sz w:val="24"/>
          <w:szCs w:val="24"/>
          <w:lang w:eastAsia="zh-CN"/>
        </w:rPr>
        <w:t xml:space="preserve">。</w:t>
      </w:r>
      <w:r/>
    </w:p>
    <w:p>
      <w:pPr>
        <w:numPr>
          <w:ilvl w:val="0"/>
          <w:numId w:val="14"/>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非单一产品采购项目，采购标的中的核心产品</w:t>
      </w:r>
      <w:r/>
    </w:p>
    <w:tbl>
      <w:tblPr>
        <w:tblStyle w:val="7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vAlign w:val="top"/>
            <w:textDirection w:val="lrTb"/>
            <w:noWrap w:val="false"/>
          </w:tcPr>
          <w:p>
            <w:pPr>
              <w:jc w:val="center"/>
              <w:spacing w:line="48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序号</w:t>
            </w:r>
            <w:r/>
          </w:p>
        </w:tc>
        <w:tc>
          <w:tcPr>
            <w:tcW w:w="5021" w:type="dxa"/>
            <w:vAlign w:val="top"/>
            <w:textDirection w:val="lrTb"/>
            <w:noWrap w:val="false"/>
          </w:tcPr>
          <w:p>
            <w:pPr>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核心产品</w:t>
            </w:r>
            <w:r/>
          </w:p>
        </w:tc>
      </w:tr>
      <w:tr>
        <w:trPr>
          <w:jc w:val="center"/>
          <w:trHeight w:val="720"/>
        </w:trPr>
        <w:tc>
          <w:tcPr>
            <w:tcW w:w="1216" w:type="dxa"/>
            <w:vAlign w:val="top"/>
            <w:textDirection w:val="lrTb"/>
            <w:noWrap w:val="false"/>
          </w:tcPr>
          <w:p>
            <w:pPr>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1</w:t>
            </w:r>
            <w:r/>
          </w:p>
        </w:tc>
        <w:tc>
          <w:tcPr>
            <w:tcW w:w="5021" w:type="dxa"/>
            <w:vAlign w:val="center"/>
            <w:textDirection w:val="lrTb"/>
            <w:noWrap w:val="false"/>
          </w:tcPr>
          <w:p>
            <w:pPr>
              <w:jc w:val="center"/>
              <w:spacing w:line="480" w:lineRule="exact"/>
              <w:rPr>
                <w:rFonts w:ascii="仿宋" w:hAnsi="仿宋" w:eastAsia="仿宋"/>
                <w:sz w:val="28"/>
                <w:szCs w:val="28"/>
                <w:highlight w:val="none"/>
              </w:rPr>
            </w:pPr>
            <w:r>
              <w:rPr>
                <w:rFonts w:hint="eastAsia" w:ascii="宋体" w:hAnsi="宋体" w:eastAsia="宋体" w:cs="宋体"/>
                <w:caps/>
                <w:color w:val="000000"/>
                <w:sz w:val="24"/>
                <w:szCs w:val="24"/>
                <w:lang w:val="en-US" w:eastAsia="zh-CN" w:bidi="ar-SA"/>
              </w:rPr>
              <w:t xml:space="preserve">外网国产化超融合服务器</w:t>
            </w:r>
            <w:r/>
          </w:p>
        </w:tc>
      </w:tr>
    </w:tbl>
    <w:p>
      <w:pPr>
        <w:pStyle w:val="1027"/>
        <w:ind w:left="0" w:firstLine="0"/>
        <w:rPr>
          <w:rFonts w:hint="eastAsia"/>
          <w:highlight w:val="none"/>
        </w:rPr>
      </w:pPr>
      <w:r>
        <w:rPr>
          <w:rFonts w:hint="eastAsia"/>
          <w:highlight w:val="none"/>
        </w:rPr>
      </w:r>
      <w:r/>
    </w:p>
    <w:p>
      <w:pPr>
        <w:numPr>
          <w:ilvl w:val="0"/>
          <w:numId w:val="14"/>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样品</w:t>
      </w:r>
      <w:r/>
    </w:p>
    <w:p>
      <w:pPr>
        <w:ind w:left="525"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color w:val="000000"/>
          <w:sz w:val="24"/>
          <w:szCs w:val="24"/>
          <w:highlight w:val="none"/>
          <w:shd w:val="clear" w:color="auto" w:fill="auto"/>
          <w:lang w:val="en-US" w:eastAsia="zh-CN"/>
        </w:rPr>
        <w:t xml:space="preserve"> 无</w:t>
      </w:r>
      <w:r/>
    </w:p>
    <w:p>
      <w:pPr>
        <w:numPr>
          <w:ilvl w:val="0"/>
          <w:numId w:val="14"/>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演示讲解</w:t>
      </w:r>
      <w:r/>
    </w:p>
    <w:p>
      <w:pPr>
        <w:ind w:left="525"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  无</w:t>
      </w:r>
      <w:r/>
    </w:p>
    <w:p>
      <w:pPr>
        <w:numPr>
          <w:ilvl w:val="0"/>
          <w:numId w:val="14"/>
        </w:numPr>
        <w:ind w:firstLine="601"/>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rPr>
        <w:t xml:space="preserve">本项目</w:t>
      </w:r>
      <w:r>
        <w:rPr>
          <w:rFonts w:hint="eastAsia" w:ascii="宋体" w:hAnsi="宋体" w:eastAsia="宋体" w:cs="宋体"/>
          <w:b/>
          <w:bCs/>
          <w:sz w:val="28"/>
          <w:szCs w:val="28"/>
          <w:highlight w:val="none"/>
          <w:u w:val="single"/>
          <w:lang w:val="en-US" w:eastAsia="zh-CN"/>
        </w:rPr>
        <w:t xml:space="preserve"> 不 </w:t>
      </w:r>
      <w:r>
        <w:rPr>
          <w:rFonts w:hint="eastAsia" w:ascii="宋体" w:hAnsi="宋体" w:eastAsia="宋体" w:cs="宋体"/>
          <w:b/>
          <w:bCs/>
          <w:sz w:val="28"/>
          <w:szCs w:val="28"/>
          <w:highlight w:val="none"/>
          <w:lang w:val="en-US" w:eastAsia="zh-CN"/>
        </w:rPr>
        <w:t xml:space="preserve">接受进口产品投标</w:t>
      </w:r>
      <w:r/>
    </w:p>
    <w:p>
      <w:pPr>
        <w:numPr>
          <w:ilvl w:val="0"/>
          <w:numId w:val="14"/>
        </w:numPr>
        <w:ind w:firstLine="601"/>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caps w:val="0"/>
          <w:sz w:val="28"/>
          <w:szCs w:val="28"/>
          <w:highlight w:val="none"/>
          <w:lang w:val="en-US" w:eastAsia="zh-CN" w:bidi="ar-SA"/>
        </w:rPr>
        <w:t xml:space="preserve">采购标的的其他服务要求</w:t>
      </w:r>
      <w:r/>
    </w:p>
    <w:p>
      <w:pPr>
        <w:rPr>
          <w:highlight w:val="none"/>
          <w:lang w:val="en-US" w:eastAsia="zh-CN"/>
        </w:rPr>
      </w:pPr>
      <w:r>
        <w:rPr>
          <w:rFonts w:hint="eastAsia"/>
          <w:highlight w:val="none"/>
          <w:lang w:val="en-US" w:eastAsia="zh-CN"/>
        </w:rPr>
        <w:t xml:space="preserve">             </w:t>
      </w:r>
      <w:r>
        <w:rPr>
          <w:rFonts w:hint="eastAsia" w:ascii="宋体" w:hAnsi="宋体" w:eastAsia="宋体" w:cs="Times New Roman"/>
          <w:caps/>
          <w:sz w:val="24"/>
          <w:szCs w:val="24"/>
          <w:highlight w:val="none"/>
          <w:lang w:val="en-US" w:eastAsia="zh-CN" w:bidi="ar-SA"/>
        </w:rPr>
        <w:t xml:space="preserve">无 </w:t>
      </w:r>
      <w:r>
        <w:rPr>
          <w:rFonts w:hint="eastAsia"/>
          <w:highlight w:val="none"/>
          <w:lang w:val="en-US" w:eastAsia="zh-CN"/>
        </w:rPr>
        <w:t xml:space="preserve"> </w:t>
      </w:r>
      <w:r/>
    </w:p>
    <w:p>
      <w:pPr>
        <w:ind w:firstLine="360"/>
        <w:spacing w:line="400" w:lineRule="exact"/>
        <w:rPr>
          <w:rFonts w:hint="eastAsia" w:ascii="宋体" w:hAnsi="宋体"/>
          <w:bCs/>
          <w:i/>
          <w:color w:val="000000"/>
          <w:sz w:val="24"/>
          <w:szCs w:val="21"/>
          <w:highlight w:val="none"/>
          <w:u w:val="single"/>
        </w:rPr>
      </w:pPr>
      <w:r>
        <w:rPr>
          <w:rFonts w:hint="eastAsia" w:ascii="宋体" w:hAnsi="宋体"/>
          <w:b/>
          <w:sz w:val="30"/>
          <w:szCs w:val="30"/>
          <w:highlight w:val="none"/>
          <w:lang w:eastAsia="zh-CN"/>
        </w:rPr>
        <w:t xml:space="preserve">五</w:t>
      </w:r>
      <w:r>
        <w:rPr>
          <w:rFonts w:hint="eastAsia" w:ascii="宋体" w:hAnsi="宋体"/>
          <w:b/>
          <w:sz w:val="30"/>
          <w:szCs w:val="30"/>
          <w:highlight w:val="none"/>
        </w:rPr>
        <w:t xml:space="preserve">、采购需求中必须满足的实质性要求</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
          <w:sz w:val="30"/>
          <w:szCs w:val="30"/>
          <w:highlight w:val="none"/>
        </w:rPr>
        <w:t xml:space="preserve">。</w:t>
      </w:r>
      <w:r/>
    </w:p>
    <w:p>
      <w:pPr>
        <w:ind w:firstLine="601"/>
        <w:keepLines w:val="0"/>
        <w:keepNext w:val="0"/>
        <w:pageBreakBefore w:val="0"/>
        <w:spacing w:before="240" w:after="120" w:line="520" w:lineRule="exact"/>
        <w:widowControl w:val="off"/>
        <w:rPr>
          <w:rFonts w:ascii="宋体" w:hAnsi="宋体"/>
          <w:b/>
          <w:bCs/>
          <w:i w:val="0"/>
          <w:iCs/>
          <w:sz w:val="30"/>
          <w:szCs w:val="30"/>
          <w:highlight w:val="none"/>
          <w:u w:val="none"/>
        </w:rPr>
      </w:pPr>
      <w:r>
        <w:rPr>
          <w:rFonts w:hint="eastAsia" w:ascii="宋体" w:hAnsi="宋体"/>
          <w:b/>
          <w:bCs/>
          <w:i w:val="0"/>
          <w:iCs/>
          <w:sz w:val="30"/>
          <w:szCs w:val="30"/>
          <w:highlight w:val="none"/>
          <w:u w:val="none"/>
          <w:lang w:eastAsia="zh-CN"/>
        </w:rPr>
        <w:t xml:space="preserve">（一）</w:t>
      </w:r>
      <w:r>
        <w:rPr>
          <w:rFonts w:hint="eastAsia" w:ascii="宋体" w:hAnsi="宋体"/>
          <w:b/>
          <w:bCs/>
          <w:i w:val="0"/>
          <w:iCs/>
          <w:sz w:val="30"/>
          <w:szCs w:val="30"/>
          <w:highlight w:val="none"/>
          <w:u w:val="none"/>
        </w:rPr>
        <w:t xml:space="preserve">技术部分实质性要求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p>
    <w:tbl>
      <w:tblPr>
        <w:tblStyle w:val="1012"/>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jc w:val="center"/>
              <w:spacing w:line="520" w:lineRule="exact"/>
              <w:rPr>
                <w:rFonts w:hint="eastAsia" w:ascii="宋体" w:hAnsi="宋体" w:eastAsia="宋体" w:cs="Times New Roman"/>
                <w:b w:val="0"/>
                <w:bCs/>
                <w:i w:val="0"/>
                <w:iCs/>
                <w:sz w:val="24"/>
                <w:szCs w:val="24"/>
                <w:highlight w:val="none"/>
                <w:u w:val="none"/>
                <w:vertAlign w:val="baseline"/>
                <w:lang w:val="en-US" w:eastAsia="zh-CN"/>
              </w:rPr>
            </w:pPr>
            <w:r>
              <w:rPr>
                <w:rFonts w:hint="eastAsia" w:ascii="宋体" w:hAnsi="宋体" w:eastAsia="宋体" w:cs="Times New Roman"/>
                <w:b w:val="0"/>
                <w:bCs/>
                <w:i w:val="0"/>
                <w:iCs/>
                <w:sz w:val="24"/>
                <w:szCs w:val="24"/>
                <w:highlight w:val="none"/>
                <w:u w:val="none"/>
                <w:vertAlign w:val="baseline"/>
                <w:lang w:val="en-US" w:eastAsia="zh-CN"/>
              </w:rPr>
              <w:t xml:space="preserve">序号</w:t>
            </w:r>
            <w:r/>
          </w:p>
        </w:tc>
        <w:tc>
          <w:tcPr>
            <w:tcW w:w="2050" w:type="dxa"/>
            <w:vAlign w:val="top"/>
            <w:textDirection w:val="lrTb"/>
            <w:noWrap w:val="false"/>
          </w:tcPr>
          <w:p>
            <w:pPr>
              <w:jc w:val="center"/>
              <w:spacing w:line="520" w:lineRule="exact"/>
              <w:rPr>
                <w:rFonts w:hint="eastAsia" w:ascii="宋体" w:hAnsi="宋体" w:eastAsia="宋体" w:cs="Times New Roman"/>
                <w:b w:val="0"/>
                <w:bCs/>
                <w:i w:val="0"/>
                <w:iCs/>
                <w:sz w:val="24"/>
                <w:szCs w:val="24"/>
                <w:highlight w:val="none"/>
                <w:u w:val="none"/>
                <w:vertAlign w:val="baseline"/>
                <w:lang w:val="en-US" w:eastAsia="zh-CN"/>
              </w:rPr>
            </w:pPr>
            <w:r>
              <w:rPr>
                <w:rFonts w:hint="eastAsia" w:ascii="宋体" w:hAnsi="宋体" w:eastAsia="宋体" w:cs="Times New Roman"/>
                <w:b w:val="0"/>
                <w:bCs/>
                <w:i w:val="0"/>
                <w:iCs/>
                <w:sz w:val="24"/>
                <w:szCs w:val="24"/>
                <w:highlight w:val="none"/>
                <w:u w:val="none"/>
                <w:vertAlign w:val="baseline"/>
                <w:lang w:val="en-US" w:eastAsia="zh-CN"/>
              </w:rPr>
              <w:t xml:space="preserve">要求名称</w:t>
            </w:r>
            <w:r/>
          </w:p>
        </w:tc>
        <w:tc>
          <w:tcPr>
            <w:tcW w:w="5641" w:type="dxa"/>
            <w:vAlign w:val="top"/>
            <w:textDirection w:val="lrTb"/>
            <w:noWrap w:val="false"/>
          </w:tcPr>
          <w:p>
            <w:pPr>
              <w:jc w:val="center"/>
              <w:spacing w:line="520" w:lineRule="exact"/>
              <w:rPr>
                <w:rFonts w:hint="eastAsia" w:ascii="宋体" w:hAnsi="宋体" w:eastAsia="宋体" w:cs="Times New Roman"/>
                <w:b w:val="0"/>
                <w:bCs/>
                <w:i w:val="0"/>
                <w:iCs/>
                <w:sz w:val="24"/>
                <w:szCs w:val="24"/>
                <w:highlight w:val="none"/>
                <w:u w:val="none"/>
                <w:vertAlign w:val="baseline"/>
                <w:lang w:val="en-US" w:eastAsia="zh-CN"/>
              </w:rPr>
            </w:pPr>
            <w:r>
              <w:rPr>
                <w:rFonts w:hint="eastAsia" w:ascii="宋体" w:hAnsi="宋体" w:eastAsia="宋体" w:cs="Times New Roman"/>
                <w:b w:val="0"/>
                <w:bCs/>
                <w:i w:val="0"/>
                <w:iCs/>
                <w:sz w:val="24"/>
                <w:szCs w:val="24"/>
                <w:highlight w:val="none"/>
                <w:u w:val="none"/>
                <w:vertAlign w:val="baseline"/>
                <w:lang w:val="en-US" w:eastAsia="zh-CN"/>
              </w:rPr>
              <w:t xml:space="preserve">要求内容</w:t>
            </w:r>
            <w:r/>
          </w:p>
        </w:tc>
      </w:tr>
      <w:tr>
        <w:trPr/>
        <w:tc>
          <w:tcPr>
            <w:tcW w:w="762" w:type="dxa"/>
            <w:vAlign w:val="top"/>
            <w:textDirection w:val="lrTb"/>
            <w:noWrap w:val="false"/>
          </w:tcPr>
          <w:p>
            <w:pPr>
              <w:jc w:val="center"/>
              <w:spacing w:line="520" w:lineRule="exact"/>
              <w:rPr>
                <w:rFonts w:ascii="宋体" w:hAnsi="宋体" w:eastAsia="宋体" w:cs="Times New Roman"/>
                <w:b w:val="0"/>
                <w:bCs/>
                <w:i/>
                <w:iCs w:val="0"/>
                <w:sz w:val="24"/>
                <w:szCs w:val="24"/>
                <w:highlight w:val="none"/>
                <w:u w:val="single"/>
                <w:vertAlign w:val="baseline"/>
                <w:lang w:val="en-US" w:eastAsia="zh-CN"/>
              </w:rPr>
            </w:pPr>
            <w:r>
              <w:rPr>
                <w:rFonts w:hint="eastAsia" w:ascii="宋体" w:hAnsi="宋体" w:eastAsia="宋体" w:cs="Times New Roman"/>
                <w:b w:val="0"/>
                <w:bCs/>
                <w:i/>
                <w:iCs w:val="0"/>
                <w:sz w:val="24"/>
                <w:szCs w:val="24"/>
                <w:highlight w:val="none"/>
                <w:u w:val="single"/>
                <w:vertAlign w:val="baseline"/>
                <w:lang w:val="en-US" w:eastAsia="zh-CN"/>
              </w:rPr>
              <w:t xml:space="preserve">1</w:t>
            </w:r>
            <w:r/>
          </w:p>
        </w:tc>
        <w:tc>
          <w:tcPr>
            <w:tcW w:w="2050" w:type="dxa"/>
            <w:vAlign w:val="center"/>
            <w:textDirection w:val="lrTb"/>
            <w:noWrap w:val="false"/>
          </w:tcPr>
          <w:p>
            <w:pPr>
              <w:jc w:val="center"/>
              <w:spacing w:line="520" w:lineRule="exact"/>
              <w:rPr>
                <w:rFonts w:hint="eastAsia" w:ascii="宋体" w:hAnsi="宋体" w:eastAsia="宋体" w:cs="宋体"/>
                <w:b w:val="0"/>
                <w:bCs/>
                <w:i/>
                <w:iCs w:val="0"/>
                <w:sz w:val="24"/>
                <w:szCs w:val="24"/>
                <w:highlight w:val="none"/>
                <w:u w:val="single"/>
                <w:vertAlign w:val="baseline"/>
                <w:lang w:val="en-US" w:eastAsia="zh-CN"/>
              </w:rPr>
            </w:pPr>
            <w:r>
              <w:rPr>
                <w:rFonts w:hint="eastAsia" w:ascii="宋体" w:hAnsi="宋体" w:eastAsia="宋体" w:cs="宋体"/>
                <w:bCs/>
                <w:i/>
                <w:iCs w:val="0"/>
                <w:color w:val="000000"/>
                <w:sz w:val="24"/>
                <w:szCs w:val="24"/>
                <w:u w:val="single"/>
              </w:rPr>
              <w:t xml:space="preserve">设备技术参数要求</w:t>
            </w:r>
            <w:r/>
          </w:p>
        </w:tc>
        <w:tc>
          <w:tcPr>
            <w:tcW w:w="5641" w:type="dxa"/>
            <w:vAlign w:val="top"/>
            <w:textDirection w:val="lrTb"/>
            <w:noWrap w:val="false"/>
          </w:tcPr>
          <w:p>
            <w:pPr>
              <w:spacing w:line="520" w:lineRule="exact"/>
              <w:rPr>
                <w:rFonts w:hint="eastAsia" w:ascii="宋体" w:hAnsi="宋体" w:eastAsia="宋体" w:cs="宋体"/>
                <w:i/>
                <w:iCs w:val="0"/>
                <w:sz w:val="24"/>
                <w:szCs w:val="24"/>
                <w:u w:val="single"/>
                <w:lang w:val="en-US" w:eastAsia="zh-CN"/>
              </w:rPr>
            </w:pPr>
            <w:r>
              <w:rPr>
                <w:rFonts w:hint="eastAsia" w:ascii="宋体" w:hAnsi="宋体" w:eastAsia="宋体" w:cs="宋体"/>
                <w:i/>
                <w:iCs w:val="0"/>
                <w:sz w:val="24"/>
                <w:szCs w:val="24"/>
                <w:u w:val="single"/>
                <w:lang w:val="en-US" w:eastAsia="zh-CN"/>
              </w:rPr>
              <w:t xml:space="preserve">招标文件第四章采购需求第三点</w:t>
            </w:r>
            <w:r>
              <w:rPr>
                <w:rFonts w:hint="eastAsia" w:ascii="宋体" w:hAnsi="宋体" w:eastAsia="宋体" w:cs="宋体"/>
                <w:i/>
                <w:iCs w:val="0"/>
                <w:sz w:val="24"/>
                <w:szCs w:val="24"/>
                <w:u w:val="single"/>
              </w:rPr>
              <w:t xml:space="preserve">“采购标的需满足的质量、安全、技术规格、物理特性等要求”设备的产品技术参数</w:t>
            </w:r>
            <w:r>
              <w:rPr>
                <w:rFonts w:hint="eastAsia" w:ascii="宋体" w:hAnsi="宋体" w:eastAsia="宋体" w:cs="宋体"/>
                <w:i/>
                <w:iCs w:val="0"/>
                <w:sz w:val="24"/>
                <w:szCs w:val="24"/>
                <w:u w:val="single"/>
                <w:lang w:val="en-US" w:eastAsia="zh-CN"/>
              </w:rPr>
              <w:t xml:space="preserve">中，</w:t>
            </w:r>
            <w:r>
              <w:rPr>
                <w:rFonts w:hint="eastAsia" w:ascii="宋体" w:hAnsi="宋体" w:eastAsia="宋体" w:cs="宋体"/>
                <w:i/>
                <w:iCs w:val="0"/>
                <w:sz w:val="24"/>
                <w:szCs w:val="24"/>
                <w:u w:val="single"/>
              </w:rPr>
              <w:t xml:space="preserve">标★为核心</w:t>
            </w:r>
            <w:r>
              <w:rPr>
                <w:rFonts w:hint="eastAsia" w:ascii="宋体" w:hAnsi="宋体" w:eastAsia="宋体" w:cs="宋体"/>
                <w:i/>
                <w:iCs w:val="0"/>
                <w:sz w:val="24"/>
                <w:szCs w:val="24"/>
                <w:u w:val="single"/>
                <w:lang w:val="en-US" w:eastAsia="zh-CN"/>
              </w:rPr>
              <w:t xml:space="preserve">指标项</w:t>
            </w:r>
            <w:r>
              <w:rPr>
                <w:rFonts w:hint="eastAsia" w:ascii="宋体" w:hAnsi="宋体" w:eastAsia="宋体" w:cs="宋体"/>
                <w:i/>
                <w:iCs w:val="0"/>
                <w:sz w:val="24"/>
                <w:szCs w:val="24"/>
                <w:u w:val="single"/>
              </w:rPr>
              <w:t xml:space="preserve">，不允许负偏离</w:t>
            </w:r>
            <w:r>
              <w:rPr>
                <w:rFonts w:hint="eastAsia" w:ascii="宋体" w:hAnsi="宋体" w:eastAsia="宋体" w:cs="宋体"/>
                <w:i/>
                <w:iCs w:val="0"/>
                <w:sz w:val="24"/>
                <w:szCs w:val="24"/>
                <w:u w:val="single"/>
                <w:lang w:eastAsia="zh-CN"/>
              </w:rPr>
              <w:t xml:space="preserve">，</w:t>
            </w:r>
            <w:r>
              <w:rPr>
                <w:rFonts w:hint="eastAsia" w:ascii="宋体" w:hAnsi="宋体" w:eastAsia="宋体" w:cs="宋体"/>
                <w:i/>
                <w:iCs w:val="0"/>
                <w:sz w:val="24"/>
                <w:szCs w:val="24"/>
                <w:u w:val="single"/>
                <w:lang w:val="en-US" w:eastAsia="zh-CN"/>
              </w:rPr>
              <w:t xml:space="preserve">否则做无效投标处理。</w:t>
            </w:r>
            <w:r/>
          </w:p>
          <w:p>
            <w:pPr>
              <w:pStyle w:val="775"/>
              <w:ind w:left="0" w:firstLine="0"/>
              <w:rPr>
                <w:rFonts w:hint="eastAsia" w:ascii="宋体" w:hAnsi="宋体" w:eastAsia="宋体" w:cs="宋体"/>
                <w:i/>
                <w:iCs w:val="0"/>
                <w:sz w:val="24"/>
                <w:szCs w:val="24"/>
                <w:lang w:val="en-US" w:eastAsia="zh-CN"/>
              </w:rPr>
            </w:pPr>
            <w:r>
              <w:rPr>
                <w:rFonts w:hint="eastAsia" w:ascii="宋体" w:hAnsi="宋体" w:eastAsia="宋体" w:cs="宋体"/>
                <w:i/>
                <w:iCs w:val="0"/>
                <w:color w:val="000000"/>
                <w:sz w:val="24"/>
                <w:szCs w:val="24"/>
                <w:u w:val="single"/>
              </w:rPr>
              <w:t xml:space="preserve">投标人需在“技术部分正负偏离表”中如实逐项填列所投产品的技术参数，如招标文件要求提供相应证明材料投标人未提供或提供的证明材料与产品技术参数中描述不符的视为负偏离</w:t>
            </w:r>
            <w:r>
              <w:rPr>
                <w:rFonts w:hint="eastAsia" w:ascii="宋体" w:hAnsi="宋体" w:eastAsia="宋体" w:cs="宋体"/>
                <w:i/>
                <w:iCs w:val="0"/>
                <w:color w:val="000000"/>
                <w:sz w:val="24"/>
                <w:szCs w:val="24"/>
                <w:u w:val="single"/>
                <w:lang w:eastAsia="zh-CN"/>
              </w:rPr>
              <w:t xml:space="preserve">。</w:t>
            </w:r>
            <w:r/>
          </w:p>
        </w:tc>
      </w:tr>
    </w:tbl>
    <w:p>
      <w:pPr>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val="en-US" w:eastAsia="zh-CN"/>
        </w:rPr>
        <w:t xml:space="preserve">（二）</w:t>
      </w:r>
      <w:r>
        <w:rPr>
          <w:rFonts w:hint="eastAsia" w:ascii="宋体" w:hAnsi="宋体" w:eastAsia="宋体" w:cs="Times New Roman"/>
          <w:b/>
          <w:bCs/>
          <w:i w:val="0"/>
          <w:iCs/>
          <w:sz w:val="30"/>
          <w:szCs w:val="30"/>
          <w:highlight w:val="none"/>
          <w:u w:val="none"/>
        </w:rPr>
        <w:t xml:space="preserve">商务部分实质性要求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p>
    <w:tbl>
      <w:tblPr>
        <w:tblStyle w:val="1012"/>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jc w:val="center"/>
              <w:spacing w:line="520" w:lineRule="exact"/>
              <w:rPr>
                <w:rFonts w:hint="eastAsia" w:ascii="宋体" w:hAnsi="宋体" w:eastAsia="宋体" w:cs="Times New Roman"/>
                <w:b w:val="0"/>
                <w:bCs/>
                <w:i w:val="0"/>
                <w:iCs/>
                <w:sz w:val="24"/>
                <w:szCs w:val="24"/>
                <w:highlight w:val="none"/>
                <w:u w:val="none"/>
                <w:vertAlign w:val="baseline"/>
                <w:lang w:val="en-US" w:eastAsia="zh-CN"/>
              </w:rPr>
            </w:pPr>
            <w:r>
              <w:rPr>
                <w:rFonts w:hint="eastAsia" w:ascii="宋体" w:hAnsi="宋体" w:eastAsia="宋体" w:cs="Times New Roman"/>
                <w:b w:val="0"/>
                <w:bCs/>
                <w:i w:val="0"/>
                <w:iCs/>
                <w:sz w:val="24"/>
                <w:szCs w:val="24"/>
                <w:highlight w:val="none"/>
                <w:u w:val="none"/>
                <w:vertAlign w:val="baseline"/>
                <w:lang w:val="en-US" w:eastAsia="zh-CN"/>
              </w:rPr>
              <w:t xml:space="preserve">序号</w:t>
            </w:r>
            <w:r/>
          </w:p>
        </w:tc>
        <w:tc>
          <w:tcPr>
            <w:tcW w:w="2050" w:type="dxa"/>
            <w:vAlign w:val="top"/>
            <w:textDirection w:val="lrTb"/>
            <w:noWrap w:val="false"/>
          </w:tcPr>
          <w:p>
            <w:pPr>
              <w:jc w:val="center"/>
              <w:spacing w:line="520" w:lineRule="exact"/>
              <w:rPr>
                <w:rFonts w:hint="eastAsia" w:ascii="宋体" w:hAnsi="宋体" w:eastAsia="宋体" w:cs="Times New Roman"/>
                <w:b w:val="0"/>
                <w:bCs/>
                <w:i w:val="0"/>
                <w:iCs/>
                <w:sz w:val="24"/>
                <w:szCs w:val="24"/>
                <w:highlight w:val="none"/>
                <w:u w:val="none"/>
                <w:vertAlign w:val="baseline"/>
                <w:lang w:val="en-US" w:eastAsia="zh-CN"/>
              </w:rPr>
            </w:pPr>
            <w:r>
              <w:rPr>
                <w:rFonts w:hint="eastAsia" w:ascii="宋体" w:hAnsi="宋体" w:eastAsia="宋体" w:cs="Times New Roman"/>
                <w:b w:val="0"/>
                <w:bCs/>
                <w:i w:val="0"/>
                <w:iCs/>
                <w:sz w:val="24"/>
                <w:szCs w:val="24"/>
                <w:highlight w:val="none"/>
                <w:u w:val="none"/>
                <w:vertAlign w:val="baseline"/>
                <w:lang w:val="en-US" w:eastAsia="zh-CN"/>
              </w:rPr>
              <w:t xml:space="preserve">要求名称</w:t>
            </w:r>
            <w:r/>
          </w:p>
        </w:tc>
        <w:tc>
          <w:tcPr>
            <w:tcW w:w="5641" w:type="dxa"/>
            <w:vAlign w:val="top"/>
            <w:textDirection w:val="lrTb"/>
            <w:noWrap w:val="false"/>
          </w:tcPr>
          <w:p>
            <w:pPr>
              <w:jc w:val="center"/>
              <w:spacing w:line="520" w:lineRule="exact"/>
              <w:rPr>
                <w:rFonts w:hint="eastAsia" w:ascii="宋体" w:hAnsi="宋体" w:eastAsia="宋体" w:cs="Times New Roman"/>
                <w:b w:val="0"/>
                <w:bCs/>
                <w:i w:val="0"/>
                <w:iCs/>
                <w:sz w:val="24"/>
                <w:szCs w:val="24"/>
                <w:highlight w:val="none"/>
                <w:u w:val="none"/>
                <w:vertAlign w:val="baseline"/>
                <w:lang w:val="en-US" w:eastAsia="zh-CN"/>
              </w:rPr>
            </w:pPr>
            <w:r>
              <w:rPr>
                <w:rFonts w:hint="eastAsia" w:ascii="宋体" w:hAnsi="宋体" w:eastAsia="宋体" w:cs="Times New Roman"/>
                <w:b w:val="0"/>
                <w:bCs/>
                <w:i w:val="0"/>
                <w:iCs/>
                <w:sz w:val="24"/>
                <w:szCs w:val="24"/>
                <w:highlight w:val="none"/>
                <w:u w:val="none"/>
                <w:vertAlign w:val="baseline"/>
                <w:lang w:val="en-US" w:eastAsia="zh-CN"/>
              </w:rPr>
              <w:t xml:space="preserve">要求内容</w:t>
            </w:r>
            <w:r/>
          </w:p>
        </w:tc>
      </w:tr>
      <w:tr>
        <w:trPr/>
        <w:tc>
          <w:tcPr>
            <w:tcW w:w="762" w:type="dxa"/>
            <w:vAlign w:val="center"/>
            <w:textDirection w:val="lrTb"/>
            <w:noWrap w:val="false"/>
          </w:tcPr>
          <w:p>
            <w:pPr>
              <w:jc w:val="center"/>
              <w:spacing w:line="520" w:lineRule="exact"/>
              <w:rPr>
                <w:rFonts w:ascii="宋体" w:hAnsi="宋体" w:eastAsia="宋体" w:cs="Times New Roman"/>
                <w:b w:val="0"/>
                <w:bCs/>
                <w:i/>
                <w:iCs w:val="0"/>
                <w:sz w:val="24"/>
                <w:szCs w:val="24"/>
                <w:highlight w:val="none"/>
                <w:u w:val="single"/>
                <w:vertAlign w:val="baseline"/>
                <w:lang w:val="en-US" w:eastAsia="zh-CN"/>
              </w:rPr>
            </w:pPr>
            <w:r>
              <w:rPr>
                <w:rFonts w:hint="eastAsia" w:ascii="宋体" w:hAnsi="宋体" w:eastAsia="宋体" w:cs="Times New Roman"/>
                <w:b w:val="0"/>
                <w:bCs/>
                <w:i/>
                <w:iCs w:val="0"/>
                <w:sz w:val="24"/>
                <w:szCs w:val="24"/>
                <w:highlight w:val="none"/>
                <w:u w:val="single"/>
                <w:vertAlign w:val="baseline"/>
                <w:lang w:val="en-US" w:eastAsia="zh-CN"/>
              </w:rPr>
              <w:t xml:space="preserve">1</w:t>
            </w:r>
            <w:r/>
          </w:p>
        </w:tc>
        <w:tc>
          <w:tcPr>
            <w:tcW w:w="2050" w:type="dxa"/>
            <w:vAlign w:val="center"/>
            <w:textDirection w:val="lrTb"/>
            <w:noWrap w:val="false"/>
          </w:tcPr>
          <w:p>
            <w:pPr>
              <w:jc w:val="center"/>
              <w:spacing w:line="520" w:lineRule="exact"/>
              <w:rPr>
                <w:rFonts w:hint="eastAsia" w:ascii="宋体" w:hAnsi="宋体" w:eastAsia="宋体" w:cs="Times New Roman"/>
                <w:b w:val="0"/>
                <w:bCs/>
                <w:i/>
                <w:iCs w:val="0"/>
                <w:sz w:val="24"/>
                <w:szCs w:val="24"/>
                <w:highlight w:val="none"/>
                <w:u w:val="single"/>
                <w:vertAlign w:val="baseline"/>
                <w:lang w:val="en-US" w:eastAsia="zh-CN"/>
              </w:rPr>
            </w:pPr>
            <w:r>
              <w:rPr>
                <w:rFonts w:hint="eastAsia" w:ascii="宋体" w:hAnsi="宋体" w:eastAsia="宋体" w:cs="宋体"/>
                <w:i/>
                <w:iCs w:val="0"/>
                <w:color w:val="000000"/>
                <w:sz w:val="24"/>
                <w:szCs w:val="24"/>
                <w:u w:val="single"/>
              </w:rPr>
              <w:t xml:space="preserve">交货期</w:t>
            </w:r>
            <w:r/>
          </w:p>
        </w:tc>
        <w:tc>
          <w:tcPr>
            <w:tcW w:w="5641" w:type="dxa"/>
            <w:vAlign w:val="top"/>
            <w:textDirection w:val="lrTb"/>
            <w:noWrap w:val="false"/>
          </w:tcPr>
          <w:p>
            <w:pPr>
              <w:spacing w:line="520" w:lineRule="exact"/>
              <w:rPr>
                <w:rFonts w:hint="eastAsia" w:ascii="宋体" w:hAnsi="宋体" w:eastAsia="宋体" w:cs="宋体"/>
                <w:i/>
                <w:iCs w:val="0"/>
                <w:sz w:val="24"/>
                <w:szCs w:val="24"/>
                <w:u w:val="single"/>
                <w:lang w:val="en-US" w:eastAsia="zh-CN"/>
              </w:rPr>
            </w:pPr>
            <w:r>
              <w:rPr>
                <w:rFonts w:hint="eastAsia" w:ascii="宋体" w:hAnsi="宋体" w:eastAsia="宋体" w:cs="宋体"/>
                <w:i/>
                <w:iCs w:val="0"/>
                <w:sz w:val="24"/>
                <w:szCs w:val="24"/>
                <w:u w:val="single"/>
                <w:lang w:val="en-US" w:eastAsia="zh-CN"/>
              </w:rPr>
              <w:t xml:space="preserve">合同签订之日起60个工作日内安装调试完成。</w:t>
            </w:r>
            <w:r/>
          </w:p>
          <w:p>
            <w:pPr>
              <w:spacing w:line="520" w:lineRule="exact"/>
              <w:rPr>
                <w:rFonts w:hint="eastAsia" w:ascii="宋体" w:hAnsi="宋体" w:eastAsia="仿宋_GB2312" w:cs="Times New Roman"/>
                <w:b w:val="0"/>
                <w:bCs/>
                <w:i/>
                <w:iCs w:val="0"/>
                <w:sz w:val="24"/>
                <w:szCs w:val="24"/>
                <w:highlight w:val="none"/>
                <w:u w:val="single"/>
                <w:vertAlign w:val="baseline"/>
                <w:lang w:val="en-US" w:eastAsia="zh-CN"/>
              </w:rPr>
            </w:pPr>
            <w:r>
              <w:rPr>
                <w:rFonts w:hint="eastAsia" w:ascii="宋体" w:hAnsi="宋体" w:eastAsia="宋体" w:cs="Times New Roman"/>
                <w:b/>
                <w:bCs/>
                <w:i/>
                <w:iCs w:val="0"/>
                <w:color w:val="000000"/>
                <w:sz w:val="24"/>
                <w:szCs w:val="24"/>
                <w:u w:val="single"/>
                <w:lang w:val="en-US" w:eastAsia="zh-CN"/>
              </w:rPr>
              <w:t xml:space="preserve">注：投标时投标人需提供承诺函，承诺上述要求能够实质性响应（承诺函格式自拟）</w:t>
            </w:r>
            <w:r/>
          </w:p>
        </w:tc>
      </w:tr>
      <w:tr>
        <w:trPr/>
        <w:tc>
          <w:tcPr>
            <w:tcW w:w="762" w:type="dxa"/>
            <w:vAlign w:val="center"/>
            <w:textDirection w:val="lrTb"/>
            <w:noWrap w:val="false"/>
          </w:tcPr>
          <w:p>
            <w:pPr>
              <w:jc w:val="center"/>
              <w:spacing w:line="520" w:lineRule="exact"/>
              <w:rPr>
                <w:rFonts w:ascii="宋体" w:hAnsi="宋体" w:eastAsia="宋体" w:cs="Times New Roman"/>
                <w:b w:val="0"/>
                <w:bCs/>
                <w:i/>
                <w:iCs w:val="0"/>
                <w:sz w:val="24"/>
                <w:szCs w:val="24"/>
                <w:highlight w:val="none"/>
                <w:u w:val="single"/>
                <w:vertAlign w:val="baseline"/>
                <w:lang w:val="en-US" w:eastAsia="zh-CN"/>
              </w:rPr>
            </w:pPr>
            <w:r>
              <w:rPr>
                <w:rFonts w:hint="eastAsia" w:ascii="宋体" w:hAnsi="宋体" w:eastAsia="宋体" w:cs="Times New Roman"/>
                <w:b w:val="0"/>
                <w:bCs/>
                <w:i/>
                <w:iCs w:val="0"/>
                <w:sz w:val="24"/>
                <w:szCs w:val="24"/>
                <w:highlight w:val="none"/>
                <w:u w:val="single"/>
                <w:vertAlign w:val="baseline"/>
                <w:lang w:val="en-US" w:eastAsia="zh-CN"/>
              </w:rPr>
              <w:t xml:space="preserve">2</w:t>
            </w:r>
            <w:r/>
          </w:p>
        </w:tc>
        <w:tc>
          <w:tcPr>
            <w:tcW w:w="2050" w:type="dxa"/>
            <w:vAlign w:val="center"/>
            <w:textDirection w:val="lrTb"/>
            <w:noWrap w:val="false"/>
          </w:tcPr>
          <w:p>
            <w:pPr>
              <w:jc w:val="center"/>
              <w:spacing w:line="520" w:lineRule="exact"/>
              <w:rPr>
                <w:rFonts w:hint="eastAsia" w:ascii="宋体" w:hAnsi="宋体" w:eastAsia="宋体" w:cs="Times New Roman"/>
                <w:b w:val="0"/>
                <w:bCs/>
                <w:i/>
                <w:iCs w:val="0"/>
                <w:sz w:val="24"/>
                <w:szCs w:val="24"/>
                <w:highlight w:val="none"/>
                <w:u w:val="single"/>
                <w:vertAlign w:val="baseline"/>
                <w:lang w:val="en-US" w:eastAsia="zh-CN"/>
              </w:rPr>
            </w:pPr>
            <w:r>
              <w:rPr>
                <w:rFonts w:hint="eastAsia" w:ascii="宋体" w:hAnsi="宋体" w:eastAsia="宋体" w:cs="Times New Roman"/>
                <w:b w:val="0"/>
                <w:bCs/>
                <w:i/>
                <w:iCs w:val="0"/>
                <w:sz w:val="24"/>
                <w:szCs w:val="24"/>
                <w:highlight w:val="none"/>
                <w:u w:val="single"/>
                <w:vertAlign w:val="baseline"/>
                <w:lang w:val="en-US" w:eastAsia="zh-CN"/>
              </w:rPr>
              <w:t xml:space="preserve">质保期</w:t>
            </w:r>
            <w:r/>
          </w:p>
        </w:tc>
        <w:tc>
          <w:tcPr>
            <w:tcW w:w="5641" w:type="dxa"/>
            <w:vAlign w:val="top"/>
            <w:textDirection w:val="lrTb"/>
            <w:noWrap w:val="false"/>
          </w:tcPr>
          <w:p>
            <w:pPr>
              <w:spacing w:line="520" w:lineRule="exact"/>
              <w:rPr>
                <w:rFonts w:hint="eastAsia" w:ascii="宋体" w:hAnsi="宋体" w:eastAsia="宋体" w:cs="宋体"/>
                <w:i/>
                <w:iCs w:val="0"/>
                <w:sz w:val="24"/>
                <w:szCs w:val="24"/>
                <w:u w:val="single"/>
                <w:lang w:val="en-US" w:eastAsia="zh-CN"/>
              </w:rPr>
            </w:pPr>
            <w:r>
              <w:rPr>
                <w:rFonts w:hint="eastAsia" w:ascii="宋体" w:hAnsi="宋体" w:eastAsia="宋体" w:cs="宋体"/>
                <w:i/>
                <w:iCs w:val="0"/>
                <w:sz w:val="24"/>
                <w:szCs w:val="24"/>
                <w:u w:val="single"/>
                <w:lang w:val="en-US" w:eastAsia="zh-CN"/>
              </w:rPr>
              <w:t xml:space="preserve">设备质保：所投产品软硬件质保期均为三年。在质保期内因产品本身质量问题发生故障，需免费更换或维修，超过质保期后，所有产品提供终身成本维修（维修只收取部件成本费）</w:t>
            </w:r>
            <w:r/>
          </w:p>
          <w:p>
            <w:pPr>
              <w:spacing w:line="520" w:lineRule="exact"/>
              <w:rPr>
                <w:rFonts w:hint="eastAsia" w:ascii="宋体" w:hAnsi="宋体" w:eastAsia="宋体" w:cs="Times New Roman"/>
                <w:b w:val="0"/>
                <w:bCs/>
                <w:i/>
                <w:iCs w:val="0"/>
                <w:sz w:val="24"/>
                <w:szCs w:val="24"/>
                <w:highlight w:val="none"/>
                <w:u w:val="single"/>
                <w:vertAlign w:val="baseline"/>
                <w:lang w:val="en-US" w:eastAsia="zh-CN"/>
              </w:rPr>
            </w:pPr>
            <w:r>
              <w:rPr>
                <w:rFonts w:hint="eastAsia" w:ascii="宋体" w:hAnsi="宋体" w:eastAsia="宋体" w:cs="Times New Roman"/>
                <w:b/>
                <w:bCs/>
                <w:i/>
                <w:iCs w:val="0"/>
                <w:color w:val="000000"/>
                <w:sz w:val="24"/>
                <w:szCs w:val="24"/>
                <w:u w:val="single"/>
                <w:lang w:val="en-US" w:eastAsia="zh-CN"/>
              </w:rPr>
              <w:t xml:space="preserve">注：投标时投标人需提供承诺函，承诺上述要求能够实质性响应（承诺函格式自拟）。</w:t>
            </w:r>
            <w:r/>
          </w:p>
        </w:tc>
      </w:tr>
    </w:tbl>
    <w:p>
      <w:pPr>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eastAsia="zh-CN"/>
        </w:rPr>
        <w:t xml:space="preserve">（三）</w:t>
      </w:r>
      <w:r>
        <w:rPr>
          <w:rFonts w:hint="eastAsia" w:ascii="宋体" w:hAnsi="宋体" w:eastAsia="宋体" w:cs="Times New Roman"/>
          <w:b/>
          <w:bCs/>
          <w:i w:val="0"/>
          <w:iCs/>
          <w:sz w:val="30"/>
          <w:szCs w:val="30"/>
          <w:highlight w:val="none"/>
          <w:u w:val="none"/>
        </w:rPr>
        <w:t xml:space="preserve">报价要求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p>
    <w:tbl>
      <w:tblPr>
        <w:tblStyle w:val="1012"/>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jc w:val="center"/>
              <w:spacing w:line="520" w:lineRule="exact"/>
              <w:rPr>
                <w:rFonts w:hint="eastAsia" w:ascii="宋体" w:hAnsi="宋体" w:eastAsia="宋体" w:cs="Times New Roman"/>
                <w:b w:val="0"/>
                <w:bCs/>
                <w:i w:val="0"/>
                <w:iCs/>
                <w:sz w:val="24"/>
                <w:szCs w:val="24"/>
                <w:highlight w:val="none"/>
                <w:u w:val="none"/>
                <w:vertAlign w:val="baseline"/>
                <w:lang w:val="en-US" w:eastAsia="zh-CN"/>
              </w:rPr>
            </w:pPr>
            <w:r>
              <w:rPr>
                <w:rFonts w:hint="eastAsia" w:ascii="宋体" w:hAnsi="宋体" w:eastAsia="宋体" w:cs="Times New Roman"/>
                <w:b w:val="0"/>
                <w:bCs/>
                <w:i w:val="0"/>
                <w:iCs/>
                <w:sz w:val="24"/>
                <w:szCs w:val="24"/>
                <w:highlight w:val="none"/>
                <w:u w:val="none"/>
                <w:vertAlign w:val="baseline"/>
                <w:lang w:val="en-US" w:eastAsia="zh-CN"/>
              </w:rPr>
              <w:t xml:space="preserve">序号</w:t>
            </w:r>
            <w:r/>
          </w:p>
        </w:tc>
        <w:tc>
          <w:tcPr>
            <w:tcW w:w="2050" w:type="dxa"/>
            <w:vAlign w:val="top"/>
            <w:textDirection w:val="lrTb"/>
            <w:noWrap w:val="false"/>
          </w:tcPr>
          <w:p>
            <w:pPr>
              <w:jc w:val="center"/>
              <w:spacing w:line="520" w:lineRule="exact"/>
              <w:rPr>
                <w:rFonts w:hint="eastAsia" w:ascii="宋体" w:hAnsi="宋体" w:eastAsia="宋体" w:cs="Times New Roman"/>
                <w:b w:val="0"/>
                <w:bCs/>
                <w:i w:val="0"/>
                <w:iCs/>
                <w:sz w:val="24"/>
                <w:szCs w:val="24"/>
                <w:highlight w:val="none"/>
                <w:u w:val="none"/>
                <w:vertAlign w:val="baseline"/>
                <w:lang w:val="en-US" w:eastAsia="zh-CN"/>
              </w:rPr>
            </w:pPr>
            <w:r>
              <w:rPr>
                <w:rFonts w:hint="eastAsia" w:ascii="宋体" w:hAnsi="宋体" w:eastAsia="宋体" w:cs="Times New Roman"/>
                <w:b w:val="0"/>
                <w:bCs/>
                <w:i w:val="0"/>
                <w:iCs/>
                <w:sz w:val="24"/>
                <w:szCs w:val="24"/>
                <w:highlight w:val="none"/>
                <w:u w:val="none"/>
                <w:vertAlign w:val="baseline"/>
                <w:lang w:val="en-US" w:eastAsia="zh-CN"/>
              </w:rPr>
              <w:t xml:space="preserve">要求名称</w:t>
            </w:r>
            <w:r/>
          </w:p>
        </w:tc>
        <w:tc>
          <w:tcPr>
            <w:tcW w:w="5641" w:type="dxa"/>
            <w:vAlign w:val="top"/>
            <w:textDirection w:val="lrTb"/>
            <w:noWrap w:val="false"/>
          </w:tcPr>
          <w:p>
            <w:pPr>
              <w:jc w:val="center"/>
              <w:spacing w:line="520" w:lineRule="exact"/>
              <w:rPr>
                <w:rFonts w:hint="eastAsia" w:ascii="宋体" w:hAnsi="宋体" w:eastAsia="宋体" w:cs="Times New Roman"/>
                <w:b w:val="0"/>
                <w:bCs/>
                <w:i w:val="0"/>
                <w:iCs/>
                <w:sz w:val="24"/>
                <w:szCs w:val="24"/>
                <w:highlight w:val="none"/>
                <w:u w:val="none"/>
                <w:vertAlign w:val="baseline"/>
                <w:lang w:val="en-US" w:eastAsia="zh-CN"/>
              </w:rPr>
            </w:pPr>
            <w:r>
              <w:rPr>
                <w:rFonts w:hint="eastAsia" w:ascii="宋体" w:hAnsi="宋体" w:eastAsia="宋体" w:cs="Times New Roman"/>
                <w:b w:val="0"/>
                <w:bCs/>
                <w:i w:val="0"/>
                <w:iCs/>
                <w:sz w:val="24"/>
                <w:szCs w:val="24"/>
                <w:highlight w:val="none"/>
                <w:u w:val="none"/>
                <w:vertAlign w:val="baseline"/>
                <w:lang w:val="en-US" w:eastAsia="zh-CN"/>
              </w:rPr>
              <w:t xml:space="preserve">要求内容</w:t>
            </w:r>
            <w:r/>
          </w:p>
        </w:tc>
      </w:tr>
      <w:tr>
        <w:trPr/>
        <w:tc>
          <w:tcPr>
            <w:tcW w:w="762" w:type="dxa"/>
            <w:vAlign w:val="top"/>
            <w:textDirection w:val="lrTb"/>
            <w:noWrap w:val="false"/>
          </w:tcPr>
          <w:p>
            <w:pPr>
              <w:jc w:val="center"/>
              <w:spacing w:line="520" w:lineRule="exact"/>
              <w:rPr>
                <w:rFonts w:ascii="宋体" w:hAnsi="宋体" w:eastAsia="宋体" w:cs="Times New Roman"/>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1</w:t>
            </w:r>
            <w:r/>
          </w:p>
        </w:tc>
        <w:tc>
          <w:tcPr>
            <w:tcW w:w="2050" w:type="dxa"/>
            <w:vAlign w:val="center"/>
            <w:textDirection w:val="lrTb"/>
            <w:noWrap w:val="false"/>
          </w:tcPr>
          <w:p>
            <w:pPr>
              <w:jc w:val="center"/>
              <w:spacing w:line="520" w:lineRule="exact"/>
              <w:rPr>
                <w:rFonts w:hint="eastAsia" w:ascii="宋体" w:hAnsi="宋体" w:eastAsia="宋体" w:cs="Times New Roman"/>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付款方式</w:t>
            </w:r>
            <w:r/>
          </w:p>
        </w:tc>
        <w:tc>
          <w:tcPr>
            <w:tcW w:w="5641" w:type="dxa"/>
            <w:vAlign w:val="top"/>
            <w:textDirection w:val="lrTb"/>
            <w:noWrap w:val="false"/>
          </w:tcPr>
          <w:p>
            <w:pPr>
              <w:keepLines w:val="0"/>
              <w:keepNext w:val="0"/>
              <w:pageBreakBefore w:val="0"/>
              <w:spacing w:before="240" w:after="120" w:line="520" w:lineRule="exact"/>
              <w:widowControl w:val="off"/>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付款方式：</w:t>
            </w:r>
            <w:r>
              <w:rPr>
                <w:rFonts w:hint="eastAsia" w:ascii="宋体" w:hAnsi="宋体" w:eastAsia="宋体" w:cs="宋体"/>
                <w:i/>
                <w:iCs/>
                <w:color w:val="000000"/>
                <w:sz w:val="24"/>
                <w:szCs w:val="24"/>
                <w:u w:val="single"/>
                <w:lang w:val="en-US" w:eastAsia="zh-CN"/>
              </w:rPr>
              <w:t xml:space="preserve">合同签订后</w:t>
            </w:r>
            <w:r>
              <w:rPr>
                <w:rFonts w:hint="eastAsia" w:ascii="宋体" w:hAnsi="宋体" w:eastAsia="宋体" w:cs="宋体"/>
                <w:i/>
                <w:iCs/>
                <w:color w:val="000000"/>
                <w:sz w:val="24"/>
                <w:szCs w:val="24"/>
                <w:u w:val="single"/>
                <w:lang w:eastAsia="zh-CN"/>
              </w:rPr>
              <w:t xml:space="preserve">，</w:t>
            </w:r>
            <w:r>
              <w:rPr>
                <w:rFonts w:hint="eastAsia" w:ascii="宋体" w:hAnsi="宋体" w:eastAsia="宋体" w:cs="宋体"/>
                <w:i/>
                <w:iCs/>
                <w:color w:val="000000"/>
                <w:sz w:val="24"/>
                <w:szCs w:val="24"/>
                <w:u w:val="single"/>
                <w:lang w:val="en-US" w:eastAsia="zh-CN"/>
              </w:rPr>
              <w:t xml:space="preserve">甲方收到乙方</w:t>
            </w:r>
            <w:r>
              <w:rPr>
                <w:rFonts w:hint="eastAsia" w:ascii="宋体" w:hAnsi="宋体" w:eastAsia="宋体" w:cs="宋体"/>
                <w:i/>
                <w:iCs/>
                <w:color w:val="000000"/>
                <w:sz w:val="24"/>
                <w:szCs w:val="24"/>
                <w:u w:val="single"/>
              </w:rPr>
              <w:t xml:space="preserve">正式发票后10个工作日内</w:t>
            </w:r>
            <w:r>
              <w:rPr>
                <w:rFonts w:hint="eastAsia" w:ascii="宋体" w:hAnsi="宋体" w:eastAsia="宋体" w:cs="宋体"/>
                <w:i/>
                <w:iCs/>
                <w:color w:val="000000"/>
                <w:sz w:val="24"/>
                <w:szCs w:val="24"/>
                <w:u w:val="single"/>
                <w:lang w:val="en-US" w:eastAsia="zh-CN"/>
              </w:rPr>
              <w:t xml:space="preserve">预付合同总价款的30%作为预付款，待设备供货安装完毕验收合格，甲方收到乙方</w:t>
            </w:r>
            <w:r>
              <w:rPr>
                <w:rFonts w:hint="eastAsia" w:ascii="宋体" w:hAnsi="宋体" w:eastAsia="宋体" w:cs="宋体"/>
                <w:i/>
                <w:iCs/>
                <w:color w:val="000000"/>
                <w:sz w:val="24"/>
                <w:szCs w:val="24"/>
                <w:u w:val="single"/>
              </w:rPr>
              <w:t xml:space="preserve">正式发票后10个工作日</w:t>
            </w:r>
            <w:r>
              <w:rPr>
                <w:rFonts w:hint="eastAsia" w:ascii="宋体" w:hAnsi="宋体" w:eastAsia="宋体" w:cs="宋体"/>
                <w:i/>
                <w:iCs/>
                <w:color w:val="000000"/>
                <w:sz w:val="24"/>
                <w:szCs w:val="24"/>
                <w:u w:val="single"/>
                <w:lang w:val="en-US" w:eastAsia="zh-CN"/>
              </w:rPr>
              <w:t xml:space="preserve">内支付到合同总价款的95%，余款5%待项目验收合格后一年后支付。</w:t>
            </w:r>
            <w:r/>
          </w:p>
          <w:p>
            <w:pPr>
              <w:keepLines w:val="0"/>
              <w:keepNext w:val="0"/>
              <w:pageBreakBefore w:val="0"/>
              <w:spacing w:before="240" w:after="120" w:line="520" w:lineRule="exact"/>
              <w:widowControl w:val="off"/>
              <w:rPr>
                <w:rFonts w:hint="eastAsia" w:ascii="宋体" w:hAnsi="宋体" w:eastAsia="宋体" w:cs="宋体"/>
                <w:b/>
                <w:bCs/>
                <w:i/>
                <w:iCs/>
                <w:color w:val="000000"/>
                <w:sz w:val="24"/>
                <w:szCs w:val="24"/>
                <w:u w:val="single"/>
                <w:lang w:eastAsia="zh-CN"/>
              </w:rPr>
            </w:pPr>
            <w:r>
              <w:rPr>
                <w:rFonts w:hint="eastAsia" w:ascii="宋体" w:hAnsi="宋体" w:eastAsia="宋体" w:cs="宋体"/>
                <w:b/>
                <w:bCs/>
                <w:i/>
                <w:iCs/>
                <w:color w:val="000000"/>
                <w:sz w:val="24"/>
                <w:szCs w:val="24"/>
                <w:u w:val="single"/>
                <w:lang w:val="en-US" w:eastAsia="zh-CN"/>
              </w:rPr>
              <w:t xml:space="preserve">注：投标时投标人需提供承诺函，承诺上述要求能够实质性响应（承诺函格式自拟）。</w:t>
            </w:r>
            <w:r/>
          </w:p>
          <w:p>
            <w:pPr>
              <w:spacing w:line="520" w:lineRule="exact"/>
              <w:rPr>
                <w:rFonts w:hint="eastAsia" w:ascii="宋体" w:hAnsi="宋体" w:eastAsia="宋体" w:cs="Times New Roman"/>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r>
            <w:r/>
          </w:p>
        </w:tc>
      </w:tr>
      <w:tr>
        <w:trPr/>
        <w:tc>
          <w:tcPr>
            <w:tcW w:w="762" w:type="dxa"/>
            <w:vAlign w:val="top"/>
            <w:textDirection w:val="lrTb"/>
            <w:noWrap w:val="false"/>
          </w:tcPr>
          <w:p>
            <w:pPr>
              <w:jc w:val="center"/>
              <w:spacing w:line="520" w:lineRule="exact"/>
              <w:rPr>
                <w:rFonts w:ascii="宋体" w:hAnsi="宋体" w:eastAsia="宋体" w:cs="Times New Roman"/>
                <w:b w:val="0"/>
                <w:bCs/>
                <w:i/>
                <w:sz w:val="24"/>
                <w:szCs w:val="24"/>
                <w:highlight w:val="none"/>
                <w:u w:val="single"/>
                <w:vertAlign w:val="baseline"/>
                <w:lang w:val="en-US" w:eastAsia="zh-CN"/>
              </w:rPr>
            </w:pPr>
            <w:r>
              <w:rPr>
                <w:rFonts w:hint="eastAsia" w:ascii="宋体" w:hAnsi="宋体" w:eastAsia="宋体" w:cs="Times New Roman"/>
                <w:b w:val="0"/>
                <w:bCs/>
                <w:i/>
                <w:sz w:val="24"/>
                <w:szCs w:val="24"/>
                <w:highlight w:val="none"/>
                <w:u w:val="single"/>
                <w:vertAlign w:val="baseline"/>
                <w:lang w:val="en-US" w:eastAsia="zh-CN"/>
              </w:rPr>
              <w:t xml:space="preserve">2</w:t>
            </w:r>
            <w:r/>
          </w:p>
        </w:tc>
        <w:tc>
          <w:tcPr>
            <w:tcW w:w="2050" w:type="dxa"/>
            <w:vAlign w:val="top"/>
            <w:textDirection w:val="lrTb"/>
            <w:noWrap w:val="false"/>
          </w:tcPr>
          <w:p>
            <w:pP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sz w:val="24"/>
                <w:szCs w:val="24"/>
                <w:highlight w:val="none"/>
                <w:u w:val="single"/>
                <w:vertAlign w:val="baseline"/>
                <w:lang w:val="en-US" w:eastAsia="zh-CN"/>
              </w:rPr>
              <w:t xml:space="preserve">投标人的报价不得超过采购预算或最高限价，且投标报价具备合理性</w:t>
            </w:r>
            <w:r/>
          </w:p>
        </w:tc>
        <w:tc>
          <w:tcPr>
            <w:tcW w:w="5641" w:type="dxa"/>
            <w:vAlign w:val="top"/>
            <w:textDirection w:val="lrTb"/>
            <w:noWrap w:val="false"/>
          </w:tcPr>
          <w:p>
            <w:pPr>
              <w:keepLines w:val="0"/>
              <w:keepNext w:val="0"/>
              <w:pageBreakBefore w:val="0"/>
              <w:spacing w:before="240" w:after="120" w:line="520" w:lineRule="exact"/>
              <w:widowControl w:val="off"/>
              <w:rPr>
                <w:rFonts w:hint="eastAsia" w:ascii="宋体" w:hAnsi="宋体" w:eastAsia="宋体" w:cs="宋体"/>
                <w:bCs/>
                <w:i/>
                <w:iCs w:val="0"/>
                <w:sz w:val="24"/>
                <w:szCs w:val="24"/>
                <w:u w:val="single"/>
              </w:rPr>
            </w:pPr>
            <w:r>
              <w:rPr>
                <w:rFonts w:hint="eastAsia" w:ascii="宋体" w:hAnsi="宋体" w:eastAsia="宋体" w:cs="宋体"/>
                <w:bCs/>
                <w:i/>
                <w:iCs w:val="0"/>
                <w:sz w:val="24"/>
                <w:szCs w:val="24"/>
                <w:u w:val="single"/>
              </w:rPr>
              <w:t xml:space="preserve">本项目最高限价人民币</w:t>
            </w:r>
            <w:r>
              <w:rPr>
                <w:rFonts w:hint="eastAsia" w:ascii="宋体" w:hAnsi="宋体" w:eastAsia="宋体" w:cs="宋体"/>
                <w:bCs/>
                <w:i/>
                <w:iCs w:val="0"/>
                <w:sz w:val="24"/>
                <w:szCs w:val="24"/>
                <w:u w:val="single"/>
                <w:lang w:val="en-US" w:eastAsia="zh-CN"/>
              </w:rPr>
              <w:t xml:space="preserve">97</w:t>
            </w:r>
            <w:r>
              <w:rPr>
                <w:rFonts w:hint="eastAsia" w:ascii="宋体" w:hAnsi="宋体" w:eastAsia="宋体" w:cs="宋体"/>
                <w:bCs/>
                <w:i/>
                <w:iCs w:val="0"/>
                <w:sz w:val="24"/>
                <w:szCs w:val="24"/>
                <w:u w:val="single"/>
              </w:rPr>
              <w:t xml:space="preserve">万元，超过最高限价的按无效响应处理。</w:t>
            </w:r>
            <w:r/>
          </w:p>
          <w:p>
            <w:pPr>
              <w:spacing w:line="520" w:lineRule="exact"/>
              <w:rPr>
                <w:rFonts w:hint="eastAsia" w:ascii="宋体" w:hAnsi="宋体" w:eastAsia="宋体" w:cs="宋体"/>
                <w:b w:val="0"/>
                <w:bCs/>
                <w:i/>
                <w:sz w:val="24"/>
                <w:szCs w:val="24"/>
                <w:highlight w:val="none"/>
                <w:u w:val="single"/>
                <w:vertAlign w:val="baseline"/>
                <w:lang w:val="en-US" w:eastAsia="zh-CN"/>
              </w:rPr>
            </w:pPr>
            <w:r>
              <w:rPr>
                <w:rFonts w:hint="eastAsia" w:ascii="宋体" w:hAnsi="宋体" w:eastAsia="宋体" w:cs="宋体"/>
                <w:b w:val="0"/>
                <w:bCs/>
                <w:i/>
                <w:sz w:val="24"/>
                <w:szCs w:val="24"/>
                <w:highlight w:val="none"/>
                <w:u w:val="single"/>
                <w:vertAlign w:val="baseline"/>
                <w:lang w:val="en-US" w:eastAsia="zh-CN"/>
              </w:rPr>
            </w:r>
            <w:r/>
          </w:p>
        </w:tc>
      </w:tr>
    </w:tbl>
    <w:p>
      <w:pPr>
        <w:pStyle w:val="993"/>
        <w:rPr>
          <w:rFonts w:hint="eastAsia"/>
          <w:highlight w:val="none"/>
        </w:rPr>
      </w:pPr>
      <w:r>
        <w:rPr>
          <w:rFonts w:hint="eastAsia"/>
          <w:highlight w:val="none"/>
        </w:rPr>
      </w:r>
      <w:r/>
    </w:p>
    <w:p>
      <w:pPr>
        <w:spacing w:line="520" w:lineRule="exact"/>
        <w:rPr>
          <w:rFonts w:hint="eastAsia" w:ascii="宋体" w:hAnsi="宋体" w:eastAsia="宋体" w:cs="Arial"/>
          <w:highlight w:val="none"/>
          <w:lang w:val="en-US" w:eastAsia="zh-CN"/>
        </w:rPr>
      </w:pPr>
      <w:r/>
      <w:bookmarkStart w:id="199" w:name="_Toc120614281"/>
      <w:r>
        <w:rPr>
          <w:rFonts w:hint="eastAsia" w:ascii="宋体" w:hAnsi="宋体" w:cs="Arial"/>
          <w:highlight w:val="none"/>
          <w:lang w:val="en-US" w:eastAsia="zh-CN"/>
        </w:rPr>
        <w:t xml:space="preserve">   </w:t>
      </w:r>
      <w:r/>
    </w:p>
    <w:p>
      <w:pPr>
        <w:pStyle w:val="944"/>
        <w:rPr>
          <w:rFonts w:hint="eastAsia" w:ascii="宋体" w:hAnsi="宋体" w:eastAsia="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bCs/>
          <w:sz w:val="44"/>
          <w:highlight w:val="none"/>
        </w:rPr>
      </w:r>
      <w:r/>
    </w:p>
    <w:p>
      <w:pPr>
        <w:pStyle w:val="944"/>
        <w:rPr>
          <w:rFonts w:hint="eastAsia" w:ascii="宋体" w:hAnsi="宋体" w:eastAsia="宋体"/>
          <w:bCs/>
          <w:sz w:val="44"/>
          <w:highlight w:val="none"/>
        </w:rPr>
      </w:pPr>
      <w:r>
        <w:rPr>
          <w:rFonts w:hint="eastAsia" w:ascii="宋体" w:hAnsi="宋体" w:eastAsia="宋体"/>
          <w:bCs/>
          <w:sz w:val="44"/>
          <w:highlight w:val="none"/>
        </w:rPr>
        <w:t xml:space="preserve">第五章  </w:t>
      </w:r>
      <w:r>
        <w:rPr>
          <w:rFonts w:hint="eastAsia" w:ascii="宋体" w:hAnsi="宋体" w:eastAsia="宋体"/>
          <w:b/>
          <w:bCs/>
          <w:sz w:val="44"/>
          <w:highlight w:val="none"/>
        </w:rPr>
        <w:t xml:space="preserve">评标方法与评标标准</w:t>
      </w:r>
      <w:r/>
    </w:p>
    <w:p>
      <w:pPr>
        <w:rPr>
          <w:rFonts w:hint="eastAsia" w:ascii="宋体" w:hAnsi="宋体"/>
          <w:highlight w:val="none"/>
        </w:rPr>
      </w:pPr>
      <w:r>
        <w:rPr>
          <w:rFonts w:hint="eastAsia" w:ascii="宋体" w:hAnsi="宋体"/>
          <w:highlight w:val="none"/>
        </w:rPr>
      </w:r>
      <w:r/>
    </w:p>
    <w:p>
      <w:pPr>
        <w:ind w:firstLine="384"/>
        <w:jc w:val="left"/>
        <w:spacing w:before="120" w:after="120" w:line="360" w:lineRule="auto"/>
        <w:rPr>
          <w:rFonts w:hint="eastAsia" w:ascii="宋体" w:hAnsi="宋体" w:cs="Arial"/>
          <w:highlight w:val="yellow"/>
        </w:rPr>
      </w:pPr>
      <w:r>
        <w:rPr>
          <w:rFonts w:ascii="宋体" w:hAnsi="宋体"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Arial"/>
          <w:highlight w:val="none"/>
        </w:rPr>
        <w:t xml:space="preserve">。本项目选取</w:t>
      </w:r>
      <w:r>
        <w:rPr>
          <w:rFonts w:hint="eastAsia" w:ascii="宋体" w:hAnsi="宋体" w:cs="Arial"/>
          <w:highlight w:val="none"/>
          <w:lang w:val="en-US" w:eastAsia="zh-CN"/>
        </w:rPr>
        <w:t xml:space="preserve"> </w:t>
      </w:r>
      <w:r>
        <w:rPr>
          <w:rFonts w:hint="eastAsia" w:ascii="宋体" w:hAnsi="宋体" w:cs="Arial"/>
          <w:highlight w:val="none"/>
        </w:rPr>
        <w:t xml:space="preserve">1名中标候选人。</w:t>
      </w:r>
      <w:r/>
    </w:p>
    <w:p>
      <w:pPr>
        <w:pStyle w:val="1035"/>
        <w:ind w:firstLine="441"/>
        <w:rPr>
          <w:rFonts w:hint="eastAsia" w:ascii="宋体" w:hAnsi="宋体"/>
          <w:b/>
          <w:highlight w:val="none"/>
        </w:rPr>
      </w:pPr>
      <w:r>
        <w:rPr>
          <w:rFonts w:hint="eastAsia" w:ascii="宋体" w:hAnsi="宋体"/>
          <w:b/>
          <w:highlight w:val="none"/>
        </w:rPr>
        <w:t xml:space="preserve">政府采购政策功能落实</w:t>
      </w:r>
      <w:r/>
    </w:p>
    <w:p>
      <w:pPr>
        <w:pStyle w:val="1035"/>
        <w:spacing w:line="0" w:lineRule="atLeast"/>
        <w:rPr>
          <w:rFonts w:hint="eastAsia" w:ascii="宋体" w:hAnsi="宋体"/>
          <w:highlight w:val="none"/>
        </w:rPr>
      </w:pPr>
      <w:r>
        <w:rPr>
          <w:rFonts w:hint="eastAsia" w:ascii="宋体" w:hAnsi="宋体"/>
          <w:highlight w:val="none"/>
        </w:rPr>
        <w:t xml:space="preserve">1、小微型企业价格扣除</w:t>
      </w:r>
      <w:r/>
    </w:p>
    <w:p>
      <w:pPr>
        <w:pStyle w:val="1035"/>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的扣除价格，用扣除后的价格参与评审。</w:t>
      </w:r>
      <w:r/>
    </w:p>
    <w:p>
      <w:pPr>
        <w:pStyle w:val="1035"/>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（2）供应商需按照采购文件的要求提供相应的《小微企业声明函》。</w:t>
      </w:r>
      <w:r/>
    </w:p>
    <w:p>
      <w:pPr>
        <w:pStyle w:val="1035"/>
        <w:ind w:firstLine="360"/>
        <w:spacing w:line="0" w:lineRule="atLeast"/>
        <w:rPr>
          <w:rFonts w:hint="eastAsia" w:ascii="宋体" w:hAnsi="宋体"/>
          <w:highlight w:val="none"/>
        </w:rPr>
      </w:pPr>
      <w:r>
        <w:rPr>
          <w:rFonts w:hint="eastAsia" w:ascii="宋体" w:hAnsi="宋体"/>
          <w:highlight w:val="none"/>
        </w:rPr>
        <w:t xml:space="preserve">（3）企业标准请参照《关于印发中小企业划型标准规定的通知》（工信部联企业[2011]300号）文件规定自行填写。</w:t>
      </w:r>
      <w:r/>
    </w:p>
    <w:p>
      <w:pPr>
        <w:pStyle w:val="1035"/>
        <w:spacing w:line="0" w:lineRule="atLeast"/>
        <w:rPr>
          <w:rFonts w:hint="eastAsia" w:ascii="宋体" w:hAnsi="宋体"/>
          <w:highlight w:val="none"/>
        </w:rPr>
      </w:pPr>
      <w:r>
        <w:rPr>
          <w:rFonts w:hint="eastAsia" w:ascii="宋体" w:hAnsi="宋体"/>
          <w:highlight w:val="none"/>
        </w:rPr>
        <w:t xml:space="preserve">2、残疾人福利单位价格扣除</w:t>
      </w:r>
      <w:r/>
    </w:p>
    <w:p>
      <w:pPr>
        <w:pStyle w:val="1035"/>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p>
    <w:p>
      <w:pPr>
        <w:pStyle w:val="1035"/>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p>
    <w:p>
      <w:pPr>
        <w:pStyle w:val="1035"/>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p>
    <w:p>
      <w:pPr>
        <w:pStyle w:val="1035"/>
        <w:spacing w:line="0" w:lineRule="atLeast"/>
        <w:rPr>
          <w:rFonts w:hint="eastAsia" w:ascii="宋体" w:hAnsi="宋体"/>
          <w:highlight w:val="none"/>
        </w:rPr>
      </w:pPr>
      <w:r>
        <w:rPr>
          <w:rFonts w:hint="eastAsia" w:ascii="宋体" w:hAnsi="宋体"/>
          <w:highlight w:val="none"/>
        </w:rPr>
        <w:t xml:space="preserve">3、监狱和戒毒企业价格扣除</w:t>
      </w:r>
      <w:r/>
    </w:p>
    <w:p>
      <w:pPr>
        <w:pStyle w:val="1035"/>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p>
    <w:p>
      <w:pPr>
        <w:pStyle w:val="1035"/>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5"/>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p>
    <w:p>
      <w:pPr>
        <w:pStyle w:val="1035"/>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p>
    <w:p>
      <w:pPr>
        <w:pStyle w:val="1035"/>
        <w:spacing w:line="400" w:lineRule="exact"/>
        <w:rPr>
          <w:rFonts w:hint="eastAsia" w:ascii="宋体" w:hAnsi="宋体"/>
          <w:highlight w:val="none"/>
        </w:rPr>
      </w:pPr>
      <w:r/>
      <w:bookmarkStart w:id="200" w:name="OLE_LINK23"/>
      <w:r>
        <w:rPr>
          <w:rFonts w:hint="eastAsia" w:ascii="宋体" w:hAnsi="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w:t>
      </w:r>
      <w:bookmarkStart w:id="201" w:name="OLE_LINK24"/>
      <w:r>
        <w:rPr>
          <w:rFonts w:hint="eastAsia" w:ascii="宋体" w:hAnsi="宋体"/>
          <w:highlight w:val="none"/>
        </w:rPr>
        <w:t xml:space="preserve">的</w:t>
      </w:r>
      <w:bookmarkStart w:id="202" w:name="OLE_LINK22"/>
      <w:r>
        <w:rPr>
          <w:rFonts w:hint="eastAsia" w:ascii="宋体" w:hAnsi="宋体"/>
          <w:highlight w:val="none"/>
        </w:rPr>
        <w:t xml:space="preserve">合同份额占到合同总金额30%以上的，给予联合体或者大中型企业</w:t>
      </w:r>
      <w:r>
        <w:rPr>
          <w:rFonts w:hint="eastAsia" w:ascii="宋体" w:hAnsi="宋体"/>
          <w:highlight w:val="none"/>
          <w:u w:val="single"/>
          <w:lang w:val="en-US" w:eastAsia="zh-CN"/>
        </w:rPr>
        <w:t xml:space="preserve"> 4 </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w:t>
      </w:r>
      <w:bookmarkStart w:id="203" w:name="OLE_LINK25"/>
      <w:r>
        <w:rPr>
          <w:rFonts w:hint="eastAsia" w:ascii="宋体" w:hAnsi="宋体"/>
          <w:highlight w:val="none"/>
        </w:rPr>
        <w:t xml:space="preserve">除，用扣除后的价格参与评审。</w:t>
      </w:r>
      <w:r/>
    </w:p>
    <w:p>
      <w:pPr>
        <w:pStyle w:val="1035"/>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价格扣除，用扣除后的价格参与评审。</w:t>
      </w:r>
      <w:r/>
    </w:p>
    <w:p>
      <w:pPr>
        <w:ind w:firstLine="420"/>
        <w:jc w:val="left"/>
        <w:spacing w:line="400" w:lineRule="exact"/>
        <w:rPr>
          <w:rFonts w:hint="eastAsia" w:ascii="宋体" w:hAnsi="宋体" w:eastAsia="宋体" w:cs="Times New Roman"/>
          <w:sz w:val="24"/>
          <w:szCs w:val="24"/>
          <w:highlight w:val="none"/>
          <w:lang w:val="en-US" w:eastAsia="zh-CN" w:bidi="ar-SA"/>
        </w:rPr>
      </w:pPr>
      <w:r>
        <w:rPr>
          <w:rFonts w:hint="eastAsia" w:ascii="宋体" w:hAnsi="宋体"/>
          <w:highlight w:val="none"/>
        </w:rPr>
        <w:t xml:space="preserve">7</w:t>
      </w:r>
      <w:r>
        <w:rPr>
          <w:rFonts w:hint="eastAsia" w:ascii="宋体" w:hAnsi="宋体" w:eastAsia="宋体" w:cs="Times New Roman"/>
          <w:sz w:val="24"/>
          <w:szCs w:val="24"/>
          <w:highlight w:val="none"/>
          <w:lang w:val="en-US" w:eastAsia="zh-CN" w:bidi="ar-SA"/>
        </w:rPr>
        <w:t xml:space="preserve">、采购本国产品的支持政策</w:t>
      </w:r>
      <w:r/>
    </w:p>
    <w:p>
      <w:pPr>
        <w:ind w:firstLine="480"/>
        <w:jc w:val="left"/>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7.1 本项目政府采购活动中既有本国产品又有非本国产品参与竞争的，依法对本国产品给予价格评审优惠，对本国产品的报价给予</w:t>
      </w:r>
      <w:r>
        <w:rPr>
          <w:rFonts w:hint="eastAsia" w:ascii="宋体" w:hAnsi="宋体" w:eastAsia="宋体" w:cs="Times New Roman"/>
          <w:sz w:val="24"/>
          <w:szCs w:val="24"/>
          <w:highlight w:val="none"/>
          <w:u w:val="single"/>
          <w:lang w:val="en-US" w:eastAsia="zh-CN" w:bidi="ar-SA"/>
        </w:rPr>
        <w:t xml:space="preserve">  20% </w:t>
      </w:r>
      <w:r>
        <w:rPr>
          <w:rFonts w:hint="eastAsia" w:ascii="宋体" w:hAnsi="宋体" w:eastAsia="宋体" w:cs="Times New Roman"/>
          <w:sz w:val="24"/>
          <w:szCs w:val="24"/>
          <w:highlight w:val="none"/>
          <w:lang w:val="en-US" w:eastAsia="zh-CN" w:bidi="ar-SA"/>
        </w:rPr>
        <w:t xml:space="preserve">的价格扣除，用扣除后的价格参与评审。</w:t>
      </w:r>
      <w:r/>
    </w:p>
    <w:p>
      <w:pPr>
        <w:ind w:firstLine="480"/>
        <w:jc w:val="left"/>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Times New Roman"/>
          <w:sz w:val="24"/>
          <w:szCs w:val="24"/>
          <w:highlight w:val="none"/>
          <w:u w:val="single"/>
          <w:lang w:val="en-US" w:eastAsia="zh-CN" w:bidi="ar-SA"/>
        </w:rPr>
        <w:t xml:space="preserve"> 80% </w:t>
      </w:r>
      <w:r>
        <w:rPr>
          <w:rFonts w:hint="eastAsia" w:ascii="宋体" w:hAnsi="宋体" w:eastAsia="宋体" w:cs="Times New Roman"/>
          <w:sz w:val="24"/>
          <w:szCs w:val="24"/>
          <w:highlight w:val="none"/>
          <w:lang w:val="en-US" w:eastAsia="zh-CN" w:bidi="ar-SA"/>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Times New Roman"/>
          <w:sz w:val="24"/>
          <w:szCs w:val="24"/>
          <w:highlight w:val="none"/>
          <w:u w:val="single"/>
          <w:lang w:val="en-US" w:eastAsia="zh-CN" w:bidi="ar-SA"/>
        </w:rPr>
        <w:t xml:space="preserve"> 20% </w:t>
      </w:r>
      <w:r>
        <w:rPr>
          <w:rFonts w:hint="eastAsia" w:ascii="宋体" w:hAnsi="宋体" w:eastAsia="宋体" w:cs="Times New Roman"/>
          <w:sz w:val="24"/>
          <w:szCs w:val="24"/>
          <w:highlight w:val="none"/>
          <w:lang w:val="en-US" w:eastAsia="zh-CN" w:bidi="ar-SA"/>
        </w:rPr>
        <w:t xml:space="preserve">的价格扣除，用扣除后的价格参与评审。供应商未填写比例数值，或比例数值未达到</w:t>
      </w:r>
      <w:r>
        <w:rPr>
          <w:rFonts w:hint="eastAsia" w:ascii="宋体" w:hAnsi="宋体" w:eastAsia="宋体" w:cs="Times New Roman"/>
          <w:sz w:val="24"/>
          <w:szCs w:val="24"/>
          <w:highlight w:val="none"/>
          <w:u w:val="single"/>
          <w:lang w:val="en-US" w:eastAsia="zh-CN" w:bidi="ar-SA"/>
        </w:rPr>
        <w:t xml:space="preserve"> 80% </w:t>
      </w:r>
      <w:r>
        <w:rPr>
          <w:rFonts w:hint="eastAsia" w:ascii="宋体" w:hAnsi="宋体" w:eastAsia="宋体" w:cs="Times New Roman"/>
          <w:sz w:val="24"/>
          <w:szCs w:val="24"/>
          <w:highlight w:val="none"/>
          <w:lang w:val="en-US" w:eastAsia="zh-CN" w:bidi="ar-SA"/>
        </w:rPr>
        <w:t xml:space="preserve">的，将不享受本国产品价格评审优惠。</w:t>
      </w:r>
      <w:r/>
    </w:p>
    <w:p>
      <w:pPr>
        <w:ind w:firstLine="480"/>
        <w:jc w:val="left"/>
        <w:spacing w:line="4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5"/>
        <w:ind w:firstLine="472"/>
        <w:keepLines w:val="0"/>
        <w:keepNext w:val="0"/>
        <w:pageBreakBefore w:val="0"/>
        <w:spacing w:line="400" w:lineRule="exact"/>
        <w:widowControl w:val="off"/>
        <w:rPr>
          <w:rFonts w:hint="eastAsia" w:ascii="宋体" w:hAnsi="宋体" w:eastAsia="宋体" w:cs="Times New Roman"/>
          <w:highlight w:val="none"/>
          <w:lang w:val="zh-CN"/>
        </w:rPr>
      </w:pPr>
      <w:r/>
      <w:bookmarkStart w:id="204" w:name="OLE_LINK4"/>
      <w:r/>
      <w:bookmarkStart w:id="205" w:name="OLE_LINK3"/>
      <w:r/>
      <w:bookmarkStart w:id="206" w:name="OLE_LINK1"/>
      <w:r>
        <w:rPr>
          <w:rFonts w:hint="eastAsia" w:ascii="宋体" w:hAnsi="宋体" w:eastAsia="宋体" w:cs="Times New Roman"/>
          <w:highlight w:val="none"/>
          <w:lang w:val="en-US" w:eastAsia="zh-CN"/>
        </w:rPr>
        <w:t xml:space="preserve">8、</w:t>
      </w:r>
      <w:bookmarkStart w:id="207" w:name="OLE_LINK14"/>
      <w:r>
        <w:rPr>
          <w:rFonts w:hint="eastAsia" w:ascii="宋体" w:hAnsi="宋体" w:eastAsia="宋体" w:cs="Times New Roman"/>
          <w:highlight w:val="none"/>
          <w:lang w:val="zh-CN"/>
        </w:rPr>
        <w:t xml:space="preserve">强制采购节能产品。政府强制采购节能产品是指</w:t>
      </w:r>
      <w:bookmarkStart w:id="208" w:name="OLE_LINK209"/>
      <w:r>
        <w:rPr>
          <w:rFonts w:hint="eastAsia" w:ascii="宋体" w:hAnsi="宋体" w:eastAsia="宋体" w:cs="Times New Roman"/>
          <w:highlight w:val="none"/>
          <w:lang w:val="zh-CN"/>
        </w:rPr>
        <w:t xml:space="preserve">列入财政部、发展改革委联合公布的最新《节能产品政府采购品目清单》（具体品目以“★”标注），且获得由国家确</w:t>
      </w:r>
      <w:bookmarkStart w:id="209" w:name="OLE_LINK11"/>
      <w:r>
        <w:rPr>
          <w:rFonts w:hint="eastAsia" w:ascii="宋体" w:hAnsi="宋体" w:eastAsia="宋体" w:cs="Times New Roman"/>
          <w:highlight w:val="none"/>
          <w:lang w:val="zh-CN"/>
        </w:rPr>
        <w:t xml:space="preserve">定的认证机构出具的、处于有效期之内的节能产品认证证书的节能产品</w:t>
      </w:r>
      <w:bookmarkEnd w:id="208"/>
      <w:r>
        <w:rPr>
          <w:rFonts w:hint="eastAsia" w:ascii="宋体" w:hAnsi="宋体" w:eastAsia="宋体" w:cs="Times New Roman"/>
          <w:highlight w:val="none"/>
          <w:lang w:val="zh-CN"/>
        </w:rPr>
        <w:t xml:space="preserve">；本项目中</w:t>
      </w:r>
      <w:bookmarkEnd w:id="200"/>
      <w:r>
        <w:rPr>
          <w:rFonts w:hint="eastAsia" w:ascii="宋体" w:hAnsi="宋体" w:eastAsia="宋体" w:cs="Times New Roman"/>
          <w:highlight w:val="none"/>
          <w:lang w:val="zh-CN"/>
        </w:rPr>
        <w:t xml:space="preserve">涉及到强制采购产品的，供应商须按照上述要求提供相关产品的证明材料，否则响应无效。</w:t>
      </w:r>
      <w:bookmarkStart w:id="210" w:name="OLE_LINK210"/>
      <w:r/>
      <w:bookmarkEnd w:id="207"/>
      <w:bookmarkEnd w:id="210"/>
      <w:r/>
    </w:p>
    <w:p>
      <w:pPr>
        <w:pStyle w:val="1035"/>
        <w:ind w:left="120" w:firstLine="360"/>
        <w:keepLines w:val="0"/>
        <w:keepNext w:val="0"/>
        <w:pageBreakBefore w:val="0"/>
        <w:spacing w:line="400" w:lineRule="exact"/>
        <w:widowControl w:val="off"/>
        <w:rPr>
          <w:rFonts w:hint="eastAsia" w:ascii="宋体" w:hAnsi="宋体" w:eastAsia="宋体" w:cs="Times New Roman"/>
          <w:highlight w:val="none"/>
          <w:lang w:val="zh-CN"/>
        </w:rPr>
      </w:pPr>
      <w:r/>
      <w:bookmarkStart w:id="211" w:name="OLE_LINK21"/>
      <w:r/>
      <w:bookmarkStart w:id="212" w:name="OLE_LINK20"/>
      <w:r/>
      <w:bookmarkStart w:id="213" w:name="OLE_LINK10"/>
      <w:r/>
      <w:bookmarkStart w:id="214" w:name="OLE_LINK9"/>
      <w:r>
        <w:rPr>
          <w:rFonts w:hint="eastAsia" w:ascii="宋体" w:hAnsi="宋体" w:eastAsia="宋体" w:cs="Times New Roman"/>
          <w:highlight w:val="none"/>
          <w:lang w:val="en-US" w:eastAsia="zh-CN"/>
        </w:rPr>
        <w:t xml:space="preserve">9、</w:t>
      </w:r>
      <w:r>
        <w:rPr>
          <w:rFonts w:hint="eastAsia" w:ascii="宋体" w:hAnsi="宋体" w:eastAsia="宋体" w:cs="Times New Roman"/>
          <w:highlight w:val="none"/>
          <w:lang w:val="zh-CN"/>
        </w:rPr>
        <w:t xml:space="preserve">商品包装环保要求：</w:t>
      </w:r>
      <w:r/>
    </w:p>
    <w:p>
      <w:pPr>
        <w:pStyle w:val="1035"/>
        <w:ind w:left="120" w:firstLine="360"/>
        <w:keepLines w:val="0"/>
        <w:keepNext w:val="0"/>
        <w:pageBreakBefore w:val="0"/>
        <w:spacing w:line="400" w:lineRule="exact"/>
        <w:widowControl w:val="off"/>
        <w:rPr>
          <w:rFonts w:hint="eastAsia" w:ascii="宋体" w:hAnsi="宋体" w:eastAsia="宋体" w:cs="Times New Roman"/>
          <w:highlight w:val="none"/>
          <w:lang w:val="zh-CN"/>
        </w:rPr>
      </w:pPr>
      <w:r/>
      <w:bookmarkStart w:id="215" w:name="OLE_LINK2"/>
      <w:r/>
      <w:bookmarkStart w:id="216" w:name="OLE_LINK18"/>
      <w:r>
        <w:rPr>
          <w:rFonts w:hint="eastAsia" w:ascii="宋体" w:hAnsi="宋体" w:eastAsia="宋体" w:cs="Times New Roman"/>
          <w:highlight w:val="none"/>
          <w:lang w:val="zh-CN"/>
        </w:rPr>
        <w:t xml:space="preserve">（1</w:t>
      </w:r>
      <w:bookmarkStart w:id="217" w:name="OLE_LINK19"/>
      <w:r>
        <w:rPr>
          <w:rFonts w:hint="eastAsia" w:ascii="宋体" w:hAnsi="宋体" w:eastAsia="宋体" w:cs="Times New Roman"/>
          <w:highlight w:val="none"/>
          <w:lang w:val="zh-CN"/>
        </w:rPr>
        <w:t xml:space="preserve">）商品包装层数不得超过 </w:t>
      </w:r>
      <w:bookmarkStart w:id="218" w:name="OLE_LINK15"/>
      <w:r>
        <w:rPr>
          <w:rFonts w:hint="eastAsia" w:ascii="宋体" w:hAnsi="宋体" w:eastAsia="宋体" w:cs="Times New Roman"/>
          <w:highlight w:val="none"/>
          <w:lang w:val="zh-CN"/>
        </w:rPr>
        <w:t xml:space="preserve">3 层，空隙率不大于 40%；</w:t>
      </w:r>
      <w:bookmarkEnd w:id="201"/>
      <w:r/>
    </w:p>
    <w:p>
      <w:pPr>
        <w:pStyle w:val="1035"/>
        <w:ind w:left="120" w:firstLine="360"/>
        <w:keepLines w:val="0"/>
        <w:keepNext w:val="0"/>
        <w:pageBreakBefore w:val="0"/>
        <w:spacing w:line="400" w:lineRule="exact"/>
        <w:widowControl w:val="off"/>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（2）商品包装</w:t>
      </w:r>
      <w:bookmarkStart w:id="219" w:name="OLE_LINK17"/>
      <w:r>
        <w:rPr>
          <w:rFonts w:hint="eastAsia" w:ascii="宋体" w:hAnsi="宋体" w:eastAsia="宋体" w:cs="Times New Roman"/>
          <w:highlight w:val="none"/>
          <w:lang w:val="zh-CN"/>
        </w:rPr>
        <w:t xml:space="preserve">尽可能使用单一材质的包装</w:t>
      </w:r>
      <w:bookmarkStart w:id="220" w:name="OLE_LINK16"/>
      <w:r>
        <w:rPr>
          <w:rFonts w:hint="eastAsia" w:ascii="宋体" w:hAnsi="宋体" w:eastAsia="宋体" w:cs="Times New Roman"/>
          <w:highlight w:val="none"/>
          <w:lang w:val="zh-CN"/>
        </w:rPr>
        <w:t xml:space="preserve">材料，如因功能需求必需使用不同材质，不同材质间应便于分离；</w:t>
      </w:r>
      <w:bookmarkEnd w:id="202"/>
      <w:bookmarkEnd w:id="203"/>
      <w:bookmarkEnd w:id="204"/>
      <w:bookmarkEnd w:id="205"/>
      <w:r/>
    </w:p>
    <w:p>
      <w:pPr>
        <w:pStyle w:val="1035"/>
        <w:ind w:left="120" w:firstLine="360"/>
        <w:keepLines w:val="0"/>
        <w:keepNext w:val="0"/>
        <w:pageBreakBefore w:val="0"/>
        <w:spacing w:line="400" w:lineRule="exact"/>
        <w:widowControl w:val="off"/>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（3）商品包装中铅、汞、镉、六价铬的总含量应不大于100mg/kg；</w:t>
      </w:r>
      <w:bookmarkEnd w:id="206"/>
      <w:bookmarkEnd w:id="215"/>
      <w:r/>
    </w:p>
    <w:p>
      <w:pPr>
        <w:pStyle w:val="1035"/>
        <w:ind w:left="120" w:firstLine="360"/>
        <w:keepLines w:val="0"/>
        <w:keepNext w:val="0"/>
        <w:pageBreakBefore w:val="0"/>
        <w:spacing w:line="400" w:lineRule="exact"/>
        <w:widowControl w:val="off"/>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（4）商品包装印刷使用的油墨中挥发性有机化合物(VOCs)含量应不大于 5%（以重量计）；</w:t>
      </w:r>
      <w:bookmarkEnd w:id="211"/>
      <w:bookmarkEnd w:id="212"/>
      <w:bookmarkEnd w:id="216"/>
      <w:bookmarkEnd w:id="217"/>
      <w:bookmarkEnd w:id="218"/>
      <w:bookmarkEnd w:id="219"/>
      <w:bookmarkEnd w:id="220"/>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highlight w:val="none"/>
          <w:lang w:val="zh-CN"/>
        </w:rPr>
        <w:t xml:space="preserve">（5）</w:t>
      </w:r>
      <w:r>
        <w:rPr>
          <w:rFonts w:hint="eastAsia" w:ascii="宋体" w:hAnsi="宋体" w:eastAsia="宋体" w:cs="Times New Roman"/>
          <w:sz w:val="24"/>
          <w:szCs w:val="24"/>
          <w:highlight w:val="none"/>
          <w:lang w:val="zh-CN" w:eastAsia="zh-CN" w:bidi="ar-SA"/>
        </w:rPr>
        <w:t xml:space="preserve">塑料材质商品包装上呈现的印刷颜色不得超过 6 色；</w:t>
      </w:r>
      <w:bookmarkEnd w:id="213"/>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（6）纸质商品包装应使用 75%以上的可再生纤维原料生产；</w:t>
      </w:r>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（7）木质商品包装的原料应来源于可持续性森林。</w:t>
      </w:r>
      <w:bookmarkEnd w:id="209"/>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bookmarkStart w:id="221" w:name="OLE_LINK12"/>
      <w:r/>
      <w:bookmarkStart w:id="222" w:name="OLE_LINK8"/>
      <w:r>
        <w:rPr>
          <w:rFonts w:hint="eastAsia" w:ascii="宋体" w:hAnsi="宋体" w:eastAsia="宋体" w:cs="Times New Roman"/>
          <w:sz w:val="24"/>
          <w:szCs w:val="24"/>
          <w:highlight w:val="none"/>
          <w:lang w:val="en-US" w:eastAsia="zh-CN" w:bidi="ar-SA"/>
        </w:rPr>
        <w:t xml:space="preserve">10、</w:t>
      </w:r>
      <w:r>
        <w:rPr>
          <w:rFonts w:hint="eastAsia" w:ascii="宋体" w:hAnsi="宋体" w:eastAsia="宋体" w:cs="Times New Roman"/>
          <w:sz w:val="24"/>
          <w:szCs w:val="24"/>
          <w:highlight w:val="none"/>
          <w:lang w:val="zh-CN" w:eastAsia="zh-CN" w:bidi="ar-SA"/>
        </w:rPr>
        <w:t xml:space="preserve">快递包装环保要求：</w:t>
      </w:r>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（1）快递包装中重金属（铅、汞、镉、六价铬）总量应不大于 100mg/kg；</w:t>
      </w:r>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（2）快递包装印刷使用的油墨中不应添加邻苯二甲酸酯，其挥发性有机化合物(VOCs)含量应不大于5%（以重量计）；</w:t>
      </w:r>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bookmarkStart w:id="223" w:name="OLE_LINK7"/>
      <w:r>
        <w:rPr>
          <w:rFonts w:hint="eastAsia" w:ascii="宋体" w:hAnsi="宋体" w:eastAsia="宋体" w:cs="Times New Roman"/>
          <w:sz w:val="24"/>
          <w:szCs w:val="24"/>
          <w:highlight w:val="none"/>
          <w:lang w:val="zh-CN" w:eastAsia="zh-CN" w:bidi="ar-SA"/>
        </w:rPr>
        <w:t xml:space="preserve">（3）快递包装中使用纸基材的包装材料，纸基材中的有机氯的含量应不大于 150 </w:t>
      </w:r>
      <w:bookmarkEnd w:id="221"/>
      <w:r>
        <w:rPr>
          <w:rFonts w:hint="eastAsia" w:ascii="宋体" w:hAnsi="宋体" w:eastAsia="宋体" w:cs="Times New Roman"/>
          <w:sz w:val="24"/>
          <w:szCs w:val="24"/>
          <w:highlight w:val="none"/>
          <w:lang w:val="zh-CN" w:eastAsia="zh-CN" w:bidi="ar-SA"/>
        </w:rPr>
        <w:t xml:space="preserve">mg/kg；</w:t>
      </w:r>
      <w:bookmarkEnd w:id="214"/>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（4）快递包装中使用塑料基材的包装材料不得使用邻苯二甲酸二异壬酯、邻苯二甲酸二正辛酯、邻苯二甲酸二(2-乙基)己酯、邻苯二甲酸二异癸酯、邻苯二甲酸丁基</w:t>
      </w:r>
      <w:bookmarkStart w:id="224" w:name="OLE_LINK6"/>
      <w:r>
        <w:rPr>
          <w:rFonts w:hint="eastAsia" w:ascii="宋体" w:hAnsi="宋体" w:eastAsia="宋体" w:cs="Times New Roman"/>
          <w:sz w:val="24"/>
          <w:szCs w:val="24"/>
          <w:highlight w:val="none"/>
          <w:lang w:val="zh-CN" w:eastAsia="zh-CN" w:bidi="ar-SA"/>
        </w:rPr>
        <w:t xml:space="preserve">苄基酯、邻苯二甲酸二丁酯等作为增塑剂；</w:t>
      </w:r>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（5）快递中使用的塑料包装袋不得使用聚氯乙烯作为原料，且原料应为单一材质制成，生物分解率大于60%；</w:t>
      </w:r>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（6）快递中使用的充气类填充物不得使用聚氯乙烯作为 原料，且原料为单一材质制成，生物分解率大于60%；</w:t>
      </w:r>
      <w:bookmarkEnd w:id="222"/>
      <w:bookmarkEnd w:id="223"/>
      <w:bookmarkEnd w:id="224"/>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bookmarkStart w:id="225" w:name="OLE_LINK5"/>
      <w:r>
        <w:rPr>
          <w:rFonts w:hint="eastAsia" w:ascii="宋体" w:hAnsi="宋体" w:eastAsia="宋体" w:cs="Times New Roman"/>
          <w:sz w:val="24"/>
          <w:szCs w:val="24"/>
          <w:highlight w:val="none"/>
          <w:lang w:val="zh-CN" w:eastAsia="zh-CN" w:bidi="ar-SA"/>
        </w:rPr>
        <w:t xml:space="preserve">（7）快递中使用的集装袋应为单一材质制成，其重复使用次数应不小于 80 次；</w:t>
      </w:r>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（8）快递中应使用幅宽不大于45mm 的生物降解胶带；</w:t>
      </w:r>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（9）快递包装中不得使用溶剂型胶粘剂；</w:t>
      </w:r>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（11）快递应使用电子面单；</w:t>
      </w:r>
      <w:bookmarkEnd w:id="225"/>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（12）直接使用商品包装作为快递包装的商品，其商品包装满足《商品包装政府采购需求标准（试行）》即可；</w:t>
      </w:r>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zh-CN" w:eastAsia="zh-CN" w:bidi="ar-SA"/>
        </w:rPr>
      </w:pPr>
      <w:r>
        <w:rPr>
          <w:rFonts w:hint="eastAsia" w:ascii="宋体" w:hAnsi="宋体" w:eastAsia="宋体" w:cs="Times New Roman"/>
          <w:sz w:val="24"/>
          <w:szCs w:val="24"/>
          <w:highlight w:val="none"/>
          <w:lang w:val="zh-CN" w:eastAsia="zh-CN" w:bidi="ar-SA"/>
        </w:rPr>
        <w:t xml:space="preserve">（13）快递包装产品质量和封装方式应符合相关国家或行业标准技术指标要求。</w:t>
      </w:r>
      <w:r/>
    </w:p>
    <w:p>
      <w:pPr>
        <w:pStyle w:val="1035"/>
        <w:ind w:left="120" w:firstLine="360"/>
        <w:keepLines w:val="0"/>
        <w:keepNext w:val="0"/>
        <w:pageBreakBefore w:val="0"/>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w:t>
      </w:r>
      <w:r>
        <w:rPr>
          <w:rFonts w:hint="eastAsia" w:ascii="宋体" w:hAnsi="宋体" w:eastAsia="宋体" w:cs="Times New Roman"/>
          <w:sz w:val="24"/>
          <w:szCs w:val="24"/>
          <w:highlight w:val="none"/>
          <w:lang w:val="zh-CN" w:eastAsia="zh-CN" w:bidi="ar-SA"/>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pStyle w:val="1035"/>
        <w:ind w:firstLine="482"/>
        <w:keepLines w:val="0"/>
        <w:keepNext w:val="0"/>
        <w:pageBreakBefore w:val="0"/>
        <w:spacing w:before="360" w:line="0" w:lineRule="atLeast"/>
        <w:widowControl w:val="off"/>
        <w:rPr>
          <w:rFonts w:hint="eastAsia" w:ascii="宋体" w:hAnsi="宋体"/>
          <w:b/>
          <w:highlight w:val="none"/>
        </w:rPr>
      </w:pPr>
      <w:r>
        <w:rPr>
          <w:rFonts w:hint="eastAsia" w:ascii="宋体" w:hAnsi="宋体"/>
          <w:b/>
          <w:highlight w:val="none"/>
        </w:rPr>
        <w:t xml:space="preserve">评标方法与评标标准</w:t>
      </w:r>
      <w:r/>
    </w:p>
    <w:p>
      <w:pPr>
        <w:pStyle w:val="1035"/>
        <w:numPr>
          <w:ilvl w:val="0"/>
          <w:numId w:val="16"/>
        </w:numPr>
        <w:ind w:firstLine="482"/>
        <w:spacing w:line="0" w:lineRule="atLeast"/>
        <w:rPr>
          <w:rFonts w:hint="eastAsia" w:ascii="宋体" w:hAnsi="宋体"/>
          <w:b/>
          <w:highlight w:val="none"/>
        </w:rPr>
      </w:pPr>
      <w:r>
        <w:rPr>
          <w:rFonts w:hint="eastAsia" w:ascii="宋体" w:hAnsi="宋体"/>
          <w:b/>
          <w:highlight w:val="none"/>
        </w:rPr>
        <w:t xml:space="preserve">价格分：</w:t>
      </w:r>
      <w:r>
        <w:rPr>
          <w:rFonts w:hint="eastAsia" w:ascii="宋体" w:hAnsi="宋体"/>
          <w:b/>
          <w:highlight w:val="none"/>
          <w:lang w:val="en-US" w:eastAsia="zh-CN"/>
        </w:rPr>
        <w:t xml:space="preserve">30</w:t>
      </w:r>
      <w:r>
        <w:rPr>
          <w:rFonts w:hint="eastAsia" w:ascii="宋体" w:hAnsi="宋体"/>
          <w:b/>
          <w:highlight w:val="none"/>
        </w:rPr>
        <w:t xml:space="preserve">分</w:t>
      </w:r>
      <w:r/>
    </w:p>
    <w:p>
      <w:pPr>
        <w:ind w:firstLine="480"/>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p>
    <w:p>
      <w:pPr>
        <w:pStyle w:val="1035"/>
        <w:ind w:left="482" w:firstLine="0"/>
        <w:spacing w:line="0" w:lineRule="atLeast"/>
        <w:rPr>
          <w:rFonts w:hint="eastAsia" w:ascii="宋体" w:hAnsi="宋体"/>
          <w:b/>
          <w:highlight w:val="none"/>
        </w:rPr>
      </w:pPr>
      <w:r>
        <w:rPr>
          <w:rFonts w:hint="eastAsia" w:ascii="宋体" w:hAnsi="宋体" w:cs="宋体"/>
          <w:color w:val="000000"/>
          <w:highlight w:val="none"/>
        </w:rPr>
        <w:t xml:space="preserve">投标报价得分=（评标基准价/投标人报价）×价格权值×100</w:t>
      </w:r>
      <w:r/>
    </w:p>
    <w:p>
      <w:pPr>
        <w:pStyle w:val="1035"/>
        <w:numPr>
          <w:ilvl w:val="0"/>
          <w:numId w:val="16"/>
        </w:numPr>
        <w:ind w:firstLine="482"/>
        <w:keepLines w:val="0"/>
        <w:keepNext w:val="0"/>
        <w:pageBreakBefore w:val="0"/>
        <w:spacing w:before="240" w:after="120" w:line="0" w:lineRule="atLeast"/>
        <w:widowControl w:val="off"/>
        <w:rPr>
          <w:rFonts w:hint="eastAsia" w:ascii="宋体" w:hAnsi="宋体"/>
          <w:b/>
          <w:highlight w:val="none"/>
        </w:rPr>
      </w:pPr>
      <w:r>
        <w:rPr>
          <w:rFonts w:hint="eastAsia" w:ascii="宋体" w:hAnsi="宋体"/>
          <w:b/>
          <w:highlight w:val="none"/>
        </w:rPr>
        <w:t xml:space="preserve">技术分：3</w:t>
      </w:r>
      <w:r>
        <w:rPr>
          <w:rFonts w:hint="eastAsia" w:ascii="宋体" w:hAnsi="宋体"/>
          <w:b/>
          <w:highlight w:val="none"/>
          <w:lang w:val="en-US" w:eastAsia="zh-CN"/>
        </w:rPr>
        <w:t xml:space="preserve">3</w:t>
      </w:r>
      <w:r>
        <w:rPr>
          <w:rFonts w:hint="eastAsia" w:ascii="宋体" w:hAnsi="宋体"/>
          <w:b/>
          <w:highlight w:val="none"/>
        </w:rPr>
        <w:t xml:space="preserve">分</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序号</w:t>
            </w:r>
            <w:r/>
          </w:p>
        </w:tc>
        <w:tc>
          <w:tcPr>
            <w:tcW w:w="1525"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评分点名称</w:t>
            </w:r>
            <w:r/>
          </w:p>
        </w:tc>
        <w:tc>
          <w:tcPr>
            <w:tcW w:w="3951"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评审标准</w:t>
            </w:r>
            <w:r/>
          </w:p>
        </w:tc>
        <w:tc>
          <w:tcPr>
            <w:tcW w:w="992"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最高分</w:t>
            </w:r>
            <w:r/>
          </w:p>
        </w:tc>
        <w:tc>
          <w:tcPr>
            <w:tcW w:w="992"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最低分</w:t>
            </w:r>
            <w:r/>
          </w:p>
        </w:tc>
        <w:tc>
          <w:tcPr>
            <w:tcW w:w="1418"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主/客观分</w:t>
            </w:r>
            <w:r/>
          </w:p>
        </w:tc>
      </w:tr>
      <w:tr>
        <w:trPr/>
        <w:tc>
          <w:tcPr>
            <w:tcW w:w="728" w:type="dxa"/>
            <w:vAlign w:val="center"/>
            <w:textDirection w:val="lrTb"/>
            <w:noWrap w:val="false"/>
          </w:tcPr>
          <w:p>
            <w:pPr>
              <w:pStyle w:val="1035"/>
              <w:ind w:firstLine="0"/>
              <w:jc w:val="both"/>
              <w:spacing w:line="0" w:lineRule="atLeast"/>
              <w:rPr>
                <w:rFonts w:ascii="宋体" w:hAnsi="宋体"/>
                <w:b/>
                <w:highlight w:val="none"/>
              </w:rPr>
            </w:pPr>
            <w:r>
              <w:rPr>
                <w:rFonts w:hint="eastAsia" w:ascii="宋体" w:hAnsi="宋体"/>
                <w:b/>
                <w:highlight w:val="none"/>
              </w:rPr>
              <w:t xml:space="preserve">1</w:t>
            </w:r>
            <w:r/>
          </w:p>
        </w:tc>
        <w:tc>
          <w:tcPr>
            <w:tcW w:w="1525" w:type="dxa"/>
            <w:vAlign w:val="center"/>
            <w:textDirection w:val="lrTb"/>
            <w:noWrap w:val="false"/>
          </w:tcPr>
          <w:p>
            <w:pPr>
              <w:pStyle w:val="1035"/>
              <w:ind w:firstLine="0"/>
              <w:jc w:val="both"/>
              <w:spacing w:line="0" w:lineRule="atLeast"/>
              <w:rPr>
                <w:rFonts w:hint="eastAsia" w:ascii="宋体" w:hAnsi="宋体" w:eastAsia="宋体" w:cs="宋体"/>
                <w:b/>
                <w:highlight w:val="none"/>
              </w:rPr>
            </w:pPr>
            <w:r>
              <w:rPr>
                <w:rFonts w:hint="eastAsia" w:ascii="宋体" w:hAnsi="宋体" w:eastAsia="宋体" w:cs="宋体"/>
                <w:bCs/>
                <w:color w:val="000000"/>
                <w:sz w:val="24"/>
                <w:szCs w:val="24"/>
              </w:rPr>
              <w:t xml:space="preserve">设备技术参数要求</w:t>
            </w:r>
            <w:r/>
          </w:p>
        </w:tc>
        <w:tc>
          <w:tcPr>
            <w:tcW w:w="3951"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①招标文件第三部分采购需求</w:t>
            </w:r>
            <w:r>
              <w:rPr>
                <w:rFonts w:hint="eastAsia" w:ascii="宋体" w:hAnsi="宋体" w:eastAsia="宋体" w:cs="宋体"/>
                <w:color w:val="000000"/>
                <w:sz w:val="22"/>
                <w:szCs w:val="22"/>
              </w:rPr>
              <w:t xml:space="preserve">“采购标的需满足的质量、安全、技术规格、物理特性等要求”</w:t>
            </w:r>
            <w:r>
              <w:rPr>
                <w:rFonts w:hint="eastAsia" w:ascii="宋体" w:hAnsi="宋体" w:eastAsia="宋体" w:cs="宋体"/>
                <w:color w:val="000000"/>
                <w:sz w:val="22"/>
                <w:szCs w:val="22"/>
                <w:lang w:val="en-US" w:eastAsia="zh-CN"/>
              </w:rPr>
              <w:t xml:space="preserve">中</w:t>
            </w:r>
            <w:r>
              <w:rPr>
                <w:rFonts w:hint="eastAsia" w:ascii="宋体" w:hAnsi="宋体" w:eastAsia="宋体" w:cs="宋体"/>
                <w:color w:val="000000"/>
                <w:sz w:val="22"/>
                <w:szCs w:val="22"/>
              </w:rPr>
              <w:t xml:space="preserve">标★为核心</w:t>
            </w:r>
            <w:r>
              <w:rPr>
                <w:rFonts w:hint="eastAsia" w:ascii="宋体" w:hAnsi="宋体" w:eastAsia="宋体" w:cs="宋体"/>
                <w:color w:val="000000"/>
                <w:sz w:val="22"/>
                <w:szCs w:val="22"/>
                <w:lang w:val="en-US" w:eastAsia="zh-CN"/>
              </w:rPr>
              <w:t xml:space="preserve">指标项</w:t>
            </w:r>
            <w:r>
              <w:rPr>
                <w:rFonts w:hint="eastAsia" w:ascii="宋体" w:hAnsi="宋体" w:eastAsia="宋体" w:cs="宋体"/>
                <w:color w:val="000000"/>
                <w:sz w:val="22"/>
                <w:szCs w:val="22"/>
              </w:rPr>
              <w:t xml:space="preserve">，不允许负偏离；</w:t>
            </w:r>
            <w:r/>
          </w:p>
          <w:p>
            <w:pPr>
              <w:rPr>
                <w:rFonts w:hint="eastAsia" w:ascii="宋体" w:hAnsi="宋体" w:eastAsia="宋体" w:cs="宋体"/>
                <w:color w:val="000000"/>
                <w:sz w:val="22"/>
                <w:szCs w:val="22"/>
              </w:rPr>
            </w:pPr>
            <w:r>
              <w:rPr>
                <w:rFonts w:hint="eastAsia" w:ascii="宋体" w:hAnsi="宋体" w:eastAsia="宋体" w:cs="宋体"/>
                <w:b/>
                <w:bCs/>
                <w:color w:val="000000"/>
                <w:sz w:val="24"/>
                <w:szCs w:val="24"/>
                <w:lang w:val="en-US" w:eastAsia="zh-CN"/>
              </w:rPr>
              <w:t xml:space="preserve">②</w:t>
            </w:r>
            <w:r>
              <w:rPr>
                <w:rFonts w:hint="eastAsia" w:ascii="宋体" w:hAnsi="宋体" w:eastAsia="宋体" w:cs="宋体"/>
                <w:color w:val="000000"/>
                <w:sz w:val="22"/>
                <w:szCs w:val="22"/>
              </w:rPr>
              <w:t xml:space="preserve">“采购标的需满足的质量、安全、技术规格、物理特性等要求”</w:t>
            </w:r>
            <w:r>
              <w:rPr>
                <w:rFonts w:hint="eastAsia" w:ascii="宋体" w:hAnsi="宋体" w:eastAsia="宋体" w:cs="宋体"/>
                <w:color w:val="000000"/>
                <w:sz w:val="22"/>
                <w:szCs w:val="22"/>
                <w:lang w:val="en-US" w:eastAsia="zh-CN"/>
              </w:rPr>
              <w:t xml:space="preserve">第2条“外网国产化超融合虚拟化软件及万兆交换机技术参数要求”</w:t>
            </w:r>
            <w:r>
              <w:rPr>
                <w:rFonts w:hint="eastAsia" w:ascii="宋体" w:hAnsi="宋体" w:eastAsia="宋体" w:cs="宋体"/>
                <w:color w:val="000000"/>
                <w:sz w:val="22"/>
                <w:szCs w:val="22"/>
              </w:rPr>
              <w:t xml:space="preserve">中的设备的产品技术参数</w:t>
            </w:r>
            <w:r>
              <w:rPr>
                <w:rFonts w:hint="eastAsia" w:ascii="宋体" w:hAnsi="宋体" w:eastAsia="宋体" w:cs="宋体"/>
                <w:color w:val="000000"/>
                <w:sz w:val="22"/>
                <w:szCs w:val="22"/>
                <w:lang w:eastAsia="zh-CN"/>
              </w:rPr>
              <w:t xml:space="preserve">，</w:t>
            </w:r>
            <w:r>
              <w:rPr>
                <w:rFonts w:hint="eastAsia" w:ascii="宋体" w:hAnsi="宋体" w:eastAsia="宋体" w:cs="宋体"/>
                <w:b/>
                <w:bCs/>
                <w:color w:val="000000"/>
                <w:sz w:val="24"/>
                <w:szCs w:val="24"/>
                <w:lang w:val="en-US" w:eastAsia="zh-CN"/>
              </w:rPr>
              <w:t xml:space="preserve">评委根据</w:t>
            </w:r>
            <w:r>
              <w:rPr>
                <w:rFonts w:hint="eastAsia" w:ascii="宋体" w:hAnsi="宋体" w:eastAsia="宋体" w:cs="宋体"/>
                <w:color w:val="000000"/>
                <w:sz w:val="22"/>
                <w:szCs w:val="22"/>
              </w:rPr>
              <w:t xml:space="preserve">供应商应标时提供确认的技术参数响应情况进行打分，完全响应或者高出采购需求的技术要求，得满分</w:t>
            </w:r>
            <w:r>
              <w:rPr>
                <w:rFonts w:hint="eastAsia" w:ascii="宋体" w:hAnsi="宋体" w:eastAsia="宋体" w:cs="宋体"/>
                <w:color w:val="000000"/>
                <w:sz w:val="22"/>
                <w:szCs w:val="22"/>
                <w:lang w:val="en-US" w:eastAsia="zh-CN"/>
              </w:rPr>
              <w:t xml:space="preserve">33</w:t>
            </w:r>
            <w:r>
              <w:rPr>
                <w:rFonts w:hint="eastAsia" w:ascii="宋体" w:hAnsi="宋体" w:eastAsia="宋体" w:cs="宋体"/>
                <w:color w:val="000000"/>
                <w:sz w:val="22"/>
                <w:szCs w:val="22"/>
              </w:rPr>
              <w:t xml:space="preserve">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加▲项参数为重要指标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共计15个</w:t>
            </w:r>
            <w:r>
              <w:rPr>
                <w:rFonts w:hint="eastAsia" w:ascii="宋体" w:hAnsi="宋体" w:eastAsia="宋体" w:cs="宋体"/>
                <w:color w:val="000000"/>
                <w:sz w:val="22"/>
                <w:szCs w:val="22"/>
              </w:rPr>
              <w:t xml:space="preserve">，每满足</w:t>
            </w:r>
            <w:r>
              <w:rPr>
                <w:rFonts w:hint="eastAsia" w:ascii="宋体" w:hAnsi="宋体" w:eastAsia="宋体" w:cs="宋体"/>
                <w:color w:val="000000"/>
                <w:sz w:val="22"/>
                <w:szCs w:val="22"/>
                <w:lang w:val="en-US" w:eastAsia="zh-CN"/>
              </w:rPr>
              <w:t xml:space="preserve">一项加1.4</w:t>
            </w:r>
            <w:r>
              <w:rPr>
                <w:rFonts w:hint="eastAsia" w:ascii="宋体" w:hAnsi="宋体" w:eastAsia="宋体" w:cs="宋体"/>
                <w:color w:val="000000"/>
                <w:sz w:val="22"/>
                <w:szCs w:val="22"/>
              </w:rPr>
              <w:t xml:space="preserve">分；其他</w:t>
            </w:r>
            <w:r>
              <w:rPr>
                <w:rFonts w:hint="eastAsia" w:ascii="宋体" w:hAnsi="宋体" w:eastAsia="宋体" w:cs="宋体"/>
                <w:color w:val="000000"/>
                <w:sz w:val="22"/>
                <w:szCs w:val="22"/>
                <w:lang w:val="en-US" w:eastAsia="zh-CN"/>
              </w:rPr>
              <w:t xml:space="preserve">指标项共计15个，每满足一项加0.8</w:t>
            </w:r>
            <w:r>
              <w:rPr>
                <w:rFonts w:hint="eastAsia" w:ascii="宋体" w:hAnsi="宋体" w:eastAsia="宋体" w:cs="宋体"/>
                <w:color w:val="000000"/>
                <w:sz w:val="22"/>
                <w:szCs w:val="22"/>
              </w:rPr>
              <w:t xml:space="preserve">分。</w:t>
            </w:r>
            <w:r/>
          </w:p>
          <w:p>
            <w:pPr>
              <w:spacing w:line="360" w:lineRule="exact"/>
              <w:rPr>
                <w:rFonts w:hint="eastAsia" w:ascii="宋体" w:hAnsi="宋体" w:eastAsia="宋体" w:cs="宋体"/>
                <w:bCs/>
                <w:sz w:val="24"/>
                <w:szCs w:val="24"/>
                <w:highlight w:val="none"/>
              </w:rPr>
            </w:pPr>
            <w:r>
              <w:rPr>
                <w:rFonts w:hint="eastAsia" w:ascii="宋体" w:hAnsi="宋体" w:eastAsia="宋体" w:cs="宋体"/>
                <w:color w:val="000000"/>
                <w:sz w:val="22"/>
                <w:szCs w:val="22"/>
              </w:rPr>
              <w:t xml:space="preserve">备注：投标人需在“技术部分正负偏离表”中如实逐项填列所投产品的技术参数，如招标文件要求提供相应证明材料投标人未提供或提供的证明材料与产品技术参数中描述不符的视为负偏离，提供证明材料的并应在偏离表中注明证明材料所在投标文件的页码位置，如因投标人未标注页码位置导致评委遗漏作负偏离处理的，责任由供应商自负</w:t>
            </w:r>
            <w:r>
              <w:rPr>
                <w:rFonts w:hint="eastAsia" w:ascii="宋体" w:hAnsi="宋体" w:eastAsia="宋体" w:cs="宋体"/>
                <w:color w:val="000000"/>
                <w:sz w:val="22"/>
                <w:szCs w:val="22"/>
                <w:lang w:eastAsia="zh-CN"/>
              </w:rPr>
              <w:t xml:space="preserve">。</w:t>
            </w:r>
            <w:r/>
          </w:p>
        </w:tc>
        <w:tc>
          <w:tcPr>
            <w:tcW w:w="992" w:type="dxa"/>
            <w:vAlign w:val="center"/>
            <w:textDirection w:val="lrTb"/>
            <w:noWrap w:val="false"/>
          </w:tcPr>
          <w:p>
            <w:pPr>
              <w:pStyle w:val="1035"/>
              <w:ind w:firstLine="0"/>
              <w:jc w:val="center"/>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33</w:t>
            </w:r>
            <w:r/>
          </w:p>
        </w:tc>
        <w:tc>
          <w:tcPr>
            <w:tcW w:w="992" w:type="dxa"/>
            <w:vAlign w:val="center"/>
            <w:textDirection w:val="lrTb"/>
            <w:noWrap w:val="false"/>
          </w:tcPr>
          <w:p>
            <w:pPr>
              <w:pStyle w:val="1035"/>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p>
        </w:tc>
        <w:tc>
          <w:tcPr>
            <w:tcW w:w="1418" w:type="dxa"/>
            <w:vAlign w:val="center"/>
            <w:textDirection w:val="lrTb"/>
            <w:noWrap w:val="false"/>
          </w:tcPr>
          <w:p>
            <w:pPr>
              <w:pStyle w:val="1035"/>
              <w:ind w:firstLine="0"/>
              <w:jc w:val="center"/>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客观分</w:t>
            </w:r>
            <w:r/>
          </w:p>
        </w:tc>
      </w:tr>
    </w:tbl>
    <w:p>
      <w:pPr>
        <w:pStyle w:val="1035"/>
        <w:numPr>
          <w:ilvl w:val="0"/>
          <w:numId w:val="16"/>
        </w:numPr>
        <w:ind w:firstLine="482"/>
        <w:keepLines w:val="0"/>
        <w:keepNext w:val="0"/>
        <w:pageBreakBefore w:val="0"/>
        <w:spacing w:before="240" w:line="0" w:lineRule="atLeast"/>
        <w:widowControl w:val="off"/>
        <w:rPr>
          <w:rFonts w:hint="eastAsia" w:ascii="宋体" w:hAnsi="宋体"/>
          <w:highlight w:val="none"/>
        </w:rPr>
      </w:pPr>
      <w:r>
        <w:rPr>
          <w:rFonts w:hint="eastAsia" w:ascii="宋体" w:hAnsi="宋体"/>
          <w:b/>
          <w:highlight w:val="none"/>
        </w:rPr>
        <w:t xml:space="preserve">商务分：</w:t>
      </w:r>
      <w:r>
        <w:rPr>
          <w:rFonts w:hint="eastAsia" w:ascii="宋体" w:hAnsi="宋体"/>
          <w:b/>
          <w:highlight w:val="none"/>
          <w:lang w:val="en-US" w:eastAsia="zh-CN"/>
        </w:rPr>
        <w:t xml:space="preserve">37</w:t>
      </w:r>
      <w:r>
        <w:rPr>
          <w:rFonts w:hint="eastAsia" w:ascii="宋体" w:hAnsi="宋体"/>
          <w:b/>
          <w:highlight w:val="none"/>
        </w:rPr>
        <w:t xml:space="preserve">分</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序号</w:t>
            </w:r>
            <w:r/>
          </w:p>
        </w:tc>
        <w:tc>
          <w:tcPr>
            <w:tcW w:w="1505"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评分点名称</w:t>
            </w:r>
            <w:r/>
          </w:p>
        </w:tc>
        <w:tc>
          <w:tcPr>
            <w:tcW w:w="3969"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评审标准</w:t>
            </w:r>
            <w:r/>
          </w:p>
        </w:tc>
        <w:tc>
          <w:tcPr>
            <w:tcW w:w="992"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最高分</w:t>
            </w:r>
            <w:r/>
          </w:p>
        </w:tc>
        <w:tc>
          <w:tcPr>
            <w:tcW w:w="992"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最低分</w:t>
            </w:r>
            <w:r/>
          </w:p>
        </w:tc>
        <w:tc>
          <w:tcPr>
            <w:tcW w:w="1418" w:type="dxa"/>
            <w:vAlign w:val="center"/>
            <w:textDirection w:val="lrTb"/>
            <w:noWrap w:val="false"/>
          </w:tcPr>
          <w:p>
            <w:pPr>
              <w:pStyle w:val="1035"/>
              <w:ind w:firstLine="0"/>
              <w:jc w:val="center"/>
              <w:spacing w:line="0" w:lineRule="atLeast"/>
              <w:rPr>
                <w:rFonts w:ascii="宋体" w:hAnsi="宋体"/>
                <w:b/>
                <w:highlight w:val="none"/>
              </w:rPr>
            </w:pPr>
            <w:r>
              <w:rPr>
                <w:rFonts w:hint="eastAsia" w:ascii="宋体" w:hAnsi="宋体"/>
                <w:b/>
                <w:highlight w:val="none"/>
              </w:rPr>
              <w:t xml:space="preserve">主/客观分</w:t>
            </w:r>
            <w:r/>
          </w:p>
        </w:tc>
      </w:tr>
      <w:tr>
        <w:trPr>
          <w:trHeight w:val="513"/>
        </w:trPr>
        <w:tc>
          <w:tcPr>
            <w:tcW w:w="730" w:type="dxa"/>
            <w:vAlign w:val="center"/>
            <w:textDirection w:val="lrTb"/>
            <w:noWrap w:val="false"/>
          </w:tcPr>
          <w:p>
            <w:pPr>
              <w:pStyle w:val="1035"/>
              <w:ind w:firstLine="0"/>
              <w:jc w:val="both"/>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p>
        </w:tc>
        <w:tc>
          <w:tcPr>
            <w:tcW w:w="1505" w:type="dxa"/>
            <w:vAlign w:val="center"/>
            <w:textDirection w:val="lrTb"/>
            <w:noWrap w:val="false"/>
          </w:tcPr>
          <w:p>
            <w:pPr>
              <w:pStyle w:val="1035"/>
              <w:ind w:firstLine="0"/>
              <w:jc w:val="both"/>
              <w:spacing w:line="240" w:lineRule="auto"/>
              <w:rPr>
                <w:rFonts w:hint="eastAsia" w:ascii="宋体" w:hAnsi="宋体" w:eastAsia="宋体" w:cs="宋体"/>
                <w:b/>
                <w:sz w:val="24"/>
                <w:szCs w:val="24"/>
                <w:highlight w:val="none"/>
              </w:rPr>
            </w:pPr>
            <w:r>
              <w:rPr>
                <w:rFonts w:hint="eastAsia" w:ascii="宋体" w:hAnsi="宋体" w:eastAsia="宋体" w:cs="宋体"/>
                <w:color w:val="000000"/>
                <w:sz w:val="24"/>
                <w:szCs w:val="24"/>
              </w:rPr>
              <w:t xml:space="preserve">产品技术能力</w:t>
            </w:r>
            <w:r/>
          </w:p>
        </w:tc>
        <w:tc>
          <w:tcPr>
            <w:tcW w:w="3969" w:type="dxa"/>
            <w:vAlign w:val="center"/>
            <w:textDirection w:val="lrTb"/>
            <w:noWrap w:val="false"/>
          </w:tcPr>
          <w:p>
            <w:pP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1.投标供应商所投国产化超融合软件厂商具备中国网络安全审查技术与认证中心（CCRC）颁发的信息安全服务资质认证证书。安全开发一级服务资质的可得 </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一级以下服务资质的得0.5分</w:t>
            </w:r>
            <w:r>
              <w:rPr>
                <w:rFonts w:hint="eastAsia" w:ascii="宋体" w:hAnsi="宋体" w:eastAsia="宋体" w:cs="宋体"/>
                <w:color w:val="000000"/>
                <w:sz w:val="22"/>
                <w:szCs w:val="22"/>
              </w:rPr>
              <w:t xml:space="preserve">。 </w:t>
            </w:r>
            <w:r/>
          </w:p>
          <w:p>
            <w:pP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提供证书扫描件盖公章</w:t>
            </w:r>
            <w:r/>
          </w:p>
          <w:p>
            <w:pP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2.投标供应商所投国产化超融合软件厂商具备中国信息安全测评中心颁发的信息安全服务资质证书（云计算安全类）的可得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 </w:t>
            </w:r>
            <w:r/>
          </w:p>
          <w:p>
            <w:pPr>
              <w:spacing w:line="360" w:lineRule="exact"/>
              <w:rPr>
                <w:rFonts w:hint="eastAsia" w:ascii="宋体" w:hAnsi="宋体" w:eastAsia="宋体" w:cs="宋体"/>
                <w:bCs/>
                <w:sz w:val="24"/>
                <w:szCs w:val="24"/>
                <w:highlight w:val="none"/>
              </w:rPr>
            </w:pPr>
            <w:r>
              <w:rPr>
                <w:rFonts w:hint="eastAsia" w:ascii="宋体" w:hAnsi="宋体" w:eastAsia="宋体" w:cs="宋体"/>
                <w:color w:val="000000"/>
                <w:sz w:val="22"/>
                <w:szCs w:val="22"/>
              </w:rPr>
              <w:t xml:space="preserve">提供证书扫描件</w:t>
            </w:r>
            <w:r>
              <w:rPr>
                <w:rFonts w:hint="eastAsia" w:ascii="宋体" w:hAnsi="宋体" w:eastAsia="宋体" w:cs="宋体"/>
                <w:color w:val="000000"/>
                <w:sz w:val="22"/>
                <w:szCs w:val="22"/>
                <w:lang w:val="en-US" w:eastAsia="zh-CN"/>
              </w:rPr>
              <w:t xml:space="preserve">并加</w:t>
            </w:r>
            <w:r>
              <w:rPr>
                <w:rFonts w:hint="eastAsia" w:ascii="宋体" w:hAnsi="宋体" w:eastAsia="宋体" w:cs="宋体"/>
                <w:color w:val="000000"/>
                <w:sz w:val="22"/>
                <w:szCs w:val="22"/>
              </w:rPr>
              <w:t xml:space="preserve">盖公章</w:t>
            </w:r>
            <w:r/>
          </w:p>
        </w:tc>
        <w:tc>
          <w:tcPr>
            <w:tcW w:w="992" w:type="dxa"/>
            <w:vAlign w:val="center"/>
            <w:textDirection w:val="lrTb"/>
            <w:noWrap w:val="false"/>
          </w:tcPr>
          <w:p>
            <w:pPr>
              <w:pStyle w:val="1035"/>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4</w:t>
            </w:r>
            <w:r/>
          </w:p>
        </w:tc>
        <w:tc>
          <w:tcPr>
            <w:tcW w:w="992" w:type="dxa"/>
            <w:vAlign w:val="center"/>
            <w:textDirection w:val="lrTb"/>
            <w:noWrap w:val="false"/>
          </w:tcPr>
          <w:p>
            <w:pPr>
              <w:pStyle w:val="1035"/>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p>
        </w:tc>
        <w:tc>
          <w:tcPr>
            <w:tcW w:w="1418" w:type="dxa"/>
            <w:vAlign w:val="center"/>
            <w:textDirection w:val="lrTb"/>
            <w:noWrap w:val="false"/>
          </w:tcPr>
          <w:p>
            <w:pPr>
              <w:pStyle w:val="1035"/>
              <w:ind w:firstLine="0"/>
              <w:jc w:val="both"/>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客观分</w:t>
            </w:r>
            <w:r/>
          </w:p>
        </w:tc>
      </w:tr>
      <w:tr>
        <w:trPr>
          <w:trHeight w:val="443"/>
        </w:trPr>
        <w:tc>
          <w:tcPr>
            <w:tcW w:w="730" w:type="dxa"/>
            <w:vAlign w:val="center"/>
            <w:textDirection w:val="lrTb"/>
            <w:noWrap w:val="false"/>
          </w:tcPr>
          <w:p>
            <w:pPr>
              <w:pStyle w:val="1035"/>
              <w:ind w:firstLine="0"/>
              <w:jc w:val="both"/>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w:t>
            </w:r>
            <w:r/>
          </w:p>
        </w:tc>
        <w:tc>
          <w:tcPr>
            <w:tcW w:w="1505" w:type="dxa"/>
            <w:vAlign w:val="center"/>
            <w:textDirection w:val="lrTb"/>
            <w:noWrap w:val="false"/>
          </w:tcPr>
          <w:p>
            <w:pPr>
              <w:pStyle w:val="1035"/>
              <w:ind w:firstLine="0"/>
              <w:jc w:val="both"/>
              <w:spacing w:line="240" w:lineRule="auto"/>
              <w:rPr>
                <w:rFonts w:hint="eastAsia" w:ascii="宋体" w:hAnsi="宋体" w:eastAsia="宋体" w:cs="宋体"/>
                <w:b/>
                <w:sz w:val="24"/>
                <w:szCs w:val="24"/>
                <w:highlight w:val="none"/>
              </w:rPr>
            </w:pPr>
            <w:r>
              <w:rPr>
                <w:rFonts w:hint="eastAsia" w:ascii="宋体" w:hAnsi="宋体" w:eastAsia="宋体" w:cs="宋体"/>
                <w:color w:val="000000"/>
                <w:sz w:val="24"/>
                <w:szCs w:val="24"/>
              </w:rPr>
              <w:t xml:space="preserve">企业资质</w:t>
            </w:r>
            <w:r/>
          </w:p>
        </w:tc>
        <w:tc>
          <w:tcPr>
            <w:tcW w:w="3969" w:type="dxa"/>
            <w:vAlign w:val="center"/>
            <w:textDirection w:val="lrTb"/>
            <w:noWrap w:val="false"/>
          </w:tcPr>
          <w:p>
            <w:pPr>
              <w:spacing w:line="360" w:lineRule="exact"/>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1、投标</w:t>
            </w:r>
            <w:r>
              <w:rPr>
                <w:rFonts w:hint="eastAsia" w:ascii="宋体" w:hAnsi="宋体" w:eastAsia="宋体" w:cs="宋体"/>
                <w:color w:val="000000"/>
                <w:sz w:val="22"/>
                <w:szCs w:val="22"/>
              </w:rPr>
              <w:t xml:space="preserve">响应供应商具有效期内的信息技术服务标准（ITSS）资质三级及以上，</w:t>
            </w:r>
            <w:r>
              <w:rPr>
                <w:rFonts w:hint="eastAsia" w:ascii="宋体" w:hAnsi="宋体" w:eastAsia="宋体" w:cs="宋体"/>
                <w:color w:val="000000"/>
                <w:sz w:val="22"/>
                <w:szCs w:val="22"/>
                <w:lang w:val="en-US" w:eastAsia="zh-CN"/>
              </w:rPr>
              <w:t xml:space="preserve">投标</w:t>
            </w:r>
            <w:r>
              <w:rPr>
                <w:rFonts w:hint="eastAsia" w:ascii="宋体" w:hAnsi="宋体" w:eastAsia="宋体" w:cs="宋体"/>
                <w:color w:val="000000"/>
                <w:sz w:val="22"/>
                <w:szCs w:val="22"/>
              </w:rPr>
              <w:t xml:space="preserve">响应时提供https://www.itss.cn/web/itss/c/xxcx/cert（官方查询网站）有效截图证明材料，得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投标</w:t>
            </w:r>
            <w:r>
              <w:rPr>
                <w:rFonts w:hint="eastAsia" w:ascii="宋体" w:hAnsi="宋体" w:eastAsia="宋体" w:cs="宋体"/>
                <w:color w:val="000000"/>
                <w:sz w:val="22"/>
                <w:szCs w:val="22"/>
              </w:rPr>
              <w:t xml:space="preserve">响应供应商具有中国国家认证认可监督管理委员会认可的针对计算机信息化系统集成售后服务的《售后服务认证证书》七星及以上的得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分；五星及以下的得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3、投标</w:t>
            </w:r>
            <w:r>
              <w:rPr>
                <w:rFonts w:hint="eastAsia" w:ascii="宋体" w:hAnsi="宋体" w:eastAsia="宋体" w:cs="宋体"/>
                <w:color w:val="000000"/>
                <w:sz w:val="22"/>
                <w:szCs w:val="22"/>
              </w:rPr>
              <w:t xml:space="preserve">响应供应商具有有效期内的ISO27701《隐私信息管理体系认证证书》的可得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val="en-US" w:eastAsia="zh-CN"/>
              </w:rPr>
              <w:t xml:space="preserve">投标</w:t>
            </w:r>
            <w:r>
              <w:rPr>
                <w:rFonts w:hint="eastAsia" w:ascii="宋体" w:hAnsi="宋体" w:eastAsia="宋体" w:cs="宋体"/>
                <w:color w:val="000000"/>
                <w:sz w:val="22"/>
                <w:szCs w:val="22"/>
              </w:rPr>
              <w:t xml:space="preserve">响应供应商具有有效期内的应急预案管理能力评价体系认证证书的得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lang w:val="en-US" w:eastAsia="zh-CN"/>
              </w:rPr>
              <w:t xml:space="preserve">投标</w:t>
            </w:r>
            <w:r>
              <w:rPr>
                <w:rFonts w:hint="eastAsia" w:ascii="宋体" w:hAnsi="宋体" w:eastAsia="宋体" w:cs="宋体"/>
                <w:color w:val="000000"/>
                <w:sz w:val="22"/>
                <w:szCs w:val="22"/>
              </w:rPr>
              <w:t xml:space="preserve">响应供应商具</w:t>
            </w:r>
            <w:r>
              <w:rPr>
                <w:rFonts w:hint="eastAsia" w:ascii="宋体" w:hAnsi="宋体" w:eastAsia="宋体" w:cs="宋体"/>
                <w:color w:val="000000"/>
                <w:sz w:val="22"/>
                <w:szCs w:val="22"/>
                <w:lang w:val="en-US" w:eastAsia="zh-CN"/>
              </w:rPr>
              <w:t xml:space="preserve">有</w:t>
            </w:r>
            <w:r>
              <w:rPr>
                <w:rFonts w:hint="eastAsia" w:ascii="宋体" w:hAnsi="宋体" w:eastAsia="宋体" w:cs="宋体"/>
                <w:color w:val="000000"/>
                <w:sz w:val="22"/>
                <w:szCs w:val="22"/>
              </w:rPr>
              <w:t xml:space="preserve">有效期内的</w:t>
            </w:r>
            <w:r>
              <w:rPr>
                <w:rFonts w:hint="eastAsia" w:ascii="宋体" w:hAnsi="宋体" w:eastAsia="宋体" w:cs="宋体"/>
                <w:color w:val="000000"/>
                <w:sz w:val="22"/>
                <w:szCs w:val="22"/>
                <w:lang w:val="en-US" w:eastAsia="zh-CN"/>
              </w:rPr>
              <w:t xml:space="preserve">CCRC信息安全服务资质三级或以上认证证书的（安全</w:t>
            </w:r>
            <w:r>
              <w:rPr>
                <w:rFonts w:hint="eastAsia" w:ascii="宋体" w:hAnsi="宋体" w:eastAsia="宋体" w:cs="宋体"/>
                <w:color w:val="000000"/>
                <w:sz w:val="22"/>
                <w:szCs w:val="22"/>
              </w:rPr>
              <w:t xml:space="preserve">运维</w:t>
            </w:r>
            <w:r>
              <w:rPr>
                <w:rFonts w:hint="eastAsia" w:ascii="宋体" w:hAnsi="宋体" w:eastAsia="宋体" w:cs="宋体"/>
                <w:color w:val="000000"/>
                <w:sz w:val="22"/>
                <w:szCs w:val="22"/>
                <w:lang w:val="en-US" w:eastAsia="zh-CN"/>
              </w:rPr>
              <w:t xml:space="preserve">、安全</w:t>
            </w:r>
            <w:r>
              <w:rPr>
                <w:rFonts w:hint="eastAsia" w:ascii="宋体" w:hAnsi="宋体" w:eastAsia="宋体" w:cs="宋体"/>
                <w:color w:val="000000"/>
                <w:sz w:val="22"/>
                <w:szCs w:val="22"/>
              </w:rPr>
              <w:t xml:space="preserve">风险评估</w:t>
            </w:r>
            <w:r>
              <w:rPr>
                <w:rFonts w:hint="eastAsia" w:ascii="宋体" w:hAnsi="宋体" w:eastAsia="宋体" w:cs="宋体"/>
                <w:color w:val="000000"/>
                <w:sz w:val="22"/>
                <w:szCs w:val="22"/>
                <w:lang w:val="en-US" w:eastAsia="zh-CN"/>
              </w:rPr>
              <w:t xml:space="preserve">），每提供一个可得1分,最多可得2分。</w:t>
            </w:r>
            <w:r/>
          </w:p>
          <w:p>
            <w:pPr>
              <w:spacing w:line="360" w:lineRule="exact"/>
              <w:rPr>
                <w:rFonts w:hint="eastAsia" w:ascii="宋体" w:hAnsi="宋体" w:eastAsia="宋体" w:cs="宋体"/>
                <w:bCs/>
                <w:sz w:val="24"/>
                <w:szCs w:val="24"/>
                <w:highlight w:val="none"/>
              </w:rPr>
            </w:pP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投标供应商具有有效期内的信息系统建设和服务能力CS2级及以上证书的，得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以上资质均需提供证书原件扫描件，并加盖</w:t>
            </w:r>
            <w:r>
              <w:rPr>
                <w:rFonts w:hint="eastAsia" w:ascii="宋体" w:hAnsi="宋体" w:eastAsia="宋体" w:cs="宋体"/>
                <w:color w:val="000000"/>
                <w:sz w:val="22"/>
                <w:szCs w:val="22"/>
                <w:lang w:val="en-US" w:eastAsia="zh-CN"/>
              </w:rPr>
              <w:t xml:space="preserve">投标</w:t>
            </w:r>
            <w:r>
              <w:rPr>
                <w:rFonts w:hint="eastAsia" w:ascii="宋体" w:hAnsi="宋体" w:eastAsia="宋体" w:cs="宋体"/>
                <w:color w:val="000000"/>
                <w:sz w:val="22"/>
                <w:szCs w:val="22"/>
              </w:rPr>
              <w:t xml:space="preserve">响应供应商公章，没有提供不得分。</w:t>
            </w:r>
            <w:r/>
          </w:p>
        </w:tc>
        <w:tc>
          <w:tcPr>
            <w:tcW w:w="992" w:type="dxa"/>
            <w:vAlign w:val="center"/>
            <w:textDirection w:val="lrTb"/>
            <w:noWrap w:val="false"/>
          </w:tcPr>
          <w:p>
            <w:pPr>
              <w:pStyle w:val="1035"/>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8</w:t>
            </w:r>
            <w:r/>
          </w:p>
        </w:tc>
        <w:tc>
          <w:tcPr>
            <w:tcW w:w="992" w:type="dxa"/>
            <w:vAlign w:val="center"/>
            <w:textDirection w:val="lrTb"/>
            <w:noWrap w:val="false"/>
          </w:tcPr>
          <w:p>
            <w:pPr>
              <w:pStyle w:val="1035"/>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p>
        </w:tc>
        <w:tc>
          <w:tcPr>
            <w:tcW w:w="1418" w:type="dxa"/>
            <w:vAlign w:val="center"/>
            <w:textDirection w:val="lrTb"/>
            <w:noWrap w:val="false"/>
          </w:tcPr>
          <w:p>
            <w:pPr>
              <w:pStyle w:val="1035"/>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r>
            <w:r/>
          </w:p>
          <w:p>
            <w:pPr>
              <w:pStyle w:val="1035"/>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客观分</w:t>
            </w:r>
            <w:r/>
          </w:p>
          <w:p>
            <w:pPr>
              <w:pStyle w:val="1035"/>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r>
            <w:r/>
          </w:p>
        </w:tc>
      </w:tr>
      <w:tr>
        <w:trPr>
          <w:trHeight w:val="443"/>
        </w:trPr>
        <w:tc>
          <w:tcPr>
            <w:tcW w:w="730" w:type="dxa"/>
            <w:vAlign w:val="center"/>
            <w:textDirection w:val="lrTb"/>
            <w:noWrap w:val="false"/>
          </w:tcPr>
          <w:p>
            <w:pPr>
              <w:pStyle w:val="1035"/>
              <w:ind w:firstLine="0"/>
              <w:jc w:val="both"/>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w:t>
            </w:r>
            <w:r/>
          </w:p>
          <w:p>
            <w:pPr>
              <w:pStyle w:val="1035"/>
              <w:ind w:firstLine="0"/>
              <w:jc w:val="both"/>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1505" w:type="dxa"/>
            <w:vAlign w:val="center"/>
            <w:textDirection w:val="lrTb"/>
            <w:noWrap w:val="false"/>
          </w:tcPr>
          <w:p>
            <w:pPr>
              <w:pStyle w:val="1035"/>
              <w:ind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实施团队能力</w:t>
            </w:r>
            <w:r/>
          </w:p>
        </w:tc>
        <w:tc>
          <w:tcPr>
            <w:tcW w:w="3969" w:type="dxa"/>
            <w:vAlign w:val="center"/>
            <w:textDirection w:val="lrTb"/>
            <w:noWrap w:val="false"/>
          </w:tcPr>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投标供应商针对本次项目组成多人项目服务团队：</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1、团队项目经理（一名）</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拟派项目经理：具有注册信息安全工程师证书（CISP）证书、ITSS服务项目经理证、CISAW信息安全保障（应急服务）、信创集成项目管理师人员认证证书的，每提供一项的得1分，全部提供得3分。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2、项目组其它成员（除项目经理外）</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（1）团队成员具有注册信息安全工程师证书（CISP）每提供一个，可得0.5分，本项最多可得1分。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（2）团队成员具有高级信息系统项目管理师证书，每提供一个得1分，最多可得1分；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（3）团队成员具有 CISAW 信息安全保障(风险管理)人员认证证书，得0.5分；具有 CISAW 信息安全保障(安全运维)人员认证证书，得0.5分；本项最多可得1分。（本小条中提供的 CISAW 风险管理、安全运维工程师证书不可为相同人员持证，如提供相同人员认证证书只按一个证书计算）</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以上证书人员需提供投标供应商为其缴纳的近半年内任意1个月的社保证明材料及相关证书复印件加盖公章，提供不全或未提供不得分。</w:t>
            </w:r>
            <w:r/>
          </w:p>
        </w:tc>
        <w:tc>
          <w:tcPr>
            <w:tcW w:w="992" w:type="dxa"/>
            <w:vAlign w:val="center"/>
            <w:textDirection w:val="lrTb"/>
            <w:noWrap w:val="false"/>
          </w:tcPr>
          <w:p>
            <w:pPr>
              <w:pStyle w:val="1035"/>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6</w:t>
            </w:r>
            <w:r/>
          </w:p>
        </w:tc>
        <w:tc>
          <w:tcPr>
            <w:tcW w:w="992" w:type="dxa"/>
            <w:vAlign w:val="center"/>
            <w:textDirection w:val="lrTb"/>
            <w:noWrap w:val="false"/>
          </w:tcPr>
          <w:p>
            <w:pPr>
              <w:pStyle w:val="1035"/>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0</w:t>
            </w:r>
            <w:r/>
          </w:p>
        </w:tc>
        <w:tc>
          <w:tcPr>
            <w:tcW w:w="1418" w:type="dxa"/>
            <w:vAlign w:val="center"/>
            <w:textDirection w:val="lrTb"/>
            <w:noWrap w:val="false"/>
          </w:tcPr>
          <w:p>
            <w:pPr>
              <w:pStyle w:val="1035"/>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客观分</w:t>
            </w:r>
            <w:r/>
          </w:p>
        </w:tc>
      </w:tr>
      <w:tr>
        <w:trPr>
          <w:trHeight w:val="443"/>
        </w:trPr>
        <w:tc>
          <w:tcPr>
            <w:tcW w:w="730" w:type="dxa"/>
            <w:vAlign w:val="center"/>
            <w:textDirection w:val="lrTb"/>
            <w:noWrap w:val="false"/>
          </w:tcPr>
          <w:p>
            <w:pPr>
              <w:pStyle w:val="1035"/>
              <w:ind w:firstLine="0"/>
              <w:jc w:val="both"/>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w:t>
            </w:r>
            <w:r/>
          </w:p>
        </w:tc>
        <w:tc>
          <w:tcPr>
            <w:tcW w:w="1505" w:type="dxa"/>
            <w:vAlign w:val="center"/>
            <w:textDirection w:val="lrTb"/>
            <w:noWrap w:val="false"/>
          </w:tcPr>
          <w:p>
            <w:pPr>
              <w:pStyle w:val="1035"/>
              <w:ind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项目实施方案</w:t>
            </w:r>
            <w:r/>
          </w:p>
        </w:tc>
        <w:tc>
          <w:tcPr>
            <w:tcW w:w="3969" w:type="dxa"/>
            <w:vAlign w:val="center"/>
            <w:textDirection w:val="lrTb"/>
            <w:noWrap w:val="false"/>
          </w:tcPr>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各投标人应积极响应招标文件要求，在出具的项目实施方案需要结合采购方现有设备、物理环境以及新增设备进行有效规划设计。方案内容包含项目基本情况、项目实施计划、项目培训计划、信息安全保证措施等内容，评委根据投标人提供的项目实施方案内容中对：项目建设需求现状的理解程度；本项目实施过程；产品各功能描述的详细、到位程度。进行分析比较、评议、综合打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1、思路清晰、方案内容点齐全、语言表达流畅的得8分；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2、思路不够清晰，方案内容点有少量缺漏，语言表达流畅的得5分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3、方案内容点缺漏较多，语言表达较为混乱的得2分；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4、未提供的不得分。</w:t>
            </w:r>
            <w:r/>
          </w:p>
        </w:tc>
        <w:tc>
          <w:tcPr>
            <w:tcW w:w="992" w:type="dxa"/>
            <w:vAlign w:val="center"/>
            <w:textDirection w:val="lrTb"/>
            <w:noWrap w:val="false"/>
          </w:tcPr>
          <w:p>
            <w:pPr>
              <w:pStyle w:val="1035"/>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8</w:t>
            </w:r>
            <w:r/>
          </w:p>
        </w:tc>
        <w:tc>
          <w:tcPr>
            <w:tcW w:w="992" w:type="dxa"/>
            <w:vAlign w:val="center"/>
            <w:textDirection w:val="lrTb"/>
            <w:noWrap w:val="false"/>
          </w:tcPr>
          <w:p>
            <w:pPr>
              <w:pStyle w:val="1035"/>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0</w:t>
            </w:r>
            <w:r/>
          </w:p>
        </w:tc>
        <w:tc>
          <w:tcPr>
            <w:tcW w:w="1418" w:type="dxa"/>
            <w:vAlign w:val="center"/>
            <w:textDirection w:val="lrTb"/>
            <w:noWrap w:val="false"/>
          </w:tcPr>
          <w:p>
            <w:pPr>
              <w:pStyle w:val="1035"/>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主观分</w:t>
            </w:r>
            <w:r/>
          </w:p>
        </w:tc>
      </w:tr>
      <w:tr>
        <w:trPr>
          <w:trHeight w:val="443"/>
        </w:trPr>
        <w:tc>
          <w:tcPr>
            <w:tcW w:w="730" w:type="dxa"/>
            <w:vAlign w:val="center"/>
            <w:textDirection w:val="lrTb"/>
            <w:noWrap w:val="false"/>
          </w:tcPr>
          <w:p>
            <w:pPr>
              <w:pStyle w:val="1035"/>
              <w:ind w:firstLine="0"/>
              <w:jc w:val="both"/>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5</w:t>
            </w:r>
            <w:r/>
          </w:p>
        </w:tc>
        <w:tc>
          <w:tcPr>
            <w:tcW w:w="1505" w:type="dxa"/>
            <w:vAlign w:val="center"/>
            <w:textDirection w:val="lrTb"/>
            <w:noWrap w:val="false"/>
          </w:tcPr>
          <w:p>
            <w:pPr>
              <w:pStyle w:val="1035"/>
              <w:ind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售后服务方案</w:t>
            </w:r>
            <w:r/>
          </w:p>
        </w:tc>
        <w:tc>
          <w:tcPr>
            <w:tcW w:w="3969" w:type="dxa"/>
            <w:vAlign w:val="center"/>
            <w:textDirection w:val="lrTb"/>
            <w:noWrap w:val="false"/>
          </w:tcPr>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投标供应商应积极响应招标文件要求，提供本项目的售后服务方案，应包括具体的售后服务内容、故障响应时间、故障响应方式等，评委根据投标供应商提供的售后服务方案，综合比较后进行评分。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1、思路清晰、方案内容点齐全、语言表达流畅的得6分；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2、方案内容点有部分缺漏，语言表达流畅的得4分；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3、方案内容点与要求提供的不一致，语言表达混乱的得2分；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4、未提供的不得分；</w:t>
            </w:r>
            <w:r/>
          </w:p>
        </w:tc>
        <w:tc>
          <w:tcPr>
            <w:tcW w:w="992" w:type="dxa"/>
            <w:vAlign w:val="center"/>
            <w:textDirection w:val="lrTb"/>
            <w:noWrap w:val="false"/>
          </w:tcPr>
          <w:p>
            <w:pPr>
              <w:pStyle w:val="1035"/>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6</w:t>
            </w:r>
            <w:r/>
          </w:p>
        </w:tc>
        <w:tc>
          <w:tcPr>
            <w:tcW w:w="992" w:type="dxa"/>
            <w:vAlign w:val="center"/>
            <w:textDirection w:val="lrTb"/>
            <w:noWrap w:val="false"/>
          </w:tcPr>
          <w:p>
            <w:pPr>
              <w:pStyle w:val="1035"/>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0</w:t>
            </w:r>
            <w:r/>
          </w:p>
        </w:tc>
        <w:tc>
          <w:tcPr>
            <w:tcW w:w="1418" w:type="dxa"/>
            <w:vAlign w:val="center"/>
            <w:textDirection w:val="lrTb"/>
            <w:noWrap w:val="false"/>
          </w:tcPr>
          <w:p>
            <w:pPr>
              <w:pStyle w:val="1035"/>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主观分</w:t>
            </w:r>
            <w:r/>
          </w:p>
        </w:tc>
      </w:tr>
      <w:tr>
        <w:trPr>
          <w:trHeight w:val="443"/>
        </w:trPr>
        <w:tc>
          <w:tcPr>
            <w:tcW w:w="730" w:type="dxa"/>
            <w:vAlign w:val="center"/>
            <w:textDirection w:val="lrTb"/>
            <w:noWrap w:val="false"/>
          </w:tcPr>
          <w:p>
            <w:pPr>
              <w:pStyle w:val="1035"/>
              <w:ind w:firstLine="0"/>
              <w:jc w:val="both"/>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6</w:t>
            </w:r>
            <w:r/>
          </w:p>
        </w:tc>
        <w:tc>
          <w:tcPr>
            <w:tcW w:w="1505" w:type="dxa"/>
            <w:vAlign w:val="center"/>
            <w:textDirection w:val="lrTb"/>
            <w:noWrap w:val="false"/>
          </w:tcPr>
          <w:p>
            <w:pPr>
              <w:pStyle w:val="1035"/>
              <w:ind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项目案例</w:t>
            </w:r>
            <w:r/>
          </w:p>
        </w:tc>
        <w:tc>
          <w:tcPr>
            <w:tcW w:w="3969" w:type="dxa"/>
            <w:vAlign w:val="center"/>
            <w:textDirection w:val="lrTb"/>
            <w:noWrap w:val="false"/>
          </w:tcPr>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投标人需提供2023年1月1日以来（以合同签订日期为准），类似的产品的项目案例，提供合同复印件。每提供一份案例得1分，最多得3分。（提供供应商盖章的合同原件扫描件，以合同签订时间为准。）未提供不得分，同一业主业绩不得重复得分。</w:t>
            </w:r>
            <w:r/>
          </w:p>
        </w:tc>
        <w:tc>
          <w:tcPr>
            <w:tcW w:w="992" w:type="dxa"/>
            <w:vAlign w:val="center"/>
            <w:textDirection w:val="lrTb"/>
            <w:noWrap w:val="false"/>
          </w:tcPr>
          <w:p>
            <w:pPr>
              <w:pStyle w:val="1035"/>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3</w:t>
            </w:r>
            <w:r/>
          </w:p>
        </w:tc>
        <w:tc>
          <w:tcPr>
            <w:tcW w:w="992" w:type="dxa"/>
            <w:vAlign w:val="center"/>
            <w:textDirection w:val="lrTb"/>
            <w:noWrap w:val="false"/>
          </w:tcPr>
          <w:p>
            <w:pPr>
              <w:pStyle w:val="1035"/>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0</w:t>
            </w:r>
            <w:r/>
          </w:p>
        </w:tc>
        <w:tc>
          <w:tcPr>
            <w:tcW w:w="1418" w:type="dxa"/>
            <w:vAlign w:val="center"/>
            <w:textDirection w:val="lrTb"/>
            <w:noWrap w:val="false"/>
          </w:tcPr>
          <w:p>
            <w:pPr>
              <w:pStyle w:val="1035"/>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客观分</w:t>
            </w:r>
            <w:r/>
          </w:p>
        </w:tc>
      </w:tr>
      <w:tr>
        <w:trPr>
          <w:trHeight w:val="443"/>
        </w:trPr>
        <w:tc>
          <w:tcPr>
            <w:tcW w:w="730" w:type="dxa"/>
            <w:vAlign w:val="center"/>
            <w:textDirection w:val="lrTb"/>
            <w:noWrap w:val="false"/>
          </w:tcPr>
          <w:p>
            <w:pPr>
              <w:pStyle w:val="1035"/>
              <w:ind w:firstLine="0"/>
              <w:jc w:val="both"/>
              <w:spacing w:line="240" w:lineRule="auto"/>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7</w:t>
            </w:r>
            <w:r/>
          </w:p>
        </w:tc>
        <w:tc>
          <w:tcPr>
            <w:tcW w:w="1505" w:type="dxa"/>
            <w:vAlign w:val="center"/>
            <w:textDirection w:val="lrTb"/>
            <w:noWrap w:val="false"/>
          </w:tcPr>
          <w:p>
            <w:pPr>
              <w:pStyle w:val="1035"/>
              <w:ind w:firstLine="0"/>
              <w:jc w:val="both"/>
              <w:spacing w:line="240" w:lineRule="auto"/>
              <w:rPr>
                <w:rFonts w:hint="eastAsia" w:ascii="宋体" w:hAnsi="宋体" w:eastAsia="宋体" w:cs="宋体"/>
                <w:color w:val="000000"/>
                <w:sz w:val="24"/>
                <w:szCs w:val="24"/>
                <w:lang w:val="en-US" w:eastAsia="zh-CN"/>
              </w:rPr>
            </w:pPr>
            <w:r>
              <w:rPr>
                <w:rFonts w:hint="eastAsia" w:ascii="宋体" w:hAnsi="宋体"/>
                <w:color w:val="000000"/>
                <w:sz w:val="24"/>
                <w:szCs w:val="24"/>
                <w:highlight w:val="none"/>
              </w:rPr>
              <w:t xml:space="preserve">节能环保</w:t>
            </w:r>
            <w:r/>
          </w:p>
        </w:tc>
        <w:tc>
          <w:tcPr>
            <w:tcW w:w="3969" w:type="dxa"/>
            <w:vAlign w:val="center"/>
            <w:textDirection w:val="lrTb"/>
            <w:noWrap w:val="false"/>
          </w:tcPr>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spacing w:line="36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p>
        </w:tc>
        <w:tc>
          <w:tcPr>
            <w:tcW w:w="992" w:type="dxa"/>
            <w:vAlign w:val="center"/>
            <w:textDirection w:val="lrTb"/>
            <w:noWrap w:val="false"/>
          </w:tcPr>
          <w:p>
            <w:pPr>
              <w:pStyle w:val="1035"/>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2</w:t>
            </w:r>
            <w:r/>
          </w:p>
        </w:tc>
        <w:tc>
          <w:tcPr>
            <w:tcW w:w="992" w:type="dxa"/>
            <w:vAlign w:val="center"/>
            <w:textDirection w:val="lrTb"/>
            <w:noWrap w:val="false"/>
          </w:tcPr>
          <w:p>
            <w:pPr>
              <w:pStyle w:val="1035"/>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0</w:t>
            </w:r>
            <w:r/>
          </w:p>
        </w:tc>
        <w:tc>
          <w:tcPr>
            <w:tcW w:w="1418" w:type="dxa"/>
            <w:vAlign w:val="center"/>
            <w:textDirection w:val="lrTb"/>
            <w:noWrap w:val="false"/>
          </w:tcPr>
          <w:p>
            <w:pPr>
              <w:pStyle w:val="1035"/>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客观分</w:t>
            </w:r>
            <w:bookmarkEnd w:id="195"/>
            <w:bookmarkEnd w:id="196"/>
            <w:bookmarkEnd w:id="197"/>
            <w:bookmarkEnd w:id="198"/>
            <w:bookmarkEnd w:id="199"/>
            <w:r/>
          </w:p>
        </w:tc>
      </w:tr>
    </w:tbl>
    <w:p>
      <w:pPr>
        <w:jc w:val="center"/>
        <w:rPr>
          <w:rFonts w:hint="eastAsia" w:ascii="宋体" w:hAnsi="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Cs/>
          <w:sz w:val="44"/>
          <w:highlight w:val="none"/>
        </w:rPr>
      </w:r>
      <w:r/>
    </w:p>
    <w:p>
      <w:pPr>
        <w:jc w:val="center"/>
        <w:rPr>
          <w:rFonts w:hint="eastAsia" w:ascii="宋体" w:hAnsi="宋体"/>
          <w:bCs/>
          <w:sz w:val="44"/>
          <w:highlight w:val="none"/>
        </w:rPr>
      </w:pPr>
      <w:r>
        <w:rPr>
          <w:rFonts w:hint="eastAsia" w:ascii="宋体" w:hAnsi="宋体"/>
          <w:bCs/>
          <w:sz w:val="44"/>
          <w:highlight w:val="none"/>
        </w:rPr>
        <w:t xml:space="preserve">第六章  投标文件格式</w:t>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4"/>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t xml:space="preserve">投标文件目录</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left="480"/>
        <w:spacing w:line="400" w:lineRule="exact"/>
        <w:rPr>
          <w:rFonts w:ascii="宋体" w:hAnsi="宋体"/>
          <w:b/>
          <w:sz w:val="24"/>
          <w:highlight w:val="none"/>
        </w:rPr>
      </w:pPr>
      <w:r>
        <w:rPr>
          <w:rFonts w:hint="eastAsia" w:ascii="宋体" w:hAnsi="宋体"/>
          <w:b/>
          <w:sz w:val="24"/>
          <w:highlight w:val="none"/>
        </w:rPr>
        <w:t xml:space="preserve">一、基本目录</w:t>
      </w:r>
      <w:r/>
    </w:p>
    <w:p>
      <w:pPr>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p>
    <w:p>
      <w:pPr>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p>
    <w:p>
      <w:pPr>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p>
    <w:p>
      <w:pPr>
        <w:ind w:firstLine="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p>
    <w:p>
      <w:pPr>
        <w:ind w:left="480"/>
        <w:spacing w:line="400" w:lineRule="exact"/>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p>
    <w:p>
      <w:pPr>
        <w:ind w:left="480"/>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投标人符合《政府采购法》第二十二条规定条件的声明函（格式见附件5）</w:t>
      </w:r>
      <w:r/>
    </w:p>
    <w:p>
      <w:pPr>
        <w:ind w:left="480"/>
        <w:spacing w:line="4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p>
    <w:p>
      <w:pPr>
        <w:ind w:left="480"/>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法人授权书（格式见附件6）</w:t>
      </w:r>
      <w:r/>
    </w:p>
    <w:p>
      <w:pPr>
        <w:ind w:left="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投标函（格式见附件7）</w:t>
      </w:r>
      <w:r/>
    </w:p>
    <w:p>
      <w:pPr>
        <w:ind w:left="480"/>
        <w:spacing w:line="400" w:lineRule="exact"/>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中小微企业声明函（如果本项目</w:t>
      </w:r>
      <w:r>
        <w:rPr>
          <w:rFonts w:ascii="宋体" w:hAnsi="宋体"/>
          <w:sz w:val="24"/>
          <w:highlight w:val="none"/>
        </w:rPr>
        <w:t xml:space="preserve">专门面向中小微型企业采购，则必须提供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p>
    <w:p>
      <w:pPr>
        <w:ind w:left="480"/>
        <w:spacing w:line="400" w:lineRule="exact"/>
        <w:rPr>
          <w:rFonts w:hint="eastAsia" w:ascii="宋体" w:hAnsi="宋体"/>
          <w:sz w:val="24"/>
          <w:szCs w:val="21"/>
          <w:highlight w:val="yellow"/>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残疾人福利性单位声明函（如果本项目</w:t>
      </w:r>
      <w:r>
        <w:rPr>
          <w:rFonts w:ascii="宋体" w:hAnsi="宋体"/>
          <w:sz w:val="24"/>
          <w:highlight w:val="none"/>
        </w:rPr>
        <w:t xml:space="preserve">专门面向中小微型企业采购，</w:t>
      </w:r>
      <w:r>
        <w:rPr>
          <w:rFonts w:hint="eastAsia" w:ascii="宋体" w:hAnsi="宋体"/>
          <w:sz w:val="24"/>
          <w:highlight w:val="none"/>
        </w:rPr>
        <w:t xml:space="preserve">供应商为</w:t>
      </w:r>
      <w:r>
        <w:rPr>
          <w:rFonts w:ascii="宋体" w:hAnsi="宋体"/>
          <w:sz w:val="24"/>
          <w:highlight w:val="none"/>
        </w:rPr>
        <w:t xml:space="preserve">残疾人福利性单位并</w:t>
      </w:r>
      <w:r>
        <w:rPr>
          <w:rFonts w:hint="eastAsia" w:ascii="宋体" w:hAnsi="宋体"/>
          <w:sz w:val="24"/>
          <w:highlight w:val="none"/>
        </w:rPr>
        <w:t xml:space="preserve">提供本单位制造的货物，或者提供其他残疾人福利性单位制造的货物，</w:t>
      </w:r>
      <w:r>
        <w:rPr>
          <w:rFonts w:ascii="宋体" w:hAnsi="宋体"/>
          <w:sz w:val="24"/>
          <w:highlight w:val="none"/>
        </w:rPr>
        <w:t xml:space="preserve">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p>
    <w:p>
      <w:pPr>
        <w:ind w:firstLine="480"/>
        <w:spacing w:line="400" w:lineRule="exact"/>
        <w:rPr>
          <w:rFonts w:hint="eastAsia" w:ascii="宋体" w:hAnsi="宋体"/>
          <w:sz w:val="24"/>
          <w:szCs w:val="21"/>
          <w:highlight w:val="yellow"/>
        </w:rPr>
      </w:pPr>
      <w:r>
        <w:rPr>
          <w:rFonts w:hint="eastAsia" w:ascii="宋体" w:hAnsi="宋体"/>
          <w:sz w:val="24"/>
          <w:szCs w:val="21"/>
          <w:lang w:val="en-US" w:eastAsia="zh-CN"/>
        </w:rPr>
        <w:t xml:space="preserve">7</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w:t>
      </w:r>
      <w:r>
        <w:rPr>
          <w:rFonts w:hint="eastAsia" w:ascii="宋体" w:hAnsi="宋体"/>
          <w:sz w:val="24"/>
          <w:szCs w:val="21"/>
          <w:lang w:val="en-US" w:eastAsia="zh-CN"/>
        </w:rPr>
        <w:t xml:space="preserve">0</w:t>
      </w:r>
      <w:r>
        <w:rPr>
          <w:rFonts w:hint="eastAsia" w:ascii="宋体" w:hAnsi="宋体"/>
          <w:sz w:val="24"/>
          <w:szCs w:val="21"/>
        </w:rPr>
        <w:t xml:space="preserve">）</w:t>
      </w:r>
      <w:r/>
    </w:p>
    <w:p>
      <w:pPr>
        <w:ind w:left="480"/>
        <w:spacing w:line="400" w:lineRule="exact"/>
        <w:rPr>
          <w:rFonts w:ascii="宋体" w:hAnsi="宋体"/>
          <w:sz w:val="24"/>
          <w:highlight w:val="none"/>
        </w:rPr>
      </w:pPr>
      <w:r>
        <w:rPr>
          <w:rFonts w:hint="eastAsia" w:ascii="宋体" w:hAnsi="宋体"/>
          <w:sz w:val="24"/>
          <w:highlight w:val="none"/>
        </w:rPr>
        <w:t xml:space="preserve">总备注：上述“资格审查内容”中1、3、4条投标人必须在投标文件中提供相关材料，否则作无效投标处理；2、5、6</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条如招标文件要求必须提供相关材料而未提供的，作无效投标处理。</w:t>
      </w:r>
      <w:r/>
    </w:p>
    <w:p>
      <w:pPr>
        <w:ind w:left="480"/>
        <w:spacing w:line="400" w:lineRule="exact"/>
        <w:rPr>
          <w:rFonts w:hint="eastAsia"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p>
    <w:p>
      <w:pPr>
        <w:ind w:left="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采购需求中</w:t>
      </w:r>
      <w:r>
        <w:rPr>
          <w:rFonts w:ascii="宋体" w:hAnsi="宋体"/>
          <w:sz w:val="24"/>
          <w:highlight w:val="none"/>
        </w:rPr>
        <w:t xml:space="preserve">加斜体下划线的实质性要求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，否则做无效投标处理。(格式见附件1</w:t>
      </w:r>
      <w:r>
        <w:rPr>
          <w:rFonts w:hint="eastAsia" w:ascii="宋体" w:hAnsi="宋体"/>
          <w:sz w:val="24"/>
          <w:highlight w:val="none"/>
          <w:lang w:val="en-US" w:eastAsia="zh-CN"/>
        </w:rPr>
        <w:t xml:space="preserve">1</w:t>
      </w:r>
      <w:r>
        <w:rPr>
          <w:rFonts w:hint="eastAsia" w:ascii="宋体" w:hAnsi="宋体"/>
          <w:sz w:val="24"/>
          <w:highlight w:val="none"/>
        </w:rPr>
        <w:t xml:space="preserve">）</w:t>
      </w:r>
      <w:r/>
    </w:p>
    <w:p>
      <w:pPr>
        <w:ind w:firstLine="480"/>
        <w:rPr>
          <w:rFonts w:ascii="宋体" w:hAnsi="宋体"/>
          <w:b/>
          <w:sz w:val="24"/>
          <w:highlight w:val="none"/>
        </w:rPr>
      </w:pPr>
      <w:r>
        <w:rPr>
          <w:rFonts w:hint="eastAsia" w:ascii="宋体" w:hAnsi="宋体"/>
          <w:b/>
          <w:sz w:val="24"/>
          <w:highlight w:val="none"/>
        </w:rPr>
        <w:t xml:space="preserve">四、价格</w:t>
      </w:r>
      <w:r>
        <w:rPr>
          <w:rFonts w:ascii="宋体" w:hAnsi="宋体"/>
          <w:b/>
          <w:sz w:val="24"/>
          <w:highlight w:val="none"/>
        </w:rPr>
        <w:t xml:space="preserve">扣除证明文件</w:t>
      </w:r>
      <w:r/>
    </w:p>
    <w:p>
      <w:pPr>
        <w:ind w:firstLine="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小微企业声明函（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p>
    <w:p>
      <w:pPr>
        <w:ind w:firstLine="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p>
    <w:p>
      <w:pPr>
        <w:ind w:firstLine="48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 关于符合本国产品标准的声明函（格式见附件1</w:t>
      </w:r>
      <w:r>
        <w:rPr>
          <w:rFonts w:hint="eastAsia" w:ascii="方正魏碑_GBK" w:hAnsi="方正魏碑_GBK" w:eastAsia="方正魏碑_GBK" w:cs="方正魏碑_GBK"/>
          <w:color w:val="000000"/>
          <w:sz w:val="24"/>
          <w:szCs w:val="21"/>
          <w:highlight w:val="none"/>
          <w:lang w:val="en-US" w:eastAsia="zh-CN"/>
        </w:rPr>
        <w:t xml:space="preserve">2</w:t>
      </w:r>
      <w:r>
        <w:rPr>
          <w:rFonts w:hint="eastAsia" w:ascii="方正魏碑_GBK" w:hAnsi="方正魏碑_GBK" w:eastAsia="方正魏碑_GBK" w:cs="方正魏碑_GBK"/>
          <w:color w:val="000000"/>
          <w:sz w:val="24"/>
          <w:szCs w:val="21"/>
          <w:highlight w:val="none"/>
        </w:rPr>
        <w:t xml:space="preserve">）</w:t>
      </w:r>
      <w:r/>
    </w:p>
    <w:p>
      <w:pPr>
        <w:jc w:val="center"/>
        <w:rPr>
          <w:rFonts w:hint="eastAsia" w:ascii="宋体" w:hAnsi="宋体"/>
          <w:b/>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
          <w:sz w:val="24"/>
          <w:szCs w:val="24"/>
          <w:highlight w:val="none"/>
        </w:rPr>
      </w:r>
      <w:r/>
    </w:p>
    <w:p>
      <w:pPr>
        <w:jc w:val="center"/>
        <w:rPr>
          <w:rFonts w:hint="eastAsia" w:ascii="Times New Roman" w:hAnsi="Times New Roman" w:eastAsia="仿宋_GB2312"/>
          <w:color w:val="ff0000"/>
          <w:sz w:val="24"/>
          <w:szCs w:val="20"/>
          <w:highlight w:val="none"/>
        </w:rPr>
      </w:pPr>
      <w:r>
        <w:rPr>
          <w:rFonts w:hint="eastAsia" w:ascii="宋体" w:hAnsi="宋体"/>
          <w:b/>
          <w:sz w:val="24"/>
          <w:szCs w:val="24"/>
          <w:highlight w:val="none"/>
        </w:rPr>
        <w:t xml:space="preserve">附件1 </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开标一览表</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p>
    <w:p>
      <w:pPr>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p>
    <w:p>
      <w:pPr>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w:t>
      </w:r>
      <w:r>
        <w:rPr>
          <w:rFonts w:hint="eastAsia" w:ascii="宋体" w:hAnsi="宋体"/>
          <w:color w:val="000000"/>
          <w:sz w:val="24"/>
          <w:szCs w:val="24"/>
          <w:highlight w:val="none"/>
          <w:lang w:eastAsia="zh-CN"/>
        </w:rPr>
        <w:t xml:space="preserve">采购包号</w:t>
      </w:r>
      <w:r>
        <w:rPr>
          <w:rFonts w:hint="eastAsia" w:ascii="宋体" w:hAnsi="宋体"/>
          <w:color w:val="000000"/>
          <w:sz w:val="24"/>
          <w:szCs w:val="24"/>
          <w:highlight w:val="none"/>
        </w:rPr>
        <w:t xml:space="preserve">：</w:t>
      </w:r>
      <w:r/>
    </w:p>
    <w:tbl>
      <w:tblPr>
        <w:tblStyle w:val="7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jc w:val="center"/>
        <w:rPr>
          <w:rFonts w:hint="eastAsia" w:ascii="黑体" w:hAnsi="黑体" w:eastAsia="黑体"/>
          <w:b/>
          <w:color w:val="000000"/>
          <w:sz w:val="32"/>
          <w:szCs w:val="32"/>
          <w:highlight w:val="none"/>
        </w:rPr>
      </w:pPr>
      <w:r>
        <w:rPr>
          <w:rFonts w:hint="eastAsia" w:ascii="宋体" w:hAnsi="宋体"/>
          <w:b/>
          <w:color w:val="ff0000"/>
          <w:sz w:val="24"/>
          <w:szCs w:val="24"/>
          <w:highlight w:val="none"/>
        </w:rPr>
        <w:br w:type="page" w:clear="all"/>
      </w:r>
      <w:r>
        <w:rPr>
          <w:rFonts w:hint="eastAsia" w:ascii="宋体" w:hAnsi="宋体"/>
          <w:b/>
          <w:sz w:val="24"/>
          <w:szCs w:val="24"/>
          <w:highlight w:val="none"/>
        </w:rPr>
        <w:t xml:space="preserve">附件</w:t>
      </w:r>
      <w:r>
        <w:rPr>
          <w:rFonts w:hint="eastAsia" w:ascii="宋体" w:hAnsi="宋体"/>
          <w:b/>
          <w:sz w:val="24"/>
          <w:szCs w:val="24"/>
          <w:highlight w:val="none"/>
          <w:lang w:val="en-US" w:eastAsia="zh-CN"/>
        </w:rPr>
        <w:t xml:space="preserve">2 、</w:t>
      </w:r>
      <w:r>
        <w:rPr>
          <w:rFonts w:hint="eastAsia" w:ascii="宋体" w:hAnsi="宋体" w:eastAsia="宋体" w:cs="Times New Roman"/>
          <w:b/>
          <w:sz w:val="24"/>
          <w:szCs w:val="24"/>
          <w:highlight w:val="none"/>
        </w:rPr>
        <w:t xml:space="preserve">投标分项报价表</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6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41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78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p>
        </w:tc>
        <w:tc>
          <w:tcPr>
            <w:tcW w:w="72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p>
        </w:tc>
        <w:tc>
          <w:tcPr>
            <w:tcW w:w="137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p>
        </w:tc>
        <w:tc>
          <w:tcPr>
            <w:tcW w:w="124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03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p>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p>
        </w:tc>
        <w:tc>
          <w:tcPr>
            <w:tcW w:w="72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137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p>
        </w:tc>
        <w:tc>
          <w:tcPr>
            <w:tcW w:w="124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p>
        </w:tc>
        <w:tc>
          <w:tcPr>
            <w:tcW w:w="1036" w:type="dxa"/>
            <w:vAlign w:val="center"/>
            <w:textDirection w:val="lrTb"/>
            <w:noWrap w:val="false"/>
          </w:tcPr>
          <w:p>
            <w:pP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96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p>
        </w:tc>
        <w:tc>
          <w:tcPr>
            <w:tcW w:w="1246" w:type="dxa"/>
            <w:vAlign w:val="top"/>
            <w:textDirection w:val="lrTb"/>
            <w:noWrap w:val="false"/>
          </w:tcPr>
          <w:p>
            <w:pP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9"/>
            <w:tcW w:w="9081" w:type="dxa"/>
            <w:vAlign w:val="top"/>
            <w:textDirection w:val="lrTb"/>
            <w:noWrap w:val="false"/>
          </w:tcPr>
          <w:p>
            <w:pPr>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w:t>
            </w:r>
            <w:r/>
          </w:p>
        </w:tc>
      </w:tr>
    </w:tbl>
    <w:p>
      <w:pPr>
        <w:ind w:firstLine="480"/>
        <w:jc w:val="left"/>
        <w:spacing w:line="360" w:lineRule="auto"/>
        <w:rPr>
          <w:rFonts w:hint="eastAsia" w:ascii="宋体" w:hAnsi="宋体"/>
          <w:color w:val="000000"/>
          <w:sz w:val="24"/>
          <w:szCs w:val="21"/>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szCs w:val="21"/>
          <w:highlight w:val="none"/>
        </w:rPr>
        <w:t xml:space="preserve">采用</w:t>
      </w:r>
      <w:r>
        <w:rPr>
          <w:rFonts w:hint="eastAsia" w:ascii="宋体" w:hAnsi="宋体"/>
          <w:sz w:val="24"/>
          <w:szCs w:val="21"/>
        </w:rPr>
        <w:t xml:space="preserve">总承包</w:t>
      </w:r>
      <w:r>
        <w:rPr>
          <w:rFonts w:hint="eastAsia" w:ascii="宋体" w:hAnsi="宋体"/>
          <w:color w:val="000000"/>
          <w:sz w:val="24"/>
          <w:szCs w:val="21"/>
          <w:highlight w:val="none"/>
        </w:rPr>
        <w:t xml:space="preserve">方式，“投标总报价”</w:t>
      </w:r>
      <w:r>
        <w:rPr>
          <w:rFonts w:hint="eastAsia" w:ascii="宋体" w:hAnsi="宋体" w:eastAsia="宋体" w:cs="Times New Roman"/>
          <w:color w:val="000000"/>
          <w:sz w:val="24"/>
          <w:szCs w:val="21"/>
          <w:highlight w:val="none"/>
        </w:rPr>
        <w:t xml:space="preserve">应已包含但不限于本项目所有产品的产品成本、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p>
    <w:p>
      <w:pPr>
        <w:numPr>
          <w:ilvl w:val="0"/>
          <w:numId w:val="0"/>
        </w:numPr>
        <w:rPr>
          <w:rFonts w:hint="eastAsia" w:ascii="宋体" w:hAnsi="宋体"/>
          <w:color w:val="000000"/>
          <w:sz w:val="24"/>
          <w:szCs w:val="21"/>
          <w:highlight w:val="none"/>
        </w:rPr>
      </w:pPr>
      <w:r>
        <w:rPr>
          <w:rFonts w:hint="eastAsia"/>
          <w:color w:val="000000"/>
          <w:szCs w:val="21"/>
          <w:highlight w:val="none"/>
          <w:lang w:val="en-US" w:eastAsia="zh-CN"/>
        </w:rPr>
        <w:t xml:space="preserve">2.</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p>
    <w:p>
      <w:pPr>
        <w:numPr>
          <w:ilvl w:val="0"/>
          <w:numId w:val="0"/>
        </w:numPr>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center"/>
        <w:rPr>
          <w:rFonts w:hint="eastAsia" w:ascii="宋体" w:hAnsi="宋体"/>
          <w:b/>
          <w:sz w:val="24"/>
          <w:szCs w:val="24"/>
          <w:highlight w:val="none"/>
        </w:rPr>
      </w:pPr>
      <w:r>
        <w:rPr>
          <w:rFonts w:hint="eastAsia" w:ascii="宋体" w:hAnsi="宋体"/>
          <w:b/>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jc w:val="center"/>
        <w:rPr>
          <w:rFonts w:hint="eastAsia" w:ascii="宋体" w:hAnsi="宋体"/>
          <w:b/>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附件5、投标人符合《政府采购法》第二十二条规定条件的声明函</w:t>
      </w:r>
      <w:r/>
    </w:p>
    <w:p>
      <w:pPr>
        <w:ind w:firstLine="480"/>
        <w:spacing w:line="54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（项目编号）投标活动。针对《中华人民共和国政府采购法》第二十二条规定做出如下声明：</w:t>
      </w:r>
      <w:r/>
    </w:p>
    <w:p>
      <w:pPr>
        <w:ind w:firstLine="482"/>
        <w:spacing w:line="540" w:lineRule="exact"/>
        <w:rPr>
          <w:rFonts w:ascii="宋体" w:hAnsi="宋体"/>
          <w:color w:val="000000"/>
          <w:sz w:val="24"/>
          <w:szCs w:val="24"/>
          <w:highlight w:val="none"/>
        </w:rPr>
      </w:pPr>
      <w:r>
        <w:rPr>
          <w:rFonts w:hint="eastAsia" w:ascii="宋体" w:hAnsi="宋体"/>
          <w:bCs/>
          <w:color w:val="000000"/>
          <w:sz w:val="24"/>
          <w:szCs w:val="24"/>
          <w:highlight w:val="none"/>
        </w:rPr>
        <w:t xml:space="preserve">1.我单位具有独立承担民事责任的能力；</w:t>
      </w:r>
      <w:r/>
    </w:p>
    <w:p>
      <w:pPr>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p>
    <w:p>
      <w:pPr>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p>
    <w:p>
      <w:pPr>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p>
    <w:p>
      <w:pPr>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p>
    <w:p>
      <w:pPr>
        <w:ind w:firstLine="482"/>
        <w:spacing w:line="540" w:lineRule="exact"/>
        <w:rPr>
          <w:rFonts w:ascii="宋体" w:hAnsi="宋体"/>
          <w:color w:val="000000"/>
          <w:sz w:val="24"/>
          <w:szCs w:val="24"/>
          <w:highlight w:val="none"/>
        </w:rPr>
      </w:pPr>
      <w:r>
        <w:rPr>
          <w:rFonts w:ascii="宋体" w:hAnsi="宋体"/>
          <w:color w:val="000000"/>
          <w:sz w:val="24"/>
          <w:szCs w:val="24"/>
          <w:highlight w:val="none"/>
        </w:rPr>
      </w:r>
      <w:r/>
    </w:p>
    <w:p>
      <w:pPr>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jc w:val="center"/>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                            承诺人名称（公章）：</w:t>
      </w:r>
      <w:r/>
    </w:p>
    <w:p>
      <w:pPr>
        <w:jc w:val="right"/>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jc w:val="right"/>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日期：</w:t>
      </w:r>
      <w:r>
        <w:rPr>
          <w:rFonts w:hint="eastAsia" w:ascii="宋体" w:hAnsi="宋体"/>
          <w:bCs/>
          <w:color w:val="000000"/>
          <w:sz w:val="24"/>
          <w:szCs w:val="24"/>
          <w:highlight w:val="none"/>
          <w:u w:val="single"/>
        </w:rPr>
        <w:t xml:space="preserve">_____</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__ _</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_ __</w:t>
      </w:r>
      <w:r>
        <w:rPr>
          <w:rFonts w:hint="eastAsia" w:ascii="宋体" w:hAnsi="宋体"/>
          <w:bCs/>
          <w:color w:val="000000"/>
          <w:sz w:val="24"/>
          <w:szCs w:val="24"/>
          <w:highlight w:val="none"/>
        </w:rPr>
        <w:t xml:space="preserve">日</w:t>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附件6、法人授权书</w:t>
      </w:r>
      <w:r/>
    </w:p>
    <w:p>
      <w:pPr>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本授权书声明：____________（投标人名称）授权________________（被授权人的姓名）为我方就JSZC-</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被授权人身份证号码：</w:t>
      </w:r>
      <w:r>
        <w:rPr>
          <w:rFonts w:hint="eastAsia" w:ascii="宋体" w:hAnsi="宋体"/>
          <w:color w:val="000000"/>
          <w:sz w:val="24"/>
          <w:szCs w:val="24"/>
          <w:highlight w:val="none"/>
          <w:u w:val="single"/>
        </w:rPr>
        <w:t xml:space="preserve">                              </w:t>
      </w:r>
      <w:r/>
    </w:p>
    <w:p>
      <w:pPr>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被授权人联系电话：（手机）</w:t>
      </w:r>
      <w:r>
        <w:rPr>
          <w:rFonts w:hint="eastAsia" w:ascii="宋体" w:hAnsi="宋体"/>
          <w:color w:val="000000"/>
          <w:sz w:val="24"/>
          <w:szCs w:val="24"/>
          <w:highlight w:val="none"/>
          <w:u w:val="single"/>
        </w:rPr>
        <w:t xml:space="preserve">                          </w:t>
      </w:r>
      <w:r/>
    </w:p>
    <w:p>
      <w:pPr>
        <w:pStyle w:val="775"/>
        <w:ind w:firstLine="1200"/>
        <w:rPr>
          <w:rFonts w:hint="eastAsia"/>
          <w:highlight w:val="none"/>
        </w:rPr>
      </w:pPr>
      <w:r>
        <w:rPr>
          <w:rFonts w:hint="eastAsia" w:ascii="宋体" w:hAnsi="宋体" w:eastAsia="宋体"/>
          <w:color w:val="000000"/>
          <w:sz w:val="24"/>
          <w:szCs w:val="24"/>
          <w:highlight w:val="none"/>
        </w:rPr>
        <w:t xml:space="preserve">被授权人电子邮箱：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p>
    <w:p>
      <w:pPr>
        <w:ind w:firstLine="120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授权单位名称：</w:t>
      </w:r>
      <w:r>
        <w:rPr>
          <w:rFonts w:hint="eastAsia" w:ascii="宋体" w:hAnsi="宋体"/>
          <w:color w:val="000000"/>
          <w:sz w:val="24"/>
          <w:szCs w:val="24"/>
          <w:highlight w:val="none"/>
          <w:u w:val="single"/>
        </w:rPr>
        <w:t xml:space="preserve">（加盖CA电子公章）</w:t>
      </w:r>
      <w:r/>
    </w:p>
    <w:p>
      <w:pPr>
        <w:ind w:firstLine="480"/>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单位地址：</w:t>
      </w:r>
      <w:r>
        <w:rPr>
          <w:rFonts w:hint="eastAsia" w:ascii="宋体" w:hAnsi="宋体"/>
          <w:color w:val="000000"/>
          <w:sz w:val="24"/>
          <w:szCs w:val="24"/>
          <w:highlight w:val="none"/>
          <w:u w:val="single"/>
        </w:rPr>
        <w:t xml:space="preserve">                                         </w:t>
      </w:r>
      <w:r/>
    </w:p>
    <w:p>
      <w:pPr>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日期：</w:t>
      </w:r>
      <w:r>
        <w:rPr>
          <w:rFonts w:hint="eastAsia" w:ascii="宋体" w:hAnsi="宋体"/>
          <w:color w:val="000000"/>
          <w:sz w:val="24"/>
          <w:szCs w:val="24"/>
          <w:highlight w:val="none"/>
          <w:u w:val="single"/>
        </w:rPr>
        <w:t xml:space="preserve">                                         </w:t>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附件7、投标函</w:t>
      </w:r>
      <w:r/>
    </w:p>
    <w:p>
      <w:pPr>
        <w:jc w:val="left"/>
        <w:spacing w:line="420" w:lineRule="exact"/>
        <w:rPr>
          <w:rFonts w:ascii="宋体" w:hAnsi="宋体"/>
          <w:color w:val="000000"/>
          <w:sz w:val="24"/>
          <w:highlight w:val="none"/>
        </w:rPr>
      </w:pPr>
      <w:r>
        <w:rPr>
          <w:rFonts w:hint="eastAsia" w:ascii="宋体" w:hAnsi="宋体"/>
          <w:color w:val="000000"/>
          <w:sz w:val="24"/>
          <w:highlight w:val="none"/>
        </w:rPr>
        <w:t xml:space="preserve">致：南通市政府采购中心</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根据贵方的JSZC-</w:t>
      </w:r>
      <w:r>
        <w:rPr>
          <w:rFonts w:ascii="宋体" w:hAnsi="宋体"/>
          <w:color w:val="000000"/>
          <w:sz w:val="24"/>
          <w:highlight w:val="none"/>
          <w:u w:val="singl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据此函，__________签字人兹宣布同意如下：</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1.按招标文件规定的各项要求，向买方提供所需服务（包含与服务相关的货物）。</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.与本投标有关的正式通讯地址为：</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地          址：</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邮          编：</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电          话：</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传          真：</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投标人开户行：</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账          号： </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日           期：________年____月____日</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附件8、中小微企业声明函（</w:t>
      </w:r>
      <w:r>
        <w:rPr>
          <w:rFonts w:hint="eastAsia" w:ascii="宋体" w:hAnsi="宋体"/>
          <w:b/>
          <w:sz w:val="24"/>
          <w:szCs w:val="24"/>
          <w:highlight w:val="none"/>
          <w:lang w:val="en-US" w:eastAsia="zh-CN"/>
        </w:rPr>
        <w:t xml:space="preserve">货物</w:t>
      </w:r>
      <w:r>
        <w:rPr>
          <w:rFonts w:hint="eastAsia" w:ascii="宋体" w:hAnsi="宋体"/>
          <w:b/>
          <w:sz w:val="24"/>
          <w:szCs w:val="24"/>
          <w:highlight w:val="none"/>
        </w:rPr>
        <w:t xml:space="preserve">）</w:t>
      </w:r>
      <w:r/>
    </w:p>
    <w:p>
      <w:pPr>
        <w:ind w:firstLine="36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rPr>
        <w:t xml:space="preserve">南通市公共资源交易中心</w:t>
      </w:r>
      <w:r>
        <w:rPr>
          <w:rFonts w:hint="eastAsia" w:ascii="宋体" w:hAnsi="宋体"/>
          <w:color w:val="000000"/>
          <w:sz w:val="24"/>
          <w:szCs w:val="24"/>
          <w:highlight w:val="none"/>
        </w:rPr>
        <w:t xml:space="preserve">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ascii="宋体" w:hAnsi="宋体"/>
          <w:sz w:val="24"/>
          <w:szCs w:val="24"/>
          <w:highlight w:val="none"/>
        </w:rPr>
        <w:t xml:space="preserve">JSZC-</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u w:val="single"/>
          <w:lang w:eastAsia="zh-CN"/>
        </w:rPr>
        <w:t xml:space="preserve">采购包号</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的采购活动，提供的货物全部由符合政策要求的</w:t>
      </w:r>
      <w:r>
        <w:rPr>
          <w:rFonts w:hint="eastAsia" w:ascii="宋体" w:hAnsi="宋体"/>
          <w:sz w:val="24"/>
          <w:szCs w:val="24"/>
          <w:highlight w:val="none"/>
        </w:rPr>
        <w:t xml:space="preserve">中</w:t>
      </w:r>
      <w:r>
        <w:rPr>
          <w:rFonts w:hint="eastAsia" w:ascii="宋体" w:hAnsi="宋体"/>
          <w:color w:val="000000"/>
          <w:sz w:val="24"/>
          <w:szCs w:val="24"/>
          <w:highlight w:val="none"/>
        </w:rPr>
        <w:t xml:space="preserve">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小微企业）的具体情况如下：</w:t>
      </w:r>
      <w:r/>
    </w:p>
    <w:p>
      <w:pPr>
        <w:ind w:firstLine="360"/>
        <w:keepLines w:val="0"/>
        <w:keepNext w:val="0"/>
        <w:pageBreakBefore w:val="0"/>
        <w:spacing w:line="500" w:lineRule="exact"/>
        <w:widowControl w:val="off"/>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中型企业 □小型企业 □微型企业</w:t>
      </w:r>
      <w:r>
        <w:rPr>
          <w:rFonts w:hint="eastAsia" w:ascii="宋体" w:hAnsi="宋体"/>
          <w:sz w:val="24"/>
          <w:szCs w:val="24"/>
          <w:highlight w:val="none"/>
          <w:u w:val="single"/>
          <w:lang w:eastAsia="zh-CN"/>
        </w:rPr>
        <w:t xml:space="preserve">）</w:t>
      </w:r>
      <w:r>
        <w:rPr>
          <w:rFonts w:hint="eastAsia" w:ascii="宋体" w:hAnsi="宋体"/>
          <w:color w:val="000000"/>
          <w:sz w:val="24"/>
          <w:szCs w:val="24"/>
          <w:highlight w:val="none"/>
          <w:u w:val="single"/>
        </w:rPr>
        <w:t xml:space="preserve">；</w:t>
      </w:r>
      <w:r/>
    </w:p>
    <w:p>
      <w:pPr>
        <w:ind w:firstLine="360"/>
        <w:keepLines w:val="0"/>
        <w:keepNext w:val="0"/>
        <w:pageBreakBefore w:val="0"/>
        <w:spacing w:line="500" w:lineRule="exact"/>
        <w:widowControl w:val="off"/>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中型企业 □小型企业 □微型企业</w:t>
      </w:r>
      <w:r>
        <w:rPr>
          <w:rFonts w:hint="eastAsia" w:ascii="宋体" w:hAnsi="宋体"/>
          <w:color w:val="000000"/>
          <w:sz w:val="24"/>
          <w:szCs w:val="24"/>
          <w:highlight w:val="none"/>
          <w:u w:val="single"/>
        </w:rPr>
        <w:t xml:space="preserve">；</w:t>
      </w:r>
      <w:r/>
    </w:p>
    <w:p>
      <w:pPr>
        <w:ind w:firstLine="36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72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360"/>
        <w:jc w:val="righ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firstLine="540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p>
    <w:p>
      <w:pPr>
        <w:ind w:firstLine="48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p>
    <w:p>
      <w:p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备注2：专门面向中小微型企业采购的项目，供应商如不提供此声明函，则不能通过资格审查；非专门面向中小微型企业采购的项目，供应商如不提供此声明函，价格将不做相应扣除。</w:t>
      </w:r>
      <w:r/>
    </w:p>
    <w:p>
      <w:pPr>
        <w:ind w:firstLine="482"/>
        <w:jc w:val="center"/>
        <w:spacing w:line="460" w:lineRule="exact"/>
        <w:rPr>
          <w:rFonts w:hint="eastAsia" w:ascii="宋体" w:hAnsi="宋体"/>
          <w:b/>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sz w:val="24"/>
          <w:szCs w:val="24"/>
          <w:highlight w:val="none"/>
        </w:rPr>
      </w:r>
      <w:r/>
    </w:p>
    <w:p>
      <w:pPr>
        <w:ind w:firstLine="482"/>
        <w:jc w:val="center"/>
        <w:spacing w:line="460" w:lineRule="exact"/>
        <w:rPr>
          <w:rFonts w:hint="eastAsia" w:ascii="宋体" w:hAnsi="宋体"/>
          <w:b/>
          <w:color w:val="000000"/>
          <w:sz w:val="32"/>
          <w:szCs w:val="32"/>
          <w:highlight w:val="none"/>
        </w:rPr>
      </w:pPr>
      <w:r>
        <w:rPr>
          <w:rFonts w:hint="eastAsia" w:ascii="宋体" w:hAnsi="宋体"/>
          <w:b/>
          <w:sz w:val="24"/>
          <w:szCs w:val="24"/>
          <w:highlight w:val="none"/>
        </w:rPr>
        <w:t xml:space="preserve">附件9、残疾人福利性单位声明函</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w:t>
      </w:r>
      <w:r>
        <w:rPr>
          <w:rFonts w:hint="eastAsia" w:ascii="宋体" w:hAnsi="宋体"/>
          <w:color w:val="000000"/>
          <w:sz w:val="24"/>
          <w:highlight w:val="none"/>
          <w:lang w:eastAsia="zh-CN"/>
        </w:rPr>
        <w:t xml:space="preserve">采购包号</w:t>
      </w:r>
      <w:r>
        <w:rPr>
          <w:rFonts w:hint="eastAsia" w:ascii="宋体" w:hAnsi="宋体"/>
          <w:color w:val="000000"/>
          <w:sz w:val="24"/>
          <w:highlight w:val="none"/>
        </w:rPr>
        <w:t xml:space="preserve">：**）采购活动由本单位提供服务。</w:t>
      </w:r>
      <w:r/>
    </w:p>
    <w:p>
      <w:pPr>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ind w:firstLine="56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p>
    <w:p>
      <w:pPr>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p>
    <w:p>
      <w:pPr>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p>
    <w:p>
      <w:pPr>
        <w:ind w:firstLine="480"/>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rFonts w:hint="eastAsia" w:ascii="宋体" w:hAnsi="宋体"/>
          <w:color w:val="000000"/>
          <w:sz w:val="24"/>
          <w:szCs w:val="24"/>
          <w:highlight w:val="none"/>
        </w:rPr>
        <w:t xml:space="preserve">。</w:t>
      </w:r>
      <w:r/>
    </w:p>
    <w:p>
      <w:pPr>
        <w:ind w:firstLine="480"/>
        <w:spacing w:line="588" w:lineRule="exact"/>
        <w:rPr>
          <w:rFonts w:ascii="宋体" w:hAnsi="宋体"/>
          <w:color w:val="000000"/>
          <w:sz w:val="24"/>
          <w:highlight w:val="none"/>
        </w:rPr>
      </w:pPr>
      <w:r>
        <w:rPr>
          <w:rFonts w:ascii="宋体" w:hAnsi="宋体"/>
          <w:color w:val="000000"/>
          <w:sz w:val="24"/>
          <w:highlight w:val="none"/>
        </w:rPr>
      </w:r>
      <w:r/>
    </w:p>
    <w:p>
      <w:pPr>
        <w:ind w:firstLine="624"/>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ind w:right="1560" w:firstLine="624"/>
        <w:jc w:val="center"/>
        <w:spacing w:line="588" w:lineRule="exact"/>
        <w:tabs>
          <w:tab w:val="left" w:pos="4860" w:leader="none"/>
        </w:tabs>
        <w:rPr>
          <w:rFonts w:ascii="宋体" w:hAnsi="宋体"/>
          <w:color w:val="000000"/>
          <w:sz w:val="24"/>
          <w:highlight w:val="none"/>
        </w:rPr>
      </w:pPr>
      <w:r>
        <w:rPr>
          <w:rFonts w:hint="eastAsia" w:ascii="宋体" w:hAnsi="宋体"/>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color w:val="000000"/>
          <w:sz w:val="24"/>
          <w:highlight w:val="none"/>
        </w:rPr>
      </w:pPr>
      <w:r>
        <w:rPr>
          <w:rFonts w:hint="eastAsia" w:ascii="宋体" w:hAnsi="宋体"/>
          <w:color w:val="000000"/>
          <w:sz w:val="24"/>
          <w:highlight w:val="none"/>
        </w:rPr>
        <w:t xml:space="preserve">        日  期：</w:t>
      </w:r>
      <w:r/>
    </w:p>
    <w:p>
      <w:pPr>
        <w:pStyle w:val="1008"/>
        <w:ind w:firstLine="600"/>
        <w:rPr>
          <w:rFonts w:ascii="宋体" w:hAnsi="宋体" w:eastAsia="宋体"/>
          <w:highlight w:val="none"/>
          <w:lang w:val="en-US" w:eastAsia="zh-CN"/>
        </w:rPr>
      </w:pPr>
      <w:r>
        <w:rPr>
          <w:rFonts w:ascii="宋体" w:hAnsi="宋体" w:eastAsia="宋体"/>
          <w:highlight w:val="none"/>
          <w:lang w:val="en-US" w:eastAsia="zh-CN"/>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0</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color w:val="000000"/>
          <w:szCs w:val="21"/>
        </w:rPr>
      </w:pPr>
      <w:r>
        <w:rPr>
          <w:color w:val="000000"/>
          <w:szCs w:val="21"/>
        </w:rPr>
      </w:r>
      <w:r/>
    </w:p>
    <w:p>
      <w:pPr>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8"/>
        <w:ind w:firstLine="0"/>
        <w:rPr>
          <w:rFonts w:hint="eastAsia" w:ascii="宋体" w:hAnsi="宋体" w:eastAsia="宋体"/>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highlight w:val="none"/>
          <w:lang w:val="en-US" w:eastAsia="zh-CN"/>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t xml:space="preserve">附件1</w:t>
      </w: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、实质性要求响应及偏离表</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609" w:type="dxa"/>
            <w:vAlign w:val="center"/>
            <w:textDirection w:val="lrTb"/>
            <w:noWrap w:val="false"/>
          </w:tcPr>
          <w:p>
            <w:pPr>
              <w:ind w:firstLine="360"/>
              <w:spacing w:line="400" w:lineRule="exact"/>
              <w:rPr>
                <w:rFonts w:hint="eastAsia" w:ascii="宋体" w:hAnsi="宋体"/>
                <w:bCs/>
                <w:i/>
                <w:color w:val="000000"/>
                <w:sz w:val="24"/>
                <w:szCs w:val="21"/>
                <w:highlight w:val="none"/>
                <w:u w:val="single"/>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p>
            <w:pPr>
              <w:jc w:val="center"/>
              <w:spacing w:line="400" w:lineRule="exact"/>
              <w:rPr>
                <w:rFonts w:hint="eastAsia" w:ascii="宋体" w:hAnsi="宋体"/>
                <w:b/>
                <w:bCs/>
                <w:sz w:val="24"/>
                <w:szCs w:val="24"/>
                <w:highlight w:val="none"/>
              </w:rPr>
            </w:pPr>
            <w:r>
              <w:rPr>
                <w:rFonts w:hint="eastAsia" w:ascii="宋体" w:hAnsi="宋体"/>
                <w:b/>
                <w:bCs/>
                <w:sz w:val="24"/>
                <w:szCs w:val="24"/>
                <w:highlight w:val="none"/>
              </w:rPr>
            </w:r>
            <w:r/>
          </w:p>
        </w:tc>
        <w:tc>
          <w:tcPr>
            <w:tcW w:w="3317"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w:t>
      </w:r>
      <w:r>
        <w:rPr>
          <w:rFonts w:hint="eastAsia" w:ascii="宋体" w:hAnsi="宋体"/>
          <w:sz w:val="24"/>
          <w:szCs w:val="24"/>
          <w:highlight w:val="none"/>
        </w:rPr>
        <w:t xml:space="preserve">0</w:t>
      </w:r>
      <w:r>
        <w:rPr>
          <w:rFonts w:ascii="宋体" w:hAnsi="宋体"/>
          <w:sz w:val="24"/>
          <w:szCs w:val="24"/>
          <w:highlight w:val="none"/>
        </w:rPr>
        <w:t xml:space="preserve">-1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3.投标人未对实质性要求逐条作出明确响应的，或未按招标文件要求提供证明材料的，该分包作无效投标处理。</w:t>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08"/>
        <w:ind w:firstLine="0"/>
        <w:rPr>
          <w:rFonts w:hint="eastAsia" w:ascii="宋体" w:hAnsi="宋体" w:eastAsia="宋体"/>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highlight w:val="none"/>
          <w:lang w:val="en-US" w:eastAsia="zh-CN"/>
        </w:rPr>
      </w:r>
      <w:r/>
    </w:p>
    <w:p>
      <w:pPr>
        <w:jc w:val="center"/>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b/>
          <w:color w:val="000000"/>
          <w:sz w:val="24"/>
          <w:szCs w:val="24"/>
        </w:rPr>
        <w:t xml:space="preserve">附件1</w:t>
      </w:r>
      <w:r>
        <w:rPr>
          <w:rFonts w:hint="eastAsia" w:ascii="方正魏碑_GBK" w:hAnsi="方正魏碑_GBK" w:eastAsia="方正魏碑_GBK" w:cs="方正魏碑_GBK"/>
          <w:b/>
          <w:color w:val="000000"/>
          <w:sz w:val="24"/>
          <w:szCs w:val="24"/>
          <w:lang w:val="en-US" w:eastAsia="zh-CN"/>
        </w:rPr>
        <w:t xml:space="preserve">2</w:t>
      </w:r>
      <w:r>
        <w:rPr>
          <w:rFonts w:hint="eastAsia" w:ascii="方正魏碑_GBK" w:hAnsi="方正魏碑_GBK" w:eastAsia="方正魏碑_GBK" w:cs="方正魏碑_GBK"/>
          <w:b/>
          <w:color w:val="000000"/>
          <w:sz w:val="24"/>
          <w:szCs w:val="24"/>
        </w:rPr>
        <w:t xml:space="preserve">  关于符合本国产品标准的声明函（采购包号：**）</w:t>
      </w:r>
      <w:r/>
    </w:p>
    <w:p>
      <w:pPr>
        <w:pStyle w:val="1004"/>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1004"/>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2166620</wp:posOffset>
                </wp:positionH>
                <wp:positionV relativeFrom="paragraph">
                  <wp:posOffset>434975</wp:posOffset>
                </wp:positionV>
                <wp:extent cx="816610" cy="14732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1002030</wp:posOffset>
                </wp:positionH>
                <wp:positionV relativeFrom="paragraph">
                  <wp:posOffset>464820</wp:posOffset>
                </wp:positionV>
                <wp:extent cx="876300" cy="12001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4613910</wp:posOffset>
                </wp:positionH>
                <wp:positionV relativeFrom="paragraph">
                  <wp:posOffset>281305</wp:posOffset>
                </wp:positionV>
                <wp:extent cx="473075" cy="11303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3282315</wp:posOffset>
                </wp:positionH>
                <wp:positionV relativeFrom="paragraph">
                  <wp:posOffset>247015</wp:posOffset>
                </wp:positionV>
                <wp:extent cx="816610" cy="10350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2124710</wp:posOffset>
                </wp:positionH>
                <wp:positionV relativeFrom="paragraph">
                  <wp:posOffset>292100</wp:posOffset>
                </wp:positionV>
                <wp:extent cx="816610" cy="7620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1016"/>
          <w:rFonts w:hint="eastAsia" w:ascii="方正魏碑_GBK" w:hAnsi="方正魏碑_GBK" w:eastAsia="方正魏碑_GBK" w:cs="方正魏碑_GBK"/>
          <w:i w:val="0"/>
          <w:color w:val="000000"/>
          <w:u w:val="single"/>
          <w:shd w:val="clear" w:color="auto" w:fill="ffffff"/>
        </w:rPr>
        <w:t xml:space="preserve">（产品名称1）</w:t>
      </w:r>
      <w:r>
        <w:rPr>
          <w:rStyle w:val="1016"/>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016"/>
          <w:rFonts w:hint="eastAsia" w:ascii="方正魏碑_GBK" w:hAnsi="方正魏碑_GBK" w:eastAsia="方正魏碑_GBK" w:cs="方正魏碑_GBK"/>
          <w:i w:val="0"/>
          <w:color w:val="000000"/>
          <w:u w:val="single"/>
          <w:shd w:val="clear" w:color="auto" w:fill="ffffff"/>
        </w:rPr>
        <w:t xml:space="preserve">（厂名）</w:t>
      </w:r>
      <w:r>
        <w:rPr>
          <w:rStyle w:val="1016"/>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016"/>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6"/>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1016"/>
          <w:rFonts w:hint="eastAsia" w:ascii="方正魏碑_GBK" w:hAnsi="方正魏碑_GBK" w:eastAsia="方正魏碑_GBK" w:cs="方正魏碑_GBK"/>
          <w:i w:val="0"/>
          <w:color w:val="000000"/>
          <w:u w:val="single"/>
          <w:shd w:val="clear" w:color="auto" w:fill="ffffff"/>
        </w:rPr>
        <w:t xml:space="preserve">（规定</w:t>
      </w:r>
      <w:r>
        <w:rPr>
          <w:rStyle w:val="1016"/>
          <w:rFonts w:ascii="方正魏碑_GBK" w:hAnsi="方正魏碑_GBK" w:eastAsia="方正魏碑_GBK" w:cs="方正魏碑_GBK"/>
          <w:i w:val="0"/>
          <w:color w:val="000000"/>
          <w:u w:val="single"/>
          <w:shd w:val="clear" w:color="auto" w:fill="ffffff"/>
        </w:rPr>
        <w:t xml:space="preserve">比例</w:t>
      </w:r>
      <w:r>
        <w:rPr>
          <w:rStyle w:val="1016"/>
          <w:rFonts w:hint="eastAsia" w:ascii="方正魏碑_GBK" w:hAnsi="方正魏碑_GBK" w:eastAsia="方正魏碑_GBK" w:cs="方正魏碑_GBK"/>
          <w:i w:val="0"/>
          <w:color w:val="000000"/>
          <w:u w:val="single"/>
          <w:shd w:val="clear" w:color="auto" w:fill="ffffff"/>
        </w:rPr>
        <w:t xml:space="preserve">）</w:t>
      </w:r>
      <w:r>
        <w:rPr>
          <w:rStyle w:val="1016"/>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1016"/>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16"/>
          <w:rFonts w:hint="eastAsia" w:ascii="方正魏碑_GBK" w:hAnsi="方正魏碑_GBK" w:eastAsia="方正魏碑_GBK" w:cs="方正魏碑_GBK"/>
          <w:i w:val="0"/>
          <w:color w:val="000000"/>
          <w:u w:val="single"/>
          <w:shd w:val="clear" w:color="auto" w:fill="ffffff"/>
        </w:rPr>
        <w:t xml:space="preserve">（关键</w:t>
      </w:r>
      <w:r>
        <w:rPr>
          <w:rStyle w:val="1016"/>
          <w:rFonts w:ascii="方正魏碑_GBK" w:hAnsi="方正魏碑_GBK" w:eastAsia="方正魏碑_GBK" w:cs="方正魏碑_GBK"/>
          <w:i w:val="0"/>
          <w:color w:val="000000"/>
          <w:u w:val="single"/>
          <w:shd w:val="clear" w:color="auto" w:fill="ffffff"/>
        </w:rPr>
        <w:t xml:space="preserve">组件</w:t>
      </w:r>
      <w:r>
        <w:rPr>
          <w:rStyle w:val="1016"/>
          <w:rFonts w:hint="eastAsia" w:ascii="方正魏碑_GBK" w:hAnsi="方正魏碑_GBK" w:eastAsia="方正魏碑_GBK" w:cs="方正魏碑_GBK"/>
          <w:i w:val="0"/>
          <w:color w:val="000000"/>
          <w:u w:val="single"/>
          <w:shd w:val="clear" w:color="auto" w:fill="ffffff"/>
        </w:rPr>
        <w:t xml:space="preserve">）</w:t>
      </w:r>
      <w:r>
        <w:rPr>
          <w:rStyle w:val="1016"/>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1016"/>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16"/>
          <w:rFonts w:hint="eastAsia" w:ascii="方正魏碑_GBK" w:hAnsi="方正魏碑_GBK" w:eastAsia="方正魏碑_GBK" w:cs="方正魏碑_GBK"/>
          <w:i w:val="0"/>
          <w:color w:val="000000"/>
          <w:u w:val="single"/>
          <w:shd w:val="clear" w:color="auto" w:fill="ffffff"/>
        </w:rPr>
        <w:t xml:space="preserve">（关键工序）</w:t>
      </w:r>
      <w:r>
        <w:rPr>
          <w:rStyle w:val="1016"/>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p>
    <w:p>
      <w:pPr>
        <w:pStyle w:val="100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1971040</wp:posOffset>
                </wp:positionH>
                <wp:positionV relativeFrom="paragraph">
                  <wp:posOffset>483235</wp:posOffset>
                </wp:positionV>
                <wp:extent cx="821690" cy="1028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772160</wp:posOffset>
                </wp:positionH>
                <wp:positionV relativeFrom="paragraph">
                  <wp:posOffset>464185</wp:posOffset>
                </wp:positionV>
                <wp:extent cx="908685" cy="14097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4523740</wp:posOffset>
                </wp:positionH>
                <wp:positionV relativeFrom="paragraph">
                  <wp:posOffset>262255</wp:posOffset>
                </wp:positionV>
                <wp:extent cx="462280" cy="14732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3234690</wp:posOffset>
                </wp:positionH>
                <wp:positionV relativeFrom="paragraph">
                  <wp:posOffset>229870</wp:posOffset>
                </wp:positionV>
                <wp:extent cx="849630" cy="12001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2145030</wp:posOffset>
                </wp:positionH>
                <wp:positionV relativeFrom="paragraph">
                  <wp:posOffset>233680</wp:posOffset>
                </wp:positionV>
                <wp:extent cx="843915" cy="12573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4638040</wp:posOffset>
                </wp:positionH>
                <wp:positionV relativeFrom="paragraph">
                  <wp:posOffset>78740</wp:posOffset>
                </wp:positionV>
                <wp:extent cx="718185" cy="9779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1016"/>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016"/>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016"/>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1016"/>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1016"/>
          <w:rFonts w:hint="eastAsia" w:ascii="方正魏碑_GBK" w:hAnsi="方正魏碑_GBK" w:eastAsia="方正魏碑_GBK" w:cs="方正魏碑_GBK"/>
          <w:i w:val="0"/>
          <w:color w:val="000000"/>
          <w:u w:val="single"/>
          <w:shd w:val="clear" w:color="auto" w:fill="ffffff"/>
        </w:rPr>
        <w:t xml:space="preserve">（规定</w:t>
      </w:r>
      <w:r>
        <w:rPr>
          <w:rStyle w:val="1016"/>
          <w:rFonts w:ascii="方正魏碑_GBK" w:hAnsi="方正魏碑_GBK" w:eastAsia="方正魏碑_GBK" w:cs="方正魏碑_GBK"/>
          <w:i w:val="0"/>
          <w:color w:val="000000"/>
          <w:u w:val="single"/>
          <w:shd w:val="clear" w:color="auto" w:fill="ffffff"/>
        </w:rPr>
        <w:t xml:space="preserve">比例</w:t>
      </w:r>
      <w:r>
        <w:rPr>
          <w:rStyle w:val="1016"/>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1016"/>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016"/>
          <w:rFonts w:hint="eastAsia" w:ascii="方正魏碑_GBK" w:hAnsi="方正魏碑_GBK" w:eastAsia="方正魏碑_GBK" w:cs="方正魏碑_GBK"/>
          <w:i w:val="0"/>
          <w:color w:val="000000"/>
          <w:u w:val="single"/>
          <w:shd w:val="clear" w:color="auto" w:fill="ffffff"/>
        </w:rPr>
        <w:t xml:space="preserve">（关键</w:t>
      </w:r>
      <w:r>
        <w:rPr>
          <w:rStyle w:val="1016"/>
          <w:rFonts w:ascii="方正魏碑_GBK" w:hAnsi="方正魏碑_GBK" w:eastAsia="方正魏碑_GBK" w:cs="方正魏碑_GBK"/>
          <w:i w:val="0"/>
          <w:color w:val="000000"/>
          <w:u w:val="single"/>
          <w:shd w:val="clear" w:color="auto" w:fill="ffffff"/>
        </w:rPr>
        <w:t xml:space="preserve">组件</w:t>
      </w:r>
      <w:r>
        <w:rPr>
          <w:rStyle w:val="1016"/>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1016"/>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16"/>
          <w:rFonts w:hint="eastAsia" w:ascii="方正魏碑_GBK" w:hAnsi="方正魏碑_GBK" w:eastAsia="方正魏碑_GBK" w:cs="方正魏碑_GBK"/>
          <w:i w:val="0"/>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p>
    <w:p>
      <w:pPr>
        <w:pStyle w:val="100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p>
    <w:p>
      <w:pPr>
        <w:pStyle w:val="100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p>
    <w:p>
      <w:pPr>
        <w:pStyle w:val="100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004"/>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p>
    <w:p>
      <w:pPr>
        <w:pStyle w:val="1004"/>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p>
    <w:p>
      <w:pPr>
        <w:pStyle w:val="100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p>
    <w:p>
      <w:pPr>
        <w:pStyle w:val="100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p>
    <w:p>
      <w:pPr>
        <w:pStyle w:val="100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p>
    <w:p>
      <w:pPr>
        <w:pStyle w:val="100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p>
    <w:p>
      <w:pPr>
        <w:pStyle w:val="100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p>
    <w:p>
      <w:pPr>
        <w:pStyle w:val="100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p>
    <w:p>
      <w:pPr>
        <w:pStyle w:val="100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08"/>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p>
    <w:p>
      <w:pPr>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hint="eastAsia" w:ascii="宋体" w:hAnsi="宋体" w:eastAsia="宋体" w:cs="仿宋"/>
          <w:color w:val="000000"/>
          <w:sz w:val="24"/>
          <w:szCs w:val="24"/>
          <w:highlight w:val="none"/>
          <w:lang w:eastAsia="zh-CN"/>
        </w:rPr>
        <w:t xml:space="preserve">邮箱：</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w:t>
      </w:r>
      <w:r>
        <w:rPr>
          <w:rFonts w:hint="eastAsia" w:ascii="宋体" w:hAnsi="宋体"/>
          <w:color w:val="000000"/>
          <w:sz w:val="24"/>
          <w:szCs w:val="24"/>
          <w:highlight w:val="none"/>
          <w:lang w:eastAsia="zh-CN"/>
        </w:rPr>
        <w:t xml:space="preserve">采购包号</w:t>
      </w:r>
      <w:r>
        <w:rPr>
          <w:rFonts w:hint="eastAsia" w:ascii="宋体" w:hAnsi="宋体"/>
          <w:color w:val="000000"/>
          <w:sz w:val="24"/>
          <w:szCs w:val="24"/>
          <w:highlight w:val="none"/>
        </w:rPr>
        <w:t xml:space="preserve">。</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汉仪书宋二S">
    <w:panose1 w:val="020B0503020202020204"/>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p>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w:fldChar w:fldCharType="begin"/>
    </w:r>
    <w:r>
      <w:instrText xml:space="preserve">PAGE   \* MERGEFORMAT</w:instrText>
    </w:r>
    <w:r>
      <w:fldChar w:fldCharType="separate"/>
    </w:r>
    <w:r>
      <w:rPr>
        <w:lang w:val="zh-CN"/>
      </w:rPr>
      <w:t xml:space="preserve">18</w:t>
    </w:r>
    <w:r>
      <w:fldChar w:fldCharType="end"/>
    </w:r>
    <w:r/>
  </w:p>
  <w:p>
    <w:pPr>
      <w:pStyle w:val="10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9"/>
      <w:isLgl w:val="false"/>
      <w:suff w:val="nothing"/>
      <w:lvlText w:val=""/>
      <w:lvlJc w:val="left"/>
      <w:pPr>
        <w:ind w:left="0" w:firstLine="0"/>
      </w:pPr>
      <w:rPr>
        <w:rFonts w:hint="eastAsia"/>
      </w:rPr>
    </w:lvl>
    <w:lvl w:ilvl="6">
      <w:start w:val="1"/>
      <w:numFmt w:val="decimal"/>
      <w:pStyle w:val="950"/>
      <w:isLgl w:val="false"/>
      <w:suff w:val="nothing"/>
      <w:lvlText w:val=""/>
      <w:lvlJc w:val="left"/>
      <w:pPr>
        <w:ind w:left="0" w:firstLine="0"/>
      </w:pPr>
      <w:rPr>
        <w:rFonts w:hint="eastAsia"/>
      </w:rPr>
    </w:lvl>
    <w:lvl w:ilvl="7">
      <w:start w:val="1"/>
      <w:numFmt w:val="decimal"/>
      <w:pStyle w:val="951"/>
      <w:isLgl w:val="false"/>
      <w:suff w:val="nothing"/>
      <w:lvlText w:val=""/>
      <w:lvlJc w:val="left"/>
      <w:pPr>
        <w:ind w:left="0" w:firstLine="0"/>
      </w:pPr>
      <w:rPr>
        <w:rFonts w:hint="eastAsia"/>
      </w:rPr>
    </w:lvl>
    <w:lvl w:ilvl="8">
      <w:start w:val="1"/>
      <w:numFmt w:val="decimal"/>
      <w:pStyle w:val="952"/>
      <w:isLgl w:val="false"/>
      <w:suff w:val="nothing"/>
      <w:lvlText w:val=""/>
      <w:lvlJc w:val="left"/>
      <w:pPr>
        <w:ind w:left="0" w:firstLine="0"/>
      </w:pPr>
      <w:rPr>
        <w:rFonts w:hint="eastAsia"/>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next w:val="775"/>
    <w:link w:val="102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4">
    <w:name w:val="Heading 1"/>
    <w:basedOn w:val="763"/>
    <w:next w:val="763"/>
    <w:link w:val="1022"/>
    <w:uiPriority w:val="9"/>
    <w:qFormat/>
    <w:pPr>
      <w:keepLines/>
      <w:keepNext/>
      <w:spacing w:before="480" w:after="200"/>
      <w:outlineLvl w:val="0"/>
    </w:pPr>
    <w:rPr>
      <w:rFonts w:ascii="Arial" w:hAnsi="Arial" w:eastAsia="Arial"/>
      <w:sz w:val="40"/>
      <w:szCs w:val="40"/>
    </w:rPr>
  </w:style>
  <w:style w:type="paragraph" w:styleId="765">
    <w:name w:val="Heading 2"/>
    <w:basedOn w:val="763"/>
    <w:next w:val="763"/>
    <w:link w:val="797"/>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798"/>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799"/>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00"/>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01"/>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03"/>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04"/>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customStyle="1">
    <w:name w:val="正文缩进11"/>
    <w:basedOn w:val="763"/>
    <w:link w:val="955"/>
    <w:uiPriority w:val="0"/>
    <w:pPr>
      <w:ind w:firstLine="420"/>
    </w:pPr>
    <w:rPr>
      <w:sz w:val="20"/>
    </w:rPr>
  </w:style>
  <w:style w:type="paragraph" w:styleId="776">
    <w:name w:val="toc 7"/>
    <w:basedOn w:val="763"/>
    <w:next w:val="763"/>
    <w:uiPriority w:val="39"/>
    <w:unhideWhenUsed/>
    <w:pPr>
      <w:ind w:left="1701" w:right="0" w:firstLine="0"/>
      <w:spacing w:after="57"/>
    </w:pPr>
  </w:style>
  <w:style w:type="paragraph" w:styleId="777">
    <w:name w:val="Caption"/>
    <w:basedOn w:val="763"/>
    <w:next w:val="763"/>
    <w:uiPriority w:val="35"/>
    <w:semiHidden/>
    <w:unhideWhenUsed/>
    <w:qFormat/>
    <w:pPr>
      <w:spacing w:line="276" w:lineRule="auto"/>
    </w:pPr>
    <w:rPr>
      <w:b/>
      <w:bCs/>
      <w:color w:val="4f81bd" w:themeColor="accent1"/>
      <w:sz w:val="18"/>
      <w:szCs w:val="18"/>
    </w:rPr>
  </w:style>
  <w:style w:type="paragraph" w:styleId="778">
    <w:name w:val="toc 5"/>
    <w:basedOn w:val="763"/>
    <w:next w:val="763"/>
    <w:uiPriority w:val="39"/>
    <w:unhideWhenUsed/>
    <w:pPr>
      <w:ind w:left="1134" w:right="0" w:firstLine="0"/>
      <w:spacing w:after="57"/>
    </w:pPr>
  </w:style>
  <w:style w:type="paragraph" w:styleId="779">
    <w:name w:val="toc 3"/>
    <w:basedOn w:val="763"/>
    <w:next w:val="763"/>
    <w:uiPriority w:val="39"/>
    <w:unhideWhenUsed/>
    <w:pPr>
      <w:ind w:left="567" w:right="0" w:firstLine="0"/>
      <w:spacing w:after="57"/>
    </w:pPr>
  </w:style>
  <w:style w:type="paragraph" w:styleId="780">
    <w:name w:val="toc 8"/>
    <w:basedOn w:val="763"/>
    <w:next w:val="763"/>
    <w:uiPriority w:val="39"/>
    <w:unhideWhenUsed/>
    <w:pPr>
      <w:ind w:left="1984" w:right="0" w:firstLine="0"/>
      <w:spacing w:after="57"/>
    </w:pPr>
  </w:style>
  <w:style w:type="paragraph" w:styleId="781">
    <w:name w:val="endnote text"/>
    <w:basedOn w:val="763"/>
    <w:link w:val="942"/>
    <w:uiPriority w:val="99"/>
    <w:semiHidden/>
    <w:unhideWhenUsed/>
    <w:pPr>
      <w:spacing w:after="0" w:line="240" w:lineRule="auto"/>
    </w:pPr>
    <w:rPr>
      <w:sz w:val="20"/>
    </w:rPr>
  </w:style>
  <w:style w:type="paragraph" w:styleId="782">
    <w:name w:val="Footer"/>
    <w:basedOn w:val="763"/>
    <w:link w:val="815"/>
    <w:uiPriority w:val="99"/>
    <w:unhideWhenUsed/>
    <w:pPr>
      <w:spacing w:after="0" w:line="240" w:lineRule="auto"/>
      <w:tabs>
        <w:tab w:val="center" w:pos="7143" w:leader="none"/>
        <w:tab w:val="right" w:pos="14287" w:leader="none"/>
      </w:tabs>
    </w:pPr>
  </w:style>
  <w:style w:type="paragraph" w:styleId="783">
    <w:name w:val="Header"/>
    <w:basedOn w:val="763"/>
    <w:link w:val="813"/>
    <w:uiPriority w:val="99"/>
    <w:unhideWhenUsed/>
    <w:qFormat/>
    <w:pPr>
      <w:spacing w:after="0" w:line="240" w:lineRule="auto"/>
      <w:tabs>
        <w:tab w:val="center" w:pos="7143" w:leader="none"/>
        <w:tab w:val="right" w:pos="14287" w:leader="none"/>
      </w:tabs>
    </w:pPr>
  </w:style>
  <w:style w:type="paragraph" w:styleId="784">
    <w:name w:val="toc 1"/>
    <w:basedOn w:val="763"/>
    <w:next w:val="763"/>
    <w:uiPriority w:val="39"/>
    <w:unhideWhenUsed/>
    <w:pPr>
      <w:ind w:left="0" w:right="0" w:firstLine="0"/>
      <w:spacing w:after="57"/>
    </w:pPr>
  </w:style>
  <w:style w:type="paragraph" w:styleId="785">
    <w:name w:val="toc 4"/>
    <w:basedOn w:val="763"/>
    <w:next w:val="763"/>
    <w:uiPriority w:val="39"/>
    <w:unhideWhenUsed/>
    <w:pPr>
      <w:ind w:left="850" w:right="0" w:firstLine="0"/>
      <w:spacing w:after="57"/>
    </w:pPr>
  </w:style>
  <w:style w:type="paragraph" w:styleId="786">
    <w:name w:val="Subtitle"/>
    <w:basedOn w:val="763"/>
    <w:next w:val="763"/>
    <w:link w:val="808"/>
    <w:uiPriority w:val="11"/>
    <w:qFormat/>
    <w:pPr>
      <w:spacing w:before="200" w:after="200"/>
    </w:pPr>
    <w:rPr>
      <w:sz w:val="24"/>
      <w:szCs w:val="24"/>
    </w:rPr>
  </w:style>
  <w:style w:type="paragraph" w:styleId="787">
    <w:name w:val="footnote text"/>
    <w:basedOn w:val="763"/>
    <w:link w:val="941"/>
    <w:uiPriority w:val="99"/>
    <w:semiHidden/>
    <w:unhideWhenUsed/>
    <w:pPr>
      <w:spacing w:after="40" w:line="240" w:lineRule="auto"/>
    </w:pPr>
    <w:rPr>
      <w:sz w:val="18"/>
    </w:rPr>
  </w:style>
  <w:style w:type="paragraph" w:styleId="788">
    <w:name w:val="toc 6"/>
    <w:basedOn w:val="763"/>
    <w:next w:val="763"/>
    <w:uiPriority w:val="39"/>
    <w:unhideWhenUsed/>
    <w:pPr>
      <w:ind w:left="1417" w:right="0" w:firstLine="0"/>
      <w:spacing w:after="57"/>
    </w:pPr>
  </w:style>
  <w:style w:type="paragraph" w:styleId="789">
    <w:name w:val="table of figures"/>
    <w:basedOn w:val="763"/>
    <w:next w:val="763"/>
    <w:uiPriority w:val="99"/>
    <w:unhideWhenUsed/>
    <w:pPr>
      <w:spacing w:after="0" w:afterAutospacing="0"/>
    </w:pPr>
  </w:style>
  <w:style w:type="paragraph" w:styleId="790">
    <w:name w:val="toc 2"/>
    <w:basedOn w:val="763"/>
    <w:next w:val="763"/>
    <w:uiPriority w:val="39"/>
    <w:unhideWhenUsed/>
    <w:qFormat/>
    <w:pPr>
      <w:ind w:left="283" w:right="0" w:firstLine="0"/>
      <w:spacing w:after="57"/>
    </w:pPr>
  </w:style>
  <w:style w:type="paragraph" w:styleId="791">
    <w:name w:val="toc 9"/>
    <w:basedOn w:val="763"/>
    <w:next w:val="763"/>
    <w:uiPriority w:val="39"/>
    <w:unhideWhenUsed/>
    <w:pPr>
      <w:ind w:left="2268" w:right="0" w:firstLine="0"/>
      <w:spacing w:after="57"/>
    </w:pPr>
  </w:style>
  <w:style w:type="paragraph" w:styleId="792">
    <w:name w:val="Title"/>
    <w:basedOn w:val="763"/>
    <w:next w:val="763"/>
    <w:link w:val="807"/>
    <w:uiPriority w:val="10"/>
    <w:qFormat/>
    <w:pPr>
      <w:contextualSpacing/>
      <w:spacing w:before="300" w:after="200"/>
    </w:pPr>
    <w:rPr>
      <w:sz w:val="48"/>
      <w:szCs w:val="48"/>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endnote reference"/>
    <w:uiPriority w:val="99"/>
    <w:semiHidden/>
    <w:unhideWhenUsed/>
    <w:rPr>
      <w:vertAlign w:val="superscript"/>
    </w:rPr>
  </w:style>
  <w:style w:type="character" w:styleId="795">
    <w:name w:val="Hyperlink"/>
    <w:uiPriority w:val="99"/>
    <w:unhideWhenUsed/>
    <w:rPr>
      <w:color w:val="0000ff" w:themeColor="hyperlink"/>
      <w:u w:val="single"/>
    </w:rPr>
  </w:style>
  <w:style w:type="character" w:styleId="796">
    <w:name w:val="footnote reference"/>
    <w:uiPriority w:val="99"/>
    <w:unhideWhenUsed/>
    <w:rPr>
      <w:vertAlign w:val="superscript"/>
    </w:rPr>
  </w:style>
  <w:style w:type="character" w:styleId="797" w:customStyle="1">
    <w:name w:val="Heading 2 Char"/>
    <w:link w:val="765"/>
    <w:uiPriority w:val="9"/>
    <w:rPr>
      <w:rFonts w:ascii="Arial" w:hAnsi="Arial" w:eastAsia="Arial" w:cs="Arial"/>
      <w:sz w:val="34"/>
    </w:rPr>
  </w:style>
  <w:style w:type="character" w:styleId="798" w:customStyle="1">
    <w:name w:val="Heading 3 Char"/>
    <w:link w:val="766"/>
    <w:uiPriority w:val="9"/>
    <w:rPr>
      <w:rFonts w:ascii="Arial" w:hAnsi="Arial" w:eastAsia="Arial" w:cs="Arial"/>
      <w:sz w:val="30"/>
      <w:szCs w:val="30"/>
    </w:rPr>
  </w:style>
  <w:style w:type="character" w:styleId="799" w:customStyle="1">
    <w:name w:val="Heading 4 Char"/>
    <w:link w:val="767"/>
    <w:uiPriority w:val="9"/>
    <w:rPr>
      <w:rFonts w:ascii="Arial" w:hAnsi="Arial" w:eastAsia="Arial" w:cs="Arial"/>
      <w:b/>
      <w:bCs/>
      <w:sz w:val="26"/>
      <w:szCs w:val="26"/>
    </w:rPr>
  </w:style>
  <w:style w:type="character" w:styleId="800" w:customStyle="1">
    <w:name w:val="Heading 5 Char"/>
    <w:link w:val="768"/>
    <w:uiPriority w:val="9"/>
    <w:qFormat/>
    <w:rPr>
      <w:rFonts w:ascii="Arial" w:hAnsi="Arial" w:eastAsia="Arial" w:cs="Arial"/>
      <w:b/>
      <w:bCs/>
      <w:sz w:val="24"/>
      <w:szCs w:val="24"/>
    </w:rPr>
  </w:style>
  <w:style w:type="character" w:styleId="801" w:customStyle="1">
    <w:name w:val="Heading 6 Char"/>
    <w:link w:val="769"/>
    <w:uiPriority w:val="9"/>
    <w:rPr>
      <w:rFonts w:ascii="Arial" w:hAnsi="Arial" w:eastAsia="Arial" w:cs="Arial"/>
      <w:b/>
      <w:bCs/>
      <w:sz w:val="22"/>
      <w:szCs w:val="22"/>
    </w:rPr>
  </w:style>
  <w:style w:type="character" w:styleId="802" w:customStyle="1">
    <w:name w:val="Heading 7 Char"/>
    <w:link w:val="770"/>
    <w:uiPriority w:val="9"/>
    <w:rPr>
      <w:rFonts w:ascii="Arial" w:hAnsi="Arial" w:eastAsia="Arial" w:cs="Arial"/>
      <w:b/>
      <w:bCs/>
      <w:i/>
      <w:iCs/>
      <w:sz w:val="22"/>
      <w:szCs w:val="22"/>
    </w:rPr>
  </w:style>
  <w:style w:type="character" w:styleId="803" w:customStyle="1">
    <w:name w:val="Heading 8 Char"/>
    <w:link w:val="771"/>
    <w:uiPriority w:val="9"/>
    <w:qFormat/>
    <w:rPr>
      <w:rFonts w:ascii="Arial" w:hAnsi="Arial" w:eastAsia="Arial" w:cs="Arial"/>
      <w:i/>
      <w:iCs/>
      <w:sz w:val="22"/>
      <w:szCs w:val="22"/>
    </w:rPr>
  </w:style>
  <w:style w:type="character" w:styleId="804" w:customStyle="1">
    <w:name w:val="Heading 9 Char"/>
    <w:link w:val="772"/>
    <w:uiPriority w:val="9"/>
    <w:rPr>
      <w:rFonts w:ascii="Arial" w:hAnsi="Arial" w:eastAsia="Arial" w:cs="Arial"/>
      <w:i/>
      <w:iCs/>
      <w:sz w:val="21"/>
      <w:szCs w:val="21"/>
    </w:rPr>
  </w:style>
  <w:style w:type="paragraph" w:styleId="805">
    <w:name w:val="List Paragraph"/>
    <w:basedOn w:val="763"/>
    <w:uiPriority w:val="34"/>
    <w:qFormat/>
    <w:pPr>
      <w:contextualSpacing/>
      <w:ind w:left="720"/>
    </w:p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character" w:styleId="807" w:customStyle="1">
    <w:name w:val="Title Char"/>
    <w:link w:val="792"/>
    <w:uiPriority w:val="10"/>
    <w:rPr>
      <w:sz w:val="48"/>
      <w:szCs w:val="48"/>
    </w:rPr>
  </w:style>
  <w:style w:type="character" w:styleId="808" w:customStyle="1">
    <w:name w:val="Subtitle Char"/>
    <w:link w:val="786"/>
    <w:uiPriority w:val="11"/>
    <w:rPr>
      <w:sz w:val="24"/>
      <w:szCs w:val="24"/>
    </w:rPr>
  </w:style>
  <w:style w:type="paragraph" w:styleId="809">
    <w:name w:val="Quote"/>
    <w:basedOn w:val="763"/>
    <w:next w:val="763"/>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63"/>
    <w:next w:val="7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rPr>
      <w:i/>
    </w:rPr>
  </w:style>
  <w:style w:type="character" w:styleId="813" w:customStyle="1">
    <w:name w:val="Header Char"/>
    <w:link w:val="783"/>
    <w:uiPriority w:val="99"/>
  </w:style>
  <w:style w:type="character" w:styleId="814" w:customStyle="1">
    <w:name w:val="Footer Char"/>
    <w:link w:val="782"/>
    <w:uiPriority w:val="99"/>
  </w:style>
  <w:style w:type="character" w:styleId="815" w:customStyle="1">
    <w:name w:val="Caption Char"/>
    <w:link w:val="782"/>
    <w:uiPriority w:val="99"/>
  </w:style>
  <w:style w:type="table" w:styleId="8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8"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9"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0"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1"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2"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3"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4"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0"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1"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2"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3"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4"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5"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6"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7"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8"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9"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0"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1"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2"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3"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link w:val="787"/>
    <w:uiPriority w:val="99"/>
    <w:rPr>
      <w:sz w:val="18"/>
    </w:rPr>
  </w:style>
  <w:style w:type="character" w:styleId="942" w:customStyle="1">
    <w:name w:val="Endnote Text Char"/>
    <w:link w:val="781"/>
    <w:uiPriority w:val="99"/>
    <w:rPr>
      <w:sz w:val="20"/>
    </w:rPr>
  </w:style>
  <w:style w:type="paragraph" w:styleId="943" w:customStyle="1">
    <w:name w:val="TOC Heading"/>
    <w:uiPriority w:val="39"/>
    <w:unhideWhenUsed/>
    <w:rPr>
      <w:rFonts w:hint="default" w:ascii="Times New Roman" w:hAnsi="Times New Roman" w:eastAsia="宋体" w:cs="Times New Roman"/>
    </w:rPr>
  </w:style>
  <w:style w:type="paragraph" w:styleId="944" w:customStyle="1">
    <w:name w:val="标题 11"/>
    <w:basedOn w:val="763"/>
    <w:next w:val="763"/>
    <w:link w:val="956"/>
    <w:uiPriority w:val="0"/>
    <w:qFormat/>
    <w:pPr>
      <w:jc w:val="center"/>
      <w:keepNext/>
      <w:outlineLvl w:val="0"/>
    </w:pPr>
    <w:rPr>
      <w:rFonts w:ascii="楷体_GB2312" w:eastAsia="楷体_GB2312"/>
      <w:sz w:val="28"/>
      <w:szCs w:val="28"/>
    </w:rPr>
  </w:style>
  <w:style w:type="paragraph" w:styleId="945" w:customStyle="1">
    <w:name w:val="标题 211"/>
    <w:basedOn w:val="763"/>
    <w:next w:val="763"/>
    <w:link w:val="957"/>
    <w:uiPriority w:val="0"/>
    <w:qFormat/>
    <w:pPr>
      <w:jc w:val="center"/>
      <w:keepLines/>
      <w:keepNext/>
      <w:spacing w:before="260" w:after="260" w:line="416" w:lineRule="auto"/>
      <w:outlineLvl w:val="1"/>
    </w:pPr>
    <w:rPr>
      <w:rFonts w:ascii="Arial" w:hAnsi="Arial" w:eastAsia="幼圆"/>
      <w:b/>
      <w:bCs/>
      <w:sz w:val="44"/>
      <w:szCs w:val="44"/>
    </w:rPr>
  </w:style>
  <w:style w:type="paragraph" w:styleId="946" w:customStyle="1">
    <w:name w:val="标题 31"/>
    <w:basedOn w:val="763"/>
    <w:next w:val="775"/>
    <w:link w:val="958"/>
    <w:uiPriority w:val="0"/>
    <w:qFormat/>
    <w:pPr>
      <w:keepLines/>
      <w:keepNext/>
      <w:spacing w:before="260" w:after="260" w:line="416" w:lineRule="auto"/>
      <w:outlineLvl w:val="2"/>
    </w:pPr>
    <w:rPr>
      <w:b/>
      <w:bCs/>
      <w:sz w:val="32"/>
      <w:szCs w:val="32"/>
    </w:rPr>
  </w:style>
  <w:style w:type="paragraph" w:styleId="947" w:customStyle="1">
    <w:name w:val="标题 41"/>
    <w:basedOn w:val="763"/>
    <w:next w:val="763"/>
    <w:link w:val="959"/>
    <w:uiPriority w:val="0"/>
    <w:qFormat/>
    <w:pPr>
      <w:keepLines/>
      <w:keepNext/>
      <w:spacing w:before="280" w:after="290" w:line="376" w:lineRule="auto"/>
      <w:outlineLvl w:val="3"/>
    </w:pPr>
    <w:rPr>
      <w:rFonts w:ascii="Arial" w:hAnsi="Arial" w:eastAsia="黑体"/>
      <w:b/>
      <w:bCs/>
      <w:sz w:val="28"/>
      <w:szCs w:val="28"/>
    </w:rPr>
  </w:style>
  <w:style w:type="paragraph" w:styleId="948" w:customStyle="1">
    <w:name w:val="标题 51"/>
    <w:basedOn w:val="763"/>
    <w:next w:val="775"/>
    <w:link w:val="960"/>
    <w:uiPriority w:val="0"/>
    <w:qFormat/>
    <w:pPr>
      <w:keepNext/>
      <w:outlineLvl w:val="4"/>
    </w:pPr>
    <w:rPr>
      <w:rFonts w:ascii="宋体"/>
      <w:color w:val="000000"/>
      <w:sz w:val="28"/>
      <w:szCs w:val="28"/>
    </w:rPr>
  </w:style>
  <w:style w:type="paragraph" w:styleId="949" w:customStyle="1">
    <w:name w:val="标题 61"/>
    <w:basedOn w:val="763"/>
    <w:next w:val="763"/>
    <w:link w:val="96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0" w:customStyle="1">
    <w:name w:val="标题 71"/>
    <w:basedOn w:val="763"/>
    <w:next w:val="763"/>
    <w:link w:val="962"/>
    <w:uiPriority w:val="0"/>
    <w:qFormat/>
    <w:pPr>
      <w:numPr>
        <w:ilvl w:val="6"/>
        <w:numId w:val="1"/>
      </w:numPr>
      <w:keepLines/>
      <w:keepNext/>
      <w:spacing w:before="240" w:after="64" w:line="320" w:lineRule="auto"/>
      <w:outlineLvl w:val="6"/>
    </w:pPr>
    <w:rPr>
      <w:b/>
      <w:bCs/>
      <w:sz w:val="24"/>
      <w:szCs w:val="24"/>
    </w:rPr>
  </w:style>
  <w:style w:type="paragraph" w:styleId="951" w:customStyle="1">
    <w:name w:val="标题 81"/>
    <w:basedOn w:val="763"/>
    <w:next w:val="763"/>
    <w:link w:val="9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2" w:customStyle="1">
    <w:name w:val="标题 91"/>
    <w:basedOn w:val="763"/>
    <w:next w:val="763"/>
    <w:link w:val="964"/>
    <w:uiPriority w:val="0"/>
    <w:qFormat/>
    <w:pPr>
      <w:numPr>
        <w:ilvl w:val="8"/>
        <w:numId w:val="1"/>
      </w:numPr>
      <w:keepLines/>
      <w:keepNext/>
      <w:spacing w:before="240" w:after="64" w:line="320" w:lineRule="auto"/>
      <w:outlineLvl w:val="8"/>
    </w:pPr>
    <w:rPr>
      <w:rFonts w:ascii="Arial" w:hAnsi="Arial" w:eastAsia="黑体"/>
      <w:sz w:val="20"/>
    </w:rPr>
  </w:style>
  <w:style w:type="character" w:styleId="953" w:customStyle="1">
    <w:name w:val="默认段落字体1"/>
    <w:link w:val="763"/>
    <w:uiPriority w:val="1"/>
    <w:unhideWhenUsed/>
  </w:style>
  <w:style w:type="table" w:styleId="954" w:customStyle="1">
    <w:name w:val="普通表格1"/>
    <w:uiPriority w:val="99"/>
    <w:unhideWhenUsed/>
    <w:tblPr/>
  </w:style>
  <w:style w:type="character" w:styleId="955" w:customStyle="1">
    <w:name w:val="正文缩进 Char"/>
    <w:link w:val="775"/>
    <w:uiPriority w:val="0"/>
    <w:rPr>
      <w:rFonts w:ascii="Times New Roman" w:hAnsi="Times New Roman" w:eastAsia="宋体" w:cs="Times New Roman"/>
      <w:szCs w:val="21"/>
    </w:rPr>
  </w:style>
  <w:style w:type="character" w:styleId="956" w:customStyle="1">
    <w:name w:val="标题 1 Char"/>
    <w:link w:val="944"/>
    <w:uiPriority w:val="0"/>
    <w:rPr>
      <w:rFonts w:ascii="楷体_GB2312" w:hAnsi="Times New Roman" w:eastAsia="楷体_GB2312" w:cs="Times New Roman"/>
      <w:sz w:val="28"/>
      <w:szCs w:val="28"/>
    </w:rPr>
  </w:style>
  <w:style w:type="character" w:styleId="957" w:customStyle="1">
    <w:name w:val="标题 2 Char"/>
    <w:link w:val="945"/>
    <w:uiPriority w:val="0"/>
    <w:rPr>
      <w:rFonts w:ascii="Arial" w:hAnsi="Arial" w:eastAsia="幼圆" w:cs="Arial"/>
      <w:b/>
      <w:bCs/>
      <w:sz w:val="44"/>
      <w:szCs w:val="44"/>
    </w:rPr>
  </w:style>
  <w:style w:type="character" w:styleId="958" w:customStyle="1">
    <w:name w:val="标题 3 Char"/>
    <w:link w:val="946"/>
    <w:uiPriority w:val="0"/>
    <w:rPr>
      <w:rFonts w:ascii="Times New Roman" w:hAnsi="Times New Roman" w:eastAsia="宋体" w:cs="Times New Roman"/>
      <w:b/>
      <w:bCs/>
      <w:sz w:val="32"/>
      <w:szCs w:val="32"/>
    </w:rPr>
  </w:style>
  <w:style w:type="character" w:styleId="959" w:customStyle="1">
    <w:name w:val="标题 4 Char"/>
    <w:link w:val="947"/>
    <w:uiPriority w:val="0"/>
    <w:rPr>
      <w:rFonts w:ascii="Arial" w:hAnsi="Arial" w:eastAsia="黑体" w:cs="Arial"/>
      <w:b/>
      <w:bCs/>
      <w:sz w:val="28"/>
      <w:szCs w:val="28"/>
    </w:rPr>
  </w:style>
  <w:style w:type="character" w:styleId="960" w:customStyle="1">
    <w:name w:val="标题 5 Char"/>
    <w:link w:val="948"/>
    <w:uiPriority w:val="0"/>
    <w:rPr>
      <w:rFonts w:ascii="宋体" w:hAnsi="Times New Roman" w:eastAsia="宋体" w:cs="Times New Roman"/>
      <w:color w:val="000000"/>
      <w:sz w:val="28"/>
      <w:szCs w:val="28"/>
    </w:rPr>
  </w:style>
  <w:style w:type="character" w:styleId="961" w:customStyle="1">
    <w:name w:val="标题 6 Char"/>
    <w:link w:val="949"/>
    <w:uiPriority w:val="0"/>
    <w:rPr>
      <w:rFonts w:ascii="Arial" w:hAnsi="Arial" w:eastAsia="黑体" w:cs="Times New Roman"/>
      <w:b/>
      <w:bCs/>
      <w:sz w:val="24"/>
      <w:szCs w:val="24"/>
    </w:rPr>
  </w:style>
  <w:style w:type="character" w:styleId="962" w:customStyle="1">
    <w:name w:val="标题 7 Char"/>
    <w:link w:val="950"/>
    <w:uiPriority w:val="0"/>
    <w:rPr>
      <w:rFonts w:ascii="Times New Roman" w:hAnsi="Times New Roman" w:eastAsia="宋体" w:cs="Times New Roman"/>
      <w:b/>
      <w:bCs/>
      <w:sz w:val="24"/>
      <w:szCs w:val="24"/>
    </w:rPr>
  </w:style>
  <w:style w:type="character" w:styleId="963" w:customStyle="1">
    <w:name w:val="标题 8 Char"/>
    <w:link w:val="951"/>
    <w:uiPriority w:val="0"/>
    <w:rPr>
      <w:rFonts w:ascii="Arial" w:hAnsi="Arial" w:eastAsia="黑体" w:cs="Times New Roman"/>
      <w:sz w:val="24"/>
      <w:szCs w:val="24"/>
    </w:rPr>
  </w:style>
  <w:style w:type="character" w:styleId="964" w:customStyle="1">
    <w:name w:val="标题 9 Char"/>
    <w:link w:val="952"/>
    <w:uiPriority w:val="0"/>
    <w:rPr>
      <w:rFonts w:ascii="Arial" w:hAnsi="Arial" w:eastAsia="黑体" w:cs="Times New Roman"/>
      <w:szCs w:val="21"/>
    </w:rPr>
  </w:style>
  <w:style w:type="paragraph" w:styleId="965" w:customStyle="1">
    <w:name w:val="列表 31"/>
    <w:basedOn w:val="763"/>
    <w:uiPriority w:val="0"/>
    <w:pPr>
      <w:ind w:left="100" w:hanging="200"/>
    </w:pPr>
  </w:style>
  <w:style w:type="paragraph" w:styleId="966" w:customStyle="1">
    <w:name w:val="目录 71"/>
    <w:basedOn w:val="763"/>
    <w:next w:val="763"/>
    <w:uiPriority w:val="0"/>
    <w:semiHidden/>
    <w:pPr>
      <w:ind w:left="1260"/>
      <w:jc w:val="left"/>
    </w:pPr>
  </w:style>
  <w:style w:type="paragraph" w:styleId="967" w:customStyle="1">
    <w:name w:val="文档结构图1"/>
    <w:basedOn w:val="763"/>
    <w:link w:val="968"/>
    <w:uiPriority w:val="0"/>
    <w:semiHidden/>
    <w:pPr>
      <w:shd w:val="clear" w:color="auto" w:fill="000080"/>
    </w:pPr>
    <w:rPr>
      <w:sz w:val="20"/>
    </w:rPr>
  </w:style>
  <w:style w:type="character" w:styleId="968" w:customStyle="1">
    <w:name w:val="文档结构图 Char"/>
    <w:link w:val="967"/>
    <w:uiPriority w:val="0"/>
    <w:semiHidden/>
    <w:rPr>
      <w:rFonts w:ascii="Times New Roman" w:hAnsi="Times New Roman" w:eastAsia="宋体" w:cs="Times New Roman"/>
      <w:szCs w:val="21"/>
      <w:shd w:val="clear" w:color="auto" w:fill="000080"/>
    </w:rPr>
  </w:style>
  <w:style w:type="paragraph" w:styleId="969" w:customStyle="1">
    <w:name w:val="批注文字1"/>
    <w:basedOn w:val="763"/>
    <w:link w:val="970"/>
    <w:uiPriority w:val="0"/>
    <w:semiHidden/>
    <w:pPr>
      <w:jc w:val="left"/>
    </w:pPr>
    <w:rPr>
      <w:sz w:val="20"/>
    </w:rPr>
  </w:style>
  <w:style w:type="character" w:styleId="970" w:customStyle="1">
    <w:name w:val="批注文字 Char"/>
    <w:link w:val="969"/>
    <w:uiPriority w:val="0"/>
    <w:semiHidden/>
    <w:rPr>
      <w:rFonts w:ascii="Times New Roman" w:hAnsi="Times New Roman" w:eastAsia="宋体" w:cs="Times New Roman"/>
      <w:szCs w:val="21"/>
    </w:rPr>
  </w:style>
  <w:style w:type="paragraph" w:styleId="971" w:customStyle="1">
    <w:name w:val="正文文本 31"/>
    <w:basedOn w:val="763"/>
    <w:link w:val="972"/>
    <w:uiPriority w:val="0"/>
    <w:rPr>
      <w:rFonts w:ascii="仿宋_GB2312" w:hAnsi="Arial" w:eastAsia="仿宋_GB2312"/>
      <w:sz w:val="32"/>
      <w:szCs w:val="32"/>
    </w:rPr>
  </w:style>
  <w:style w:type="character" w:styleId="972" w:customStyle="1">
    <w:name w:val="正文文本 3 Char"/>
    <w:link w:val="971"/>
    <w:uiPriority w:val="0"/>
    <w:rPr>
      <w:rFonts w:ascii="仿宋_GB2312" w:hAnsi="Arial" w:eastAsia="仿宋_GB2312" w:cs="Times New Roman"/>
      <w:sz w:val="32"/>
      <w:szCs w:val="32"/>
    </w:rPr>
  </w:style>
  <w:style w:type="paragraph" w:styleId="973" w:customStyle="1">
    <w:name w:val="正文文本12"/>
    <w:basedOn w:val="763"/>
    <w:next w:val="763"/>
    <w:link w:val="974"/>
    <w:uiPriority w:val="0"/>
    <w:rPr>
      <w:rFonts w:ascii="楷体_GB2312" w:hAnsi="Arial" w:eastAsia="楷体_GB2312"/>
      <w:sz w:val="28"/>
      <w:szCs w:val="28"/>
    </w:rPr>
  </w:style>
  <w:style w:type="character" w:styleId="974" w:customStyle="1">
    <w:name w:val="正文文本 Char"/>
    <w:link w:val="973"/>
    <w:uiPriority w:val="0"/>
    <w:rPr>
      <w:rFonts w:ascii="楷体_GB2312" w:hAnsi="Arial" w:eastAsia="楷体_GB2312" w:cs="Times New Roman"/>
      <w:sz w:val="28"/>
      <w:szCs w:val="28"/>
    </w:rPr>
  </w:style>
  <w:style w:type="paragraph" w:styleId="975" w:customStyle="1">
    <w:name w:val="正文文本缩进11"/>
    <w:basedOn w:val="763"/>
    <w:link w:val="976"/>
    <w:uiPriority w:val="0"/>
    <w:pPr>
      <w:ind w:firstLine="645"/>
    </w:pPr>
    <w:rPr>
      <w:rFonts w:ascii="楷体_GB2312" w:eastAsia="楷体_GB2312"/>
      <w:sz w:val="32"/>
      <w:szCs w:val="32"/>
    </w:rPr>
  </w:style>
  <w:style w:type="character" w:styleId="976" w:customStyle="1">
    <w:name w:val="正文文本缩进 Char"/>
    <w:link w:val="975"/>
    <w:uiPriority w:val="0"/>
    <w:rPr>
      <w:rFonts w:ascii="楷体_GB2312" w:hAnsi="Times New Roman" w:eastAsia="楷体_GB2312" w:cs="Times New Roman"/>
      <w:sz w:val="32"/>
      <w:szCs w:val="32"/>
    </w:rPr>
  </w:style>
  <w:style w:type="paragraph" w:styleId="977" w:customStyle="1">
    <w:name w:val="列表 21"/>
    <w:basedOn w:val="763"/>
    <w:uiPriority w:val="0"/>
    <w:pPr>
      <w:ind w:left="100" w:hanging="200"/>
    </w:pPr>
  </w:style>
  <w:style w:type="paragraph" w:styleId="978" w:customStyle="1">
    <w:name w:val="目录 51"/>
    <w:basedOn w:val="763"/>
    <w:next w:val="763"/>
    <w:uiPriority w:val="0"/>
    <w:semiHidden/>
    <w:pPr>
      <w:ind w:left="840"/>
      <w:jc w:val="left"/>
    </w:pPr>
  </w:style>
  <w:style w:type="paragraph" w:styleId="979" w:customStyle="1">
    <w:name w:val="目录 31"/>
    <w:basedOn w:val="763"/>
    <w:next w:val="763"/>
    <w:uiPriority w:val="0"/>
    <w:semiHidden/>
    <w:pPr>
      <w:ind w:left="420"/>
      <w:jc w:val="left"/>
    </w:pPr>
    <w:rPr>
      <w:i/>
      <w:iCs/>
      <w:szCs w:val="24"/>
    </w:rPr>
  </w:style>
  <w:style w:type="paragraph" w:styleId="980" w:customStyle="1">
    <w:name w:val="纯文本11"/>
    <w:basedOn w:val="763"/>
    <w:link w:val="981"/>
    <w:uiPriority w:val="0"/>
    <w:rPr>
      <w:rFonts w:ascii="宋体" w:hAnsi="Courier New"/>
      <w:sz w:val="20"/>
    </w:rPr>
  </w:style>
  <w:style w:type="character" w:styleId="981" w:customStyle="1">
    <w:name w:val="纯文本 Char"/>
    <w:link w:val="980"/>
    <w:uiPriority w:val="0"/>
    <w:rPr>
      <w:rFonts w:ascii="宋体" w:hAnsi="Courier New" w:eastAsia="宋体" w:cs="Courier New"/>
      <w:szCs w:val="21"/>
    </w:rPr>
  </w:style>
  <w:style w:type="paragraph" w:styleId="982" w:customStyle="1">
    <w:name w:val="目录 81"/>
    <w:basedOn w:val="763"/>
    <w:next w:val="763"/>
    <w:uiPriority w:val="0"/>
    <w:semiHidden/>
    <w:pPr>
      <w:ind w:left="1470"/>
      <w:jc w:val="left"/>
    </w:pPr>
  </w:style>
  <w:style w:type="paragraph" w:styleId="983" w:customStyle="1">
    <w:name w:val="日期1"/>
    <w:basedOn w:val="763"/>
    <w:next w:val="763"/>
    <w:link w:val="984"/>
    <w:uiPriority w:val="0"/>
    <w:rPr>
      <w:sz w:val="24"/>
      <w:szCs w:val="24"/>
    </w:rPr>
  </w:style>
  <w:style w:type="character" w:styleId="984" w:customStyle="1">
    <w:name w:val="日期 Char"/>
    <w:link w:val="983"/>
    <w:uiPriority w:val="0"/>
    <w:rPr>
      <w:rFonts w:ascii="Times New Roman" w:hAnsi="Times New Roman" w:eastAsia="宋体" w:cs="Times New Roman"/>
      <w:sz w:val="24"/>
      <w:szCs w:val="24"/>
    </w:rPr>
  </w:style>
  <w:style w:type="paragraph" w:styleId="985" w:customStyle="1">
    <w:name w:val="正文文本缩进 21"/>
    <w:basedOn w:val="763"/>
    <w:link w:val="986"/>
    <w:uiPriority w:val="0"/>
    <w:pPr>
      <w:ind w:left="630" w:firstLine="645"/>
    </w:pPr>
    <w:rPr>
      <w:rFonts w:ascii="Arial" w:hAnsi="Arial" w:eastAsia="仿宋_GB2312"/>
      <w:sz w:val="32"/>
      <w:szCs w:val="32"/>
    </w:rPr>
  </w:style>
  <w:style w:type="character" w:styleId="986" w:customStyle="1">
    <w:name w:val="正文文本缩进 2 Char"/>
    <w:link w:val="985"/>
    <w:uiPriority w:val="0"/>
    <w:rPr>
      <w:rFonts w:ascii="Arial" w:hAnsi="Arial" w:eastAsia="仿宋_GB2312" w:cs="Arial"/>
      <w:sz w:val="32"/>
      <w:szCs w:val="32"/>
    </w:rPr>
  </w:style>
  <w:style w:type="paragraph" w:styleId="987" w:customStyle="1">
    <w:name w:val="批注框文本1"/>
    <w:basedOn w:val="763"/>
    <w:link w:val="988"/>
    <w:uiPriority w:val="0"/>
    <w:semiHidden/>
    <w:rPr>
      <w:sz w:val="18"/>
      <w:szCs w:val="18"/>
    </w:rPr>
  </w:style>
  <w:style w:type="character" w:styleId="988" w:customStyle="1">
    <w:name w:val="批注框文本 Char"/>
    <w:link w:val="987"/>
    <w:uiPriority w:val="0"/>
    <w:semiHidden/>
    <w:rPr>
      <w:rFonts w:ascii="Times New Roman" w:hAnsi="Times New Roman" w:eastAsia="宋体" w:cs="Times New Roman"/>
      <w:sz w:val="18"/>
      <w:szCs w:val="18"/>
    </w:rPr>
  </w:style>
  <w:style w:type="paragraph" w:styleId="989" w:customStyle="1">
    <w:name w:val="页脚11"/>
    <w:basedOn w:val="763"/>
    <w:link w:val="990"/>
    <w:uiPriority w:val="0"/>
    <w:pPr>
      <w:jc w:val="left"/>
      <w:tabs>
        <w:tab w:val="center" w:pos="4153" w:leader="none"/>
        <w:tab w:val="right" w:pos="8306" w:leader="none"/>
      </w:tabs>
    </w:pPr>
    <w:rPr>
      <w:sz w:val="18"/>
      <w:szCs w:val="18"/>
    </w:rPr>
  </w:style>
  <w:style w:type="character" w:styleId="990" w:customStyle="1">
    <w:name w:val="页脚 Char"/>
    <w:link w:val="989"/>
    <w:uiPriority w:val="0"/>
    <w:rPr>
      <w:rFonts w:ascii="Times New Roman" w:hAnsi="Times New Roman" w:eastAsia="宋体" w:cs="Times New Roman"/>
      <w:sz w:val="18"/>
      <w:szCs w:val="18"/>
    </w:rPr>
  </w:style>
  <w:style w:type="paragraph" w:styleId="991" w:customStyle="1">
    <w:name w:val="页眉1"/>
    <w:basedOn w:val="763"/>
    <w:link w:val="992"/>
    <w:uiPriority w:val="0"/>
    <w:pPr>
      <w:jc w:val="center"/>
      <w:tabs>
        <w:tab w:val="center" w:pos="4153" w:leader="none"/>
        <w:tab w:val="right" w:pos="8306" w:leader="none"/>
      </w:tabs>
      <w:pBdr>
        <w:bottom w:val="single" w:color="000000" w:sz="6" w:space="1"/>
      </w:pBdr>
    </w:pPr>
    <w:rPr>
      <w:sz w:val="18"/>
      <w:szCs w:val="18"/>
    </w:rPr>
  </w:style>
  <w:style w:type="character" w:styleId="992" w:customStyle="1">
    <w:name w:val="页眉 Char"/>
    <w:link w:val="991"/>
    <w:uiPriority w:val="0"/>
    <w:rPr>
      <w:rFonts w:ascii="Times New Roman" w:hAnsi="Times New Roman" w:eastAsia="宋体" w:cs="Times New Roman"/>
      <w:sz w:val="18"/>
      <w:szCs w:val="18"/>
    </w:rPr>
  </w:style>
  <w:style w:type="paragraph" w:styleId="993" w:customStyle="1">
    <w:name w:val="目录 11"/>
    <w:basedOn w:val="763"/>
    <w:next w:val="763"/>
    <w:uiPriority w:val="0"/>
    <w:semiHidden/>
    <w:pPr>
      <w:jc w:val="left"/>
      <w:spacing w:before="120" w:after="120" w:line="400" w:lineRule="exact"/>
      <w:tabs>
        <w:tab w:val="right" w:pos="8720" w:leader="dot"/>
      </w:tabs>
    </w:pPr>
    <w:rPr>
      <w:rFonts w:ascii="宋体" w:hAnsi="宋体"/>
      <w:caps/>
      <w:sz w:val="24"/>
      <w:szCs w:val="24"/>
    </w:rPr>
  </w:style>
  <w:style w:type="paragraph" w:styleId="994" w:customStyle="1">
    <w:name w:val="目录 41"/>
    <w:basedOn w:val="763"/>
    <w:next w:val="763"/>
    <w:uiPriority w:val="0"/>
    <w:semiHidden/>
    <w:pPr>
      <w:ind w:left="630"/>
      <w:jc w:val="left"/>
    </w:pPr>
  </w:style>
  <w:style w:type="paragraph" w:styleId="995" w:customStyle="1">
    <w:name w:val="列表1"/>
    <w:basedOn w:val="763"/>
    <w:uiPriority w:val="0"/>
    <w:pPr>
      <w:ind w:left="200" w:hanging="200"/>
    </w:pPr>
  </w:style>
  <w:style w:type="paragraph" w:styleId="996" w:customStyle="1">
    <w:name w:val="目录 61"/>
    <w:basedOn w:val="763"/>
    <w:next w:val="763"/>
    <w:uiPriority w:val="0"/>
    <w:semiHidden/>
    <w:pPr>
      <w:ind w:left="1050"/>
      <w:jc w:val="left"/>
    </w:pPr>
  </w:style>
  <w:style w:type="paragraph" w:styleId="997" w:customStyle="1">
    <w:name w:val="正文文本缩进 31"/>
    <w:basedOn w:val="763"/>
    <w:link w:val="998"/>
    <w:uiPriority w:val="0"/>
    <w:pPr>
      <w:ind w:left="645" w:firstLine="645"/>
    </w:pPr>
    <w:rPr>
      <w:rFonts w:ascii="Arial" w:hAnsi="Arial" w:eastAsia="仿宋_GB2312"/>
      <w:color w:val="ffff00"/>
      <w:sz w:val="32"/>
      <w:szCs w:val="32"/>
    </w:rPr>
  </w:style>
  <w:style w:type="character" w:styleId="998" w:customStyle="1">
    <w:name w:val="正文文本缩进 3 Char"/>
    <w:link w:val="997"/>
    <w:uiPriority w:val="0"/>
    <w:rPr>
      <w:rFonts w:ascii="Arial" w:hAnsi="Arial" w:eastAsia="仿宋_GB2312" w:cs="Arial"/>
      <w:color w:val="ffff00"/>
      <w:sz w:val="32"/>
      <w:szCs w:val="32"/>
    </w:rPr>
  </w:style>
  <w:style w:type="paragraph" w:styleId="999" w:customStyle="1">
    <w:name w:val="图表目录1"/>
    <w:basedOn w:val="763"/>
    <w:next w:val="763"/>
    <w:uiPriority w:val="0"/>
    <w:semiHidden/>
    <w:pPr>
      <w:ind w:left="840" w:hanging="420"/>
    </w:pPr>
  </w:style>
  <w:style w:type="paragraph" w:styleId="1000" w:customStyle="1">
    <w:name w:val="目录 21"/>
    <w:basedOn w:val="763"/>
    <w:next w:val="763"/>
    <w:uiPriority w:val="0"/>
    <w:semiHidden/>
    <w:pPr>
      <w:ind w:left="210"/>
      <w:jc w:val="left"/>
    </w:pPr>
    <w:rPr>
      <w:smallCaps/>
      <w:szCs w:val="24"/>
    </w:rPr>
  </w:style>
  <w:style w:type="paragraph" w:styleId="1001" w:customStyle="1">
    <w:name w:val="目录 91"/>
    <w:basedOn w:val="763"/>
    <w:next w:val="763"/>
    <w:uiPriority w:val="0"/>
    <w:semiHidden/>
    <w:pPr>
      <w:ind w:left="1680"/>
      <w:jc w:val="left"/>
    </w:pPr>
  </w:style>
  <w:style w:type="paragraph" w:styleId="1002" w:customStyle="1">
    <w:name w:val="正文文本 21"/>
    <w:basedOn w:val="763"/>
    <w:link w:val="1003"/>
    <w:uiPriority w:val="0"/>
    <w:pPr>
      <w:jc w:val="center"/>
      <w:widowControl/>
    </w:pPr>
    <w:rPr>
      <w:rFonts w:ascii="楷体_GB2312" w:eastAsia="楷体_GB2312"/>
      <w:sz w:val="28"/>
      <w:szCs w:val="28"/>
    </w:rPr>
  </w:style>
  <w:style w:type="character" w:styleId="1003" w:customStyle="1">
    <w:name w:val="正文文本 2 Char"/>
    <w:link w:val="1002"/>
    <w:uiPriority w:val="0"/>
    <w:rPr>
      <w:rFonts w:ascii="楷体_GB2312" w:hAnsi="Times New Roman" w:eastAsia="楷体_GB2312" w:cs="Times New Roman"/>
      <w:sz w:val="28"/>
      <w:szCs w:val="28"/>
    </w:rPr>
  </w:style>
  <w:style w:type="paragraph" w:styleId="1004" w:customStyle="1">
    <w:name w:val="普通(网站)1"/>
    <w:basedOn w:val="763"/>
    <w:uiPriority w:val="99"/>
    <w:pPr>
      <w:jc w:val="left"/>
      <w:spacing w:before="100" w:beforeAutospacing="1" w:after="100" w:afterAutospacing="1"/>
      <w:widowControl/>
    </w:pPr>
    <w:rPr>
      <w:rFonts w:ascii="宋体" w:hAnsi="宋体" w:cs="宋体"/>
      <w:sz w:val="24"/>
      <w:szCs w:val="24"/>
    </w:rPr>
  </w:style>
  <w:style w:type="paragraph" w:styleId="1005" w:customStyle="1">
    <w:name w:val="索引 11"/>
    <w:basedOn w:val="763"/>
    <w:next w:val="763"/>
    <w:uiPriority w:val="0"/>
    <w:semiHidden/>
    <w:pPr>
      <w:spacing w:line="240" w:lineRule="atLeast"/>
    </w:pPr>
    <w:rPr>
      <w:b/>
      <w:bCs/>
    </w:rPr>
  </w:style>
  <w:style w:type="paragraph" w:styleId="1006" w:customStyle="1">
    <w:name w:val="批注主题1"/>
    <w:basedOn w:val="969"/>
    <w:next w:val="969"/>
    <w:link w:val="1007"/>
    <w:uiPriority w:val="0"/>
    <w:semiHidden/>
    <w:rPr>
      <w:b/>
      <w:bCs/>
    </w:rPr>
  </w:style>
  <w:style w:type="character" w:styleId="1007" w:customStyle="1">
    <w:name w:val="批注主题 Char"/>
    <w:link w:val="1006"/>
    <w:uiPriority w:val="0"/>
    <w:semiHidden/>
    <w:rPr>
      <w:rFonts w:ascii="Times New Roman" w:hAnsi="Times New Roman" w:eastAsia="宋体" w:cs="Times New Roman"/>
      <w:b/>
      <w:bCs/>
      <w:szCs w:val="21"/>
    </w:rPr>
  </w:style>
  <w:style w:type="paragraph" w:styleId="1008" w:customStyle="1">
    <w:name w:val="正文首行缩进11"/>
    <w:basedOn w:val="973"/>
    <w:link w:val="1009"/>
    <w:uiPriority w:val="0"/>
    <w:pPr>
      <w:ind w:firstLine="200"/>
      <w:spacing w:line="360" w:lineRule="auto"/>
    </w:pPr>
    <w:rPr>
      <w:rFonts w:ascii="仿宋_GB2312" w:hAnsi="Times New Roman" w:eastAsia="仿宋_GB2312"/>
      <w:sz w:val="30"/>
      <w:szCs w:val="30"/>
    </w:rPr>
  </w:style>
  <w:style w:type="character" w:styleId="1009" w:customStyle="1">
    <w:name w:val="正文首行缩进 Char"/>
    <w:link w:val="1008"/>
    <w:uiPriority w:val="0"/>
    <w:rPr>
      <w:rFonts w:ascii="仿宋_GB2312" w:hAnsi="Times New Roman" w:eastAsia="仿宋_GB2312" w:cs="Times New Roman"/>
      <w:sz w:val="30"/>
      <w:szCs w:val="30"/>
    </w:rPr>
  </w:style>
  <w:style w:type="paragraph" w:styleId="1010" w:customStyle="1">
    <w:name w:val="正文首行缩进 21"/>
    <w:basedOn w:val="975"/>
    <w:link w:val="1011"/>
    <w:uiPriority w:val="0"/>
    <w:pPr>
      <w:ind w:firstLine="420"/>
      <w:spacing w:line="360" w:lineRule="auto"/>
    </w:pPr>
    <w:rPr>
      <w:rFonts w:ascii="宋体" w:hAnsi="宋体" w:eastAsia="宋体"/>
      <w:szCs w:val="20"/>
    </w:rPr>
  </w:style>
  <w:style w:type="character" w:styleId="1011" w:customStyle="1">
    <w:name w:val="正文首行缩进 2 Char"/>
    <w:link w:val="1010"/>
    <w:uiPriority w:val="0"/>
    <w:rPr>
      <w:rFonts w:ascii="宋体" w:hAnsi="宋体" w:eastAsia="宋体" w:cs="Times New Roman"/>
      <w:sz w:val="32"/>
      <w:szCs w:val="20"/>
    </w:rPr>
  </w:style>
  <w:style w:type="table" w:styleId="1012" w:customStyle="1">
    <w:name w:val="网格型1"/>
    <w:basedOn w:val="954"/>
    <w:uiPriority w:val="0"/>
    <w:pPr>
      <w:jc w:val="both"/>
      <w:widowControl w:val="off"/>
    </w:pPr>
    <w:rPr>
      <w:rFonts w:ascii="Times New Roman" w:hAnsi="Times New Roman" w:eastAsia="宋体" w:cs="Times New Roman"/>
      <w:sz w:val="20"/>
      <w:szCs w:val="20"/>
    </w:rPr>
    <w:tblPr/>
  </w:style>
  <w:style w:type="character" w:styleId="1013" w:customStyle="1">
    <w:name w:val="要点1"/>
    <w:link w:val="763"/>
    <w:uiPriority w:val="0"/>
    <w:qFormat/>
    <w:rPr>
      <w:b/>
      <w:bCs/>
    </w:rPr>
  </w:style>
  <w:style w:type="character" w:styleId="1014" w:customStyle="1">
    <w:name w:val="页码1"/>
    <w:link w:val="763"/>
    <w:uiPriority w:val="0"/>
  </w:style>
  <w:style w:type="character" w:styleId="1015" w:customStyle="1">
    <w:name w:val="已访问的超链接1"/>
    <w:link w:val="763"/>
    <w:uiPriority w:val="0"/>
    <w:rPr>
      <w:color w:val="800080"/>
      <w:u w:val="single"/>
    </w:rPr>
  </w:style>
  <w:style w:type="character" w:styleId="1016" w:customStyle="1">
    <w:name w:val="强调1"/>
    <w:link w:val="763"/>
    <w:uiPriority w:val="0"/>
    <w:qFormat/>
    <w:rPr>
      <w:i/>
    </w:rPr>
  </w:style>
  <w:style w:type="character" w:styleId="1017" w:customStyle="1">
    <w:name w:val="超链接1"/>
    <w:link w:val="763"/>
    <w:uiPriority w:val="0"/>
    <w:rPr>
      <w:color w:val="0000ff"/>
      <w:u w:val="single"/>
    </w:rPr>
  </w:style>
  <w:style w:type="character" w:styleId="1018" w:customStyle="1">
    <w:name w:val="批注引用1"/>
    <w:link w:val="763"/>
    <w:uiPriority w:val="0"/>
    <w:semiHidden/>
    <w:rPr>
      <w:sz w:val="21"/>
      <w:szCs w:val="21"/>
    </w:rPr>
  </w:style>
  <w:style w:type="character" w:styleId="1019" w:customStyle="1">
    <w:name w:val="font5 Char"/>
    <w:link w:val="763"/>
    <w:uiPriority w:val="0"/>
    <w:rPr>
      <w:rFonts w:ascii="宋体" w:hAnsi="宋体" w:eastAsia="宋体"/>
      <w:sz w:val="28"/>
      <w:szCs w:val="28"/>
      <w:lang w:val="en-US" w:eastAsia="zh-CN" w:bidi="ar-SA"/>
    </w:rPr>
  </w:style>
  <w:style w:type="character" w:styleId="1020" w:customStyle="1">
    <w:name w:val="列出段落 Char"/>
    <w:link w:val="1021"/>
    <w:uiPriority w:val="0"/>
    <w:rPr>
      <w:rFonts w:ascii="Calibri" w:hAnsi="Calibri"/>
      <w:sz w:val="24"/>
      <w:szCs w:val="24"/>
      <w:lang w:eastAsia="en-US" w:bidi="en-US"/>
    </w:rPr>
  </w:style>
  <w:style w:type="paragraph" w:styleId="1021" w:customStyle="1">
    <w:name w:val="列出段落1"/>
    <w:basedOn w:val="763"/>
    <w:link w:val="1020"/>
    <w:uiPriority w:val="0"/>
    <w:qFormat/>
    <w:pPr>
      <w:contextualSpacing/>
      <w:ind w:left="720"/>
      <w:jc w:val="left"/>
      <w:widowControl/>
    </w:pPr>
    <w:rPr>
      <w:rFonts w:ascii="Calibri" w:hAnsi="Calibri"/>
      <w:sz w:val="24"/>
      <w:szCs w:val="24"/>
      <w:lang w:eastAsia="en-US" w:bidi="en-US"/>
    </w:rPr>
  </w:style>
  <w:style w:type="character" w:styleId="1022" w:customStyle="1">
    <w:name w:val="Heading 1 Char"/>
    <w:link w:val="764"/>
    <w:uiPriority w:val="9"/>
    <w:rPr>
      <w:rFonts w:ascii="Arial" w:hAnsi="Arial" w:eastAsia="Arial" w:cs="Arial"/>
      <w:sz w:val="40"/>
      <w:szCs w:val="40"/>
    </w:rPr>
  </w:style>
  <w:style w:type="character" w:styleId="1023" w:customStyle="1">
    <w:name w:val="font51"/>
    <w:link w:val="763"/>
    <w:uiPriority w:val="99"/>
    <w:qFormat/>
    <w:rPr>
      <w:rFonts w:hint="eastAsia" w:ascii="宋体" w:hAnsi="宋体" w:eastAsia="宋体" w:cs="宋体"/>
      <w:color w:val="ff0000"/>
      <w:sz w:val="20"/>
      <w:szCs w:val="20"/>
      <w:u w:val="none"/>
    </w:rPr>
  </w:style>
  <w:style w:type="character" w:styleId="1024" w:customStyle="1">
    <w:name w:val="二级目录 Char"/>
    <w:link w:val="1025"/>
    <w:uiPriority w:val="0"/>
    <w:rPr>
      <w:b/>
      <w:sz w:val="30"/>
      <w:szCs w:val="28"/>
      <w:lang w:val="en-US" w:eastAsia="zh-CN" w:bidi="ar-SA"/>
    </w:rPr>
  </w:style>
  <w:style w:type="paragraph" w:styleId="1025" w:customStyle="1">
    <w:name w:val="二级目录"/>
    <w:next w:val="763"/>
    <w:link w:val="1024"/>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26" w:customStyle="1">
    <w:name w:val="纯文本1"/>
    <w:basedOn w:val="763"/>
    <w:uiPriority w:val="0"/>
    <w:qFormat/>
    <w:rPr>
      <w:rFonts w:ascii="宋体" w:hAnsi="Courier New" w:eastAsia="宋体" w:cs="Courier New"/>
      <w:szCs w:val="21"/>
    </w:rPr>
  </w:style>
  <w:style w:type="paragraph" w:styleId="1027" w:customStyle="1">
    <w:name w:val="正文首行缩进1"/>
    <w:basedOn w:val="1028"/>
    <w:uiPriority w:val="0"/>
    <w:qFormat/>
    <w:pPr>
      <w:ind w:firstLine="200"/>
    </w:pPr>
    <w:rPr>
      <w:rFonts w:ascii="仿宋_GB2312" w:eastAsia="仿宋_GB2312"/>
      <w:sz w:val="30"/>
      <w:szCs w:val="30"/>
    </w:rPr>
  </w:style>
  <w:style w:type="paragraph" w:styleId="1028" w:customStyle="1">
    <w:name w:val="正文文本11"/>
    <w:basedOn w:val="763"/>
    <w:next w:val="763"/>
    <w:uiPriority w:val="0"/>
    <w:qFormat/>
    <w:rPr>
      <w:rFonts w:ascii="仿宋_GB2312" w:eastAsia="仿宋_GB2312"/>
      <w:sz w:val="24"/>
      <w:lang w:val="en-US" w:eastAsia="en-US"/>
    </w:rPr>
  </w:style>
  <w:style w:type="paragraph" w:styleId="1029" w:customStyle="1">
    <w:name w:val="普通 (Web)"/>
    <w:basedOn w:val="763"/>
    <w:uiPriority w:val="0"/>
    <w:pPr>
      <w:jc w:val="left"/>
      <w:spacing w:before="100" w:beforeAutospacing="1" w:after="100" w:afterAutospacing="1"/>
      <w:widowControl/>
    </w:pPr>
    <w:rPr>
      <w:rFonts w:ascii="宋体" w:hAnsi="宋体"/>
      <w:sz w:val="24"/>
      <w:szCs w:val="24"/>
    </w:rPr>
  </w:style>
  <w:style w:type="paragraph" w:styleId="1030" w:customStyle="1">
    <w:name w:val="标题 21"/>
    <w:basedOn w:val="763"/>
    <w:next w:val="10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1" w:customStyle="1">
    <w:name w:val="正文缩进1"/>
    <w:basedOn w:val="763"/>
    <w:uiPriority w:val="0"/>
    <w:qFormat/>
    <w:pPr>
      <w:ind w:firstLine="420"/>
    </w:pPr>
    <w:rPr>
      <w:szCs w:val="21"/>
    </w:rPr>
  </w:style>
  <w:style w:type="paragraph" w:styleId="1032" w:customStyle="1">
    <w:name w:val="Char Char Char Char"/>
    <w:basedOn w:val="967"/>
    <w:uiPriority w:val="0"/>
    <w:pPr>
      <w:spacing w:line="360" w:lineRule="auto"/>
    </w:pPr>
    <w:rPr>
      <w:rFonts w:ascii="Tahoma" w:hAnsi="Tahoma"/>
      <w:sz w:val="24"/>
      <w:szCs w:val="24"/>
    </w:rPr>
  </w:style>
  <w:style w:type="paragraph" w:styleId="1033" w:customStyle="1">
    <w:name w:val=" Char Char Char Char Char Char Char Char Char Char"/>
    <w:basedOn w:val="763"/>
    <w:uiPriority w:val="0"/>
    <w:pPr>
      <w:spacing w:line="360" w:lineRule="auto"/>
    </w:pPr>
    <w:rPr>
      <w:sz w:val="24"/>
      <w:szCs w:val="20"/>
    </w:rPr>
  </w:style>
  <w:style w:type="paragraph" w:styleId="1034" w:customStyle="1">
    <w:name w:val="4"/>
    <w:basedOn w:val="763"/>
    <w:next w:val="997"/>
    <w:uiPriority w:val="0"/>
    <w:pPr>
      <w:ind w:firstLine="420"/>
      <w:spacing w:line="360" w:lineRule="auto"/>
    </w:pPr>
    <w:rPr>
      <w:color w:val="ff0000"/>
      <w:sz w:val="24"/>
      <w:szCs w:val="24"/>
    </w:rPr>
  </w:style>
  <w:style w:type="paragraph" w:styleId="1035" w:customStyle="1">
    <w:name w:val="普通正文"/>
    <w:basedOn w:val="763"/>
    <w:uiPriority w:val="0"/>
    <w:qFormat/>
    <w:pPr>
      <w:ind w:firstLine="480"/>
      <w:jc w:val="left"/>
      <w:spacing w:before="120" w:after="120" w:line="360" w:lineRule="auto"/>
    </w:pPr>
    <w:rPr>
      <w:rFonts w:ascii="Arial" w:hAnsi="Arial"/>
      <w:sz w:val="24"/>
      <w:szCs w:val="24"/>
    </w:rPr>
  </w:style>
  <w:style w:type="paragraph" w:styleId="1036" w:customStyle="1">
    <w:name w:val="xl29"/>
    <w:basedOn w:val="763"/>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8" w:customStyle="1">
    <w:name w:val="修订"/>
    <w:uiPriority w:val="99"/>
    <w:semiHidden/>
    <w:rPr>
      <w:rFonts w:hint="default" w:ascii="Times New Roman" w:hAnsi="Times New Roman" w:eastAsia="宋体" w:cs="Times New Roman"/>
      <w:sz w:val="21"/>
      <w:szCs w:val="21"/>
      <w:lang w:val="en-US" w:eastAsia="zh-CN" w:bidi="ar-SA"/>
    </w:rPr>
  </w:style>
  <w:style w:type="paragraph" w:styleId="1039" w:customStyle="1">
    <w:name w:val="标题3"/>
    <w:basedOn w:val="763"/>
    <w:next w:val="763"/>
    <w:uiPriority w:val="0"/>
    <w:pPr>
      <w:ind w:firstLine="624"/>
      <w:spacing w:line="590" w:lineRule="atLeast"/>
    </w:pPr>
    <w:rPr>
      <w:rFonts w:ascii="方正黑体_GBK" w:eastAsia="方正黑体_GBK"/>
      <w:sz w:val="32"/>
      <w:szCs w:val="32"/>
    </w:rPr>
  </w:style>
  <w:style w:type="paragraph" w:styleId="1040" w:customStyle="1">
    <w:name w:val="xl25"/>
    <w:basedOn w:val="763"/>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customStyle="1">
    <w:name w:val="table_1stline"/>
    <w:basedOn w:val="763"/>
    <w:uiPriority w:val="0"/>
    <w:pPr>
      <w:jc w:val="left"/>
      <w:spacing w:before="120"/>
      <w:widowControl/>
    </w:pPr>
    <w:rPr>
      <w:bCs/>
      <w:sz w:val="20"/>
      <w:szCs w:val="20"/>
      <w:lang w:val="de-DE" w:eastAsia="de-DE"/>
    </w:rPr>
  </w:style>
  <w:style w:type="paragraph" w:styleId="1042" w:customStyle="1">
    <w:name w:val="font5"/>
    <w:basedOn w:val="763"/>
    <w:uiPriority w:val="0"/>
    <w:pPr>
      <w:jc w:val="left"/>
      <w:spacing w:before="100" w:beforeAutospacing="1" w:after="100" w:afterAutospacing="1"/>
      <w:widowControl/>
    </w:pPr>
    <w:rPr>
      <w:rFonts w:hint="eastAsia" w:ascii="宋体" w:hAnsi="宋体"/>
      <w:sz w:val="28"/>
      <w:szCs w:val="28"/>
    </w:rPr>
  </w:style>
  <w:style w:type="paragraph" w:styleId="1043" w:customStyle="1">
    <w:name w:val=" Char"/>
    <w:basedOn w:val="967"/>
    <w:uiPriority w:val="0"/>
    <w:rPr>
      <w:rFonts w:ascii="Tahoma" w:hAnsi="Tahoma"/>
      <w:sz w:val="24"/>
      <w:szCs w:val="24"/>
    </w:rPr>
  </w:style>
  <w:style w:type="paragraph" w:styleId="1044" w:customStyle="1">
    <w:name w:val="样式1"/>
    <w:basedOn w:val="763"/>
    <w:uiPriority w:val="0"/>
    <w:pPr>
      <w:numPr>
        <w:ilvl w:val="0"/>
        <w:numId w:val="3"/>
      </w:numPr>
    </w:pPr>
    <w:rPr>
      <w:rFonts w:ascii="宋体" w:hAnsi="宋体"/>
    </w:rPr>
  </w:style>
  <w:style w:type="paragraph" w:styleId="1045" w:customStyle="1">
    <w:name w:val="font6"/>
    <w:basedOn w:val="763"/>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列出段落"/>
    <w:basedOn w:val="763"/>
    <w:uiPriority w:val="0"/>
    <w:qFormat/>
    <w:pPr>
      <w:contextualSpacing/>
      <w:ind w:left="720"/>
      <w:jc w:val="left"/>
      <w:widowControl/>
    </w:pPr>
    <w:rPr>
      <w:rFonts w:ascii="Calibri" w:hAnsi="Calibri"/>
      <w:sz w:val="24"/>
      <w:szCs w:val="24"/>
      <w:lang w:eastAsia="en-US" w:bidi="en-US"/>
    </w:rPr>
  </w:style>
  <w:style w:type="paragraph" w:styleId="1047" w:customStyle="1">
    <w:name w:val="font7"/>
    <w:basedOn w:val="763"/>
    <w:uiPriority w:val="0"/>
    <w:qFormat/>
    <w:pPr>
      <w:jc w:val="left"/>
      <w:spacing w:before="100" w:beforeAutospacing="1" w:after="100" w:afterAutospacing="1"/>
      <w:widowControl/>
    </w:pPr>
    <w:rPr>
      <w:rFonts w:hint="eastAsia" w:ascii="宋体" w:hAnsi="宋体"/>
      <w:sz w:val="18"/>
      <w:szCs w:val="18"/>
    </w:rPr>
  </w:style>
  <w:style w:type="paragraph" w:styleId="1048" w:customStyle="1">
    <w:name w:val="xl28"/>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 Char Char Char Char Char Char Char Char"/>
    <w:basedOn w:val="763"/>
    <w:uiPriority w:val="0"/>
    <w:qFormat/>
    <w:pPr>
      <w:jc w:val="left"/>
      <w:spacing w:after="160" w:line="240" w:lineRule="exact"/>
      <w:widowControl/>
    </w:pPr>
    <w:rPr>
      <w:rFonts w:ascii="Verdana" w:hAnsi="Verdana"/>
      <w:sz w:val="20"/>
      <w:szCs w:val="20"/>
      <w:lang w:eastAsia="en-US"/>
    </w:rPr>
  </w:style>
  <w:style w:type="paragraph" w:styleId="1050" w:customStyle="1">
    <w:name w:val="xl26"/>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customStyle="1">
    <w:name w:val="标题1"/>
    <w:basedOn w:val="763"/>
    <w:next w:val="76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xl24"/>
    <w:basedOn w:val="7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正文文本1"/>
    <w:basedOn w:val="763"/>
    <w:next w:val="763"/>
    <w:uiPriority w:val="0"/>
    <w:qFormat/>
    <w:rPr>
      <w:rFonts w:ascii="楷体_GB2312" w:hAnsi="Arial" w:eastAsia="楷体_GB2312"/>
      <w:sz w:val="28"/>
      <w:szCs w:val="28"/>
    </w:rPr>
  </w:style>
  <w:style w:type="paragraph" w:styleId="1054" w:customStyle="1">
    <w:name w:val="xl30"/>
    <w:basedOn w:val="763"/>
    <w:uiPriority w:val="0"/>
    <w:qFormat/>
    <w:pPr>
      <w:jc w:val="center"/>
      <w:spacing w:before="100" w:beforeAutospacing="1" w:after="100" w:afterAutospacing="1"/>
      <w:widowControl/>
    </w:pPr>
    <w:rPr>
      <w:rFonts w:ascii="宋体" w:hAnsi="宋体"/>
      <w:b/>
      <w:bCs/>
      <w:sz w:val="36"/>
      <w:szCs w:val="36"/>
    </w:rPr>
  </w:style>
  <w:style w:type="paragraph" w:styleId="105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6" w:customStyle="1">
    <w:name w:val="Body Text(ch)"/>
    <w:basedOn w:val="763"/>
    <w:next w:val="973"/>
    <w:uiPriority w:val="0"/>
    <w:qFormat/>
    <w:pPr>
      <w:spacing w:after="120"/>
    </w:pPr>
    <w:rPr>
      <w:rFonts w:ascii="宋体" w:hAnsi="Arial"/>
      <w:bCs/>
      <w:iCs/>
      <w:szCs w:val="24"/>
    </w:rPr>
  </w:style>
  <w:style w:type="paragraph" w:styleId="1057" w:customStyle="1">
    <w:name w:val="图标"/>
    <w:basedOn w:val="763"/>
    <w:next w:val="76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8" w:customStyle="1">
    <w:name w:val="正文文本缩进1"/>
    <w:basedOn w:val="763"/>
    <w:uiPriority w:val="0"/>
    <w:unhideWhenUsed/>
    <w:qFormat/>
    <w:pPr>
      <w:ind w:left="420"/>
      <w:spacing w:after="120"/>
    </w:pPr>
  </w:style>
  <w:style w:type="paragraph" w:styleId="1059" w:customStyle="1">
    <w:name w:val="Char"/>
    <w:basedOn w:val="763"/>
    <w:uiPriority w:val="0"/>
    <w:qFormat/>
    <w:pPr>
      <w:ind w:firstLine="200"/>
      <w:tabs>
        <w:tab w:val="left" w:pos="360" w:leader="none"/>
      </w:tabs>
    </w:pPr>
    <w:rPr>
      <w:sz w:val="28"/>
      <w:szCs w:val="30"/>
    </w:rPr>
  </w:style>
  <w:style w:type="paragraph" w:styleId="1060" w:customStyle="1">
    <w:name w:val="table_lines"/>
    <w:basedOn w:val="763"/>
    <w:uiPriority w:val="0"/>
    <w:qFormat/>
    <w:pPr>
      <w:jc w:val="left"/>
      <w:widowControl/>
    </w:pPr>
    <w:rPr>
      <w:sz w:val="20"/>
      <w:szCs w:val="20"/>
      <w:lang w:val="de-DE" w:eastAsia="de-DE"/>
    </w:rPr>
  </w:style>
  <w:style w:type="paragraph" w:styleId="1061" w:customStyle="1">
    <w:name w:val="Char Char Char Char Char Char Char Char"/>
    <w:basedOn w:val="763"/>
    <w:uiPriority w:val="0"/>
    <w:qFormat/>
    <w:pPr>
      <w:jc w:val="left"/>
      <w:spacing w:after="160" w:line="240" w:lineRule="exact"/>
      <w:widowControl/>
    </w:pPr>
    <w:rPr>
      <w:rFonts w:ascii="Verdana" w:hAnsi="Verdana"/>
      <w:sz w:val="20"/>
      <w:szCs w:val="20"/>
      <w:lang w:eastAsia="en-US"/>
    </w:rPr>
  </w:style>
  <w:style w:type="paragraph" w:styleId="1062" w:customStyle="1">
    <w:name w:val="页脚1"/>
    <w:basedOn w:val="763"/>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1063" w:customStyle="1">
    <w:name w:val="xl27"/>
    <w:basedOn w:val="7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65" w:customStyle="1">
    <w:name w:val=" Char Char Char Char"/>
    <w:basedOn w:val="967"/>
    <w:uiPriority w:val="0"/>
    <w:qFormat/>
    <w:pPr>
      <w:spacing w:line="360" w:lineRule="auto"/>
    </w:pPr>
    <w:rPr>
      <w:rFonts w:ascii="Tahoma" w:hAnsi="Tahoma"/>
      <w:sz w:val="24"/>
      <w:szCs w:val="24"/>
    </w:rPr>
  </w:style>
  <w:style w:type="numbering" w:styleId="205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5</cp:revision>
  <dcterms:created xsi:type="dcterms:W3CDTF">2024-05-08T01:23:00Z</dcterms:created>
  <dcterms:modified xsi:type="dcterms:W3CDTF">2026-07-27T06:06:48Z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eyJoZGlkIjoiODE0ZTk2ZDAzOTJhYzkxMzg3MzhhNTBjOWRmZGFiZWYiLCJ1c2VySWQiOiIxMDc1NjE3NzQ4In0=</vt:lpwstr>
  </property>
  <property fmtid="{D5CDD505-2E9C-101B-9397-08002B2CF9AE}" pid="3" name="KSOProductBuildVer">
    <vt:lpwstr>2052-12.1.0.26895</vt:lpwstr>
  </property>
  <property fmtid="{D5CDD505-2E9C-101B-9397-08002B2CF9AE}" pid="4" name="ICV">
    <vt:lpwstr>0C59E9D3137449AA97EB13F7EB1F8817_12</vt:lpwstr>
  </property>
</Properties>
</file>