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68AC2">
      <w:pPr>
        <w:pStyle w:val="2"/>
        <w:widowControl/>
        <w:spacing w:beforeAutospacing="0" w:afterAutospacing="0" w:line="559" w:lineRule="exact"/>
        <w:jc w:val="center"/>
        <w:rPr>
          <w:rFonts w:hint="default" w:ascii="Times New Roman" w:hAnsi="Times New Roman" w:eastAsia="方正小标宋简体" w:cs="Times New Roman"/>
          <w:b w:val="0"/>
          <w:kern w:val="2"/>
          <w:sz w:val="44"/>
          <w:szCs w:val="44"/>
          <w:highlight w:val="none"/>
        </w:rPr>
      </w:pPr>
      <w:bookmarkStart w:id="0" w:name="_GoBack"/>
      <w:bookmarkEnd w:id="0"/>
      <w:r>
        <w:rPr>
          <w:rFonts w:hint="default" w:ascii="Times New Roman" w:hAnsi="Times New Roman" w:eastAsia="方正小标宋简体" w:cs="Times New Roman"/>
          <w:b w:val="0"/>
          <w:kern w:val="2"/>
          <w:sz w:val="44"/>
          <w:szCs w:val="44"/>
          <w:highlight w:val="none"/>
        </w:rPr>
        <w:t>2026年姑苏区环境卫生市场化作业管理</w:t>
      </w:r>
    </w:p>
    <w:p w14:paraId="461C4C17">
      <w:pPr>
        <w:pStyle w:val="2"/>
        <w:widowControl/>
        <w:spacing w:beforeAutospacing="0" w:afterAutospacing="0" w:line="559" w:lineRule="exact"/>
        <w:jc w:val="center"/>
        <w:rPr>
          <w:rFonts w:hint="default" w:ascii="Times New Roman" w:hAnsi="Times New Roman" w:eastAsia="方正小标宋简体" w:cs="Times New Roman"/>
          <w:b w:val="0"/>
          <w:kern w:val="2"/>
          <w:sz w:val="44"/>
          <w:szCs w:val="44"/>
          <w:highlight w:val="none"/>
        </w:rPr>
      </w:pPr>
      <w:r>
        <w:rPr>
          <w:rFonts w:hint="default" w:ascii="Times New Roman" w:hAnsi="Times New Roman" w:eastAsia="方正小标宋简体" w:cs="Times New Roman"/>
          <w:b w:val="0"/>
          <w:kern w:val="2"/>
          <w:sz w:val="44"/>
          <w:szCs w:val="44"/>
          <w:highlight w:val="none"/>
        </w:rPr>
        <w:t>考核办法</w:t>
      </w:r>
    </w:p>
    <w:p w14:paraId="5C0810F2">
      <w:pPr>
        <w:spacing w:line="559" w:lineRule="exact"/>
        <w:rPr>
          <w:rFonts w:hint="default" w:ascii="Times New Roman" w:hAnsi="Times New Roman" w:cs="Times New Roman"/>
          <w:highlight w:val="none"/>
        </w:rPr>
      </w:pPr>
    </w:p>
    <w:p w14:paraId="7D9E810D">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为深入学习贯彻习近平总书记关于城市工作的重要论述，聚焦“精细、精致、精微、精雅”目标，提升人居环境和空间品质，打造“干净、整洁、有序”“宜居、宜业、宜游”城市形象，结合当前环卫工作新形势、新任务、新变化，制定本办法。</w:t>
      </w:r>
    </w:p>
    <w:p w14:paraId="24DA7012">
      <w:pPr>
        <w:pStyle w:val="3"/>
        <w:widowControl/>
        <w:spacing w:beforeAutospacing="0" w:afterAutospacing="0" w:line="560" w:lineRule="exact"/>
        <w:ind w:firstLine="640" w:firstLineChars="20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一、考核主体</w:t>
      </w:r>
    </w:p>
    <w:p w14:paraId="23B5448A">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成立</w:t>
      </w:r>
      <w:r>
        <w:rPr>
          <w:rFonts w:hint="default" w:ascii="Times New Roman" w:hAnsi="Times New Roman" w:eastAsia="仿宋_GB2312" w:cs="Times New Roman"/>
          <w:b/>
          <w:bCs/>
          <w:kern w:val="0"/>
          <w:sz w:val="32"/>
          <w:szCs w:val="32"/>
          <w:highlight w:val="none"/>
        </w:rPr>
        <w:t>姑苏区环境卫生市场化作业管理考核工作领导小组</w:t>
      </w:r>
      <w:r>
        <w:rPr>
          <w:rFonts w:hint="default" w:ascii="Times New Roman" w:hAnsi="Times New Roman" w:eastAsia="仿宋_GB2312" w:cs="Times New Roman"/>
          <w:kern w:val="0"/>
          <w:sz w:val="32"/>
          <w:szCs w:val="32"/>
          <w:highlight w:val="none"/>
        </w:rPr>
        <w:t>（以下简称</w:t>
      </w:r>
      <w:r>
        <w:rPr>
          <w:rFonts w:hint="default" w:ascii="Times New Roman" w:hAnsi="Times New Roman" w:eastAsia="仿宋_GB2312" w:cs="Times New Roman"/>
          <w:b/>
          <w:bCs/>
          <w:kern w:val="0"/>
          <w:sz w:val="32"/>
          <w:szCs w:val="32"/>
          <w:highlight w:val="none"/>
        </w:rPr>
        <w:t>考核领导小组</w:t>
      </w:r>
      <w:r>
        <w:rPr>
          <w:rFonts w:hint="default" w:ascii="Times New Roman" w:hAnsi="Times New Roman" w:eastAsia="仿宋_GB2312" w:cs="Times New Roman"/>
          <w:kern w:val="0"/>
          <w:sz w:val="32"/>
          <w:szCs w:val="32"/>
          <w:highlight w:val="none"/>
        </w:rPr>
        <w:t>），作为全区环卫市场化作业监督考核工作的决策主体。领导小组由区城管委主任任组长、分管副主任任副组长；区人大、区政协派员参与全程监督考评，区城管委、各街道为成员单位。</w:t>
      </w:r>
    </w:p>
    <w:p w14:paraId="6F7490BE">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领导小组主要职责：统筹部署全区环卫市场化作业全域考核工作，审议并审定考核办法、考评标准等核心制度文件；统筹协调各成员单位开展联合监督考评；研究处置考核工作中的重大问题、争议事项、考核异议及相关投诉举报。</w:t>
      </w:r>
    </w:p>
    <w:p w14:paraId="38F9AD2D">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领导小组下设办公室，办公室设在区城管委环卫科（以下简称环卫科），由环卫科科长担任办公室主任，为考核工作日常办事机构。办公室主要职责：严格按照审定的考核办法，统筹开展日常考评、专项检查、数据统计汇总、问题督办整改等工作；负责考核日常运转、台账管理、材料报送、统筹各方对接协调；落实领导小组交办的各项考核任务。考核领导小组定期召开工作会议，研究部署阶段性考核重点，所有会议资料、工作台账按规范归档管理。</w:t>
      </w:r>
    </w:p>
    <w:p w14:paraId="563FAD06">
      <w:pPr>
        <w:pStyle w:val="3"/>
        <w:widowControl/>
        <w:spacing w:beforeAutospacing="0" w:afterAutospacing="0" w:line="560" w:lineRule="exact"/>
        <w:ind w:firstLine="640" w:firstLineChars="20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二、考核对象及内容</w:t>
      </w:r>
    </w:p>
    <w:p w14:paraId="04C0D605">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坚持公平、公正、公开、客观的考核原则，结合环卫作业分级分类精细化管理要求，开展常态化考核。</w:t>
      </w:r>
    </w:p>
    <w:p w14:paraId="2CAE8EF3">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（一）考核对象</w:t>
      </w:r>
    </w:p>
    <w:p w14:paraId="0E91E9E9">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承担姑苏区辖区环卫作业服务的各市场化作业企业，具体作业范围、服务事项以环卫移交管理底册清单核定内容为准。</w:t>
      </w:r>
    </w:p>
    <w:p w14:paraId="582A4B76">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（二）考核内容</w:t>
      </w:r>
    </w:p>
    <w:p w14:paraId="42DD6945">
      <w:pPr>
        <w:widowControl/>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1. 主次干道保洁</w:t>
      </w:r>
    </w:p>
    <w:p w14:paraId="45FAADA1">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快慢车道、公交专用车道、人行道、城市广场、步行街区、桥梁、过街天桥、地下通道等公共区域；道路树圈、交通隔离绿化带、沿街公共绿化花坛；主次干道配套垃圾收集亭（房、桶）、果壳箱、烟蒂收集设施；城市家具；交通隔离栏；建筑物外立面及公共设施乱涂乱贴乱刻画。</w:t>
      </w:r>
    </w:p>
    <w:p w14:paraId="1FC7EE7F">
      <w:pPr>
        <w:widowControl/>
        <w:numPr>
          <w:ilvl w:val="0"/>
          <w:numId w:val="1"/>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街巷新村保洁</w:t>
      </w:r>
    </w:p>
    <w:p w14:paraId="695C3514">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考核范围包括：背街小巷、老旧新村、零星楼宇、城中村；配套垃圾收集亭（房、桶）；区域内环境卫生整治；建筑物外立面及公共设施乱涂乱贴乱刻画。</w:t>
      </w:r>
    </w:p>
    <w:p w14:paraId="406744BC">
      <w:pPr>
        <w:widowControl/>
        <w:numPr>
          <w:ilvl w:val="0"/>
          <w:numId w:val="1"/>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绿地及口袋公园保洁</w:t>
      </w:r>
    </w:p>
    <w:p w14:paraId="5927B87B">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考核范围包括：城市绿地、口袋公园、绿化带及硬质铺装区域；绿地内果壳箱及其垃圾收运。</w:t>
      </w:r>
    </w:p>
    <w:p w14:paraId="39FD09D4">
      <w:pPr>
        <w:widowControl/>
        <w:numPr>
          <w:ilvl w:val="0"/>
          <w:numId w:val="1"/>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垃圾清运作业</w:t>
      </w:r>
    </w:p>
    <w:p w14:paraId="76DDE172">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考核范围包括：生活垃圾分类收运；1立方米及以下无主混合垃圾的清理清运；垃圾收运车辆管理；车辆停车、充电场地管理。</w:t>
      </w:r>
    </w:p>
    <w:p w14:paraId="7F5D76A0">
      <w:pPr>
        <w:widowControl/>
        <w:numPr>
          <w:ilvl w:val="0"/>
          <w:numId w:val="1"/>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机械化作业</w:t>
      </w:r>
    </w:p>
    <w:p w14:paraId="129AE393">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考核范围包括：各类机械化作业车辆、船只的作业频次、作业里程、作业路线；作业车辆行驶速度严格遵照行业管控标准执行；作业装备、设备日常运维、管理。</w:t>
      </w:r>
    </w:p>
    <w:p w14:paraId="1E78F589">
      <w:pPr>
        <w:widowControl/>
        <w:numPr>
          <w:ilvl w:val="0"/>
          <w:numId w:val="1"/>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公共卫生间保洁</w:t>
      </w:r>
    </w:p>
    <w:p w14:paraId="5F4455B5">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考核范围包括：公厕日常保洁消杀、环境卫生管控；设施设备完好度及维护保养；开放式服务及便民服务管理。</w:t>
      </w:r>
    </w:p>
    <w:p w14:paraId="2585EFE9">
      <w:pPr>
        <w:widowControl/>
        <w:numPr>
          <w:ilvl w:val="0"/>
          <w:numId w:val="1"/>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河道保洁及蓝藻处置</w:t>
      </w:r>
    </w:p>
    <w:p w14:paraId="43EB9BC1">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考核范围包括：考核河面漂浮物打捞、河内水草绿萍清理；河道边坡、桥洞垃圾、驳岸野生杂株、杂草及落水杂物清理清运；福寿螺卵排查清理；季节性蓝藻打捞、处置、清运及常态化管控。</w:t>
      </w:r>
    </w:p>
    <w:p w14:paraId="463B1290">
      <w:pPr>
        <w:widowControl/>
        <w:numPr>
          <w:ilvl w:val="0"/>
          <w:numId w:val="1"/>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综合管理事项</w:t>
      </w:r>
    </w:p>
    <w:p w14:paraId="58A31BB2">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作业人员在岗管理、工单处置办结、文明作业规范管控、突出问题整改落实、安全生产与应急管理、数据统计报送、台账资料规范管理等内容。各类数据、台账须按照统一制式、规定时限报送归档。</w:t>
      </w:r>
    </w:p>
    <w:p w14:paraId="417F038E">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本办法考核工单范围包含社会巡查工单、12345政务服务便民热线诉求、寒山闻钟平台诉求、市长信箱交办件、市民投诉举报等各类环卫处置任务。</w:t>
      </w:r>
    </w:p>
    <w:p w14:paraId="6819D8B8">
      <w:pPr>
        <w:pStyle w:val="3"/>
        <w:widowControl/>
        <w:spacing w:beforeAutospacing="0" w:afterAutospacing="0" w:line="560" w:lineRule="exact"/>
        <w:ind w:firstLine="640" w:firstLineChars="20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三、考核标准</w:t>
      </w:r>
    </w:p>
    <w:p w14:paraId="204ADFB6">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本办法配套制定《2026年姑苏区环境卫生市场化作业服务质量考核评分标准（考核扣分项）》（附件1）、《2026年姑苏区环境卫生市场化作业服务质量考核评分标准（综合奖惩项）》（附件2），</w:t>
      </w:r>
      <w:r>
        <w:rPr>
          <w:rFonts w:hint="default" w:ascii="Times New Roman" w:hAnsi="Times New Roman" w:eastAsia="仿宋_GB2312" w:cs="Times New Roman"/>
          <w:b/>
          <w:bCs/>
          <w:kern w:val="0"/>
          <w:sz w:val="32"/>
          <w:szCs w:val="32"/>
          <w:highlight w:val="none"/>
        </w:rPr>
        <w:t>附件为本办法不可分割的组成部分，</w:t>
      </w:r>
      <w:r>
        <w:rPr>
          <w:rFonts w:hint="default" w:ascii="Times New Roman" w:hAnsi="Times New Roman" w:eastAsia="仿宋_GB2312" w:cs="Times New Roman"/>
          <w:kern w:val="0"/>
          <w:sz w:val="32"/>
          <w:szCs w:val="32"/>
          <w:highlight w:val="none"/>
        </w:rPr>
        <w:t>所有考核评分、奖惩判定均严格按照两套配套标准执行。附件内容如需调整、修订，须经考核领导小组审议审定后方可实施。</w:t>
      </w:r>
    </w:p>
    <w:p w14:paraId="225EE91F">
      <w:pPr>
        <w:pStyle w:val="3"/>
        <w:widowControl/>
        <w:spacing w:beforeAutospacing="0" w:afterAutospacing="0" w:line="560" w:lineRule="exact"/>
        <w:ind w:firstLine="640" w:firstLineChars="20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四、考核方式及评分规则</w:t>
      </w:r>
    </w:p>
    <w:p w14:paraId="255D6B98">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环卫作业服务月度综合考核由环卫科（所）全程统筹组织、监督实施。月度综合考核由基础考核和奖惩考核组成，考核结果与各作业标段月度作业经费拨付直接挂钩。</w:t>
      </w:r>
    </w:p>
    <w:p w14:paraId="5C6A7858">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（一）基础考核</w:t>
      </w:r>
    </w:p>
    <w:p w14:paraId="228ECC63">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基础考核以各环卫作业标段为独立考核单元，实行月度百分制考核。考核成绩由街道考核成绩、环卫管理部门考核成绩、专项考核成绩加权核算得出，计算公式如下：</w:t>
      </w:r>
    </w:p>
    <w:p w14:paraId="5B43A16F">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基础考核成绩=街道考核成绩×40% +环卫管理部考核成绩×50% +专项考核成绩×10%</w:t>
      </w:r>
    </w:p>
    <w:p w14:paraId="489F6942">
      <w:pPr>
        <w:widowControl/>
        <w:numPr>
          <w:ilvl w:val="0"/>
          <w:numId w:val="2"/>
        </w:numPr>
        <w:spacing w:line="560" w:lineRule="exact"/>
        <w:ind w:firstLine="643"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街道考核成绩</w:t>
      </w:r>
    </w:p>
    <w:p w14:paraId="2C3A6C11">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由属地街道组织开展现场考核，邀请人大代表、政协委员参与监督考评，考评过程全程留痕。考核统一使用指定考核系统，严格对照各标段检查样本、点位底册开展全覆盖检查，考核数据以系统留存原始记录为唯一依据。</w:t>
      </w:r>
    </w:p>
    <w:p w14:paraId="1248FCD3">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各街道须按时完成当月考核工作，并于次月5日前将正式考核结果报送至环卫科（所）备案。作业企业对街道考核数据有异议的，可在收到考核结果后3个工作日内向街道提交复核申请。</w:t>
      </w:r>
    </w:p>
    <w:p w14:paraId="59B18D0D">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街道考核成绩采取加权计分方式，计算公式如下：</w:t>
      </w:r>
    </w:p>
    <w:p w14:paraId="61D00658">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街道考核成绩=街道日常检查成绩×80% +人大、政协监督考评成绩×20%</w:t>
      </w:r>
    </w:p>
    <w:p w14:paraId="2381652C">
      <w:pPr>
        <w:widowControl/>
        <w:numPr>
          <w:ilvl w:val="0"/>
          <w:numId w:val="2"/>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环卫管理部门考核成绩</w:t>
      </w:r>
    </w:p>
    <w:p w14:paraId="0B63141D">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环卫管理部门考核成绩实行百分制，由日常检查成绩、信息化监管成绩、工单处置成绩加权核算。</w:t>
      </w:r>
    </w:p>
    <w:p w14:paraId="4EE992E1">
      <w:pPr>
        <w:widowControl/>
        <w:numPr>
          <w:ilvl w:val="0"/>
          <w:numId w:val="3"/>
        </w:num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日常检查 </w:t>
      </w:r>
    </w:p>
    <w:p w14:paraId="5FB24F8F">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实行“双轨制”考评机制，由城管委环卫科、区环卫所分别组织开展现场抽查工作，</w:t>
      </w:r>
      <w:r>
        <w:rPr>
          <w:rFonts w:hint="default" w:ascii="Times New Roman" w:hAnsi="Times New Roman" w:eastAsia="仿宋_GB2312" w:cs="Times New Roman"/>
          <w:b/>
          <w:bCs/>
          <w:kern w:val="0"/>
          <w:sz w:val="32"/>
          <w:szCs w:val="32"/>
          <w:highlight w:val="none"/>
        </w:rPr>
        <w:t>抽查点位占标段总点位比例不低于20%。</w:t>
      </w:r>
    </w:p>
    <w:p w14:paraId="5288B8BB">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考核统一使用指定考核系统，对照各标段检查样本、点位底册随机抽查核验，检查结果及数据以系统留存记录为准，确保考核公平公正、全程留痕。</w:t>
      </w:r>
    </w:p>
    <w:p w14:paraId="3DD6E8CD">
      <w:pPr>
        <w:widowControl/>
        <w:numPr>
          <w:ilvl w:val="0"/>
          <w:numId w:val="3"/>
        </w:num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信息化监管 </w:t>
      </w:r>
    </w:p>
    <w:p w14:paraId="529F049C">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依托智慧环卫信息化监管系统开展线上动态考核，分为作业设备监管和公厕夜间巡更监管两大模块，据实统计计分。①作业设备监管：对道路保洁、垃圾收运、河道保洁作业车辆、专用设备、作业船舶实施全天候动态监测，采集作业频次、行驶里程、运行路线、行驶速度、作业时长等核心指标，结合作业规范标准核算得分。②公厕夜间巡更监管：对公厕夜间巡更履职情况开展线上管控，结合巡更点位覆盖率、巡更频次等内容综合计分。</w:t>
      </w:r>
    </w:p>
    <w:p w14:paraId="4434EFE4">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因</w:t>
      </w:r>
      <w:r>
        <w:rPr>
          <w:rFonts w:hint="default" w:ascii="Times New Roman" w:hAnsi="Times New Roman" w:eastAsia="仿宋_GB2312" w:cs="Times New Roman"/>
          <w:b/>
          <w:bCs/>
          <w:kern w:val="0"/>
          <w:sz w:val="32"/>
          <w:szCs w:val="32"/>
          <w:highlight w:val="none"/>
        </w:rPr>
        <w:t>极端天气（气象部门发布暴雨、台风、暴雪、高温红色预警等不可抗力情形）</w:t>
      </w:r>
      <w:r>
        <w:rPr>
          <w:rFonts w:hint="default" w:ascii="Times New Roman" w:hAnsi="Times New Roman" w:eastAsia="仿宋_GB2312" w:cs="Times New Roman"/>
          <w:kern w:val="0"/>
          <w:sz w:val="32"/>
          <w:szCs w:val="32"/>
          <w:highlight w:val="none"/>
        </w:rPr>
        <w:t>、系统故障等客观特殊情形产生的无效考核数据，作业单位可主动提交完整佐证材料；主管部门收到材料后，须在3个工作日内完成核查并书面反馈结果，确认无效后统一剔除当期无效数据，对应数据不参与当期成绩核算。</w:t>
      </w:r>
    </w:p>
    <w:p w14:paraId="6127847A">
      <w:pPr>
        <w:widowControl/>
        <w:numPr>
          <w:ilvl w:val="0"/>
          <w:numId w:val="3"/>
        </w:num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工单处置 </w:t>
      </w:r>
    </w:p>
    <w:p w14:paraId="146DB20F">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工单派发、处置进度、办结状态均以系统原始记录为唯一依据。合规办结工单定义为：在规定时限内完成处置且作业质量达标。</w:t>
      </w:r>
    </w:p>
    <w:p w14:paraId="4FF44535">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计算公式如下：</w:t>
      </w:r>
    </w:p>
    <w:p w14:paraId="540C5255">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工单处置成绩=当期已合规办结工单数÷当期应办结工单数×100%</w:t>
      </w:r>
    </w:p>
    <w:p w14:paraId="4E6C6923">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同一问题反复投诉界定为：同一点位、同一环卫问题，1个季度内累计投诉3次及以上。工单处置超时、处置结果不达标、反复投诉等履职不力情形，不再计入基础考核扣分，统一纳入奖惩考核范畴管控。</w:t>
      </w:r>
    </w:p>
    <w:p w14:paraId="67872C66">
      <w:pPr>
        <w:widowControl/>
        <w:numPr>
          <w:ilvl w:val="0"/>
          <w:numId w:val="3"/>
        </w:num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分项目计分规则 </w:t>
      </w:r>
    </w:p>
    <w:p w14:paraId="05B38F27">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道路保洁、河道保洁、公共卫生间保洁三大核心作业项目，环卫管理部门考核成绩执行加权计分标准，公式如下：</w:t>
      </w:r>
    </w:p>
    <w:p w14:paraId="035ED661">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环卫管理部门考核成绩（道路保洁/河道保洁）=环卫科督查成绩×20% +环卫所检查成绩×20% + 信息化监管成绩×40% +工单处置成绩×20%</w:t>
      </w:r>
    </w:p>
    <w:p w14:paraId="66A9F202">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环卫管理部门考核成绩（公共卫生间保洁）=环卫科督查成绩×30% +环卫所检查成绩×30% + 信息化监管成绩×20% +工单处置成绩×20%</w:t>
      </w:r>
    </w:p>
    <w:p w14:paraId="7F6D802B">
      <w:pPr>
        <w:widowControl/>
        <w:numPr>
          <w:ilvl w:val="0"/>
          <w:numId w:val="2"/>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 xml:space="preserve">专项考核成绩 </w:t>
      </w:r>
    </w:p>
    <w:p w14:paraId="0E057D11">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结合季节性环卫作业特点、阶段性重点工作部署、辖区环境卫生突出问题，采取不定期抽查、专项督查、重点核验相结合的方式开展专项考核，考核评分参照本办法附件标准执行。所有专项督查结果按月统一归集、汇总核算，形成各作业标段月度专项考核成绩。</w:t>
      </w:r>
    </w:p>
    <w:p w14:paraId="7ABC71D4">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（二）奖惩考核</w:t>
      </w:r>
    </w:p>
    <w:p w14:paraId="24E65266">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奖惩考核严格参照附件2《综合奖惩项》既定标准执行，围绕作业人员管理、作业车辆及船只运维、安全生产管理、社会责任履行、垃圾分类工作质效、日常作业管控、突发事件应急处置等核心维度，建立常态化考核奖惩机制。</w:t>
      </w:r>
    </w:p>
    <w:p w14:paraId="20E608D5">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月度考核实行奖惩机制，对作业成效显著、作业质量达标、履职尽责到位的单位给予资金奖励；对违规作业、履职不到位、问题频发的单位予以资金扣罚。所有奖惩款项均从各单位月度作业经费中统一结算，考核及奖惩结果同步公示，并书面告知各作业企业。</w:t>
      </w:r>
    </w:p>
    <w:p w14:paraId="211C94FC">
      <w:pPr>
        <w:pStyle w:val="3"/>
        <w:widowControl/>
        <w:spacing w:beforeAutospacing="0" w:afterAutospacing="0" w:line="560" w:lineRule="exact"/>
        <w:ind w:firstLine="640" w:firstLineChars="20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五、管理措施</w:t>
      </w:r>
    </w:p>
    <w:p w14:paraId="62D73990">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（一）考核结果通报公示</w:t>
      </w:r>
    </w:p>
    <w:p w14:paraId="200421BF">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环卫科（所）对环卫作业服务实施常态化监督管理，每日通报各作业标段作业质量问题；针对核查发现的突出问题，按需制发整改督办文书。各作业企业可通过业务管理系统查询实时考核数据，对系统公示考核结果有异议的，可自考核结果上线之日起3个工作日内向考核实施单位提出申诉。</w:t>
      </w:r>
    </w:p>
    <w:p w14:paraId="0958B402">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每月汇总核算各作业企业考核得分，形成月度综合考核通报并在行业内部公示，</w:t>
      </w:r>
      <w:r>
        <w:rPr>
          <w:rFonts w:hint="default" w:ascii="Times New Roman" w:hAnsi="Times New Roman" w:eastAsia="仿宋_GB2312" w:cs="Times New Roman"/>
          <w:b/>
          <w:bCs/>
          <w:kern w:val="0"/>
          <w:sz w:val="32"/>
          <w:szCs w:val="32"/>
          <w:highlight w:val="none"/>
        </w:rPr>
        <w:t>公示期不少于3个工作日，</w:t>
      </w:r>
      <w:r>
        <w:rPr>
          <w:rFonts w:hint="default" w:ascii="Times New Roman" w:hAnsi="Times New Roman" w:eastAsia="仿宋_GB2312" w:cs="Times New Roman"/>
          <w:kern w:val="0"/>
          <w:sz w:val="32"/>
          <w:szCs w:val="32"/>
          <w:highlight w:val="none"/>
        </w:rPr>
        <w:t>完整考核资料同步报送考核工作领导小组备案，主动接受各方监督。</w:t>
      </w:r>
    </w:p>
    <w:p w14:paraId="3693DD7D">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月度考核通报以正式书面形式送达各作业企业。作业企业对月度考核结果存有异议的，应当在公示期内向考核领导小组办公室提交书面复核申请；领导小组办公室收到复核申请后，须在5个工作日内完成核查工作，并出具最终复核结论。</w:t>
      </w:r>
    </w:p>
    <w:p w14:paraId="011312C9">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（二）作业经费拨付</w:t>
      </w:r>
    </w:p>
    <w:p w14:paraId="72E47326">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环卫科（所）以月度考核结果为依据，建立 “分类设定考核基准、按得分差值梯度结算” 的经费结算机制，同步结合考核奖惩情况统一结算奖励与扣减资金。具体标准如下：</w:t>
      </w:r>
    </w:p>
    <w:p w14:paraId="2DFB3E22">
      <w:pPr>
        <w:widowControl/>
        <w:spacing w:line="560" w:lineRule="exact"/>
        <w:ind w:firstLine="643"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1.道路保洁</w:t>
      </w:r>
      <w:r>
        <w:rPr>
          <w:rFonts w:hint="default" w:ascii="Times New Roman" w:hAnsi="Times New Roman" w:eastAsia="仿宋_GB2312" w:cs="Times New Roman"/>
          <w:kern w:val="0"/>
          <w:sz w:val="32"/>
          <w:szCs w:val="32"/>
          <w:highlight w:val="none"/>
        </w:rPr>
        <w:t>：月度考核基准分为95分，实际得分低于基准分的，按分值差梯度扣减月度作业经费。得分每降低2分（不足2分按2分计），扣减当月道路保洁作业经费总额的1%。</w:t>
      </w:r>
    </w:p>
    <w:p w14:paraId="4F1041E8">
      <w:pPr>
        <w:widowControl/>
        <w:spacing w:line="560" w:lineRule="exact"/>
        <w:ind w:firstLine="643"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2.河道保洁</w:t>
      </w:r>
      <w:r>
        <w:rPr>
          <w:rFonts w:hint="default" w:ascii="Times New Roman" w:hAnsi="Times New Roman" w:eastAsia="仿宋_GB2312" w:cs="Times New Roman"/>
          <w:kern w:val="0"/>
          <w:sz w:val="32"/>
          <w:szCs w:val="32"/>
          <w:highlight w:val="none"/>
        </w:rPr>
        <w:t>：月度考核基准分为97分，实际得分低于基准分的，按分值差梯度扣减月度作业经费。得分每降低2分（不足2分按2分计），扣减当月河道保洁作业经费总额的1%。</w:t>
      </w:r>
    </w:p>
    <w:p w14:paraId="7BDB606C">
      <w:pPr>
        <w:widowControl/>
        <w:spacing w:line="560" w:lineRule="exact"/>
        <w:ind w:firstLine="643"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3.公厕保洁</w:t>
      </w:r>
      <w:r>
        <w:rPr>
          <w:rFonts w:hint="default" w:ascii="Times New Roman" w:hAnsi="Times New Roman" w:eastAsia="仿宋_GB2312" w:cs="Times New Roman"/>
          <w:kern w:val="0"/>
          <w:sz w:val="32"/>
          <w:szCs w:val="32"/>
          <w:highlight w:val="none"/>
        </w:rPr>
        <w:t>：月度考核基准分为97分，实际得分低于基准分的，按分值差梯度扣减月度作业经费。得分每降低2分（不足2分按2分计），扣减当月公厕保洁作业经费总额的1%。</w:t>
      </w:r>
    </w:p>
    <w:p w14:paraId="53CDDB54">
      <w:pPr>
        <w:widowControl/>
        <w:spacing w:line="560" w:lineRule="exact"/>
        <w:ind w:firstLine="643"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4.经费结算规则：</w:t>
      </w:r>
      <w:r>
        <w:rPr>
          <w:rFonts w:hint="default" w:ascii="Times New Roman" w:hAnsi="Times New Roman" w:eastAsia="仿宋_GB2312" w:cs="Times New Roman"/>
          <w:kern w:val="0"/>
          <w:sz w:val="32"/>
          <w:szCs w:val="32"/>
          <w:highlight w:val="none"/>
        </w:rPr>
        <w:t>月度综合扣款、奖励资金统一在当月经费中兑付；自当月考核结果公示期满无异议之日起90日内完成全流程结算。</w:t>
      </w:r>
    </w:p>
    <w:p w14:paraId="0745428B">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（三）问题整改与约谈督办</w:t>
      </w:r>
    </w:p>
    <w:p w14:paraId="10444E07">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企业在合同履约期间，发生重大劳务纠纷、劳动用工违规、安全生产隐患、区级及以上官方主流媒体负面曝光、重大责任事故等造成不良社会影响的问题，由区城管委或属地街道牵头约谈企业负责人，下达统一制式的书面整改通知，明确整改时限、整改标准。</w:t>
      </w:r>
    </w:p>
    <w:p w14:paraId="79002076">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环卫科（所）全程跟踪督办整改落实情况，对逾期未整改、整改不到位的，依据附件奖惩标准叠加考核惩戒，并将相关情况纳入企业信用评价。所有整改文书、督办记录统一归档留存。</w:t>
      </w:r>
    </w:p>
    <w:p w14:paraId="213FB2F9">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（四）市场化清退机制</w:t>
      </w:r>
    </w:p>
    <w:p w14:paraId="7CEAC2E2">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为规范环卫市场化作业企业履约管理，强化考核结果刚性运用，整治严重违约、违规作业行为，建立健全市场化清退机制。本清退规定作为环卫市场化服务合同有效组成部分，与合同解除条款同步执行，具体规定如下：</w:t>
      </w:r>
    </w:p>
    <w:p w14:paraId="16584EDD">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1.作业企业在一个自然年度内，因劳动用工权益保障不到位、安全生产管理混乱、作业质量严重不达标等核心重大问题，被主管部门下达书面责令整改通知书，且逾期未整改、整改复查不合格或拒不整改的，累计达3次的，由环卫科（所）核查取证后，提请考核领导小组审议，经审议通过后，启动企业清退、服务合同终止程序。</w:t>
      </w:r>
    </w:p>
    <w:p w14:paraId="1A0755ED">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2.作业企业在合同履约期间，因企业自身经营及作业行为违法违规，被司法机关作出刑事处罚，或被行政执法部门予以责令停产停业、暂扣/吊销经营许可证、营业执照等重大行政处罚的，由环卫科（所）核实取证、查清事实后上报考核工作领导小组，经集体审议通过，启动企业清退、服务合同终止程序。员工个人存在违法犯罪行为的，不直接追究企业主体责任。</w:t>
      </w:r>
    </w:p>
    <w:p w14:paraId="25941FA6">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3.作业企业履约期间，因作业管理失职、安全管控缺位，引发较大及以上生产安全事故（按照《生产安全事故报告和调查处理条例》认定）；或承担主要及以上责任、造成恶劣社会影响的重大及以上道路交通事故（以公安交管部门事故认定书为准），由环卫科（所）核实事故认定书、损失核算报告等佐证材料，上报考核领导小组审议，经审议通过后，启动企业清退、服务合同终止程序。</w:t>
      </w:r>
    </w:p>
    <w:p w14:paraId="0173942E">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4.清退闭环管理程序： </w:t>
      </w:r>
    </w:p>
    <w:p w14:paraId="6644AB3C">
      <w:pPr>
        <w:widowControl/>
        <w:numPr>
          <w:ilvl w:val="0"/>
          <w:numId w:val="4"/>
        </w:num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前置核查告知：环卫科（所）全面核查企业违规违约事实，固定书面、影像佐证材料，出具书面告知文书并当面送达、留存签收记录，明确违规事实、拟清退依据及决定。企业收到告知书后，享有3个工作日的陈述申辩权利，环卫科（所）完整记录申辩内容并开展书面复核。</w:t>
      </w:r>
    </w:p>
    <w:p w14:paraId="323E114F">
      <w:pPr>
        <w:widowControl/>
        <w:numPr>
          <w:ilvl w:val="0"/>
          <w:numId w:val="4"/>
        </w:num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集体审议决策：所有企业清退事项必须经考核领导小组集体研究审议，形成正式书面审议结论，审议会议纪要永久归档备查。</w:t>
      </w:r>
    </w:p>
    <w:p w14:paraId="4E7FBCC3">
      <w:pPr>
        <w:widowControl/>
        <w:numPr>
          <w:ilvl w:val="0"/>
          <w:numId w:val="4"/>
        </w:num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作业接续处置：清退审议通过、正式终止服务合同后，为保障城区环卫作业连续性、稳定性，剩余合同期作业任务由区属国有企业临时接管，临时接管期限原则上不超过6个月，接管期间作业标准、费用结算按照全区统一标准执行；后续按法定流程重新组织公开招标。 </w:t>
      </w:r>
    </w:p>
    <w:p w14:paraId="1F4B2EF0">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4）信用惩戒备案：作业企业存在瞒报、谎报重大安全事故、违法处罚信息等弄虚作假行为的，实行行业信用一票否决，纳入环卫行业失信企业名录，由区城管委汇总上报市局备案，依规实施行业联合惩戒。失信企业完成整改、惩戒期满后，可按照市、区信用管理相关规定申请信用修复。</w:t>
      </w:r>
    </w:p>
    <w:p w14:paraId="0029FE89">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（五）企业信用动态管理</w:t>
      </w:r>
    </w:p>
    <w:p w14:paraId="105C391F">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严格依据《苏州市环卫作业企业信用管理办法》，将各市场化作业企业的基础信息、日常考核结果、良好履职行为、违规不良行为、合同履约情况等全部纳入全区环卫行业信用管理体系。</w:t>
      </w:r>
    </w:p>
    <w:p w14:paraId="176AB6B2">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全区按</w:t>
      </w:r>
      <w:r>
        <w:rPr>
          <w:rFonts w:hint="default" w:ascii="Times New Roman" w:hAnsi="Times New Roman" w:eastAsia="仿宋_GB2312" w:cs="Times New Roman"/>
          <w:b/>
          <w:bCs/>
          <w:kern w:val="0"/>
          <w:sz w:val="32"/>
          <w:szCs w:val="32"/>
          <w:highlight w:val="none"/>
        </w:rPr>
        <w:t>自然年度</w:t>
      </w:r>
      <w:r>
        <w:rPr>
          <w:rFonts w:hint="default" w:ascii="Times New Roman" w:hAnsi="Times New Roman" w:eastAsia="仿宋_GB2312" w:cs="Times New Roman"/>
          <w:kern w:val="0"/>
          <w:sz w:val="32"/>
          <w:szCs w:val="32"/>
          <w:highlight w:val="none"/>
        </w:rPr>
        <w:t>开展环卫作业企业信用综合评价，评价结果划分相应信用等级，信用信息依规对外公示并接受企业异议复核。企业年度信用评价结果作为后续环卫市场化项目招投标、评优评先、合作准入的核心依据，实现考核结果与市场准入、信用惩戒深度挂钩。</w:t>
      </w:r>
    </w:p>
    <w:p w14:paraId="1F390764">
      <w:pPr>
        <w:pStyle w:val="3"/>
        <w:widowControl/>
        <w:spacing w:beforeAutospacing="0" w:afterAutospacing="0" w:line="560" w:lineRule="exact"/>
        <w:ind w:firstLine="640" w:firstLineChars="20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六、附则</w:t>
      </w:r>
    </w:p>
    <w:p w14:paraId="4C89C30D">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1.本办法施行之日起，姑苏区原有环境卫生市场化作业考核相关规定与本办法内容不一致的，以本办法为准。</w:t>
      </w:r>
    </w:p>
    <w:p w14:paraId="08691F86">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2.本办法根据上级政策调整、日常实施成效及环卫工作实际需求，由考核领导小组办公室提请领导小组审议后适时修订完善；办法修订后，按正式公文流程印发，并向上级主管部门报备。</w:t>
      </w:r>
    </w:p>
    <w:p w14:paraId="5E9E0118">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3.本办法由考核领导小组办公室（区城管委环卫科）负责解释。</w:t>
      </w:r>
    </w:p>
    <w:p w14:paraId="247E2A92">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4.本办法自印发之日起施行。</w:t>
      </w:r>
    </w:p>
    <w:p w14:paraId="3CB4383B">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p>
    <w:p w14:paraId="4FCD02CA">
      <w:pPr>
        <w:overflowPunct w:val="0"/>
        <w:adjustRightInd w:val="0"/>
        <w:snapToGrid w:val="0"/>
        <w:spacing w:line="560" w:lineRule="exact"/>
        <w:ind w:left="2198" w:leftChars="304" w:hanging="1560" w:hangingChars="5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napToGrid w:val="0"/>
          <w:spacing w:val="-4"/>
          <w:kern w:val="0"/>
          <w:sz w:val="32"/>
          <w:szCs w:val="32"/>
          <w:highlight w:val="none"/>
        </w:rPr>
        <w:t xml:space="preserve">附件：5-1. </w:t>
      </w:r>
      <w:r>
        <w:rPr>
          <w:rFonts w:hint="default" w:ascii="Times New Roman" w:hAnsi="Times New Roman" w:eastAsia="仿宋_GB2312" w:cs="Times New Roman"/>
          <w:sz w:val="32"/>
          <w:szCs w:val="32"/>
          <w:highlight w:val="none"/>
          <w:shd w:val="clear" w:color="auto" w:fill="FFFFFF"/>
        </w:rPr>
        <w:t>姑苏区环境卫生市场化作业管理质量考核评分标</w:t>
      </w:r>
    </w:p>
    <w:p w14:paraId="58655AA3">
      <w:pPr>
        <w:overflowPunct w:val="0"/>
        <w:adjustRightInd w:val="0"/>
        <w:snapToGrid w:val="0"/>
        <w:spacing w:line="560" w:lineRule="exact"/>
        <w:ind w:firstLine="2080" w:firstLineChars="65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准（考核扣分项）</w:t>
      </w:r>
    </w:p>
    <w:p w14:paraId="27BE7C60">
      <w:pPr>
        <w:overflowPunct w:val="0"/>
        <w:adjustRightInd w:val="0"/>
        <w:snapToGrid w:val="0"/>
        <w:spacing w:line="560" w:lineRule="exact"/>
        <w:ind w:firstLine="1560" w:firstLineChars="500"/>
        <w:rPr>
          <w:rFonts w:hint="default" w:ascii="Times New Roman" w:hAnsi="Times New Roman" w:eastAsia="仿宋_GB2312" w:cs="Times New Roman"/>
          <w:snapToGrid w:val="0"/>
          <w:spacing w:val="-4"/>
          <w:kern w:val="0"/>
          <w:sz w:val="32"/>
          <w:szCs w:val="32"/>
          <w:highlight w:val="none"/>
        </w:rPr>
      </w:pPr>
      <w:r>
        <w:rPr>
          <w:rFonts w:hint="default" w:ascii="Times New Roman" w:hAnsi="Times New Roman" w:eastAsia="仿宋_GB2312" w:cs="Times New Roman"/>
          <w:snapToGrid w:val="0"/>
          <w:spacing w:val="-4"/>
          <w:kern w:val="0"/>
          <w:sz w:val="32"/>
          <w:szCs w:val="32"/>
          <w:highlight w:val="none"/>
        </w:rPr>
        <w:t>5-2. 姑苏区环境卫生市场化作业管理质量考核评分标</w:t>
      </w:r>
    </w:p>
    <w:p w14:paraId="50F96013">
      <w:pPr>
        <w:overflowPunct w:val="0"/>
        <w:adjustRightInd w:val="0"/>
        <w:snapToGrid w:val="0"/>
        <w:spacing w:line="560" w:lineRule="exact"/>
        <w:ind w:firstLine="2028" w:firstLineChars="650"/>
        <w:rPr>
          <w:rFonts w:hint="default" w:ascii="Times New Roman" w:hAnsi="Times New Roman" w:eastAsia="仿宋_GB2312" w:cs="Times New Roman"/>
          <w:snapToGrid w:val="0"/>
          <w:spacing w:val="-4"/>
          <w:kern w:val="0"/>
          <w:sz w:val="32"/>
          <w:szCs w:val="32"/>
          <w:highlight w:val="none"/>
        </w:rPr>
      </w:pPr>
      <w:r>
        <w:rPr>
          <w:rFonts w:hint="default" w:ascii="Times New Roman" w:hAnsi="Times New Roman" w:eastAsia="仿宋_GB2312" w:cs="Times New Roman"/>
          <w:snapToGrid w:val="0"/>
          <w:spacing w:val="-4"/>
          <w:kern w:val="0"/>
          <w:sz w:val="32"/>
          <w:szCs w:val="32"/>
          <w:highlight w:val="none"/>
        </w:rPr>
        <w:t>准（综合奖惩项）</w:t>
      </w:r>
    </w:p>
    <w:p w14:paraId="7BD0F765">
      <w:pPr>
        <w:overflowPunct w:val="0"/>
        <w:adjustRightInd w:val="0"/>
        <w:snapToGrid w:val="0"/>
        <w:spacing w:line="560" w:lineRule="exact"/>
        <w:rPr>
          <w:rFonts w:hint="default" w:ascii="Times New Roman" w:hAnsi="Times New Roman" w:eastAsia="黑体" w:cs="Times New Roman"/>
          <w:snapToGrid w:val="0"/>
          <w:spacing w:val="-4"/>
          <w:kern w:val="0"/>
          <w:sz w:val="32"/>
          <w:szCs w:val="32"/>
          <w:highlight w:val="none"/>
        </w:rPr>
      </w:pPr>
      <w:r>
        <w:rPr>
          <w:rFonts w:hint="default" w:ascii="Times New Roman" w:hAnsi="Times New Roman" w:eastAsia="黑体" w:cs="Times New Roman"/>
          <w:snapToGrid w:val="0"/>
          <w:spacing w:val="-4"/>
          <w:kern w:val="0"/>
          <w:sz w:val="32"/>
          <w:szCs w:val="32"/>
          <w:highlight w:val="none"/>
        </w:rPr>
        <w:t>附件5-1</w:t>
      </w:r>
    </w:p>
    <w:p w14:paraId="62720C52">
      <w:pPr>
        <w:overflowPunct w:val="0"/>
        <w:adjustRightInd w:val="0"/>
        <w:snapToGrid w:val="0"/>
        <w:spacing w:line="560" w:lineRule="exact"/>
        <w:jc w:val="center"/>
        <w:rPr>
          <w:rFonts w:hint="default" w:ascii="Times New Roman" w:hAnsi="Times New Roman" w:eastAsia="方正小标宋简体" w:cs="Times New Roman"/>
          <w:snapToGrid w:val="0"/>
          <w:spacing w:val="-12"/>
          <w:w w:val="95"/>
          <w:kern w:val="0"/>
          <w:sz w:val="44"/>
          <w:szCs w:val="44"/>
          <w:highlight w:val="none"/>
        </w:rPr>
      </w:pPr>
      <w:r>
        <w:rPr>
          <w:rFonts w:hint="default" w:ascii="Times New Roman" w:hAnsi="Times New Roman" w:eastAsia="方正小标宋简体" w:cs="Times New Roman"/>
          <w:snapToGrid w:val="0"/>
          <w:spacing w:val="-12"/>
          <w:w w:val="95"/>
          <w:kern w:val="0"/>
          <w:sz w:val="44"/>
          <w:szCs w:val="44"/>
          <w:highlight w:val="none"/>
        </w:rPr>
        <w:t>姑苏区环境卫生市场化作业管理质量考核</w:t>
      </w:r>
    </w:p>
    <w:p w14:paraId="67CFD484">
      <w:pPr>
        <w:overflowPunct w:val="0"/>
        <w:adjustRightInd w:val="0"/>
        <w:snapToGrid w:val="0"/>
        <w:spacing w:line="580" w:lineRule="exact"/>
        <w:jc w:val="center"/>
        <w:rPr>
          <w:rFonts w:hint="default" w:ascii="Times New Roman" w:hAnsi="Times New Roman" w:eastAsia="方正小标宋简体" w:cs="Times New Roman"/>
          <w:snapToGrid w:val="0"/>
          <w:spacing w:val="-12"/>
          <w:w w:val="95"/>
          <w:kern w:val="0"/>
          <w:sz w:val="44"/>
          <w:szCs w:val="44"/>
          <w:highlight w:val="none"/>
        </w:rPr>
      </w:pPr>
      <w:r>
        <w:rPr>
          <w:rFonts w:hint="default" w:ascii="Times New Roman" w:hAnsi="Times New Roman" w:eastAsia="方正小标宋简体" w:cs="Times New Roman"/>
          <w:snapToGrid w:val="0"/>
          <w:spacing w:val="-12"/>
          <w:w w:val="95"/>
          <w:kern w:val="0"/>
          <w:sz w:val="44"/>
          <w:szCs w:val="44"/>
          <w:highlight w:val="none"/>
        </w:rPr>
        <w:t>评分标准（考核扣分项）</w:t>
      </w:r>
    </w:p>
    <w:tbl>
      <w:tblPr>
        <w:tblStyle w:val="12"/>
        <w:tblpPr w:leftFromText="180" w:rightFromText="180" w:vertAnchor="text" w:horzAnchor="page" w:tblpX="1537" w:tblpY="150"/>
        <w:tblOverlap w:val="never"/>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664"/>
        <w:gridCol w:w="918"/>
        <w:gridCol w:w="5557"/>
        <w:gridCol w:w="1761"/>
      </w:tblGrid>
      <w:tr w14:paraId="5917EA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blHeader/>
        </w:trPr>
        <w:tc>
          <w:tcPr>
            <w:tcW w:w="664" w:type="dxa"/>
            <w:noWrap/>
            <w:vAlign w:val="center"/>
          </w:tcPr>
          <w:p w14:paraId="169910F8">
            <w:pPr>
              <w:overflowPunct w:val="0"/>
              <w:adjustRightInd w:val="0"/>
              <w:snapToGrid w:val="0"/>
              <w:jc w:val="center"/>
              <w:rPr>
                <w:rFonts w:hint="default" w:ascii="Times New Roman" w:hAnsi="Times New Roman" w:eastAsia="黑体" w:cs="Times New Roman"/>
                <w:bCs/>
                <w:snapToGrid w:val="0"/>
                <w:spacing w:val="-4"/>
                <w:kern w:val="0"/>
                <w:szCs w:val="21"/>
                <w:highlight w:val="none"/>
              </w:rPr>
            </w:pPr>
            <w:r>
              <w:rPr>
                <w:rFonts w:hint="default" w:ascii="Times New Roman" w:hAnsi="Times New Roman" w:eastAsia="黑体" w:cs="Times New Roman"/>
                <w:bCs/>
                <w:snapToGrid w:val="0"/>
                <w:spacing w:val="-4"/>
                <w:kern w:val="0"/>
                <w:szCs w:val="21"/>
                <w:highlight w:val="none"/>
              </w:rPr>
              <w:t>序号</w:t>
            </w:r>
          </w:p>
        </w:tc>
        <w:tc>
          <w:tcPr>
            <w:tcW w:w="918" w:type="dxa"/>
            <w:noWrap/>
            <w:vAlign w:val="center"/>
          </w:tcPr>
          <w:p w14:paraId="2821775E">
            <w:pPr>
              <w:overflowPunct w:val="0"/>
              <w:adjustRightInd w:val="0"/>
              <w:snapToGrid w:val="0"/>
              <w:jc w:val="center"/>
              <w:rPr>
                <w:rFonts w:hint="default" w:ascii="Times New Roman" w:hAnsi="Times New Roman" w:eastAsia="黑体" w:cs="Times New Roman"/>
                <w:bCs/>
                <w:snapToGrid w:val="0"/>
                <w:spacing w:val="-4"/>
                <w:kern w:val="0"/>
                <w:szCs w:val="21"/>
                <w:highlight w:val="none"/>
              </w:rPr>
            </w:pPr>
            <w:r>
              <w:rPr>
                <w:rFonts w:hint="default" w:ascii="Times New Roman" w:hAnsi="Times New Roman" w:eastAsia="黑体" w:cs="Times New Roman"/>
                <w:bCs/>
                <w:snapToGrid w:val="0"/>
                <w:spacing w:val="-4"/>
                <w:kern w:val="0"/>
                <w:szCs w:val="21"/>
                <w:highlight w:val="none"/>
              </w:rPr>
              <w:t>类别</w:t>
            </w:r>
          </w:p>
        </w:tc>
        <w:tc>
          <w:tcPr>
            <w:tcW w:w="5557" w:type="dxa"/>
            <w:noWrap/>
            <w:vAlign w:val="center"/>
          </w:tcPr>
          <w:p w14:paraId="11E7A6F4">
            <w:pPr>
              <w:overflowPunct w:val="0"/>
              <w:adjustRightInd w:val="0"/>
              <w:snapToGrid w:val="0"/>
              <w:jc w:val="center"/>
              <w:rPr>
                <w:rFonts w:hint="default" w:ascii="Times New Roman" w:hAnsi="Times New Roman" w:eastAsia="黑体" w:cs="Times New Roman"/>
                <w:bCs/>
                <w:snapToGrid w:val="0"/>
                <w:spacing w:val="-4"/>
                <w:kern w:val="0"/>
                <w:szCs w:val="21"/>
                <w:highlight w:val="none"/>
              </w:rPr>
            </w:pPr>
            <w:r>
              <w:rPr>
                <w:rFonts w:hint="default" w:ascii="Times New Roman" w:hAnsi="Times New Roman" w:eastAsia="黑体" w:cs="Times New Roman"/>
                <w:bCs/>
                <w:snapToGrid w:val="0"/>
                <w:spacing w:val="-4"/>
                <w:kern w:val="0"/>
                <w:szCs w:val="21"/>
                <w:highlight w:val="none"/>
              </w:rPr>
              <w:t>考核内容</w:t>
            </w:r>
          </w:p>
        </w:tc>
        <w:tc>
          <w:tcPr>
            <w:tcW w:w="1761" w:type="dxa"/>
            <w:noWrap/>
            <w:vAlign w:val="center"/>
          </w:tcPr>
          <w:p w14:paraId="11F5AC0D">
            <w:pPr>
              <w:overflowPunct w:val="0"/>
              <w:adjustRightInd w:val="0"/>
              <w:snapToGrid w:val="0"/>
              <w:jc w:val="center"/>
              <w:rPr>
                <w:rFonts w:hint="default" w:ascii="Times New Roman" w:hAnsi="Times New Roman" w:eastAsia="黑体" w:cs="Times New Roman"/>
                <w:bCs/>
                <w:snapToGrid w:val="0"/>
                <w:spacing w:val="-4"/>
                <w:kern w:val="0"/>
                <w:szCs w:val="21"/>
                <w:highlight w:val="none"/>
              </w:rPr>
            </w:pPr>
            <w:r>
              <w:rPr>
                <w:rFonts w:hint="default" w:ascii="Times New Roman" w:hAnsi="Times New Roman" w:eastAsia="黑体" w:cs="Times New Roman"/>
                <w:bCs/>
                <w:snapToGrid w:val="0"/>
                <w:spacing w:val="-4"/>
                <w:kern w:val="0"/>
                <w:szCs w:val="21"/>
                <w:highlight w:val="none"/>
              </w:rPr>
              <w:t>扣分标准</w:t>
            </w:r>
          </w:p>
        </w:tc>
      </w:tr>
      <w:tr w14:paraId="5994C3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trPr>
        <w:tc>
          <w:tcPr>
            <w:tcW w:w="8900" w:type="dxa"/>
            <w:gridSpan w:val="4"/>
            <w:shd w:val="clear" w:color="000000" w:fill="D9D9D9"/>
            <w:noWrap/>
            <w:vAlign w:val="center"/>
          </w:tcPr>
          <w:p w14:paraId="70635364">
            <w:pPr>
              <w:overflowPunct w:val="0"/>
              <w:adjustRightInd w:val="0"/>
              <w:snapToGrid w:val="0"/>
              <w:jc w:val="center"/>
              <w:rPr>
                <w:rFonts w:hint="default" w:ascii="Times New Roman" w:hAnsi="Times New Roman" w:eastAsia="黑体" w:cs="Times New Roman"/>
                <w:b/>
                <w:bCs/>
                <w:snapToGrid w:val="0"/>
                <w:spacing w:val="-4"/>
                <w:kern w:val="0"/>
                <w:szCs w:val="21"/>
                <w:highlight w:val="none"/>
              </w:rPr>
            </w:pPr>
            <w:r>
              <w:rPr>
                <w:rFonts w:hint="default" w:ascii="Times New Roman" w:hAnsi="Times New Roman" w:eastAsia="黑体" w:cs="Times New Roman"/>
                <w:snapToGrid w:val="0"/>
                <w:spacing w:val="-4"/>
                <w:kern w:val="0"/>
                <w:sz w:val="24"/>
                <w:highlight w:val="none"/>
              </w:rPr>
              <w:t>道路（</w:t>
            </w:r>
            <w:r>
              <w:rPr>
                <w:rFonts w:hint="default" w:ascii="Times New Roman" w:hAnsi="Times New Roman" w:eastAsia="宋体" w:cs="Times New Roman"/>
                <w:kern w:val="0"/>
                <w:szCs w:val="21"/>
                <w:highlight w:val="none"/>
              </w:rPr>
              <w:t>含主次干道、街巷新村、城市绿地、口袋公园等</w:t>
            </w:r>
            <w:r>
              <w:rPr>
                <w:rFonts w:hint="default" w:ascii="Times New Roman" w:hAnsi="Times New Roman" w:eastAsia="黑体" w:cs="Times New Roman"/>
                <w:snapToGrid w:val="0"/>
                <w:spacing w:val="-4"/>
                <w:kern w:val="0"/>
                <w:sz w:val="24"/>
                <w:highlight w:val="none"/>
              </w:rPr>
              <w:t>）保洁</w:t>
            </w:r>
          </w:p>
        </w:tc>
      </w:tr>
      <w:tr w14:paraId="2F2767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664" w:type="dxa"/>
            <w:noWrap/>
            <w:vAlign w:val="center"/>
          </w:tcPr>
          <w:p w14:paraId="7E16BC90">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w:t>
            </w:r>
          </w:p>
        </w:tc>
        <w:tc>
          <w:tcPr>
            <w:tcW w:w="918" w:type="dxa"/>
            <w:vMerge w:val="restart"/>
            <w:noWrap/>
            <w:vAlign w:val="center"/>
          </w:tcPr>
          <w:p w14:paraId="35CBB142">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kern w:val="0"/>
                <w:szCs w:val="21"/>
                <w:highlight w:val="none"/>
              </w:rPr>
              <w:t>环境卫生</w:t>
            </w:r>
          </w:p>
        </w:tc>
        <w:tc>
          <w:tcPr>
            <w:tcW w:w="5557" w:type="dxa"/>
            <w:noWrap/>
            <w:vAlign w:val="center"/>
          </w:tcPr>
          <w:p w14:paraId="13BC7EF7">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路面存在油污、积泥、积水、杂草、烟头、果皮纸屑排泄物、呕吐物等废弃物，或窨井口堵塞不通。</w:t>
            </w:r>
          </w:p>
        </w:tc>
        <w:tc>
          <w:tcPr>
            <w:tcW w:w="1761" w:type="dxa"/>
            <w:noWrap/>
            <w:vAlign w:val="center"/>
          </w:tcPr>
          <w:p w14:paraId="7FE8D1A1">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零散：1分/处</w:t>
            </w:r>
          </w:p>
          <w:p w14:paraId="400CBB0C">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多发：3分/处</w:t>
            </w:r>
          </w:p>
        </w:tc>
      </w:tr>
      <w:tr w14:paraId="6B07CC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20" w:hRule="atLeast"/>
        </w:trPr>
        <w:tc>
          <w:tcPr>
            <w:tcW w:w="664" w:type="dxa"/>
            <w:noWrap/>
            <w:vAlign w:val="center"/>
          </w:tcPr>
          <w:p w14:paraId="6DFDA51F">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w:t>
            </w:r>
          </w:p>
        </w:tc>
        <w:tc>
          <w:tcPr>
            <w:tcW w:w="918" w:type="dxa"/>
            <w:vMerge w:val="continue"/>
            <w:noWrap/>
            <w:vAlign w:val="center"/>
          </w:tcPr>
          <w:p w14:paraId="430A3BC4">
            <w:pPr>
              <w:widowControl/>
              <w:jc w:val="center"/>
              <w:textAlignment w:val="center"/>
              <w:rPr>
                <w:rFonts w:hint="default" w:ascii="Times New Roman" w:hAnsi="Times New Roman" w:eastAsia="宋体" w:cs="Times New Roman"/>
                <w:snapToGrid w:val="0"/>
                <w:spacing w:val="-4"/>
                <w:kern w:val="0"/>
                <w:szCs w:val="21"/>
                <w:highlight w:val="none"/>
              </w:rPr>
            </w:pPr>
          </w:p>
        </w:tc>
        <w:tc>
          <w:tcPr>
            <w:tcW w:w="5557" w:type="dxa"/>
            <w:noWrap/>
            <w:vAlign w:val="center"/>
          </w:tcPr>
          <w:p w14:paraId="49FDC2F0">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交通隔离栏保洁不到位，存在积灰、垃圾附着。</w:t>
            </w:r>
            <w:r>
              <w:rPr>
                <w:rFonts w:hint="default" w:ascii="Times New Roman" w:hAnsi="Times New Roman" w:eastAsia="宋体" w:cs="Times New Roman"/>
                <w:kern w:val="0"/>
                <w:szCs w:val="21"/>
                <w:highlight w:val="none"/>
              </w:rPr>
              <w:tab/>
            </w:r>
          </w:p>
        </w:tc>
        <w:tc>
          <w:tcPr>
            <w:tcW w:w="1761" w:type="dxa"/>
            <w:noWrap/>
            <w:vAlign w:val="center"/>
          </w:tcPr>
          <w:p w14:paraId="14F1D7C9">
            <w:pPr>
              <w:widowControl/>
              <w:jc w:val="center"/>
              <w:textAlignment w:val="center"/>
              <w:rPr>
                <w:rFonts w:hint="default" w:ascii="Times New Roman" w:hAnsi="Times New Roman" w:eastAsia="宋体" w:cs="Times New Roman"/>
                <w:szCs w:val="21"/>
                <w:highlight w:val="none"/>
              </w:rPr>
            </w:pPr>
            <w:r>
              <w:rPr>
                <w:rFonts w:hint="default" w:ascii="Times New Roman" w:hAnsi="Times New Roman" w:eastAsia="宋体" w:cs="Times New Roman"/>
                <w:kern w:val="0"/>
                <w:szCs w:val="21"/>
                <w:highlight w:val="none"/>
              </w:rPr>
              <w:t>2分/处</w:t>
            </w:r>
          </w:p>
        </w:tc>
      </w:tr>
      <w:tr w14:paraId="062385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20" w:hRule="atLeast"/>
        </w:trPr>
        <w:tc>
          <w:tcPr>
            <w:tcW w:w="664" w:type="dxa"/>
            <w:noWrap/>
            <w:vAlign w:val="center"/>
          </w:tcPr>
          <w:p w14:paraId="435895B0">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w:t>
            </w:r>
          </w:p>
        </w:tc>
        <w:tc>
          <w:tcPr>
            <w:tcW w:w="918" w:type="dxa"/>
            <w:vMerge w:val="continue"/>
            <w:noWrap/>
            <w:vAlign w:val="center"/>
          </w:tcPr>
          <w:p w14:paraId="298F1B9C">
            <w:pPr>
              <w:widowControl/>
              <w:jc w:val="center"/>
              <w:textAlignment w:val="center"/>
              <w:rPr>
                <w:rFonts w:hint="default" w:ascii="Times New Roman" w:hAnsi="Times New Roman" w:eastAsia="宋体" w:cs="Times New Roman"/>
                <w:snapToGrid w:val="0"/>
                <w:spacing w:val="-4"/>
                <w:kern w:val="0"/>
                <w:szCs w:val="21"/>
                <w:highlight w:val="none"/>
              </w:rPr>
            </w:pPr>
          </w:p>
        </w:tc>
        <w:tc>
          <w:tcPr>
            <w:tcW w:w="5557" w:type="dxa"/>
            <w:noWrap/>
            <w:vAlign w:val="center"/>
          </w:tcPr>
          <w:p w14:paraId="265C2F09">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snapToGrid w:val="0"/>
                <w:spacing w:val="-4"/>
                <w:kern w:val="0"/>
                <w:szCs w:val="21"/>
                <w:highlight w:val="none"/>
              </w:rPr>
              <w:t>果壳箱、垃圾收集亭、垃圾房、分类垃圾桶表面脏污、积灰；周边地面污水横流、垃圾满溢。</w:t>
            </w:r>
          </w:p>
        </w:tc>
        <w:tc>
          <w:tcPr>
            <w:tcW w:w="1761" w:type="dxa"/>
            <w:noWrap/>
            <w:vAlign w:val="center"/>
          </w:tcPr>
          <w:p w14:paraId="68D60110">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2分/处</w:t>
            </w:r>
          </w:p>
        </w:tc>
      </w:tr>
      <w:tr w14:paraId="5B3EB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54357783">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4</w:t>
            </w:r>
          </w:p>
        </w:tc>
        <w:tc>
          <w:tcPr>
            <w:tcW w:w="918" w:type="dxa"/>
            <w:vMerge w:val="continue"/>
            <w:noWrap/>
            <w:vAlign w:val="center"/>
          </w:tcPr>
          <w:p w14:paraId="06FB79FB">
            <w:pPr>
              <w:widowControl/>
              <w:jc w:val="center"/>
              <w:textAlignment w:val="center"/>
              <w:rPr>
                <w:rFonts w:hint="default" w:ascii="Times New Roman" w:hAnsi="Times New Roman" w:eastAsia="宋体" w:cs="Times New Roman"/>
                <w:snapToGrid w:val="0"/>
                <w:spacing w:val="-4"/>
                <w:kern w:val="0"/>
                <w:szCs w:val="21"/>
                <w:highlight w:val="none"/>
              </w:rPr>
            </w:pPr>
          </w:p>
        </w:tc>
        <w:tc>
          <w:tcPr>
            <w:tcW w:w="5557" w:type="dxa"/>
            <w:noWrap/>
            <w:vAlign w:val="center"/>
          </w:tcPr>
          <w:p w14:paraId="05FCB684">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道路沿线公共设施墙面、杆体存在乱涂写、乱张贴、乱刻画。</w:t>
            </w:r>
          </w:p>
        </w:tc>
        <w:tc>
          <w:tcPr>
            <w:tcW w:w="1761" w:type="dxa"/>
            <w:noWrap/>
            <w:vAlign w:val="center"/>
          </w:tcPr>
          <w:p w14:paraId="7E9D7458">
            <w:pPr>
              <w:widowControl/>
              <w:jc w:val="center"/>
              <w:textAlignment w:val="center"/>
              <w:rPr>
                <w:rFonts w:hint="default" w:ascii="Times New Roman" w:hAnsi="Times New Roman" w:eastAsia="宋体" w:cs="Times New Roman"/>
                <w:szCs w:val="21"/>
                <w:highlight w:val="none"/>
              </w:rPr>
            </w:pPr>
            <w:r>
              <w:rPr>
                <w:rFonts w:hint="default" w:ascii="Times New Roman" w:hAnsi="Times New Roman" w:eastAsia="宋体" w:cs="Times New Roman"/>
                <w:kern w:val="0"/>
                <w:szCs w:val="21"/>
                <w:highlight w:val="none"/>
              </w:rPr>
              <w:t>2分/处</w:t>
            </w:r>
          </w:p>
        </w:tc>
      </w:tr>
      <w:tr w14:paraId="131A8F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664" w:type="dxa"/>
            <w:noWrap/>
            <w:vAlign w:val="center"/>
          </w:tcPr>
          <w:p w14:paraId="62C12A1F">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5</w:t>
            </w:r>
          </w:p>
        </w:tc>
        <w:tc>
          <w:tcPr>
            <w:tcW w:w="918" w:type="dxa"/>
            <w:vMerge w:val="restart"/>
            <w:noWrap/>
            <w:vAlign w:val="center"/>
          </w:tcPr>
          <w:p w14:paraId="5C7ACDE0">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公共设施</w:t>
            </w:r>
          </w:p>
        </w:tc>
        <w:tc>
          <w:tcPr>
            <w:tcW w:w="5557" w:type="dxa"/>
            <w:noWrap/>
            <w:vAlign w:val="center"/>
          </w:tcPr>
          <w:p w14:paraId="22E95FFD">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果壳箱、垃圾收集亭、垃圾房、分类垃圾桶损坏、配件缺失、标识脱落，未按分级时限要求报修或维修。</w:t>
            </w:r>
          </w:p>
        </w:tc>
        <w:tc>
          <w:tcPr>
            <w:tcW w:w="1761" w:type="dxa"/>
            <w:noWrap/>
            <w:vAlign w:val="center"/>
          </w:tcPr>
          <w:p w14:paraId="27D1B941">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2分/处</w:t>
            </w:r>
          </w:p>
        </w:tc>
      </w:tr>
      <w:tr w14:paraId="0448C2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664" w:type="dxa"/>
            <w:noWrap/>
            <w:vAlign w:val="center"/>
          </w:tcPr>
          <w:p w14:paraId="7CE277EC">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6</w:t>
            </w:r>
          </w:p>
        </w:tc>
        <w:tc>
          <w:tcPr>
            <w:tcW w:w="918" w:type="dxa"/>
            <w:vMerge w:val="continue"/>
            <w:noWrap/>
            <w:vAlign w:val="center"/>
          </w:tcPr>
          <w:p w14:paraId="08370242">
            <w:pPr>
              <w:widowControl/>
              <w:jc w:val="center"/>
              <w:textAlignment w:val="center"/>
              <w:rPr>
                <w:rFonts w:hint="default" w:ascii="Times New Roman" w:hAnsi="Times New Roman" w:eastAsia="宋体" w:cs="Times New Roman"/>
                <w:snapToGrid w:val="0"/>
                <w:spacing w:val="-4"/>
                <w:kern w:val="0"/>
                <w:szCs w:val="21"/>
                <w:highlight w:val="none"/>
              </w:rPr>
            </w:pPr>
          </w:p>
        </w:tc>
        <w:tc>
          <w:tcPr>
            <w:tcW w:w="5557" w:type="dxa"/>
            <w:noWrap/>
            <w:vAlign w:val="center"/>
          </w:tcPr>
          <w:p w14:paraId="56E76D23">
            <w:pPr>
              <w:pStyle w:val="16"/>
              <w:ind w:firstLine="0" w:firstLineChars="0"/>
              <w:rPr>
                <w:rFonts w:hint="default" w:ascii="Times New Roman" w:hAnsi="Times New Roman" w:eastAsia="宋体" w:cs="Times New Roman"/>
                <w:snapToGrid w:val="0"/>
                <w:spacing w:val="-4"/>
                <w:kern w:val="0"/>
                <w:szCs w:val="21"/>
                <w:highlight w:val="none"/>
                <w:lang w:val="en-US"/>
              </w:rPr>
            </w:pPr>
            <w:r>
              <w:rPr>
                <w:rFonts w:hint="default" w:ascii="Times New Roman" w:hAnsi="Times New Roman" w:eastAsia="宋体" w:cs="Times New Roman"/>
                <w:snapToGrid w:val="0"/>
                <w:spacing w:val="-4"/>
                <w:kern w:val="0"/>
                <w:szCs w:val="21"/>
                <w:highlight w:val="none"/>
                <w:lang w:val="en-US"/>
              </w:rPr>
              <w:t>未经审批擅自封闭、移除、增设垃圾桶，或未按规范配齐分类收集桶。</w:t>
            </w:r>
          </w:p>
        </w:tc>
        <w:tc>
          <w:tcPr>
            <w:tcW w:w="1761" w:type="dxa"/>
            <w:noWrap/>
            <w:vAlign w:val="center"/>
          </w:tcPr>
          <w:p w14:paraId="13B0C90B">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5分/只</w:t>
            </w:r>
          </w:p>
        </w:tc>
      </w:tr>
      <w:tr w14:paraId="675032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64" w:type="dxa"/>
            <w:noWrap/>
            <w:vAlign w:val="center"/>
          </w:tcPr>
          <w:p w14:paraId="03725FE5">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7</w:t>
            </w:r>
          </w:p>
        </w:tc>
        <w:tc>
          <w:tcPr>
            <w:tcW w:w="918" w:type="dxa"/>
            <w:vMerge w:val="restart"/>
            <w:noWrap/>
            <w:vAlign w:val="center"/>
          </w:tcPr>
          <w:p w14:paraId="07F0F498">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kern w:val="0"/>
                <w:szCs w:val="21"/>
                <w:highlight w:val="none"/>
              </w:rPr>
              <w:t>作业规范</w:t>
            </w:r>
          </w:p>
        </w:tc>
        <w:tc>
          <w:tcPr>
            <w:tcW w:w="5557" w:type="dxa"/>
            <w:noWrap/>
            <w:vAlign w:val="center"/>
          </w:tcPr>
          <w:p w14:paraId="6D3BA08A">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color w:val="000000"/>
                <w:kern w:val="0"/>
                <w:szCs w:val="21"/>
                <w:highlight w:val="none"/>
              </w:rPr>
              <w:t>垃圾未分类收集；将垃圾扫入绿化带、窨井、空地、围墙内；露天焚烧垃圾、树叶等。</w:t>
            </w:r>
          </w:p>
        </w:tc>
        <w:tc>
          <w:tcPr>
            <w:tcW w:w="1761" w:type="dxa"/>
            <w:noWrap/>
            <w:vAlign w:val="center"/>
          </w:tcPr>
          <w:p w14:paraId="01F14A0A">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color w:val="000000"/>
                <w:kern w:val="0"/>
                <w:szCs w:val="21"/>
                <w:highlight w:val="none"/>
              </w:rPr>
              <w:t>5分/次</w:t>
            </w:r>
          </w:p>
        </w:tc>
      </w:tr>
      <w:tr w14:paraId="5E39B5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664" w:type="dxa"/>
            <w:noWrap/>
            <w:vAlign w:val="center"/>
          </w:tcPr>
          <w:p w14:paraId="4AB0B0EF">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8</w:t>
            </w:r>
          </w:p>
        </w:tc>
        <w:tc>
          <w:tcPr>
            <w:tcW w:w="918" w:type="dxa"/>
            <w:vMerge w:val="continue"/>
            <w:noWrap/>
            <w:vAlign w:val="center"/>
          </w:tcPr>
          <w:p w14:paraId="67DC7EFD">
            <w:pPr>
              <w:widowControl/>
              <w:jc w:val="center"/>
              <w:textAlignment w:val="center"/>
              <w:rPr>
                <w:rFonts w:hint="default" w:ascii="Times New Roman" w:hAnsi="Times New Roman" w:eastAsia="宋体" w:cs="Times New Roman"/>
                <w:kern w:val="0"/>
                <w:szCs w:val="21"/>
                <w:highlight w:val="none"/>
              </w:rPr>
            </w:pPr>
          </w:p>
        </w:tc>
        <w:tc>
          <w:tcPr>
            <w:tcW w:w="5557" w:type="dxa"/>
            <w:noWrap/>
            <w:vAlign w:val="center"/>
          </w:tcPr>
          <w:p w14:paraId="75D111A7">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color w:val="000000"/>
                <w:kern w:val="0"/>
                <w:szCs w:val="21"/>
                <w:highlight w:val="none"/>
              </w:rPr>
              <w:t>作业人员未按规定穿戴工作服（帽、头盔）；作业工具摆放不规范；在岗期间从事与工作无关事项。</w:t>
            </w:r>
          </w:p>
        </w:tc>
        <w:tc>
          <w:tcPr>
            <w:tcW w:w="1761" w:type="dxa"/>
            <w:noWrap/>
            <w:vAlign w:val="center"/>
          </w:tcPr>
          <w:p w14:paraId="116AAF51">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color w:val="000000"/>
                <w:kern w:val="0"/>
                <w:szCs w:val="21"/>
                <w:highlight w:val="none"/>
              </w:rPr>
              <w:t>5分/人次</w:t>
            </w:r>
          </w:p>
        </w:tc>
      </w:tr>
      <w:tr w14:paraId="06BB08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8900" w:type="dxa"/>
            <w:gridSpan w:val="4"/>
            <w:shd w:val="clear" w:color="000000" w:fill="D9D9D9"/>
            <w:noWrap/>
            <w:vAlign w:val="center"/>
          </w:tcPr>
          <w:p w14:paraId="276BD630">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黑体" w:cs="Times New Roman"/>
                <w:snapToGrid w:val="0"/>
                <w:spacing w:val="-4"/>
                <w:kern w:val="0"/>
                <w:sz w:val="24"/>
                <w:highlight w:val="none"/>
              </w:rPr>
              <w:t>公共卫生间（含洗刷站）保洁</w:t>
            </w:r>
          </w:p>
        </w:tc>
      </w:tr>
      <w:tr w14:paraId="3ECC71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7D631F4E">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w:t>
            </w:r>
          </w:p>
        </w:tc>
        <w:tc>
          <w:tcPr>
            <w:tcW w:w="918" w:type="dxa"/>
            <w:vMerge w:val="restart"/>
            <w:noWrap/>
            <w:vAlign w:val="center"/>
          </w:tcPr>
          <w:p w14:paraId="32C9BED4">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环境卫生</w:t>
            </w:r>
          </w:p>
        </w:tc>
        <w:tc>
          <w:tcPr>
            <w:tcW w:w="5557" w:type="dxa"/>
            <w:noWrap/>
            <w:vAlign w:val="center"/>
          </w:tcPr>
          <w:p w14:paraId="419722AA">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室内地面脏污、异味明显；墙体、门窗、隔断、镜面、洁具粘附污迹、积水、积灰；公厕室外5米范围内存在暴露垃圾、车辆乱停放；收集容器垃圾满溢未及时清理；蹲位、小便池未冲洗、污物堵塞、洁具附着积垢。</w:t>
            </w:r>
          </w:p>
        </w:tc>
        <w:tc>
          <w:tcPr>
            <w:tcW w:w="1761" w:type="dxa"/>
            <w:noWrap/>
            <w:vAlign w:val="center"/>
          </w:tcPr>
          <w:p w14:paraId="363F21F9">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1分/处</w:t>
            </w:r>
          </w:p>
        </w:tc>
      </w:tr>
      <w:tr w14:paraId="3CB21E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664" w:type="dxa"/>
            <w:noWrap/>
            <w:vAlign w:val="center"/>
          </w:tcPr>
          <w:p w14:paraId="0052FFA7">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w:t>
            </w:r>
          </w:p>
        </w:tc>
        <w:tc>
          <w:tcPr>
            <w:tcW w:w="918" w:type="dxa"/>
            <w:vMerge w:val="continue"/>
            <w:noWrap/>
            <w:vAlign w:val="center"/>
          </w:tcPr>
          <w:p w14:paraId="637FCB01">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35353962">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化粪池盖板未封闭；粪便满溢；倒粪口脏污；清水池无水。</w:t>
            </w:r>
          </w:p>
        </w:tc>
        <w:tc>
          <w:tcPr>
            <w:tcW w:w="1761" w:type="dxa"/>
            <w:noWrap/>
            <w:vAlign w:val="center"/>
          </w:tcPr>
          <w:p w14:paraId="476DB777">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2分/处</w:t>
            </w:r>
          </w:p>
        </w:tc>
      </w:tr>
      <w:tr w14:paraId="6CB156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664" w:type="dxa"/>
            <w:noWrap/>
            <w:vAlign w:val="center"/>
          </w:tcPr>
          <w:p w14:paraId="1E6A3218">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w:t>
            </w:r>
          </w:p>
        </w:tc>
        <w:tc>
          <w:tcPr>
            <w:tcW w:w="918" w:type="dxa"/>
            <w:vMerge w:val="continue"/>
            <w:noWrap/>
            <w:vAlign w:val="center"/>
          </w:tcPr>
          <w:p w14:paraId="3998FD72">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67618EA7">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公厕内违规种植绿植、晾晒私人物品、乱堆杂物。</w:t>
            </w:r>
          </w:p>
        </w:tc>
        <w:tc>
          <w:tcPr>
            <w:tcW w:w="1761" w:type="dxa"/>
            <w:noWrap/>
            <w:vAlign w:val="center"/>
          </w:tcPr>
          <w:p w14:paraId="566404FA">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2分/处</w:t>
            </w:r>
          </w:p>
        </w:tc>
      </w:tr>
      <w:tr w14:paraId="2DA1D5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664" w:type="dxa"/>
            <w:noWrap/>
            <w:vAlign w:val="center"/>
          </w:tcPr>
          <w:p w14:paraId="4EEB6A8E">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4</w:t>
            </w:r>
          </w:p>
        </w:tc>
        <w:tc>
          <w:tcPr>
            <w:tcW w:w="918" w:type="dxa"/>
            <w:vMerge w:val="continue"/>
            <w:noWrap/>
            <w:vAlign w:val="center"/>
          </w:tcPr>
          <w:p w14:paraId="24AF0687">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3B6B4635">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消杀作业不到位，室内有蚊虫、虫尸堆积。</w:t>
            </w:r>
          </w:p>
        </w:tc>
        <w:tc>
          <w:tcPr>
            <w:tcW w:w="1761" w:type="dxa"/>
            <w:noWrap/>
            <w:vAlign w:val="center"/>
          </w:tcPr>
          <w:p w14:paraId="0818DA07">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2分/处</w:t>
            </w:r>
          </w:p>
        </w:tc>
      </w:tr>
      <w:tr w14:paraId="7498C2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11" w:hRule="atLeast"/>
        </w:trPr>
        <w:tc>
          <w:tcPr>
            <w:tcW w:w="664" w:type="dxa"/>
            <w:noWrap/>
            <w:vAlign w:val="center"/>
          </w:tcPr>
          <w:p w14:paraId="3FCED2CF">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5</w:t>
            </w:r>
          </w:p>
        </w:tc>
        <w:tc>
          <w:tcPr>
            <w:tcW w:w="918" w:type="dxa"/>
            <w:vMerge w:val="continue"/>
            <w:noWrap/>
            <w:vAlign w:val="center"/>
          </w:tcPr>
          <w:p w14:paraId="51B86DD5">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33247034">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保洁、消毒、巡更、检修等工作台账未按规定填写、未上墙公示。</w:t>
            </w:r>
          </w:p>
        </w:tc>
        <w:tc>
          <w:tcPr>
            <w:tcW w:w="1761" w:type="dxa"/>
            <w:noWrap/>
            <w:vAlign w:val="center"/>
          </w:tcPr>
          <w:p w14:paraId="2E46A736">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2分/处</w:t>
            </w:r>
          </w:p>
        </w:tc>
      </w:tr>
      <w:tr w14:paraId="73782C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64" w:type="dxa"/>
            <w:noWrap/>
            <w:vAlign w:val="center"/>
          </w:tcPr>
          <w:p w14:paraId="12D8712A">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6</w:t>
            </w:r>
          </w:p>
        </w:tc>
        <w:tc>
          <w:tcPr>
            <w:tcW w:w="918" w:type="dxa"/>
            <w:vMerge w:val="restart"/>
            <w:noWrap/>
            <w:vAlign w:val="center"/>
          </w:tcPr>
          <w:p w14:paraId="7B60E2B7">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设施设备</w:t>
            </w:r>
          </w:p>
        </w:tc>
        <w:tc>
          <w:tcPr>
            <w:tcW w:w="5557" w:type="dxa"/>
            <w:noWrap/>
            <w:vAlign w:val="center"/>
          </w:tcPr>
          <w:p w14:paraId="7A1D8602">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公厕管理制度、基础信息标识缺失、破损；设施损坏未及时维修、无法正常使用。</w:t>
            </w:r>
          </w:p>
        </w:tc>
        <w:tc>
          <w:tcPr>
            <w:tcW w:w="1761" w:type="dxa"/>
            <w:noWrap/>
            <w:vAlign w:val="center"/>
          </w:tcPr>
          <w:p w14:paraId="0FE208B6">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2分/处</w:t>
            </w:r>
          </w:p>
        </w:tc>
      </w:tr>
      <w:tr w14:paraId="7A16FE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7" w:hRule="atLeast"/>
        </w:trPr>
        <w:tc>
          <w:tcPr>
            <w:tcW w:w="664" w:type="dxa"/>
            <w:noWrap/>
            <w:vAlign w:val="center"/>
          </w:tcPr>
          <w:p w14:paraId="78EA6D2F">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7</w:t>
            </w:r>
          </w:p>
        </w:tc>
        <w:tc>
          <w:tcPr>
            <w:tcW w:w="918" w:type="dxa"/>
            <w:vMerge w:val="continue"/>
            <w:noWrap/>
            <w:vAlign w:val="center"/>
          </w:tcPr>
          <w:p w14:paraId="564D81B6">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6D2461A7">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保洁工具、除臭用品、灭火器、售纸设备、洗手液、鼓风机、线香、应急药箱未按标准配齐、及时补给更新；管理间违规放置桌椅、折叠床等无关物品；</w:t>
            </w:r>
            <w:r>
              <w:rPr>
                <w:rFonts w:hint="default" w:ascii="Times New Roman" w:hAnsi="Times New Roman" w:eastAsia="宋体" w:cs="Times New Roman"/>
                <w:color w:val="000000"/>
                <w:kern w:val="0"/>
                <w:szCs w:val="21"/>
                <w:highlight w:val="none"/>
              </w:rPr>
              <w:t>工具乱堆乱放。</w:t>
            </w:r>
          </w:p>
        </w:tc>
        <w:tc>
          <w:tcPr>
            <w:tcW w:w="1761" w:type="dxa"/>
            <w:noWrap/>
            <w:vAlign w:val="center"/>
          </w:tcPr>
          <w:p w14:paraId="4521E83B">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2分/处</w:t>
            </w:r>
          </w:p>
        </w:tc>
      </w:tr>
      <w:tr w14:paraId="0AFDB2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7" w:hRule="atLeast"/>
        </w:trPr>
        <w:tc>
          <w:tcPr>
            <w:tcW w:w="664" w:type="dxa"/>
            <w:noWrap/>
            <w:vAlign w:val="center"/>
          </w:tcPr>
          <w:p w14:paraId="0254D03C">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8</w:t>
            </w:r>
          </w:p>
        </w:tc>
        <w:tc>
          <w:tcPr>
            <w:tcW w:w="918" w:type="dxa"/>
            <w:vMerge w:val="continue"/>
            <w:noWrap/>
            <w:vAlign w:val="center"/>
          </w:tcPr>
          <w:p w14:paraId="6E4218DB">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17EA44CE">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按标准配置的温水洗手、免费手纸等便民服务未正常提供。</w:t>
            </w:r>
          </w:p>
        </w:tc>
        <w:tc>
          <w:tcPr>
            <w:tcW w:w="1761" w:type="dxa"/>
            <w:noWrap/>
            <w:vAlign w:val="center"/>
          </w:tcPr>
          <w:p w14:paraId="539E6BAF">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5分/次</w:t>
            </w:r>
          </w:p>
        </w:tc>
      </w:tr>
      <w:tr w14:paraId="790A9D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15" w:hRule="atLeast"/>
        </w:trPr>
        <w:tc>
          <w:tcPr>
            <w:tcW w:w="664" w:type="dxa"/>
            <w:noWrap/>
            <w:vAlign w:val="center"/>
          </w:tcPr>
          <w:p w14:paraId="6D929756">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9</w:t>
            </w:r>
          </w:p>
        </w:tc>
        <w:tc>
          <w:tcPr>
            <w:tcW w:w="918" w:type="dxa"/>
            <w:vMerge w:val="continue"/>
            <w:noWrap/>
            <w:vAlign w:val="center"/>
          </w:tcPr>
          <w:p w14:paraId="41D82B71">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5B68E871">
            <w:pPr>
              <w:overflowPunct w:val="0"/>
              <w:adjustRightInd w:val="0"/>
              <w:snapToGrid w:val="0"/>
              <w:jc w:val="left"/>
              <w:rPr>
                <w:rFonts w:hint="default" w:ascii="Times New Roman" w:hAnsi="Times New Roman" w:eastAsia="宋体" w:cs="Times New Roman"/>
                <w:szCs w:val="21"/>
                <w:highlight w:val="none"/>
              </w:rPr>
            </w:pPr>
            <w:r>
              <w:rPr>
                <w:rFonts w:hint="default" w:ascii="Times New Roman" w:hAnsi="Times New Roman" w:eastAsia="宋体" w:cs="Times New Roman"/>
                <w:snapToGrid w:val="0"/>
                <w:spacing w:val="-4"/>
                <w:kern w:val="0"/>
                <w:szCs w:val="21"/>
                <w:highlight w:val="none"/>
              </w:rPr>
              <w:t>公厕内部私搭乱建；违规使用灶具；私拉乱接电线。</w:t>
            </w:r>
          </w:p>
        </w:tc>
        <w:tc>
          <w:tcPr>
            <w:tcW w:w="1761" w:type="dxa"/>
            <w:noWrap/>
            <w:vAlign w:val="center"/>
          </w:tcPr>
          <w:p w14:paraId="23635722">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10分/处</w:t>
            </w:r>
          </w:p>
        </w:tc>
      </w:tr>
      <w:tr w14:paraId="184511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664" w:type="dxa"/>
            <w:noWrap/>
            <w:vAlign w:val="center"/>
          </w:tcPr>
          <w:p w14:paraId="4192E49E">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10</w:t>
            </w:r>
          </w:p>
        </w:tc>
        <w:tc>
          <w:tcPr>
            <w:tcW w:w="918" w:type="dxa"/>
            <w:vMerge w:val="restart"/>
            <w:noWrap/>
            <w:vAlign w:val="center"/>
          </w:tcPr>
          <w:p w14:paraId="55470B30">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作业规范</w:t>
            </w:r>
          </w:p>
        </w:tc>
        <w:tc>
          <w:tcPr>
            <w:tcW w:w="5557" w:type="dxa"/>
            <w:noWrap/>
            <w:vAlign w:val="center"/>
          </w:tcPr>
          <w:p w14:paraId="4C85C866">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普通蹲位、无障碍卫生间、小便池、第三卫生间无正当理由擅自关闭。</w:t>
            </w:r>
          </w:p>
        </w:tc>
        <w:tc>
          <w:tcPr>
            <w:tcW w:w="1761" w:type="dxa"/>
            <w:noWrap/>
            <w:vAlign w:val="center"/>
          </w:tcPr>
          <w:p w14:paraId="27CA30B3">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3分/处</w:t>
            </w:r>
          </w:p>
        </w:tc>
      </w:tr>
      <w:tr w14:paraId="66DB10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664" w:type="dxa"/>
            <w:noWrap/>
            <w:vAlign w:val="center"/>
          </w:tcPr>
          <w:p w14:paraId="74BE3AB7">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11</w:t>
            </w:r>
          </w:p>
        </w:tc>
        <w:tc>
          <w:tcPr>
            <w:tcW w:w="918" w:type="dxa"/>
            <w:vMerge w:val="continue"/>
            <w:noWrap/>
            <w:vAlign w:val="center"/>
          </w:tcPr>
          <w:p w14:paraId="55B71D9D">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18EC1E5A">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管理间无关人员逗留；保洁人员服务态度恶劣；室内寄养宠物、家禽。</w:t>
            </w:r>
          </w:p>
        </w:tc>
        <w:tc>
          <w:tcPr>
            <w:tcW w:w="1761" w:type="dxa"/>
            <w:noWrap/>
            <w:vAlign w:val="center"/>
          </w:tcPr>
          <w:p w14:paraId="043E542A">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5分/人次</w:t>
            </w:r>
          </w:p>
        </w:tc>
      </w:tr>
      <w:tr w14:paraId="25EC7B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664" w:type="dxa"/>
            <w:noWrap/>
            <w:vAlign w:val="center"/>
          </w:tcPr>
          <w:p w14:paraId="48B18B2F">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12</w:t>
            </w:r>
          </w:p>
        </w:tc>
        <w:tc>
          <w:tcPr>
            <w:tcW w:w="918" w:type="dxa"/>
            <w:vMerge w:val="continue"/>
            <w:noWrap/>
            <w:vAlign w:val="center"/>
          </w:tcPr>
          <w:p w14:paraId="357BCFFB">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235604AE">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color w:val="000000"/>
                <w:kern w:val="0"/>
                <w:szCs w:val="21"/>
                <w:highlight w:val="none"/>
              </w:rPr>
              <w:t>作业人员着装不规范；脱岗、断岗、从事无关活动。</w:t>
            </w:r>
          </w:p>
        </w:tc>
        <w:tc>
          <w:tcPr>
            <w:tcW w:w="1761" w:type="dxa"/>
            <w:noWrap/>
            <w:vAlign w:val="center"/>
          </w:tcPr>
          <w:p w14:paraId="38F8008F">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5分/人次</w:t>
            </w:r>
          </w:p>
        </w:tc>
      </w:tr>
      <w:tr w14:paraId="3A27B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664" w:type="dxa"/>
            <w:noWrap/>
            <w:vAlign w:val="center"/>
          </w:tcPr>
          <w:p w14:paraId="1FEBCBE3">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13</w:t>
            </w:r>
          </w:p>
        </w:tc>
        <w:tc>
          <w:tcPr>
            <w:tcW w:w="918" w:type="dxa"/>
            <w:vMerge w:val="continue"/>
            <w:noWrap/>
            <w:vAlign w:val="center"/>
          </w:tcPr>
          <w:p w14:paraId="01F87053">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61DA8D70">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擅自改变公厕公益属性，违规设置收费项目或从事商业经营活动；未按要求全天候对外开放。</w:t>
            </w:r>
          </w:p>
        </w:tc>
        <w:tc>
          <w:tcPr>
            <w:tcW w:w="1761" w:type="dxa"/>
            <w:noWrap/>
            <w:vAlign w:val="center"/>
          </w:tcPr>
          <w:p w14:paraId="7D7D8840">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10分/人次</w:t>
            </w:r>
          </w:p>
        </w:tc>
      </w:tr>
      <w:tr w14:paraId="64488A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8900" w:type="dxa"/>
            <w:gridSpan w:val="4"/>
            <w:shd w:val="clear" w:color="auto" w:fill="D7D7D7"/>
            <w:noWrap/>
            <w:vAlign w:val="center"/>
          </w:tcPr>
          <w:p w14:paraId="41C0B215">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黑体" w:cs="Times New Roman"/>
                <w:snapToGrid w:val="0"/>
                <w:spacing w:val="-4"/>
                <w:kern w:val="0"/>
                <w:sz w:val="24"/>
                <w:highlight w:val="none"/>
              </w:rPr>
              <w:t>河道保洁及蓝藻打捞</w:t>
            </w:r>
          </w:p>
        </w:tc>
      </w:tr>
      <w:tr w14:paraId="6820C7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00B56645">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w:t>
            </w:r>
          </w:p>
        </w:tc>
        <w:tc>
          <w:tcPr>
            <w:tcW w:w="918" w:type="dxa"/>
            <w:vMerge w:val="restart"/>
            <w:noWrap/>
            <w:vAlign w:val="center"/>
          </w:tcPr>
          <w:p w14:paraId="17E4A82A">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环境卫生</w:t>
            </w:r>
          </w:p>
        </w:tc>
        <w:tc>
          <w:tcPr>
            <w:tcW w:w="5557" w:type="dxa"/>
            <w:noWrap/>
            <w:vAlign w:val="center"/>
          </w:tcPr>
          <w:p w14:paraId="06406153">
            <w:pPr>
              <w:widowControl/>
              <w:jc w:val="left"/>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河面漂浮白色垃圾、落叶、水草、油污、黑花、蓝藻等杂物。</w:t>
            </w:r>
          </w:p>
        </w:tc>
        <w:tc>
          <w:tcPr>
            <w:tcW w:w="1761" w:type="dxa"/>
            <w:noWrap/>
            <w:vAlign w:val="center"/>
          </w:tcPr>
          <w:p w14:paraId="2B6174BE">
            <w:pPr>
              <w:widowControl/>
              <w:jc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1㎡以内，1分/次；</w:t>
            </w:r>
          </w:p>
          <w:p w14:paraId="707046DC">
            <w:pPr>
              <w:widowControl/>
              <w:jc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超过1㎡的，2分/次</w:t>
            </w:r>
          </w:p>
        </w:tc>
      </w:tr>
      <w:tr w14:paraId="7A543B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716AC3AB">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w:t>
            </w:r>
          </w:p>
        </w:tc>
        <w:tc>
          <w:tcPr>
            <w:tcW w:w="918" w:type="dxa"/>
            <w:vMerge w:val="continue"/>
            <w:noWrap/>
            <w:vAlign w:val="center"/>
          </w:tcPr>
          <w:p w14:paraId="54E963DA">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3E4B1D0F">
            <w:pPr>
              <w:jc w:val="left"/>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河道垂直堤岸（水面线上5米）岸坡、桥洞、桥墩附着垃圾、杂物、福寿螺卵；堤岸杂草、杂树、落水树枝未清理。</w:t>
            </w:r>
          </w:p>
        </w:tc>
        <w:tc>
          <w:tcPr>
            <w:tcW w:w="1761" w:type="dxa"/>
            <w:noWrap/>
            <w:vAlign w:val="center"/>
          </w:tcPr>
          <w:p w14:paraId="6B808355">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2分/处</w:t>
            </w:r>
          </w:p>
        </w:tc>
      </w:tr>
      <w:tr w14:paraId="330E6F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3B3080C4">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w:t>
            </w:r>
          </w:p>
        </w:tc>
        <w:tc>
          <w:tcPr>
            <w:tcW w:w="918" w:type="dxa"/>
            <w:vMerge w:val="continue"/>
            <w:noWrap/>
            <w:vAlign w:val="center"/>
          </w:tcPr>
          <w:p w14:paraId="0D8A523B">
            <w:pPr>
              <w:overflowPunct w:val="0"/>
              <w:adjustRightInd w:val="0"/>
              <w:snapToGrid w:val="0"/>
              <w:jc w:val="center"/>
              <w:rPr>
                <w:rFonts w:hint="default" w:ascii="Times New Roman" w:hAnsi="Times New Roman" w:eastAsia="宋体" w:cs="Times New Roman"/>
                <w:szCs w:val="21"/>
                <w:highlight w:val="none"/>
              </w:rPr>
            </w:pPr>
          </w:p>
        </w:tc>
        <w:tc>
          <w:tcPr>
            <w:tcW w:w="5557" w:type="dxa"/>
            <w:noWrap/>
            <w:vAlign w:val="center"/>
          </w:tcPr>
          <w:p w14:paraId="7CA57A08">
            <w:pPr>
              <w:jc w:val="left"/>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垃圾上岸点位垃圾堆积未及时清运，夏季未定期消杀滋生蚊虫。</w:t>
            </w:r>
          </w:p>
        </w:tc>
        <w:tc>
          <w:tcPr>
            <w:tcW w:w="1761" w:type="dxa"/>
            <w:noWrap/>
            <w:vAlign w:val="center"/>
          </w:tcPr>
          <w:p w14:paraId="7F0E3C96">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2分/次</w:t>
            </w:r>
          </w:p>
        </w:tc>
      </w:tr>
      <w:tr w14:paraId="47372C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284564FF">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4</w:t>
            </w:r>
          </w:p>
        </w:tc>
        <w:tc>
          <w:tcPr>
            <w:tcW w:w="918" w:type="dxa"/>
            <w:vMerge w:val="continue"/>
            <w:noWrap/>
            <w:vAlign w:val="center"/>
          </w:tcPr>
          <w:p w14:paraId="2CB5E2EC">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26FEC2C1">
            <w:pPr>
              <w:jc w:val="left"/>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未经审批，在河道内私自设置拦截漂浮物装置。</w:t>
            </w:r>
          </w:p>
        </w:tc>
        <w:tc>
          <w:tcPr>
            <w:tcW w:w="1761" w:type="dxa"/>
            <w:noWrap/>
            <w:vAlign w:val="center"/>
          </w:tcPr>
          <w:p w14:paraId="674CDFC4">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5分/处</w:t>
            </w:r>
          </w:p>
        </w:tc>
      </w:tr>
      <w:tr w14:paraId="45CB0B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67189414">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5</w:t>
            </w:r>
          </w:p>
        </w:tc>
        <w:tc>
          <w:tcPr>
            <w:tcW w:w="918" w:type="dxa"/>
            <w:vMerge w:val="continue"/>
            <w:noWrap/>
            <w:vAlign w:val="center"/>
          </w:tcPr>
          <w:p w14:paraId="24C1DE89">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24AF123F">
            <w:pPr>
              <w:jc w:val="left"/>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未按要求开展蓝藻日常巡查、打捞处置；打捞蓝藻未转运至指定处置点位；在蓝藻爆发期或落叶高峰期，未按应急预案增加打捞/清理频次。</w:t>
            </w:r>
          </w:p>
        </w:tc>
        <w:tc>
          <w:tcPr>
            <w:tcW w:w="1761" w:type="dxa"/>
            <w:noWrap/>
            <w:vAlign w:val="center"/>
          </w:tcPr>
          <w:p w14:paraId="7D438421">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5分/次</w:t>
            </w:r>
          </w:p>
        </w:tc>
      </w:tr>
      <w:tr w14:paraId="463A72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shd w:val="clear" w:color="auto" w:fill="auto"/>
            <w:noWrap/>
            <w:vAlign w:val="center"/>
          </w:tcPr>
          <w:p w14:paraId="51CD4C1E">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6</w:t>
            </w:r>
          </w:p>
        </w:tc>
        <w:tc>
          <w:tcPr>
            <w:tcW w:w="918" w:type="dxa"/>
            <w:shd w:val="clear" w:color="auto" w:fill="auto"/>
            <w:noWrap/>
            <w:vAlign w:val="center"/>
          </w:tcPr>
          <w:p w14:paraId="3612FB4C">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设施设备</w:t>
            </w:r>
          </w:p>
        </w:tc>
        <w:tc>
          <w:tcPr>
            <w:tcW w:w="5557" w:type="dxa"/>
            <w:shd w:val="clear" w:color="auto" w:fill="auto"/>
            <w:noWrap/>
            <w:vAlign w:val="center"/>
          </w:tcPr>
          <w:p w14:paraId="506286A2">
            <w:pPr>
              <w:jc w:val="left"/>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kern w:val="0"/>
                <w:szCs w:val="21"/>
                <w:highlight w:val="none"/>
              </w:rPr>
              <w:t>作业打捞工具随意堆放、损耗工具未及时更新、工具杂乱无章摆放。</w:t>
            </w:r>
          </w:p>
        </w:tc>
        <w:tc>
          <w:tcPr>
            <w:tcW w:w="1761" w:type="dxa"/>
            <w:shd w:val="clear" w:color="auto" w:fill="auto"/>
            <w:noWrap/>
            <w:vAlign w:val="center"/>
          </w:tcPr>
          <w:p w14:paraId="780DD313">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2分/处</w:t>
            </w:r>
          </w:p>
        </w:tc>
      </w:tr>
      <w:tr w14:paraId="51E97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56735DC3">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7</w:t>
            </w:r>
          </w:p>
        </w:tc>
        <w:tc>
          <w:tcPr>
            <w:tcW w:w="918" w:type="dxa"/>
            <w:vMerge w:val="restart"/>
            <w:noWrap/>
            <w:vAlign w:val="center"/>
          </w:tcPr>
          <w:p w14:paraId="1C322826">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作业规范</w:t>
            </w:r>
          </w:p>
        </w:tc>
        <w:tc>
          <w:tcPr>
            <w:tcW w:w="5557" w:type="dxa"/>
            <w:noWrap/>
            <w:vAlign w:val="center"/>
          </w:tcPr>
          <w:p w14:paraId="16127846">
            <w:pPr>
              <w:jc w:val="left"/>
              <w:rPr>
                <w:rFonts w:hint="default" w:ascii="Times New Roman" w:hAnsi="Times New Roman" w:eastAsia="宋体" w:cs="Times New Roman"/>
                <w:color w:val="000000"/>
                <w:szCs w:val="21"/>
                <w:highlight w:val="none"/>
              </w:rPr>
            </w:pPr>
            <w:r>
              <w:rPr>
                <w:rFonts w:hint="default" w:ascii="Times New Roman" w:hAnsi="Times New Roman" w:eastAsia="宋体" w:cs="Times New Roman"/>
                <w:snapToGrid w:val="0"/>
                <w:spacing w:val="-4"/>
                <w:kern w:val="0"/>
                <w:szCs w:val="21"/>
                <w:highlight w:val="none"/>
              </w:rPr>
              <w:t>作业人员工作服、打捞工具摆放不规范；未穿救生衣；在岗从事无关事项、不文明作业。</w:t>
            </w:r>
          </w:p>
        </w:tc>
        <w:tc>
          <w:tcPr>
            <w:tcW w:w="1761" w:type="dxa"/>
            <w:noWrap/>
            <w:vAlign w:val="center"/>
          </w:tcPr>
          <w:p w14:paraId="5642986B">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snapToGrid w:val="0"/>
                <w:spacing w:val="-4"/>
                <w:kern w:val="0"/>
                <w:szCs w:val="21"/>
                <w:highlight w:val="none"/>
              </w:rPr>
              <w:t>5分/次</w:t>
            </w:r>
          </w:p>
        </w:tc>
      </w:tr>
      <w:tr w14:paraId="61BA4C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664" w:type="dxa"/>
            <w:noWrap/>
            <w:vAlign w:val="center"/>
          </w:tcPr>
          <w:p w14:paraId="27B61835">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8</w:t>
            </w:r>
          </w:p>
        </w:tc>
        <w:tc>
          <w:tcPr>
            <w:tcW w:w="918" w:type="dxa"/>
            <w:vMerge w:val="continue"/>
            <w:noWrap/>
            <w:vAlign w:val="center"/>
          </w:tcPr>
          <w:p w14:paraId="66299A21">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083487FE">
            <w:pPr>
              <w:jc w:val="left"/>
              <w:rPr>
                <w:rFonts w:hint="default" w:ascii="Times New Roman" w:hAnsi="Times New Roman" w:eastAsia="宋体" w:cs="Times New Roman"/>
                <w:color w:val="000000"/>
                <w:szCs w:val="21"/>
                <w:highlight w:val="none"/>
              </w:rPr>
            </w:pPr>
            <w:r>
              <w:rPr>
                <w:rFonts w:hint="default" w:ascii="Times New Roman" w:hAnsi="Times New Roman" w:eastAsia="宋体" w:cs="Times New Roman"/>
                <w:snapToGrid w:val="0"/>
                <w:spacing w:val="-4"/>
                <w:kern w:val="0"/>
                <w:szCs w:val="21"/>
                <w:highlight w:val="none"/>
              </w:rPr>
              <w:t>垃圾未分类收集，将垃圾倾倒至驳岸空地、围墙内，或焚烧河道打捞杂物造成二次污染。</w:t>
            </w:r>
          </w:p>
        </w:tc>
        <w:tc>
          <w:tcPr>
            <w:tcW w:w="1761" w:type="dxa"/>
            <w:noWrap/>
            <w:vAlign w:val="center"/>
          </w:tcPr>
          <w:p w14:paraId="3F236EBE">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snapToGrid w:val="0"/>
                <w:spacing w:val="-4"/>
                <w:kern w:val="0"/>
                <w:szCs w:val="21"/>
                <w:highlight w:val="none"/>
              </w:rPr>
              <w:t>5分/次</w:t>
            </w:r>
          </w:p>
        </w:tc>
      </w:tr>
    </w:tbl>
    <w:p w14:paraId="0AD907FD">
      <w:pPr>
        <w:pStyle w:val="16"/>
        <w:spacing w:line="20" w:lineRule="exact"/>
        <w:ind w:firstLine="0" w:firstLineChars="0"/>
        <w:rPr>
          <w:rFonts w:hint="default" w:ascii="Times New Roman" w:hAnsi="Times New Roman" w:eastAsia="仿宋_GB2312" w:cs="Times New Roman"/>
          <w:snapToGrid w:val="0"/>
          <w:spacing w:val="-4"/>
          <w:kern w:val="0"/>
          <w:sz w:val="32"/>
          <w:szCs w:val="32"/>
          <w:highlight w:val="none"/>
        </w:rPr>
      </w:pPr>
    </w:p>
    <w:p w14:paraId="0BEB9AD8">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1.适用范围：本标准为月度现场作业质量考核的扣分依据，采用百分制。考核结果与月度作业经费支付比例挂钩。</w:t>
      </w:r>
    </w:p>
    <w:p w14:paraId="59B5B4BA">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2.量化定义：</w:t>
      </w:r>
    </w:p>
    <w:p w14:paraId="5329D657">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处：指单个固定设施或独立区域点位。</w:t>
      </w:r>
    </w:p>
    <w:p w14:paraId="025C6AC0">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人次：指单名在岗作业人员。</w:t>
      </w:r>
    </w:p>
    <w:p w14:paraId="3F01C76E">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次：指单次作业行为或单次巡查发现的违规行为。</w:t>
      </w:r>
    </w:p>
    <w:p w14:paraId="464237EC">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零散：指单点位垃圾、污迹数量≤3处。</w:t>
      </w:r>
    </w:p>
    <w:p w14:paraId="64215089">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多发：指单点位垃圾、污迹数量＞3处，或连片面积＞1平方米。</w:t>
      </w:r>
    </w:p>
    <w:p w14:paraId="5BE331BD">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重复违规：同一点位在60日内再次出现同类违规问题，扣分标准加倍。</w:t>
      </w:r>
    </w:p>
    <w:p w14:paraId="74A2F25E">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设施维修分级时限：简易维修（如更换灯泡、把手、清理堵塞）：须在4小时内完成。一般维修（如配件更换、表面修复）：须在24小时内完成。</w:t>
      </w:r>
    </w:p>
    <w:p w14:paraId="17546858">
      <w:pPr>
        <w:jc w:val="left"/>
        <w:rPr>
          <w:rFonts w:hint="default" w:ascii="Times New Roman" w:hAnsi="Times New Roman" w:eastAsia="黑体" w:cs="Times New Roman"/>
          <w:snapToGrid w:val="0"/>
          <w:spacing w:val="-4"/>
          <w:kern w:val="0"/>
          <w:sz w:val="32"/>
          <w:szCs w:val="32"/>
          <w:highlight w:val="none"/>
        </w:rPr>
      </w:pPr>
      <w:r>
        <w:rPr>
          <w:rFonts w:hint="default" w:ascii="Times New Roman" w:hAnsi="Times New Roman" w:cs="Times New Roman"/>
          <w:highlight w:val="none"/>
        </w:rPr>
        <w:br w:type="page"/>
      </w:r>
      <w:r>
        <w:rPr>
          <w:rFonts w:hint="default" w:ascii="Times New Roman" w:hAnsi="Times New Roman" w:eastAsia="黑体" w:cs="Times New Roman"/>
          <w:snapToGrid w:val="0"/>
          <w:spacing w:val="-4"/>
          <w:kern w:val="0"/>
          <w:sz w:val="32"/>
          <w:szCs w:val="32"/>
          <w:highlight w:val="none"/>
        </w:rPr>
        <w:t>附件5-2</w:t>
      </w:r>
    </w:p>
    <w:p w14:paraId="1AAC8241">
      <w:pPr>
        <w:spacing w:line="560" w:lineRule="exact"/>
        <w:jc w:val="center"/>
        <w:rPr>
          <w:rFonts w:hint="default" w:ascii="Times New Roman" w:hAnsi="Times New Roman" w:eastAsia="方正小标宋简体" w:cs="Times New Roman"/>
          <w:snapToGrid w:val="0"/>
          <w:spacing w:val="-4"/>
          <w:kern w:val="0"/>
          <w:sz w:val="44"/>
          <w:szCs w:val="44"/>
          <w:highlight w:val="none"/>
        </w:rPr>
      </w:pPr>
      <w:r>
        <w:rPr>
          <w:rFonts w:hint="default" w:ascii="Times New Roman" w:hAnsi="Times New Roman" w:eastAsia="方正小标宋简体" w:cs="Times New Roman"/>
          <w:snapToGrid w:val="0"/>
          <w:spacing w:val="-4"/>
          <w:kern w:val="0"/>
          <w:sz w:val="44"/>
          <w:szCs w:val="44"/>
          <w:highlight w:val="none"/>
        </w:rPr>
        <w:t>姑苏区环境卫生市场化作业管理质量</w:t>
      </w:r>
    </w:p>
    <w:p w14:paraId="23743A97">
      <w:pPr>
        <w:overflowPunct w:val="0"/>
        <w:adjustRightInd w:val="0"/>
        <w:snapToGrid w:val="0"/>
        <w:spacing w:line="560" w:lineRule="exact"/>
        <w:jc w:val="center"/>
        <w:rPr>
          <w:rFonts w:hint="default" w:ascii="Times New Roman" w:hAnsi="Times New Roman" w:eastAsia="方正小标宋简体" w:cs="Times New Roman"/>
          <w:snapToGrid w:val="0"/>
          <w:spacing w:val="-4"/>
          <w:kern w:val="0"/>
          <w:sz w:val="44"/>
          <w:szCs w:val="44"/>
          <w:highlight w:val="none"/>
        </w:rPr>
      </w:pPr>
      <w:r>
        <w:rPr>
          <w:rFonts w:hint="default" w:ascii="Times New Roman" w:hAnsi="Times New Roman" w:eastAsia="方正小标宋简体" w:cs="Times New Roman"/>
          <w:snapToGrid w:val="0"/>
          <w:spacing w:val="-4"/>
          <w:kern w:val="0"/>
          <w:sz w:val="44"/>
          <w:szCs w:val="44"/>
          <w:highlight w:val="none"/>
        </w:rPr>
        <w:t>考核评分标准（综合奖惩项）</w:t>
      </w:r>
    </w:p>
    <w:tbl>
      <w:tblPr>
        <w:tblStyle w:val="12"/>
        <w:tblpPr w:leftFromText="180" w:rightFromText="180" w:vertAnchor="text" w:horzAnchor="page" w:tblpX="1537" w:tblpY="264"/>
        <w:tblOverlap w:val="never"/>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510"/>
        <w:gridCol w:w="537"/>
        <w:gridCol w:w="4384"/>
        <w:gridCol w:w="3469"/>
      </w:tblGrid>
      <w:tr w14:paraId="2EF02C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blHeader/>
        </w:trPr>
        <w:tc>
          <w:tcPr>
            <w:tcW w:w="510" w:type="dxa"/>
            <w:noWrap/>
            <w:vAlign w:val="center"/>
          </w:tcPr>
          <w:p w14:paraId="0C5DF336">
            <w:pPr>
              <w:overflowPunct w:val="0"/>
              <w:adjustRightInd w:val="0"/>
              <w:snapToGrid w:val="0"/>
              <w:jc w:val="center"/>
              <w:rPr>
                <w:rFonts w:hint="default" w:ascii="Times New Roman" w:hAnsi="Times New Roman" w:eastAsia="黑体" w:cs="Times New Roman"/>
                <w:bCs/>
                <w:snapToGrid w:val="0"/>
                <w:spacing w:val="-4"/>
                <w:kern w:val="0"/>
                <w:sz w:val="24"/>
                <w:highlight w:val="none"/>
              </w:rPr>
            </w:pPr>
            <w:r>
              <w:rPr>
                <w:rFonts w:hint="default" w:ascii="Times New Roman" w:hAnsi="Times New Roman" w:eastAsia="黑体" w:cs="Times New Roman"/>
                <w:bCs/>
                <w:snapToGrid w:val="0"/>
                <w:spacing w:val="-4"/>
                <w:kern w:val="0"/>
                <w:sz w:val="24"/>
                <w:highlight w:val="none"/>
              </w:rPr>
              <w:t>序号</w:t>
            </w:r>
          </w:p>
        </w:tc>
        <w:tc>
          <w:tcPr>
            <w:tcW w:w="537" w:type="dxa"/>
            <w:noWrap/>
            <w:vAlign w:val="center"/>
          </w:tcPr>
          <w:p w14:paraId="78299358">
            <w:pPr>
              <w:overflowPunct w:val="0"/>
              <w:adjustRightInd w:val="0"/>
              <w:snapToGrid w:val="0"/>
              <w:jc w:val="center"/>
              <w:rPr>
                <w:rFonts w:hint="default" w:ascii="Times New Roman" w:hAnsi="Times New Roman" w:eastAsia="黑体" w:cs="Times New Roman"/>
                <w:bCs/>
                <w:snapToGrid w:val="0"/>
                <w:spacing w:val="-4"/>
                <w:kern w:val="0"/>
                <w:sz w:val="24"/>
                <w:highlight w:val="none"/>
              </w:rPr>
            </w:pPr>
            <w:r>
              <w:rPr>
                <w:rFonts w:hint="default" w:ascii="Times New Roman" w:hAnsi="Times New Roman" w:eastAsia="黑体" w:cs="Times New Roman"/>
                <w:bCs/>
                <w:snapToGrid w:val="0"/>
                <w:spacing w:val="-4"/>
                <w:kern w:val="0"/>
                <w:sz w:val="24"/>
                <w:highlight w:val="none"/>
              </w:rPr>
              <w:t>类别</w:t>
            </w:r>
          </w:p>
        </w:tc>
        <w:tc>
          <w:tcPr>
            <w:tcW w:w="4384" w:type="dxa"/>
            <w:noWrap/>
            <w:vAlign w:val="center"/>
          </w:tcPr>
          <w:p w14:paraId="652C70B6">
            <w:pPr>
              <w:overflowPunct w:val="0"/>
              <w:adjustRightInd w:val="0"/>
              <w:snapToGrid w:val="0"/>
              <w:jc w:val="center"/>
              <w:rPr>
                <w:rFonts w:hint="default" w:ascii="Times New Roman" w:hAnsi="Times New Roman" w:eastAsia="黑体" w:cs="Times New Roman"/>
                <w:bCs/>
                <w:snapToGrid w:val="0"/>
                <w:spacing w:val="-4"/>
                <w:kern w:val="0"/>
                <w:sz w:val="24"/>
                <w:highlight w:val="none"/>
              </w:rPr>
            </w:pPr>
            <w:r>
              <w:rPr>
                <w:rFonts w:hint="default" w:ascii="Times New Roman" w:hAnsi="Times New Roman" w:eastAsia="黑体" w:cs="Times New Roman"/>
                <w:bCs/>
                <w:snapToGrid w:val="0"/>
                <w:spacing w:val="-4"/>
                <w:kern w:val="0"/>
                <w:sz w:val="24"/>
                <w:highlight w:val="none"/>
              </w:rPr>
              <w:t>考核内容</w:t>
            </w:r>
          </w:p>
        </w:tc>
        <w:tc>
          <w:tcPr>
            <w:tcW w:w="3469" w:type="dxa"/>
            <w:noWrap/>
            <w:vAlign w:val="center"/>
          </w:tcPr>
          <w:p w14:paraId="194D7E6E">
            <w:pPr>
              <w:overflowPunct w:val="0"/>
              <w:adjustRightInd w:val="0"/>
              <w:snapToGrid w:val="0"/>
              <w:jc w:val="center"/>
              <w:rPr>
                <w:rFonts w:hint="default" w:ascii="Times New Roman" w:hAnsi="Times New Roman" w:eastAsia="黑体" w:cs="Times New Roman"/>
                <w:bCs/>
                <w:snapToGrid w:val="0"/>
                <w:spacing w:val="-4"/>
                <w:kern w:val="0"/>
                <w:sz w:val="24"/>
                <w:highlight w:val="none"/>
              </w:rPr>
            </w:pPr>
            <w:r>
              <w:rPr>
                <w:rFonts w:hint="default" w:ascii="Times New Roman" w:hAnsi="Times New Roman" w:eastAsia="黑体" w:cs="Times New Roman"/>
                <w:bCs/>
                <w:snapToGrid w:val="0"/>
                <w:spacing w:val="-4"/>
                <w:kern w:val="0"/>
                <w:sz w:val="24"/>
                <w:highlight w:val="none"/>
              </w:rPr>
              <w:t>奖惩标准</w:t>
            </w:r>
          </w:p>
        </w:tc>
      </w:tr>
      <w:tr w14:paraId="5C0902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8900" w:type="dxa"/>
            <w:gridSpan w:val="4"/>
            <w:shd w:val="clear" w:color="000000" w:fill="D9D9D9"/>
            <w:noWrap/>
            <w:vAlign w:val="center"/>
          </w:tcPr>
          <w:p w14:paraId="6D9BCA52">
            <w:pPr>
              <w:overflowPunct w:val="0"/>
              <w:adjustRightInd w:val="0"/>
              <w:snapToGrid w:val="0"/>
              <w:jc w:val="center"/>
              <w:rPr>
                <w:rFonts w:hint="default" w:ascii="Times New Roman" w:hAnsi="Times New Roman" w:eastAsia="黑体" w:cs="Times New Roman"/>
                <w:b/>
                <w:bCs/>
                <w:snapToGrid w:val="0"/>
                <w:spacing w:val="-4"/>
                <w:kern w:val="0"/>
                <w:sz w:val="24"/>
                <w:highlight w:val="none"/>
              </w:rPr>
            </w:pPr>
            <w:r>
              <w:rPr>
                <w:rFonts w:hint="default" w:ascii="Times New Roman" w:hAnsi="Times New Roman" w:eastAsia="黑体" w:cs="Times New Roman"/>
                <w:snapToGrid w:val="0"/>
                <w:spacing w:val="-4"/>
                <w:kern w:val="0"/>
                <w:sz w:val="24"/>
                <w:highlight w:val="none"/>
              </w:rPr>
              <w:t>综合扣款项</w:t>
            </w:r>
          </w:p>
        </w:tc>
      </w:tr>
      <w:tr w14:paraId="751D4D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55" w:hRule="atLeast"/>
        </w:trPr>
        <w:tc>
          <w:tcPr>
            <w:tcW w:w="510" w:type="dxa"/>
            <w:noWrap/>
            <w:vAlign w:val="center"/>
          </w:tcPr>
          <w:p w14:paraId="4D4BECCE">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w:t>
            </w:r>
          </w:p>
        </w:tc>
        <w:tc>
          <w:tcPr>
            <w:tcW w:w="537" w:type="dxa"/>
            <w:vMerge w:val="restart"/>
            <w:noWrap/>
            <w:vAlign w:val="center"/>
          </w:tcPr>
          <w:p w14:paraId="5E49D962">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人员</w:t>
            </w:r>
          </w:p>
          <w:p w14:paraId="7617F72E">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管理</w:t>
            </w:r>
          </w:p>
        </w:tc>
        <w:tc>
          <w:tcPr>
            <w:tcW w:w="4384" w:type="dxa"/>
            <w:noWrap/>
            <w:vAlign w:val="center"/>
          </w:tcPr>
          <w:p w14:paraId="0EA8C674">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经现场认定，人员缺岗、人卡不符、一人多卡等“吃空饷”行为。</w:t>
            </w:r>
          </w:p>
        </w:tc>
        <w:tc>
          <w:tcPr>
            <w:tcW w:w="3469" w:type="dxa"/>
            <w:noWrap/>
            <w:vAlign w:val="center"/>
          </w:tcPr>
          <w:p w14:paraId="6131BF6C">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扣500元/人次</w:t>
            </w:r>
          </w:p>
        </w:tc>
      </w:tr>
      <w:tr w14:paraId="3FE9FE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00EA81A0">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w:t>
            </w:r>
          </w:p>
        </w:tc>
        <w:tc>
          <w:tcPr>
            <w:tcW w:w="537" w:type="dxa"/>
            <w:vMerge w:val="continue"/>
            <w:noWrap/>
            <w:vAlign w:val="center"/>
          </w:tcPr>
          <w:p w14:paraId="5A5601C9">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7B7A5580">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highlight w:val="none"/>
              </w:rPr>
              <w:t>未足额落实环卫工人工资、高温补贴等法定薪酬福利待遇，经查实的。</w:t>
            </w:r>
          </w:p>
        </w:tc>
        <w:tc>
          <w:tcPr>
            <w:tcW w:w="3469" w:type="dxa"/>
            <w:noWrap/>
            <w:vAlign w:val="center"/>
          </w:tcPr>
          <w:p w14:paraId="72B0E69C">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扣5000元/人次</w:t>
            </w:r>
          </w:p>
        </w:tc>
      </w:tr>
      <w:tr w14:paraId="677E52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352B7A92">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3</w:t>
            </w:r>
          </w:p>
        </w:tc>
        <w:tc>
          <w:tcPr>
            <w:tcW w:w="537" w:type="dxa"/>
            <w:vMerge w:val="continue"/>
            <w:noWrap/>
            <w:vAlign w:val="center"/>
          </w:tcPr>
          <w:p w14:paraId="6ED7297A">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17683F7C">
            <w:pPr>
              <w:overflowPunct w:val="0"/>
              <w:adjustRightInd w:val="0"/>
              <w:snapToGrid w:val="0"/>
              <w:jc w:val="left"/>
              <w:rPr>
                <w:rFonts w:hint="default" w:ascii="Times New Roman" w:hAnsi="Times New Roman" w:cs="Times New Roman"/>
                <w:highlight w:val="none"/>
              </w:rPr>
            </w:pPr>
            <w:r>
              <w:rPr>
                <w:rFonts w:hint="default" w:ascii="Times New Roman" w:hAnsi="Times New Roman" w:cs="Times New Roman"/>
                <w:highlight w:val="none"/>
              </w:rPr>
              <w:t>从业人员作业时间从事私活、违规堆放物品产生安全隐患等违规行为。</w:t>
            </w:r>
          </w:p>
        </w:tc>
        <w:tc>
          <w:tcPr>
            <w:tcW w:w="3469" w:type="dxa"/>
            <w:noWrap/>
            <w:vAlign w:val="center"/>
          </w:tcPr>
          <w:p w14:paraId="6710BBA1">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扣500元/次</w:t>
            </w:r>
          </w:p>
        </w:tc>
      </w:tr>
      <w:tr w14:paraId="3DE349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7166D20F">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4</w:t>
            </w:r>
          </w:p>
        </w:tc>
        <w:tc>
          <w:tcPr>
            <w:tcW w:w="537" w:type="dxa"/>
            <w:vMerge w:val="restart"/>
            <w:noWrap/>
            <w:vAlign w:val="center"/>
          </w:tcPr>
          <w:p w14:paraId="2083B147">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车辆管理</w:t>
            </w:r>
          </w:p>
        </w:tc>
        <w:tc>
          <w:tcPr>
            <w:tcW w:w="4384" w:type="dxa"/>
            <w:noWrap/>
            <w:vAlign w:val="center"/>
          </w:tcPr>
          <w:p w14:paraId="1EE7D1F1">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环卫车辆为偷倒乱倒或私自承接业务而跨审批区域作业；因突发任务临时调度未及时报备的。</w:t>
            </w:r>
          </w:p>
        </w:tc>
        <w:tc>
          <w:tcPr>
            <w:tcW w:w="3469" w:type="dxa"/>
            <w:noWrap/>
            <w:vAlign w:val="center"/>
          </w:tcPr>
          <w:p w14:paraId="3E646E66">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扣20000元/车次；</w:t>
            </w:r>
          </w:p>
          <w:p w14:paraId="3C390F78">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扣1000元/次，并责令补办手续。</w:t>
            </w:r>
          </w:p>
        </w:tc>
      </w:tr>
      <w:tr w14:paraId="3F97BF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2ED81CD9">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5</w:t>
            </w:r>
          </w:p>
        </w:tc>
        <w:tc>
          <w:tcPr>
            <w:tcW w:w="537" w:type="dxa"/>
            <w:vMerge w:val="continue"/>
            <w:noWrap/>
            <w:vAlign w:val="center"/>
          </w:tcPr>
          <w:p w14:paraId="765D52A3">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014FB498">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highlight w:val="none"/>
              </w:rPr>
              <w:t>收运车辆违规搭载无关人员、装载非环卫私人物品，私自对外承接有偿垃圾清运业务。</w:t>
            </w:r>
          </w:p>
        </w:tc>
        <w:tc>
          <w:tcPr>
            <w:tcW w:w="3469" w:type="dxa"/>
            <w:noWrap/>
            <w:vAlign w:val="center"/>
          </w:tcPr>
          <w:p w14:paraId="432C35B2">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扣5000元/车次</w:t>
            </w:r>
          </w:p>
        </w:tc>
      </w:tr>
      <w:tr w14:paraId="0181A2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5B3C1746">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6</w:t>
            </w:r>
          </w:p>
        </w:tc>
        <w:tc>
          <w:tcPr>
            <w:tcW w:w="537" w:type="dxa"/>
            <w:vMerge w:val="continue"/>
            <w:noWrap/>
            <w:vAlign w:val="center"/>
          </w:tcPr>
          <w:p w14:paraId="19161045">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102D7194">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highlight w:val="none"/>
              </w:rPr>
              <w:t>机扫车作业未按规范带水作业、扫盘不落地/不转动，未贴边清扫、作业设备参数设置不当消极作业。</w:t>
            </w:r>
          </w:p>
        </w:tc>
        <w:tc>
          <w:tcPr>
            <w:tcW w:w="3469" w:type="dxa"/>
            <w:noWrap/>
            <w:vAlign w:val="center"/>
          </w:tcPr>
          <w:p w14:paraId="5E1D8A9B">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扣500元/次</w:t>
            </w:r>
          </w:p>
        </w:tc>
      </w:tr>
      <w:tr w14:paraId="667D1A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16" w:hRule="atLeast"/>
        </w:trPr>
        <w:tc>
          <w:tcPr>
            <w:tcW w:w="510" w:type="dxa"/>
            <w:noWrap/>
            <w:vAlign w:val="center"/>
          </w:tcPr>
          <w:p w14:paraId="4F7914C0">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7</w:t>
            </w:r>
          </w:p>
        </w:tc>
        <w:tc>
          <w:tcPr>
            <w:tcW w:w="537" w:type="dxa"/>
            <w:vMerge w:val="continue"/>
            <w:noWrap/>
            <w:vAlign w:val="center"/>
          </w:tcPr>
          <w:p w14:paraId="7FEAB676">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2529D77E">
            <w:pPr>
              <w:widowControl/>
              <w:jc w:val="left"/>
              <w:textAlignment w:val="center"/>
              <w:rPr>
                <w:rFonts w:hint="default" w:ascii="Times New Roman" w:hAnsi="Times New Roman" w:cs="Times New Roman"/>
                <w:highlight w:val="none"/>
              </w:rPr>
            </w:pPr>
            <w:r>
              <w:rPr>
                <w:rFonts w:hint="default" w:ascii="Times New Roman" w:hAnsi="Times New Roman" w:cs="Times New Roman"/>
                <w:highlight w:val="none"/>
              </w:rPr>
              <w:t>垃圾收运车辆外挂垃圾桶、翻桶操作不规范、未密闭运输、超载超高；造成抛撒滴漏、扬尘二次污染的。</w:t>
            </w:r>
          </w:p>
        </w:tc>
        <w:tc>
          <w:tcPr>
            <w:tcW w:w="3469" w:type="dxa"/>
            <w:noWrap/>
            <w:vAlign w:val="center"/>
          </w:tcPr>
          <w:p w14:paraId="22E560C8">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扣200元/次；</w:t>
            </w:r>
          </w:p>
          <w:p w14:paraId="38AF2AF3">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加扣500元/次。</w:t>
            </w:r>
          </w:p>
        </w:tc>
      </w:tr>
      <w:tr w14:paraId="5D4A94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510" w:type="dxa"/>
            <w:noWrap/>
            <w:vAlign w:val="center"/>
          </w:tcPr>
          <w:p w14:paraId="67BC888C">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8</w:t>
            </w:r>
          </w:p>
        </w:tc>
        <w:tc>
          <w:tcPr>
            <w:tcW w:w="537" w:type="dxa"/>
            <w:vMerge w:val="continue"/>
            <w:noWrap/>
            <w:vAlign w:val="center"/>
          </w:tcPr>
          <w:p w14:paraId="5B30EA67">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1BEFB4A0">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cs="Times New Roman"/>
                <w:highlight w:val="none"/>
              </w:rPr>
              <w:t>车身重度脏污、配件破损、漆面大面积脱落，车内堆放杂物、工具杂乱。</w:t>
            </w:r>
          </w:p>
        </w:tc>
        <w:tc>
          <w:tcPr>
            <w:tcW w:w="3469" w:type="dxa"/>
            <w:noWrap/>
            <w:vAlign w:val="center"/>
          </w:tcPr>
          <w:p w14:paraId="0F5A3D37">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snapToGrid w:val="0"/>
                <w:spacing w:val="-4"/>
                <w:kern w:val="0"/>
                <w:szCs w:val="21"/>
                <w:highlight w:val="none"/>
              </w:rPr>
              <w:t>扣200元/次</w:t>
            </w:r>
          </w:p>
        </w:tc>
      </w:tr>
      <w:tr w14:paraId="3E9669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64" w:hRule="atLeast"/>
        </w:trPr>
        <w:tc>
          <w:tcPr>
            <w:tcW w:w="510" w:type="dxa"/>
            <w:noWrap/>
            <w:vAlign w:val="center"/>
          </w:tcPr>
          <w:p w14:paraId="78E8A99E">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9</w:t>
            </w:r>
          </w:p>
        </w:tc>
        <w:tc>
          <w:tcPr>
            <w:tcW w:w="537" w:type="dxa"/>
            <w:vMerge w:val="continue"/>
            <w:noWrap/>
            <w:vAlign w:val="center"/>
          </w:tcPr>
          <w:p w14:paraId="50AA3EFB">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7D2835B3">
            <w:pPr>
              <w:widowControl/>
              <w:jc w:val="left"/>
              <w:textAlignment w:val="center"/>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车辆未按统一标准喷涂标识、未安装专用信息牌，车牌缺失、破损、套牌、故意遮挡号牌。</w:t>
            </w:r>
          </w:p>
        </w:tc>
        <w:tc>
          <w:tcPr>
            <w:tcW w:w="3469" w:type="dxa"/>
            <w:noWrap/>
            <w:vAlign w:val="center"/>
          </w:tcPr>
          <w:p w14:paraId="677C6084">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6A391F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05" w:hRule="atLeast"/>
        </w:trPr>
        <w:tc>
          <w:tcPr>
            <w:tcW w:w="510" w:type="dxa"/>
            <w:noWrap/>
            <w:vAlign w:val="center"/>
          </w:tcPr>
          <w:p w14:paraId="2F108392">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10</w:t>
            </w:r>
          </w:p>
        </w:tc>
        <w:tc>
          <w:tcPr>
            <w:tcW w:w="537" w:type="dxa"/>
            <w:vMerge w:val="continue"/>
            <w:noWrap/>
            <w:vAlign w:val="center"/>
          </w:tcPr>
          <w:p w14:paraId="3B048749">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3C3D800B">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highlight w:val="none"/>
              </w:rPr>
              <w:t>车辆违规停放，临时作业未放置警示标识，违反交通及环卫作业规范。</w:t>
            </w:r>
          </w:p>
        </w:tc>
        <w:tc>
          <w:tcPr>
            <w:tcW w:w="3469" w:type="dxa"/>
            <w:noWrap/>
            <w:vAlign w:val="center"/>
          </w:tcPr>
          <w:p w14:paraId="18235862">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w:t>
            </w:r>
            <w:r>
              <w:rPr>
                <w:rFonts w:hint="default" w:ascii="Times New Roman" w:hAnsi="Times New Roman" w:cs="Times New Roman"/>
                <w:snapToGrid w:val="0"/>
                <w:spacing w:val="-4"/>
                <w:kern w:val="0"/>
                <w:szCs w:val="21"/>
                <w:highlight w:val="none"/>
              </w:rPr>
              <w:t>200</w:t>
            </w:r>
            <w:r>
              <w:rPr>
                <w:rFonts w:hint="default" w:ascii="Times New Roman" w:hAnsi="Times New Roman" w:eastAsia="宋体" w:cs="Times New Roman"/>
                <w:snapToGrid w:val="0"/>
                <w:spacing w:val="-4"/>
                <w:kern w:val="0"/>
                <w:szCs w:val="21"/>
                <w:highlight w:val="none"/>
              </w:rPr>
              <w:t>元/</w:t>
            </w:r>
            <w:r>
              <w:rPr>
                <w:rFonts w:hint="default" w:ascii="Times New Roman" w:hAnsi="Times New Roman" w:cs="Times New Roman"/>
                <w:snapToGrid w:val="0"/>
                <w:spacing w:val="-4"/>
                <w:kern w:val="0"/>
                <w:szCs w:val="21"/>
                <w:highlight w:val="none"/>
              </w:rPr>
              <w:t>车</w:t>
            </w:r>
            <w:r>
              <w:rPr>
                <w:rFonts w:hint="default" w:ascii="Times New Roman" w:hAnsi="Times New Roman" w:eastAsia="宋体" w:cs="Times New Roman"/>
                <w:snapToGrid w:val="0"/>
                <w:spacing w:val="-4"/>
                <w:kern w:val="0"/>
                <w:szCs w:val="21"/>
                <w:highlight w:val="none"/>
              </w:rPr>
              <w:t>次</w:t>
            </w:r>
          </w:p>
        </w:tc>
      </w:tr>
      <w:tr w14:paraId="17E51E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86" w:hRule="atLeast"/>
        </w:trPr>
        <w:tc>
          <w:tcPr>
            <w:tcW w:w="510" w:type="dxa"/>
            <w:noWrap/>
            <w:vAlign w:val="center"/>
          </w:tcPr>
          <w:p w14:paraId="17F6405A">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11</w:t>
            </w:r>
          </w:p>
        </w:tc>
        <w:tc>
          <w:tcPr>
            <w:tcW w:w="537" w:type="dxa"/>
            <w:vMerge w:val="continue"/>
            <w:noWrap/>
            <w:vAlign w:val="center"/>
          </w:tcPr>
          <w:p w14:paraId="02DD73BA">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5626C1F1">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cs="Times New Roman"/>
                <w:highlight w:val="none"/>
              </w:rPr>
              <w:t>垃圾收运车辆混装不同品类垃圾、收运车辆与清运品类不匹配。</w:t>
            </w:r>
          </w:p>
        </w:tc>
        <w:tc>
          <w:tcPr>
            <w:tcW w:w="3469" w:type="dxa"/>
            <w:noWrap/>
            <w:vAlign w:val="center"/>
          </w:tcPr>
          <w:p w14:paraId="77FD5F1C">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090336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74" w:hRule="atLeast"/>
        </w:trPr>
        <w:tc>
          <w:tcPr>
            <w:tcW w:w="510" w:type="dxa"/>
            <w:noWrap/>
            <w:vAlign w:val="center"/>
          </w:tcPr>
          <w:p w14:paraId="570DD839">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12</w:t>
            </w:r>
          </w:p>
        </w:tc>
        <w:tc>
          <w:tcPr>
            <w:tcW w:w="537" w:type="dxa"/>
            <w:vMerge w:val="continue"/>
            <w:noWrap/>
            <w:vAlign w:val="center"/>
          </w:tcPr>
          <w:p w14:paraId="05E78619">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3D17A814">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highlight w:val="none"/>
              </w:rPr>
              <w:t>故障车辆未及时报备、带病上路作业；车辆维保期间未调配备用车辆保障片区保洁。</w:t>
            </w:r>
          </w:p>
        </w:tc>
        <w:tc>
          <w:tcPr>
            <w:tcW w:w="3469" w:type="dxa"/>
            <w:noWrap/>
            <w:vAlign w:val="center"/>
          </w:tcPr>
          <w:p w14:paraId="586E0789">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3F8367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81" w:hRule="atLeast"/>
        </w:trPr>
        <w:tc>
          <w:tcPr>
            <w:tcW w:w="510" w:type="dxa"/>
            <w:noWrap/>
            <w:vAlign w:val="center"/>
          </w:tcPr>
          <w:p w14:paraId="5393FE6A">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13</w:t>
            </w:r>
          </w:p>
        </w:tc>
        <w:tc>
          <w:tcPr>
            <w:tcW w:w="537" w:type="dxa"/>
            <w:vMerge w:val="continue"/>
            <w:noWrap/>
            <w:vAlign w:val="center"/>
          </w:tcPr>
          <w:p w14:paraId="702C89DE">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2774D176">
            <w:pPr>
              <w:widowControl/>
              <w:jc w:val="left"/>
              <w:textAlignment w:val="center"/>
              <w:rPr>
                <w:rFonts w:hint="default" w:ascii="Times New Roman" w:hAnsi="Times New Roman" w:eastAsia="宋体" w:cs="Times New Roman"/>
                <w:szCs w:val="21"/>
                <w:highlight w:val="none"/>
              </w:rPr>
            </w:pPr>
            <w:r>
              <w:rPr>
                <w:rFonts w:hint="default" w:ascii="Times New Roman" w:hAnsi="Times New Roman" w:cs="Times New Roman"/>
                <w:highlight w:val="none"/>
              </w:rPr>
              <w:t>未按合同标准配齐作业车辆、设备，或已配备设备长期闲置不投入使用。</w:t>
            </w:r>
          </w:p>
        </w:tc>
        <w:tc>
          <w:tcPr>
            <w:tcW w:w="3469" w:type="dxa"/>
            <w:noWrap/>
            <w:vAlign w:val="center"/>
          </w:tcPr>
          <w:p w14:paraId="0DD0DD9B">
            <w:pPr>
              <w:widowControl/>
              <w:jc w:val="center"/>
              <w:textAlignment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6DE253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6" w:hRule="atLeast"/>
        </w:trPr>
        <w:tc>
          <w:tcPr>
            <w:tcW w:w="510" w:type="dxa"/>
            <w:noWrap/>
            <w:vAlign w:val="center"/>
          </w:tcPr>
          <w:p w14:paraId="731BEF0B">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14</w:t>
            </w:r>
          </w:p>
        </w:tc>
        <w:tc>
          <w:tcPr>
            <w:tcW w:w="537" w:type="dxa"/>
            <w:vMerge w:val="continue"/>
            <w:noWrap/>
            <w:vAlign w:val="center"/>
          </w:tcPr>
          <w:p w14:paraId="387AE62D">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4FA8C6F1">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highlight w:val="none"/>
              </w:rPr>
              <w:t>擅自使用市政消火栓取水冲洗车辆、补充作业用水等违规取水行为。</w:t>
            </w:r>
          </w:p>
        </w:tc>
        <w:tc>
          <w:tcPr>
            <w:tcW w:w="3469" w:type="dxa"/>
            <w:noWrap/>
            <w:vAlign w:val="center"/>
          </w:tcPr>
          <w:p w14:paraId="12741983">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703DED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7" w:hRule="atLeast"/>
        </w:trPr>
        <w:tc>
          <w:tcPr>
            <w:tcW w:w="510" w:type="dxa"/>
            <w:noWrap/>
            <w:vAlign w:val="center"/>
          </w:tcPr>
          <w:p w14:paraId="3AAA1A03">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15</w:t>
            </w:r>
          </w:p>
        </w:tc>
        <w:tc>
          <w:tcPr>
            <w:tcW w:w="537" w:type="dxa"/>
            <w:vMerge w:val="restart"/>
            <w:noWrap/>
            <w:vAlign w:val="center"/>
          </w:tcPr>
          <w:p w14:paraId="2782E245">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船只管理</w:t>
            </w:r>
          </w:p>
        </w:tc>
        <w:tc>
          <w:tcPr>
            <w:tcW w:w="4384" w:type="dxa"/>
            <w:noWrap/>
            <w:vAlign w:val="center"/>
          </w:tcPr>
          <w:p w14:paraId="05965D02">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color w:val="000000"/>
                <w:szCs w:val="21"/>
                <w:highlight w:val="none"/>
              </w:rPr>
              <w:t>河道作业船只未配备完好合规的专用垃圾收集容器。</w:t>
            </w:r>
          </w:p>
        </w:tc>
        <w:tc>
          <w:tcPr>
            <w:tcW w:w="3469" w:type="dxa"/>
            <w:noWrap/>
            <w:vAlign w:val="center"/>
          </w:tcPr>
          <w:p w14:paraId="5C4A8C8C">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扣500元/船次</w:t>
            </w:r>
          </w:p>
        </w:tc>
      </w:tr>
      <w:tr w14:paraId="4DDE8B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7DCEA59B">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16</w:t>
            </w:r>
          </w:p>
        </w:tc>
        <w:tc>
          <w:tcPr>
            <w:tcW w:w="537" w:type="dxa"/>
            <w:vMerge w:val="continue"/>
            <w:noWrap/>
            <w:vAlign w:val="center"/>
          </w:tcPr>
          <w:p w14:paraId="7872ADF8">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5F0B252C">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zCs w:val="21"/>
                <w:highlight w:val="none"/>
              </w:rPr>
              <w:t>故障船只未报备、带病下水作业；船只维保期间未调配备用船只开展河道保洁。</w:t>
            </w:r>
          </w:p>
        </w:tc>
        <w:tc>
          <w:tcPr>
            <w:tcW w:w="3469" w:type="dxa"/>
            <w:noWrap/>
            <w:vAlign w:val="center"/>
          </w:tcPr>
          <w:p w14:paraId="4861D624">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snapToGrid w:val="0"/>
                <w:spacing w:val="-4"/>
                <w:kern w:val="0"/>
                <w:szCs w:val="21"/>
                <w:highlight w:val="none"/>
              </w:rPr>
              <w:t>扣1000元/船次</w:t>
            </w:r>
          </w:p>
        </w:tc>
      </w:tr>
      <w:tr w14:paraId="2DE465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057B98A2">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17</w:t>
            </w:r>
          </w:p>
        </w:tc>
        <w:tc>
          <w:tcPr>
            <w:tcW w:w="537" w:type="dxa"/>
            <w:vMerge w:val="continue"/>
            <w:noWrap/>
            <w:vAlign w:val="center"/>
          </w:tcPr>
          <w:p w14:paraId="5DC094F2">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71DD2B5A">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color w:val="000000"/>
                <w:szCs w:val="21"/>
                <w:highlight w:val="none"/>
              </w:rPr>
              <w:t>船只停用、外借未提前向主管单位报备；故障船只管护不当造成损毁加重。</w:t>
            </w:r>
          </w:p>
        </w:tc>
        <w:tc>
          <w:tcPr>
            <w:tcW w:w="3469" w:type="dxa"/>
            <w:noWrap/>
            <w:vAlign w:val="center"/>
          </w:tcPr>
          <w:p w14:paraId="6E39A03C">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扣1000元/船次</w:t>
            </w:r>
          </w:p>
        </w:tc>
      </w:tr>
      <w:tr w14:paraId="209773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5ADEA0F4">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18</w:t>
            </w:r>
          </w:p>
        </w:tc>
        <w:tc>
          <w:tcPr>
            <w:tcW w:w="537" w:type="dxa"/>
            <w:vMerge w:val="continue"/>
            <w:noWrap/>
            <w:vAlign w:val="center"/>
          </w:tcPr>
          <w:p w14:paraId="52BA28F0">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3E11173C">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color w:val="000000"/>
                <w:szCs w:val="21"/>
                <w:highlight w:val="none"/>
              </w:rPr>
              <w:t>船只未统一喷涂外观标识、未安装专用信息牌，信息牌破损缺失、套牌、遮挡；人为损毁船上信息化监管设备。</w:t>
            </w:r>
          </w:p>
        </w:tc>
        <w:tc>
          <w:tcPr>
            <w:tcW w:w="3469" w:type="dxa"/>
            <w:noWrap/>
            <w:vAlign w:val="center"/>
          </w:tcPr>
          <w:p w14:paraId="0D731EEC">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扣1000元/船次</w:t>
            </w:r>
          </w:p>
        </w:tc>
      </w:tr>
      <w:tr w14:paraId="570902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34" w:hRule="atLeast"/>
        </w:trPr>
        <w:tc>
          <w:tcPr>
            <w:tcW w:w="510" w:type="dxa"/>
            <w:noWrap/>
            <w:vAlign w:val="center"/>
          </w:tcPr>
          <w:p w14:paraId="63E6B626">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19</w:t>
            </w:r>
          </w:p>
        </w:tc>
        <w:tc>
          <w:tcPr>
            <w:tcW w:w="537" w:type="dxa"/>
            <w:vMerge w:val="continue"/>
            <w:noWrap/>
            <w:vAlign w:val="center"/>
          </w:tcPr>
          <w:p w14:paraId="7386CC7B">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70EB82D7">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cs="Times New Roman"/>
                <w:highlight w:val="none"/>
              </w:rPr>
              <w:t>船身内外脏污破旧，舱内堆放杂物、作业工具杂乱摆放。</w:t>
            </w:r>
          </w:p>
        </w:tc>
        <w:tc>
          <w:tcPr>
            <w:tcW w:w="3469" w:type="dxa"/>
            <w:noWrap/>
            <w:vAlign w:val="center"/>
          </w:tcPr>
          <w:p w14:paraId="7B23A89F">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扣500元/船次</w:t>
            </w:r>
          </w:p>
        </w:tc>
      </w:tr>
      <w:tr w14:paraId="4FEE12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34" w:hRule="atLeast"/>
        </w:trPr>
        <w:tc>
          <w:tcPr>
            <w:tcW w:w="510" w:type="dxa"/>
            <w:noWrap/>
            <w:vAlign w:val="center"/>
          </w:tcPr>
          <w:p w14:paraId="5BA5633D">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20</w:t>
            </w:r>
          </w:p>
        </w:tc>
        <w:tc>
          <w:tcPr>
            <w:tcW w:w="537" w:type="dxa"/>
            <w:vMerge w:val="continue"/>
            <w:noWrap/>
            <w:vAlign w:val="center"/>
          </w:tcPr>
          <w:p w14:paraId="0AF68C47">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525F41A7">
            <w:pPr>
              <w:widowControl/>
              <w:jc w:val="left"/>
              <w:textAlignment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停船、充电点位存在安全隐患、扰民、污染周边环境；未经审批擅自变更停泊、充电点位。</w:t>
            </w:r>
          </w:p>
        </w:tc>
        <w:tc>
          <w:tcPr>
            <w:tcW w:w="3469" w:type="dxa"/>
            <w:noWrap/>
            <w:vAlign w:val="center"/>
          </w:tcPr>
          <w:p w14:paraId="208C2882">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扣2000元/处</w:t>
            </w:r>
          </w:p>
        </w:tc>
      </w:tr>
      <w:tr w14:paraId="0B5087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0AD9E118">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21</w:t>
            </w:r>
          </w:p>
        </w:tc>
        <w:tc>
          <w:tcPr>
            <w:tcW w:w="537" w:type="dxa"/>
            <w:vMerge w:val="restart"/>
            <w:noWrap/>
            <w:vAlign w:val="center"/>
          </w:tcPr>
          <w:p w14:paraId="6727F914">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社会</w:t>
            </w:r>
          </w:p>
          <w:p w14:paraId="2E70377E">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责任</w:t>
            </w:r>
          </w:p>
        </w:tc>
        <w:tc>
          <w:tcPr>
            <w:tcW w:w="4384" w:type="dxa"/>
            <w:noWrap/>
            <w:vAlign w:val="center"/>
          </w:tcPr>
          <w:p w14:paraId="7756BD07">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工单处置中推卸责任、无正当理由拒签收或敷衍塞责；自媒体、网络平台投诉参照本条执行。</w:t>
            </w:r>
          </w:p>
        </w:tc>
        <w:tc>
          <w:tcPr>
            <w:tcW w:w="3469" w:type="dxa"/>
            <w:noWrap/>
            <w:vAlign w:val="center"/>
          </w:tcPr>
          <w:p w14:paraId="33AE6C54">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推诿扣</w:t>
            </w:r>
            <w:r>
              <w:rPr>
                <w:rFonts w:hint="default" w:ascii="Times New Roman" w:hAnsi="Times New Roman" w:cs="Times New Roman"/>
                <w:snapToGrid w:val="0"/>
                <w:spacing w:val="-4"/>
                <w:kern w:val="0"/>
                <w:szCs w:val="21"/>
                <w:highlight w:val="none"/>
              </w:rPr>
              <w:t>1000</w:t>
            </w:r>
            <w:r>
              <w:rPr>
                <w:rFonts w:hint="default" w:ascii="Times New Roman" w:hAnsi="Times New Roman" w:eastAsia="宋体" w:cs="Times New Roman"/>
                <w:snapToGrid w:val="0"/>
                <w:spacing w:val="-4"/>
                <w:kern w:val="0"/>
                <w:szCs w:val="21"/>
                <w:highlight w:val="none"/>
              </w:rPr>
              <w:t>元/条；拒签扣</w:t>
            </w:r>
            <w:r>
              <w:rPr>
                <w:rFonts w:hint="default" w:ascii="Times New Roman" w:hAnsi="Times New Roman" w:cs="Times New Roman"/>
                <w:snapToGrid w:val="0"/>
                <w:spacing w:val="-4"/>
                <w:kern w:val="0"/>
                <w:szCs w:val="21"/>
                <w:highlight w:val="none"/>
              </w:rPr>
              <w:t>2000</w:t>
            </w:r>
            <w:r>
              <w:rPr>
                <w:rFonts w:hint="default" w:ascii="Times New Roman" w:hAnsi="Times New Roman" w:eastAsia="宋体" w:cs="Times New Roman"/>
                <w:snapToGrid w:val="0"/>
                <w:spacing w:val="-4"/>
                <w:kern w:val="0"/>
                <w:szCs w:val="21"/>
                <w:highlight w:val="none"/>
              </w:rPr>
              <w:t>元/条；超期扣</w:t>
            </w:r>
            <w:r>
              <w:rPr>
                <w:rFonts w:hint="default" w:ascii="Times New Roman" w:hAnsi="Times New Roman" w:cs="Times New Roman"/>
                <w:snapToGrid w:val="0"/>
                <w:spacing w:val="-4"/>
                <w:kern w:val="0"/>
                <w:szCs w:val="21"/>
                <w:highlight w:val="none"/>
              </w:rPr>
              <w:t>3000</w:t>
            </w:r>
            <w:r>
              <w:rPr>
                <w:rFonts w:hint="default" w:ascii="Times New Roman" w:hAnsi="Times New Roman" w:eastAsia="宋体" w:cs="Times New Roman"/>
                <w:snapToGrid w:val="0"/>
                <w:spacing w:val="-4"/>
                <w:kern w:val="0"/>
                <w:szCs w:val="21"/>
                <w:highlight w:val="none"/>
              </w:rPr>
              <w:t>元/条；单条工单累计返工3次及以上扣5000元/条。</w:t>
            </w:r>
          </w:p>
        </w:tc>
      </w:tr>
      <w:tr w14:paraId="5A325D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03FC956B">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22</w:t>
            </w:r>
          </w:p>
        </w:tc>
        <w:tc>
          <w:tcPr>
            <w:tcW w:w="537" w:type="dxa"/>
            <w:vMerge w:val="continue"/>
            <w:noWrap/>
            <w:vAlign w:val="center"/>
          </w:tcPr>
          <w:p w14:paraId="01F0D4A6">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51214BDC">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未设置工单专职对接人员，联络渠道长期不通畅。</w:t>
            </w:r>
          </w:p>
        </w:tc>
        <w:tc>
          <w:tcPr>
            <w:tcW w:w="3469" w:type="dxa"/>
            <w:noWrap/>
            <w:vAlign w:val="center"/>
          </w:tcPr>
          <w:p w14:paraId="5F02139F">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5FEA4B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7183C78E">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23</w:t>
            </w:r>
          </w:p>
        </w:tc>
        <w:tc>
          <w:tcPr>
            <w:tcW w:w="537" w:type="dxa"/>
            <w:vMerge w:val="continue"/>
            <w:noWrap/>
            <w:vAlign w:val="center"/>
          </w:tcPr>
          <w:p w14:paraId="77F50C80">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0AAED5D6">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被官方主流媒体曝光、产生负面舆情，24小时内未完成整改处置；</w:t>
            </w:r>
          </w:p>
        </w:tc>
        <w:tc>
          <w:tcPr>
            <w:tcW w:w="3469" w:type="dxa"/>
            <w:noWrap/>
            <w:vAlign w:val="center"/>
          </w:tcPr>
          <w:p w14:paraId="257E5774">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扣5000元/条</w:t>
            </w:r>
          </w:p>
        </w:tc>
      </w:tr>
      <w:tr w14:paraId="1D5902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68BFC8F3">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24</w:t>
            </w:r>
          </w:p>
        </w:tc>
        <w:tc>
          <w:tcPr>
            <w:tcW w:w="537" w:type="dxa"/>
            <w:vMerge w:val="continue"/>
            <w:noWrap/>
            <w:vAlign w:val="center"/>
          </w:tcPr>
          <w:p w14:paraId="1B8FB8A1">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06DC7DFB">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同一区域半年内官方主流媒体二次曝光扣款加倍；</w:t>
            </w:r>
          </w:p>
        </w:tc>
        <w:tc>
          <w:tcPr>
            <w:tcW w:w="3469" w:type="dxa"/>
            <w:noWrap/>
            <w:vAlign w:val="center"/>
          </w:tcPr>
          <w:p w14:paraId="6509A499">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逾期未处置完成扣10000元/条；</w:t>
            </w:r>
          </w:p>
        </w:tc>
      </w:tr>
      <w:tr w14:paraId="22295E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7CDD7003">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25</w:t>
            </w:r>
          </w:p>
        </w:tc>
        <w:tc>
          <w:tcPr>
            <w:tcW w:w="537" w:type="dxa"/>
            <w:vMerge w:val="continue"/>
            <w:noWrap/>
            <w:vAlign w:val="center"/>
          </w:tcPr>
          <w:p w14:paraId="68193715">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02ED4BC3">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在2小时内响应并有效控制舆情扩散、24小时内完成整改的。</w:t>
            </w:r>
          </w:p>
        </w:tc>
        <w:tc>
          <w:tcPr>
            <w:tcW w:w="3469" w:type="dxa"/>
            <w:noWrap/>
            <w:vAlign w:val="center"/>
          </w:tcPr>
          <w:p w14:paraId="183280E9">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可减轻50%处罚</w:t>
            </w:r>
          </w:p>
        </w:tc>
      </w:tr>
      <w:tr w14:paraId="5038E4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662B8AD7">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26</w:t>
            </w:r>
          </w:p>
        </w:tc>
        <w:tc>
          <w:tcPr>
            <w:tcW w:w="537" w:type="dxa"/>
            <w:vMerge w:val="continue"/>
            <w:noWrap/>
            <w:vAlign w:val="center"/>
          </w:tcPr>
          <w:p w14:paraId="65F30C4A">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73EF8F5C">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跟踪、阻挠督查测评工作，言语侮辱、人身攻击督查工作人员。</w:t>
            </w:r>
          </w:p>
        </w:tc>
        <w:tc>
          <w:tcPr>
            <w:tcW w:w="3469" w:type="dxa"/>
            <w:noWrap/>
            <w:vAlign w:val="center"/>
          </w:tcPr>
          <w:p w14:paraId="2132FDB5">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阻挠督查扣1000元/次，</w:t>
            </w:r>
          </w:p>
          <w:p w14:paraId="7E758F8E">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人身攻击扣5000元/次。</w:t>
            </w:r>
          </w:p>
        </w:tc>
      </w:tr>
      <w:tr w14:paraId="3424AE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7" w:hRule="atLeast"/>
        </w:trPr>
        <w:tc>
          <w:tcPr>
            <w:tcW w:w="510" w:type="dxa"/>
            <w:noWrap/>
            <w:vAlign w:val="center"/>
          </w:tcPr>
          <w:p w14:paraId="314C2AC5">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27</w:t>
            </w:r>
          </w:p>
        </w:tc>
        <w:tc>
          <w:tcPr>
            <w:tcW w:w="537" w:type="dxa"/>
            <w:vMerge w:val="continue"/>
            <w:noWrap/>
            <w:vAlign w:val="center"/>
          </w:tcPr>
          <w:p w14:paraId="0E119F95">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7A0BC590">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各级督查交办重点问题、职能部门工作联系单、整改督办单未按期整改、未反馈、整改不达标。</w:t>
            </w:r>
          </w:p>
        </w:tc>
        <w:tc>
          <w:tcPr>
            <w:tcW w:w="3469" w:type="dxa"/>
            <w:noWrap/>
            <w:vAlign w:val="center"/>
          </w:tcPr>
          <w:p w14:paraId="72921D6B">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扣2000元/件次；拒不整改加扣3000元/件次；单标段单月累计收到3份及以上督办/联系单，额外加扣10000元。</w:t>
            </w:r>
          </w:p>
        </w:tc>
      </w:tr>
      <w:tr w14:paraId="27492D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7" w:hRule="atLeast"/>
        </w:trPr>
        <w:tc>
          <w:tcPr>
            <w:tcW w:w="510" w:type="dxa"/>
            <w:noWrap/>
            <w:vAlign w:val="center"/>
          </w:tcPr>
          <w:p w14:paraId="03121495">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28</w:t>
            </w:r>
          </w:p>
        </w:tc>
        <w:tc>
          <w:tcPr>
            <w:tcW w:w="537" w:type="dxa"/>
            <w:vMerge w:val="continue"/>
            <w:noWrap/>
            <w:vAlign w:val="center"/>
          </w:tcPr>
          <w:p w14:paraId="26327712">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41E7B96B">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各类专项环境整治、保障任务落实不力，未按期保质完成。</w:t>
            </w:r>
          </w:p>
        </w:tc>
        <w:tc>
          <w:tcPr>
            <w:tcW w:w="3469" w:type="dxa"/>
            <w:noWrap/>
            <w:vAlign w:val="center"/>
          </w:tcPr>
          <w:p w14:paraId="68EEF427">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扣5000元/次</w:t>
            </w:r>
          </w:p>
        </w:tc>
      </w:tr>
      <w:tr w14:paraId="37C1BD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2DA1CAD7">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29</w:t>
            </w:r>
          </w:p>
        </w:tc>
        <w:tc>
          <w:tcPr>
            <w:tcW w:w="537" w:type="dxa"/>
            <w:vMerge w:val="continue"/>
            <w:noWrap/>
            <w:vAlign w:val="center"/>
          </w:tcPr>
          <w:p w14:paraId="54973B3B">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67517A7A">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标段分界线及界线外延5米范围环境卫生不达标，部门间整改相互推诿造成不良影响。</w:t>
            </w:r>
          </w:p>
        </w:tc>
        <w:tc>
          <w:tcPr>
            <w:tcW w:w="3469" w:type="dxa"/>
            <w:noWrap/>
            <w:vAlign w:val="center"/>
          </w:tcPr>
          <w:p w14:paraId="3EA6197F">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扣3000元/次</w:t>
            </w:r>
          </w:p>
        </w:tc>
      </w:tr>
      <w:tr w14:paraId="45053B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76108F4B">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30</w:t>
            </w:r>
          </w:p>
        </w:tc>
        <w:tc>
          <w:tcPr>
            <w:tcW w:w="537" w:type="dxa"/>
            <w:vMerge w:val="restart"/>
            <w:noWrap/>
            <w:vAlign w:val="center"/>
          </w:tcPr>
          <w:p w14:paraId="7C57C51A">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安全作业管理</w:t>
            </w:r>
          </w:p>
        </w:tc>
        <w:tc>
          <w:tcPr>
            <w:tcW w:w="4384" w:type="dxa"/>
            <w:noWrap/>
            <w:vAlign w:val="center"/>
          </w:tcPr>
          <w:p w14:paraId="2945DF9A">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color w:val="000000"/>
                <w:szCs w:val="21"/>
                <w:highlight w:val="none"/>
              </w:rPr>
              <w:t>作业设备使用后未断电、充电设施烧蚀破损未维修、配电箱周边堆放杂物，用电管理不规范。</w:t>
            </w:r>
          </w:p>
        </w:tc>
        <w:tc>
          <w:tcPr>
            <w:tcW w:w="3469" w:type="dxa"/>
            <w:noWrap/>
            <w:vAlign w:val="center"/>
          </w:tcPr>
          <w:p w14:paraId="356327E0">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7C42CF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15D0037C">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31</w:t>
            </w:r>
          </w:p>
        </w:tc>
        <w:tc>
          <w:tcPr>
            <w:tcW w:w="537" w:type="dxa"/>
            <w:vMerge w:val="continue"/>
            <w:noWrap/>
            <w:vAlign w:val="center"/>
          </w:tcPr>
          <w:p w14:paraId="00C500DD">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3BC6FF6B">
            <w:pPr>
              <w:overflowPunct w:val="0"/>
              <w:adjustRightInd w:val="0"/>
              <w:snapToGrid w:val="0"/>
              <w:jc w:val="left"/>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作业配套场所未设置安全警示标识，安全制度、岗位职责未上墙公示。</w:t>
            </w:r>
          </w:p>
        </w:tc>
        <w:tc>
          <w:tcPr>
            <w:tcW w:w="3469" w:type="dxa"/>
            <w:noWrap/>
            <w:vAlign w:val="center"/>
          </w:tcPr>
          <w:p w14:paraId="1CC8691A">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249ABF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5723842A">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32</w:t>
            </w:r>
          </w:p>
        </w:tc>
        <w:tc>
          <w:tcPr>
            <w:tcW w:w="537" w:type="dxa"/>
            <w:vMerge w:val="continue"/>
            <w:noWrap/>
            <w:vAlign w:val="center"/>
          </w:tcPr>
          <w:p w14:paraId="0C885D23">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23F1B6CC">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发生生产安全、道路交通事故后瞒报、谎报事故情况。</w:t>
            </w:r>
          </w:p>
        </w:tc>
        <w:tc>
          <w:tcPr>
            <w:tcW w:w="3469" w:type="dxa"/>
            <w:noWrap/>
            <w:vAlign w:val="center"/>
          </w:tcPr>
          <w:p w14:paraId="2AE9900E">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扣10000元/次</w:t>
            </w:r>
          </w:p>
        </w:tc>
      </w:tr>
      <w:tr w14:paraId="3A817A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336A8E2E">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33</w:t>
            </w:r>
          </w:p>
        </w:tc>
        <w:tc>
          <w:tcPr>
            <w:tcW w:w="537" w:type="dxa"/>
            <w:vMerge w:val="continue"/>
            <w:noWrap/>
            <w:vAlign w:val="center"/>
          </w:tcPr>
          <w:p w14:paraId="6F1B5CB3">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1835291D">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收到安全责令整改单、安全督办单，逾期未整改或整改不合格。</w:t>
            </w:r>
          </w:p>
        </w:tc>
        <w:tc>
          <w:tcPr>
            <w:tcW w:w="3469" w:type="dxa"/>
            <w:noWrap/>
            <w:vAlign w:val="center"/>
          </w:tcPr>
          <w:p w14:paraId="69209AB2">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扣5000元/件次；</w:t>
            </w:r>
          </w:p>
          <w:p w14:paraId="205B3094">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完全拒不整改再加扣5000元/件次。</w:t>
            </w:r>
          </w:p>
        </w:tc>
      </w:tr>
      <w:tr w14:paraId="0E7C7A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32FBAA43">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34</w:t>
            </w:r>
          </w:p>
        </w:tc>
        <w:tc>
          <w:tcPr>
            <w:tcW w:w="537" w:type="dxa"/>
            <w:vMerge w:val="continue"/>
            <w:noWrap/>
            <w:vAlign w:val="center"/>
          </w:tcPr>
          <w:p w14:paraId="5C7AAD5F">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50A6EAF3">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公厕未按规定安排专业电工开展周期性电路巡检。</w:t>
            </w:r>
          </w:p>
        </w:tc>
        <w:tc>
          <w:tcPr>
            <w:tcW w:w="3469" w:type="dxa"/>
            <w:noWrap/>
            <w:vAlign w:val="center"/>
          </w:tcPr>
          <w:p w14:paraId="035D05AA">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扣2000元/次</w:t>
            </w:r>
          </w:p>
        </w:tc>
      </w:tr>
      <w:tr w14:paraId="03663D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46D9895C">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35</w:t>
            </w:r>
          </w:p>
        </w:tc>
        <w:tc>
          <w:tcPr>
            <w:tcW w:w="537" w:type="dxa"/>
            <w:vMerge w:val="continue"/>
            <w:noWrap/>
            <w:vAlign w:val="center"/>
          </w:tcPr>
          <w:p w14:paraId="179D2CEA">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2942EA96">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color w:val="000000"/>
                <w:szCs w:val="21"/>
                <w:highlight w:val="none"/>
              </w:rPr>
              <w:t>充电点位、充电梯道无专人值守、未开展日常安全巡查；消防器材、安全警示标牌缺失、配置不到位。</w:t>
            </w:r>
          </w:p>
        </w:tc>
        <w:tc>
          <w:tcPr>
            <w:tcW w:w="3469" w:type="dxa"/>
            <w:noWrap/>
            <w:vAlign w:val="center"/>
          </w:tcPr>
          <w:p w14:paraId="5570052B">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w:t>
            </w:r>
            <w:r>
              <w:rPr>
                <w:rFonts w:hint="default" w:ascii="Times New Roman" w:hAnsi="Times New Roman" w:cs="Times New Roman"/>
                <w:snapToGrid w:val="0"/>
                <w:spacing w:val="-4"/>
                <w:kern w:val="0"/>
                <w:szCs w:val="21"/>
                <w:highlight w:val="none"/>
              </w:rPr>
              <w:t>2</w:t>
            </w:r>
            <w:r>
              <w:rPr>
                <w:rFonts w:hint="default" w:ascii="Times New Roman" w:hAnsi="Times New Roman" w:eastAsia="宋体" w:cs="Times New Roman"/>
                <w:snapToGrid w:val="0"/>
                <w:spacing w:val="-4"/>
                <w:kern w:val="0"/>
                <w:szCs w:val="21"/>
                <w:highlight w:val="none"/>
              </w:rPr>
              <w:t>000元/</w:t>
            </w:r>
            <w:r>
              <w:rPr>
                <w:rFonts w:hint="default" w:ascii="Times New Roman" w:hAnsi="Times New Roman" w:cs="Times New Roman"/>
                <w:snapToGrid w:val="0"/>
                <w:spacing w:val="-4"/>
                <w:kern w:val="0"/>
                <w:szCs w:val="21"/>
                <w:highlight w:val="none"/>
              </w:rPr>
              <w:t>次</w:t>
            </w:r>
          </w:p>
        </w:tc>
      </w:tr>
      <w:tr w14:paraId="6FD8A2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469D4133">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36</w:t>
            </w:r>
          </w:p>
        </w:tc>
        <w:tc>
          <w:tcPr>
            <w:tcW w:w="537" w:type="dxa"/>
            <w:vMerge w:val="continue"/>
            <w:noWrap/>
            <w:vAlign w:val="center"/>
          </w:tcPr>
          <w:p w14:paraId="0343E999">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7853" w:type="dxa"/>
            <w:gridSpan w:val="2"/>
            <w:noWrap/>
            <w:vAlign w:val="center"/>
          </w:tcPr>
          <w:p w14:paraId="7B7F5BC8">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发生一般及以上生产安全责任事故，除扣除当月全部考核经费外，甲方有权单方面解除合同，并没收履约保证金。</w:t>
            </w:r>
          </w:p>
        </w:tc>
      </w:tr>
      <w:tr w14:paraId="3A8BCA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1244BC20">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37</w:t>
            </w:r>
          </w:p>
        </w:tc>
        <w:tc>
          <w:tcPr>
            <w:tcW w:w="537" w:type="dxa"/>
            <w:vMerge w:val="restart"/>
            <w:noWrap/>
            <w:vAlign w:val="center"/>
          </w:tcPr>
          <w:p w14:paraId="2BA8C855">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日常作业运维</w:t>
            </w:r>
          </w:p>
          <w:p w14:paraId="170356D4">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管理</w:t>
            </w:r>
          </w:p>
          <w:p w14:paraId="70DBAC75">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087C9BC4">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各类工作台账、数据报表、工作信息报送延迟、材料不规范、数据失真，瞒报、虚报工作信息。</w:t>
            </w:r>
          </w:p>
        </w:tc>
        <w:tc>
          <w:tcPr>
            <w:tcW w:w="3469" w:type="dxa"/>
            <w:noWrap/>
            <w:vAlign w:val="center"/>
          </w:tcPr>
          <w:p w14:paraId="7EBF80A2">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普通材料扣2000元/次，重要业务信息扣款加倍。</w:t>
            </w:r>
          </w:p>
        </w:tc>
      </w:tr>
      <w:tr w14:paraId="3C0A87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0496F0E6">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38</w:t>
            </w:r>
          </w:p>
        </w:tc>
        <w:tc>
          <w:tcPr>
            <w:tcW w:w="537" w:type="dxa"/>
            <w:vMerge w:val="continue"/>
            <w:noWrap/>
            <w:vAlign w:val="center"/>
          </w:tcPr>
          <w:p w14:paraId="0FA6E2FC">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2055FF89">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月度统计周期内，人员、车辆、船只定位监控设备在线率及完好率低于95%；系统监测发现不规范作业行为。</w:t>
            </w:r>
          </w:p>
        </w:tc>
        <w:tc>
          <w:tcPr>
            <w:tcW w:w="3469" w:type="dxa"/>
            <w:noWrap/>
            <w:vAlign w:val="center"/>
          </w:tcPr>
          <w:p w14:paraId="095C0CBD">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设备完好率不达标扣1000元/次；人员违规200元/人次；非机动车违规500元/车次；机动车违规1000元/车次；作业船舶违规1000元/船次。</w:t>
            </w:r>
          </w:p>
        </w:tc>
      </w:tr>
      <w:tr w14:paraId="0C7349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48480CEB">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39</w:t>
            </w:r>
          </w:p>
        </w:tc>
        <w:tc>
          <w:tcPr>
            <w:tcW w:w="537" w:type="dxa"/>
            <w:vMerge w:val="continue"/>
            <w:noWrap/>
            <w:vAlign w:val="center"/>
          </w:tcPr>
          <w:p w14:paraId="12561604">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78C13D48">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环卫作业休息点无故关闭、擅自出租出借、占用无授权配套资产。</w:t>
            </w:r>
          </w:p>
        </w:tc>
        <w:tc>
          <w:tcPr>
            <w:tcW w:w="3469" w:type="dxa"/>
            <w:noWrap/>
            <w:vAlign w:val="center"/>
          </w:tcPr>
          <w:p w14:paraId="7B5AB528">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无故关闭扣2000元/座，私自挪用占用扣10000元/座。</w:t>
            </w:r>
          </w:p>
        </w:tc>
      </w:tr>
      <w:tr w14:paraId="758C69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58" w:hRule="atLeast"/>
        </w:trPr>
        <w:tc>
          <w:tcPr>
            <w:tcW w:w="510" w:type="dxa"/>
            <w:noWrap/>
            <w:vAlign w:val="center"/>
          </w:tcPr>
          <w:p w14:paraId="2DA0BA64">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40</w:t>
            </w:r>
          </w:p>
        </w:tc>
        <w:tc>
          <w:tcPr>
            <w:tcW w:w="537" w:type="dxa"/>
            <w:vMerge w:val="continue"/>
            <w:noWrap/>
            <w:vAlign w:val="center"/>
          </w:tcPr>
          <w:p w14:paraId="5C7EC58C">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372F89A5">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一级公厕未持续按标准提供免费卫生纸、温水洗手等便民服务。</w:t>
            </w:r>
          </w:p>
        </w:tc>
        <w:tc>
          <w:tcPr>
            <w:tcW w:w="3469" w:type="dxa"/>
            <w:noWrap/>
            <w:vAlign w:val="center"/>
          </w:tcPr>
          <w:p w14:paraId="505F0C06">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扣500元/次</w:t>
            </w:r>
          </w:p>
        </w:tc>
      </w:tr>
      <w:tr w14:paraId="7A1766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16617234">
            <w:pPr>
              <w:overflowPunct w:val="0"/>
              <w:adjustRightInd w:val="0"/>
              <w:snapToGrid w:val="0"/>
              <w:jc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41</w:t>
            </w:r>
          </w:p>
        </w:tc>
        <w:tc>
          <w:tcPr>
            <w:tcW w:w="537" w:type="dxa"/>
            <w:vMerge w:val="restart"/>
            <w:noWrap/>
            <w:vAlign w:val="center"/>
          </w:tcPr>
          <w:p w14:paraId="1716A259">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垃圾分类质效</w:t>
            </w:r>
          </w:p>
        </w:tc>
        <w:tc>
          <w:tcPr>
            <w:tcW w:w="4384" w:type="dxa"/>
            <w:noWrap/>
            <w:vAlign w:val="center"/>
          </w:tcPr>
          <w:p w14:paraId="08712345">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沿街商铺厨余垃圾、其他垃圾未做到应收尽收、日产日清。</w:t>
            </w:r>
          </w:p>
        </w:tc>
        <w:tc>
          <w:tcPr>
            <w:tcW w:w="3469" w:type="dxa"/>
            <w:noWrap/>
            <w:vAlign w:val="center"/>
          </w:tcPr>
          <w:p w14:paraId="65D739DC">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扣500-1000元/处</w:t>
            </w:r>
          </w:p>
        </w:tc>
      </w:tr>
      <w:tr w14:paraId="2C1426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04" w:hRule="atLeast"/>
        </w:trPr>
        <w:tc>
          <w:tcPr>
            <w:tcW w:w="510" w:type="dxa"/>
            <w:noWrap/>
            <w:vAlign w:val="center"/>
          </w:tcPr>
          <w:p w14:paraId="69DDEA1C">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42</w:t>
            </w:r>
          </w:p>
        </w:tc>
        <w:tc>
          <w:tcPr>
            <w:tcW w:w="537" w:type="dxa"/>
            <w:vMerge w:val="continue"/>
            <w:noWrap/>
            <w:vAlign w:val="center"/>
          </w:tcPr>
          <w:p w14:paraId="044370DA">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482B02DB">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垃圾收运车辆混装混运各类生活垃圾。</w:t>
            </w:r>
          </w:p>
        </w:tc>
        <w:tc>
          <w:tcPr>
            <w:tcW w:w="3469" w:type="dxa"/>
            <w:noWrap/>
            <w:vAlign w:val="center"/>
          </w:tcPr>
          <w:p w14:paraId="1111D744">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扣10000元/次</w:t>
            </w:r>
          </w:p>
        </w:tc>
      </w:tr>
      <w:tr w14:paraId="0E5610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04" w:hRule="atLeast"/>
        </w:trPr>
        <w:tc>
          <w:tcPr>
            <w:tcW w:w="510" w:type="dxa"/>
            <w:noWrap/>
            <w:vAlign w:val="center"/>
          </w:tcPr>
          <w:p w14:paraId="78601EF6">
            <w:pPr>
              <w:widowControl/>
              <w:jc w:val="center"/>
              <w:textAlignment w:val="center"/>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43</w:t>
            </w:r>
          </w:p>
        </w:tc>
        <w:tc>
          <w:tcPr>
            <w:tcW w:w="537" w:type="dxa"/>
            <w:vMerge w:val="continue"/>
            <w:noWrap/>
            <w:vAlign w:val="center"/>
          </w:tcPr>
          <w:p w14:paraId="0C9243B8">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409D0011">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厨余垃圾收运弄虚作假、掺混其他垃圾。</w:t>
            </w:r>
          </w:p>
        </w:tc>
        <w:tc>
          <w:tcPr>
            <w:tcW w:w="3469" w:type="dxa"/>
            <w:noWrap/>
            <w:vAlign w:val="center"/>
          </w:tcPr>
          <w:p w14:paraId="4F589B5A">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扣10000元/次</w:t>
            </w:r>
          </w:p>
        </w:tc>
      </w:tr>
      <w:tr w14:paraId="243090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04" w:hRule="atLeast"/>
        </w:trPr>
        <w:tc>
          <w:tcPr>
            <w:tcW w:w="510" w:type="dxa"/>
            <w:noWrap/>
            <w:vAlign w:val="center"/>
          </w:tcPr>
          <w:p w14:paraId="21619E73">
            <w:pPr>
              <w:widowControl/>
              <w:jc w:val="center"/>
              <w:textAlignment w:val="center"/>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44</w:t>
            </w:r>
          </w:p>
        </w:tc>
        <w:tc>
          <w:tcPr>
            <w:tcW w:w="537" w:type="dxa"/>
            <w:vMerge w:val="continue"/>
            <w:noWrap/>
            <w:vAlign w:val="center"/>
          </w:tcPr>
          <w:p w14:paraId="787319CF">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659AC168">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收集垃圾未分类转运至指定中转站、处置场所。</w:t>
            </w:r>
          </w:p>
        </w:tc>
        <w:tc>
          <w:tcPr>
            <w:tcW w:w="3469" w:type="dxa"/>
            <w:noWrap/>
            <w:vAlign w:val="center"/>
          </w:tcPr>
          <w:p w14:paraId="7AF1F210">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扣10000元/次</w:t>
            </w:r>
          </w:p>
        </w:tc>
      </w:tr>
      <w:tr w14:paraId="5C224B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04" w:hRule="atLeast"/>
        </w:trPr>
        <w:tc>
          <w:tcPr>
            <w:tcW w:w="510" w:type="dxa"/>
            <w:noWrap/>
            <w:vAlign w:val="center"/>
          </w:tcPr>
          <w:p w14:paraId="6CF8B242">
            <w:pPr>
              <w:widowControl/>
              <w:jc w:val="center"/>
              <w:textAlignment w:val="center"/>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45</w:t>
            </w:r>
          </w:p>
        </w:tc>
        <w:tc>
          <w:tcPr>
            <w:tcW w:w="537" w:type="dxa"/>
            <w:vMerge w:val="continue"/>
            <w:noWrap/>
            <w:vAlign w:val="center"/>
          </w:tcPr>
          <w:p w14:paraId="0F9BFF46">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33028C10">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运送至中转站、处置场垃圾分类不达标。</w:t>
            </w:r>
          </w:p>
        </w:tc>
        <w:tc>
          <w:tcPr>
            <w:tcW w:w="3469" w:type="dxa"/>
            <w:noWrap/>
            <w:vAlign w:val="center"/>
          </w:tcPr>
          <w:p w14:paraId="2E76C719">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扣1000-5000元/次</w:t>
            </w:r>
          </w:p>
        </w:tc>
      </w:tr>
      <w:tr w14:paraId="0C9669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04" w:hRule="atLeast"/>
        </w:trPr>
        <w:tc>
          <w:tcPr>
            <w:tcW w:w="510" w:type="dxa"/>
            <w:noWrap/>
            <w:vAlign w:val="center"/>
          </w:tcPr>
          <w:p w14:paraId="2B4B9219">
            <w:pPr>
              <w:widowControl/>
              <w:jc w:val="center"/>
              <w:textAlignment w:val="center"/>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46</w:t>
            </w:r>
          </w:p>
        </w:tc>
        <w:tc>
          <w:tcPr>
            <w:tcW w:w="537" w:type="dxa"/>
            <w:vMerge w:val="continue"/>
            <w:noWrap/>
            <w:vAlign w:val="center"/>
          </w:tcPr>
          <w:p w14:paraId="300FA4FF">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2668AAC8">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垃圾分类相关督查通报问题未整改到位。</w:t>
            </w:r>
          </w:p>
        </w:tc>
        <w:tc>
          <w:tcPr>
            <w:tcW w:w="3469" w:type="dxa"/>
            <w:noWrap/>
            <w:vAlign w:val="center"/>
          </w:tcPr>
          <w:p w14:paraId="2D1E6B15">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扣1000-2000元/件次</w:t>
            </w:r>
          </w:p>
        </w:tc>
      </w:tr>
      <w:tr w14:paraId="7CB7B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10" w:type="dxa"/>
            <w:noWrap/>
            <w:vAlign w:val="center"/>
          </w:tcPr>
          <w:p w14:paraId="1816454E">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47</w:t>
            </w:r>
          </w:p>
        </w:tc>
        <w:tc>
          <w:tcPr>
            <w:tcW w:w="537" w:type="dxa"/>
            <w:vMerge w:val="continue"/>
            <w:noWrap/>
            <w:vAlign w:val="center"/>
          </w:tcPr>
          <w:p w14:paraId="4CAEA0F7">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2564032E">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拒不配合街道组织开展垃圾分类专项工作（以街道书面通报为准）。</w:t>
            </w:r>
          </w:p>
        </w:tc>
        <w:tc>
          <w:tcPr>
            <w:tcW w:w="3469" w:type="dxa"/>
            <w:noWrap/>
            <w:vAlign w:val="center"/>
          </w:tcPr>
          <w:p w14:paraId="58FE0867">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扣1000元/次</w:t>
            </w:r>
          </w:p>
        </w:tc>
      </w:tr>
      <w:tr w14:paraId="12FCD5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8900" w:type="dxa"/>
            <w:gridSpan w:val="4"/>
            <w:shd w:val="clear" w:color="000000" w:fill="D9D9D9"/>
            <w:noWrap/>
            <w:vAlign w:val="center"/>
          </w:tcPr>
          <w:p w14:paraId="59724ADF">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黑体" w:cs="Times New Roman"/>
                <w:snapToGrid w:val="0"/>
                <w:spacing w:val="-4"/>
                <w:kern w:val="0"/>
                <w:sz w:val="24"/>
                <w:highlight w:val="none"/>
              </w:rPr>
              <w:t>综合奖补项</w:t>
            </w:r>
          </w:p>
        </w:tc>
      </w:tr>
      <w:tr w14:paraId="1A86F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510" w:type="dxa"/>
            <w:noWrap/>
            <w:vAlign w:val="center"/>
          </w:tcPr>
          <w:p w14:paraId="3CCA65EE">
            <w:pPr>
              <w:widowControl/>
              <w:jc w:val="center"/>
              <w:textAlignment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1</w:t>
            </w:r>
          </w:p>
        </w:tc>
        <w:tc>
          <w:tcPr>
            <w:tcW w:w="537" w:type="dxa"/>
            <w:vMerge w:val="restart"/>
            <w:noWrap/>
            <w:vAlign w:val="center"/>
          </w:tcPr>
          <w:p w14:paraId="14204264">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29411C77">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7CED6413">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39803A4F">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1D801BA5">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02A30085">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7369864C">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4CF0F97D">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651C5296">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7644D2E1">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7E18C5BC">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62A57177">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5DBCAB97">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3BB4581D">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280B678C">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2DA6F7F5">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4E608139">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429F6488">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5084E0AE">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4259B812">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1F44C12A">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4C53BD25">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tc>
        <w:tc>
          <w:tcPr>
            <w:tcW w:w="4384" w:type="dxa"/>
            <w:noWrap/>
            <w:vAlign w:val="center"/>
          </w:tcPr>
          <w:p w14:paraId="685D9C70">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cs="Times New Roman"/>
                <w:kern w:val="0"/>
                <w:szCs w:val="21"/>
                <w:highlight w:val="none"/>
              </w:rPr>
              <w:t>重大活动保障奖励，主动配合完成各级重大活动环卫保障任务。</w:t>
            </w:r>
          </w:p>
        </w:tc>
        <w:tc>
          <w:tcPr>
            <w:tcW w:w="3469" w:type="dxa"/>
            <w:noWrap/>
            <w:vAlign w:val="center"/>
          </w:tcPr>
          <w:p w14:paraId="10A1203F">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参与省、市级保障，10000元/8小时班次；参与国家级及以上保障，20000元/8小时班次。</w:t>
            </w:r>
          </w:p>
        </w:tc>
      </w:tr>
      <w:tr w14:paraId="59F615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1B6DAC60">
            <w:pPr>
              <w:widowControl/>
              <w:jc w:val="center"/>
              <w:textAlignment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w:t>
            </w:r>
          </w:p>
        </w:tc>
        <w:tc>
          <w:tcPr>
            <w:tcW w:w="537" w:type="dxa"/>
            <w:vMerge w:val="continue"/>
            <w:noWrap/>
            <w:vAlign w:val="center"/>
          </w:tcPr>
          <w:p w14:paraId="2A7F2087">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1E064F5E">
            <w:pPr>
              <w:widowControl/>
              <w:jc w:val="left"/>
              <w:textAlignment w:val="center"/>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示范区域创建奖励 建成“席地而坐”城市客厅、高标准环卫示范片区，当月基础考核得分≥95分，且无媒体负面曝光。</w:t>
            </w:r>
          </w:p>
        </w:tc>
        <w:tc>
          <w:tcPr>
            <w:tcW w:w="3469" w:type="dxa"/>
            <w:noWrap/>
            <w:vAlign w:val="center"/>
          </w:tcPr>
          <w:p w14:paraId="51ED8315">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cs="Times New Roman"/>
                <w:highlight w:val="none"/>
              </w:rPr>
              <w:t>“席地而坐”城市客厅5000元/处/月；高标准环卫示范区10000元/处/月。</w:t>
            </w:r>
          </w:p>
        </w:tc>
      </w:tr>
      <w:tr w14:paraId="6ADF2A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026" w:hRule="atLeast"/>
        </w:trPr>
        <w:tc>
          <w:tcPr>
            <w:tcW w:w="510" w:type="dxa"/>
            <w:noWrap/>
            <w:vAlign w:val="center"/>
          </w:tcPr>
          <w:p w14:paraId="0875FD2D">
            <w:pPr>
              <w:widowControl/>
              <w:jc w:val="center"/>
              <w:textAlignment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3</w:t>
            </w:r>
          </w:p>
        </w:tc>
        <w:tc>
          <w:tcPr>
            <w:tcW w:w="537" w:type="dxa"/>
            <w:vMerge w:val="continue"/>
            <w:noWrap/>
            <w:vAlign w:val="center"/>
          </w:tcPr>
          <w:p w14:paraId="38112C31">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2AFDB22F">
            <w:pPr>
              <w:widowControl/>
              <w:jc w:val="left"/>
              <w:textAlignment w:val="center"/>
              <w:rPr>
                <w:rFonts w:hint="default" w:ascii="Times New Roman" w:hAnsi="Times New Roman" w:cs="Times New Roman"/>
                <w:strike/>
                <w:color w:val="0000FF"/>
                <w:kern w:val="0"/>
                <w:szCs w:val="21"/>
                <w:highlight w:val="none"/>
              </w:rPr>
            </w:pPr>
            <w:r>
              <w:rPr>
                <w:rFonts w:hint="default" w:ascii="Times New Roman" w:hAnsi="Times New Roman" w:cs="Times New Roman"/>
                <w:kern w:val="0"/>
                <w:szCs w:val="21"/>
                <w:highlight w:val="none"/>
              </w:rPr>
              <w:t>正向宣传表彰奖励 作业成效、好人好事获官方书面表扬、主流媒体正面报道，按层级计发奖励，同一事件多级表彰不重复计发，取最高档次。</w:t>
            </w:r>
          </w:p>
        </w:tc>
        <w:tc>
          <w:tcPr>
            <w:tcW w:w="3469" w:type="dxa"/>
            <w:noWrap/>
            <w:vAlign w:val="center"/>
          </w:tcPr>
          <w:p w14:paraId="13A86DFC">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(1) 区级表彰：获区委、区政府书面批示，或区级官方平台正面宣传，奖励5000元/次； (2) 市级表彰：获市委、市政府书面批示，市级主流媒体重点版面/栏目报道，奖励10000元/次； (3) 省级及以上表彰：省级主管部门书面表扬、中央主流媒体正面报道，奖励20000元/次。 群众12345表扬工单、联名感谢信等大规模正面评价，参照对应层级标准执行。申领奖励须提供批示文件、新闻链接、视频、群众感谢信等佐证材料。</w:t>
            </w:r>
          </w:p>
        </w:tc>
      </w:tr>
      <w:tr w14:paraId="7F3F38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441" w:hRule="atLeast"/>
        </w:trPr>
        <w:tc>
          <w:tcPr>
            <w:tcW w:w="510" w:type="dxa"/>
            <w:noWrap/>
            <w:vAlign w:val="center"/>
          </w:tcPr>
          <w:p w14:paraId="6889BE4B">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4</w:t>
            </w:r>
          </w:p>
        </w:tc>
        <w:tc>
          <w:tcPr>
            <w:tcW w:w="537" w:type="dxa"/>
            <w:vMerge w:val="continue"/>
            <w:noWrap/>
            <w:vAlign w:val="center"/>
          </w:tcPr>
          <w:p w14:paraId="2E0361C7">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42B49EC8">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cs="Times New Roman"/>
                <w:kern w:val="0"/>
                <w:szCs w:val="21"/>
                <w:highlight w:val="none"/>
              </w:rPr>
              <w:t>技术设备升级创新奖励 自主优化作业模式、改良清洁设备或引进新型智能环卫装备，显著提升作业效率、市容环境质量，按投入规模分档奖励。</w:t>
            </w:r>
          </w:p>
        </w:tc>
        <w:tc>
          <w:tcPr>
            <w:tcW w:w="3469" w:type="dxa"/>
            <w:noWrap/>
            <w:vAlign w:val="center"/>
          </w:tcPr>
          <w:p w14:paraId="6D7BAE51">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 xml:space="preserve"> (1) 简易工具改良、收运路线优化等小型改进：20000—30000元/次； (2) 保洁工艺、全流程作业体系优化：30000—40000元/次； (3) 批量采购新能源车辆、智能清扫设备、物联网监管系统并落地使用，成效突出：40000—50000元/次。</w:t>
            </w:r>
          </w:p>
        </w:tc>
      </w:tr>
      <w:tr w14:paraId="5F97EF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236AD3CE">
            <w:pPr>
              <w:widowControl/>
              <w:jc w:val="center"/>
              <w:textAlignment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5</w:t>
            </w:r>
          </w:p>
        </w:tc>
        <w:tc>
          <w:tcPr>
            <w:tcW w:w="537" w:type="dxa"/>
            <w:vMerge w:val="continue"/>
            <w:noWrap/>
            <w:vAlign w:val="center"/>
          </w:tcPr>
          <w:p w14:paraId="7935BF77">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5F778DCB">
            <w:pPr>
              <w:widowControl/>
              <w:jc w:val="left"/>
              <w:textAlignment w:val="center"/>
              <w:rPr>
                <w:rFonts w:hint="default" w:ascii="Times New Roman" w:hAnsi="Times New Roman" w:cs="Times New Roman"/>
                <w:kern w:val="0"/>
                <w:szCs w:val="21"/>
                <w:highlight w:val="none"/>
              </w:rPr>
            </w:pPr>
            <w:r>
              <w:rPr>
                <w:rFonts w:hint="default" w:ascii="Times New Roman" w:hAnsi="Times New Roman" w:eastAsia="宋体" w:cs="Times New Roman"/>
                <w:kern w:val="0"/>
                <w:szCs w:val="21"/>
                <w:highlight w:val="none"/>
              </w:rPr>
              <w:t>急难险重攻坚任务奖励 主动承接防汛清淤、突发污染处置、大型攻坚整治等急难险重任务，经主管单位认定成效良好，分三档奖励。</w:t>
            </w:r>
          </w:p>
        </w:tc>
        <w:tc>
          <w:tcPr>
            <w:tcW w:w="3469" w:type="dxa"/>
            <w:noWrap/>
            <w:vAlign w:val="center"/>
          </w:tcPr>
          <w:p w14:paraId="16338E28">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cs="Times New Roman"/>
                <w:highlight w:val="none"/>
              </w:rPr>
              <w:t>三级任务5000元/次，二级任务10000元/次，一级重大攻坚任务20000元/次。</w:t>
            </w:r>
          </w:p>
        </w:tc>
      </w:tr>
    </w:tbl>
    <w:p w14:paraId="61611732">
      <w:pPr>
        <w:pStyle w:val="16"/>
        <w:overflowPunct w:val="0"/>
        <w:adjustRightInd w:val="0"/>
        <w:snapToGrid w:val="0"/>
        <w:spacing w:beforeLines="50"/>
        <w:ind w:firstLine="404"/>
        <w:rPr>
          <w:rFonts w:hint="default" w:ascii="Times New Roman" w:hAnsi="Times New Roman" w:eastAsia="仿宋_GB2312" w:cs="Times New Roman"/>
          <w:snapToGrid w:val="0"/>
          <w:spacing w:val="-4"/>
          <w:kern w:val="0"/>
          <w:szCs w:val="21"/>
          <w:highlight w:val="none"/>
          <w:lang w:val="en-US"/>
        </w:rPr>
      </w:pPr>
      <w:r>
        <w:rPr>
          <w:rFonts w:hint="default" w:ascii="Times New Roman" w:hAnsi="Times New Roman" w:eastAsia="楷体_GB2312" w:cs="Times New Roman"/>
          <w:snapToGrid w:val="0"/>
          <w:spacing w:val="-4"/>
          <w:kern w:val="0"/>
          <w:szCs w:val="21"/>
          <w:highlight w:val="none"/>
        </w:rPr>
        <w:t>注：</w:t>
      </w:r>
      <w:r>
        <w:rPr>
          <w:rFonts w:hint="default" w:ascii="Times New Roman" w:hAnsi="Times New Roman" w:eastAsia="仿宋_GB2312" w:cs="Times New Roman"/>
          <w:snapToGrid w:val="0"/>
          <w:spacing w:val="-4"/>
          <w:kern w:val="0"/>
          <w:szCs w:val="21"/>
          <w:highlight w:val="none"/>
          <w:lang w:val="en-US"/>
        </w:rPr>
        <w:t>本标准所有奖惩金额统一在标段当月作业经费中累计结算；考核条款可根据省、市最新政策文件动态修订，修订后经考核领导小组审议发文生效</w:t>
      </w:r>
      <w:r>
        <w:rPr>
          <w:rFonts w:hint="default" w:ascii="Times New Roman" w:hAnsi="Times New Roman" w:eastAsia="仿宋_GB2312" w:cs="Times New Roman"/>
          <w:snapToGrid w:val="0"/>
          <w:spacing w:val="-4"/>
          <w:kern w:val="0"/>
          <w:szCs w:val="21"/>
          <w:highlight w:val="none"/>
        </w:rPr>
        <w:t>。</w:t>
      </w:r>
    </w:p>
    <w:p w14:paraId="4B3E8E6C">
      <w:pPr>
        <w:overflowPunct w:val="0"/>
        <w:adjustRightInd w:val="0"/>
        <w:snapToGrid w:val="0"/>
        <w:spacing w:line="560" w:lineRule="exact"/>
        <w:ind w:firstLine="2028" w:firstLineChars="650"/>
        <w:rPr>
          <w:rFonts w:hint="default" w:ascii="Times New Roman" w:hAnsi="Times New Roman" w:eastAsia="仿宋_GB2312" w:cs="Times New Roman"/>
          <w:snapToGrid w:val="0"/>
          <w:spacing w:val="-4"/>
          <w:kern w:val="0"/>
          <w:sz w:val="32"/>
          <w:szCs w:val="32"/>
          <w:highlight w:val="none"/>
        </w:rPr>
      </w:pPr>
    </w:p>
    <w:p w14:paraId="3CBB2C00">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p>
    <w:p w14:paraId="51006693">
      <w:pPr>
        <w:pStyle w:val="2"/>
        <w:widowControl/>
        <w:spacing w:beforeAutospacing="0" w:afterAutospacing="0" w:line="560" w:lineRule="exact"/>
        <w:rPr>
          <w:rFonts w:hint="default" w:ascii="Times New Roman" w:hAnsi="Times New Roman" w:eastAsia="仿宋_GB2312" w:cs="Times New Roman"/>
          <w:kern w:val="0"/>
          <w:sz w:val="32"/>
          <w:szCs w:val="32"/>
          <w:highlight w:val="none"/>
        </w:rPr>
      </w:pPr>
    </w:p>
    <w:p w14:paraId="40B9AF64">
      <w:pPr>
        <w:widowControl/>
        <w:spacing w:line="560" w:lineRule="exact"/>
        <w:jc w:val="left"/>
        <w:rPr>
          <w:rFonts w:hint="default" w:ascii="Times New Roman" w:hAnsi="Times New Roman" w:eastAsia="仿宋_GB2312" w:cs="Times New Roman"/>
          <w:kern w:val="0"/>
          <w:sz w:val="32"/>
          <w:szCs w:val="32"/>
          <w:highlight w:val="none"/>
        </w:rPr>
      </w:pPr>
    </w:p>
    <w:p w14:paraId="574CAF5C">
      <w:pPr>
        <w:widowControl/>
        <w:spacing w:line="560" w:lineRule="exact"/>
        <w:ind w:left="-360"/>
        <w:jc w:val="left"/>
        <w:rPr>
          <w:rFonts w:hint="default" w:ascii="Times New Roman" w:hAnsi="Times New Roman" w:eastAsia="仿宋_GB2312" w:cs="Times New Roman"/>
          <w:kern w:val="0"/>
          <w:sz w:val="32"/>
          <w:szCs w:val="32"/>
          <w:highlight w:val="none"/>
        </w:rPr>
      </w:pPr>
    </w:p>
    <w:p w14:paraId="14F1359F">
      <w:pPr>
        <w:spacing w:line="560" w:lineRule="exact"/>
        <w:ind w:firstLine="420"/>
        <w:rPr>
          <w:rFonts w:hint="default" w:ascii="Times New Roman" w:hAnsi="Times New Roman" w:eastAsia="仿宋_GB2312" w:cs="Times New Roman"/>
          <w:kern w:val="0"/>
          <w:sz w:val="32"/>
          <w:szCs w:val="32"/>
          <w:highlight w:val="none"/>
        </w:rPr>
      </w:pPr>
    </w:p>
    <w:sectPr>
      <w:headerReference r:id="rId3" w:type="default"/>
      <w:footerReference r:id="rId4" w:type="default"/>
      <w:pgSz w:w="11906" w:h="16838"/>
      <w:pgMar w:top="2041" w:right="1531" w:bottom="192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B57663-7AC3-4B94-B954-E84B4FF160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创艺简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31B5AF40-518C-4C18-B91A-A5CC37168B37}"/>
  </w:font>
  <w:font w:name="楷体_GB2312">
    <w:panose1 w:val="02010609030101010101"/>
    <w:charset w:val="86"/>
    <w:family w:val="modern"/>
    <w:pitch w:val="default"/>
    <w:sig w:usb0="00000001" w:usb1="080E0000" w:usb2="00000000" w:usb3="00000000" w:csb0="00040000" w:csb1="00000000"/>
    <w:embedRegular r:id="rId3" w:fontKey="{6D77A1C0-2911-4CB6-B1B3-1B93E4E33A3E}"/>
  </w:font>
  <w:font w:name="仿宋_GB2312">
    <w:panose1 w:val="02010609030101010101"/>
    <w:charset w:val="86"/>
    <w:family w:val="modern"/>
    <w:pitch w:val="default"/>
    <w:sig w:usb0="00000001" w:usb1="080E0000" w:usb2="00000000" w:usb3="00000000" w:csb0="00040000" w:csb1="00000000"/>
    <w:embedRegular r:id="rId4" w:fontKey="{5AA078C1-13F3-4D05-816B-C4017D35FDB9}"/>
  </w:font>
  <w:font w:name="KSOF025BBAAE">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7B0B9">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D9A93B4">
                          <w:pPr>
                            <w:pStyle w:val="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78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D9A93B4">
                    <w:pPr>
                      <w:pStyle w:val="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78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88613">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472878"/>
    <w:multiLevelType w:val="singleLevel"/>
    <w:tmpl w:val="C8472878"/>
    <w:lvl w:ilvl="0" w:tentative="0">
      <w:start w:val="1"/>
      <w:numFmt w:val="decimal"/>
      <w:suff w:val="space"/>
      <w:lvlText w:val="%1."/>
      <w:lvlJc w:val="left"/>
    </w:lvl>
  </w:abstractNum>
  <w:abstractNum w:abstractNumId="1">
    <w:nsid w:val="D72FE3B8"/>
    <w:multiLevelType w:val="singleLevel"/>
    <w:tmpl w:val="D72FE3B8"/>
    <w:lvl w:ilvl="0" w:tentative="0">
      <w:start w:val="2"/>
      <w:numFmt w:val="decimal"/>
      <w:suff w:val="space"/>
      <w:lvlText w:val="%1."/>
      <w:lvlJc w:val="left"/>
    </w:lvl>
  </w:abstractNum>
  <w:abstractNum w:abstractNumId="2">
    <w:nsid w:val="540FB45C"/>
    <w:multiLevelType w:val="singleLevel"/>
    <w:tmpl w:val="540FB45C"/>
    <w:lvl w:ilvl="0" w:tentative="0">
      <w:start w:val="1"/>
      <w:numFmt w:val="decimal"/>
      <w:suff w:val="nothing"/>
      <w:lvlText w:val="（%1）"/>
      <w:lvlJc w:val="left"/>
    </w:lvl>
  </w:abstractNum>
  <w:abstractNum w:abstractNumId="3">
    <w:nsid w:val="5AD013B5"/>
    <w:multiLevelType w:val="singleLevel"/>
    <w:tmpl w:val="5AD013B5"/>
    <w:lvl w:ilvl="0" w:tentative="0">
      <w:start w:val="1"/>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EE5714"/>
    <w:rsid w:val="001C7B96"/>
    <w:rsid w:val="004B26FF"/>
    <w:rsid w:val="005347FF"/>
    <w:rsid w:val="00EB4BBC"/>
    <w:rsid w:val="01BB52D4"/>
    <w:rsid w:val="01C07B8D"/>
    <w:rsid w:val="044E3232"/>
    <w:rsid w:val="049820AD"/>
    <w:rsid w:val="04AE503E"/>
    <w:rsid w:val="04F75026"/>
    <w:rsid w:val="05F63DB0"/>
    <w:rsid w:val="064C1324"/>
    <w:rsid w:val="09502F56"/>
    <w:rsid w:val="096741AA"/>
    <w:rsid w:val="09BF65CA"/>
    <w:rsid w:val="0AC568B8"/>
    <w:rsid w:val="0DEA1BCB"/>
    <w:rsid w:val="0DF21EB6"/>
    <w:rsid w:val="0E80615A"/>
    <w:rsid w:val="0EDB32C2"/>
    <w:rsid w:val="0F2A2DD8"/>
    <w:rsid w:val="0FDA2842"/>
    <w:rsid w:val="101B7195"/>
    <w:rsid w:val="10A818CA"/>
    <w:rsid w:val="134B6938"/>
    <w:rsid w:val="13651538"/>
    <w:rsid w:val="13992D64"/>
    <w:rsid w:val="15135AD9"/>
    <w:rsid w:val="15170BD4"/>
    <w:rsid w:val="153C2FD8"/>
    <w:rsid w:val="17B6074E"/>
    <w:rsid w:val="190336EB"/>
    <w:rsid w:val="191769BF"/>
    <w:rsid w:val="1A7E7140"/>
    <w:rsid w:val="1AD23B3C"/>
    <w:rsid w:val="1B4A3CA9"/>
    <w:rsid w:val="1B5A0CB1"/>
    <w:rsid w:val="1BBC7BC3"/>
    <w:rsid w:val="1BD80D68"/>
    <w:rsid w:val="1CA62FF7"/>
    <w:rsid w:val="1D22280C"/>
    <w:rsid w:val="1D4F7778"/>
    <w:rsid w:val="1F090AC6"/>
    <w:rsid w:val="1F395973"/>
    <w:rsid w:val="209C7D3F"/>
    <w:rsid w:val="21A427BE"/>
    <w:rsid w:val="21AB2F31"/>
    <w:rsid w:val="21E87D78"/>
    <w:rsid w:val="227F6E69"/>
    <w:rsid w:val="22886905"/>
    <w:rsid w:val="23101ECA"/>
    <w:rsid w:val="267A3444"/>
    <w:rsid w:val="279E4952"/>
    <w:rsid w:val="27A44741"/>
    <w:rsid w:val="27E86D24"/>
    <w:rsid w:val="29127EAC"/>
    <w:rsid w:val="2B133DD2"/>
    <w:rsid w:val="2B434271"/>
    <w:rsid w:val="2BB2311B"/>
    <w:rsid w:val="2BBF2213"/>
    <w:rsid w:val="2CCE0E4C"/>
    <w:rsid w:val="2CFE5635"/>
    <w:rsid w:val="2F6B3E99"/>
    <w:rsid w:val="2FA54848"/>
    <w:rsid w:val="317963F2"/>
    <w:rsid w:val="33BF0D95"/>
    <w:rsid w:val="34212035"/>
    <w:rsid w:val="346D6E7F"/>
    <w:rsid w:val="351150D2"/>
    <w:rsid w:val="37834901"/>
    <w:rsid w:val="37B747A9"/>
    <w:rsid w:val="37C8091F"/>
    <w:rsid w:val="37D01825"/>
    <w:rsid w:val="37F25055"/>
    <w:rsid w:val="39416D53"/>
    <w:rsid w:val="39D24929"/>
    <w:rsid w:val="3AA14265"/>
    <w:rsid w:val="3B221C0E"/>
    <w:rsid w:val="3B3C3960"/>
    <w:rsid w:val="3B583D69"/>
    <w:rsid w:val="3C23212A"/>
    <w:rsid w:val="3C35647C"/>
    <w:rsid w:val="3C9B215F"/>
    <w:rsid w:val="3CA47DF8"/>
    <w:rsid w:val="3F484C6D"/>
    <w:rsid w:val="3FB73811"/>
    <w:rsid w:val="40E12C48"/>
    <w:rsid w:val="423B4CAA"/>
    <w:rsid w:val="426F745B"/>
    <w:rsid w:val="453F6DFC"/>
    <w:rsid w:val="45A0523A"/>
    <w:rsid w:val="469551E9"/>
    <w:rsid w:val="476F5AB7"/>
    <w:rsid w:val="49C50C21"/>
    <w:rsid w:val="4A183892"/>
    <w:rsid w:val="4ABA6E77"/>
    <w:rsid w:val="4C6D727B"/>
    <w:rsid w:val="4C7B1FC6"/>
    <w:rsid w:val="4D7E0EF0"/>
    <w:rsid w:val="4E4E3531"/>
    <w:rsid w:val="4F0D3A21"/>
    <w:rsid w:val="4F5222C9"/>
    <w:rsid w:val="503A153B"/>
    <w:rsid w:val="519D207E"/>
    <w:rsid w:val="5276529E"/>
    <w:rsid w:val="52766115"/>
    <w:rsid w:val="54343DCB"/>
    <w:rsid w:val="54B35659"/>
    <w:rsid w:val="54B3729E"/>
    <w:rsid w:val="552A7B27"/>
    <w:rsid w:val="56763E09"/>
    <w:rsid w:val="567F15A9"/>
    <w:rsid w:val="575C0124"/>
    <w:rsid w:val="57790E97"/>
    <w:rsid w:val="57C11607"/>
    <w:rsid w:val="58855846"/>
    <w:rsid w:val="58ED1663"/>
    <w:rsid w:val="59455B88"/>
    <w:rsid w:val="5B754A30"/>
    <w:rsid w:val="5BE024FA"/>
    <w:rsid w:val="5BEE5714"/>
    <w:rsid w:val="5D5C6E8B"/>
    <w:rsid w:val="5DA57F32"/>
    <w:rsid w:val="5DAA1493"/>
    <w:rsid w:val="5E07736E"/>
    <w:rsid w:val="5F4516FC"/>
    <w:rsid w:val="60D64C64"/>
    <w:rsid w:val="65A417D5"/>
    <w:rsid w:val="65CB0934"/>
    <w:rsid w:val="6600399D"/>
    <w:rsid w:val="66527BAE"/>
    <w:rsid w:val="666066D0"/>
    <w:rsid w:val="669F4105"/>
    <w:rsid w:val="66C623E6"/>
    <w:rsid w:val="68ED6FEF"/>
    <w:rsid w:val="699055EA"/>
    <w:rsid w:val="69F73B1A"/>
    <w:rsid w:val="6AED2093"/>
    <w:rsid w:val="6AF93A8C"/>
    <w:rsid w:val="6B9F0244"/>
    <w:rsid w:val="6C51253F"/>
    <w:rsid w:val="6C847C6A"/>
    <w:rsid w:val="6D0F11C8"/>
    <w:rsid w:val="6DE926CD"/>
    <w:rsid w:val="6E891CE0"/>
    <w:rsid w:val="70C26E03"/>
    <w:rsid w:val="71072407"/>
    <w:rsid w:val="72554A94"/>
    <w:rsid w:val="72A801AB"/>
    <w:rsid w:val="740D5FE0"/>
    <w:rsid w:val="74F23B33"/>
    <w:rsid w:val="758D4034"/>
    <w:rsid w:val="77366257"/>
    <w:rsid w:val="77DC6BAC"/>
    <w:rsid w:val="77E24436"/>
    <w:rsid w:val="7A916781"/>
    <w:rsid w:val="7B032A3A"/>
    <w:rsid w:val="7C7F58CD"/>
    <w:rsid w:val="7CEE0ABC"/>
    <w:rsid w:val="7E3F60E7"/>
    <w:rsid w:val="7E8D13DB"/>
    <w:rsid w:val="7F0F0E74"/>
    <w:rsid w:val="7F16167C"/>
    <w:rsid w:val="7F2D3BAE"/>
    <w:rsid w:val="7F482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paragraph" w:styleId="6">
    <w:name w:val="Body Text Indent"/>
    <w:basedOn w:val="1"/>
    <w:next w:val="1"/>
    <w:unhideWhenUsed/>
    <w:qFormat/>
    <w:uiPriority w:val="99"/>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footnote text"/>
    <w:basedOn w:val="1"/>
    <w:qFormat/>
    <w:uiPriority w:val="0"/>
    <w:pPr>
      <w:snapToGrid w:val="0"/>
      <w:jc w:val="left"/>
    </w:pPr>
    <w:rPr>
      <w:sz w:val="18"/>
    </w:rPr>
  </w:style>
  <w:style w:type="paragraph" w:styleId="10">
    <w:name w:val="Normal (Web)"/>
    <w:basedOn w:val="1"/>
    <w:semiHidden/>
    <w:unhideWhenUsed/>
    <w:qFormat/>
    <w:uiPriority w:val="99"/>
    <w:rPr>
      <w:sz w:val="24"/>
    </w:rPr>
  </w:style>
  <w:style w:type="paragraph" w:styleId="11">
    <w:name w:val="Body Text First Indent 2"/>
    <w:basedOn w:val="6"/>
    <w:next w:val="1"/>
    <w:unhideWhenUsed/>
    <w:qFormat/>
    <w:uiPriority w:val="0"/>
    <w:pPr>
      <w:ind w:firstLine="420" w:firstLineChars="200"/>
    </w:pPr>
  </w:style>
  <w:style w:type="character" w:styleId="14">
    <w:name w:val="Strong"/>
    <w:basedOn w:val="13"/>
    <w:qFormat/>
    <w:uiPriority w:val="0"/>
    <w:rPr>
      <w:b/>
    </w:rPr>
  </w:style>
  <w:style w:type="character" w:styleId="15">
    <w:name w:val="footnote reference"/>
    <w:basedOn w:val="13"/>
    <w:qFormat/>
    <w:uiPriority w:val="0"/>
    <w:rPr>
      <w:vertAlign w:val="superscript"/>
    </w:rPr>
  </w:style>
  <w:style w:type="paragraph" w:customStyle="1" w:styleId="16">
    <w:name w:val="首行缩进"/>
    <w:basedOn w:val="1"/>
    <w:qFormat/>
    <w:uiPriority w:val="99"/>
    <w:pPr>
      <w:ind w:firstLine="480" w:firstLineChars="200"/>
    </w:pPr>
    <w:rPr>
      <w:rFonts w:ascii="Times New Roman" w:hAnsi="Times New Roman"/>
      <w:szCs w:val="20"/>
      <w:lang w:val="zh-CN"/>
    </w:rPr>
  </w:style>
  <w:style w:type="paragraph" w:customStyle="1" w:styleId="17">
    <w:name w:val="正文文本缩进1"/>
    <w:basedOn w:val="1"/>
    <w:qFormat/>
    <w:uiPriority w:val="0"/>
    <w:pPr>
      <w:spacing w:line="520" w:lineRule="exact"/>
      <w:ind w:left="570"/>
    </w:pPr>
    <w:rPr>
      <w:rFonts w:ascii="方正仿宋简体" w:hAnsi="创艺简仿宋" w:eastAsia="方正仿宋简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dfe096cb-3e93-47f3-b7d8-a4521a97170c</errorID>
      <errorWord>,</errorWord>
      <group>L1_Format</group>
      <groupName>格式问题</groupName>
      <ability>L2_HalfPunc_CN</ability>
      <abilityName>全半角检查</abilityName>
      <candidateList>
        <item>，</item>
      </candidateList>
      <explain>文本全半角错误。</explain>
      <paraID> DB09881</paraID>
      <start>197</start>
      <end>198</end>
      <status>modified</status>
      <modifiedWord>，</modifiedWord>
      <trackRevisions>false</trackRevisions>
    </reviewItem>
    <reviewItem>
      <errorID>8b624756-94e8-49ab-a06a-35992d84341e</errorID>
      <errorWord>30前完成</errorWord>
      <group>L1_Word</group>
      <groupName>字词问题</groupName>
      <ability>L2_Typo</ability>
      <abilityName>字词错误</abilityName>
      <candidateList>
        <item>30日前完成</item>
      </candidateList>
      <explain/>
      <paraID>7509178D</paraID>
      <start>2</start>
      <end>7</end>
      <status>ignored</status>
      <modifiedWord/>
      <trackRevisions>false</trackRevisions>
    </reviewItem>
    <reviewItem>
      <errorID>6d96d3e3-6b7e-4d32-9546-88fc419355b1</errorID>
      <errorWord>粘附</errorWord>
      <group>L1_Word</group>
      <groupName>字词问题</groupName>
      <ability>L2_Alias</ability>
      <abilityName>也作/曾用词</abilityName>
      <candidateList>
        <item>黏附</item>
      </candidateList>
      <explain>词汇[粘附]为不规范表述或旧称，其规范书面表述为[黏附]。</explain>
      <paraID>7D57DE37</paraID>
      <start>26</start>
      <end>28</end>
      <status>unmodified</status>
      <modifiedWord/>
      <trackRevisions>false</trackRevisions>
    </reviewItem>
    <reviewItem>
      <errorID>e4385de4-a224-4fb8-99ff-c4be925cdbf2</errorID>
      <errorWord>；；</errorWord>
      <group>L1_Punc</group>
      <groupName>标点问题</groupName>
      <ability>L2_Punc_CN</ability>
      <abilityName>标点符号检查</abilityName>
      <candidateList>
        <item>；</item>
      </candidateList>
      <explain/>
      <paraID>18062D6F</paraID>
      <start>23</start>
      <end>24</end>
      <status>modified</status>
      <modifiedWord>；</modifiedWord>
      <trackRevisions>false</trackRevisions>
    </reviewItem>
    <reviewItem>
      <errorID>81e26bb9-b24b-46a6-b32b-3ec3570f1363</errorID>
      <errorWord>外挂</errorWord>
      <group>L1_Sensitive</group>
      <groupName>敏感问题</groupName>
      <ability>L2_Prohibited</ability>
      <abilityName>违禁内容</abilityName>
      <candidateList/>
      <explain>【违禁内容】句中涉及国家法律明令禁止的违禁内容，请注意甄别。</explain>
      <paraID>7BBB2B74</paraID>
      <start>6</start>
      <end>8</end>
      <status>unmodified</status>
      <modifiedWord/>
      <trackRevisions>false</trackRevisions>
    </reviewItem>
    <reviewItem>
      <errorID>2772d459-c024-485d-b384-c039033d4a2d</errorID>
      <errorWord>抛撒</errorWord>
      <group>L1_Word</group>
      <groupName>字词问题</groupName>
      <ability>L2_Typo</ability>
      <abilityName>字词错误</abilityName>
      <candidateList>
        <item>抛洒</item>
      </candidateList>
      <explain>存在发音相同字词的误用。</explain>
      <paraID>7BBB2B74</paraID>
      <start>33</start>
      <end>35</end>
      <status>modified</status>
      <modifiedWord>抛洒</modifiedWord>
      <trackRevisions>false</trackRevisions>
    </reviewItem>
    <reviewItem>
      <errorID>6a5744ae-09be-4eeb-9a5c-19e5490a6ce9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15A0403E</paraID>
      <start>0</start>
      <end>3</end>
      <status>modified</status>
      <modifiedWord>（1）</modifiedWord>
      <trackRevisions>false</trackRevisions>
    </reviewItem>
    <reviewItem>
      <errorID>9b9fd5f3-3bcf-4476-a904-5eab6c217b0b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42CB5493</paraID>
      <start>1</start>
      <end>4</end>
      <status>modified</status>
      <modifiedWord>（1）</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955D4D-F375-4A55-871A-91D46A996AF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Pages>
  <Words>9075</Words>
  <Characters>9970</Characters>
  <Lines>298</Lines>
  <Paragraphs>84</Paragraphs>
  <TotalTime>5</TotalTime>
  <ScaleCrop>false</ScaleCrop>
  <LinksUpToDate>false</LinksUpToDate>
  <CharactersWithSpaces>9995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2026-08-07T09:27:00Z</dcterms:created>
  <dc:creator>擦呱啦新</dc:creator>
  <cp:lastModifiedBy>平行线</cp:lastModifiedBy>
  <cp:lastPrinted>2026-07-01T10:15:00Z</cp:lastPrinted>
  <dcterms:modified xsi:type="dcterms:W3CDTF">2026-08-19T08:03:32Z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6A154DA715564A4F845B9199C740C2C3_13</vt:lpwstr>
  </property>
  <property fmtid="{D5CDD505-2E9C-101B-9397-08002B2CF9AE}" pid="4" name="KSOTemplateDocerSaveRecord">
    <vt:lpwstr>eyJoZGlkIjoiNTc1OGZmZTIyMjc1NTllODBjMjY0MDVmZTM4MDhlOTQiLCJ1c2VySWQiOiIxMTM3MjE1MzYxIn0=</vt:lpwstr>
  </property>
</Properties>
</file>