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812"/>
        <w:jc w:val="right"/>
        <w:spacing w:before="117" w:line="225" w:lineRule="auto"/>
        <w:rPr>
          <w:rFonts w:ascii="宋体" w:hAnsi="宋体" w:eastAsia="宋体"/>
        </w:rPr>
      </w:pPr>
      <w:r>
        <w:rPr>
          <w:rFonts w:hint="eastAsia" w:ascii="宋体" w:hAnsi="宋体" w:eastAsia="宋体" w:cs="楷体"/>
          <w:spacing w:val="-9"/>
          <w:sz w:val="32"/>
          <w:szCs w:val="32"/>
          <w:lang w:eastAsia="zh-CN"/>
        </w:rPr>
        <w:t xml:space="preserve">GYRXC-202601</w:t>
      </w:r>
      <w:r/>
    </w:p>
    <w:p>
      <w:pPr>
        <w:spacing w:line="247"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spacing w:line="248" w:lineRule="auto"/>
        <w:rPr>
          <w:rFonts w:ascii="宋体" w:hAnsi="宋体" w:eastAsia="宋体"/>
        </w:rPr>
      </w:pPr>
      <w:r>
        <w:rPr>
          <w:rFonts w:ascii="宋体" w:hAnsi="宋体" w:eastAsia="宋体"/>
        </w:rPr>
      </w:r>
      <w:r/>
    </w:p>
    <w:p>
      <w:pPr>
        <w:jc w:val="center"/>
        <w:spacing w:line="259" w:lineRule="auto"/>
        <w:rPr>
          <w:rFonts w:hint="eastAsia" w:ascii="宋体" w:hAnsi="宋体" w:eastAsia="宋体"/>
          <w:b/>
          <w:sz w:val="40"/>
          <w:szCs w:val="40"/>
          <w:lang w:eastAsia="zh-CN"/>
        </w:rPr>
      </w:pPr>
      <w:r>
        <w:rPr>
          <w:rFonts w:hint="eastAsia" w:ascii="宋体" w:hAnsi="宋体" w:eastAsia="宋体"/>
          <w:b/>
          <w:sz w:val="40"/>
          <w:szCs w:val="40"/>
          <w:lang w:eastAsia="zh-CN"/>
        </w:rPr>
        <w:t xml:space="preserve">高邮经济开发区零碳园区创建全过程工程咨询服务项目</w:t>
      </w:r>
      <w:r/>
    </w:p>
    <w:p>
      <w:pPr>
        <w:jc w:val="center"/>
        <w:spacing w:line="259" w:lineRule="auto"/>
        <w:rPr>
          <w:rFonts w:hint="eastAsia" w:ascii="宋体" w:hAnsi="宋体" w:eastAsia="宋体"/>
          <w:b/>
          <w:sz w:val="36"/>
          <w:szCs w:val="36"/>
          <w:lang w:eastAsia="zh-CN"/>
        </w:rPr>
      </w:pPr>
      <w:r>
        <w:rPr>
          <w:rFonts w:hint="eastAsia" w:ascii="宋体" w:hAnsi="宋体" w:eastAsia="宋体"/>
          <w:b/>
          <w:sz w:val="36"/>
          <w:szCs w:val="36"/>
          <w:lang w:eastAsia="zh-CN"/>
        </w:rPr>
      </w:r>
      <w:r/>
    </w:p>
    <w:p>
      <w:pPr>
        <w:jc w:val="center"/>
        <w:spacing w:line="259" w:lineRule="auto"/>
        <w:rPr>
          <w:rFonts w:hint="eastAsia" w:ascii="宋体" w:hAnsi="宋体" w:eastAsia="宋体"/>
          <w:b/>
          <w:sz w:val="36"/>
          <w:szCs w:val="36"/>
          <w:lang w:eastAsia="zh-CN"/>
        </w:rPr>
      </w:pPr>
      <w:r>
        <w:rPr>
          <w:rFonts w:hint="eastAsia" w:ascii="宋体" w:hAnsi="宋体" w:eastAsia="宋体"/>
          <w:b/>
          <w:sz w:val="36"/>
          <w:szCs w:val="36"/>
          <w:lang w:eastAsia="zh-CN"/>
        </w:rPr>
      </w:r>
      <w:r/>
    </w:p>
    <w:p>
      <w:pPr>
        <w:jc w:val="center"/>
        <w:spacing w:line="259" w:lineRule="auto"/>
        <w:rPr>
          <w:rFonts w:ascii="宋体" w:hAnsi="宋体" w:eastAsia="宋体"/>
          <w:b/>
          <w:sz w:val="36"/>
          <w:szCs w:val="36"/>
        </w:rPr>
      </w:pPr>
      <w:r>
        <w:rPr>
          <w:rFonts w:ascii="宋体" w:hAnsi="宋体" w:eastAsia="宋体"/>
          <w:b/>
          <w:sz w:val="36"/>
          <w:szCs w:val="36"/>
        </w:rPr>
        <w:t xml:space="preserve">竞争性磋商文件</w:t>
      </w:r>
      <w:r/>
    </w:p>
    <w:p>
      <w:pPr>
        <w:jc w:val="center"/>
        <w:spacing w:line="259" w:lineRule="auto"/>
        <w:rPr>
          <w:rFonts w:ascii="宋体" w:hAnsi="宋体" w:eastAsia="宋体"/>
          <w:b/>
          <w:sz w:val="36"/>
          <w:szCs w:val="36"/>
        </w:rPr>
      </w:pPr>
      <w:r>
        <w:rPr>
          <w:rFonts w:ascii="宋体" w:hAnsi="宋体" w:eastAsia="宋体"/>
          <w:b/>
          <w:sz w:val="36"/>
          <w:szCs w:val="36"/>
        </w:rPr>
      </w:r>
      <w:r/>
    </w:p>
    <w:p>
      <w:pPr>
        <w:spacing w:line="259" w:lineRule="auto"/>
        <w:rPr>
          <w:rFonts w:ascii="宋体" w:hAnsi="宋体" w:eastAsia="宋体"/>
        </w:rPr>
      </w:pPr>
      <w:r>
        <w:rPr>
          <w:rFonts w:ascii="宋体" w:hAnsi="宋体" w:eastAsia="宋体"/>
        </w:rPr>
      </w:r>
      <w:r/>
    </w:p>
    <w:p>
      <w:pPr>
        <w:spacing w:line="246" w:lineRule="auto"/>
        <w:rPr>
          <w:rFonts w:hint="eastAsia" w:ascii="宋体" w:hAnsi="宋体" w:eastAsia="宋体"/>
          <w:lang w:eastAsia="zh-CN"/>
        </w:rPr>
      </w:pPr>
      <w:r>
        <w:rPr>
          <w:rFonts w:hint="eastAsia" w:ascii="宋体" w:hAnsi="宋体" w:eastAsia="宋体"/>
          <w:lang w:eastAsia="zh-CN"/>
        </w:rPr>
        <mc:AlternateContent>
          <mc:Choice Requires="wpg">
            <w:drawing>
              <wp:inline xmlns:wp="http://schemas.openxmlformats.org/drawingml/2006/wordprocessingDrawing" distT="0" distB="0" distL="0" distR="0">
                <wp:extent cx="5513705" cy="3329305"/>
                <wp:effectExtent l="0" t="0" r="10795" b="4445"/>
                <wp:docPr id="5" name="图片 1" descr="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 1"/>
                        <pic:cNvPicPr>
                          <a:picLocks noChangeAspect="1"/>
                        </pic:cNvPicPr>
                        <pic:nvPr/>
                      </pic:nvPicPr>
                      <pic:blipFill>
                        <a:blip r:embed="rId15"/>
                        <a:stretch/>
                      </pic:blipFill>
                      <pic:spPr bwMode="auto">
                        <a:xfrm>
                          <a:off x="0" y="0"/>
                          <a:ext cx="5513705" cy="33293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4.1pt;height:262.1pt;mso-wrap-distance-left:0.0pt;mso-wrap-distance-top:0.0pt;mso-wrap-distance-right:0.0pt;mso-wrap-distance-bottom:0.0pt;" stroked="false">
                <v:path textboxrect="0,0,0,0"/>
                <v:imagedata r:id="rId15" o:title=""/>
              </v:shape>
            </w:pict>
          </mc:Fallback>
        </mc:AlternateContent>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spacing w:line="360" w:lineRule="auto"/>
      </w:pPr>
      <w:r/>
      <w:r/>
    </w:p>
    <w:p>
      <w:pPr>
        <w:jc w:val="center"/>
        <w:spacing w:line="360" w:lineRule="auto"/>
        <w:rPr>
          <w:rFonts w:hint="eastAsia" w:ascii="宋体" w:hAnsi="宋体" w:eastAsia="宋体" w:cs="宋体"/>
          <w:sz w:val="29"/>
          <w:szCs w:val="29"/>
          <w:lang w:eastAsia="zh-CN"/>
        </w:rPr>
      </w:pPr>
      <w:r>
        <w:rPr>
          <w:rFonts w:ascii="宋体" w:hAnsi="宋体" w:eastAsia="宋体" w:cs="宋体"/>
          <w:spacing w:val="15"/>
          <w:sz w:val="29"/>
          <w:szCs w:val="29"/>
        </w:rPr>
        <w:t xml:space="preserve">采</w:t>
      </w:r>
      <w:r>
        <w:rPr>
          <w:rFonts w:ascii="宋体" w:hAnsi="宋体" w:eastAsia="宋体" w:cs="宋体"/>
          <w:spacing w:val="9"/>
          <w:sz w:val="29"/>
          <w:szCs w:val="29"/>
        </w:rPr>
        <w:t xml:space="preserve">购人：</w:t>
      </w:r>
      <w:r>
        <w:rPr>
          <w:rFonts w:hint="eastAsia" w:ascii="宋体" w:hAnsi="宋体" w:eastAsia="宋体" w:cs="宋体"/>
          <w:spacing w:val="9"/>
          <w:sz w:val="29"/>
          <w:szCs w:val="29"/>
          <w:lang w:eastAsia="zh-CN"/>
        </w:rPr>
        <w:t xml:space="preserve">江苏省高邮经济开发区管理委员会</w:t>
      </w:r>
      <w:r/>
    </w:p>
    <w:p>
      <w:pPr>
        <w:jc w:val="center"/>
        <w:spacing w:line="360" w:lineRule="auto"/>
        <w:rPr>
          <w:rFonts w:hint="eastAsia" w:ascii="宋体" w:hAnsi="宋体" w:eastAsia="宋体" w:cs="宋体"/>
          <w:sz w:val="29"/>
          <w:szCs w:val="29"/>
          <w:lang w:eastAsia="zh-CN"/>
        </w:rPr>
      </w:pPr>
      <w:r>
        <w:rPr>
          <w:rFonts w:ascii="宋体" w:hAnsi="宋体" w:eastAsia="宋体" w:cs="宋体"/>
          <w:spacing w:val="15"/>
          <w:sz w:val="29"/>
          <w:szCs w:val="29"/>
        </w:rPr>
        <w:t xml:space="preserve">招</w:t>
      </w:r>
      <w:r>
        <w:rPr>
          <w:rFonts w:ascii="宋体" w:hAnsi="宋体" w:eastAsia="宋体" w:cs="宋体"/>
          <w:spacing w:val="9"/>
          <w:sz w:val="29"/>
          <w:szCs w:val="29"/>
        </w:rPr>
        <w:t xml:space="preserve">标代理：</w:t>
      </w:r>
      <w:r>
        <w:rPr>
          <w:rFonts w:hint="eastAsia" w:ascii="宋体" w:hAnsi="宋体" w:eastAsia="宋体" w:cs="宋体"/>
          <w:spacing w:val="9"/>
          <w:sz w:val="29"/>
          <w:szCs w:val="29"/>
          <w:lang w:eastAsia="zh-CN"/>
        </w:rPr>
        <w:t xml:space="preserve">江苏润鑫项目管理有限公司</w:t>
      </w:r>
      <w:r/>
    </w:p>
    <w:p>
      <w:pPr>
        <w:jc w:val="center"/>
        <w:spacing w:line="360" w:lineRule="auto"/>
        <w:sectPr>
          <w:footerReference w:type="default" r:id="rId10"/>
          <w:footnotePr/>
          <w:endnotePr/>
          <w:type w:val="nextPage"/>
          <w:pgSz w:w="11906" w:h="16839" w:orient="portrait"/>
          <w:pgMar w:top="1431" w:right="1689" w:bottom="1171" w:left="1785" w:header="0" w:footer="992" w:gutter="0"/>
          <w:cols w:num="1" w:sep="0" w:space="720" w:equalWidth="1"/>
          <w:docGrid w:linePitch="360"/>
        </w:sectPr>
      </w:pPr>
      <w:r>
        <w:rPr>
          <w:rFonts w:ascii="宋体" w:hAnsi="宋体" w:eastAsia="宋体" w:cs="宋体"/>
          <w:spacing w:val="-12"/>
          <w:sz w:val="29"/>
          <w:szCs w:val="29"/>
        </w:rPr>
        <w:t xml:space="preserve">二</w:t>
      </w:r>
      <w:r>
        <w:rPr>
          <w:rFonts w:hint="eastAsia" w:ascii="宋体" w:hAnsi="宋体" w:eastAsia="宋体" w:cs="宋体"/>
          <w:spacing w:val="-10"/>
          <w:sz w:val="29"/>
          <w:szCs w:val="29"/>
        </w:rPr>
        <w:t xml:space="preserve">〇</w:t>
      </w:r>
      <w:r>
        <w:rPr>
          <w:rFonts w:ascii="宋体" w:hAnsi="宋体" w:eastAsia="宋体" w:cs="宋体"/>
          <w:spacing w:val="-10"/>
          <w:sz w:val="29"/>
          <w:szCs w:val="29"/>
        </w:rPr>
        <w:t xml:space="preserve">二</w:t>
      </w:r>
      <w:r>
        <w:rPr>
          <w:rFonts w:hint="eastAsia" w:ascii="宋体" w:hAnsi="宋体" w:eastAsia="宋体" w:cs="宋体"/>
          <w:spacing w:val="-10"/>
          <w:sz w:val="29"/>
          <w:szCs w:val="29"/>
          <w:lang w:val="en-US" w:eastAsia="zh-CN"/>
        </w:rPr>
        <w:t xml:space="preserve">六</w:t>
      </w:r>
      <w:r>
        <w:rPr>
          <w:rFonts w:ascii="宋体" w:hAnsi="宋体" w:eastAsia="宋体" w:cs="宋体"/>
          <w:spacing w:val="-10"/>
          <w:sz w:val="29"/>
          <w:szCs w:val="29"/>
        </w:rPr>
        <w:t xml:space="preserve">年八</w:t>
      </w:r>
      <w:r>
        <w:rPr>
          <w:rFonts w:ascii="宋体" w:hAnsi="宋体" w:eastAsia="宋体" w:cs="宋体"/>
          <w:spacing w:val="-10"/>
          <w:sz w:val="29"/>
          <w:szCs w:val="29"/>
        </w:rPr>
        <w:t xml:space="preserve">月</w:t>
      </w:r>
      <w:r/>
    </w:p>
    <w:p>
      <w:pPr>
        <w:rPr>
          <w:rFonts w:ascii="宋体" w:hAnsi="宋体" w:eastAsia="宋体"/>
        </w:rPr>
      </w:pPr>
      <w:r>
        <w:rPr>
          <w:rFonts w:ascii="宋体" w:hAnsi="宋体" w:eastAsia="宋体"/>
        </w:rPr>
      </w:r>
      <w:r/>
    </w:p>
    <w:p>
      <w:pPr>
        <w:ind w:left="4081"/>
        <w:spacing w:before="139" w:line="231" w:lineRule="auto"/>
        <w:rPr>
          <w:rFonts w:ascii="宋体" w:hAnsi="宋体" w:eastAsia="宋体" w:cs="楷体"/>
          <w:sz w:val="43"/>
          <w:szCs w:val="43"/>
        </w:rPr>
      </w:pPr>
      <w:r>
        <w:rPr>
          <w:rFonts w:ascii="宋体" w:hAnsi="宋体" w:eastAsia="宋体" w:cs="楷体"/>
          <w:spacing w:val="-17"/>
          <w:sz w:val="43"/>
          <w:szCs w:val="43"/>
          <w14:textOutline w14:w="7962" w14:cap="flat" w14:cmpd="sng" w14:algn="ctr">
            <w14:solidFill>
              <w14:srgbClr w14:val="000000"/>
            </w14:solidFill>
            <w14:prstDash w14:val="solid"/>
            <w14:miter/>
          </w14:textOutline>
        </w:rPr>
        <w:t xml:space="preserve">目</w:t>
      </w:r>
      <w:r>
        <w:rPr>
          <w:rFonts w:ascii="宋体" w:hAnsi="宋体" w:eastAsia="宋体" w:cs="楷体"/>
          <w:spacing w:val="-16"/>
          <w:sz w:val="43"/>
          <w:szCs w:val="43"/>
        </w:rPr>
        <w:t xml:space="preserve"> </w:t>
      </w:r>
      <w:r>
        <w:rPr>
          <w:rFonts w:hint="eastAsia" w:ascii="宋体" w:hAnsi="宋体" w:eastAsia="宋体" w:cs="楷体"/>
          <w:spacing w:val="-16"/>
          <w:sz w:val="43"/>
          <w:szCs w:val="43"/>
        </w:rPr>
        <w:t xml:space="preserve">  </w:t>
      </w:r>
      <w:r>
        <w:rPr>
          <w:rFonts w:ascii="宋体" w:hAnsi="宋体" w:eastAsia="宋体" w:cs="楷体"/>
          <w:spacing w:val="-16"/>
          <w:sz w:val="43"/>
          <w:szCs w:val="43"/>
          <w14:textOutline w14:w="7962" w14:cap="flat" w14:cmpd="sng" w14:algn="ctr">
            <w14:solidFill>
              <w14:srgbClr w14:val="000000"/>
            </w14:solidFill>
            <w14:prstDash w14:val="solid"/>
            <w14:miter/>
          </w14:textOutline>
        </w:rPr>
        <w:t xml:space="preserve">录</w:t>
      </w:r>
      <w:r/>
    </w:p>
    <w:p>
      <w:pPr>
        <w:spacing w:line="373" w:lineRule="auto"/>
        <w:rPr>
          <w:rFonts w:ascii="宋体" w:hAnsi="宋体" w:eastAsia="宋体"/>
        </w:rPr>
      </w:pPr>
      <w:r>
        <w:rPr>
          <w:rFonts w:ascii="宋体" w:hAnsi="宋体" w:eastAsia="宋体"/>
        </w:rPr>
      </w:r>
      <w:r/>
    </w:p>
    <w:p>
      <w:pPr>
        <w:ind w:left="0"/>
        <w:keepLines w:val="0"/>
        <w:keepNext w:val="0"/>
        <w:pageBreakBefore w:val="0"/>
        <w:spacing w:line="360" w:lineRule="auto"/>
        <w:widowControl/>
        <w:tabs>
          <w:tab w:val="right" w:pos="8780" w:leader="dot"/>
        </w:tabs>
        <w:rPr>
          <w:rFonts w:hint="eastAsia" w:ascii="宋体" w:hAnsi="宋体" w:eastAsia="宋体" w:cs="楷体"/>
          <w:spacing w:val="-1"/>
          <w:sz w:val="24"/>
          <w:szCs w:val="24"/>
          <w:lang w:eastAsia="zh-CN"/>
        </w:rPr>
      </w:pPr>
      <w:r>
        <w:rPr>
          <w:rFonts w:ascii="宋体" w:hAnsi="宋体" w:eastAsia="宋体" w:cs="楷体"/>
          <w:spacing w:val="-1"/>
          <w:sz w:val="24"/>
          <w:szCs w:val="24"/>
        </w:rPr>
        <w:t xml:space="preserve">第一章 </w:t>
      </w:r>
      <w:r>
        <w:rPr>
          <w:rFonts w:hint="eastAsia" w:ascii="宋体" w:hAnsi="宋体" w:eastAsia="宋体" w:cs="楷体"/>
          <w:spacing w:val="-1"/>
          <w:sz w:val="24"/>
          <w:szCs w:val="24"/>
          <w:lang w:eastAsia="zh-CN"/>
        </w:rPr>
        <w:t xml:space="preserve">江苏省高邮经济开发区管理委员会</w:t>
      </w:r>
      <w:r>
        <w:rPr>
          <w:rFonts w:ascii="宋体" w:hAnsi="宋体" w:eastAsia="宋体" w:cs="楷体"/>
          <w:spacing w:val="-1"/>
          <w:sz w:val="24"/>
          <w:szCs w:val="24"/>
        </w:rPr>
        <w:t xml:space="preserve">关于</w:t>
      </w:r>
      <w:r>
        <w:rPr>
          <w:rFonts w:hint="eastAsia" w:ascii="宋体" w:hAnsi="宋体" w:eastAsia="宋体" w:cs="楷体"/>
          <w:spacing w:val="-1"/>
          <w:sz w:val="24"/>
          <w:szCs w:val="24"/>
          <w:lang w:eastAsia="zh-CN"/>
        </w:rPr>
        <w:t xml:space="preserve">高邮经济开发区零碳园区创建全过程工程咨询服务项目</w:t>
      </w:r>
      <w:r>
        <w:rPr>
          <w:rFonts w:ascii="宋体" w:hAnsi="宋体" w:eastAsia="宋体" w:cs="楷体"/>
          <w:spacing w:val="-1"/>
          <w:sz w:val="24"/>
          <w:szCs w:val="24"/>
        </w:rPr>
        <w:t xml:space="preserve">竞争性磋商公告 </w:t>
      </w:r>
      <w:r>
        <w:rPr>
          <w:rFonts w:ascii="宋体" w:hAnsi="宋体" w:eastAsia="宋体" w:cs="楷体"/>
          <w:spacing w:val="-1"/>
          <w:sz w:val="24"/>
          <w:szCs w:val="24"/>
        </w:rPr>
        <w:tab/>
      </w:r>
      <w:r>
        <w:rPr>
          <w:rFonts w:hint="eastAsia" w:ascii="宋体" w:hAnsi="宋体" w:eastAsia="宋体" w:cs="楷体"/>
          <w:spacing w:val="-1"/>
          <w:sz w:val="24"/>
          <w:szCs w:val="24"/>
          <w:lang w:val="en-US" w:eastAsia="zh-CN"/>
        </w:rPr>
        <w:t xml:space="preserve">2</w:t>
      </w:r>
      <w:r/>
    </w:p>
    <w:p>
      <w:pPr>
        <w:ind w:left="0"/>
        <w:keepLines w:val="0"/>
        <w:keepNext w:val="0"/>
        <w:pageBreakBefore w:val="0"/>
        <w:spacing w:line="360" w:lineRule="auto"/>
        <w:widowControl/>
        <w:tabs>
          <w:tab w:val="right" w:pos="8780" w:leader="dot"/>
        </w:tabs>
        <w:rPr>
          <w:rFonts w:ascii="宋体" w:hAnsi="宋体" w:eastAsia="宋体" w:cs="楷体"/>
          <w:spacing w:val="-1"/>
          <w:sz w:val="24"/>
          <w:szCs w:val="24"/>
        </w:rPr>
      </w:pPr>
      <w:r>
        <w:rPr>
          <w:rFonts w:ascii="宋体" w:hAnsi="宋体" w:eastAsia="宋体" w:cs="楷体"/>
          <w:spacing w:val="-1"/>
          <w:sz w:val="24"/>
          <w:szCs w:val="24"/>
        </w:rPr>
        <w:t xml:space="preserve">第二章 </w:t>
      </w:r>
      <w:r>
        <w:rPr>
          <w:rFonts w:hint="eastAsia" w:ascii="宋体" w:hAnsi="宋体" w:eastAsia="宋体" w:cs="楷体"/>
          <w:spacing w:val="-1"/>
          <w:sz w:val="24"/>
          <w:szCs w:val="24"/>
        </w:rPr>
        <w:t xml:space="preserve">磋商须知</w:t>
      </w:r>
      <w:r>
        <w:rPr>
          <w:rFonts w:ascii="宋体" w:hAnsi="宋体" w:eastAsia="宋体" w:cs="楷体"/>
          <w:spacing w:val="-1"/>
          <w:sz w:val="24"/>
          <w:szCs w:val="24"/>
        </w:rPr>
        <w:t xml:space="preserve"> </w:t>
      </w:r>
      <w:r>
        <w:rPr>
          <w:rFonts w:ascii="宋体" w:hAnsi="宋体" w:eastAsia="宋体" w:cs="楷体"/>
          <w:spacing w:val="-1"/>
          <w:sz w:val="24"/>
          <w:szCs w:val="24"/>
        </w:rPr>
        <w:tab/>
      </w:r>
      <w:r>
        <w:rPr>
          <w:rFonts w:hint="eastAsia" w:ascii="宋体" w:hAnsi="宋体" w:eastAsia="宋体" w:cs="楷体"/>
          <w:spacing w:val="-1"/>
          <w:sz w:val="24"/>
          <w:szCs w:val="24"/>
          <w:lang w:val="en-US" w:eastAsia="zh-CN"/>
        </w:rPr>
        <w:t xml:space="preserve">6</w:t>
      </w:r>
      <w:r>
        <w:rPr>
          <w:rFonts w:ascii="宋体" w:hAnsi="宋体" w:eastAsia="宋体" w:cs="楷体"/>
          <w:spacing w:val="-1"/>
          <w:sz w:val="24"/>
          <w:szCs w:val="24"/>
        </w:rPr>
        <w:t xml:space="preserve"> </w:t>
      </w:r>
      <w:r/>
    </w:p>
    <w:p>
      <w:pPr>
        <w:ind w:left="0"/>
        <w:keepLines w:val="0"/>
        <w:keepNext w:val="0"/>
        <w:pageBreakBefore w:val="0"/>
        <w:spacing w:line="360" w:lineRule="auto"/>
        <w:widowControl/>
        <w:tabs>
          <w:tab w:val="right" w:pos="8954" w:leader="dot"/>
        </w:tabs>
        <w:rPr>
          <w:rFonts w:ascii="宋体" w:hAnsi="宋体" w:eastAsia="宋体" w:cs="楷体"/>
          <w:spacing w:val="-1"/>
          <w:sz w:val="24"/>
          <w:szCs w:val="24"/>
        </w:rPr>
      </w:pPr>
      <w:r>
        <w:rPr>
          <w:rFonts w:ascii="宋体" w:hAnsi="宋体" w:eastAsia="宋体" w:cs="楷体"/>
          <w:spacing w:val="-1"/>
          <w:sz w:val="24"/>
          <w:szCs w:val="24"/>
        </w:rPr>
        <w:t xml:space="preserve">第三章 合同条款</w:t>
      </w:r>
      <w:r>
        <w:rPr>
          <w:rFonts w:hint="eastAsia" w:ascii="宋体" w:hAnsi="宋体" w:eastAsia="宋体" w:cs="楷体"/>
          <w:spacing w:val="-1"/>
          <w:sz w:val="24"/>
          <w:szCs w:val="24"/>
        </w:rPr>
        <w:t xml:space="preserve">及格式</w:t>
      </w:r>
      <w:r>
        <w:rPr>
          <w:rFonts w:ascii="宋体" w:hAnsi="宋体" w:eastAsia="宋体" w:cs="楷体"/>
          <w:spacing w:val="-1"/>
          <w:sz w:val="24"/>
          <w:szCs w:val="24"/>
        </w:rPr>
        <w:tab/>
      </w:r>
      <w:r>
        <w:rPr>
          <w:rFonts w:hint="eastAsia" w:ascii="宋体" w:hAnsi="宋体" w:eastAsia="宋体" w:cs="楷体"/>
          <w:spacing w:val="-1"/>
          <w:sz w:val="24"/>
          <w:szCs w:val="24"/>
        </w:rPr>
        <w:t xml:space="preserve">1</w:t>
      </w:r>
      <w:r>
        <w:rPr>
          <w:rFonts w:hint="eastAsia" w:ascii="宋体" w:hAnsi="宋体" w:eastAsia="宋体" w:cs="楷体"/>
          <w:spacing w:val="-1"/>
          <w:sz w:val="24"/>
          <w:szCs w:val="24"/>
          <w:lang w:val="en-US" w:eastAsia="zh-CN"/>
        </w:rPr>
        <w:t xml:space="preserve">5</w:t>
      </w:r>
      <w:r>
        <w:rPr>
          <w:rFonts w:ascii="宋体" w:hAnsi="宋体" w:eastAsia="宋体" w:cs="楷体"/>
          <w:spacing w:val="-1"/>
          <w:sz w:val="24"/>
          <w:szCs w:val="24"/>
        </w:rPr>
        <w:t xml:space="preserve"> </w:t>
      </w:r>
      <w:r/>
    </w:p>
    <w:p>
      <w:pPr>
        <w:ind w:left="0"/>
        <w:keepLines w:val="0"/>
        <w:keepNext w:val="0"/>
        <w:pageBreakBefore w:val="0"/>
        <w:spacing w:line="360" w:lineRule="auto"/>
        <w:widowControl/>
        <w:tabs>
          <w:tab w:val="right" w:pos="8954" w:leader="dot"/>
        </w:tabs>
        <w:rPr>
          <w:rFonts w:ascii="宋体" w:hAnsi="宋体" w:eastAsia="宋体" w:cs="楷体"/>
          <w:spacing w:val="-1"/>
          <w:sz w:val="24"/>
          <w:szCs w:val="24"/>
        </w:rPr>
      </w:pPr>
      <w:r>
        <w:rPr>
          <w:rFonts w:ascii="宋体" w:hAnsi="宋体" w:eastAsia="宋体" w:cs="楷体"/>
          <w:spacing w:val="-1"/>
          <w:sz w:val="24"/>
          <w:szCs w:val="24"/>
        </w:rPr>
        <w:t xml:space="preserve">第四章 </w:t>
      </w:r>
      <w:r>
        <w:rPr>
          <w:rFonts w:hint="eastAsia" w:ascii="宋体" w:hAnsi="宋体" w:eastAsia="宋体" w:cs="楷体"/>
          <w:spacing w:val="-1"/>
          <w:sz w:val="24"/>
          <w:szCs w:val="24"/>
        </w:rPr>
        <w:t xml:space="preserve">项目需求</w:t>
      </w:r>
      <w:r>
        <w:rPr>
          <w:rFonts w:ascii="宋体" w:hAnsi="宋体" w:eastAsia="宋体" w:cs="楷体"/>
          <w:spacing w:val="-1"/>
          <w:sz w:val="24"/>
          <w:szCs w:val="24"/>
        </w:rPr>
        <w:t xml:space="preserve"> </w:t>
      </w:r>
      <w:r>
        <w:rPr>
          <w:rFonts w:ascii="宋体" w:hAnsi="宋体" w:eastAsia="宋体" w:cs="楷体"/>
          <w:spacing w:val="-1"/>
          <w:sz w:val="24"/>
          <w:szCs w:val="24"/>
        </w:rPr>
        <w:tab/>
      </w:r>
      <w:r>
        <w:rPr>
          <w:rFonts w:hint="eastAsia" w:ascii="宋体" w:hAnsi="宋体" w:eastAsia="宋体" w:cs="楷体"/>
          <w:spacing w:val="-1"/>
          <w:sz w:val="24"/>
          <w:szCs w:val="24"/>
        </w:rPr>
        <w:t xml:space="preserve">1</w:t>
      </w:r>
      <w:r>
        <w:rPr>
          <w:rFonts w:hint="eastAsia" w:ascii="宋体" w:hAnsi="宋体" w:eastAsia="宋体" w:cs="楷体"/>
          <w:spacing w:val="-1"/>
          <w:sz w:val="24"/>
          <w:szCs w:val="24"/>
          <w:lang w:val="en-US" w:eastAsia="zh-CN"/>
        </w:rPr>
        <w:t xml:space="preserve">8</w:t>
      </w:r>
      <w:r>
        <w:rPr>
          <w:rFonts w:ascii="宋体" w:hAnsi="宋体" w:eastAsia="宋体" w:cs="楷体"/>
          <w:spacing w:val="-1"/>
          <w:sz w:val="24"/>
          <w:szCs w:val="24"/>
        </w:rPr>
        <w:t xml:space="preserve"> </w:t>
      </w:r>
      <w:r/>
    </w:p>
    <w:p>
      <w:pPr>
        <w:ind w:left="0"/>
        <w:keepLines w:val="0"/>
        <w:keepNext w:val="0"/>
        <w:pageBreakBefore w:val="0"/>
        <w:spacing w:line="360" w:lineRule="auto"/>
        <w:widowControl/>
        <w:tabs>
          <w:tab w:val="right" w:pos="8954" w:leader="dot"/>
        </w:tabs>
        <w:rPr>
          <w:rFonts w:hint="default" w:ascii="宋体" w:hAnsi="宋体" w:eastAsia="宋体" w:cs="楷体"/>
          <w:spacing w:val="-1"/>
          <w:sz w:val="24"/>
          <w:szCs w:val="24"/>
          <w:lang w:val="en-US" w:eastAsia="zh-CN"/>
        </w:rPr>
      </w:pPr>
      <w:r>
        <w:rPr>
          <w:rFonts w:ascii="宋体" w:hAnsi="宋体" w:eastAsia="宋体" w:cs="楷体"/>
          <w:spacing w:val="-1"/>
          <w:sz w:val="24"/>
          <w:szCs w:val="24"/>
        </w:rPr>
        <w:t xml:space="preserve">第五章 </w:t>
      </w:r>
      <w:r>
        <w:rPr>
          <w:rFonts w:hint="eastAsia" w:ascii="宋体" w:hAnsi="宋体" w:eastAsia="宋体" w:cs="楷体"/>
          <w:spacing w:val="-1"/>
          <w:sz w:val="24"/>
          <w:szCs w:val="24"/>
        </w:rPr>
        <w:t xml:space="preserve">评标方法</w:t>
      </w:r>
      <w:r>
        <w:rPr>
          <w:rFonts w:ascii="宋体" w:hAnsi="宋体" w:eastAsia="宋体" w:cs="楷体"/>
          <w:spacing w:val="-1"/>
          <w:sz w:val="24"/>
          <w:szCs w:val="24"/>
        </w:rPr>
        <w:t xml:space="preserve"> </w:t>
      </w:r>
      <w:r>
        <w:rPr>
          <w:rFonts w:ascii="宋体" w:hAnsi="宋体" w:eastAsia="宋体" w:cs="楷体"/>
          <w:spacing w:val="-1"/>
          <w:sz w:val="24"/>
          <w:szCs w:val="24"/>
        </w:rPr>
        <w:tab/>
      </w:r>
      <w:r>
        <w:rPr>
          <w:rFonts w:hint="eastAsia" w:ascii="宋体" w:hAnsi="宋体" w:eastAsia="宋体" w:cs="楷体"/>
          <w:spacing w:val="-1"/>
          <w:sz w:val="24"/>
          <w:szCs w:val="24"/>
          <w:lang w:val="en-US" w:eastAsia="zh-CN"/>
        </w:rPr>
        <w:t xml:space="preserve">20</w:t>
      </w:r>
      <w:r/>
    </w:p>
    <w:p>
      <w:pPr>
        <w:ind w:left="0"/>
        <w:keepLines w:val="0"/>
        <w:keepNext w:val="0"/>
        <w:pageBreakBefore w:val="0"/>
        <w:spacing w:line="360" w:lineRule="auto"/>
        <w:widowControl/>
        <w:tabs>
          <w:tab w:val="right" w:pos="8954" w:leader="dot"/>
        </w:tabs>
        <w:rPr>
          <w:rFonts w:hint="eastAsia" w:ascii="宋体" w:hAnsi="宋体" w:eastAsia="宋体" w:cs="楷体"/>
          <w:spacing w:val="-1"/>
          <w:lang w:eastAsia="zh-CN"/>
        </w:rPr>
      </w:pPr>
      <w:r>
        <w:rPr>
          <w:rFonts w:ascii="宋体" w:hAnsi="宋体" w:eastAsia="宋体" w:cs="楷体"/>
          <w:spacing w:val="-1"/>
          <w:sz w:val="24"/>
          <w:szCs w:val="24"/>
        </w:rPr>
        <w:t xml:space="preserve">第六章 磋商响应文件格式 </w:t>
      </w:r>
      <w:r>
        <w:rPr>
          <w:rFonts w:ascii="宋体" w:hAnsi="宋体" w:eastAsia="宋体" w:cs="楷体"/>
          <w:spacing w:val="-1"/>
          <w:sz w:val="24"/>
          <w:szCs w:val="24"/>
        </w:rPr>
        <w:tab/>
      </w:r>
      <w:r>
        <w:rPr>
          <w:rFonts w:ascii="宋体" w:hAnsi="宋体" w:eastAsia="宋体" w:cs="楷体"/>
          <w:spacing w:val="-1"/>
          <w:sz w:val="24"/>
          <w:szCs w:val="24"/>
        </w:rPr>
        <w:t xml:space="preserve"> </w:t>
      </w:r>
      <w:r>
        <w:rPr>
          <w:rFonts w:hint="eastAsia" w:ascii="宋体" w:hAnsi="宋体" w:eastAsia="宋体" w:cs="楷体"/>
          <w:spacing w:val="-1"/>
          <w:sz w:val="24"/>
          <w:szCs w:val="24"/>
          <w:lang w:val="en-US" w:eastAsia="zh-CN"/>
        </w:rPr>
        <w:t xml:space="preserve">24</w:t>
      </w:r>
      <w:r/>
    </w:p>
    <w:p>
      <w:pPr>
        <w:rPr>
          <w:rFonts w:ascii="宋体" w:hAnsi="宋体" w:eastAsia="宋体"/>
        </w:rPr>
        <w:sectPr>
          <w:footerReference w:type="default" r:id="rId11"/>
          <w:footnotePr/>
          <w:endnotePr/>
          <w:type w:val="nextPage"/>
          <w:pgSz w:w="11907" w:h="16839" w:orient="portrait"/>
          <w:pgMar w:top="1431" w:right="1520" w:bottom="1445" w:left="1431" w:header="0" w:footer="1134" w:gutter="0"/>
          <w:pgNumType w:start="1"/>
          <w:cols w:num="1" w:sep="0" w:space="720" w:equalWidth="1"/>
          <w:docGrid w:linePitch="360"/>
        </w:sectPr>
      </w:pPr>
      <w:r>
        <w:rPr>
          <w:rFonts w:ascii="宋体" w:hAnsi="宋体" w:eastAsia="宋体"/>
        </w:rPr>
      </w:r>
      <w:r/>
    </w:p>
    <w:p>
      <w:pPr>
        <w:jc w:val="center"/>
        <w:spacing w:before="314" w:line="227" w:lineRule="auto"/>
        <w:rPr>
          <w:rFonts w:ascii="宋体" w:hAnsi="宋体" w:eastAsia="宋体" w:cs="楷体"/>
          <w:color w:val="auto"/>
          <w:sz w:val="31"/>
          <w:szCs w:val="31"/>
          <w:highlight w:val="none"/>
          <w14:textOutline w14:w="5791" w14:cap="flat" w14:cmpd="sng" w14:algn="ctr">
            <w14:solidFill>
              <w14:srgbClr w14:val="000000"/>
            </w14:solidFill>
            <w14:prstDash w14:val="solid"/>
            <w14:miter/>
          </w14:textOutline>
        </w:rPr>
        <w:outlineLvl w:val="0"/>
      </w:pPr>
      <w:r/>
      <w:bookmarkStart w:id="0" w:name="_bookmark1"/>
      <w:r/>
      <w:bookmarkEnd w:id="0"/>
      <w:r>
        <w:rPr>
          <w:rFonts w:ascii="宋体" w:hAnsi="宋体" w:eastAsia="宋体" w:cs="楷体"/>
          <w:color w:val="auto"/>
          <w:spacing w:val="1"/>
          <w:sz w:val="31"/>
          <w:szCs w:val="31"/>
          <w:highlight w:val="none"/>
          <w14:textOutline w14:w="5791" w14:cap="flat" w14:cmpd="sng" w14:algn="ctr">
            <w14:solidFill>
              <w14:srgbClr w14:val="000000"/>
            </w14:solidFill>
            <w14:prstDash w14:val="solid"/>
            <w14:miter/>
          </w14:textOutline>
        </w:rPr>
        <w:t xml:space="preserve">第一章</w:t>
      </w:r>
      <w:r>
        <w:rPr>
          <w:rFonts w:hint="eastAsia" w:ascii="宋体" w:hAnsi="宋体" w:eastAsia="宋体" w:cs="楷体"/>
          <w:color w:val="auto"/>
          <w:spacing w:val="1"/>
          <w:sz w:val="31"/>
          <w:szCs w:val="31"/>
          <w:highlight w:val="none"/>
          <w14:textOutline w14:w="5791" w14:cap="flat" w14:cmpd="sng" w14:algn="ctr">
            <w14:solidFill>
              <w14:srgbClr w14:val="000000"/>
            </w14:solidFill>
            <w14:prstDash w14:val="solid"/>
            <w14:miter/>
          </w14:textOutline>
        </w:rPr>
        <w:t xml:space="preserve">  </w:t>
      </w:r>
      <w:r>
        <w:rPr>
          <w:rFonts w:hint="eastAsia" w:ascii="宋体" w:hAnsi="宋体" w:eastAsia="宋体" w:cs="楷体"/>
          <w:color w:val="auto"/>
          <w:spacing w:val="1"/>
          <w:sz w:val="31"/>
          <w:szCs w:val="31"/>
          <w:highlight w:val="none"/>
          <w:lang w:eastAsia="zh-CN"/>
          <w14:textOutline w14:w="5791" w14:cap="flat" w14:cmpd="sng" w14:algn="ctr">
            <w14:solidFill>
              <w14:srgbClr w14:val="000000"/>
            </w14:solidFill>
            <w14:prstDash w14:val="solid"/>
            <w14:miter/>
          </w14:textOutline>
        </w:rPr>
        <w:t xml:space="preserve">江苏省高邮经济开发区管理委员会</w:t>
      </w:r>
      <w:r>
        <w:rPr>
          <w:rFonts w:hint="eastAsia" w:ascii="宋体" w:hAnsi="宋体" w:eastAsia="宋体" w:cs="楷体"/>
          <w:color w:val="auto"/>
          <w:spacing w:val="1"/>
          <w:sz w:val="31"/>
          <w:szCs w:val="31"/>
          <w:highlight w:val="none"/>
          <w14:textOutline w14:w="5791" w14:cap="flat" w14:cmpd="sng" w14:algn="ctr">
            <w14:solidFill>
              <w14:srgbClr w14:val="000000"/>
            </w14:solidFill>
            <w14:prstDash w14:val="solid"/>
            <w14:miter/>
          </w14:textOutline>
        </w:rPr>
        <w:t xml:space="preserve">关于</w:t>
      </w:r>
      <w:r>
        <w:rPr>
          <w:rFonts w:hint="eastAsia" w:ascii="宋体" w:hAnsi="宋体" w:eastAsia="宋体" w:cs="楷体"/>
          <w:color w:val="auto"/>
          <w:spacing w:val="1"/>
          <w:sz w:val="31"/>
          <w:szCs w:val="31"/>
          <w:highlight w:val="none"/>
          <w:lang w:eastAsia="zh-CN"/>
          <w14:textOutline w14:w="5791" w14:cap="flat" w14:cmpd="sng" w14:algn="ctr">
            <w14:solidFill>
              <w14:srgbClr w14:val="000000"/>
            </w14:solidFill>
            <w14:prstDash w14:val="solid"/>
            <w14:miter/>
          </w14:textOutline>
        </w:rPr>
        <w:t xml:space="preserve">高邮经济开发区零碳园区创建全过程工程咨询服务项目</w:t>
      </w:r>
      <w:r>
        <w:rPr>
          <w:rFonts w:ascii="宋体" w:hAnsi="宋体" w:eastAsia="宋体" w:cs="楷体"/>
          <w:color w:val="auto"/>
          <w:spacing w:val="1"/>
          <w:sz w:val="31"/>
          <w:szCs w:val="31"/>
          <w:highlight w:val="none"/>
          <w14:textOutline w14:w="5791" w14:cap="flat" w14:cmpd="sng" w14:algn="ctr">
            <w14:solidFill>
              <w14:srgbClr w14:val="000000"/>
            </w14:solidFill>
            <w14:prstDash w14:val="solid"/>
            <w14:miter/>
          </w14:textOutline>
        </w:rPr>
        <w:t xml:space="preserve">竞争性磋</w:t>
      </w:r>
      <w:r>
        <w:rPr>
          <w:rFonts w:ascii="宋体" w:hAnsi="宋体" w:eastAsia="宋体" w:cs="楷体"/>
          <w:color w:val="auto"/>
          <w:sz w:val="31"/>
          <w:szCs w:val="31"/>
          <w:highlight w:val="none"/>
          <w14:textOutline w14:w="5791" w14:cap="flat" w14:cmpd="sng" w14:algn="ctr">
            <w14:solidFill>
              <w14:srgbClr w14:val="000000"/>
            </w14:solidFill>
            <w14:prstDash w14:val="solid"/>
            <w14:miter/>
          </w14:textOutline>
        </w:rPr>
        <w:t xml:space="preserve">商公告</w:t>
      </w:r>
      <w:r/>
    </w:p>
    <w:p>
      <w:pPr>
        <w:jc w:val="center"/>
        <w:spacing w:before="314" w:line="227" w:lineRule="auto"/>
        <w:rPr>
          <w:rFonts w:ascii="宋体" w:hAnsi="宋体" w:eastAsia="宋体" w:cs="楷体"/>
          <w:color w:val="auto"/>
          <w:sz w:val="31"/>
          <w:szCs w:val="31"/>
          <w:highlight w:val="none"/>
          <w14:textOutline w14:w="5791" w14:cap="flat" w14:cmpd="sng" w14:algn="ctr">
            <w14:solidFill>
              <w14:srgbClr w14:val="000000"/>
            </w14:solidFill>
            <w14:prstDash w14:val="solid"/>
            <w14:miter/>
          </w14:textOutline>
        </w:rPr>
        <w:outlineLvl w:val="0"/>
      </w:pPr>
      <w:r>
        <w:rPr>
          <w:rFonts w:ascii="宋体" w:hAnsi="宋体" w:eastAsia="宋体" w:cs="楷体"/>
          <w:color w:val="auto"/>
          <w:sz w:val="31"/>
          <w:szCs w:val="31"/>
          <w:highlight w:val="none"/>
          <w14:textOutline w14:w="5791" w14:cap="flat" w14:cmpd="sng" w14:algn="ctr">
            <w14:solidFill>
              <w14:srgbClr w14:val="000000"/>
            </w14:solidFill>
            <w14:prstDash w14:val="solid"/>
            <w14:miter/>
          </w14:textOutline>
        </w:rPr>
      </w:r>
      <w:r/>
    </w:p>
    <w:p>
      <w:pPr>
        <w:ind w:right="98" w:firstLine="624"/>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u w:val="single"/>
          <w:lang w:eastAsia="zh-CN"/>
        </w:rPr>
        <w:t xml:space="preserve">江苏润鑫项目管理有限公司</w:t>
      </w:r>
      <w:r>
        <w:rPr>
          <w:rFonts w:hint="eastAsia" w:asciiTheme="minorEastAsia" w:hAnsiTheme="minorEastAsia" w:eastAsiaTheme="minorEastAsia" w:cstheme="minorEastAsia"/>
          <w:color w:val="auto"/>
          <w:spacing w:val="-1"/>
          <w:sz w:val="21"/>
          <w:szCs w:val="21"/>
          <w:highlight w:val="none"/>
        </w:rPr>
        <w:t xml:space="preserve">（以下简称“招标代理”）受</w:t>
      </w:r>
      <w:r>
        <w:rPr>
          <w:rFonts w:hint="eastAsia" w:asciiTheme="minorEastAsia" w:hAnsiTheme="minorEastAsia" w:eastAsiaTheme="minorEastAsia" w:cstheme="minorEastAsia"/>
          <w:color w:val="auto"/>
          <w:spacing w:val="-1"/>
          <w:sz w:val="21"/>
          <w:szCs w:val="21"/>
          <w:highlight w:val="none"/>
          <w:u w:val="single"/>
          <w:lang w:eastAsia="zh-CN"/>
        </w:rPr>
        <w:t xml:space="preserve">江苏省高邮经济开发区管理委员会</w:t>
      </w:r>
      <w:r>
        <w:rPr>
          <w:rFonts w:hint="eastAsia" w:asciiTheme="minorEastAsia" w:hAnsiTheme="minorEastAsia" w:eastAsiaTheme="minorEastAsia" w:cstheme="minorEastAsia"/>
          <w:color w:val="auto"/>
          <w:spacing w:val="-1"/>
          <w:sz w:val="21"/>
          <w:szCs w:val="21"/>
          <w:highlight w:val="none"/>
        </w:rPr>
        <w:t xml:space="preserve">（以下简称“采购人”）的委托，就</w:t>
      </w:r>
      <w:r>
        <w:rPr>
          <w:rFonts w:hint="eastAsia" w:asciiTheme="minorEastAsia" w:hAnsiTheme="minorEastAsia" w:eastAsiaTheme="minorEastAsia" w:cstheme="minorEastAsia"/>
          <w:color w:val="auto"/>
          <w:spacing w:val="-1"/>
          <w:sz w:val="21"/>
          <w:szCs w:val="21"/>
          <w:highlight w:val="none"/>
          <w:u w:val="single"/>
        </w:rPr>
        <w:t xml:space="preserve"> </w:t>
      </w:r>
      <w:r>
        <w:rPr>
          <w:rFonts w:hint="eastAsia" w:asciiTheme="minorEastAsia" w:hAnsiTheme="minorEastAsia" w:eastAsiaTheme="minorEastAsia" w:cstheme="minorEastAsia"/>
          <w:color w:val="auto"/>
          <w:spacing w:val="-1"/>
          <w:sz w:val="21"/>
          <w:szCs w:val="21"/>
          <w:highlight w:val="none"/>
          <w:u w:val="single"/>
          <w:lang w:eastAsia="zh-CN"/>
        </w:rPr>
        <w:t xml:space="preserve">高邮经济开发区零碳园区创建全过程工程咨询服务项目</w:t>
      </w:r>
      <w:r>
        <w:rPr>
          <w:rFonts w:hint="eastAsia" w:asciiTheme="minorEastAsia" w:hAnsiTheme="minorEastAsia" w:eastAsiaTheme="minorEastAsia" w:cstheme="minorEastAsia"/>
          <w:color w:val="auto"/>
          <w:spacing w:val="-1"/>
          <w:sz w:val="21"/>
          <w:szCs w:val="21"/>
          <w:highlight w:val="none"/>
          <w:u w:val="single"/>
        </w:rPr>
        <w:t xml:space="preserve"> </w:t>
      </w:r>
      <w:r>
        <w:rPr>
          <w:rFonts w:hint="eastAsia" w:asciiTheme="minorEastAsia" w:hAnsiTheme="minorEastAsia" w:eastAsiaTheme="minorEastAsia" w:cstheme="minorEastAsia"/>
          <w:color w:val="auto"/>
          <w:spacing w:val="-1"/>
          <w:sz w:val="21"/>
          <w:szCs w:val="21"/>
          <w:highlight w:val="none"/>
        </w:rPr>
        <w:t xml:space="preserve">进行竞争性磋商采购，欢迎符合条件的供应商投标。</w:t>
      </w:r>
      <w:r/>
    </w:p>
    <w:tbl>
      <w:tblPr>
        <w:tblStyle w:val="990"/>
        <w:tblW w:w="850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506"/>
      </w:tblGrid>
      <w:tr>
        <w:trPr>
          <w:trHeight w:val="1404"/>
        </w:trPr>
        <w:tc>
          <w:tcPr>
            <w:tcW w:w="8506" w:type="dxa"/>
            <w:textDirection w:val="lrTb"/>
            <w:noWrap w:val="false"/>
          </w:tcPr>
          <w:p>
            <w:pPr>
              <w:ind w:left="622" w:right="111" w:hanging="49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项目概况：</w:t>
            </w:r>
            <w:r/>
          </w:p>
          <w:p>
            <w:pPr>
              <w:ind w:right="111"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lang w:eastAsia="zh-CN"/>
              </w:rPr>
              <w:t xml:space="preserve">高邮经济开发区零碳园区创建全过程工程咨询服务项目</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的潜在供应商可在</w:t>
            </w:r>
            <w:r>
              <w:rPr>
                <w:rFonts w:hint="eastAsia" w:asciiTheme="minorEastAsia" w:hAnsiTheme="minorEastAsia" w:eastAsiaTheme="minorEastAsia" w:cstheme="minorEastAsia"/>
                <w:color w:val="auto"/>
                <w:sz w:val="21"/>
                <w:szCs w:val="21"/>
                <w:highlight w:val="none"/>
                <w:u w:val="single"/>
              </w:rPr>
              <w:t xml:space="preserve">“江苏省政府采购网”、“扬州市政府采购网”</w:t>
            </w:r>
            <w:r>
              <w:rPr>
                <w:rFonts w:hint="eastAsia" w:asciiTheme="minorEastAsia" w:hAnsiTheme="minorEastAsia" w:eastAsiaTheme="minorEastAsia" w:cstheme="minorEastAsia"/>
                <w:color w:val="auto"/>
                <w:sz w:val="21"/>
                <w:szCs w:val="21"/>
                <w:highlight w:val="none"/>
              </w:rPr>
              <w:t xml:space="preserve">自行免费下载采购文件，并于</w:t>
            </w:r>
            <w:r>
              <w:rPr>
                <w:rFonts w:hint="eastAsia" w:asciiTheme="minorEastAsia" w:hAnsiTheme="minorEastAsia" w:eastAsiaTheme="minorEastAsia" w:cstheme="minorEastAsia"/>
                <w:color w:val="auto"/>
                <w:sz w:val="21"/>
                <w:szCs w:val="21"/>
                <w:highlight w:val="none"/>
                <w:u w:val="single"/>
                <w:shd w:val="clear" w:color="auto"/>
              </w:rPr>
              <w:t xml:space="preserve">202</w:t>
            </w: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w:t>
            </w:r>
            <w:r>
              <w:rPr>
                <w:rFonts w:hint="eastAsia" w:asciiTheme="minorEastAsia" w:hAnsiTheme="minorEastAsia" w:eastAsiaTheme="minorEastAsia" w:cstheme="minorEastAsia"/>
                <w:color w:val="auto"/>
                <w:sz w:val="21"/>
                <w:szCs w:val="21"/>
                <w:highlight w:val="none"/>
                <w:u w:val="single"/>
                <w:shd w:val="clear" w:color="auto"/>
              </w:rPr>
              <w:t xml:space="preserve">年</w:t>
            </w: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8月21日</w:t>
            </w:r>
            <w:r>
              <w:rPr>
                <w:rFonts w:hint="eastAsia" w:asciiTheme="minorEastAsia" w:hAnsiTheme="minorEastAsia" w:eastAsiaTheme="minorEastAsia" w:cstheme="minorEastAsia"/>
                <w:color w:val="auto"/>
                <w:sz w:val="21"/>
                <w:szCs w:val="21"/>
                <w:highlight w:val="none"/>
                <w:u w:val="single"/>
                <w:shd w:val="clear" w:color="auto"/>
              </w:rPr>
              <w:t xml:space="preserve">09点30分</w:t>
            </w:r>
            <w:r>
              <w:rPr>
                <w:rFonts w:hint="eastAsia" w:asciiTheme="minorEastAsia" w:hAnsiTheme="minorEastAsia" w:eastAsiaTheme="minorEastAsia" w:cstheme="minorEastAsia"/>
                <w:color w:val="auto"/>
                <w:sz w:val="21"/>
                <w:szCs w:val="21"/>
                <w:highlight w:val="none"/>
              </w:rPr>
              <w:t xml:space="preserve"> (北京时间)前提交响应文件。</w:t>
            </w:r>
            <w:r/>
          </w:p>
        </w:tc>
      </w:tr>
    </w:tbl>
    <w:p>
      <w:pPr>
        <w:ind w:left="613"/>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14:textOutline w14:w="4356" w14:cap="flat" w14:cmpd="sng" w14:algn="ctr">
            <w14:solidFill>
              <w14:srgbClr w14:val="000000"/>
            </w14:solidFill>
            <w14:prstDash w14:val="solid"/>
            <w14:miter/>
          </w14:textOutline>
        </w:rPr>
        <w:t xml:space="preserve">一、项目基本</w:t>
      </w:r>
      <w:r>
        <w:rPr>
          <w:rFonts w:hint="eastAsia" w:asciiTheme="minorEastAsia" w:hAnsiTheme="minorEastAsia" w:eastAsiaTheme="minorEastAsia" w:cstheme="minorEastAsia"/>
          <w:color w:val="auto"/>
          <w:sz w:val="21"/>
          <w:szCs w:val="21"/>
          <w:highlight w:val="none"/>
          <w14:textOutline w14:w="4356" w14:cap="flat" w14:cmpd="sng" w14:algn="ctr">
            <w14:solidFill>
              <w14:srgbClr w14:val="000000"/>
            </w14:solidFill>
            <w14:prstDash w14:val="solid"/>
            <w14:miter/>
          </w14:textOutline>
        </w:rPr>
        <w:t xml:space="preserve">情况</w:t>
      </w:r>
      <w:r/>
    </w:p>
    <w:p>
      <w:pPr>
        <w:ind w:right="0" w:firstLine="420"/>
        <w:keepLines w:val="0"/>
        <w:keepNext w:val="0"/>
        <w:pageBreakBefore w:val="0"/>
        <w:spacing w:line="360" w:lineRule="auto"/>
        <w:widowControl/>
        <w:rPr>
          <w:rFonts w:hint="eastAsia" w:asciiTheme="minorEastAsia" w:hAnsiTheme="minorEastAsia" w:eastAsiaTheme="minorEastAsia" w:cstheme="minorEastAsia"/>
          <w:color w:val="auto"/>
          <w:spacing w:val="0"/>
          <w:position w:val="0"/>
          <w:sz w:val="21"/>
          <w:szCs w:val="21"/>
          <w:highlight w:val="none"/>
          <w:lang w:eastAsia="zh-CN"/>
        </w:rPr>
      </w:pPr>
      <w:r>
        <w:rPr>
          <w:rFonts w:hint="eastAsia" w:asciiTheme="minorEastAsia" w:hAnsiTheme="minorEastAsia" w:eastAsiaTheme="minorEastAsia" w:cstheme="minorEastAsia"/>
          <w:color w:val="auto"/>
          <w:spacing w:val="0"/>
          <w:position w:val="0"/>
          <w:sz w:val="21"/>
          <w:szCs w:val="21"/>
          <w:highlight w:val="none"/>
        </w:rPr>
        <w:t xml:space="preserve">项目编号：</w:t>
      </w:r>
      <w:r>
        <w:rPr>
          <w:rFonts w:hint="eastAsia" w:asciiTheme="minorEastAsia" w:hAnsiTheme="minorEastAsia" w:eastAsiaTheme="minorEastAsia" w:cstheme="minorEastAsia"/>
          <w:color w:val="auto"/>
          <w:spacing w:val="0"/>
          <w:position w:val="0"/>
          <w:sz w:val="21"/>
          <w:szCs w:val="21"/>
          <w:highlight w:val="none"/>
          <w:lang w:eastAsia="zh-CN"/>
        </w:rPr>
        <w:t xml:space="preserve">GYRXC-202601</w:t>
      </w:r>
      <w:r/>
    </w:p>
    <w:p>
      <w:pPr>
        <w:ind w:right="0" w:firstLine="420"/>
        <w:keepLines w:val="0"/>
        <w:keepNext w:val="0"/>
        <w:pageBreakBefore w:val="0"/>
        <w:spacing w:line="360" w:lineRule="auto"/>
        <w:widowControl/>
        <w:rPr>
          <w:rFonts w:hint="eastAsia" w:asciiTheme="minorEastAsia" w:hAnsiTheme="minorEastAsia" w:eastAsiaTheme="minorEastAsia" w:cstheme="minorEastAsia"/>
          <w:color w:val="auto"/>
          <w:spacing w:val="0"/>
          <w:position w:val="0"/>
          <w:sz w:val="21"/>
          <w:szCs w:val="21"/>
          <w:highlight w:val="none"/>
          <w:u w:val="single"/>
          <w:lang w:eastAsia="zh-CN"/>
        </w:rPr>
      </w:pPr>
      <w:r>
        <w:rPr>
          <w:rFonts w:hint="eastAsia" w:asciiTheme="minorEastAsia" w:hAnsiTheme="minorEastAsia" w:eastAsiaTheme="minorEastAsia" w:cstheme="minorEastAsia"/>
          <w:color w:val="auto"/>
          <w:spacing w:val="0"/>
          <w:position w:val="0"/>
          <w:sz w:val="21"/>
          <w:szCs w:val="21"/>
          <w:highlight w:val="none"/>
        </w:rPr>
        <w:t xml:space="preserve">项目名称：</w:t>
      </w:r>
      <w:r>
        <w:rPr>
          <w:rFonts w:hint="eastAsia" w:asciiTheme="minorEastAsia" w:hAnsiTheme="minorEastAsia" w:eastAsiaTheme="minorEastAsia" w:cstheme="minorEastAsia"/>
          <w:color w:val="auto"/>
          <w:spacing w:val="0"/>
          <w:position w:val="0"/>
          <w:sz w:val="21"/>
          <w:szCs w:val="21"/>
          <w:highlight w:val="none"/>
          <w:lang w:eastAsia="zh-CN"/>
        </w:rPr>
        <w:t xml:space="preserve">高邮经济开发区零碳园区创建全过程工程咨询服务项目</w:t>
      </w:r>
      <w:r/>
    </w:p>
    <w:p>
      <w:pPr>
        <w:ind w:right="0" w:firstLine="420"/>
        <w:keepLines w:val="0"/>
        <w:keepNext w:val="0"/>
        <w:pageBreakBefore w:val="0"/>
        <w:spacing w:line="360" w:lineRule="auto"/>
        <w:widowControl/>
        <w:rPr>
          <w:rFonts w:hint="eastAsia" w:asciiTheme="minorEastAsia" w:hAnsiTheme="minorEastAsia" w:eastAsiaTheme="minorEastAsia" w:cstheme="minorEastAsia"/>
          <w:color w:val="auto"/>
          <w:spacing w:val="0"/>
          <w:position w:val="0"/>
          <w:sz w:val="21"/>
          <w:szCs w:val="21"/>
          <w:highlight w:val="none"/>
          <w:lang w:val="en-US" w:eastAsia="zh-CN"/>
        </w:rPr>
      </w:pPr>
      <w:r>
        <w:rPr>
          <w:rFonts w:hint="eastAsia" w:asciiTheme="minorEastAsia" w:hAnsiTheme="minorEastAsia" w:eastAsiaTheme="minorEastAsia" w:cstheme="minorEastAsia"/>
          <w:color w:val="auto"/>
          <w:spacing w:val="0"/>
          <w:position w:val="0"/>
          <w:sz w:val="21"/>
          <w:szCs w:val="21"/>
          <w:highlight w:val="none"/>
        </w:rPr>
        <w:t xml:space="preserve">采购方式：竞争性磋商</w:t>
      </w:r>
      <w:r/>
    </w:p>
    <w:p>
      <w:pPr>
        <w:ind w:right="0" w:firstLine="420"/>
        <w:keepLines w:val="0"/>
        <w:keepNext w:val="0"/>
        <w:pageBreakBefore w:val="0"/>
        <w:spacing w:line="360" w:lineRule="auto"/>
        <w:widowControl/>
        <w:rPr>
          <w:rFonts w:hint="default" w:asciiTheme="minorEastAsia" w:hAnsiTheme="minorEastAsia" w:eastAsiaTheme="minorEastAsia" w:cstheme="minorEastAsia"/>
          <w:color w:val="auto"/>
          <w:spacing w:val="0"/>
          <w:position w:val="0"/>
          <w:sz w:val="21"/>
          <w:szCs w:val="21"/>
          <w:highlight w:val="none"/>
          <w:lang w:val="en-US" w:eastAsia="zh-CN"/>
        </w:rPr>
      </w:pPr>
      <w:r>
        <w:rPr>
          <w:rFonts w:hint="eastAsia" w:asciiTheme="minorEastAsia" w:hAnsiTheme="minorEastAsia" w:eastAsiaTheme="minorEastAsia" w:cstheme="minorEastAsia"/>
          <w:color w:val="auto"/>
          <w:spacing w:val="0"/>
          <w:position w:val="0"/>
          <w:sz w:val="21"/>
          <w:szCs w:val="21"/>
          <w:highlight w:val="none"/>
        </w:rPr>
        <w:t xml:space="preserve">预算金额：</w:t>
      </w:r>
      <w:r>
        <w:rPr>
          <w:rFonts w:hint="eastAsia" w:asciiTheme="minorEastAsia" w:hAnsiTheme="minorEastAsia" w:eastAsiaTheme="minorEastAsia" w:cstheme="minorEastAsia"/>
          <w:color w:val="auto"/>
          <w:spacing w:val="0"/>
          <w:position w:val="0"/>
          <w:sz w:val="21"/>
          <w:szCs w:val="21"/>
          <w:highlight w:val="none"/>
          <w:lang w:val="en-US" w:eastAsia="zh-CN"/>
        </w:rPr>
        <w:t xml:space="preserve">240</w:t>
      </w:r>
      <w:r>
        <w:rPr>
          <w:rFonts w:hint="eastAsia" w:asciiTheme="minorEastAsia" w:hAnsiTheme="minorEastAsia" w:eastAsiaTheme="minorEastAsia" w:cstheme="minorEastAsia"/>
          <w:color w:val="auto"/>
          <w:spacing w:val="0"/>
          <w:position w:val="0"/>
          <w:sz w:val="21"/>
          <w:szCs w:val="21"/>
          <w:highlight w:val="none"/>
        </w:rPr>
        <w:t xml:space="preserve">万元</w:t>
      </w:r>
      <w:r/>
    </w:p>
    <w:p>
      <w:pPr>
        <w:ind w:right="0" w:firstLine="420"/>
        <w:keepLines w:val="0"/>
        <w:keepNext w:val="0"/>
        <w:pageBreakBefore w:val="0"/>
        <w:spacing w:line="360" w:lineRule="auto"/>
        <w:shd w:val="clear" w:color="auto"/>
        <w:widowControl/>
        <w:rPr>
          <w:rFonts w:hint="eastAsia" w:asciiTheme="minorEastAsia" w:hAnsiTheme="minorEastAsia" w:eastAsiaTheme="minorEastAsia" w:cstheme="minorEastAsia"/>
          <w:color w:val="auto"/>
          <w:spacing w:val="0"/>
          <w:position w:val="0"/>
          <w:sz w:val="21"/>
          <w:szCs w:val="21"/>
          <w:highlight w:val="none"/>
        </w:rPr>
      </w:pPr>
      <w:r>
        <w:rPr>
          <w:rFonts w:hint="eastAsia" w:asciiTheme="minorEastAsia" w:hAnsiTheme="minorEastAsia" w:eastAsiaTheme="minorEastAsia" w:cstheme="minorEastAsia"/>
          <w:color w:val="auto"/>
          <w:spacing w:val="0"/>
          <w:position w:val="0"/>
          <w:sz w:val="21"/>
          <w:szCs w:val="21"/>
          <w:highlight w:val="none"/>
        </w:rPr>
        <w:t xml:space="preserve">最高限价：</w:t>
      </w:r>
      <w:r>
        <w:rPr>
          <w:rFonts w:hint="eastAsia" w:asciiTheme="minorEastAsia" w:hAnsiTheme="minorEastAsia" w:eastAsiaTheme="minorEastAsia" w:cstheme="minorEastAsia"/>
          <w:color w:val="auto"/>
          <w:spacing w:val="0"/>
          <w:position w:val="0"/>
          <w:sz w:val="21"/>
          <w:szCs w:val="21"/>
          <w:highlight w:val="none"/>
          <w:lang w:val="en-US" w:eastAsia="zh-CN"/>
        </w:rPr>
        <w:t xml:space="preserve">240</w:t>
      </w:r>
      <w:r>
        <w:rPr>
          <w:rFonts w:hint="eastAsia" w:asciiTheme="minorEastAsia" w:hAnsiTheme="minorEastAsia" w:eastAsiaTheme="minorEastAsia" w:cstheme="minorEastAsia"/>
          <w:color w:val="auto"/>
          <w:spacing w:val="0"/>
          <w:position w:val="0"/>
          <w:sz w:val="21"/>
          <w:szCs w:val="21"/>
          <w:highlight w:val="none"/>
        </w:rPr>
        <w:t xml:space="preserve">万元，报价高于最高限价的为无效投标。</w:t>
      </w:r>
      <w:r/>
    </w:p>
    <w:p>
      <w:pPr>
        <w:ind w:right="0" w:firstLine="420"/>
        <w:keepLines w:val="0"/>
        <w:keepNext w:val="0"/>
        <w:pageBreakBefore w:val="0"/>
        <w:spacing w:line="360" w:lineRule="auto"/>
        <w:widowControl/>
        <w:rPr>
          <w:rFonts w:hint="eastAsia" w:asciiTheme="minorEastAsia" w:hAnsiTheme="minorEastAsia" w:eastAsiaTheme="minorEastAsia" w:cstheme="minorEastAsia"/>
          <w:color w:val="auto"/>
          <w:spacing w:val="0"/>
          <w:position w:val="0"/>
          <w:sz w:val="21"/>
          <w:szCs w:val="21"/>
          <w:highlight w:val="none"/>
        </w:rPr>
      </w:pPr>
      <w:r>
        <w:rPr>
          <w:rFonts w:hint="eastAsia" w:asciiTheme="minorEastAsia" w:hAnsiTheme="minorEastAsia" w:eastAsiaTheme="minorEastAsia" w:cstheme="minorEastAsia"/>
          <w:color w:val="auto"/>
          <w:spacing w:val="0"/>
          <w:position w:val="0"/>
          <w:sz w:val="21"/>
          <w:szCs w:val="21"/>
          <w:highlight w:val="none"/>
          <w:lang w:val="en-US" w:eastAsia="zh-CN"/>
        </w:rPr>
        <w:t xml:space="preserve">服务内容</w:t>
      </w:r>
      <w:r>
        <w:rPr>
          <w:rFonts w:hint="eastAsia" w:asciiTheme="minorEastAsia" w:hAnsiTheme="minorEastAsia" w:eastAsiaTheme="minorEastAsia" w:cstheme="minorEastAsia"/>
          <w:color w:val="auto"/>
          <w:spacing w:val="0"/>
          <w:position w:val="0"/>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rPr>
        <w:t xml:space="preserve">为贯彻落实国家“双碳”战略，加快推进高邮经济开发区绿色低碳转型</w:t>
      </w:r>
      <w:r>
        <w:rPr>
          <w:rFonts w:hint="eastAsia" w:asciiTheme="minorEastAsia" w:hAnsiTheme="minorEastAsia" w:eastAsiaTheme="minorEastAsia" w:cstheme="minorEastAsia"/>
          <w:b w:val="0"/>
          <w:bCs/>
          <w:color w:val="auto"/>
          <w:sz w:val="21"/>
          <w:szCs w:val="21"/>
          <w:highlight w:val="none"/>
          <w:lang w:val="en-US" w:eastAsia="zh-CN"/>
        </w:rPr>
        <w:t xml:space="preserve">和国际竞争力</w:t>
      </w:r>
      <w:r>
        <w:rPr>
          <w:rFonts w:hint="eastAsia" w:asciiTheme="minorEastAsia" w:hAnsiTheme="minorEastAsia" w:eastAsiaTheme="minorEastAsia" w:cstheme="minorEastAsia"/>
          <w:b w:val="0"/>
          <w:bCs/>
          <w:color w:val="auto"/>
          <w:sz w:val="21"/>
          <w:szCs w:val="21"/>
          <w:highlight w:val="none"/>
        </w:rPr>
        <w:t xml:space="preserve">，拟</w:t>
      </w:r>
      <w:r>
        <w:rPr>
          <w:rFonts w:hint="eastAsia" w:asciiTheme="minorEastAsia" w:hAnsiTheme="minorEastAsia" w:eastAsiaTheme="minorEastAsia" w:cstheme="minorEastAsia"/>
          <w:b w:val="0"/>
          <w:bCs/>
          <w:color w:val="auto"/>
          <w:sz w:val="21"/>
          <w:szCs w:val="21"/>
          <w:highlight w:val="none"/>
          <w:lang w:val="en-US" w:eastAsia="zh-CN"/>
        </w:rPr>
        <w:t xml:space="preserve">编制零碳园区建设方案，争</w:t>
      </w:r>
      <w:r>
        <w:rPr>
          <w:rFonts w:hint="eastAsia" w:asciiTheme="minorEastAsia" w:hAnsiTheme="minorEastAsia" w:eastAsiaTheme="minorEastAsia" w:cstheme="minorEastAsia"/>
          <w:b w:val="0"/>
          <w:bCs/>
          <w:color w:val="auto"/>
          <w:sz w:val="21"/>
          <w:szCs w:val="21"/>
          <w:highlight w:val="none"/>
        </w:rPr>
        <w:t xml:space="preserve">创</w:t>
      </w:r>
      <w:r>
        <w:rPr>
          <w:rFonts w:hint="eastAsia" w:asciiTheme="minorEastAsia" w:hAnsiTheme="minorEastAsia" w:eastAsiaTheme="minorEastAsia" w:cstheme="minorEastAsia"/>
          <w:b w:val="0"/>
          <w:bCs/>
          <w:color w:val="auto"/>
          <w:sz w:val="21"/>
          <w:szCs w:val="21"/>
          <w:highlight w:val="none"/>
          <w:lang w:val="en-US" w:eastAsia="zh-CN"/>
        </w:rPr>
        <w:t xml:space="preserve">零碳园区</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国家级</w:t>
      </w:r>
      <w:r>
        <w:rPr>
          <w:rFonts w:hint="eastAsia" w:asciiTheme="minorEastAsia" w:hAnsiTheme="minorEastAsia" w:eastAsiaTheme="minorEastAsia" w:cstheme="minorEastAsia"/>
          <w:bCs/>
          <w:color w:val="auto"/>
          <w:sz w:val="21"/>
          <w:szCs w:val="21"/>
          <w:highlight w:val="none"/>
        </w:rPr>
        <w:t xml:space="preserve">零碳园区</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省级零碳园区，以及取得欧盟NG认证</w:t>
      </w:r>
      <w:r>
        <w:rPr>
          <w:rFonts w:hint="eastAsia" w:asciiTheme="minorEastAsia" w:hAnsiTheme="minorEastAsia" w:eastAsiaTheme="minorEastAsia" w:cstheme="minorEastAsia"/>
          <w:b w:val="0"/>
          <w:bCs/>
          <w:color w:val="auto"/>
          <w:sz w:val="21"/>
          <w:szCs w:val="21"/>
          <w:highlight w:val="none"/>
        </w:rPr>
        <w:t xml:space="preserve">)。现需采购</w:t>
      </w:r>
      <w:r>
        <w:rPr>
          <w:rFonts w:hint="eastAsia" w:asciiTheme="minorEastAsia" w:hAnsiTheme="minorEastAsia" w:eastAsiaTheme="minorEastAsia" w:cstheme="minorEastAsia"/>
          <w:b w:val="0"/>
          <w:bCs/>
          <w:color w:val="auto"/>
          <w:sz w:val="21"/>
          <w:szCs w:val="21"/>
          <w:highlight w:val="none"/>
          <w:lang w:eastAsia="zh-CN"/>
        </w:rPr>
        <w:t xml:space="preserve">全过程工程咨询</w:t>
      </w:r>
      <w:r>
        <w:rPr>
          <w:rFonts w:hint="eastAsia" w:asciiTheme="minorEastAsia" w:hAnsiTheme="minorEastAsia" w:eastAsiaTheme="minorEastAsia" w:cstheme="minorEastAsia"/>
          <w:b w:val="0"/>
          <w:bCs/>
          <w:color w:val="auto"/>
          <w:sz w:val="21"/>
          <w:szCs w:val="21"/>
          <w:highlight w:val="none"/>
        </w:rPr>
        <w:t xml:space="preserve">服务，服务内容主要涵盖：1、现状调查与分析；2、创建方案与规划，3、申报文本编制；4、重点项目库构建；5、建设实施期专业服务；6、申报过程技术支持(包含</w:t>
      </w:r>
      <w:r>
        <w:rPr>
          <w:rFonts w:hint="eastAsia" w:asciiTheme="minorEastAsia" w:hAnsiTheme="minorEastAsia" w:eastAsiaTheme="minorEastAsia" w:cstheme="minorEastAsia"/>
          <w:bCs/>
          <w:color w:val="auto"/>
          <w:sz w:val="21"/>
          <w:szCs w:val="21"/>
          <w:highlight w:val="none"/>
          <w:lang w:val="en-US" w:eastAsia="zh-CN"/>
        </w:rPr>
        <w:t xml:space="preserve">国家级</w:t>
      </w:r>
      <w:r>
        <w:rPr>
          <w:rFonts w:hint="eastAsia" w:asciiTheme="minorEastAsia" w:hAnsiTheme="minorEastAsia" w:eastAsiaTheme="minorEastAsia" w:cstheme="minorEastAsia"/>
          <w:bCs/>
          <w:color w:val="auto"/>
          <w:sz w:val="21"/>
          <w:szCs w:val="21"/>
          <w:highlight w:val="none"/>
        </w:rPr>
        <w:t xml:space="preserve">零碳园区</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省级零碳园区，以及取得欧盟NG认证</w:t>
      </w:r>
      <w:r>
        <w:rPr>
          <w:rFonts w:hint="eastAsia" w:asciiTheme="minorEastAsia" w:hAnsiTheme="minorEastAsia" w:eastAsiaTheme="minorEastAsia" w:cstheme="minorEastAsia"/>
          <w:b w:val="0"/>
          <w:bCs/>
          <w:color w:val="auto"/>
          <w:sz w:val="21"/>
          <w:szCs w:val="21"/>
          <w:highlight w:val="none"/>
        </w:rPr>
        <w:t xml:space="preserve">)等。</w:t>
      </w:r>
      <w:r/>
    </w:p>
    <w:p>
      <w:pPr>
        <w:ind w:right="0" w:firstLine="420"/>
        <w:keepLines w:val="0"/>
        <w:keepNext w:val="0"/>
        <w:pageBreakBefore w:val="0"/>
        <w:spacing w:line="360" w:lineRule="auto"/>
        <w:shd w:val="clear" w:color="auto"/>
        <w:widowControl/>
        <w:rPr>
          <w:rFonts w:hint="eastAsia" w:asciiTheme="minorEastAsia" w:hAnsiTheme="minorEastAsia" w:eastAsiaTheme="minorEastAsia" w:cstheme="minorEastAsia"/>
          <w:color w:val="auto"/>
          <w:spacing w:val="0"/>
          <w:position w:val="0"/>
          <w:sz w:val="21"/>
          <w:szCs w:val="21"/>
          <w:highlight w:val="none"/>
        </w:rPr>
      </w:pPr>
      <w:r>
        <w:rPr>
          <w:rFonts w:hint="eastAsia" w:asciiTheme="minorEastAsia" w:hAnsiTheme="minorEastAsia" w:eastAsiaTheme="minorEastAsia" w:cstheme="minorEastAsia"/>
          <w:color w:val="auto"/>
          <w:spacing w:val="0"/>
          <w:position w:val="0"/>
          <w:sz w:val="21"/>
          <w:szCs w:val="21"/>
          <w:highlight w:val="none"/>
          <w:lang w:val="en-US" w:eastAsia="zh-CN"/>
        </w:rPr>
        <w:t xml:space="preserve">服务</w:t>
      </w:r>
      <w:r>
        <w:rPr>
          <w:rFonts w:hint="eastAsia" w:asciiTheme="minorEastAsia" w:hAnsiTheme="minorEastAsia" w:eastAsiaTheme="minorEastAsia" w:cstheme="minorEastAsia"/>
          <w:color w:val="auto"/>
          <w:spacing w:val="0"/>
          <w:position w:val="0"/>
          <w:sz w:val="21"/>
          <w:szCs w:val="21"/>
          <w:highlight w:val="none"/>
        </w:rPr>
        <w:t xml:space="preserve">期限：</w:t>
      </w:r>
      <w:r>
        <w:rPr>
          <w:rFonts w:hint="eastAsia" w:asciiTheme="minorEastAsia" w:hAnsiTheme="minorEastAsia" w:eastAsiaTheme="minorEastAsia" w:cstheme="minorEastAsia"/>
          <w:color w:val="auto"/>
          <w:spacing w:val="0"/>
          <w:position w:val="0"/>
          <w:sz w:val="21"/>
          <w:szCs w:val="21"/>
          <w:highlight w:val="none"/>
          <w:lang w:val="en-US" w:eastAsia="zh-CN"/>
        </w:rPr>
        <w:t xml:space="preserve">3年</w:t>
      </w:r>
      <w:r>
        <w:rPr>
          <w:rFonts w:hint="eastAsia" w:asciiTheme="minorEastAsia" w:hAnsiTheme="minorEastAsia" w:eastAsiaTheme="minorEastAsia" w:cstheme="minorEastAsia"/>
          <w:color w:val="auto"/>
          <w:spacing w:val="0"/>
          <w:position w:val="0"/>
          <w:sz w:val="21"/>
          <w:szCs w:val="21"/>
          <w:highlight w:val="none"/>
        </w:rPr>
        <w:t xml:space="preserve">。</w:t>
      </w:r>
      <w:r/>
    </w:p>
    <w:p>
      <w:pPr>
        <w:ind w:right="0" w:firstLine="420"/>
        <w:keepLines w:val="0"/>
        <w:keepNext w:val="0"/>
        <w:pageBreakBefore w:val="0"/>
        <w:spacing w:line="360" w:lineRule="auto"/>
        <w:widowControl/>
        <w:rPr>
          <w:rFonts w:hint="eastAsia" w:asciiTheme="minorEastAsia" w:hAnsiTheme="minorEastAsia" w:eastAsiaTheme="minorEastAsia" w:cstheme="minorEastAsia"/>
          <w:color w:val="auto"/>
          <w:spacing w:val="0"/>
          <w:position w:val="0"/>
          <w:sz w:val="21"/>
          <w:szCs w:val="21"/>
          <w:highlight w:val="none"/>
        </w:rPr>
      </w:pPr>
      <w:r>
        <w:rPr>
          <w:rFonts w:hint="eastAsia" w:asciiTheme="minorEastAsia" w:hAnsiTheme="minorEastAsia" w:eastAsiaTheme="minorEastAsia" w:cstheme="minorEastAsia"/>
          <w:color w:val="auto"/>
          <w:spacing w:val="0"/>
          <w:position w:val="0"/>
          <w:sz w:val="21"/>
          <w:szCs w:val="21"/>
          <w:highlight w:val="none"/>
        </w:rPr>
        <w:t xml:space="preserve">本项目接受联合体投标，中标后禁止转包和分包。</w:t>
      </w:r>
      <w:r/>
    </w:p>
    <w:p>
      <w:pPr>
        <w:ind w:left="61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14:textOutline w14:w="4356" w14:cap="flat" w14:cmpd="sng" w14:algn="ctr">
            <w14:solidFill>
              <w14:srgbClr w14:val="000000"/>
            </w14:solidFill>
            <w14:prstDash w14:val="solid"/>
            <w14:miter/>
          </w14:textOutline>
        </w:rPr>
        <w:t xml:space="preserve">二</w:t>
      </w:r>
      <w:r>
        <w:rPr>
          <w:rFonts w:hint="eastAsia" w:asciiTheme="minorEastAsia" w:hAnsiTheme="minorEastAsia" w:eastAsiaTheme="minorEastAsia" w:cstheme="minorEastAsia"/>
          <w:color w:val="auto"/>
          <w:sz w:val="21"/>
          <w:szCs w:val="21"/>
          <w:highlight w:val="none"/>
          <w14:textOutline w14:w="4356" w14:cap="flat" w14:cmpd="sng" w14:algn="ctr">
            <w14:solidFill>
              <w14:srgbClr w14:val="000000"/>
            </w14:solidFill>
            <w14:prstDash w14:val="solid"/>
            <w14:miter/>
          </w14:textOutline>
        </w:rPr>
        <w:t xml:space="preserve">、申请人的资格要求</w:t>
      </w:r>
      <w:r/>
    </w:p>
    <w:p>
      <w:pPr>
        <w:ind w:firstLine="404"/>
        <w:spacing w:line="360" w:lineRule="auto"/>
        <w:rPr>
          <w:rFonts w:hint="eastAsia" w:asciiTheme="minorEastAsia" w:hAnsiTheme="minorEastAsia" w:eastAsiaTheme="minorEastAsia" w:cstheme="minorEastAsia"/>
          <w:color w:val="auto"/>
          <w:spacing w:val="-2"/>
          <w:position w:val="1"/>
          <w:sz w:val="21"/>
          <w:szCs w:val="21"/>
          <w:highlight w:val="none"/>
        </w:rPr>
      </w:pPr>
      <w:r>
        <w:rPr>
          <w:rFonts w:hint="eastAsia" w:asciiTheme="minorEastAsia" w:hAnsiTheme="minorEastAsia" w:eastAsiaTheme="minorEastAsia" w:cstheme="minorEastAsia"/>
          <w:color w:val="auto"/>
          <w:spacing w:val="-4"/>
          <w:position w:val="1"/>
          <w:sz w:val="21"/>
          <w:szCs w:val="21"/>
          <w:highlight w:val="none"/>
        </w:rPr>
        <w:t xml:space="preserve">1.满足《</w:t>
      </w:r>
      <w:r>
        <w:rPr>
          <w:rFonts w:hint="eastAsia" w:asciiTheme="minorEastAsia" w:hAnsiTheme="minorEastAsia" w:eastAsiaTheme="minorEastAsia" w:cstheme="minorEastAsia"/>
          <w:color w:val="auto"/>
          <w:spacing w:val="-2"/>
          <w:position w:val="1"/>
          <w:sz w:val="21"/>
          <w:szCs w:val="21"/>
          <w:highlight w:val="none"/>
        </w:rPr>
        <w:t xml:space="preserve">中华人民共和国政府采购法》第二十二条规定，并提供下列材料：</w:t>
      </w:r>
      <w:r/>
    </w:p>
    <w:p>
      <w:pPr>
        <w:ind w:firstLine="420"/>
        <w:spacing w:line="360" w:lineRule="auto"/>
        <w:rPr>
          <w:rFonts w:hint="eastAsia" w:asciiTheme="minorEastAsia" w:hAnsiTheme="minorEastAsia" w:eastAsiaTheme="minorEastAsia" w:cstheme="minorEastAsia"/>
          <w:i/>
          <w:iCs/>
          <w:color w:val="auto"/>
          <w:sz w:val="21"/>
          <w:szCs w:val="21"/>
          <w:highlight w:val="none"/>
          <w:u w:val="single"/>
        </w:rPr>
      </w:pPr>
      <w:r>
        <w:rPr>
          <w:rFonts w:hint="eastAsia" w:asciiTheme="minorEastAsia" w:hAnsiTheme="minorEastAsia" w:eastAsiaTheme="minorEastAsia" w:cstheme="minorEastAsia"/>
          <w:i/>
          <w:iCs/>
          <w:color w:val="auto"/>
          <w:sz w:val="21"/>
          <w:szCs w:val="21"/>
          <w:highlight w:val="none"/>
          <w:u w:val="single"/>
        </w:rPr>
        <w:t xml:space="preserve">1.1法人或者其他组织的营业执照等证明文件，自然人的身份证明；</w:t>
      </w:r>
      <w:r/>
    </w:p>
    <w:p>
      <w:pPr>
        <w:ind w:firstLine="420"/>
        <w:spacing w:line="360" w:lineRule="auto"/>
        <w:rPr>
          <w:rFonts w:hint="eastAsia" w:asciiTheme="minorEastAsia" w:hAnsiTheme="minorEastAsia" w:eastAsiaTheme="minorEastAsia" w:cstheme="minorEastAsia"/>
          <w:i/>
          <w:iCs/>
          <w:color w:val="auto"/>
          <w:sz w:val="21"/>
          <w:szCs w:val="21"/>
          <w:highlight w:val="none"/>
          <w:u w:val="single"/>
        </w:rPr>
      </w:pPr>
      <w:r>
        <w:rPr>
          <w:rFonts w:hint="eastAsia" w:asciiTheme="minorEastAsia" w:hAnsiTheme="minorEastAsia" w:eastAsiaTheme="minorEastAsia" w:cstheme="minorEastAsia"/>
          <w:i/>
          <w:iCs/>
          <w:color w:val="auto"/>
          <w:sz w:val="21"/>
          <w:szCs w:val="21"/>
          <w:highlight w:val="none"/>
          <w:u w:val="single"/>
        </w:rPr>
        <w:t xml:space="preserve">1.2 依法缴纳职工社会保障资金的证明材料(税务、银行或社会保险基金管理部门出具的近三个月内任意一个月缴纳职工社会保障资金的缴款凭证或缴款证明)（</w:t>
      </w:r>
      <w:r>
        <w:rPr>
          <w:rFonts w:hint="eastAsia" w:asciiTheme="minorEastAsia" w:hAnsiTheme="minorEastAsia" w:eastAsiaTheme="minorEastAsia" w:cstheme="minorEastAsia"/>
          <w:i/>
          <w:iCs/>
          <w:color w:val="auto"/>
          <w:sz w:val="21"/>
          <w:szCs w:val="21"/>
          <w:highlight w:val="none"/>
          <w:u w:val="single"/>
          <w:lang w:val="en-US" w:eastAsia="zh-CN"/>
        </w:rPr>
        <w:t xml:space="preserve">供应商</w:t>
      </w:r>
      <w:r>
        <w:rPr>
          <w:rFonts w:hint="eastAsia" w:asciiTheme="minorEastAsia" w:hAnsiTheme="minorEastAsia" w:eastAsiaTheme="minorEastAsia" w:cstheme="minorEastAsia"/>
          <w:i/>
          <w:iCs/>
          <w:color w:val="auto"/>
          <w:sz w:val="21"/>
          <w:szCs w:val="21"/>
          <w:highlight w:val="none"/>
          <w:u w:val="single"/>
        </w:rPr>
        <w:t xml:space="preserve">依法享受缓缴、免缴的提供证明材料）；</w:t>
      </w:r>
      <w:r/>
    </w:p>
    <w:p>
      <w:pPr>
        <w:ind w:firstLine="420"/>
        <w:spacing w:line="360" w:lineRule="auto"/>
        <w:rPr>
          <w:rFonts w:hint="eastAsia" w:asciiTheme="minorEastAsia" w:hAnsiTheme="minorEastAsia" w:eastAsiaTheme="minorEastAsia" w:cstheme="minorEastAsia"/>
          <w:i/>
          <w:iCs/>
          <w:color w:val="auto"/>
          <w:sz w:val="21"/>
          <w:szCs w:val="21"/>
          <w:highlight w:val="none"/>
          <w:u w:val="single"/>
        </w:rPr>
      </w:pPr>
      <w:r>
        <w:rPr>
          <w:rFonts w:hint="eastAsia" w:asciiTheme="minorEastAsia" w:hAnsiTheme="minorEastAsia" w:eastAsiaTheme="minorEastAsia" w:cstheme="minorEastAsia"/>
          <w:i/>
          <w:iCs/>
          <w:color w:val="auto"/>
          <w:sz w:val="21"/>
          <w:szCs w:val="21"/>
          <w:highlight w:val="none"/>
          <w:u w:val="single"/>
        </w:rPr>
        <w:t xml:space="preserve">1.3 </w:t>
      </w:r>
      <w:r>
        <w:rPr>
          <w:rFonts w:hint="eastAsia" w:asciiTheme="minorEastAsia" w:hAnsiTheme="minorEastAsia" w:eastAsiaTheme="minorEastAsia" w:cstheme="minorEastAsia"/>
          <w:i/>
          <w:iCs/>
          <w:color w:val="auto"/>
          <w:sz w:val="21"/>
          <w:szCs w:val="21"/>
          <w:highlight w:val="none"/>
          <w:u w:val="single"/>
          <w:lang w:eastAsia="zh-CN"/>
        </w:rPr>
        <w:t xml:space="preserve">供应商</w:t>
      </w:r>
      <w:r>
        <w:rPr>
          <w:rFonts w:hint="eastAsia" w:asciiTheme="minorEastAsia" w:hAnsiTheme="minorEastAsia" w:eastAsiaTheme="minorEastAsia" w:cstheme="minorEastAsia"/>
          <w:i/>
          <w:iCs/>
          <w:color w:val="auto"/>
          <w:sz w:val="21"/>
          <w:szCs w:val="21"/>
          <w:highlight w:val="none"/>
          <w:u w:val="single"/>
        </w:rPr>
        <w:t xml:space="preserve">近三个月内任意一份依法纳税的缴款凭证（</w:t>
      </w:r>
      <w:r>
        <w:rPr>
          <w:rFonts w:hint="eastAsia" w:asciiTheme="minorEastAsia" w:hAnsiTheme="minorEastAsia" w:eastAsiaTheme="minorEastAsia" w:cstheme="minorEastAsia"/>
          <w:i/>
          <w:iCs/>
          <w:color w:val="auto"/>
          <w:sz w:val="21"/>
          <w:szCs w:val="21"/>
          <w:highlight w:val="none"/>
          <w:u w:val="single"/>
          <w:lang w:val="en-US" w:eastAsia="zh-CN"/>
        </w:rPr>
        <w:t xml:space="preserve">供应商</w:t>
      </w:r>
      <w:r>
        <w:rPr>
          <w:rFonts w:hint="eastAsia" w:asciiTheme="minorEastAsia" w:hAnsiTheme="minorEastAsia" w:eastAsiaTheme="minorEastAsia" w:cstheme="minorEastAsia"/>
          <w:i/>
          <w:iCs/>
          <w:color w:val="auto"/>
          <w:sz w:val="21"/>
          <w:szCs w:val="21"/>
          <w:highlight w:val="none"/>
          <w:u w:val="single"/>
        </w:rPr>
        <w:t xml:space="preserve">依法享受缓缴、免缴的提供证明材料）；</w:t>
      </w:r>
      <w:r/>
    </w:p>
    <w:p>
      <w:pPr>
        <w:ind w:firstLine="420"/>
        <w:spacing w:line="360" w:lineRule="auto"/>
        <w:rPr>
          <w:rFonts w:hint="eastAsia" w:asciiTheme="minorEastAsia" w:hAnsiTheme="minorEastAsia" w:eastAsiaTheme="minorEastAsia" w:cstheme="minorEastAsia"/>
          <w:i/>
          <w:iCs/>
          <w:color w:val="auto"/>
          <w:sz w:val="21"/>
          <w:szCs w:val="21"/>
          <w:highlight w:val="none"/>
          <w:u w:val="single"/>
        </w:rPr>
      </w:pPr>
      <w:r>
        <w:rPr>
          <w:rFonts w:hint="eastAsia" w:asciiTheme="minorEastAsia" w:hAnsiTheme="minorEastAsia" w:eastAsiaTheme="minorEastAsia" w:cstheme="minorEastAsia"/>
          <w:i/>
          <w:iCs/>
          <w:color w:val="auto"/>
          <w:sz w:val="21"/>
          <w:szCs w:val="21"/>
          <w:highlight w:val="none"/>
          <w:u w:val="single"/>
        </w:rPr>
        <w:t xml:space="preserve">1.4 上一年度的财务报告情况</w:t>
      </w:r>
      <w:r>
        <w:rPr>
          <w:rFonts w:hint="eastAsia" w:asciiTheme="minorEastAsia" w:hAnsiTheme="minorEastAsia" w:eastAsiaTheme="minorEastAsia" w:cstheme="minorEastAsia"/>
          <w:b/>
          <w:bCs/>
          <w:i/>
          <w:iCs/>
          <w:color w:val="auto"/>
          <w:sz w:val="21"/>
          <w:szCs w:val="21"/>
          <w:highlight w:val="none"/>
          <w:u w:val="single"/>
        </w:rPr>
        <w:t xml:space="preserve">（成立不满一年不需提供）</w:t>
      </w:r>
      <w:r>
        <w:rPr>
          <w:rFonts w:hint="eastAsia" w:asciiTheme="minorEastAsia" w:hAnsiTheme="minorEastAsia" w:eastAsiaTheme="minorEastAsia" w:cstheme="minorEastAsia"/>
          <w:i/>
          <w:iCs/>
          <w:color w:val="auto"/>
          <w:sz w:val="21"/>
          <w:szCs w:val="21"/>
          <w:highlight w:val="none"/>
          <w:u w:val="single"/>
        </w:rPr>
        <w:t xml:space="preserve">；</w:t>
      </w:r>
      <w:r/>
    </w:p>
    <w:p>
      <w:pPr>
        <w:ind w:firstLine="420"/>
        <w:spacing w:line="360" w:lineRule="auto"/>
        <w:rPr>
          <w:rFonts w:hint="eastAsia" w:asciiTheme="minorEastAsia" w:hAnsiTheme="minorEastAsia" w:eastAsiaTheme="minorEastAsia" w:cstheme="minorEastAsia"/>
          <w:i/>
          <w:iCs/>
          <w:color w:val="auto"/>
          <w:sz w:val="21"/>
          <w:szCs w:val="21"/>
          <w:highlight w:val="none"/>
          <w:u w:val="single"/>
        </w:rPr>
      </w:pPr>
      <w:r>
        <w:rPr>
          <w:rFonts w:hint="eastAsia" w:asciiTheme="minorEastAsia" w:hAnsiTheme="minorEastAsia" w:eastAsiaTheme="minorEastAsia" w:cstheme="minorEastAsia"/>
          <w:i/>
          <w:iCs/>
          <w:color w:val="auto"/>
          <w:sz w:val="21"/>
          <w:szCs w:val="21"/>
          <w:highlight w:val="none"/>
          <w:u w:val="single"/>
        </w:rPr>
        <w:t xml:space="preserve">1.5 具备履行合同所必需的设备和专业技术能力的证明材料；</w:t>
      </w:r>
      <w:r/>
    </w:p>
    <w:p>
      <w:pPr>
        <w:ind w:firstLine="420"/>
        <w:spacing w:line="360" w:lineRule="auto"/>
        <w:rPr>
          <w:rFonts w:hint="eastAsia" w:asciiTheme="minorEastAsia" w:hAnsiTheme="minorEastAsia" w:eastAsiaTheme="minorEastAsia" w:cstheme="minorEastAsia"/>
          <w:i/>
          <w:iCs/>
          <w:color w:val="auto"/>
          <w:sz w:val="21"/>
          <w:szCs w:val="21"/>
          <w:highlight w:val="none"/>
          <w:u w:val="single"/>
        </w:rPr>
      </w:pPr>
      <w:r>
        <w:rPr>
          <w:rFonts w:hint="eastAsia" w:asciiTheme="minorEastAsia" w:hAnsiTheme="minorEastAsia" w:eastAsiaTheme="minorEastAsia" w:cstheme="minorEastAsia"/>
          <w:i/>
          <w:iCs/>
          <w:color w:val="auto"/>
          <w:sz w:val="21"/>
          <w:szCs w:val="21"/>
          <w:highlight w:val="none"/>
          <w:u w:val="single"/>
        </w:rPr>
        <w:t xml:space="preserve">1.6 参加本次政府采购活动前3年内在经营活动中没有重大违法记录的书面声明；</w:t>
      </w:r>
      <w:r/>
    </w:p>
    <w:p>
      <w:pPr>
        <w:ind w:firstLine="420"/>
        <w:spacing w:line="360" w:lineRule="auto"/>
        <w:rPr>
          <w:rFonts w:hint="eastAsia" w:asciiTheme="minorEastAsia" w:hAnsiTheme="minorEastAsia" w:eastAsiaTheme="minorEastAsia" w:cstheme="minorEastAsia"/>
          <w:i/>
          <w:iCs/>
          <w:color w:val="auto"/>
          <w:sz w:val="21"/>
          <w:szCs w:val="21"/>
          <w:highlight w:val="none"/>
          <w:u w:val="single"/>
        </w:rPr>
      </w:pPr>
      <w:r>
        <w:rPr>
          <w:rFonts w:hint="eastAsia" w:asciiTheme="minorEastAsia" w:hAnsiTheme="minorEastAsia" w:eastAsiaTheme="minorEastAsia" w:cstheme="minorEastAsia"/>
          <w:i/>
          <w:iCs/>
          <w:color w:val="auto"/>
          <w:sz w:val="21"/>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i/>
          <w:iCs/>
          <w:color w:val="auto"/>
          <w:sz w:val="21"/>
          <w:szCs w:val="21"/>
          <w:highlight w:val="none"/>
          <w:u w:val="single"/>
        </w:rPr>
        <w:t xml:space="preserve">1.8供应商信用承诺函。</w:t>
      </w:r>
      <w:r/>
    </w:p>
    <w:p>
      <w:pPr>
        <w:ind w:firstLine="384"/>
        <w:keepLines w:val="0"/>
        <w:keepNext w:val="0"/>
        <w:pageBreakBefore w:val="0"/>
        <w:spacing w:line="360" w:lineRule="auto"/>
        <w:widowControl/>
        <w:rPr>
          <w:rFonts w:hint="default" w:asciiTheme="minorEastAsia" w:hAnsiTheme="minorEastAsia" w:eastAsiaTheme="minorEastAsia" w:cstheme="minorEastAsia"/>
          <w:color w:val="auto"/>
          <w:spacing w:val="-5"/>
          <w:sz w:val="21"/>
          <w:szCs w:val="21"/>
          <w:highlight w:val="none"/>
          <w:lang w:val="en-US" w:eastAsia="zh-CN"/>
        </w:rPr>
      </w:pPr>
      <w:r>
        <w:rPr>
          <w:rFonts w:hint="eastAsia" w:asciiTheme="minorEastAsia" w:hAnsiTheme="minorEastAsia" w:eastAsiaTheme="minorEastAsia" w:cstheme="minorEastAsia"/>
          <w:color w:val="auto"/>
          <w:spacing w:val="-9"/>
          <w:sz w:val="21"/>
          <w:szCs w:val="21"/>
          <w:highlight w:val="none"/>
        </w:rPr>
        <w:t xml:space="preserve">2</w:t>
      </w:r>
      <w:r>
        <w:rPr>
          <w:rFonts w:hint="eastAsia" w:asciiTheme="minorEastAsia" w:hAnsiTheme="minorEastAsia" w:eastAsiaTheme="minorEastAsia" w:cstheme="minorEastAsia"/>
          <w:color w:val="auto"/>
          <w:spacing w:val="-5"/>
          <w:sz w:val="21"/>
          <w:szCs w:val="21"/>
          <w:highlight w:val="none"/>
        </w:rPr>
        <w:t xml:space="preserve">.落实政府采购政策需满足的资格要求；</w:t>
      </w:r>
      <w:r>
        <w:rPr>
          <w:rFonts w:hint="eastAsia" w:asciiTheme="minorEastAsia" w:hAnsiTheme="minorEastAsia" w:eastAsiaTheme="minorEastAsia" w:cstheme="minorEastAsia"/>
          <w:color w:val="auto"/>
          <w:spacing w:val="-5"/>
          <w:sz w:val="21"/>
          <w:szCs w:val="21"/>
          <w:highlight w:val="none"/>
          <w:lang w:val="en-US" w:eastAsia="zh-CN"/>
        </w:rPr>
        <w:t xml:space="preserve">本项目不专门面向中小企业。</w:t>
      </w:r>
      <w:r/>
    </w:p>
    <w:p>
      <w:pPr>
        <w:ind w:firstLine="400"/>
        <w:keepLines w:val="0"/>
        <w:keepNext w:val="0"/>
        <w:pageBreakBefore w:val="0"/>
        <w:spacing w:line="360" w:lineRule="auto"/>
        <w:widowControl/>
        <w:rPr>
          <w:rFonts w:hint="default" w:asciiTheme="minorEastAsia" w:hAnsiTheme="minorEastAsia" w:eastAsiaTheme="minorEastAsia" w:cstheme="minorEastAsia"/>
          <w:color w:val="auto"/>
          <w:spacing w:val="-5"/>
          <w:sz w:val="21"/>
          <w:szCs w:val="21"/>
          <w:highlight w:val="none"/>
          <w:lang w:val="en-US" w:eastAsia="zh-CN"/>
        </w:rPr>
      </w:pPr>
      <w:r>
        <w:rPr>
          <w:rFonts w:hint="eastAsia" w:asciiTheme="minorEastAsia" w:hAnsiTheme="minorEastAsia" w:eastAsiaTheme="minorEastAsia" w:cstheme="minorEastAsia"/>
          <w:color w:val="auto"/>
          <w:spacing w:val="-5"/>
          <w:sz w:val="21"/>
          <w:szCs w:val="21"/>
          <w:highlight w:val="none"/>
        </w:rPr>
        <w:t xml:space="preserve">3.本项目的特定资格要求：</w:t>
      </w:r>
      <w:r>
        <w:rPr>
          <w:rFonts w:hint="eastAsia" w:asciiTheme="minorEastAsia" w:hAnsiTheme="minorEastAsia" w:eastAsiaTheme="minorEastAsia" w:cstheme="minorEastAsia"/>
          <w:color w:val="auto"/>
          <w:spacing w:val="-5"/>
          <w:sz w:val="21"/>
          <w:szCs w:val="21"/>
          <w:highlight w:val="none"/>
          <w:lang w:val="en-US" w:eastAsia="zh-CN"/>
        </w:rPr>
        <w:t xml:space="preserve">无。</w:t>
      </w:r>
      <w:r/>
    </w:p>
    <w:p>
      <w:pPr>
        <w:ind w:firstLine="424"/>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14:textOutline w14:w="4356" w14:cap="flat" w14:cmpd="sng" w14:algn="ctr">
            <w14:solidFill>
              <w14:srgbClr w14:val="000000"/>
            </w14:solidFill>
            <w14:prstDash w14:val="solid"/>
            <w14:miter/>
          </w14:textOutline>
        </w:rPr>
        <w:t xml:space="preserve">三</w:t>
      </w:r>
      <w:r>
        <w:rPr>
          <w:rFonts w:hint="eastAsia" w:asciiTheme="minorEastAsia" w:hAnsiTheme="minorEastAsia" w:eastAsiaTheme="minorEastAsia" w:cstheme="minorEastAsia"/>
          <w:color w:val="auto"/>
          <w:sz w:val="21"/>
          <w:szCs w:val="21"/>
          <w:highlight w:val="none"/>
          <w14:textOutline w14:w="4356" w14:cap="flat" w14:cmpd="sng" w14:algn="ctr">
            <w14:solidFill>
              <w14:srgbClr w14:val="000000"/>
            </w14:solidFill>
            <w14:prstDash w14:val="solid"/>
            <w14:miter/>
          </w14:textOutline>
        </w:rPr>
        <w:t xml:space="preserve">、获取采购文件</w:t>
      </w:r>
      <w:r/>
    </w:p>
    <w:p>
      <w:pPr>
        <w:ind w:firstLine="54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1.时间：自</w:t>
      </w:r>
      <w:r>
        <w:rPr>
          <w:rFonts w:hint="eastAsia" w:asciiTheme="minorEastAsia" w:hAnsiTheme="minorEastAsia" w:eastAsiaTheme="minorEastAsia" w:cstheme="minorEastAsia"/>
          <w:color w:val="auto"/>
          <w:sz w:val="21"/>
          <w:szCs w:val="21"/>
          <w:highlight w:val="none"/>
          <w:lang w:val="en-US" w:eastAsia="zh-CN"/>
        </w:rPr>
        <w:t xml:space="preserve">磋商</w:t>
      </w:r>
      <w:r>
        <w:rPr>
          <w:rFonts w:hint="eastAsia" w:asciiTheme="minorEastAsia" w:hAnsiTheme="minorEastAsia" w:eastAsiaTheme="minorEastAsia" w:cstheme="minorEastAsia"/>
          <w:color w:val="auto"/>
          <w:sz w:val="21"/>
          <w:szCs w:val="21"/>
          <w:highlight w:val="none"/>
        </w:rPr>
        <w:t xml:space="preserve">公告发布之日起</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个工作日。</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个工作日后仍可在网站查阅采购文件，但不作为供应商权益受到损害的证明材料和依据。</w:t>
      </w:r>
      <w:r/>
    </w:p>
    <w:p>
      <w:pPr>
        <w:ind w:firstLine="54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2.获取方式：本项目采用网上注册登记方式。</w:t>
      </w:r>
      <w:r/>
    </w:p>
    <w:p>
      <w:pPr>
        <w:ind w:firstLine="540"/>
        <w:spacing w:line="360" w:lineRule="auto"/>
        <w:rPr>
          <w:rFonts w:hint="eastAsia" w:asciiTheme="minorEastAsia" w:hAnsiTheme="minorEastAsia" w:eastAsiaTheme="minorEastAsia" w:cstheme="minorEastAsia"/>
          <w:b/>
          <w:bCs/>
          <w:color w:val="auto"/>
          <w:sz w:val="21"/>
          <w:szCs w:val="21"/>
          <w:highlight w:val="none"/>
        </w:rPr>
      </w:pPr>
      <w:r/>
      <w:bookmarkStart w:id="1" w:name="_Toc109304966"/>
      <w:r>
        <w:rPr>
          <w:rFonts w:hint="eastAsia" w:asciiTheme="minorEastAsia" w:hAnsiTheme="minorEastAsia" w:eastAsiaTheme="minorEastAsia" w:cstheme="minorEastAsia"/>
          <w:b/>
          <w:bCs/>
          <w:color w:val="auto"/>
          <w:sz w:val="21"/>
          <w:szCs w:val="21"/>
          <w:highlight w:val="none"/>
        </w:rPr>
        <w:t xml:space="preserve">3.潜在供应商访问政府采购管理交易系统（苏采云）的网络地址和方法：</w:t>
      </w:r>
      <w:r/>
    </w:p>
    <w:p>
      <w:pPr>
        <w:ind w:firstLine="54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（3）“CA数字证书”的办理材料以及供应商操作手册详见：</w:t>
      </w:r>
      <w:r/>
    </w:p>
    <w:p>
      <w:pPr>
        <w:ind w:firstLine="54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http://zfcg.yangzhou.gov.cn/zfcg/xzzx/202309/4d7de1f7865f4a2894fc22bc452f94d8.shtml。</w:t>
      </w:r>
      <w:r/>
    </w:p>
    <w:p>
      <w:pPr>
        <w:ind w:firstLine="54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（4）潜在供应商访问“苏采云”系统的网络地址和方法：“苏采云”系统的网址：http://jszfcg.jsczt.cn/。</w:t>
      </w:r>
      <w:r/>
    </w:p>
    <w:p>
      <w:pPr>
        <w:ind w:firstLine="54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（6）招标代理机构（采购代理机构）将数据电文形式的采购文件加载至“苏采云”系统，供潜在供应商下载或者查阅。</w:t>
      </w:r>
      <w:r/>
    </w:p>
    <w:p>
      <w:pPr>
        <w:ind w:firstLine="54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（7）苏采云系统使用谷歌浏览器参与不见面开标。</w:t>
      </w:r>
      <w:r/>
    </w:p>
    <w:p>
      <w:p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四、响应文件提交</w:t>
      </w:r>
      <w:bookmarkEnd w:id="1"/>
      <w:r/>
      <w:r/>
    </w:p>
    <w:p>
      <w:pPr>
        <w:ind w:firstLine="420"/>
        <w:spacing w:line="360" w:lineRule="auto"/>
        <w:rPr>
          <w:rFonts w:hint="eastAsia" w:asciiTheme="minorEastAsia" w:hAnsiTheme="minorEastAsia" w:eastAsiaTheme="minorEastAsia" w:cstheme="minorEastAsia"/>
          <w:bCs/>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1.截止时间：</w:t>
      </w:r>
      <w:r>
        <w:rPr>
          <w:rFonts w:hint="eastAsia" w:asciiTheme="minorEastAsia" w:hAnsiTheme="minorEastAsia" w:eastAsiaTheme="minorEastAsia" w:cstheme="minorEastAsia"/>
          <w:bCs/>
          <w:color w:val="auto"/>
          <w:sz w:val="21"/>
          <w:szCs w:val="21"/>
          <w:highlight w:val="none"/>
          <w:u w:val="single"/>
          <w:lang w:val="en-US" w:eastAsia="zh-CN"/>
        </w:rPr>
        <w:t xml:space="preserve">2026年8月21日09</w:t>
      </w:r>
      <w:r>
        <w:rPr>
          <w:rFonts w:hint="eastAsia" w:asciiTheme="minorEastAsia" w:hAnsiTheme="minorEastAsia" w:eastAsiaTheme="minorEastAsia" w:cstheme="minorEastAsia"/>
          <w:bCs/>
          <w:color w:val="auto"/>
          <w:sz w:val="21"/>
          <w:szCs w:val="21"/>
          <w:highlight w:val="none"/>
          <w:u w:val="single"/>
          <w:lang w:eastAsia="zh-CN"/>
        </w:rPr>
        <w:t xml:space="preserve">点</w:t>
      </w:r>
      <w:r>
        <w:rPr>
          <w:rFonts w:hint="eastAsia" w:asciiTheme="minorEastAsia" w:hAnsiTheme="minorEastAsia" w:eastAsiaTheme="minorEastAsia" w:cstheme="minorEastAsia"/>
          <w:bCs/>
          <w:color w:val="auto"/>
          <w:sz w:val="21"/>
          <w:szCs w:val="21"/>
          <w:highlight w:val="none"/>
          <w:u w:val="single"/>
          <w:lang w:val="en-US" w:eastAsia="zh-CN"/>
        </w:rPr>
        <w:t xml:space="preserve">3</w:t>
      </w:r>
      <w:r>
        <w:rPr>
          <w:rFonts w:hint="eastAsia" w:asciiTheme="minorEastAsia" w:hAnsiTheme="minorEastAsia" w:eastAsiaTheme="minorEastAsia" w:cstheme="minorEastAsia"/>
          <w:bCs/>
          <w:color w:val="auto"/>
          <w:sz w:val="21"/>
          <w:szCs w:val="21"/>
          <w:highlight w:val="none"/>
          <w:u w:val="single"/>
          <w:lang w:eastAsia="zh-CN"/>
        </w:rPr>
        <w:t xml:space="preserve">0分</w:t>
      </w:r>
      <w:r>
        <w:rPr>
          <w:rFonts w:hint="eastAsia" w:asciiTheme="minorEastAsia" w:hAnsiTheme="minorEastAsia" w:eastAsiaTheme="minorEastAsia" w:cstheme="minorEastAsia"/>
          <w:bCs/>
          <w:color w:val="auto"/>
          <w:sz w:val="21"/>
          <w:szCs w:val="21"/>
          <w:highlight w:val="none"/>
        </w:rPr>
        <w:t xml:space="preserve">（北京时间）</w:t>
      </w:r>
      <w:r/>
    </w:p>
    <w:p>
      <w:pPr>
        <w:ind w:firstLine="422"/>
        <w:spacing w:line="360" w:lineRule="auto"/>
        <w:rPr>
          <w:rFonts w:hint="eastAsia" w:asciiTheme="minorEastAsia" w:hAnsiTheme="minorEastAsia" w:eastAsiaTheme="minorEastAsia" w:cstheme="minorEastAsia"/>
          <w:bCs/>
          <w:color w:val="auto"/>
          <w:sz w:val="21"/>
          <w:szCs w:val="21"/>
          <w:highlight w:val="none"/>
          <w:u w:val="single"/>
        </w:rPr>
      </w:pPr>
      <w:r/>
      <w:bookmarkStart w:id="2" w:name="_Toc109304967"/>
      <w:r>
        <w:rPr>
          <w:rFonts w:hint="eastAsia" w:asciiTheme="minorEastAsia" w:hAnsiTheme="minorEastAsia" w:eastAsiaTheme="minorEastAsia" w:cstheme="minorEastAsia"/>
          <w:b/>
          <w:bCs/>
          <w:color w:val="auto"/>
          <w:sz w:val="21"/>
          <w:szCs w:val="21"/>
          <w:highlight w:val="none"/>
        </w:rPr>
        <w:t xml:space="preserve">2.投标地点：“苏采云”系统（网址：http://jszfcg.jsczt.cn/）“报名详情”</w:t>
      </w:r>
      <w:r/>
    </w:p>
    <w:p>
      <w:p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五、开启</w:t>
      </w:r>
      <w:bookmarkEnd w:id="2"/>
      <w:r/>
      <w:r/>
    </w:p>
    <w:p>
      <w:pPr>
        <w:pStyle w:val="982"/>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1.时间：</w:t>
      </w:r>
      <w:r>
        <w:rPr>
          <w:rFonts w:hint="eastAsia" w:asciiTheme="minorEastAsia" w:hAnsiTheme="minorEastAsia" w:eastAsiaTheme="minorEastAsia" w:cstheme="minorEastAsia"/>
          <w:bCs/>
          <w:color w:val="auto"/>
          <w:sz w:val="21"/>
          <w:szCs w:val="21"/>
          <w:highlight w:val="none"/>
          <w:u w:val="single"/>
          <w:lang w:val="en-US" w:eastAsia="zh-CN"/>
        </w:rPr>
        <w:t xml:space="preserve">2026年</w:t>
      </w:r>
      <w:bookmarkStart w:id="35" w:name="_GoBack"/>
      <w:r>
        <w:rPr>
          <w:rFonts w:hint="eastAsia" w:asciiTheme="minorEastAsia" w:hAnsiTheme="minorEastAsia" w:eastAsiaTheme="minorEastAsia" w:cstheme="minorEastAsia"/>
          <w:bCs/>
          <w:color w:val="auto"/>
          <w:sz w:val="21"/>
          <w:szCs w:val="21"/>
          <w:highlight w:val="none"/>
          <w:u w:val="single"/>
          <w:lang w:val="en-US" w:eastAsia="zh-CN"/>
        </w:rPr>
        <w:t xml:space="preserve">8月</w:t>
      </w:r>
      <w:bookmarkEnd w:id="35"/>
      <w:r>
        <w:rPr>
          <w:rFonts w:hint="eastAsia" w:asciiTheme="minorEastAsia" w:hAnsiTheme="minorEastAsia" w:eastAsiaTheme="minorEastAsia" w:cstheme="minorEastAsia"/>
          <w:bCs/>
          <w:color w:val="auto"/>
          <w:sz w:val="21"/>
          <w:szCs w:val="21"/>
          <w:highlight w:val="none"/>
          <w:u w:val="single"/>
          <w:lang w:val="en-US" w:eastAsia="zh-CN"/>
        </w:rPr>
        <w:t xml:space="preserve">21日09</w:t>
      </w:r>
      <w:r>
        <w:rPr>
          <w:rFonts w:hint="eastAsia" w:asciiTheme="minorEastAsia" w:hAnsiTheme="minorEastAsia" w:eastAsiaTheme="minorEastAsia" w:cstheme="minorEastAsia"/>
          <w:bCs/>
          <w:color w:val="auto"/>
          <w:sz w:val="21"/>
          <w:szCs w:val="21"/>
          <w:highlight w:val="none"/>
          <w:u w:val="single"/>
          <w:lang w:eastAsia="zh-CN"/>
        </w:rPr>
        <w:t xml:space="preserve">点</w:t>
      </w:r>
      <w:r>
        <w:rPr>
          <w:rFonts w:hint="eastAsia" w:asciiTheme="minorEastAsia" w:hAnsiTheme="minorEastAsia" w:eastAsiaTheme="minorEastAsia" w:cstheme="minorEastAsia"/>
          <w:bCs/>
          <w:color w:val="auto"/>
          <w:sz w:val="21"/>
          <w:szCs w:val="21"/>
          <w:highlight w:val="none"/>
          <w:u w:val="single"/>
          <w:lang w:val="en-US" w:eastAsia="zh-CN"/>
        </w:rPr>
        <w:t xml:space="preserve">3</w:t>
      </w:r>
      <w:r>
        <w:rPr>
          <w:rFonts w:hint="eastAsia" w:asciiTheme="minorEastAsia" w:hAnsiTheme="minorEastAsia" w:eastAsiaTheme="minorEastAsia" w:cstheme="minorEastAsia"/>
          <w:bCs/>
          <w:color w:val="auto"/>
          <w:sz w:val="21"/>
          <w:szCs w:val="21"/>
          <w:highlight w:val="none"/>
          <w:u w:val="single"/>
          <w:lang w:eastAsia="zh-CN"/>
        </w:rPr>
        <w:t xml:space="preserve">0分</w:t>
      </w:r>
      <w:r>
        <w:rPr>
          <w:rFonts w:hint="eastAsia" w:asciiTheme="minorEastAsia" w:hAnsiTheme="minorEastAsia" w:eastAsiaTheme="minorEastAsia" w:cstheme="minorEastAsia"/>
          <w:bCs/>
          <w:color w:val="auto"/>
          <w:sz w:val="21"/>
          <w:szCs w:val="21"/>
          <w:highlight w:val="none"/>
        </w:rPr>
        <w:t xml:space="preserve">（北京时间）</w:t>
      </w:r>
      <w:r/>
    </w:p>
    <w:p>
      <w:pPr>
        <w:ind w:firstLine="422"/>
        <w:spacing w:line="360" w:lineRule="auto"/>
        <w:rPr>
          <w:rFonts w:hint="eastAsia" w:asciiTheme="minorEastAsia" w:hAnsiTheme="minorEastAsia" w:eastAsiaTheme="minorEastAsia" w:cstheme="minorEastAsia"/>
          <w:b/>
          <w:color w:val="auto"/>
          <w:sz w:val="21"/>
          <w:szCs w:val="21"/>
          <w:highlight w:val="none"/>
        </w:rPr>
      </w:pPr>
      <w:r/>
      <w:bookmarkStart w:id="3" w:name="_Toc109304968"/>
      <w:r>
        <w:rPr>
          <w:rFonts w:hint="eastAsia" w:asciiTheme="minorEastAsia" w:hAnsiTheme="minorEastAsia" w:eastAsiaTheme="minorEastAsia" w:cstheme="minorEastAsia"/>
          <w:b/>
          <w:color w:val="auto"/>
          <w:sz w:val="21"/>
          <w:szCs w:val="21"/>
          <w:highlight w:val="none"/>
        </w:rPr>
        <w:t xml:space="preserve">2.开标地点：“苏采云”系统（网址：http://jszfcg.jsczt.cn/）“开标大厅”</w:t>
      </w:r>
      <w:r/>
    </w:p>
    <w:p>
      <w:p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六、公告期限</w:t>
      </w:r>
      <w:bookmarkEnd w:id="3"/>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自本公告发布之日起</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rPr>
        <w:t xml:space="preserve">个工作日。</w:t>
      </w:r>
      <w:r/>
    </w:p>
    <w:p>
      <w:pPr>
        <w:spacing w:line="360" w:lineRule="auto"/>
        <w:rPr>
          <w:rFonts w:hint="eastAsia" w:asciiTheme="minorEastAsia" w:hAnsiTheme="minorEastAsia" w:eastAsiaTheme="minorEastAsia" w:cstheme="minorEastAsia"/>
          <w:b/>
          <w:color w:val="auto"/>
          <w:sz w:val="21"/>
          <w:szCs w:val="21"/>
          <w:highlight w:val="none"/>
        </w:rPr>
      </w:pPr>
      <w:r/>
      <w:bookmarkStart w:id="4" w:name="_Toc109304969"/>
      <w:r>
        <w:rPr>
          <w:rFonts w:hint="eastAsia" w:asciiTheme="minorEastAsia" w:hAnsiTheme="minorEastAsia" w:eastAsiaTheme="minorEastAsia" w:cstheme="minorEastAsia"/>
          <w:b/>
          <w:color w:val="auto"/>
          <w:sz w:val="21"/>
          <w:szCs w:val="21"/>
          <w:highlight w:val="none"/>
        </w:rPr>
        <w:t xml:space="preserve">七、其他补充事宜</w:t>
      </w:r>
      <w:bookmarkEnd w:id="4"/>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1.有关本次招标的事项若存在变动或修改，敬请及时关注“扬州市政府采购网”、“江苏省政府采购网”发布的信息或更正公告。</w:t>
      </w:r>
      <w:r/>
    </w:p>
    <w:p>
      <w:pPr>
        <w:ind w:left="487"/>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14:textOutline w14:w="4356" w14:cap="flat" w14:cmpd="sng" w14:algn="ctr">
            <w14:solidFill>
              <w14:srgbClr w14:val="000000"/>
            </w14:solidFill>
            <w14:prstDash w14:val="solid"/>
            <w14:miter/>
          </w14:textOutline>
        </w:rPr>
        <w:t xml:space="preserve">八</w:t>
      </w:r>
      <w:r>
        <w:rPr>
          <w:rFonts w:hint="eastAsia" w:asciiTheme="minorEastAsia" w:hAnsiTheme="minorEastAsia" w:eastAsiaTheme="minorEastAsia" w:cstheme="minorEastAsia"/>
          <w:color w:val="auto"/>
          <w:spacing w:val="-5"/>
          <w:sz w:val="21"/>
          <w:szCs w:val="21"/>
          <w:highlight w:val="none"/>
          <w14:textOutline w14:w="4356" w14:cap="flat" w14:cmpd="sng" w14:algn="ctr">
            <w14:solidFill>
              <w14:srgbClr w14:val="000000"/>
            </w14:solidFill>
            <w14:prstDash w14:val="solid"/>
            <w14:miter/>
          </w14:textOutline>
        </w:rPr>
        <w:t xml:space="preserve">、凡对本次采购提出询问，</w:t>
      </w:r>
      <w:r>
        <w:rPr>
          <w:rFonts w:hint="eastAsia" w:asciiTheme="minorEastAsia" w:hAnsiTheme="minorEastAsia" w:eastAsiaTheme="minorEastAsia" w:cstheme="minorEastAsia"/>
          <w:color w:val="auto"/>
          <w:spacing w:val="-5"/>
          <w:sz w:val="21"/>
          <w:szCs w:val="21"/>
          <w:highlight w:val="none"/>
        </w:rPr>
        <w:t xml:space="preserve"> </w:t>
      </w:r>
      <w:r>
        <w:rPr>
          <w:rFonts w:hint="eastAsia" w:asciiTheme="minorEastAsia" w:hAnsiTheme="minorEastAsia" w:eastAsiaTheme="minorEastAsia" w:cstheme="minorEastAsia"/>
          <w:color w:val="auto"/>
          <w:spacing w:val="-5"/>
          <w:sz w:val="21"/>
          <w:szCs w:val="21"/>
          <w:highlight w:val="none"/>
          <w14:textOutline w14:w="4356" w14:cap="flat" w14:cmpd="sng" w14:algn="ctr">
            <w14:solidFill>
              <w14:srgbClr w14:val="000000"/>
            </w14:solidFill>
            <w14:prstDash w14:val="solid"/>
            <w14:miter/>
          </w14:textOutline>
        </w:rPr>
        <w:t xml:space="preserve">请按以下方式联系</w:t>
      </w:r>
      <w:r/>
    </w:p>
    <w:p>
      <w:pPr>
        <w:ind w:left="494"/>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1.采购人信息</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名    称： </w:t>
      </w:r>
      <w:r>
        <w:rPr>
          <w:rFonts w:hint="eastAsia" w:asciiTheme="minorEastAsia" w:hAnsiTheme="minorEastAsia" w:eastAsiaTheme="minorEastAsia" w:cstheme="minorEastAsia"/>
          <w:color w:val="auto"/>
          <w:sz w:val="21"/>
          <w:szCs w:val="21"/>
          <w:highlight w:val="none"/>
          <w:u w:val="single"/>
          <w:lang w:eastAsia="zh-CN"/>
        </w:rPr>
        <w:t xml:space="preserve">江苏省高邮经济开发区管理委员会</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址： </w:t>
      </w:r>
      <w:r>
        <w:rPr>
          <w:rFonts w:hint="eastAsia" w:asciiTheme="minorEastAsia" w:hAnsiTheme="minorEastAsia" w:eastAsiaTheme="minorEastAsia" w:cstheme="minorEastAsia"/>
          <w:color w:val="auto"/>
          <w:sz w:val="21"/>
          <w:szCs w:val="21"/>
          <w:highlight w:val="none"/>
          <w:u w:val="single"/>
        </w:rPr>
        <w:t xml:space="preserve">高邮经济开发区  </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联</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系</w:t>
      </w:r>
      <w:r>
        <w:rPr>
          <w:rFonts w:hint="eastAsia" w:asciiTheme="minorEastAsia" w:hAnsiTheme="minorEastAsia" w:eastAsiaTheme="minorEastAsia" w:cstheme="minorEastAsia"/>
          <w:color w:val="auto"/>
          <w:sz w:val="21"/>
          <w:szCs w:val="21"/>
          <w:highlight w:val="none"/>
          <w:lang w:val="en-US" w:eastAsia="zh-CN"/>
        </w:rPr>
        <w:t xml:space="preserve"> 人</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张先生</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u w:val="none"/>
          <w:lang w:val="en-US" w:eastAsia="zh-CN"/>
        </w:rPr>
        <w:t xml:space="preserve">联系方式：</w:t>
      </w:r>
      <w:r>
        <w:rPr>
          <w:rFonts w:hint="eastAsia" w:asciiTheme="minorEastAsia" w:hAnsiTheme="minorEastAsia" w:eastAsiaTheme="minorEastAsia" w:cstheme="minorEastAsia"/>
          <w:color w:val="auto"/>
          <w:sz w:val="21"/>
          <w:szCs w:val="21"/>
          <w:highlight w:val="none"/>
          <w:u w:val="single"/>
          <w:lang w:val="en-US" w:eastAsia="zh-CN"/>
        </w:rPr>
        <w:t xml:space="preserve"> 0514-84639709 </w:t>
      </w:r>
      <w:r/>
    </w:p>
    <w:p>
      <w:pPr>
        <w:ind w:left="48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2.采购代理机构信息</w:t>
      </w:r>
      <w:r/>
    </w:p>
    <w:p>
      <w:pPr>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rPr>
        <w:t xml:space="preserve">名    称：</w:t>
      </w:r>
      <w:r>
        <w:rPr>
          <w:rFonts w:hint="eastAsia" w:asciiTheme="minorEastAsia" w:hAnsiTheme="minorEastAsia" w:eastAsiaTheme="minorEastAsia" w:cstheme="minorEastAsia"/>
          <w:color w:val="auto"/>
          <w:sz w:val="21"/>
          <w:szCs w:val="21"/>
          <w:highlight w:val="none"/>
          <w:u w:val="single"/>
          <w:lang w:eastAsia="zh-CN"/>
        </w:rPr>
        <w:t xml:space="preserve">江苏润鑫项目管理有限公司</w:t>
      </w:r>
      <w:r/>
    </w:p>
    <w:p>
      <w:pPr>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地    址：</w:t>
      </w:r>
      <w:r>
        <w:rPr>
          <w:rFonts w:hint="eastAsia" w:asciiTheme="minorEastAsia" w:hAnsiTheme="minorEastAsia" w:eastAsiaTheme="minorEastAsia" w:cstheme="minorEastAsia"/>
          <w:color w:val="auto"/>
          <w:sz w:val="21"/>
          <w:szCs w:val="21"/>
          <w:highlight w:val="none"/>
          <w:u w:val="single"/>
        </w:rPr>
        <w:t xml:space="preserve">高邮市中心大道20号润扬大厦6楼  </w:t>
      </w:r>
      <w:r/>
    </w:p>
    <w:p>
      <w:pPr>
        <w:pStyle w:val="991"/>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联 系 人：</w:t>
      </w:r>
      <w:r>
        <w:rPr>
          <w:rFonts w:hint="eastAsia" w:asciiTheme="minorEastAsia" w:hAnsiTheme="minorEastAsia" w:eastAsiaTheme="minorEastAsia" w:cstheme="minorEastAsia"/>
          <w:color w:val="auto"/>
          <w:sz w:val="21"/>
          <w:szCs w:val="21"/>
          <w:highlight w:val="none"/>
          <w:u w:val="single"/>
        </w:rPr>
        <w:t xml:space="preserve">郑工  </w:t>
      </w:r>
      <w:r/>
    </w:p>
    <w:p>
      <w:pPr>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u w:val="single"/>
        </w:rPr>
        <w:t xml:space="preserve"> 18101450996  </w:t>
      </w:r>
      <w:bookmarkStart w:id="5" w:name="_bookmark2"/>
      <w:r/>
      <w:bookmarkEnd w:id="5"/>
      <w:r/>
      <w:r/>
    </w:p>
    <w:p>
      <w:pPr>
        <w:pStyle w:val="98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九、</w:t>
      </w:r>
      <w:r>
        <w:rPr>
          <w:rFonts w:hint="eastAsia" w:asciiTheme="minorEastAsia" w:hAnsiTheme="minorEastAsia" w:eastAsiaTheme="minorEastAsia" w:cstheme="minorEastAsia"/>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rPr>
          <w:rFonts w:hint="eastAsia" w:asciiTheme="minorEastAsia" w:hAnsiTheme="minorEastAsia" w:eastAsiaTheme="minorEastAsia" w:cstheme="minorEastAsia"/>
          <w:color w:val="auto"/>
          <w:sz w:val="21"/>
          <w:szCs w:val="21"/>
          <w:highlight w:val="none"/>
        </w:rPr>
      </w:pPr>
      <w:r/>
      <w:bookmarkStart w:id="6" w:name="_Toc109304971"/>
      <w:r>
        <w:rPr>
          <w:rFonts w:hint="eastAsia" w:asciiTheme="minorEastAsia" w:hAnsiTheme="minorEastAsia" w:eastAsiaTheme="minorEastAsia" w:cstheme="minorEastAsia"/>
          <w:color w:val="auto"/>
          <w:sz w:val="21"/>
          <w:szCs w:val="21"/>
          <w:highlight w:val="none"/>
        </w:rPr>
        <w:t xml:space="preserve">十、其他</w:t>
      </w:r>
      <w:bookmarkEnd w:id="6"/>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2.供应商如确定参加</w:t>
      </w:r>
      <w:r>
        <w:rPr>
          <w:rFonts w:hint="eastAsia" w:asciiTheme="minorEastAsia" w:hAnsiTheme="minorEastAsia" w:eastAsiaTheme="minorEastAsia" w:cstheme="minorEastAsia"/>
          <w:b/>
          <w:bCs/>
          <w:color w:val="auto"/>
          <w:sz w:val="21"/>
          <w:szCs w:val="21"/>
          <w:highlight w:val="none"/>
          <w:lang w:val="en-US" w:eastAsia="zh-CN"/>
        </w:rPr>
        <w:t xml:space="preserve">磋商</w:t>
      </w:r>
      <w:r>
        <w:rPr>
          <w:rFonts w:hint="eastAsia" w:asciiTheme="minorEastAsia" w:hAnsiTheme="minorEastAsia" w:eastAsiaTheme="minorEastAsia" w:cstheme="minorEastAsia"/>
          <w:b/>
          <w:bCs/>
          <w:color w:val="auto"/>
          <w:sz w:val="21"/>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r/>
    </w:p>
    <w:p>
      <w:pPr>
        <w:ind w:firstLine="422"/>
        <w:jc w:val="left"/>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4.潜在供应商对采购文件项目需求部分的询问、质疑请向采购人提出，由采购人负责答复。</w:t>
      </w:r>
      <w:r/>
    </w:p>
    <w:p>
      <w:pPr>
        <w:ind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rPr>
        <w:t xml:space="preserve">本次采购不收取投标保证金。本项目</w:t>
      </w:r>
      <w:r>
        <w:rPr>
          <w:rFonts w:hint="eastAsia" w:asciiTheme="minorEastAsia" w:hAnsiTheme="minorEastAsia" w:eastAsiaTheme="minorEastAsia" w:cstheme="minorEastAsia"/>
          <w:color w:val="auto"/>
          <w:sz w:val="21"/>
          <w:szCs w:val="21"/>
          <w:highlight w:val="none"/>
          <w:lang w:val="en-US" w:eastAsia="zh-CN"/>
        </w:rPr>
        <w:t xml:space="preserve">不</w:t>
      </w:r>
      <w:r>
        <w:rPr>
          <w:rFonts w:hint="eastAsia" w:asciiTheme="minorEastAsia" w:hAnsiTheme="minorEastAsia" w:eastAsiaTheme="minorEastAsia" w:cstheme="minorEastAsia"/>
          <w:color w:val="auto"/>
          <w:sz w:val="21"/>
          <w:szCs w:val="21"/>
          <w:highlight w:val="none"/>
        </w:rPr>
        <w:t xml:space="preserve">收取履约保证金。</w:t>
      </w:r>
      <w:r/>
    </w:p>
    <w:p>
      <w:pPr>
        <w:ind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bCs/>
          <w:color w:val="auto"/>
          <w:sz w:val="21"/>
          <w:szCs w:val="21"/>
          <w:highlight w:val="none"/>
        </w:rPr>
        <w:t xml:space="preserve">有关本次采购的事项若存在变动或修改，敬请及时关注“扬州市政府采购网”、“江苏省政府采购网”发布的信息。</w:t>
      </w:r>
      <w:r/>
    </w:p>
    <w:p>
      <w:pPr>
        <w:ind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7.落实好政府采购履约资金扶持政策。中标/成交供应商可凭政府采购合同办理融资贷款，详见江苏政府采购网“政采贷”专栏。</w:t>
      </w:r>
      <w:r/>
    </w:p>
    <w:p>
      <w:pPr>
        <w:ind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8.严格执行政府采购关于支持</w:t>
      </w:r>
      <w:r>
        <w:rPr>
          <w:rFonts w:hint="eastAsia" w:asciiTheme="minorEastAsia" w:hAnsiTheme="minorEastAsia" w:eastAsiaTheme="minorEastAsia" w:cstheme="minorEastAsia"/>
          <w:bCs/>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Theme="minorEastAsia" w:hAnsiTheme="minorEastAsia" w:eastAsiaTheme="minorEastAsia" w:cstheme="minorEastAsia"/>
          <w:b/>
          <w:i/>
          <w:iCs/>
          <w:color w:val="auto"/>
          <w:sz w:val="21"/>
          <w:szCs w:val="21"/>
          <w:highlight w:val="none"/>
          <w:u w:val="single"/>
        </w:rPr>
      </w:pPr>
      <w:r>
        <w:rPr>
          <w:rFonts w:hint="eastAsia" w:asciiTheme="minorEastAsia" w:hAnsiTheme="minorEastAsia" w:eastAsiaTheme="minorEastAsia" w:cstheme="minorEastAsia"/>
          <w:b/>
          <w:i/>
          <w:iCs/>
          <w:color w:val="auto"/>
          <w:sz w:val="21"/>
          <w:szCs w:val="21"/>
          <w:highlight w:val="none"/>
          <w:u w:val="single"/>
        </w:rPr>
        <w:t xml:space="preserve">9.本项目采购文件中所有斜体下划线部分为实质性条款，如不满足，则为无效响应。</w:t>
      </w:r>
      <w:r/>
    </w:p>
    <w:p>
      <w:pPr>
        <w:jc w:val="center"/>
        <w:spacing w:before="272" w:line="230" w:lineRule="auto"/>
        <w:rPr>
          <w:rFonts w:ascii="宋体" w:hAnsi="宋体" w:eastAsia="宋体" w:cs="楷体"/>
          <w:color w:val="auto"/>
          <w:spacing w:val="7"/>
          <w:sz w:val="31"/>
          <w:szCs w:val="31"/>
          <w:highlight w:val="none"/>
          <w14:textOutline w14:w="5791" w14:cap="flat" w14:cmpd="sng" w14:algn="ctr">
            <w14:solidFill>
              <w14:srgbClr w14:val="000000"/>
            </w14:solidFill>
            <w14:prstDash w14:val="solid"/>
            <w14:miter/>
          </w14:textOutline>
        </w:rPr>
        <w:outlineLvl w:val="0"/>
      </w:pPr>
      <w:r>
        <w:rPr>
          <w:rFonts w:ascii="宋体" w:hAnsi="宋体" w:eastAsia="宋体" w:cs="楷体"/>
          <w:color w:val="auto"/>
          <w:spacing w:val="7"/>
          <w:sz w:val="31"/>
          <w:szCs w:val="31"/>
          <w:highlight w:val="none"/>
          <w14:textOutline w14:w="5791" w14:cap="flat" w14:cmpd="sng" w14:algn="ctr">
            <w14:solidFill>
              <w14:srgbClr w14:val="000000"/>
            </w14:solidFill>
            <w14:prstDash w14:val="solid"/>
            <w14:miter/>
          </w14:textOutline>
        </w:rPr>
      </w:r>
      <w:r/>
    </w:p>
    <w:p>
      <w:pPr>
        <w:rPr>
          <w:rFonts w:ascii="宋体" w:hAnsi="宋体" w:eastAsia="宋体" w:cs="楷体"/>
          <w:color w:val="auto"/>
          <w:spacing w:val="7"/>
          <w:sz w:val="31"/>
          <w:szCs w:val="31"/>
          <w:highlight w:val="none"/>
          <w14:textOutline w14:w="5791" w14:cap="flat" w14:cmpd="sng" w14:algn="ctr">
            <w14:solidFill>
              <w14:srgbClr w14:val="000000"/>
            </w14:solidFill>
            <w14:prstDash w14:val="solid"/>
            <w14:miter/>
          </w14:textOutline>
        </w:rPr>
      </w:pPr>
      <w:r>
        <w:rPr>
          <w:rFonts w:ascii="宋体" w:hAnsi="宋体" w:eastAsia="宋体" w:cs="楷体"/>
          <w:color w:val="auto"/>
          <w:spacing w:val="7"/>
          <w:sz w:val="31"/>
          <w:szCs w:val="31"/>
          <w:highlight w:val="none"/>
          <w14:textOutline w14:w="5791" w14:cap="flat" w14:cmpd="sng" w14:algn="ctr">
            <w14:solidFill>
              <w14:srgbClr w14:val="000000"/>
            </w14:solidFill>
            <w14:prstDash w14:val="solid"/>
            <w14:miter/>
          </w14:textOutline>
        </w:rPr>
        <w:br w:type="page" w:clear="all"/>
      </w:r>
      <w:r/>
    </w:p>
    <w:p>
      <w:pPr>
        <w:jc w:val="center"/>
        <w:spacing w:before="272" w:line="230" w:lineRule="auto"/>
        <w:rPr>
          <w:rFonts w:ascii="宋体" w:hAnsi="宋体" w:eastAsia="宋体" w:cs="楷体"/>
          <w:color w:val="auto"/>
          <w:sz w:val="31"/>
          <w:szCs w:val="31"/>
          <w:highlight w:val="none"/>
        </w:rPr>
        <w:outlineLvl w:val="0"/>
      </w:pPr>
      <w:r>
        <w:rPr>
          <w:rFonts w:ascii="宋体" w:hAnsi="宋体" w:eastAsia="宋体" w:cs="楷体"/>
          <w:color w:val="auto"/>
          <w:spacing w:val="7"/>
          <w:sz w:val="31"/>
          <w:szCs w:val="31"/>
          <w:highlight w:val="none"/>
          <w14:textOutline w14:w="5791" w14:cap="flat" w14:cmpd="sng" w14:algn="ctr">
            <w14:solidFill>
              <w14:srgbClr w14:val="000000"/>
            </w14:solidFill>
            <w14:prstDash w14:val="solid"/>
            <w14:miter/>
          </w14:textOutline>
        </w:rPr>
        <w:t xml:space="preserve">第二章</w:t>
      </w:r>
      <w:r>
        <w:rPr>
          <w:rFonts w:hint="eastAsia" w:ascii="宋体" w:hAnsi="宋体" w:eastAsia="宋体" w:cs="楷体"/>
          <w:color w:val="auto"/>
          <w:spacing w:val="7"/>
          <w:sz w:val="31"/>
          <w:szCs w:val="31"/>
          <w:highlight w:val="none"/>
          <w14:textOutline w14:w="5791" w14:cap="flat" w14:cmpd="sng" w14:algn="ctr">
            <w14:solidFill>
              <w14:srgbClr w14:val="000000"/>
            </w14:solidFill>
            <w14:prstDash w14:val="solid"/>
            <w14:miter/>
          </w14:textOutline>
        </w:rPr>
        <w:t xml:space="preserve">  磋商须知</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bookmarkStart w:id="7" w:name="_bookmark4"/>
      <w:r/>
      <w:bookmarkEnd w:id="7"/>
      <w:r>
        <w:rPr>
          <w:rFonts w:hint="eastAsia" w:asciiTheme="minorEastAsia" w:hAnsiTheme="minorEastAsia" w:eastAsiaTheme="minorEastAsia" w:cstheme="minorEastAsia"/>
          <w:color w:val="auto"/>
          <w:sz w:val="21"/>
          <w:szCs w:val="21"/>
          <w:highlight w:val="none"/>
        </w:rPr>
        <w:t xml:space="preserve">1、采购方式</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 本次采购采取竞争性磋商方式，本采购文件仅适用于</w:t>
      </w:r>
      <w:r>
        <w:rPr>
          <w:rFonts w:hint="eastAsia" w:asciiTheme="minorEastAsia" w:hAnsiTheme="minorEastAsia" w:eastAsiaTheme="minorEastAsia" w:cstheme="minorEastAsia"/>
          <w:color w:val="auto"/>
          <w:sz w:val="21"/>
          <w:szCs w:val="21"/>
          <w:highlight w:val="none"/>
          <w:lang w:val="en-US" w:eastAsia="zh-CN"/>
        </w:rPr>
        <w:t xml:space="preserve">该</w:t>
      </w:r>
      <w:r>
        <w:rPr>
          <w:rFonts w:hint="eastAsia" w:asciiTheme="minorEastAsia" w:hAnsiTheme="minorEastAsia" w:eastAsiaTheme="minorEastAsia" w:cstheme="minorEastAsia"/>
          <w:color w:val="auto"/>
          <w:sz w:val="21"/>
          <w:szCs w:val="21"/>
          <w:highlight w:val="none"/>
        </w:rPr>
        <w:t xml:space="preserve">项目。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2.1 参加竞争性磋商的供应商以下简称“供应商”，是指参加磋商并符合采购文件规定资格条件的法人、其他组织或者自然人。</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2.2合格的供应商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2.2.1 满足采购公告中供应商的资格条件要求的规定。</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2.2.2 满足本文件实质性条款的规定。</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3、适用法律</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3.1 本次采购及由此产生的合同受中华人民共和国有关的法律法规制约和保护。</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4、参加磋商费用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 供应商应自行承担所有与参加磋商有关的费用，无论磋商过程中的做法和结果如何，（代理公司）(以下简称代理机构)在任何情况下均无义务和责任承担这些费用。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bookmarkStart w:id="8" w:name="_Hlk115095815"/>
      <w:r>
        <w:rPr>
          <w:rFonts w:hint="eastAsia" w:asciiTheme="minorEastAsia" w:hAnsiTheme="minorEastAsia" w:eastAsiaTheme="minorEastAsia" w:cstheme="minorEastAsia"/>
          <w:color w:val="auto"/>
          <w:sz w:val="21"/>
          <w:szCs w:val="21"/>
          <w:highlight w:val="none"/>
        </w:rPr>
        <w:t xml:space="preserve">4.2本次采购由成交单位在领取成交通知书前按照国家计委印发的《招标代理服务收费管理暂行办法》(计价格【2002】1980号文)</w:t>
      </w:r>
      <w:r>
        <w:rPr>
          <w:rFonts w:hint="eastAsia" w:asciiTheme="minorEastAsia" w:hAnsiTheme="minorEastAsia" w:eastAsiaTheme="minorEastAsia" w:cstheme="minorEastAsia"/>
          <w:color w:val="auto"/>
          <w:sz w:val="21"/>
          <w:szCs w:val="21"/>
          <w:highlight w:val="none"/>
          <w:lang w:val="en-US" w:eastAsia="zh-CN"/>
        </w:rPr>
        <w:t xml:space="preserve">服务</w:t>
      </w:r>
      <w:r>
        <w:rPr>
          <w:rFonts w:hint="eastAsia" w:asciiTheme="minorEastAsia" w:hAnsiTheme="minorEastAsia" w:eastAsiaTheme="minorEastAsia" w:cstheme="minorEastAsia"/>
          <w:color w:val="auto"/>
          <w:sz w:val="21"/>
          <w:szCs w:val="21"/>
          <w:highlight w:val="none"/>
        </w:rPr>
        <w:t xml:space="preserve">类标准一次性支付给招标代理机构代理服务费。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（1）代理服务费以人民币支付；</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（2）代理服务费一次性以电汇、转账等非现金形式支付；</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（3）招标代理服务费不在报价中单列，包含在总价中，由成交单位支付给代理机构。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4.3专家评审费按扬财购[2020]40号文《关于进一步规范扬州市政府采购专家评审费标准的通知》执行。</w:t>
      </w:r>
      <w:bookmarkEnd w:id="8"/>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5、采购文件的约束力</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 供应商一旦参加本项目采购活动，即被认为接受了本采购文件的规定和约束。</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6、采购文件构成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 采购文件有以下部分组成：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（1）采购公告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（2）磋商须知</w:t>
      </w:r>
      <w:r>
        <w:rPr>
          <w:rFonts w:hint="eastAsia" w:asciiTheme="minorEastAsia" w:hAnsiTheme="minorEastAsia" w:eastAsiaTheme="minorEastAsia" w:cstheme="minorEastAsia"/>
          <w:color w:val="auto"/>
          <w:sz w:val="21"/>
          <w:szCs w:val="21"/>
          <w:highlight w:val="none"/>
        </w:rPr>
        <w:tab/>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（3）合同条款及格式</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（4）项目需求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（5）评审方法与评审标准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（6）竞争性磋商响应文件格式</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请仔细检查采购文件是否齐全，如有缺漏请立即与代理机构联系解决。</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6.3 采购文件如果要求供应商提交备选响应方案的，供应商可以提交备选方案；否则，备选方案将被拒绝。</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采购文件的澄清</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 任何要求对采购文件进行澄清的供应商，应在提交首次响应文件截止时间至少5日前按采购公告中的通讯地址，以书面形式通知代理机构。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采购文件的修改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8.2采购文件的修改将在“扬州市政府采购网”、“江苏省政府采购网”公布，补充文件将作为采购文件的组成部分，并对供应商具有约束力。</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9、采购文件的语言、度量衡单位、货币</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9.1供应商提交的响应文件以及供应商与代理机构就有关磋商的所有来往通知、函件和文件均应使用简体中文。</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9.2 除技术性能另有规定外，采购文件所使用的度量衡单位，均须采用国家法定计量单位。</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9.3采购文件中的服务单价和总价无特殊规定的采用人民币报价，以元为单位标注。采购文件中另有规定的按规定执行。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10、响应文件构成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10.1磋商文件由以下部分组成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（1）资格审查响应对照表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（2）符合性审查响应对照表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（3）非实质性响应对照表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（4）磋商响应报价表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（5）分项报价表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（6）技术参数响应及偏离表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（7）商务条款响应及偏离表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（8）其他（供应商认为有必要提供的声明和文件，如有自拟并自行添加。设计方案）</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10.2 供应商应当根据采购文件要求编制响应文件，响应文件应对采购文件提出的要求和条件作出响应，并在相应的响应文件中逐条标明满足与否。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11、证明供应商资格及符合采购文件规定的文件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11.1供应商应按要求提交资格证明文件及符合采购文件规定的文件。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11.2供应商应提交证明其有资格参加磋商和成交后有能力独立履行合同的文件。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11.3供应商除必须具有履行合同所需提供的产品或服务的能力外，还必须具备相应的财务、技术方面的能力。</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11.4供应商应提交根据合同要求提供的证明服务质量合格以及符合采购文件规定的证明文件。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11.5证明供应商所提供服务与采购文件的要求相一致的文件可以是手册、图纸、文字资料和数据。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12、磋商响应报价表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12.1 供应商应按照采购文件规定格式填报磋商响应报价表，每项服务只允许有一个报价，任何有选择的报价将不予接受。</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 标的物</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采购人需求的服务供应、安装，调试及有关技术服务等。</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12.3其它费用处理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采购文件未列明，而供应商认为必需的费用也需列入报价。</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13、技术参数响应及偏离表、商务条款响应及偏离表及磋商服务说明</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13.1 对采购文件中的技术与商务条款要求逐项作出响应或偏离，并说明原因；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13.2 提供参加本项目类似案例简介；</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13.3 详细阐述所投服务的主要组成部分、功能设计、实现思路及关键技术；</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13.4 供应商认为需要的其他技术文件或说明。</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14、服务承诺及售后服务机构、人员的情况介绍</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14.1供应商的服务承诺应按不低于采购文件中商务要求的标准。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14.2提供供应商有关售后服务的管理制度、售后服务机构的分布情况、售后服务人员的数量、素质、技术水平及售后服务的反应能力。</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15、磋商响应函</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15.1 供应商应按照扬州市政府采购交易管理系统提供的格式完整、正确填写磋商响应函。</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16、磋商响应有效期</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 磋商响应有效期为代理机构规定的响应文件接收截止时间后</w:t>
      </w:r>
      <w:r>
        <w:rPr>
          <w:rFonts w:hint="eastAsia" w:asciiTheme="minorEastAsia" w:hAnsiTheme="minorEastAsia" w:eastAsiaTheme="minorEastAsia" w:cstheme="minorEastAsia"/>
          <w:b/>
          <w:bCs/>
          <w:color w:val="auto"/>
          <w:sz w:val="21"/>
          <w:szCs w:val="21"/>
          <w:highlight w:val="none"/>
          <w:u w:val="single"/>
        </w:rPr>
        <w:t xml:space="preserve">六十（60）天</w:t>
      </w:r>
      <w:r>
        <w:rPr>
          <w:rFonts w:hint="eastAsia" w:asciiTheme="minorEastAsia" w:hAnsiTheme="minorEastAsia" w:eastAsiaTheme="minorEastAsia" w:cstheme="minorEastAsia"/>
          <w:color w:val="auto"/>
          <w:sz w:val="21"/>
          <w:szCs w:val="21"/>
          <w:highlight w:val="none"/>
        </w:rPr>
        <w:t xml:space="preserve">。磋商响应有效期比规定短的将被视为非实质性响应性而予以拒绝。</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bookmarkStart w:id="9" w:name="_Toc20823297"/>
      <w:r/>
      <w:bookmarkStart w:id="10" w:name="_Toc16938541"/>
      <w:r>
        <w:rPr>
          <w:rFonts w:hint="eastAsia" w:asciiTheme="minorEastAsia" w:hAnsiTheme="minorEastAsia" w:eastAsiaTheme="minorEastAsia" w:cstheme="minorEastAsia"/>
          <w:color w:val="auto"/>
          <w:sz w:val="21"/>
          <w:szCs w:val="21"/>
          <w:highlight w:val="none"/>
        </w:rPr>
        <w:t xml:space="preserve">17、响应文件</w:t>
      </w:r>
      <w:bookmarkEnd w:id="9"/>
      <w:r/>
      <w:bookmarkEnd w:id="10"/>
      <w:r>
        <w:rPr>
          <w:rFonts w:hint="eastAsia" w:asciiTheme="minorEastAsia" w:hAnsiTheme="minorEastAsia" w:eastAsiaTheme="minorEastAsia" w:cstheme="minorEastAsia"/>
          <w:color w:val="auto"/>
          <w:sz w:val="21"/>
          <w:szCs w:val="21"/>
          <w:highlight w:val="none"/>
        </w:rPr>
        <w:t xml:space="preserve">的递交</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17.1 电子响应文件的递交供应商应当按照《操作手册》规定，在磋商响应截止时间前制作并上传电子响应文件。</w:t>
      </w:r>
      <w:bookmarkStart w:id="11" w:name="_Toc16938542"/>
      <w:r/>
      <w:bookmarkStart w:id="12" w:name="_Toc20823298"/>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17.2</w:t>
      </w:r>
      <w:r>
        <w:rPr>
          <w:rFonts w:hint="eastAsia" w:asciiTheme="minorEastAsia" w:hAnsiTheme="minorEastAsia" w:eastAsiaTheme="minorEastAsia" w:cstheme="minorEastAsia"/>
          <w:b/>
          <w:bCs/>
          <w:color w:val="auto"/>
          <w:sz w:val="21"/>
          <w:szCs w:val="21"/>
          <w:highlight w:val="none"/>
        </w:rPr>
        <w:t xml:space="preserve">政府采购管理交易系统（苏采云）</w:t>
      </w:r>
      <w:r>
        <w:rPr>
          <w:rFonts w:hint="eastAsia" w:asciiTheme="minorEastAsia" w:hAnsiTheme="minorEastAsia" w:eastAsiaTheme="minorEastAsia" w:cstheme="minorEastAsia"/>
          <w:b/>
          <w:color w:val="auto"/>
          <w:sz w:val="21"/>
          <w:szCs w:val="21"/>
          <w:highlight w:val="none"/>
        </w:rPr>
        <w:t xml:space="preserve">相关要求是本采购文件的组成部分。</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17.3供应商应对 CA 证书妥善保管，如被他人盗用投标，因此带来的结果均由供应商自行承担。</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17.4供应商应当对采购文件提出的要求和条件作出实质性响应，并在电子投标系统逐条应答。</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17.5</w:t>
      </w:r>
      <w:r>
        <w:rPr>
          <w:rFonts w:hint="eastAsia" w:asciiTheme="minorEastAsia" w:hAnsiTheme="minorEastAsia" w:eastAsiaTheme="minorEastAsia" w:cstheme="minorEastAsia"/>
          <w:b/>
          <w:bCs/>
          <w:color w:val="auto"/>
          <w:sz w:val="21"/>
          <w:szCs w:val="21"/>
          <w:highlight w:val="none"/>
        </w:rPr>
        <w:t xml:space="preserve">供应商</w:t>
      </w:r>
      <w:r>
        <w:rPr>
          <w:rFonts w:hint="eastAsia" w:asciiTheme="minorEastAsia" w:hAnsiTheme="minorEastAsia" w:eastAsiaTheme="minorEastAsia" w:cstheme="minorEastAsia"/>
          <w:b/>
          <w:color w:val="auto"/>
          <w:sz w:val="21"/>
          <w:szCs w:val="21"/>
          <w:highlight w:val="none"/>
        </w:rPr>
        <w:t xml:space="preserve">应对要求提供的资格证明文件（如资质证书、资格证书）、技术资料（如白皮书、彩页、手册、检测报告等）扫描上传至投标系统。</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17.6各</w:t>
      </w:r>
      <w:r>
        <w:rPr>
          <w:rFonts w:hint="eastAsia" w:asciiTheme="minorEastAsia" w:hAnsiTheme="minorEastAsia" w:eastAsiaTheme="minorEastAsia" w:cstheme="minorEastAsia"/>
          <w:b/>
          <w:bCs/>
          <w:color w:val="auto"/>
          <w:sz w:val="21"/>
          <w:szCs w:val="21"/>
          <w:highlight w:val="none"/>
        </w:rPr>
        <w:t xml:space="preserve">供应商</w:t>
      </w:r>
      <w:r>
        <w:rPr>
          <w:rFonts w:hint="eastAsia" w:asciiTheme="minorEastAsia" w:hAnsiTheme="minorEastAsia" w:eastAsiaTheme="minorEastAsia" w:cstheme="minorEastAsia"/>
          <w:b/>
          <w:color w:val="auto"/>
          <w:sz w:val="21"/>
          <w:szCs w:val="21"/>
          <w:highlight w:val="none"/>
        </w:rPr>
        <w:t xml:space="preserve">应在规定时间内凭CA证书进行网上解密。</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18、磋商响应截止日期</w:t>
      </w:r>
      <w:bookmarkEnd w:id="11"/>
      <w:r/>
      <w:bookmarkEnd w:id="12"/>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i/>
          <w:color w:val="auto"/>
          <w:sz w:val="21"/>
          <w:szCs w:val="21"/>
          <w:highlight w:val="none"/>
          <w:u w:val="single"/>
        </w:rPr>
      </w:pPr>
      <w:r>
        <w:rPr>
          <w:rFonts w:hint="eastAsia" w:asciiTheme="minorEastAsia" w:hAnsiTheme="minorEastAsia" w:eastAsiaTheme="minorEastAsia" w:cstheme="minorEastAsia"/>
          <w:b/>
          <w:i/>
          <w:color w:val="auto"/>
          <w:sz w:val="21"/>
          <w:szCs w:val="21"/>
          <w:highlight w:val="none"/>
          <w:u w:val="single"/>
        </w:rPr>
        <w:t xml:space="preserve">18.1</w:t>
      </w:r>
      <w:r>
        <w:rPr>
          <w:rFonts w:hint="eastAsia" w:asciiTheme="minorEastAsia" w:hAnsiTheme="minorEastAsia" w:eastAsiaTheme="minorEastAsia" w:cstheme="minorEastAsia"/>
          <w:b/>
          <w:bCs/>
          <w:i/>
          <w:color w:val="auto"/>
          <w:sz w:val="21"/>
          <w:szCs w:val="21"/>
          <w:highlight w:val="none"/>
          <w:u w:val="single"/>
        </w:rPr>
        <w:t xml:space="preserve"> 供应商上传电子响应文件的时间不得迟于采购公告中规定的磋商响应截止时间。</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bookmarkStart w:id="13" w:name="_Toc20823299"/>
      <w:r/>
      <w:bookmarkStart w:id="14" w:name="_Toc16938543"/>
      <w:r>
        <w:rPr>
          <w:rFonts w:hint="eastAsia" w:asciiTheme="minorEastAsia" w:hAnsiTheme="minorEastAsia" w:eastAsiaTheme="minorEastAsia" w:cstheme="minorEastAsia"/>
          <w:color w:val="auto"/>
          <w:sz w:val="21"/>
          <w:szCs w:val="21"/>
          <w:highlight w:val="none"/>
        </w:rPr>
        <w:t xml:space="preserve">19、响应文件</w:t>
      </w:r>
      <w:bookmarkEnd w:id="13"/>
      <w:r/>
      <w:bookmarkEnd w:id="14"/>
      <w:r>
        <w:rPr>
          <w:rFonts w:hint="eastAsia" w:asciiTheme="minorEastAsia" w:hAnsiTheme="minorEastAsia" w:eastAsiaTheme="minorEastAsia" w:cstheme="minorEastAsia"/>
          <w:color w:val="auto"/>
          <w:sz w:val="21"/>
          <w:szCs w:val="21"/>
          <w:highlight w:val="none"/>
        </w:rPr>
        <w:t xml:space="preserve">的拒收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19.1代理机构拒绝接收在其规定的磋商截止时间后上传的任何响应文件。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bookmarkStart w:id="15" w:name="_Toc20823300"/>
      <w:r/>
      <w:bookmarkStart w:id="16" w:name="_Toc16938544"/>
      <w:r>
        <w:rPr>
          <w:rFonts w:hint="eastAsia" w:asciiTheme="minorEastAsia" w:hAnsiTheme="minorEastAsia" w:eastAsiaTheme="minorEastAsia" w:cstheme="minorEastAsia"/>
          <w:color w:val="auto"/>
          <w:sz w:val="21"/>
          <w:szCs w:val="21"/>
          <w:highlight w:val="none"/>
        </w:rPr>
        <w:t xml:space="preserve">20、响应文件的撤回和修改</w:t>
      </w:r>
      <w:bookmarkEnd w:id="15"/>
      <w:r/>
      <w:bookmarkEnd w:id="16"/>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20.1 响应文件的撤回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20.1.1 电子响应文件的撤回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供应商可在磋商截止时间前，撤回其电子响应文件，具体操作方法见《操作手册》。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20.1.2 供应商撤回电子响应文件，则认为其不再参与本项目磋商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谈判</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 响应文件的修改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供应商可在磋商截止时间前，对其电子响应文件进行修改，具体操作方法见《操作手册》。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20.3 在磋商截止时间之后，供应商不得对其电子响应文件作任何修改。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20.4 在磋商截止时间至采购文件中规定的磋商有效期满之间的这段时间内，供应商不得撤回其响应文件。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21、磋商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21.1 代理机构将在采购公告中规定的时间和地点组织磋商开始仪式。供应商应当按照《操作手册》规定，参加磋商活动。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21.2供应商在磋商过程中涉及到的响应文件解密等工作，应按照《操作手册》规定执行。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22、磋商小组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22.1</w:t>
      </w: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 xml:space="preserve">磋商开始后，代理机构将立即组织磋商小组进行评审。</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22.2磋商小组由采购人代表和有关技术、经济等方面的专家组成，且人员构成符合政府采购有关规定。</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22.3磋商小组独立工作，负责评审有效响应文件并确定成交候选供应商。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23、评审过程的保密与公正</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23.1评审专家应当遵守评审工作纪律，不得泄露评审情况和评审中获悉的商业秘密。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23.2在评审过程中，供应商不得以任何行为影响评审过程，否则其响应文件将被作为无效响应文件。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 在评审期间，代理机构将设专门工作人员与供应商联系。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23.4 代理机构和磋商小组不向未成交的供应商解释未成交原因，也不公布评审过程中的相关细节。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24、磋商的澄清</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24.1评审期间，磋商小组要求供应商澄清、说明或者更正响应文件以电子函件形式提交但并非对每个供应商都作澄清要求。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24.2接到磋商小组澄清要求的供应商应按磋商小组规定的时间和格式在</w:t>
      </w:r>
      <w:r>
        <w:rPr>
          <w:rFonts w:hint="eastAsia" w:asciiTheme="minorEastAsia" w:hAnsiTheme="minorEastAsia" w:eastAsiaTheme="minorEastAsia" w:cstheme="minorEastAsia"/>
          <w:b/>
          <w:bCs/>
          <w:color w:val="auto"/>
          <w:sz w:val="21"/>
          <w:szCs w:val="21"/>
          <w:highlight w:val="none"/>
        </w:rPr>
        <w:t xml:space="preserve">”政府采购管理交易系统（苏采云）”</w:t>
      </w:r>
      <w:r>
        <w:rPr>
          <w:rFonts w:hint="eastAsia" w:asciiTheme="minorEastAsia" w:hAnsiTheme="minorEastAsia" w:eastAsiaTheme="minorEastAsia" w:cstheme="minorEastAsia"/>
          <w:color w:val="auto"/>
          <w:sz w:val="21"/>
          <w:szCs w:val="21"/>
          <w:highlight w:val="none"/>
        </w:rPr>
        <w:t xml:space="preserve">中做出澄清，澄清的内容作为响应文件的补充部分。具体操作方式见</w:t>
      </w:r>
      <w:r>
        <w:rPr>
          <w:rFonts w:hint="eastAsia" w:asciiTheme="minorEastAsia" w:hAnsiTheme="minorEastAsia" w:eastAsiaTheme="minorEastAsia" w:cstheme="minorEastAsia"/>
          <w:bCs/>
          <w:color w:val="auto"/>
          <w:sz w:val="21"/>
          <w:szCs w:val="21"/>
          <w:highlight w:val="none"/>
        </w:rPr>
        <w:t xml:space="preserve">《操作手册》</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24.3 接到磋商小组澄清要求的供应商如未按规定做出澄清，其风险由供应商自行承担。</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25、对响应文件的初审</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25.1响应文件初审分为资格审查和符合性审查。</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25.1.1资格审查：依据法律法规和采购文件的规定，对响应文件中的资格证明文件进行审查。以确定供应商是否具备参加磋商的资格。</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25.1.3 未通过资格审查或符合性审查的供应商，代理机构将在</w:t>
      </w:r>
      <w:r>
        <w:rPr>
          <w:rFonts w:hint="eastAsia" w:asciiTheme="minorEastAsia" w:hAnsiTheme="minorEastAsia" w:eastAsiaTheme="minorEastAsia" w:cstheme="minorEastAsia"/>
          <w:b/>
          <w:bCs/>
          <w:color w:val="auto"/>
          <w:sz w:val="21"/>
          <w:szCs w:val="21"/>
          <w:highlight w:val="none"/>
        </w:rPr>
        <w:t xml:space="preserve">”政府采购管理交易系统（苏采云）”</w:t>
      </w:r>
      <w:r>
        <w:rPr>
          <w:rFonts w:hint="eastAsia" w:asciiTheme="minorEastAsia" w:hAnsiTheme="minorEastAsia" w:eastAsiaTheme="minorEastAsia" w:cstheme="minorEastAsia"/>
          <w:color w:val="auto"/>
          <w:sz w:val="21"/>
          <w:szCs w:val="21"/>
          <w:highlight w:val="none"/>
        </w:rPr>
        <w:t xml:space="preserve">中告知未通过资格审查或符合性审查的原因，评审结束后，代理机构将不再告知未通过资格审查或符合性审查的原因。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25.4 供应商在开、评标全过程中应保持通讯畅通，并安排专人与代理机构及磋商小组联系。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26、磋商程序及评审方法和标准</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26.1磋商程序</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26.1.1 对于通过资格性和符合性审查的供应商，磋商小组所有成员将集中与单一供应商在“</w:t>
      </w:r>
      <w:r>
        <w:rPr>
          <w:rFonts w:hint="eastAsia" w:asciiTheme="minorEastAsia" w:hAnsiTheme="minorEastAsia" w:eastAsiaTheme="minorEastAsia" w:cstheme="minorEastAsia"/>
          <w:b/>
          <w:bCs/>
          <w:color w:val="auto"/>
          <w:sz w:val="21"/>
          <w:szCs w:val="21"/>
          <w:highlight w:val="none"/>
          <w:shd w:val="clear" w:color="ffffff" w:fill="ffffff"/>
        </w:rPr>
        <w:t xml:space="preserve">政府采购管理交易系统（苏采云）</w:t>
      </w:r>
      <w:r>
        <w:rPr>
          <w:rFonts w:hint="eastAsia" w:asciiTheme="minorEastAsia" w:hAnsiTheme="minorEastAsia" w:eastAsiaTheme="minorEastAsia" w:cstheme="minorEastAsia"/>
          <w:b/>
          <w:bCs/>
          <w:color w:val="auto"/>
          <w:sz w:val="21"/>
          <w:szCs w:val="21"/>
          <w:highlight w:val="none"/>
        </w:rPr>
        <w:t xml:space="preserve">”中分别进行磋商。</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26.1.2 采购文件能够详细列明采购标的的技术、服务要求的，磋商结束后，磋商小组将要求所有实质性响应的供应商在规定时间内提交最后报价。</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26.2 评审方法和标准</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26.2.2评审标准</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见本采购文件第五章规定。</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27、无效响应及采购活动终止的情况</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27.1无效响应条款</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27.1.1 供应商未按照采购文件要求上传电子磋商响应文件的。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27.1.2 供应商未成功解密电子磋商响应文件的。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27.1.3 供应商不具备采购文件中规定资格要求的。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i/>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27.1.4 未通过符合性审查的。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i/>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27.1.5 不符合采购文件中规定的其他实质性要求和条件的</w:t>
      </w: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i/>
          <w:color w:val="auto"/>
          <w:sz w:val="21"/>
          <w:szCs w:val="21"/>
          <w:highlight w:val="none"/>
          <w:u w:val="single"/>
        </w:rPr>
        <w:t xml:space="preserve">本采购文件中斜体且有下划线部分为实质性要求和条件）</w:t>
      </w:r>
      <w:r>
        <w:rPr>
          <w:rFonts w:hint="eastAsia" w:asciiTheme="minorEastAsia" w:hAnsiTheme="minorEastAsia" w:eastAsiaTheme="minorEastAsia" w:cstheme="minorEastAsia"/>
          <w:bCs/>
          <w:i/>
          <w:color w:val="auto"/>
          <w:sz w:val="21"/>
          <w:szCs w:val="21"/>
          <w:highlight w:val="none"/>
          <w:u w:val="single"/>
        </w:rPr>
        <w:t xml:space="preserve">。</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27.1.6 </w:t>
      </w:r>
      <w:r>
        <w:rPr>
          <w:rFonts w:hint="eastAsia" w:asciiTheme="minorEastAsia" w:hAnsiTheme="minorEastAsia" w:eastAsiaTheme="minorEastAsia" w:cstheme="minorEastAsia"/>
          <w:color w:val="auto"/>
          <w:sz w:val="21"/>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27.1.8 响应文件未按照采购文件要求加盖电子签章。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27.1.9 其他法律、法规及本采购文件规定的属无效响应的情形。</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27.2 </w:t>
      </w:r>
      <w:r>
        <w:rPr>
          <w:rFonts w:hint="eastAsia" w:asciiTheme="minorEastAsia" w:hAnsiTheme="minorEastAsia" w:eastAsiaTheme="minorEastAsia" w:cstheme="minorEastAsia"/>
          <w:color w:val="auto"/>
          <w:sz w:val="21"/>
          <w:szCs w:val="21"/>
          <w:highlight w:val="none"/>
        </w:rPr>
        <w:t xml:space="preserve">采购活动终止的情况</w:t>
      </w:r>
      <w:r>
        <w:rPr>
          <w:rFonts w:hint="eastAsia" w:asciiTheme="minorEastAsia" w:hAnsiTheme="minorEastAsia" w:eastAsiaTheme="minorEastAsia" w:cstheme="minorEastAsia"/>
          <w:bCs/>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27.2.1 因情况变化，不再符合规定的竞争性磋商采购方式适用情形的；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27.2.2 出现影响采购公正的违法、违规行为的；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27.2.3 </w:t>
      </w:r>
      <w:r>
        <w:rPr>
          <w:rFonts w:hint="eastAsia" w:asciiTheme="minorEastAsia" w:hAnsiTheme="minorEastAsia" w:eastAsiaTheme="minorEastAsia" w:cstheme="minorEastAsia"/>
          <w:color w:val="auto"/>
          <w:sz w:val="21"/>
          <w:szCs w:val="21"/>
          <w:highlight w:val="none"/>
        </w:rPr>
        <w:t xml:space="preserve">除本磋商文件第26.1.2条第三款规定的情形外，在采购过程中符合要求的供应商或者报价未超过采购预算的供应商不足3家的。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27.2.4 因重大变故，采购任务取消的。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28、确定成交单位</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28.2 采购人应根据磋商推荐的成交候选人，按照排序由高到低的原件确定成交供应商。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28.3 代理机构将在“扬州市政府采购网”、”江苏省政府采购网”发布成交公告，公告期限为1个工作日。</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 若有充分证据证明，成交供应商出现下列情况之一的，一经查实，将被取消成交资格：</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28.4.1 提供虚假材料谋取成交的；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28.4.2 向采购人、代理机构行贿或者提供其他不正当利益的；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28.4.3 恶意竞争，最终总报价明显低于其自身合理成本且又无法提供证明的；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28.4.4 属于本文件规定的无效条件，但在评审过程中又未被磋商小组发现的；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28.4.5 与采购人或者其他供应商恶意串通的；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28.4.6 采取不正当手段诋毁、排挤其他供应商的；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28.4.7 不符合法律、法规的规定的。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29、质疑处理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29.1提出质疑的供应商应当是参与所质疑项目采购活动的供应商。潜在供应商依法获取其可质疑的采购文件的，可以对采购文件提出质疑。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对项目需求部分的质疑，潜在供应商应向采购人提出，由采购人负责答复。</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29.2.1对采购文件提出质疑的，应当在获取采购文件之日或者采购文件公告期限届满之日起7个工作日内提出。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29.2.2对采购过程提出质疑的，为各采购程序环节结束之日起7个工作日内提出。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29.2.3对成交结果提出质疑的，为成交结果公告期限届满之日起7个工作日内提出。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29.5 代理机构及采购人只接收以纸质原件形式送达的质疑。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采购人质疑接收人及联系方式见采购文件第一章。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29.6代理机构收到质疑申请后，将对质疑的形式和内容进行审查，如质疑内容、格式不符合规定，代理机构将告知质疑人进行补正。</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29.7质疑人应当在法定质疑期限内进行补正并重新提交质疑函。</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 以下情形的质疑不予受理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29.8.1 内容不符合《政府采购质疑和投诉办法》第十二条规定的质疑。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29.8.2 超出政府采购法定期限的质疑。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29.8.3 以传真、电子邮件等方式递交的非原件形式的质疑。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29.8.4 未参加磋商活动的供应商或在磋商活动中自身权益未受到损害的供应商所提出的质疑。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29.8.5供应商组成联合体参加磋商，联合体中任何一方或多方未按要求签字、盖章、加盖公章的质疑。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30、成交通知书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30.l</w:t>
      </w: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 xml:space="preserve">成交结果确定后，代理机构将向成交供应商发出成通知书。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30.2 成交供应商可在”扬州市政府采购交易管理系统（苏采云）”成交通知书下载模块中自行下载成交通知书。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w:t>
      </w: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 xml:space="preserve">签订合同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31.l成交供应商应在成交通知书发出之日起十五日内，按照采购文件确定的事项与采购人签订政府采购合同。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31.2</w:t>
      </w: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 xml:space="preserve">采购文件、成交供应商的响应文件及磋商过程中有关澄清、承诺文件均应作为合同附件。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31.3 合同在“政府采购管理交易系统（苏采云）”中签订，签订合同后，</w:t>
      </w:r>
      <w:r>
        <w:rPr>
          <w:rFonts w:hint="eastAsia" w:asciiTheme="minorEastAsia" w:hAnsiTheme="minorEastAsia" w:eastAsiaTheme="minorEastAsia" w:cstheme="minorEastAsia"/>
          <w:b/>
          <w:bCs/>
          <w:i/>
          <w:iCs/>
          <w:color w:val="auto"/>
          <w:sz w:val="21"/>
          <w:szCs w:val="21"/>
          <w:highlight w:val="none"/>
          <w:u w:val="single"/>
        </w:rPr>
        <w:t xml:space="preserve">成交供应商不得将货物或服务及其他服务进行转包</w:t>
      </w:r>
      <w:r>
        <w:rPr>
          <w:rFonts w:hint="eastAsia" w:asciiTheme="minorEastAsia" w:hAnsiTheme="minorEastAsia" w:eastAsiaTheme="minorEastAsia" w:cstheme="minorEastAsia"/>
          <w:bCs/>
          <w:color w:val="auto"/>
          <w:sz w:val="21"/>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numPr>
          <w:ilvl w:val="0"/>
          <w:numId w:val="1"/>
        </w:num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w:t>
      </w:r>
      <w:r/>
    </w:p>
    <w:p>
      <w:pPr>
        <w:numPr>
          <w:ilvl w:val="0"/>
          <w:numId w:val="0"/>
        </w:numPr>
        <w:ind w:firstLine="420"/>
        <w:jc w:val="both"/>
        <w:keepLines w:val="0"/>
        <w:keepNext w:val="0"/>
        <w:pageBreakBefore w:val="0"/>
        <w:spacing w:line="360" w:lineRule="auto"/>
        <w:widowControl w:val="off"/>
        <w:rPr>
          <w:rFonts w:hint="eastAsia" w:ascii="宋体" w:hAnsi="宋体" w:eastAsia="宋体" w:cs="Times New Roman"/>
          <w:b w:val="0"/>
          <w:bCs w:val="0"/>
          <w:color w:val="auto"/>
          <w:sz w:val="21"/>
          <w:szCs w:val="22"/>
          <w:highlight w:val="none"/>
        </w:rPr>
      </w:pPr>
      <w:r>
        <w:rPr>
          <w:rFonts w:hint="eastAsia" w:asciiTheme="minorEastAsia" w:hAnsiTheme="minorEastAsia" w:eastAsiaTheme="minorEastAsia" w:cstheme="minorEastAsia"/>
          <w:b w:val="0"/>
          <w:bCs w:val="0"/>
          <w:color w:val="auto"/>
          <w:sz w:val="21"/>
          <w:szCs w:val="21"/>
          <w:highlight w:val="none"/>
        </w:rPr>
        <w:t xml:space="preserve">32.1 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Times New Roman"/>
          <w:b w:val="0"/>
          <w:bCs w:val="0"/>
          <w:color w:val="auto"/>
          <w:sz w:val="21"/>
          <w:szCs w:val="22"/>
          <w:highlight w:val="none"/>
        </w:rPr>
        <w:br w:type="page" w:clear="all"/>
      </w:r>
      <w:r/>
    </w:p>
    <w:p>
      <w:pPr>
        <w:pStyle w:val="977"/>
        <w:jc w:val="center"/>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第三章 合同条款及格式</w:t>
      </w:r>
      <w:r/>
    </w:p>
    <w:p>
      <w:pPr>
        <w:rPr>
          <w:rFonts w:ascii="宋体" w:hAnsi="宋体" w:eastAsia="宋体" w:cs="楷体"/>
          <w:color w:val="auto"/>
          <w:highlight w:val="none"/>
          <w:lang w:bidi="ar"/>
        </w:rPr>
      </w:pPr>
      <w:r>
        <w:rPr>
          <w:rFonts w:ascii="宋体" w:hAnsi="宋体" w:eastAsia="宋体" w:cs="楷体"/>
          <w:color w:val="auto"/>
          <w:highlight w:val="none"/>
          <w:lang w:bidi="ar"/>
        </w:rPr>
      </w:r>
      <w:r/>
    </w:p>
    <w:p>
      <w:pPr>
        <w:pStyle w:val="985"/>
        <w:ind w:firstLine="420"/>
        <w:jc w:val="center"/>
        <w:keepLines w:val="0"/>
        <w:keepNext w:val="0"/>
        <w:pageBreakBefore w:val="0"/>
        <w:spacing w:line="360" w:lineRule="auto"/>
        <w:widowControl/>
        <w:rPr>
          <w:rFonts w:hint="eastAsia" w:asciiTheme="minorEastAsia" w:hAnsiTheme="minorEastAsia" w:eastAsiaTheme="minorEastAsia" w:cstheme="minorEastAsia"/>
          <w:b w:val="0"/>
          <w:bCs w:val="0"/>
          <w:color w:val="auto"/>
          <w:sz w:val="21"/>
          <w:szCs w:val="21"/>
          <w:highlight w:val="none"/>
        </w:rPr>
      </w:pPr>
      <w:r/>
      <w:bookmarkStart w:id="17" w:name="_bookmark5"/>
      <w:r/>
      <w:bookmarkEnd w:id="17"/>
      <w:r>
        <w:rPr>
          <w:rFonts w:hint="eastAsia" w:asciiTheme="minorEastAsia" w:hAnsiTheme="minorEastAsia" w:eastAsiaTheme="minorEastAsia" w:cstheme="minorEastAsia"/>
          <w:b w:val="0"/>
          <w:bCs w:val="0"/>
          <w:color w:val="auto"/>
          <w:sz w:val="21"/>
          <w:szCs w:val="21"/>
          <w:highlight w:val="none"/>
        </w:rPr>
        <w:t xml:space="preserve">高邮市政府采购合同（服务）（合同编号）</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项</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目</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名</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称：</w:t>
      </w:r>
      <w:r>
        <w:rPr>
          <w:rFonts w:hint="eastAsia" w:ascii="宋体" w:hAnsi="宋体" w:eastAsia="宋体" w:cs="宋体"/>
          <w:color w:val="auto"/>
          <w:spacing w:val="0"/>
          <w:sz w:val="21"/>
          <w:szCs w:val="21"/>
          <w:highlight w:val="none"/>
          <w:u w:val="single"/>
        </w:rPr>
        <w:t xml:space="preserve">                        </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甲方（买方）：</w:t>
      </w:r>
      <w:r>
        <w:rPr>
          <w:rFonts w:hint="eastAsia" w:ascii="宋体" w:hAnsi="宋体" w:eastAsia="宋体" w:cs="宋体"/>
          <w:color w:val="auto"/>
          <w:spacing w:val="0"/>
          <w:sz w:val="21"/>
          <w:szCs w:val="21"/>
          <w:highlight w:val="none"/>
          <w:u w:val="single"/>
        </w:rPr>
        <w:t xml:space="preserve">                        </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乙方（卖方）：</w:t>
      </w:r>
      <w:r>
        <w:rPr>
          <w:rFonts w:hint="eastAsia" w:ascii="宋体" w:hAnsi="宋体" w:eastAsia="宋体" w:cs="宋体"/>
          <w:color w:val="auto"/>
          <w:spacing w:val="0"/>
          <w:sz w:val="21"/>
          <w:szCs w:val="21"/>
          <w:highlight w:val="none"/>
          <w:u w:val="single"/>
        </w:rPr>
        <w:t xml:space="preserve">                        </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见   证   方：</w:t>
      </w:r>
      <w:r/>
    </w:p>
    <w:p>
      <w:pPr>
        <w:pStyle w:val="984"/>
        <w:ind w:left="0" w:right="0" w:firstLine="420"/>
        <w:jc w:val="both"/>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根据《中华人民共和国政府采购法》、《中华人民共和国民法典》等法律法规的规定，甲乙双方本着平等、公平、 自愿、诚实信用的原则，按照江苏中鑫项目管理有限公司关于本项目公开采购的结果签署本合同。</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1、合同标的</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乙方根据甲方需求，提供下列服务：</w:t>
      </w:r>
      <w:r>
        <w:rPr>
          <w:rFonts w:hint="eastAsia" w:ascii="宋体" w:hAnsi="宋体" w:eastAsia="宋体" w:cs="宋体"/>
          <w:color w:val="auto"/>
          <w:spacing w:val="0"/>
          <w:sz w:val="21"/>
          <w:szCs w:val="21"/>
          <w:highlight w:val="none"/>
          <w:lang w:val="en-US" w:eastAsia="zh-CN"/>
        </w:rPr>
        <w:t xml:space="preserve">编制</w:t>
      </w:r>
      <w:r>
        <w:rPr>
          <w:rFonts w:hint="eastAsia" w:asciiTheme="minorEastAsia" w:hAnsiTheme="minorEastAsia" w:eastAsiaTheme="minorEastAsia" w:cstheme="minorEastAsia"/>
          <w:b w:val="0"/>
          <w:bCs/>
          <w:color w:val="auto"/>
          <w:sz w:val="21"/>
          <w:szCs w:val="21"/>
          <w:highlight w:val="none"/>
        </w:rPr>
        <w:t xml:space="preserve">《高邮经济开发区</w:t>
      </w:r>
      <w:r>
        <w:rPr>
          <w:rFonts w:hint="eastAsia" w:asciiTheme="minorEastAsia" w:hAnsiTheme="minorEastAsia" w:eastAsiaTheme="minorEastAsia" w:cstheme="minorEastAsia"/>
          <w:b w:val="0"/>
          <w:bCs/>
          <w:color w:val="auto"/>
          <w:sz w:val="21"/>
          <w:szCs w:val="21"/>
          <w:highlight w:val="none"/>
          <w:lang w:val="en-US" w:eastAsia="zh-CN"/>
        </w:rPr>
        <w:t xml:space="preserve">国家级</w:t>
      </w:r>
      <w:r>
        <w:rPr>
          <w:rFonts w:hint="eastAsia" w:asciiTheme="minorEastAsia" w:hAnsiTheme="minorEastAsia" w:eastAsiaTheme="minorEastAsia" w:cstheme="minorEastAsia"/>
          <w:b w:val="0"/>
          <w:bCs/>
          <w:color w:val="auto"/>
          <w:sz w:val="21"/>
          <w:szCs w:val="21"/>
          <w:highlight w:val="none"/>
        </w:rPr>
        <w:t xml:space="preserve">零碳园区建设</w:t>
      </w:r>
      <w:r>
        <w:rPr>
          <w:rFonts w:hint="eastAsia" w:asciiTheme="minorEastAsia" w:hAnsiTheme="minorEastAsia" w:eastAsiaTheme="minorEastAsia" w:cstheme="minorEastAsia"/>
          <w:b w:val="0"/>
          <w:bCs/>
          <w:color w:val="auto"/>
          <w:sz w:val="21"/>
          <w:szCs w:val="21"/>
          <w:highlight w:val="none"/>
          <w:lang w:val="en-US" w:eastAsia="zh-CN"/>
        </w:rPr>
        <w:t xml:space="preserve">规划</w:t>
      </w:r>
      <w:r>
        <w:rPr>
          <w:rFonts w:hint="eastAsia" w:asciiTheme="minorEastAsia" w:hAnsiTheme="minorEastAsia" w:eastAsiaTheme="minorEastAsia" w:cstheme="minorEastAsia"/>
          <w:b w:val="0"/>
          <w:bCs/>
          <w:color w:val="auto"/>
          <w:sz w:val="21"/>
          <w:szCs w:val="21"/>
          <w:highlight w:val="none"/>
        </w:rPr>
        <w:t xml:space="preserve">方案》</w:t>
      </w:r>
      <w:r>
        <w:rPr>
          <w:rFonts w:hint="eastAsia" w:asciiTheme="minorEastAsia" w:hAnsiTheme="minorEastAsia" w:eastAsiaTheme="minorEastAsia" w:cstheme="minorEastAsia"/>
          <w:b w:val="0"/>
          <w:bCs/>
          <w:color w:val="auto"/>
          <w:sz w:val="21"/>
          <w:szCs w:val="21"/>
          <w:highlight w:val="none"/>
          <w:lang w:val="en-US" w:eastAsia="zh-CN"/>
        </w:rPr>
        <w:t xml:space="preserve">和</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eastAsia="zh-CN"/>
        </w:rPr>
        <w:t xml:space="preserve">高邮经济开发区省级零碳园区建设规划方案</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val="en-US" w:eastAsia="zh-CN"/>
        </w:rPr>
        <w:t xml:space="preserve">，审核</w:t>
      </w:r>
      <w:r>
        <w:rPr>
          <w:rFonts w:hint="eastAsia" w:asciiTheme="minorEastAsia" w:hAnsiTheme="minorEastAsia" w:eastAsiaTheme="minorEastAsia" w:cstheme="minorEastAsia"/>
          <w:b w:val="0"/>
          <w:bCs/>
          <w:color w:val="auto"/>
          <w:sz w:val="21"/>
          <w:szCs w:val="21"/>
          <w:highlight w:val="none"/>
        </w:rPr>
        <w:t xml:space="preserve">《高邮经济开发区</w:t>
      </w:r>
      <w:r>
        <w:rPr>
          <w:rFonts w:hint="eastAsia" w:asciiTheme="minorEastAsia" w:hAnsiTheme="minorEastAsia" w:eastAsiaTheme="minorEastAsia" w:cstheme="minorEastAsia"/>
          <w:bCs/>
          <w:color w:val="auto"/>
          <w:sz w:val="21"/>
          <w:szCs w:val="21"/>
          <w:highlight w:val="none"/>
          <w:lang w:val="en-US" w:eastAsia="zh-CN"/>
        </w:rPr>
        <w:t xml:space="preserve">欧盟NG认证</w:t>
      </w:r>
      <w:r>
        <w:rPr>
          <w:rFonts w:hint="eastAsia" w:asciiTheme="minorEastAsia" w:hAnsiTheme="minorEastAsia" w:eastAsiaTheme="minorEastAsia" w:cstheme="minorEastAsia"/>
          <w:b w:val="0"/>
          <w:bCs/>
          <w:color w:val="auto"/>
          <w:sz w:val="21"/>
          <w:szCs w:val="21"/>
          <w:highlight w:val="none"/>
        </w:rPr>
        <w:t xml:space="preserve">建设</w:t>
      </w:r>
      <w:r>
        <w:rPr>
          <w:rFonts w:hint="eastAsia" w:asciiTheme="minorEastAsia" w:hAnsiTheme="minorEastAsia" w:eastAsiaTheme="minorEastAsia" w:cstheme="minorEastAsia"/>
          <w:b w:val="0"/>
          <w:bCs/>
          <w:color w:val="auto"/>
          <w:sz w:val="21"/>
          <w:szCs w:val="21"/>
          <w:highlight w:val="none"/>
          <w:lang w:val="en-US" w:eastAsia="zh-CN"/>
        </w:rPr>
        <w:t xml:space="preserve">规划</w:t>
      </w:r>
      <w:r>
        <w:rPr>
          <w:rFonts w:hint="eastAsia" w:asciiTheme="minorEastAsia" w:hAnsiTheme="minorEastAsia" w:eastAsiaTheme="minorEastAsia" w:cstheme="minorEastAsia"/>
          <w:b w:val="0"/>
          <w:bCs/>
          <w:color w:val="auto"/>
          <w:sz w:val="21"/>
          <w:szCs w:val="21"/>
          <w:highlight w:val="none"/>
        </w:rPr>
        <w:t xml:space="preserve">方案》</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Theme="minorEastAsia" w:hAnsiTheme="minorEastAsia" w:eastAsiaTheme="minorEastAsia" w:cstheme="minorEastAsia"/>
          <w:b w:val="0"/>
          <w:bCs/>
          <w:color w:val="auto"/>
          <w:sz w:val="21"/>
          <w:szCs w:val="21"/>
          <w:highlight w:val="none"/>
          <w:lang w:val="en-US" w:eastAsia="zh-CN"/>
        </w:rPr>
        <w:t xml:space="preserve">暂定名，以欧盟NG认证机构实际申报要求为准</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宋体" w:hAnsi="宋体" w:eastAsia="宋体" w:cs="宋体"/>
          <w:color w:val="auto"/>
          <w:spacing w:val="0"/>
          <w:sz w:val="21"/>
          <w:szCs w:val="21"/>
          <w:highlight w:val="none"/>
        </w:rPr>
        <w:t xml:space="preserve"> 。</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服务内容等要求详见招投标文件。</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2、合同总金额</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 本合同金额为（大写）：</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 元，人民币 (¥ </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 元）。</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2.2 本合同总金额包括乙方提供的服务及其他有关的为完成本项目发生的所有费用，招标文件中另有规定的除外。</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2.3 在招标文件未列明，而乙方认为履行本合同必需的费用也包含在合同总金额中。</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2.4 本合同总金额还包含乙方提供的伴随服务/售后服务费用。</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3、组成本合同的有关文件</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3.1 乙方应按招标文件规定的时间向甲方提供服务的有关技术资料。</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3.3 关于本项目政府采购的招投标文件或与本次采购活动方式相适应的文件及有关附件是本合同不可分割的组成部分，这些文件包括但不限于：</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（1）投标响应文件；               （2）投标报价文件；</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（3）项目组人员表；               （4）商务条款响应及偏离表；</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（5）服务承诺；                   （6）成交通知书；</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（7） 甲乙双方补充协议；          （8）乙方投标时提供的响应文件。</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4、知识产权保证</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5、产权保证</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乙方保证所交付的服务和服务所涉及的物品所有权无任何抵押、查封等权利瑕疵。</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6、履约保证金</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无</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7、转包或分包</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7.1 本合同禁止转包，本合同范围的服务，应由乙方直接提供的，不得转让他人提供。</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7.2 经甲方同意， 乙方可以依法采取分包方式履行合同，但是分包方式履行的，乙方应就采购项目向甲方负全责。</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8、服务期</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8.1 服务期：</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9、服务方式及服务地点</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9.1 服务方式：按照招标文件以及甲方要求。</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9.2 服务地点：</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10、货款支付</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10.1 本合同项下所有款项均以人民币支付。</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10.2 本合同项下的采购资金由甲方支付，付款前乙方向甲方开具发票。</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10.3 甲方付款方式：</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合同签订生效后，支付合同总价的</w:t>
      </w:r>
      <w:r>
        <w:rPr>
          <w:rFonts w:hint="eastAsia" w:ascii="宋体" w:hAnsi="宋体" w:eastAsia="宋体" w:cs="宋体"/>
          <w:color w:val="auto"/>
          <w:spacing w:val="0"/>
          <w:sz w:val="21"/>
          <w:szCs w:val="21"/>
          <w:highlight w:val="none"/>
          <w:lang w:val="en-US" w:eastAsia="zh-CN"/>
        </w:rPr>
        <w:t xml:space="preserve">30</w:t>
      </w:r>
      <w:r>
        <w:rPr>
          <w:rFonts w:hint="eastAsia" w:ascii="宋体" w:hAnsi="宋体" w:eastAsia="宋体" w:cs="宋体"/>
          <w:color w:val="auto"/>
          <w:spacing w:val="0"/>
          <w:sz w:val="21"/>
          <w:szCs w:val="21"/>
          <w:highlight w:val="none"/>
        </w:rPr>
        <w:t xml:space="preserve">%作为预付款</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即</w:t>
      </w:r>
      <w:r>
        <w:rPr>
          <w:rFonts w:hint="eastAsia" w:ascii="宋体" w:hAnsi="宋体" w:eastAsia="宋体" w:cs="宋体"/>
          <w:color w:val="auto"/>
          <w:spacing w:val="0"/>
          <w:sz w:val="21"/>
          <w:szCs w:val="21"/>
          <w:highlight w:val="none"/>
          <w:u w:val="single"/>
          <w:lang w:val="en-US" w:eastAsia="zh-CN"/>
        </w:rPr>
        <w:t xml:space="preserve">     万</w:t>
      </w:r>
      <w:r>
        <w:rPr>
          <w:rFonts w:hint="eastAsia" w:ascii="宋体" w:hAnsi="宋体" w:eastAsia="宋体" w:cs="宋体"/>
          <w:color w:val="auto"/>
          <w:spacing w:val="0"/>
          <w:sz w:val="21"/>
          <w:szCs w:val="21"/>
          <w:highlight w:val="none"/>
          <w:lang w:eastAsia="zh-CN"/>
        </w:rPr>
        <w:t xml:space="preserve">；</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完成</w:t>
      </w:r>
      <w:r>
        <w:rPr>
          <w:rFonts w:hint="eastAsia" w:asciiTheme="minorEastAsia" w:hAnsiTheme="minorEastAsia" w:eastAsiaTheme="minorEastAsia" w:cstheme="minorEastAsia"/>
          <w:b w:val="0"/>
          <w:bCs/>
          <w:color w:val="auto"/>
          <w:sz w:val="21"/>
          <w:szCs w:val="21"/>
          <w:highlight w:val="none"/>
        </w:rPr>
        <w:t xml:space="preserve">《高邮经济开发区零碳园区建设</w:t>
      </w:r>
      <w:r>
        <w:rPr>
          <w:rFonts w:hint="eastAsia" w:asciiTheme="minorEastAsia" w:hAnsiTheme="minorEastAsia" w:eastAsiaTheme="minorEastAsia" w:cstheme="minorEastAsia"/>
          <w:b w:val="0"/>
          <w:bCs/>
          <w:color w:val="auto"/>
          <w:sz w:val="21"/>
          <w:szCs w:val="21"/>
          <w:highlight w:val="none"/>
          <w:lang w:val="en-US" w:eastAsia="zh-CN"/>
        </w:rPr>
        <w:t xml:space="preserve">规划</w:t>
      </w:r>
      <w:r>
        <w:rPr>
          <w:rFonts w:hint="eastAsia" w:asciiTheme="minorEastAsia" w:hAnsiTheme="minorEastAsia" w:eastAsiaTheme="minorEastAsia" w:cstheme="minorEastAsia"/>
          <w:b w:val="0"/>
          <w:bCs/>
          <w:color w:val="auto"/>
          <w:sz w:val="21"/>
          <w:szCs w:val="21"/>
          <w:highlight w:val="none"/>
        </w:rPr>
        <w:t xml:space="preserve">方案》</w:t>
      </w:r>
      <w:r>
        <w:rPr>
          <w:rFonts w:hint="eastAsia" w:asciiTheme="minorEastAsia" w:hAnsiTheme="minorEastAsia" w:eastAsiaTheme="minorEastAsia" w:cstheme="minorEastAsia"/>
          <w:b w:val="0"/>
          <w:bCs/>
          <w:color w:val="auto"/>
          <w:sz w:val="21"/>
          <w:szCs w:val="21"/>
          <w:highlight w:val="none"/>
          <w:lang w:val="en-US" w:eastAsia="zh-CN"/>
        </w:rPr>
        <w:t xml:space="preserve">通过专家评审或业主验收后</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宋体" w:hAnsi="宋体" w:eastAsia="宋体" w:cs="宋体"/>
          <w:color w:val="auto"/>
          <w:spacing w:val="0"/>
          <w:sz w:val="21"/>
          <w:szCs w:val="21"/>
          <w:highlight w:val="none"/>
        </w:rPr>
        <w:t xml:space="preserve">支付</w:t>
      </w:r>
      <w:r>
        <w:rPr>
          <w:rFonts w:hint="eastAsia" w:ascii="宋体" w:hAnsi="宋体" w:eastAsia="宋体" w:cs="宋体"/>
          <w:color w:val="auto"/>
          <w:spacing w:val="0"/>
          <w:sz w:val="21"/>
          <w:szCs w:val="21"/>
          <w:highlight w:val="none"/>
          <w:lang w:val="en-US" w:eastAsia="zh-CN"/>
        </w:rPr>
        <w:t xml:space="preserve">方案编制报价的</w:t>
      </w:r>
      <w:r>
        <w:rPr>
          <w:rFonts w:hint="eastAsia" w:ascii="宋体" w:hAnsi="宋体" w:eastAsia="宋体" w:cs="宋体"/>
          <w:color w:val="auto"/>
          <w:spacing w:val="0"/>
          <w:sz w:val="21"/>
          <w:szCs w:val="21"/>
          <w:highlight w:val="none"/>
        </w:rPr>
        <w:t xml:space="preserve">的</w:t>
      </w:r>
      <w:r>
        <w:rPr>
          <w:rFonts w:hint="eastAsia" w:ascii="宋体" w:hAnsi="宋体" w:eastAsia="宋体" w:cs="宋体"/>
          <w:color w:val="auto"/>
          <w:spacing w:val="0"/>
          <w:sz w:val="21"/>
          <w:szCs w:val="21"/>
          <w:highlight w:val="none"/>
          <w:lang w:val="en-US" w:eastAsia="zh-CN"/>
        </w:rPr>
        <w:t xml:space="preserve">10</w:t>
      </w:r>
      <w:r>
        <w:rPr>
          <w:rFonts w:hint="eastAsia" w:ascii="宋体" w:hAnsi="宋体" w:eastAsia="宋体" w:cs="宋体"/>
          <w:color w:val="auto"/>
          <w:spacing w:val="0"/>
          <w:sz w:val="21"/>
          <w:szCs w:val="21"/>
          <w:highlight w:val="none"/>
        </w:rPr>
        <w:t xml:space="preserve">%作为</w:t>
      </w:r>
      <w:r>
        <w:rPr>
          <w:rFonts w:hint="eastAsia" w:ascii="宋体" w:hAnsi="宋体" w:eastAsia="宋体" w:cs="宋体"/>
          <w:color w:val="auto"/>
          <w:spacing w:val="0"/>
          <w:sz w:val="21"/>
          <w:szCs w:val="21"/>
          <w:highlight w:val="none"/>
          <w:lang w:val="en-US" w:eastAsia="zh-CN"/>
        </w:rPr>
        <w:t xml:space="preserve">进度款</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即</w:t>
      </w:r>
      <w:r>
        <w:rPr>
          <w:rFonts w:hint="eastAsia" w:ascii="宋体" w:hAnsi="宋体" w:eastAsia="宋体" w:cs="宋体"/>
          <w:color w:val="auto"/>
          <w:spacing w:val="0"/>
          <w:sz w:val="21"/>
          <w:szCs w:val="21"/>
          <w:highlight w:val="none"/>
          <w:u w:val="single"/>
          <w:lang w:val="en-US" w:eastAsia="zh-CN"/>
        </w:rPr>
        <w:t xml:space="preserve">     万</w:t>
      </w:r>
      <w:r>
        <w:rPr>
          <w:rFonts w:hint="eastAsia" w:ascii="宋体" w:hAnsi="宋体" w:eastAsia="宋体" w:cs="宋体"/>
          <w:color w:val="auto"/>
          <w:spacing w:val="0"/>
          <w:sz w:val="21"/>
          <w:szCs w:val="21"/>
          <w:highlight w:val="none"/>
          <w:lang w:eastAsia="zh-CN"/>
        </w:rPr>
        <w:t xml:space="preserve">；</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完成</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eastAsia="zh-CN"/>
        </w:rPr>
        <w:t xml:space="preserve">高邮经济开发区省级零碳园区</w:t>
      </w:r>
      <w:r>
        <w:rPr>
          <w:rFonts w:hint="eastAsia" w:asciiTheme="minorEastAsia" w:hAnsiTheme="minorEastAsia" w:eastAsiaTheme="minorEastAsia" w:cstheme="minorEastAsia"/>
          <w:b w:val="0"/>
          <w:bCs/>
          <w:color w:val="auto"/>
          <w:sz w:val="21"/>
          <w:szCs w:val="21"/>
          <w:highlight w:val="none"/>
          <w:lang w:val="en-US" w:eastAsia="zh-CN"/>
        </w:rPr>
        <w:t xml:space="preserve">申报书</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val="en-US" w:eastAsia="zh-CN"/>
        </w:rPr>
        <w:t xml:space="preserve">并入选省级</w:t>
      </w:r>
      <w:r>
        <w:rPr>
          <w:rFonts w:hint="eastAsia" w:asciiTheme="minorEastAsia" w:hAnsiTheme="minorEastAsia" w:eastAsiaTheme="minorEastAsia" w:cstheme="minorEastAsia"/>
          <w:b w:val="0"/>
          <w:bCs/>
          <w:color w:val="auto"/>
          <w:sz w:val="21"/>
          <w:szCs w:val="21"/>
          <w:highlight w:val="none"/>
          <w:lang w:eastAsia="zh-CN"/>
        </w:rPr>
        <w:t xml:space="preserve">零碳园区</w:t>
      </w:r>
      <w:r>
        <w:rPr>
          <w:rFonts w:hint="eastAsia" w:asciiTheme="minorEastAsia" w:hAnsiTheme="minorEastAsia" w:eastAsiaTheme="minorEastAsia" w:cstheme="minorEastAsia"/>
          <w:b w:val="0"/>
          <w:bCs/>
          <w:color w:val="auto"/>
          <w:sz w:val="21"/>
          <w:szCs w:val="21"/>
          <w:highlight w:val="none"/>
          <w:lang w:val="en-US" w:eastAsia="zh-CN"/>
        </w:rPr>
        <w:t xml:space="preserve">建设名单</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宋体" w:hAnsi="宋体" w:eastAsia="宋体" w:cs="宋体"/>
          <w:color w:val="auto"/>
          <w:spacing w:val="0"/>
          <w:sz w:val="21"/>
          <w:szCs w:val="21"/>
          <w:highlight w:val="none"/>
        </w:rPr>
        <w:t xml:space="preserve">付</w:t>
      </w:r>
      <w:r>
        <w:rPr>
          <w:rFonts w:hint="eastAsia" w:ascii="宋体" w:hAnsi="宋体" w:eastAsia="宋体" w:cs="宋体"/>
          <w:color w:val="auto"/>
          <w:spacing w:val="0"/>
          <w:sz w:val="21"/>
          <w:szCs w:val="21"/>
          <w:highlight w:val="none"/>
          <w:lang w:val="en-US" w:eastAsia="zh-CN"/>
        </w:rPr>
        <w:t xml:space="preserve">清省级申报部分报价费用</w:t>
      </w:r>
      <w:r>
        <w:rPr>
          <w:rFonts w:hint="eastAsia" w:ascii="宋体" w:hAnsi="宋体" w:eastAsia="宋体" w:cs="宋体"/>
          <w:color w:val="auto"/>
          <w:spacing w:val="0"/>
          <w:sz w:val="21"/>
          <w:szCs w:val="21"/>
          <w:highlight w:val="none"/>
        </w:rPr>
        <w:t xml:space="preserve">作为</w:t>
      </w:r>
      <w:r>
        <w:rPr>
          <w:rFonts w:hint="eastAsia" w:ascii="宋体" w:hAnsi="宋体" w:eastAsia="宋体" w:cs="宋体"/>
          <w:color w:val="auto"/>
          <w:spacing w:val="0"/>
          <w:sz w:val="21"/>
          <w:szCs w:val="21"/>
          <w:highlight w:val="none"/>
          <w:lang w:val="en-US" w:eastAsia="zh-CN"/>
        </w:rPr>
        <w:t xml:space="preserve">进度款</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即 </w:t>
      </w:r>
      <w:r>
        <w:rPr>
          <w:rFonts w:hint="eastAsia" w:ascii="宋体" w:hAnsi="宋体" w:eastAsia="宋体" w:cs="宋体"/>
          <w:color w:val="auto"/>
          <w:spacing w:val="0"/>
          <w:sz w:val="21"/>
          <w:szCs w:val="21"/>
          <w:highlight w:val="none"/>
          <w:u w:val="single"/>
          <w:lang w:val="en-US" w:eastAsia="zh-CN"/>
        </w:rPr>
        <w:t xml:space="preserve">     万</w:t>
      </w:r>
      <w:r>
        <w:rPr>
          <w:rFonts w:hint="eastAsia" w:ascii="宋体" w:hAnsi="宋体" w:eastAsia="宋体" w:cs="宋体"/>
          <w:color w:val="auto"/>
          <w:spacing w:val="0"/>
          <w:sz w:val="21"/>
          <w:szCs w:val="21"/>
          <w:highlight w:val="none"/>
          <w:lang w:eastAsia="zh-CN"/>
        </w:rPr>
        <w:t xml:space="preserve">；</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完成</w:t>
      </w:r>
      <w:r>
        <w:rPr>
          <w:rFonts w:hint="eastAsia" w:asciiTheme="minorEastAsia" w:hAnsiTheme="minorEastAsia" w:eastAsiaTheme="minorEastAsia" w:cstheme="minorEastAsia"/>
          <w:b w:val="0"/>
          <w:bCs/>
          <w:color w:val="auto"/>
          <w:sz w:val="21"/>
          <w:szCs w:val="21"/>
          <w:highlight w:val="none"/>
        </w:rPr>
        <w:t xml:space="preserve">《高邮经济开发区</w:t>
      </w:r>
      <w:r>
        <w:rPr>
          <w:rFonts w:hint="eastAsia" w:asciiTheme="minorEastAsia" w:hAnsiTheme="minorEastAsia" w:eastAsiaTheme="minorEastAsia" w:cstheme="minorEastAsia"/>
          <w:b w:val="0"/>
          <w:bCs/>
          <w:color w:val="auto"/>
          <w:sz w:val="21"/>
          <w:szCs w:val="21"/>
          <w:highlight w:val="none"/>
          <w:lang w:val="en-US" w:eastAsia="zh-CN"/>
        </w:rPr>
        <w:t xml:space="preserve">国家级</w:t>
      </w:r>
      <w:r>
        <w:rPr>
          <w:rFonts w:hint="eastAsia" w:asciiTheme="minorEastAsia" w:hAnsiTheme="minorEastAsia" w:eastAsiaTheme="minorEastAsia" w:cstheme="minorEastAsia"/>
          <w:b w:val="0"/>
          <w:bCs/>
          <w:color w:val="auto"/>
          <w:sz w:val="21"/>
          <w:szCs w:val="21"/>
          <w:highlight w:val="none"/>
        </w:rPr>
        <w:t xml:space="preserve">零碳园区</w:t>
      </w:r>
      <w:r>
        <w:rPr>
          <w:rFonts w:hint="eastAsia" w:asciiTheme="minorEastAsia" w:hAnsiTheme="minorEastAsia" w:eastAsiaTheme="minorEastAsia" w:cstheme="minorEastAsia"/>
          <w:b w:val="0"/>
          <w:bCs/>
          <w:color w:val="auto"/>
          <w:sz w:val="21"/>
          <w:szCs w:val="21"/>
          <w:highlight w:val="none"/>
          <w:lang w:val="en-US" w:eastAsia="zh-CN"/>
        </w:rPr>
        <w:t xml:space="preserve">申报书</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val="en-US" w:eastAsia="zh-CN"/>
        </w:rPr>
        <w:t xml:space="preserve">并入选国家级</w:t>
      </w:r>
      <w:r>
        <w:rPr>
          <w:rFonts w:hint="eastAsia" w:asciiTheme="minorEastAsia" w:hAnsiTheme="minorEastAsia" w:eastAsiaTheme="minorEastAsia" w:cstheme="minorEastAsia"/>
          <w:b w:val="0"/>
          <w:bCs/>
          <w:color w:val="auto"/>
          <w:sz w:val="21"/>
          <w:szCs w:val="21"/>
          <w:highlight w:val="none"/>
          <w:lang w:eastAsia="zh-CN"/>
        </w:rPr>
        <w:t xml:space="preserve">零碳园区</w:t>
      </w:r>
      <w:r>
        <w:rPr>
          <w:rFonts w:hint="eastAsia" w:asciiTheme="minorEastAsia" w:hAnsiTheme="minorEastAsia" w:eastAsiaTheme="minorEastAsia" w:cstheme="minorEastAsia"/>
          <w:b w:val="0"/>
          <w:bCs/>
          <w:color w:val="auto"/>
          <w:sz w:val="21"/>
          <w:szCs w:val="21"/>
          <w:highlight w:val="none"/>
          <w:lang w:val="en-US" w:eastAsia="zh-CN"/>
        </w:rPr>
        <w:t xml:space="preserve">建设名单</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付清</w:t>
      </w:r>
      <w:r>
        <w:rPr>
          <w:rFonts w:hint="eastAsia" w:asciiTheme="minorEastAsia" w:hAnsiTheme="minorEastAsia" w:eastAsiaTheme="minorEastAsia" w:cstheme="minorEastAsia"/>
          <w:b w:val="0"/>
          <w:bCs/>
          <w:color w:val="auto"/>
          <w:sz w:val="21"/>
          <w:szCs w:val="21"/>
          <w:highlight w:val="none"/>
          <w:lang w:val="en-US" w:eastAsia="zh-CN"/>
        </w:rPr>
        <w:t xml:space="preserve">国家级</w:t>
      </w:r>
      <w:r>
        <w:rPr>
          <w:rFonts w:hint="eastAsia" w:ascii="宋体" w:hAnsi="宋体" w:eastAsia="宋体" w:cs="宋体"/>
          <w:color w:val="auto"/>
          <w:spacing w:val="0"/>
          <w:sz w:val="21"/>
          <w:szCs w:val="21"/>
          <w:highlight w:val="none"/>
          <w:lang w:val="en-US" w:eastAsia="zh-CN"/>
        </w:rPr>
        <w:t xml:space="preserve">申报部分报价费用</w:t>
      </w:r>
      <w:r>
        <w:rPr>
          <w:rFonts w:hint="eastAsia" w:ascii="宋体" w:hAnsi="宋体" w:eastAsia="宋体" w:cs="宋体"/>
          <w:color w:val="auto"/>
          <w:spacing w:val="0"/>
          <w:sz w:val="21"/>
          <w:szCs w:val="21"/>
          <w:highlight w:val="none"/>
        </w:rPr>
        <w:t xml:space="preserve">作为</w:t>
      </w:r>
      <w:r>
        <w:rPr>
          <w:rFonts w:hint="eastAsia" w:ascii="宋体" w:hAnsi="宋体" w:eastAsia="宋体" w:cs="宋体"/>
          <w:color w:val="auto"/>
          <w:spacing w:val="0"/>
          <w:sz w:val="21"/>
          <w:szCs w:val="21"/>
          <w:highlight w:val="none"/>
          <w:lang w:val="en-US" w:eastAsia="zh-CN"/>
        </w:rPr>
        <w:t xml:space="preserve">进度款</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即</w:t>
      </w:r>
      <w:r>
        <w:rPr>
          <w:rFonts w:hint="eastAsia" w:ascii="宋体" w:hAnsi="宋体" w:eastAsia="宋体" w:cs="宋体"/>
          <w:color w:val="auto"/>
          <w:spacing w:val="0"/>
          <w:sz w:val="21"/>
          <w:szCs w:val="21"/>
          <w:highlight w:val="none"/>
          <w:u w:val="single"/>
          <w:lang w:val="en-US" w:eastAsia="zh-CN"/>
        </w:rPr>
        <w:t xml:space="preserve">     万</w:t>
      </w:r>
      <w:r>
        <w:rPr>
          <w:rFonts w:hint="eastAsia" w:ascii="宋体" w:hAnsi="宋体" w:eastAsia="宋体" w:cs="宋体"/>
          <w:color w:val="auto"/>
          <w:spacing w:val="0"/>
          <w:sz w:val="21"/>
          <w:szCs w:val="21"/>
          <w:highlight w:val="none"/>
          <w:lang w:eastAsia="zh-CN"/>
        </w:rPr>
        <w:t xml:space="preserve">；</w:t>
      </w:r>
      <w:r/>
    </w:p>
    <w:p>
      <w:pPr>
        <w:pStyle w:val="984"/>
        <w:ind w:left="0" w:right="0" w:firstLine="420"/>
        <w:keepLines w:val="0"/>
        <w:keepNext w:val="0"/>
        <w:pageBreakBefore w:val="0"/>
        <w:spacing w:after="0" w:line="360" w:lineRule="auto"/>
        <w:widowControl/>
        <w:rPr>
          <w:rFonts w:hint="default" w:asciiTheme="minorEastAsia" w:hAnsiTheme="minorEastAsia" w:eastAsiaTheme="minorEastAsia" w:cstheme="minorEastAsia"/>
          <w:b w:val="0"/>
          <w:bCs/>
          <w:color w:val="auto"/>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完成</w:t>
      </w:r>
      <w:r>
        <w:rPr>
          <w:rFonts w:hint="eastAsia" w:asciiTheme="minorEastAsia" w:hAnsiTheme="minorEastAsia" w:eastAsiaTheme="minorEastAsia" w:cstheme="minorEastAsia"/>
          <w:b w:val="0"/>
          <w:bCs/>
          <w:color w:val="auto"/>
          <w:sz w:val="21"/>
          <w:szCs w:val="21"/>
          <w:highlight w:val="none"/>
        </w:rPr>
        <w:t xml:space="preserve">《高邮经济开发区</w:t>
      </w:r>
      <w:r>
        <w:rPr>
          <w:rFonts w:hint="eastAsia" w:asciiTheme="minorEastAsia" w:hAnsiTheme="minorEastAsia" w:eastAsiaTheme="minorEastAsia" w:cstheme="minorEastAsia"/>
          <w:bCs/>
          <w:color w:val="auto"/>
          <w:sz w:val="21"/>
          <w:szCs w:val="21"/>
          <w:highlight w:val="none"/>
          <w:lang w:val="en-US" w:eastAsia="zh-CN"/>
        </w:rPr>
        <w:t xml:space="preserve">欧盟NG认证</w:t>
      </w:r>
      <w:r>
        <w:rPr>
          <w:rFonts w:hint="eastAsia" w:asciiTheme="minorEastAsia" w:hAnsiTheme="minorEastAsia" w:eastAsiaTheme="minorEastAsia" w:cstheme="minorEastAsia"/>
          <w:b w:val="0"/>
          <w:bCs/>
          <w:color w:val="auto"/>
          <w:sz w:val="21"/>
          <w:szCs w:val="21"/>
          <w:highlight w:val="none"/>
          <w:lang w:val="en-US" w:eastAsia="zh-CN"/>
        </w:rPr>
        <w:t xml:space="preserve">申报书</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Theme="minorEastAsia" w:hAnsiTheme="minorEastAsia" w:eastAsiaTheme="minorEastAsia" w:cstheme="minorEastAsia"/>
          <w:b w:val="0"/>
          <w:bCs/>
          <w:color w:val="auto"/>
          <w:sz w:val="21"/>
          <w:szCs w:val="21"/>
          <w:highlight w:val="none"/>
          <w:lang w:val="en-US" w:eastAsia="zh-CN"/>
        </w:rPr>
        <w:t xml:space="preserve">并取得</w:t>
      </w:r>
      <w:r>
        <w:rPr>
          <w:rFonts w:hint="eastAsia" w:asciiTheme="minorEastAsia" w:hAnsiTheme="minorEastAsia" w:eastAsiaTheme="minorEastAsia" w:cstheme="minorEastAsia"/>
          <w:bCs/>
          <w:color w:val="auto"/>
          <w:sz w:val="21"/>
          <w:szCs w:val="21"/>
          <w:highlight w:val="none"/>
          <w:lang w:val="en-US" w:eastAsia="zh-CN"/>
        </w:rPr>
        <w:t xml:space="preserve">欧盟NG认证</w:t>
      </w:r>
      <w:r>
        <w:rPr>
          <w:rFonts w:hint="eastAsia" w:asciiTheme="minorEastAsia" w:hAnsiTheme="minorEastAsia" w:eastAsiaTheme="minorEastAsia" w:cstheme="minorEastAsia"/>
          <w:b w:val="0"/>
          <w:bCs/>
          <w:color w:val="auto"/>
          <w:sz w:val="21"/>
          <w:szCs w:val="21"/>
          <w:highlight w:val="none"/>
          <w:lang w:val="en-US" w:eastAsia="zh-CN"/>
        </w:rPr>
        <w:t xml:space="preserve">名单</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付清</w:t>
      </w:r>
      <w:r>
        <w:rPr>
          <w:rFonts w:hint="eastAsia" w:asciiTheme="minorEastAsia" w:hAnsiTheme="minorEastAsia" w:eastAsiaTheme="minorEastAsia" w:cstheme="minorEastAsia"/>
          <w:b w:val="0"/>
          <w:bCs/>
          <w:color w:val="auto"/>
          <w:sz w:val="21"/>
          <w:szCs w:val="21"/>
          <w:highlight w:val="none"/>
          <w:lang w:val="en-US" w:eastAsia="zh-CN"/>
        </w:rPr>
        <w:t xml:space="preserve">NG专项认证申报</w:t>
      </w:r>
      <w:r>
        <w:rPr>
          <w:rFonts w:hint="eastAsia" w:ascii="宋体" w:hAnsi="宋体" w:eastAsia="宋体" w:cs="宋体"/>
          <w:color w:val="auto"/>
          <w:spacing w:val="0"/>
          <w:sz w:val="21"/>
          <w:szCs w:val="21"/>
          <w:highlight w:val="none"/>
          <w:lang w:val="en-US" w:eastAsia="zh-CN"/>
        </w:rPr>
        <w:t xml:space="preserve">部分报价费用</w:t>
      </w:r>
      <w:r>
        <w:rPr>
          <w:rFonts w:hint="eastAsia" w:ascii="宋体" w:hAnsi="宋体" w:eastAsia="宋体" w:cs="宋体"/>
          <w:color w:val="auto"/>
          <w:spacing w:val="0"/>
          <w:sz w:val="21"/>
          <w:szCs w:val="21"/>
          <w:highlight w:val="none"/>
        </w:rPr>
        <w:t xml:space="preserve">作为</w:t>
      </w:r>
      <w:r>
        <w:rPr>
          <w:rFonts w:hint="eastAsia" w:ascii="宋体" w:hAnsi="宋体" w:eastAsia="宋体" w:cs="宋体"/>
          <w:color w:val="auto"/>
          <w:spacing w:val="0"/>
          <w:sz w:val="21"/>
          <w:szCs w:val="21"/>
          <w:highlight w:val="none"/>
          <w:lang w:val="en-US" w:eastAsia="zh-CN"/>
        </w:rPr>
        <w:t xml:space="preserve">进度款</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即</w:t>
      </w:r>
      <w:r>
        <w:rPr>
          <w:rFonts w:hint="eastAsia" w:ascii="宋体" w:hAnsi="宋体" w:eastAsia="宋体" w:cs="宋体"/>
          <w:color w:val="auto"/>
          <w:spacing w:val="0"/>
          <w:sz w:val="21"/>
          <w:szCs w:val="21"/>
          <w:highlight w:val="none"/>
          <w:u w:val="single"/>
          <w:lang w:val="en-US" w:eastAsia="zh-CN"/>
        </w:rPr>
        <w:t xml:space="preserve">     万</w:t>
      </w:r>
      <w:r>
        <w:rPr>
          <w:rFonts w:hint="eastAsia" w:ascii="宋体" w:hAnsi="宋体" w:eastAsia="宋体" w:cs="宋体"/>
          <w:color w:val="auto"/>
          <w:spacing w:val="0"/>
          <w:sz w:val="21"/>
          <w:szCs w:val="21"/>
          <w:highlight w:val="none"/>
          <w:lang w:eastAsia="zh-CN"/>
        </w:rPr>
        <w:t xml:space="preserve">；</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服务期满后根据实际完成工作进度付清余款，不计息</w:t>
      </w:r>
      <w:r>
        <w:rPr>
          <w:rFonts w:hint="eastAsia" w:ascii="宋体" w:hAnsi="宋体" w:eastAsia="宋体" w:cs="宋体"/>
          <w:color w:val="auto"/>
          <w:spacing w:val="0"/>
          <w:sz w:val="21"/>
          <w:szCs w:val="21"/>
          <w:highlight w:val="none"/>
          <w:lang w:eastAsia="zh-CN"/>
        </w:rPr>
        <w:t xml:space="preserve">；</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注： 以上资金支付时间为自甲方收到发票之日起 15 个工作日内完成支付。</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11、税费</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本合同执行中相关的一切税费均由乙方负担。</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12、质量保证及售后服务</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12.1 乙方应按招标文件规定及响应文件承诺的服务内容、服务标准向甲方提供服务；若无特殊说明，则按国家有关部门最新颁布的标准及规范为准。</w:t>
      </w:r>
      <w:r/>
    </w:p>
    <w:p>
      <w:pPr>
        <w:ind w:left="0" w:right="0" w:firstLine="420"/>
        <w:keepLines w:val="0"/>
        <w:keepNext w:val="0"/>
        <w:pageBreakBefore w:val="0"/>
        <w:spacing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12.2 乙方应保证其提供的服务是全面和规范的，并完全符合招投标文件。如因乙方提</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供的服务有瑕疵造成甲方损失的，所需费用由乙方承担。</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12.3 如在服务过程中发生问题，乙方在接到甲方通知后在 2 小时内到达甲方指定地点。</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12.4 乙方应对所提供服务出现的质量及安全问题负责处理解决并承担一切费用。</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13、交付和验收</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13.1 乙方应当服务期内完成服务事项，招标文件有约定的，从其约定。</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在交付前，乙方应向甲方针对本项目服务内容作全面汇报，并对全部工作内容进行整理归纳，作为甲方初验收和使用的技术条件依据，检验的成果移交甲方。</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13.2 验收标准：按乙方投标文件的承诺，并不低于国家相关标准。</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对于乙方要交付的服务， 甲乙双方须在 </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 工作日内初验收， 甲方对乙方提交的服务依据招标文件上的技术要求和国家有关质量标准进行现场初步验收，外观、说明书、包装符合招标文件技术要求的，给予签收，初步验收不合格的不予签收。</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13.3 对技术复杂的服务内容， 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13.4 甲乙双方关于验收的其他约定：</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14、违约责任</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14.1 乙方所交的服务项目全部或部分质量不符合合同规定及招标文件规定标准的，需根据甲方整改要求继续完善项目服务，直至符合合同规定及招标文件规定标准。</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14.2 合同生效后，发现乙方投标属虚假承诺，或经权威部门监测提供的服务不能满足招标文件要求，造成合同无法继续履行的，乙方应承担由此造成的全部责任。</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15、不可抗力事件处理</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15.1 在合同有效期内， 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15.2 不可抗力事件发生后，应立即通知对方，并寄送有关权威机构出具的证明。除甲方书面另行要求外，乙方应尽实际可能继续履行合同义务， 以及寻求采取合理的方案履行不受不可抗力影响的其他事项。若不可抗力事件延续 120 天以上，双方应通过友好协商，确定是否继续履行合同。</w:t>
      </w:r>
      <w:r/>
    </w:p>
    <w:p>
      <w:pPr>
        <w:ind w:left="0" w:right="0" w:firstLine="422"/>
        <w:keepLines w:val="0"/>
        <w:keepNext w:val="0"/>
        <w:pageBreakBefore w:val="0"/>
        <w:spacing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16、争议解决</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16.1 因服务的品质质量问题发生争议的，可在国家认可的质量检测机构对服务内容质量进行鉴定。服务符合标准的，鉴定费由甲方承担；服务项目不符合质量标准的，鉴定费由乙方承担。</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16.2 因履行本合同引起的或与本合同有关的争议， 甲、乙双方应首先通过友好协商解决；如果协商不能解决争议， 甲乙双方同意采取下列两种方式的第（2）种方式解决争议：</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（1）向</w:t>
      </w:r>
      <w:r>
        <w:rPr>
          <w:rFonts w:hint="eastAsia" w:ascii="宋体" w:hAnsi="宋体" w:eastAsia="宋体" w:cs="宋体"/>
          <w:color w:val="auto"/>
          <w:spacing w:val="0"/>
          <w:sz w:val="21"/>
          <w:szCs w:val="21"/>
          <w:highlight w:val="none"/>
          <w:lang w:val="en-US" w:eastAsia="zh-CN"/>
        </w:rPr>
        <w:t xml:space="preserve">合同方任意一方</w:t>
      </w:r>
      <w:r>
        <w:rPr>
          <w:rFonts w:hint="eastAsia" w:ascii="宋体" w:hAnsi="宋体" w:eastAsia="宋体" w:cs="宋体"/>
          <w:color w:val="auto"/>
          <w:spacing w:val="0"/>
          <w:sz w:val="21"/>
          <w:szCs w:val="21"/>
          <w:highlight w:val="none"/>
        </w:rPr>
        <w:t xml:space="preserve">所在地有管辖权的人民法院提起诉讼，适用中华人民共和国法律；</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（2）向</w:t>
      </w:r>
      <w:r>
        <w:rPr>
          <w:rFonts w:hint="eastAsia" w:ascii="宋体" w:hAnsi="宋体" w:eastAsia="宋体" w:cs="宋体"/>
          <w:color w:val="auto"/>
          <w:spacing w:val="0"/>
          <w:sz w:val="21"/>
          <w:szCs w:val="21"/>
          <w:highlight w:val="none"/>
          <w:lang w:val="en-US" w:eastAsia="zh-CN"/>
        </w:rPr>
        <w:t xml:space="preserve">合同方任意一方</w:t>
      </w:r>
      <w:r>
        <w:rPr>
          <w:rFonts w:hint="eastAsia" w:ascii="宋体" w:hAnsi="宋体" w:eastAsia="宋体" w:cs="宋体"/>
          <w:color w:val="auto"/>
          <w:spacing w:val="0"/>
          <w:sz w:val="21"/>
          <w:szCs w:val="21"/>
          <w:highlight w:val="none"/>
        </w:rPr>
        <w:t xml:space="preserve">仲裁委员会按其仲裁规则申请仲裁。</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16.3 若甲乙双方任何一方都没有选择解除合同的，为避免扩大损失，在诉讼或仲裁期间，双方应继续履行。</w:t>
      </w:r>
      <w:r/>
    </w:p>
    <w:p>
      <w:pPr>
        <w:pStyle w:val="984"/>
        <w:ind w:left="0" w:right="0" w:firstLine="422"/>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17、合同其它</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17.1 乙方应诚实信用，严格按照招标文件要求和投标承诺履行合同，不向甲方进行商业贿赂或者提供不正当利益。</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17.2 合同经双方法定代表人或授权代表签字并加盖单位公章，并经江苏中鑫项目管理有限公司见证盖章后生效。</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17.2 本合同未尽事宜，遵照《民法典》有关条文执行。</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17.3 本合同正本一式四份，具有同等法律效力， 甲方、乙方各执贰份。</w:t>
      </w:r>
      <w:r/>
    </w:p>
    <w:p>
      <w:pPr>
        <w:ind w:left="0" w:right="0" w:firstLine="420"/>
        <w:keepLines w:val="0"/>
        <w:keepNext w:val="0"/>
        <w:pageBreakBefore w:val="0"/>
        <w:spacing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ind w:left="0" w:right="0" w:firstLine="420"/>
        <w:keepLines w:val="0"/>
        <w:keepNext w:val="0"/>
        <w:pageBreakBefore w:val="0"/>
        <w:spacing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ind w:left="0" w:right="0" w:firstLine="420"/>
        <w:keepLines w:val="0"/>
        <w:keepNext w:val="0"/>
        <w:pageBreakBefore w:val="0"/>
        <w:spacing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ind w:left="0" w:right="0" w:firstLine="420"/>
        <w:keepLines w:val="0"/>
        <w:keepNext w:val="0"/>
        <w:pageBreakBefore w:val="0"/>
        <w:spacing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甲方：                                      乙方：</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地址：                                    地址：</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法定代表人或授权代表：                   法定代表人或授权代表：</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联系电话：                                联系电话：</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日期：      年    月    日                日期：      年    月    日</w:t>
      </w:r>
      <w:r/>
    </w:p>
    <w:p>
      <w:pPr>
        <w:ind w:left="0" w:right="0" w:firstLine="420"/>
        <w:keepLines w:val="0"/>
        <w:keepNext w:val="0"/>
        <w:pageBreakBefore w:val="0"/>
        <w:spacing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ind w:left="0" w:right="0" w:firstLine="420"/>
        <w:keepLines w:val="0"/>
        <w:keepNext w:val="0"/>
        <w:pageBreakBefore w:val="0"/>
        <w:spacing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见证方：</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项目经办人：</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rPr>
      </w:pPr>
      <w:r/>
      <w:bookmarkStart w:id="18" w:name="bookmark4"/>
      <w:r/>
      <w:bookmarkEnd w:id="18"/>
      <w:r>
        <w:rPr>
          <w:rFonts w:hint="eastAsia" w:ascii="宋体" w:hAnsi="宋体" w:eastAsia="宋体" w:cs="宋体"/>
          <w:color w:val="auto"/>
          <w:spacing w:val="0"/>
          <w:sz w:val="21"/>
          <w:szCs w:val="21"/>
          <w:highlight w:val="none"/>
        </w:rPr>
        <w:t xml:space="preserve">日期：     年   月   日</w:t>
      </w:r>
      <w:r/>
    </w:p>
    <w:p>
      <w:pPr>
        <w:rPr>
          <w:rFonts w:hint="eastAsia"/>
          <w:b/>
          <w:bCs/>
          <w:color w:val="auto"/>
          <w:sz w:val="28"/>
          <w:highlight w:val="none"/>
        </w:rPr>
      </w:pPr>
      <w:r>
        <w:rPr>
          <w:rFonts w:hint="eastAsia"/>
          <w:b/>
          <w:bCs/>
          <w:color w:val="auto"/>
          <w:sz w:val="28"/>
          <w:highlight w:val="none"/>
        </w:rPr>
      </w:r>
      <w:r/>
    </w:p>
    <w:p>
      <w:pPr>
        <w:rPr>
          <w:rFonts w:hint="eastAsia"/>
          <w:b/>
          <w:bCs/>
          <w:color w:val="auto"/>
          <w:sz w:val="28"/>
          <w:highlight w:val="none"/>
        </w:rPr>
      </w:pPr>
      <w:r>
        <w:rPr>
          <w:rFonts w:hint="eastAsia"/>
          <w:b/>
          <w:bCs/>
          <w:color w:val="auto"/>
          <w:sz w:val="28"/>
          <w:highlight w:val="none"/>
        </w:rPr>
        <w:br w:type="page" w:clear="all"/>
      </w:r>
      <w:r/>
    </w:p>
    <w:p>
      <w:pPr>
        <w:pStyle w:val="984"/>
        <w:rPr>
          <w:rFonts w:hint="eastAsia"/>
          <w:color w:val="auto"/>
          <w:highlight w:val="none"/>
        </w:rPr>
      </w:pPr>
      <w:r>
        <w:rPr>
          <w:rFonts w:hint="eastAsia"/>
          <w:color w:val="auto"/>
          <w:highlight w:val="none"/>
        </w:rPr>
      </w:r>
      <w:r/>
    </w:p>
    <w:p>
      <w:pPr>
        <w:pStyle w:val="977"/>
        <w:jc w:val="center"/>
        <w:spacing w:before="0" w:after="0"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第四章  项目需求</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一、项目概况</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为贯彻落实国家“双碳”战略，加快推进高邮经济开发区绿色低碳转型</w:t>
      </w:r>
      <w:r>
        <w:rPr>
          <w:rFonts w:hint="eastAsia" w:asciiTheme="minorEastAsia" w:hAnsiTheme="minorEastAsia" w:eastAsiaTheme="minorEastAsia" w:cstheme="minorEastAsia"/>
          <w:b w:val="0"/>
          <w:bCs/>
          <w:color w:val="auto"/>
          <w:sz w:val="21"/>
          <w:szCs w:val="21"/>
          <w:highlight w:val="none"/>
          <w:lang w:val="en-US" w:eastAsia="zh-CN"/>
        </w:rPr>
        <w:t xml:space="preserve">和国际竞争力</w:t>
      </w:r>
      <w:r>
        <w:rPr>
          <w:rFonts w:hint="eastAsia" w:asciiTheme="minorEastAsia" w:hAnsiTheme="minorEastAsia" w:eastAsiaTheme="minorEastAsia" w:cstheme="minorEastAsia"/>
          <w:b w:val="0"/>
          <w:bCs/>
          <w:color w:val="auto"/>
          <w:sz w:val="21"/>
          <w:szCs w:val="21"/>
          <w:highlight w:val="none"/>
        </w:rPr>
        <w:t xml:space="preserve">，拟</w:t>
      </w:r>
      <w:r>
        <w:rPr>
          <w:rFonts w:hint="eastAsia" w:asciiTheme="minorEastAsia" w:hAnsiTheme="minorEastAsia" w:eastAsiaTheme="minorEastAsia" w:cstheme="minorEastAsia"/>
          <w:b w:val="0"/>
          <w:bCs/>
          <w:color w:val="auto"/>
          <w:sz w:val="21"/>
          <w:szCs w:val="21"/>
          <w:highlight w:val="none"/>
          <w:lang w:val="en-US" w:eastAsia="zh-CN"/>
        </w:rPr>
        <w:t xml:space="preserve">编制零碳园区建设方案，争</w:t>
      </w:r>
      <w:r>
        <w:rPr>
          <w:rFonts w:hint="eastAsia" w:asciiTheme="minorEastAsia" w:hAnsiTheme="minorEastAsia" w:eastAsiaTheme="minorEastAsia" w:cstheme="minorEastAsia"/>
          <w:b w:val="0"/>
          <w:bCs/>
          <w:color w:val="auto"/>
          <w:sz w:val="21"/>
          <w:szCs w:val="21"/>
          <w:highlight w:val="none"/>
        </w:rPr>
        <w:t xml:space="preserve">创</w:t>
      </w:r>
      <w:r>
        <w:rPr>
          <w:rFonts w:hint="eastAsia" w:asciiTheme="minorEastAsia" w:hAnsiTheme="minorEastAsia" w:eastAsiaTheme="minorEastAsia" w:cstheme="minorEastAsia"/>
          <w:b w:val="0"/>
          <w:bCs/>
          <w:color w:val="auto"/>
          <w:sz w:val="21"/>
          <w:szCs w:val="21"/>
          <w:highlight w:val="none"/>
          <w:lang w:val="en-US" w:eastAsia="zh-CN"/>
        </w:rPr>
        <w:t xml:space="preserve">零碳园区</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国家级</w:t>
      </w:r>
      <w:r>
        <w:rPr>
          <w:rFonts w:hint="eastAsia" w:asciiTheme="minorEastAsia" w:hAnsiTheme="minorEastAsia" w:eastAsiaTheme="minorEastAsia" w:cstheme="minorEastAsia"/>
          <w:bCs/>
          <w:color w:val="auto"/>
          <w:sz w:val="21"/>
          <w:szCs w:val="21"/>
          <w:highlight w:val="none"/>
        </w:rPr>
        <w:t xml:space="preserve">零碳园区</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省级零碳园区，以及取得欧盟NG认证</w:t>
      </w:r>
      <w:r>
        <w:rPr>
          <w:rFonts w:hint="eastAsia" w:asciiTheme="minorEastAsia" w:hAnsiTheme="minorEastAsia" w:eastAsiaTheme="minorEastAsia" w:cstheme="minorEastAsia"/>
          <w:b w:val="0"/>
          <w:bCs/>
          <w:color w:val="auto"/>
          <w:sz w:val="21"/>
          <w:szCs w:val="21"/>
          <w:highlight w:val="none"/>
        </w:rPr>
        <w:t xml:space="preserve">)。现需采购</w:t>
      </w:r>
      <w:r>
        <w:rPr>
          <w:rFonts w:hint="eastAsia" w:asciiTheme="minorEastAsia" w:hAnsiTheme="minorEastAsia" w:eastAsiaTheme="minorEastAsia" w:cstheme="minorEastAsia"/>
          <w:b w:val="0"/>
          <w:bCs/>
          <w:color w:val="auto"/>
          <w:sz w:val="21"/>
          <w:szCs w:val="21"/>
          <w:highlight w:val="none"/>
          <w:lang w:eastAsia="zh-CN"/>
        </w:rPr>
        <w:t xml:space="preserve">全过程工程咨询</w:t>
      </w:r>
      <w:r>
        <w:rPr>
          <w:rFonts w:hint="eastAsia" w:asciiTheme="minorEastAsia" w:hAnsiTheme="minorEastAsia" w:eastAsiaTheme="minorEastAsia" w:cstheme="minorEastAsia"/>
          <w:b w:val="0"/>
          <w:bCs/>
          <w:color w:val="auto"/>
          <w:sz w:val="21"/>
          <w:szCs w:val="21"/>
          <w:highlight w:val="none"/>
        </w:rPr>
        <w:t xml:space="preserve">服务，服务内容主要涵盖：1、现状调查与分析；2、创建方案与规划，3、申报文本编制；4、重点项目库构建；5、建设实施期专业服务；6、申报过程技术支持(包含</w:t>
      </w:r>
      <w:r>
        <w:rPr>
          <w:rFonts w:hint="eastAsia" w:asciiTheme="minorEastAsia" w:hAnsiTheme="minorEastAsia" w:eastAsiaTheme="minorEastAsia" w:cstheme="minorEastAsia"/>
          <w:bCs/>
          <w:color w:val="auto"/>
          <w:sz w:val="21"/>
          <w:szCs w:val="21"/>
          <w:highlight w:val="none"/>
          <w:lang w:val="en-US" w:eastAsia="zh-CN"/>
        </w:rPr>
        <w:t xml:space="preserve">国家级</w:t>
      </w:r>
      <w:r>
        <w:rPr>
          <w:rFonts w:hint="eastAsia" w:asciiTheme="minorEastAsia" w:hAnsiTheme="minorEastAsia" w:eastAsiaTheme="minorEastAsia" w:cstheme="minorEastAsia"/>
          <w:bCs/>
          <w:color w:val="auto"/>
          <w:sz w:val="21"/>
          <w:szCs w:val="21"/>
          <w:highlight w:val="none"/>
        </w:rPr>
        <w:t xml:space="preserve">零碳园区</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省级零碳园区，以及取得欧盟NG认证</w:t>
      </w:r>
      <w:r>
        <w:rPr>
          <w:rFonts w:hint="eastAsia" w:asciiTheme="minorEastAsia" w:hAnsiTheme="minorEastAsia" w:eastAsiaTheme="minorEastAsia" w:cstheme="minorEastAsia"/>
          <w:b w:val="0"/>
          <w:bCs/>
          <w:color w:val="auto"/>
          <w:sz w:val="21"/>
          <w:szCs w:val="21"/>
          <w:highlight w:val="none"/>
        </w:rPr>
        <w:t xml:space="preserve">)等。</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二、项目建设目标</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紧扣国家及江苏省关于零碳园区建设的政策导向与指标体系，结合高邮经济开发区产业基础与资源禀赋，科学制定园区零碳创建路径。通过系统谋划“源网荷储”一体化建设、产业低碳转型、资源循环利用及智慧能碳管控，构建清洁低碳、安全高效的园区能源体系与产业体系。协助采购人顺利完成</w:t>
      </w:r>
      <w:r>
        <w:rPr>
          <w:rFonts w:hint="eastAsia" w:asciiTheme="minorEastAsia" w:hAnsiTheme="minorEastAsia" w:eastAsiaTheme="minorEastAsia" w:cstheme="minorEastAsia"/>
          <w:bCs/>
          <w:color w:val="auto"/>
          <w:sz w:val="21"/>
          <w:szCs w:val="21"/>
          <w:highlight w:val="none"/>
          <w:lang w:val="en-US" w:eastAsia="zh-CN"/>
        </w:rPr>
        <w:t xml:space="preserve">国家级</w:t>
      </w:r>
      <w:r>
        <w:rPr>
          <w:rFonts w:hint="eastAsia" w:asciiTheme="minorEastAsia" w:hAnsiTheme="minorEastAsia" w:eastAsiaTheme="minorEastAsia" w:cstheme="minorEastAsia"/>
          <w:bCs/>
          <w:color w:val="auto"/>
          <w:sz w:val="21"/>
          <w:szCs w:val="21"/>
          <w:highlight w:val="none"/>
        </w:rPr>
        <w:t xml:space="preserve">零碳园区</w:t>
      </w:r>
      <w:r>
        <w:rPr>
          <w:rFonts w:hint="eastAsia" w:asciiTheme="minorEastAsia" w:hAnsiTheme="minorEastAsia" w:eastAsiaTheme="minorEastAsia" w:cstheme="minorEastAsia"/>
          <w:bCs/>
          <w:color w:val="auto"/>
          <w:sz w:val="21"/>
          <w:szCs w:val="21"/>
          <w:highlight w:val="none"/>
          <w:lang w:val="en-US" w:eastAsia="zh-CN"/>
        </w:rPr>
        <w:t xml:space="preserve">和省级零碳园区的申报，以及协调与欧盟NG认证机构的对接工作</w:t>
      </w:r>
      <w:r>
        <w:rPr>
          <w:rFonts w:hint="eastAsia" w:asciiTheme="minorEastAsia" w:hAnsiTheme="minorEastAsia" w:eastAsiaTheme="minorEastAsia" w:cstheme="minorEastAsia"/>
          <w:b w:val="0"/>
          <w:bCs/>
          <w:color w:val="auto"/>
          <w:sz w:val="21"/>
          <w:szCs w:val="21"/>
          <w:highlight w:val="none"/>
        </w:rPr>
        <w:t xml:space="preserve">，全面提升园区</w:t>
      </w:r>
      <w:r>
        <w:rPr>
          <w:rFonts w:hint="eastAsia" w:asciiTheme="minorEastAsia" w:hAnsiTheme="minorEastAsia" w:eastAsiaTheme="minorEastAsia" w:cstheme="minorEastAsia"/>
          <w:b w:val="0"/>
          <w:bCs/>
          <w:color w:val="auto"/>
          <w:sz w:val="21"/>
          <w:szCs w:val="21"/>
          <w:highlight w:val="none"/>
          <w:lang w:val="en-US" w:eastAsia="zh-CN"/>
        </w:rPr>
        <w:t xml:space="preserve">国际和</w:t>
      </w:r>
      <w:r>
        <w:rPr>
          <w:rFonts w:hint="eastAsia" w:asciiTheme="minorEastAsia" w:hAnsiTheme="minorEastAsia" w:eastAsiaTheme="minorEastAsia" w:cstheme="minorEastAsia"/>
          <w:b w:val="0"/>
          <w:bCs/>
          <w:color w:val="auto"/>
          <w:sz w:val="21"/>
          <w:szCs w:val="21"/>
          <w:highlight w:val="none"/>
        </w:rPr>
        <w:t xml:space="preserve">绿色竞争力与可持续发展能力。</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三、项目内容及要求</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本项目为</w:t>
      </w:r>
      <w:r>
        <w:rPr>
          <w:rFonts w:hint="eastAsia" w:asciiTheme="minorEastAsia" w:hAnsiTheme="minorEastAsia" w:eastAsiaTheme="minorEastAsia" w:cstheme="minorEastAsia"/>
          <w:b w:val="0"/>
          <w:bCs/>
          <w:color w:val="auto"/>
          <w:sz w:val="21"/>
          <w:szCs w:val="21"/>
          <w:highlight w:val="none"/>
          <w:lang w:eastAsia="zh-CN"/>
        </w:rPr>
        <w:t xml:space="preserve">全过程工程咨询</w:t>
      </w:r>
      <w:r>
        <w:rPr>
          <w:rFonts w:hint="eastAsia" w:asciiTheme="minorEastAsia" w:hAnsiTheme="minorEastAsia" w:eastAsiaTheme="minorEastAsia" w:cstheme="minorEastAsia"/>
          <w:b w:val="0"/>
          <w:bCs/>
          <w:color w:val="auto"/>
          <w:sz w:val="21"/>
          <w:szCs w:val="21"/>
          <w:highlight w:val="none"/>
        </w:rPr>
        <w:t xml:space="preserve">服务，服务内容涵盖以下六个核心模块：</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（一）现状调查与分析</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基础数据摸排：全面调研</w:t>
      </w:r>
      <w:r>
        <w:rPr>
          <w:rFonts w:hint="eastAsia" w:asciiTheme="minorEastAsia" w:hAnsiTheme="minorEastAsia" w:eastAsiaTheme="minorEastAsia" w:cstheme="minorEastAsia"/>
          <w:b w:val="0"/>
          <w:bCs/>
          <w:color w:val="auto"/>
          <w:sz w:val="21"/>
          <w:szCs w:val="21"/>
          <w:highlight w:val="none"/>
          <w:lang w:eastAsia="zh-CN"/>
        </w:rPr>
        <w:t xml:space="preserve">高邮经济开发区</w:t>
      </w:r>
      <w:r>
        <w:rPr>
          <w:rFonts w:hint="eastAsia" w:asciiTheme="minorEastAsia" w:hAnsiTheme="minorEastAsia" w:eastAsiaTheme="minorEastAsia" w:cstheme="minorEastAsia"/>
          <w:b w:val="0"/>
          <w:bCs/>
          <w:color w:val="auto"/>
          <w:sz w:val="21"/>
          <w:szCs w:val="21"/>
          <w:highlight w:val="none"/>
        </w:rPr>
        <w:t xml:space="preserve">的产业发展现状、能源供应及消费结构、碳排放现状、生态环境质量及基础设施建设情况。</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碳盘查与核算：建立园区碳排放核算体系，摸清园区碳排放基线，分析重点行业、重点企业的碳排放特征及减排潜力。</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资源禀赋评估：评估园区及周边可再生能源（风、光、地热等）、工业余热余压、固废资源化利用等潜力，论证零碳园区创建的可行性与基础条件。</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（二）创建方案与规划</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顶层设计：对标</w:t>
      </w:r>
      <w:r>
        <w:rPr>
          <w:rFonts w:hint="eastAsia" w:asciiTheme="minorEastAsia" w:hAnsiTheme="minorEastAsia" w:eastAsiaTheme="minorEastAsia" w:cstheme="minorEastAsia"/>
          <w:bCs/>
          <w:color w:val="auto"/>
          <w:sz w:val="21"/>
          <w:szCs w:val="21"/>
          <w:highlight w:val="none"/>
          <w:lang w:val="en-US" w:eastAsia="zh-CN"/>
        </w:rPr>
        <w:t xml:space="preserve">国家级</w:t>
      </w:r>
      <w:r>
        <w:rPr>
          <w:rFonts w:hint="eastAsia" w:asciiTheme="minorEastAsia" w:hAnsiTheme="minorEastAsia" w:eastAsiaTheme="minorEastAsia" w:cstheme="minorEastAsia"/>
          <w:bCs/>
          <w:color w:val="auto"/>
          <w:sz w:val="21"/>
          <w:szCs w:val="21"/>
          <w:highlight w:val="none"/>
        </w:rPr>
        <w:t xml:space="preserve">零碳园区</w:t>
      </w:r>
      <w:r>
        <w:rPr>
          <w:rFonts w:hint="eastAsia" w:asciiTheme="minorEastAsia" w:hAnsiTheme="minorEastAsia" w:eastAsiaTheme="minorEastAsia" w:cstheme="minorEastAsia"/>
          <w:bCs/>
          <w:color w:val="auto"/>
          <w:sz w:val="21"/>
          <w:szCs w:val="21"/>
          <w:highlight w:val="none"/>
          <w:lang w:val="en-US" w:eastAsia="zh-CN"/>
        </w:rPr>
        <w:t xml:space="preserve">、省级零碳园区的</w:t>
      </w:r>
      <w:r>
        <w:rPr>
          <w:rFonts w:hint="eastAsia" w:asciiTheme="minorEastAsia" w:hAnsiTheme="minorEastAsia" w:eastAsiaTheme="minorEastAsia" w:cstheme="minorEastAsia"/>
          <w:b w:val="0"/>
          <w:bCs/>
          <w:color w:val="auto"/>
          <w:sz w:val="21"/>
          <w:szCs w:val="21"/>
          <w:highlight w:val="none"/>
        </w:rPr>
        <w:t xml:space="preserve">评价指标体系</w:t>
      </w:r>
      <w:r>
        <w:rPr>
          <w:rFonts w:hint="eastAsia" w:asciiTheme="minorEastAsia" w:hAnsiTheme="minorEastAsia" w:eastAsiaTheme="minorEastAsia" w:cstheme="minorEastAsia"/>
          <w:bCs/>
          <w:color w:val="auto"/>
          <w:sz w:val="21"/>
          <w:szCs w:val="21"/>
          <w:highlight w:val="none"/>
          <w:lang w:val="en-US" w:eastAsia="zh-CN"/>
        </w:rPr>
        <w:t xml:space="preserve">，以及欧盟NG认证</w:t>
      </w:r>
      <w:r>
        <w:rPr>
          <w:rFonts w:hint="eastAsia" w:asciiTheme="minorEastAsia" w:hAnsiTheme="minorEastAsia" w:eastAsiaTheme="minorEastAsia" w:cstheme="minorEastAsia"/>
          <w:b w:val="0"/>
          <w:bCs/>
          <w:color w:val="auto"/>
          <w:sz w:val="21"/>
          <w:szCs w:val="21"/>
          <w:highlight w:val="none"/>
        </w:rPr>
        <w:t xml:space="preserve">指标体系，科学设定园区零碳创建的总体目标、阶段目标及路线图。</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路径规划：围绕用能结构转型、节能降碳改造、产业优化升级、基础设施绿色化、能碳智慧管理等维度，制定切实可行的零碳园区建设实施方案。</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体制机制设计：探索建立零碳园区建设运营模式、利益共享机制及政策保障措施。</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（三）申报文本编制</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申报材料编制：严格按照国家三部委及江苏省发改委等部门的要求，高质量编制《高邮经济开发区</w:t>
      </w:r>
      <w:r>
        <w:rPr>
          <w:rFonts w:hint="eastAsia" w:asciiTheme="minorEastAsia" w:hAnsiTheme="minorEastAsia" w:eastAsiaTheme="minorEastAsia" w:cstheme="minorEastAsia"/>
          <w:b w:val="0"/>
          <w:bCs/>
          <w:color w:val="auto"/>
          <w:sz w:val="21"/>
          <w:szCs w:val="21"/>
          <w:highlight w:val="none"/>
          <w:lang w:val="en-US" w:eastAsia="zh-CN"/>
        </w:rPr>
        <w:t xml:space="preserve">国家级</w:t>
      </w:r>
      <w:r>
        <w:rPr>
          <w:rFonts w:hint="eastAsia" w:asciiTheme="minorEastAsia" w:hAnsiTheme="minorEastAsia" w:eastAsiaTheme="minorEastAsia" w:cstheme="minorEastAsia"/>
          <w:b w:val="0"/>
          <w:bCs/>
          <w:color w:val="auto"/>
          <w:sz w:val="21"/>
          <w:szCs w:val="21"/>
          <w:highlight w:val="none"/>
        </w:rPr>
        <w:t xml:space="preserve">零碳园区建设</w:t>
      </w:r>
      <w:r>
        <w:rPr>
          <w:rFonts w:hint="eastAsia" w:asciiTheme="minorEastAsia" w:hAnsiTheme="minorEastAsia" w:eastAsiaTheme="minorEastAsia" w:cstheme="minorEastAsia"/>
          <w:b w:val="0"/>
          <w:bCs/>
          <w:color w:val="auto"/>
          <w:sz w:val="21"/>
          <w:szCs w:val="21"/>
          <w:highlight w:val="none"/>
          <w:lang w:val="en-US" w:eastAsia="zh-CN"/>
        </w:rPr>
        <w:t xml:space="preserve">规划</w:t>
      </w:r>
      <w:r>
        <w:rPr>
          <w:rFonts w:hint="eastAsia" w:asciiTheme="minorEastAsia" w:hAnsiTheme="minorEastAsia" w:eastAsiaTheme="minorEastAsia" w:cstheme="minorEastAsia"/>
          <w:b w:val="0"/>
          <w:bCs/>
          <w:color w:val="auto"/>
          <w:sz w:val="21"/>
          <w:szCs w:val="21"/>
          <w:highlight w:val="none"/>
        </w:rPr>
        <w:t xml:space="preserve">方案》、《</w:t>
      </w:r>
      <w:r>
        <w:rPr>
          <w:rFonts w:hint="eastAsia" w:asciiTheme="minorEastAsia" w:hAnsiTheme="minorEastAsia" w:eastAsiaTheme="minorEastAsia" w:cstheme="minorEastAsia"/>
          <w:b w:val="0"/>
          <w:bCs/>
          <w:color w:val="auto"/>
          <w:sz w:val="21"/>
          <w:szCs w:val="21"/>
          <w:highlight w:val="none"/>
          <w:lang w:eastAsia="zh-CN"/>
        </w:rPr>
        <w:t xml:space="preserve">高邮经济开发区省级零碳园区建设规划方案</w:t>
      </w:r>
      <w:r>
        <w:rPr>
          <w:rFonts w:hint="eastAsia" w:asciiTheme="minorEastAsia" w:hAnsiTheme="minorEastAsia" w:eastAsiaTheme="minorEastAsia" w:cstheme="minorEastAsia"/>
          <w:b w:val="0"/>
          <w:bCs/>
          <w:color w:val="auto"/>
          <w:sz w:val="21"/>
          <w:szCs w:val="21"/>
          <w:highlight w:val="none"/>
        </w:rPr>
        <w:t xml:space="preserve">》及相关支撑附件</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Theme="minorEastAsia" w:hAnsiTheme="minorEastAsia" w:eastAsiaTheme="minorEastAsia" w:cstheme="minorEastAsia"/>
          <w:b w:val="0"/>
          <w:bCs/>
          <w:color w:val="auto"/>
          <w:sz w:val="21"/>
          <w:szCs w:val="21"/>
          <w:highlight w:val="none"/>
          <w:lang w:val="en-US" w:eastAsia="zh-CN"/>
        </w:rPr>
        <w:t xml:space="preserve">审核《</w:t>
      </w:r>
      <w:r>
        <w:rPr>
          <w:rFonts w:hint="eastAsia" w:asciiTheme="minorEastAsia" w:hAnsiTheme="minorEastAsia" w:eastAsiaTheme="minorEastAsia" w:cstheme="minorEastAsia"/>
          <w:bCs/>
          <w:color w:val="auto"/>
          <w:sz w:val="21"/>
          <w:szCs w:val="21"/>
          <w:highlight w:val="none"/>
          <w:lang w:val="en-US" w:eastAsia="zh-CN"/>
        </w:rPr>
        <w:t xml:space="preserve">欧盟NG认证》材料等</w:t>
      </w:r>
      <w:r>
        <w:rPr>
          <w:rFonts w:hint="eastAsia" w:asciiTheme="minorEastAsia" w:hAnsiTheme="minorEastAsia" w:eastAsiaTheme="minorEastAsia" w:cstheme="minorEastAsia"/>
          <w:b w:val="0"/>
          <w:bCs/>
          <w:color w:val="auto"/>
          <w:sz w:val="21"/>
          <w:szCs w:val="21"/>
          <w:highlight w:val="none"/>
        </w:rPr>
        <w:t xml:space="preserve">。</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指标体系论证：对申报文本中的各项考核指标进行科学测算与可行性论证，确保数据准确、逻辑严密、支撑有力。</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评审对接：协助采购人组织专家评审会，并根据专家意见及上级主管部门的反馈，对申报文本进行修改完善，直至通过审批。</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（四）重点项目库构建</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项目谋划：围绕“源网荷储”一体化、零碳工厂、绿色建筑、绿色交通、循环经济等重点领域，谋划一批具有示范性、带动性的零碳重点项目。</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可行性分析：对入库项目进行技术可行性、经济合理性及减排效益分析，明确项目实施主体、投资估算、建设周期及资金来源。</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动态管理：建立零碳园区重点项目库，并根据园区发展实际及政策导向进行动态调整与优化。</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（五）建设实施期专业服务</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过程跟踪与指导：在零碳园区建设期内，提供常态化的技术咨询与业务指导，协助解决建设过程中的技术难题与政策堵点。</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指标监测与评估：协助建立碳排放实时监测与评估机制，定期开展阶段性指标测算与建设进度复盘，及时预警指标偏差并提出优化调整建议。</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政策对接与资金争取：密切关注国家及省市相关政策动向，协助园区及企业争取专项资金、绿色金融支持及要素保障。</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（六）申报过程技术支持</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多层级申报辅导：提供省级零碳园区、国家级零碳园区申报的全流程技术支持，包括政策解读、材料审核、答辩辅导等。</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专项认证辅导：针对园区或重点企业的碳中和需求，提供</w:t>
      </w:r>
      <w:r>
        <w:rPr>
          <w:rFonts w:hint="eastAsia" w:asciiTheme="minorEastAsia" w:hAnsiTheme="minorEastAsia" w:eastAsiaTheme="minorEastAsia" w:cstheme="minorEastAsia"/>
          <w:b w:val="0"/>
          <w:bCs/>
          <w:color w:val="auto"/>
          <w:sz w:val="21"/>
          <w:szCs w:val="21"/>
          <w:highlight w:val="none"/>
          <w:lang w:val="en-US" w:eastAsia="zh-CN"/>
        </w:rPr>
        <w:t xml:space="preserve">欧盟</w:t>
      </w:r>
      <w:r>
        <w:rPr>
          <w:rFonts w:hint="eastAsia" w:asciiTheme="minorEastAsia" w:hAnsiTheme="minorEastAsia" w:eastAsiaTheme="minorEastAsia" w:cstheme="minorEastAsia"/>
          <w:b w:val="0"/>
          <w:bCs/>
          <w:color w:val="auto"/>
          <w:sz w:val="21"/>
          <w:szCs w:val="21"/>
          <w:highlight w:val="none"/>
        </w:rPr>
        <w:t xml:space="preserve">NG专项认证的咨询与申报辅导服务，协助完成认证审核。</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验收保障：</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一、规划方案编制验收</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对应《高邮经济开发区零碳园区建设规划方案》通过专家评审或业主验收，验收合格后支付方案编制报价的10%作为进度款。</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1.提交完整的规划方案终稿（含电子版与纸质盖章版），内容涵盖现状调查、创建目标、重点任务、重点项目库等核心章节，无缺项漏项。</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2.方案通过专家评审或业主验收，评审/验收意见明确“通过”或“同意”；若提出修改意见，须在规定时间内完成修改并经采购人书面确认。</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3.方案核心指标符合国家级及江苏省、扬州市零碳园区创建要求，测算依据与数据来源清晰可核查。</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4.重点任务与实施路径贴合高邮经济开发区实际，重点项目库明确建设内容、投资估算、实施主体与时间节点，具备可操作性。</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二、省级零碳园区申报验收</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对应《高邮经济开发区省级零碳园区申报书》编制完成并入选省级零碳园区建设名单，验收合格后付清省级申报部分报价费用。</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1.申报书符合江苏省省级零碳园区申报要求，内容完整、格式规范，与已通过的规划方案衔接一致，无矛盾冲突。</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2.提交省级申报全部佐证材料，包括碳排放核算报告、重点项目立项文件等，材料真实准确完整，符合申报要求。</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3.提供省级主管部门发布的入选名单公示文件或通知等官方证明。</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4.全程配合完成省级申报各环节工作，无因供应商原因导致申报失败、材料退回等情形；若提出修改意见，须及时修改直至入选。</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三、国家级零碳园区申报验收</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对应《高邮经济开发区国家级零碳园区申报书》编制完成并入选国家级零碳园区建设名单，验收合格后付清国家级申报部分报价费用。</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1.申报书严格符合国家级零碳园区申报要求，内容全面覆盖建设基础、目标、重点任务等章节，核心指标达到国家级标准。</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2.提交国家级申报全部材料，包括申报书、碳排放核算报告，符合国家级申报格式与内容要求。</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3.提供国家发展改革委发布的入选名单公示文件或通知等官方证明。</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4.全程配合完成国家级申报各环节工作，无因供应商原因导致申报失败、核查未通过等情形；若提出修改意见，须及时修改直至入选。</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四、欧盟NG认证验收</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对应《高邮经济开发区欧盟NG认证申报书》编制完成并取得欧盟NG认证，验收合格后付清NG专项认证申报部分报价费用。</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1.申报书符合欧盟NG认证标准规范，内容完整、格式规范。</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2.提交欧盟NG认证全部佐证材料，包括核算报告、等，材料真实准确完整，符合认证要求。</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3.提供欧盟NG认证机构发布的认证通过通知或认证证书等官方证明，认证范围、内容与申报书一致。</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4.全程配合完成欧盟NG认证各环节工作，无因供应商原因导致认证失败、审核未通过等情形；若提出修改意见，须及时修改直至取得认证。</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五、通用验收要求</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1.各阶段验收由采购人组织，供应商须全程配合提供技术支撑与现场服务，包括材料讲解、数据核对、现场踏勘、答辩准备等。</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2.验收发现成果文件存在质量问题、内容缺失、数据错误等情形，供应商须在规定时间内完成整改并重新提交验收，直至合格；因供应商原因导致验收不合格，采购人有权暂停支付进度款并追究违约责任。</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3.所有验收合格的成果文件须提交纸质盖章版与电子版各一份，由采购人存档备查，作为后续中期评估、达标验收、授牌及审计检查的依据。</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4.验收过程须公开、公平、公正，验收结果由采购人书面确认，作为支付进度款的唯一依据。</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（1）履约验收主体：采购人。</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（2）履约验收时间：每个节点结束的一个月内。</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（3）履约验收方式：现场验收。</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（4）履约验收程序：采购人组织，供应商配合，相关人员参与。</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（5）履约验收内容主要包括：服务质量是否符合采购要求。</w:t>
      </w:r>
      <w:r/>
    </w:p>
    <w:p>
      <w:pPr>
        <w:pStyle w:val="984"/>
        <w:ind w:firstLine="420"/>
        <w:pageBreakBefore w:val="0"/>
        <w:spacing w:after="0" w:line="360" w:lineRule="auto"/>
        <w:rPr>
          <w:rFonts w:hint="eastAsia" w:asciiTheme="minorEastAsia" w:hAnsiTheme="minorEastAsia" w:eastAsiaTheme="minorEastAsia" w:cstheme="minorEastAsia"/>
          <w:b w:val="0"/>
          <w:bCs/>
          <w:color w:val="ff0000"/>
          <w:sz w:val="21"/>
          <w:szCs w:val="21"/>
          <w:highlight w:val="none"/>
        </w:rPr>
      </w:pPr>
      <w:r>
        <w:rPr>
          <w:rFonts w:hint="eastAsia" w:asciiTheme="minorEastAsia" w:hAnsiTheme="minorEastAsia" w:eastAsiaTheme="minorEastAsia" w:cstheme="minorEastAsia"/>
          <w:b w:val="0"/>
          <w:bCs/>
          <w:color w:val="ff0000"/>
          <w:sz w:val="21"/>
          <w:szCs w:val="21"/>
          <w:highlight w:val="none"/>
        </w:rPr>
        <w:t xml:space="preserve">（6）履约验收标准：合格。</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四、商务要求</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（一）合同履行地点：高邮经济开发区</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（二）履约验收：成交人提出验收申请之日起 30  日内采购人组织验收，验收由采购人组织专家审查会对能源规划及管理计划等进行检验。验收未通过专家审查会的成交人应按验收意见无条件进行修改，直至通过验收为止。因成交人原因导致重复审查的，审查费用由成交人承担，在相应进度款中扣除。因验收未通过导致采购人进度延误或被上级部门通报批评的，采购人有权对成交人进行索赔，索赔金额不超过合同价的</w:t>
      </w:r>
      <w:r>
        <w:rPr>
          <w:rFonts w:hint="eastAsia" w:asciiTheme="minorEastAsia" w:hAnsiTheme="minorEastAsia" w:eastAsiaTheme="minorEastAsia" w:cstheme="minorEastAsia"/>
          <w:b w:val="0"/>
          <w:bCs/>
          <w:color w:val="auto"/>
          <w:sz w:val="21"/>
          <w:szCs w:val="21"/>
          <w:highlight w:val="none"/>
          <w:lang w:val="en-US" w:eastAsia="zh-CN"/>
        </w:rPr>
        <w:t xml:space="preserve">1</w:t>
      </w:r>
      <w:r>
        <w:rPr>
          <w:rFonts w:hint="eastAsia" w:asciiTheme="minorEastAsia" w:hAnsiTheme="minorEastAsia" w:eastAsiaTheme="minorEastAsia" w:cstheme="minorEastAsia"/>
          <w:b w:val="0"/>
          <w:bCs/>
          <w:color w:val="auto"/>
          <w:sz w:val="21"/>
          <w:szCs w:val="21"/>
          <w:highlight w:val="none"/>
        </w:rPr>
        <w:t xml:space="preserve">0%。</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（三）质量保修范围和保修期：本项目规划编制以及项目建设实施过程中，若遇到与本能源规划或管理计划相关的技术问题，成交方需继续提供相关服务且采购人不额外支付费用，服务期限为合同签订后 </w:t>
      </w:r>
      <w:r>
        <w:rPr>
          <w:rFonts w:hint="eastAsia" w:asciiTheme="minorEastAsia" w:hAnsiTheme="minorEastAsia" w:eastAsiaTheme="minorEastAsia" w:cstheme="minorEastAsia"/>
          <w:b w:val="0"/>
          <w:bCs/>
          <w:color w:val="auto"/>
          <w:sz w:val="21"/>
          <w:szCs w:val="21"/>
          <w:highlight w:val="none"/>
          <w:lang w:val="en-US" w:eastAsia="zh-CN"/>
        </w:rPr>
        <w:t xml:space="preserve">3</w:t>
      </w:r>
      <w:r>
        <w:rPr>
          <w:rFonts w:hint="eastAsia" w:asciiTheme="minorEastAsia" w:hAnsiTheme="minorEastAsia" w:eastAsiaTheme="minorEastAsia" w:cstheme="minorEastAsia"/>
          <w:b w:val="0"/>
          <w:bCs/>
          <w:color w:val="auto"/>
          <w:sz w:val="21"/>
          <w:szCs w:val="21"/>
          <w:highlight w:val="none"/>
        </w:rPr>
        <w:t xml:space="preserve"> 年。</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（四）知识产权归属：本项目知识产权属采购人所有。</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rPr>
        <w:t xml:space="preserve">（五）付款方式：</w:t>
      </w:r>
      <w:r>
        <w:rPr>
          <w:rFonts w:hint="eastAsia" w:ascii="宋体" w:hAnsi="宋体" w:eastAsia="宋体" w:cs="宋体"/>
          <w:color w:val="auto"/>
          <w:spacing w:val="0"/>
          <w:sz w:val="21"/>
          <w:szCs w:val="21"/>
          <w:highlight w:val="none"/>
        </w:rPr>
        <w:t xml:space="preserve">合同签订生效后，支付合同总价的</w:t>
      </w:r>
      <w:r>
        <w:rPr>
          <w:rFonts w:hint="eastAsia" w:ascii="宋体" w:hAnsi="宋体" w:eastAsia="宋体" w:cs="宋体"/>
          <w:color w:val="auto"/>
          <w:spacing w:val="0"/>
          <w:sz w:val="21"/>
          <w:szCs w:val="21"/>
          <w:highlight w:val="none"/>
          <w:lang w:val="en-US" w:eastAsia="zh-CN"/>
        </w:rPr>
        <w:t xml:space="preserve">30</w:t>
      </w:r>
      <w:r>
        <w:rPr>
          <w:rFonts w:hint="eastAsia" w:ascii="宋体" w:hAnsi="宋体" w:eastAsia="宋体" w:cs="宋体"/>
          <w:color w:val="auto"/>
          <w:spacing w:val="0"/>
          <w:sz w:val="21"/>
          <w:szCs w:val="21"/>
          <w:highlight w:val="none"/>
        </w:rPr>
        <w:t xml:space="preserve">%作为预付款</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即</w:t>
      </w:r>
      <w:r>
        <w:rPr>
          <w:rFonts w:hint="eastAsia" w:ascii="宋体" w:hAnsi="宋体" w:eastAsia="宋体" w:cs="宋体"/>
          <w:color w:val="auto"/>
          <w:spacing w:val="0"/>
          <w:sz w:val="21"/>
          <w:szCs w:val="21"/>
          <w:highlight w:val="none"/>
          <w:u w:val="single"/>
          <w:lang w:val="en-US" w:eastAsia="zh-CN"/>
        </w:rPr>
        <w:t xml:space="preserve">     万</w:t>
      </w:r>
      <w:r>
        <w:rPr>
          <w:rFonts w:hint="eastAsia" w:ascii="宋体" w:hAnsi="宋体" w:eastAsia="宋体" w:cs="宋体"/>
          <w:color w:val="auto"/>
          <w:spacing w:val="0"/>
          <w:sz w:val="21"/>
          <w:szCs w:val="21"/>
          <w:highlight w:val="none"/>
          <w:lang w:eastAsia="zh-CN"/>
        </w:rPr>
        <w:t xml:space="preserve">；</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完成</w:t>
      </w:r>
      <w:r>
        <w:rPr>
          <w:rFonts w:hint="eastAsia" w:asciiTheme="minorEastAsia" w:hAnsiTheme="minorEastAsia" w:eastAsiaTheme="minorEastAsia" w:cstheme="minorEastAsia"/>
          <w:b w:val="0"/>
          <w:bCs/>
          <w:color w:val="auto"/>
          <w:sz w:val="21"/>
          <w:szCs w:val="21"/>
          <w:highlight w:val="none"/>
        </w:rPr>
        <w:t xml:space="preserve">《高邮经济开发区零碳园区建设</w:t>
      </w:r>
      <w:r>
        <w:rPr>
          <w:rFonts w:hint="eastAsia" w:asciiTheme="minorEastAsia" w:hAnsiTheme="minorEastAsia" w:eastAsiaTheme="minorEastAsia" w:cstheme="minorEastAsia"/>
          <w:b w:val="0"/>
          <w:bCs/>
          <w:color w:val="auto"/>
          <w:sz w:val="21"/>
          <w:szCs w:val="21"/>
          <w:highlight w:val="none"/>
          <w:lang w:val="en-US" w:eastAsia="zh-CN"/>
        </w:rPr>
        <w:t xml:space="preserve">规划</w:t>
      </w:r>
      <w:r>
        <w:rPr>
          <w:rFonts w:hint="eastAsia" w:asciiTheme="minorEastAsia" w:hAnsiTheme="minorEastAsia" w:eastAsiaTheme="minorEastAsia" w:cstheme="minorEastAsia"/>
          <w:b w:val="0"/>
          <w:bCs/>
          <w:color w:val="auto"/>
          <w:sz w:val="21"/>
          <w:szCs w:val="21"/>
          <w:highlight w:val="none"/>
        </w:rPr>
        <w:t xml:space="preserve">方案》</w:t>
      </w:r>
      <w:r>
        <w:rPr>
          <w:rFonts w:hint="eastAsia" w:asciiTheme="minorEastAsia" w:hAnsiTheme="minorEastAsia" w:eastAsiaTheme="minorEastAsia" w:cstheme="minorEastAsia"/>
          <w:b w:val="0"/>
          <w:bCs/>
          <w:color w:val="auto"/>
          <w:sz w:val="21"/>
          <w:szCs w:val="21"/>
          <w:highlight w:val="none"/>
          <w:lang w:val="en-US" w:eastAsia="zh-CN"/>
        </w:rPr>
        <w:t xml:space="preserve">通过专家评审或业主验收后</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宋体" w:hAnsi="宋体" w:eastAsia="宋体" w:cs="宋体"/>
          <w:color w:val="auto"/>
          <w:spacing w:val="0"/>
          <w:sz w:val="21"/>
          <w:szCs w:val="21"/>
          <w:highlight w:val="none"/>
        </w:rPr>
        <w:t xml:space="preserve">支付</w:t>
      </w:r>
      <w:r>
        <w:rPr>
          <w:rFonts w:hint="eastAsia" w:ascii="宋体" w:hAnsi="宋体" w:eastAsia="宋体" w:cs="宋体"/>
          <w:color w:val="auto"/>
          <w:spacing w:val="0"/>
          <w:sz w:val="21"/>
          <w:szCs w:val="21"/>
          <w:highlight w:val="none"/>
          <w:lang w:val="en-US" w:eastAsia="zh-CN"/>
        </w:rPr>
        <w:t xml:space="preserve">方案编制报价的</w:t>
      </w:r>
      <w:r>
        <w:rPr>
          <w:rFonts w:hint="eastAsia" w:ascii="宋体" w:hAnsi="宋体" w:eastAsia="宋体" w:cs="宋体"/>
          <w:color w:val="auto"/>
          <w:spacing w:val="0"/>
          <w:sz w:val="21"/>
          <w:szCs w:val="21"/>
          <w:highlight w:val="none"/>
        </w:rPr>
        <w:t xml:space="preserve">的</w:t>
      </w:r>
      <w:r>
        <w:rPr>
          <w:rFonts w:hint="eastAsia" w:ascii="宋体" w:hAnsi="宋体" w:eastAsia="宋体" w:cs="宋体"/>
          <w:color w:val="auto"/>
          <w:spacing w:val="0"/>
          <w:sz w:val="21"/>
          <w:szCs w:val="21"/>
          <w:highlight w:val="none"/>
          <w:lang w:val="en-US" w:eastAsia="zh-CN"/>
        </w:rPr>
        <w:t xml:space="preserve">10</w:t>
      </w:r>
      <w:r>
        <w:rPr>
          <w:rFonts w:hint="eastAsia" w:ascii="宋体" w:hAnsi="宋体" w:eastAsia="宋体" w:cs="宋体"/>
          <w:color w:val="auto"/>
          <w:spacing w:val="0"/>
          <w:sz w:val="21"/>
          <w:szCs w:val="21"/>
          <w:highlight w:val="none"/>
        </w:rPr>
        <w:t xml:space="preserve">%作为</w:t>
      </w:r>
      <w:r>
        <w:rPr>
          <w:rFonts w:hint="eastAsia" w:ascii="宋体" w:hAnsi="宋体" w:eastAsia="宋体" w:cs="宋体"/>
          <w:color w:val="auto"/>
          <w:spacing w:val="0"/>
          <w:sz w:val="21"/>
          <w:szCs w:val="21"/>
          <w:highlight w:val="none"/>
          <w:lang w:val="en-US" w:eastAsia="zh-CN"/>
        </w:rPr>
        <w:t xml:space="preserve">进度款</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即</w:t>
      </w:r>
      <w:r>
        <w:rPr>
          <w:rFonts w:hint="eastAsia" w:ascii="宋体" w:hAnsi="宋体" w:eastAsia="宋体" w:cs="宋体"/>
          <w:color w:val="auto"/>
          <w:spacing w:val="0"/>
          <w:sz w:val="21"/>
          <w:szCs w:val="21"/>
          <w:highlight w:val="none"/>
          <w:u w:val="single"/>
          <w:lang w:val="en-US" w:eastAsia="zh-CN"/>
        </w:rPr>
        <w:t xml:space="preserve">     万</w:t>
      </w:r>
      <w:r>
        <w:rPr>
          <w:rFonts w:hint="eastAsia" w:ascii="宋体" w:hAnsi="宋体" w:eastAsia="宋体" w:cs="宋体"/>
          <w:color w:val="auto"/>
          <w:spacing w:val="0"/>
          <w:sz w:val="21"/>
          <w:szCs w:val="21"/>
          <w:highlight w:val="none"/>
          <w:lang w:eastAsia="zh-CN"/>
        </w:rPr>
        <w:t xml:space="preserve">；</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完成</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eastAsia="zh-CN"/>
        </w:rPr>
        <w:t xml:space="preserve">高邮经济开发区省级零碳园区</w:t>
      </w:r>
      <w:r>
        <w:rPr>
          <w:rFonts w:hint="eastAsia" w:asciiTheme="minorEastAsia" w:hAnsiTheme="minorEastAsia" w:eastAsiaTheme="minorEastAsia" w:cstheme="minorEastAsia"/>
          <w:b w:val="0"/>
          <w:bCs/>
          <w:color w:val="auto"/>
          <w:sz w:val="21"/>
          <w:szCs w:val="21"/>
          <w:highlight w:val="none"/>
          <w:lang w:val="en-US" w:eastAsia="zh-CN"/>
        </w:rPr>
        <w:t xml:space="preserve">申报书</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val="en-US" w:eastAsia="zh-CN"/>
        </w:rPr>
        <w:t xml:space="preserve">并入选省级</w:t>
      </w:r>
      <w:r>
        <w:rPr>
          <w:rFonts w:hint="eastAsia" w:asciiTheme="minorEastAsia" w:hAnsiTheme="minorEastAsia" w:eastAsiaTheme="minorEastAsia" w:cstheme="minorEastAsia"/>
          <w:b w:val="0"/>
          <w:bCs/>
          <w:color w:val="auto"/>
          <w:sz w:val="21"/>
          <w:szCs w:val="21"/>
          <w:highlight w:val="none"/>
          <w:lang w:eastAsia="zh-CN"/>
        </w:rPr>
        <w:t xml:space="preserve">零碳园区</w:t>
      </w:r>
      <w:r>
        <w:rPr>
          <w:rFonts w:hint="eastAsia" w:asciiTheme="minorEastAsia" w:hAnsiTheme="minorEastAsia" w:eastAsiaTheme="minorEastAsia" w:cstheme="minorEastAsia"/>
          <w:b w:val="0"/>
          <w:bCs/>
          <w:color w:val="auto"/>
          <w:sz w:val="21"/>
          <w:szCs w:val="21"/>
          <w:highlight w:val="none"/>
          <w:lang w:val="en-US" w:eastAsia="zh-CN"/>
        </w:rPr>
        <w:t xml:space="preserve">建设名单</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宋体" w:hAnsi="宋体" w:eastAsia="宋体" w:cs="宋体"/>
          <w:color w:val="auto"/>
          <w:spacing w:val="0"/>
          <w:sz w:val="21"/>
          <w:szCs w:val="21"/>
          <w:highlight w:val="none"/>
        </w:rPr>
        <w:t xml:space="preserve">付</w:t>
      </w:r>
      <w:r>
        <w:rPr>
          <w:rFonts w:hint="eastAsia" w:ascii="宋体" w:hAnsi="宋体" w:eastAsia="宋体" w:cs="宋体"/>
          <w:color w:val="auto"/>
          <w:spacing w:val="0"/>
          <w:sz w:val="21"/>
          <w:szCs w:val="21"/>
          <w:highlight w:val="none"/>
          <w:lang w:val="en-US" w:eastAsia="zh-CN"/>
        </w:rPr>
        <w:t xml:space="preserve">清省级申报部分报价费用</w:t>
      </w:r>
      <w:r>
        <w:rPr>
          <w:rFonts w:hint="eastAsia" w:ascii="宋体" w:hAnsi="宋体" w:eastAsia="宋体" w:cs="宋体"/>
          <w:color w:val="auto"/>
          <w:spacing w:val="0"/>
          <w:sz w:val="21"/>
          <w:szCs w:val="21"/>
          <w:highlight w:val="none"/>
        </w:rPr>
        <w:t xml:space="preserve">作为</w:t>
      </w:r>
      <w:r>
        <w:rPr>
          <w:rFonts w:hint="eastAsia" w:ascii="宋体" w:hAnsi="宋体" w:eastAsia="宋体" w:cs="宋体"/>
          <w:color w:val="auto"/>
          <w:spacing w:val="0"/>
          <w:sz w:val="21"/>
          <w:szCs w:val="21"/>
          <w:highlight w:val="none"/>
          <w:lang w:val="en-US" w:eastAsia="zh-CN"/>
        </w:rPr>
        <w:t xml:space="preserve">进度款</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即 </w:t>
      </w:r>
      <w:r>
        <w:rPr>
          <w:rFonts w:hint="eastAsia" w:ascii="宋体" w:hAnsi="宋体" w:eastAsia="宋体" w:cs="宋体"/>
          <w:color w:val="auto"/>
          <w:spacing w:val="0"/>
          <w:sz w:val="21"/>
          <w:szCs w:val="21"/>
          <w:highlight w:val="none"/>
          <w:u w:val="single"/>
          <w:lang w:val="en-US" w:eastAsia="zh-CN"/>
        </w:rPr>
        <w:t xml:space="preserve">     万</w:t>
      </w:r>
      <w:r>
        <w:rPr>
          <w:rFonts w:hint="eastAsia" w:ascii="宋体" w:hAnsi="宋体" w:eastAsia="宋体" w:cs="宋体"/>
          <w:color w:val="auto"/>
          <w:spacing w:val="0"/>
          <w:sz w:val="21"/>
          <w:szCs w:val="21"/>
          <w:highlight w:val="none"/>
          <w:lang w:eastAsia="zh-CN"/>
        </w:rPr>
        <w:t xml:space="preserve">；</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完成</w:t>
      </w:r>
      <w:r>
        <w:rPr>
          <w:rFonts w:hint="eastAsia" w:asciiTheme="minorEastAsia" w:hAnsiTheme="minorEastAsia" w:eastAsiaTheme="minorEastAsia" w:cstheme="minorEastAsia"/>
          <w:b w:val="0"/>
          <w:bCs/>
          <w:color w:val="auto"/>
          <w:sz w:val="21"/>
          <w:szCs w:val="21"/>
          <w:highlight w:val="none"/>
        </w:rPr>
        <w:t xml:space="preserve">《高邮经济开发区</w:t>
      </w:r>
      <w:r>
        <w:rPr>
          <w:rFonts w:hint="eastAsia" w:asciiTheme="minorEastAsia" w:hAnsiTheme="minorEastAsia" w:eastAsiaTheme="minorEastAsia" w:cstheme="minorEastAsia"/>
          <w:b w:val="0"/>
          <w:bCs/>
          <w:color w:val="auto"/>
          <w:sz w:val="21"/>
          <w:szCs w:val="21"/>
          <w:highlight w:val="none"/>
          <w:lang w:val="en-US" w:eastAsia="zh-CN"/>
        </w:rPr>
        <w:t xml:space="preserve">国家级</w:t>
      </w:r>
      <w:r>
        <w:rPr>
          <w:rFonts w:hint="eastAsia" w:asciiTheme="minorEastAsia" w:hAnsiTheme="minorEastAsia" w:eastAsiaTheme="minorEastAsia" w:cstheme="minorEastAsia"/>
          <w:b w:val="0"/>
          <w:bCs/>
          <w:color w:val="auto"/>
          <w:sz w:val="21"/>
          <w:szCs w:val="21"/>
          <w:highlight w:val="none"/>
        </w:rPr>
        <w:t xml:space="preserve">零碳园区</w:t>
      </w:r>
      <w:r>
        <w:rPr>
          <w:rFonts w:hint="eastAsia" w:asciiTheme="minorEastAsia" w:hAnsiTheme="minorEastAsia" w:eastAsiaTheme="minorEastAsia" w:cstheme="minorEastAsia"/>
          <w:b w:val="0"/>
          <w:bCs/>
          <w:color w:val="auto"/>
          <w:sz w:val="21"/>
          <w:szCs w:val="21"/>
          <w:highlight w:val="none"/>
          <w:lang w:val="en-US" w:eastAsia="zh-CN"/>
        </w:rPr>
        <w:t xml:space="preserve">申报书</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val="en-US" w:eastAsia="zh-CN"/>
        </w:rPr>
        <w:t xml:space="preserve">并入选国家级</w:t>
      </w:r>
      <w:r>
        <w:rPr>
          <w:rFonts w:hint="eastAsia" w:asciiTheme="minorEastAsia" w:hAnsiTheme="minorEastAsia" w:eastAsiaTheme="minorEastAsia" w:cstheme="minorEastAsia"/>
          <w:b w:val="0"/>
          <w:bCs/>
          <w:color w:val="auto"/>
          <w:sz w:val="21"/>
          <w:szCs w:val="21"/>
          <w:highlight w:val="none"/>
          <w:lang w:eastAsia="zh-CN"/>
        </w:rPr>
        <w:t xml:space="preserve">零碳园区</w:t>
      </w:r>
      <w:r>
        <w:rPr>
          <w:rFonts w:hint="eastAsia" w:asciiTheme="minorEastAsia" w:hAnsiTheme="minorEastAsia" w:eastAsiaTheme="minorEastAsia" w:cstheme="minorEastAsia"/>
          <w:b w:val="0"/>
          <w:bCs/>
          <w:color w:val="auto"/>
          <w:sz w:val="21"/>
          <w:szCs w:val="21"/>
          <w:highlight w:val="none"/>
          <w:lang w:val="en-US" w:eastAsia="zh-CN"/>
        </w:rPr>
        <w:t xml:space="preserve">建设名单</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付清</w:t>
      </w:r>
      <w:r>
        <w:rPr>
          <w:rFonts w:hint="eastAsia" w:asciiTheme="minorEastAsia" w:hAnsiTheme="minorEastAsia" w:eastAsiaTheme="minorEastAsia" w:cstheme="minorEastAsia"/>
          <w:b w:val="0"/>
          <w:bCs/>
          <w:color w:val="auto"/>
          <w:sz w:val="21"/>
          <w:szCs w:val="21"/>
          <w:highlight w:val="none"/>
          <w:lang w:val="en-US" w:eastAsia="zh-CN"/>
        </w:rPr>
        <w:t xml:space="preserve">国家级</w:t>
      </w:r>
      <w:r>
        <w:rPr>
          <w:rFonts w:hint="eastAsia" w:ascii="宋体" w:hAnsi="宋体" w:eastAsia="宋体" w:cs="宋体"/>
          <w:color w:val="auto"/>
          <w:spacing w:val="0"/>
          <w:sz w:val="21"/>
          <w:szCs w:val="21"/>
          <w:highlight w:val="none"/>
          <w:lang w:val="en-US" w:eastAsia="zh-CN"/>
        </w:rPr>
        <w:t xml:space="preserve">申报部分报价费用</w:t>
      </w:r>
      <w:r>
        <w:rPr>
          <w:rFonts w:hint="eastAsia" w:ascii="宋体" w:hAnsi="宋体" w:eastAsia="宋体" w:cs="宋体"/>
          <w:color w:val="auto"/>
          <w:spacing w:val="0"/>
          <w:sz w:val="21"/>
          <w:szCs w:val="21"/>
          <w:highlight w:val="none"/>
        </w:rPr>
        <w:t xml:space="preserve">作为</w:t>
      </w:r>
      <w:r>
        <w:rPr>
          <w:rFonts w:hint="eastAsia" w:ascii="宋体" w:hAnsi="宋体" w:eastAsia="宋体" w:cs="宋体"/>
          <w:color w:val="auto"/>
          <w:spacing w:val="0"/>
          <w:sz w:val="21"/>
          <w:szCs w:val="21"/>
          <w:highlight w:val="none"/>
          <w:lang w:val="en-US" w:eastAsia="zh-CN"/>
        </w:rPr>
        <w:t xml:space="preserve">进度款</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即</w:t>
      </w:r>
      <w:r>
        <w:rPr>
          <w:rFonts w:hint="eastAsia" w:ascii="宋体" w:hAnsi="宋体" w:eastAsia="宋体" w:cs="宋体"/>
          <w:color w:val="auto"/>
          <w:spacing w:val="0"/>
          <w:sz w:val="21"/>
          <w:szCs w:val="21"/>
          <w:highlight w:val="none"/>
          <w:u w:val="single"/>
          <w:lang w:val="en-US" w:eastAsia="zh-CN"/>
        </w:rPr>
        <w:t xml:space="preserve">     万</w:t>
      </w:r>
      <w:r>
        <w:rPr>
          <w:rFonts w:hint="eastAsia" w:ascii="宋体" w:hAnsi="宋体" w:eastAsia="宋体" w:cs="宋体"/>
          <w:color w:val="auto"/>
          <w:spacing w:val="0"/>
          <w:sz w:val="21"/>
          <w:szCs w:val="21"/>
          <w:highlight w:val="none"/>
          <w:lang w:eastAsia="zh-CN"/>
        </w:rPr>
        <w:t xml:space="preserve">；</w:t>
      </w:r>
      <w:r/>
    </w:p>
    <w:p>
      <w:pPr>
        <w:pStyle w:val="984"/>
        <w:ind w:left="0" w:right="0" w:firstLine="420"/>
        <w:keepLines w:val="0"/>
        <w:keepNext w:val="0"/>
        <w:pageBreakBefore w:val="0"/>
        <w:spacing w:after="0" w:line="360" w:lineRule="auto"/>
        <w:widowControl/>
        <w:rPr>
          <w:rFonts w:hint="default" w:asciiTheme="minorEastAsia" w:hAnsiTheme="minorEastAsia" w:eastAsiaTheme="minorEastAsia" w:cstheme="minorEastAsia"/>
          <w:b w:val="0"/>
          <w:bCs/>
          <w:color w:val="auto"/>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完成</w:t>
      </w:r>
      <w:r>
        <w:rPr>
          <w:rFonts w:hint="eastAsia" w:asciiTheme="minorEastAsia" w:hAnsiTheme="minorEastAsia" w:eastAsiaTheme="minorEastAsia" w:cstheme="minorEastAsia"/>
          <w:b w:val="0"/>
          <w:bCs/>
          <w:color w:val="auto"/>
          <w:sz w:val="21"/>
          <w:szCs w:val="21"/>
          <w:highlight w:val="none"/>
        </w:rPr>
        <w:t xml:space="preserve">《高邮经济开发区</w:t>
      </w:r>
      <w:r>
        <w:rPr>
          <w:rFonts w:hint="eastAsia" w:asciiTheme="minorEastAsia" w:hAnsiTheme="minorEastAsia" w:eastAsiaTheme="minorEastAsia" w:cstheme="minorEastAsia"/>
          <w:bCs/>
          <w:color w:val="auto"/>
          <w:sz w:val="21"/>
          <w:szCs w:val="21"/>
          <w:highlight w:val="none"/>
          <w:lang w:val="en-US" w:eastAsia="zh-CN"/>
        </w:rPr>
        <w:t xml:space="preserve">欧盟NG认证</w:t>
      </w:r>
      <w:r>
        <w:rPr>
          <w:rFonts w:hint="eastAsia" w:asciiTheme="minorEastAsia" w:hAnsiTheme="minorEastAsia" w:eastAsiaTheme="minorEastAsia" w:cstheme="minorEastAsia"/>
          <w:b w:val="0"/>
          <w:bCs/>
          <w:color w:val="auto"/>
          <w:sz w:val="21"/>
          <w:szCs w:val="21"/>
          <w:highlight w:val="none"/>
          <w:lang w:val="en-US" w:eastAsia="zh-CN"/>
        </w:rPr>
        <w:t xml:space="preserve">申报书</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Theme="minorEastAsia" w:hAnsiTheme="minorEastAsia" w:eastAsiaTheme="minorEastAsia" w:cstheme="minorEastAsia"/>
          <w:b w:val="0"/>
          <w:bCs/>
          <w:color w:val="auto"/>
          <w:sz w:val="21"/>
          <w:szCs w:val="21"/>
          <w:highlight w:val="none"/>
          <w:lang w:val="en-US" w:eastAsia="zh-CN"/>
        </w:rPr>
        <w:t xml:space="preserve">并取得</w:t>
      </w:r>
      <w:r>
        <w:rPr>
          <w:rFonts w:hint="eastAsia" w:asciiTheme="minorEastAsia" w:hAnsiTheme="minorEastAsia" w:eastAsiaTheme="minorEastAsia" w:cstheme="minorEastAsia"/>
          <w:bCs/>
          <w:color w:val="auto"/>
          <w:sz w:val="21"/>
          <w:szCs w:val="21"/>
          <w:highlight w:val="none"/>
          <w:lang w:val="en-US" w:eastAsia="zh-CN"/>
        </w:rPr>
        <w:t xml:space="preserve">欧盟NG认证</w:t>
      </w:r>
      <w:r>
        <w:rPr>
          <w:rFonts w:hint="eastAsia" w:asciiTheme="minorEastAsia" w:hAnsiTheme="minorEastAsia" w:eastAsiaTheme="minorEastAsia" w:cstheme="minorEastAsia"/>
          <w:b w:val="0"/>
          <w:bCs/>
          <w:color w:val="auto"/>
          <w:sz w:val="21"/>
          <w:szCs w:val="21"/>
          <w:highlight w:val="none"/>
          <w:lang w:val="en-US" w:eastAsia="zh-CN"/>
        </w:rPr>
        <w:t xml:space="preserve">名单</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付清</w:t>
      </w:r>
      <w:r>
        <w:rPr>
          <w:rFonts w:hint="eastAsia" w:asciiTheme="minorEastAsia" w:hAnsiTheme="minorEastAsia" w:eastAsiaTheme="minorEastAsia" w:cstheme="minorEastAsia"/>
          <w:b w:val="0"/>
          <w:bCs/>
          <w:color w:val="auto"/>
          <w:sz w:val="21"/>
          <w:szCs w:val="21"/>
          <w:highlight w:val="none"/>
          <w:lang w:val="en-US" w:eastAsia="zh-CN"/>
        </w:rPr>
        <w:t xml:space="preserve">NG专项认证申报</w:t>
      </w:r>
      <w:r>
        <w:rPr>
          <w:rFonts w:hint="eastAsia" w:ascii="宋体" w:hAnsi="宋体" w:eastAsia="宋体" w:cs="宋体"/>
          <w:color w:val="auto"/>
          <w:spacing w:val="0"/>
          <w:sz w:val="21"/>
          <w:szCs w:val="21"/>
          <w:highlight w:val="none"/>
          <w:lang w:val="en-US" w:eastAsia="zh-CN"/>
        </w:rPr>
        <w:t xml:space="preserve">部分报价费用</w:t>
      </w:r>
      <w:r>
        <w:rPr>
          <w:rFonts w:hint="eastAsia" w:ascii="宋体" w:hAnsi="宋体" w:eastAsia="宋体" w:cs="宋体"/>
          <w:color w:val="auto"/>
          <w:spacing w:val="0"/>
          <w:sz w:val="21"/>
          <w:szCs w:val="21"/>
          <w:highlight w:val="none"/>
        </w:rPr>
        <w:t xml:space="preserve">作为</w:t>
      </w:r>
      <w:r>
        <w:rPr>
          <w:rFonts w:hint="eastAsia" w:ascii="宋体" w:hAnsi="宋体" w:eastAsia="宋体" w:cs="宋体"/>
          <w:color w:val="auto"/>
          <w:spacing w:val="0"/>
          <w:sz w:val="21"/>
          <w:szCs w:val="21"/>
          <w:highlight w:val="none"/>
          <w:lang w:val="en-US" w:eastAsia="zh-CN"/>
        </w:rPr>
        <w:t xml:space="preserve">进度款</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即</w:t>
      </w:r>
      <w:r>
        <w:rPr>
          <w:rFonts w:hint="eastAsia" w:ascii="宋体" w:hAnsi="宋体" w:eastAsia="宋体" w:cs="宋体"/>
          <w:color w:val="auto"/>
          <w:spacing w:val="0"/>
          <w:sz w:val="21"/>
          <w:szCs w:val="21"/>
          <w:highlight w:val="none"/>
          <w:u w:val="single"/>
          <w:lang w:val="en-US" w:eastAsia="zh-CN"/>
        </w:rPr>
        <w:t xml:space="preserve">     万</w:t>
      </w:r>
      <w:r>
        <w:rPr>
          <w:rFonts w:hint="eastAsia" w:ascii="宋体" w:hAnsi="宋体" w:eastAsia="宋体" w:cs="宋体"/>
          <w:color w:val="auto"/>
          <w:spacing w:val="0"/>
          <w:sz w:val="21"/>
          <w:szCs w:val="21"/>
          <w:highlight w:val="none"/>
          <w:lang w:eastAsia="zh-CN"/>
        </w:rPr>
        <w:t xml:space="preserve">；</w:t>
      </w:r>
      <w:r/>
    </w:p>
    <w:p>
      <w:pPr>
        <w:pStyle w:val="984"/>
        <w:ind w:left="0" w:righ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服务期满后根据实际完成工作进度付清余款，不计息</w:t>
      </w:r>
      <w:r>
        <w:rPr>
          <w:rFonts w:hint="eastAsia" w:ascii="宋体" w:hAnsi="宋体" w:eastAsia="宋体" w:cs="宋体"/>
          <w:color w:val="auto"/>
          <w:spacing w:val="0"/>
          <w:sz w:val="21"/>
          <w:szCs w:val="21"/>
          <w:highlight w:val="none"/>
          <w:lang w:eastAsia="zh-CN"/>
        </w:rPr>
        <w:t xml:space="preserve">；</w:t>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r>
      <w:r/>
    </w:p>
    <w:p>
      <w:pPr>
        <w:pStyle w:val="984"/>
        <w:ind w:firstLine="420"/>
        <w:pageBreakBefore w:val="0"/>
        <w:spacing w:after="0"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注： 以上资金支付时间为自甲方收到发票之日起 15 个工作日内完成支付。</w:t>
      </w:r>
      <w:r/>
    </w:p>
    <w:p>
      <w:pPr>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br w:type="page" w:clear="all"/>
      </w:r>
      <w:r/>
    </w:p>
    <w:p>
      <w:pPr>
        <w:pStyle w:val="977"/>
        <w:jc w:val="center"/>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第五章 评标方法</w:t>
      </w:r>
      <w:r/>
    </w:p>
    <w:p>
      <w:pPr>
        <w:ind w:right="352"/>
        <w:spacing w:line="360" w:lineRule="auto"/>
        <w:rPr>
          <w:rFonts w:ascii="宋体" w:hAnsi="宋体" w:eastAsia="宋体" w:cs="楷体"/>
          <w:color w:val="auto"/>
          <w:highlight w:val="none"/>
          <w14:textOutline w14:w="4356" w14:cap="flat" w14:cmpd="sng" w14:algn="ctr">
            <w14:solidFill>
              <w14:srgbClr w14:val="000000"/>
            </w14:solidFill>
            <w14:prstDash w14:val="solid"/>
            <w14:miter/>
          </w14:textOutline>
        </w:rPr>
      </w:pPr>
      <w:r>
        <w:rPr>
          <w:rFonts w:ascii="宋体" w:hAnsi="宋体" w:eastAsia="宋体" w:cs="楷体"/>
          <w:color w:val="auto"/>
          <w:spacing w:val="-15"/>
          <w:highlight w:val="none"/>
          <w14:textOutline w14:w="4356" w14:cap="flat" w14:cmpd="sng" w14:algn="ctr">
            <w14:solidFill>
              <w14:srgbClr w14:val="000000"/>
            </w14:solidFill>
            <w14:prstDash w14:val="solid"/>
            <w14:miter/>
          </w14:textOutline>
        </w:rPr>
        <w:t xml:space="preserve">一、</w:t>
      </w:r>
      <w:r>
        <w:rPr>
          <w:rFonts w:ascii="宋体" w:hAnsi="宋体" w:eastAsia="宋体" w:cs="楷体"/>
          <w:color w:val="auto"/>
          <w:highlight w:val="none"/>
          <w14:textOutline w14:w="4356" w14:cap="flat" w14:cmpd="sng" w14:algn="ctr">
            <w14:solidFill>
              <w14:srgbClr w14:val="000000"/>
            </w14:solidFill>
            <w14:prstDash w14:val="solid"/>
            <w14:miter/>
          </w14:textOutline>
        </w:rPr>
        <w:t xml:space="preserve">评审方法</w:t>
      </w:r>
      <w:r/>
    </w:p>
    <w:p>
      <w:pPr>
        <w:pStyle w:val="979"/>
        <w:ind w:firstLine="422"/>
        <w:spacing w:before="0" w:after="0" w:line="360" w:lineRule="auto"/>
        <w:widowControl w:val="off"/>
        <w:rPr>
          <w:rFonts w:ascii="宋体" w:hAnsi="宋体" w:eastAsia="宋体" w:cs="楷体"/>
          <w:b w:val="0"/>
          <w:bCs w:val="0"/>
          <w:color w:val="auto"/>
          <w:sz w:val="21"/>
          <w:szCs w:val="21"/>
          <w:highlight w:val="none"/>
        </w:rPr>
      </w:pPr>
      <w:r>
        <w:rPr>
          <w:rFonts w:hint="eastAsia" w:ascii="宋体" w:hAnsi="宋体" w:eastAsia="宋体" w:cs="楷体"/>
          <w:color w:val="auto"/>
          <w:sz w:val="21"/>
          <w:szCs w:val="21"/>
          <w:highlight w:val="none"/>
        </w:rPr>
        <w:t xml:space="preserve">本项目采用综合评分法，</w:t>
      </w:r>
      <w:r>
        <w:rPr>
          <w:rFonts w:hint="eastAsia" w:ascii="宋体" w:hAnsi="宋体" w:eastAsia="宋体" w:cs="楷体"/>
          <w:b w:val="0"/>
          <w:bCs w:val="0"/>
          <w:color w:val="auto"/>
          <w:sz w:val="21"/>
          <w:szCs w:val="21"/>
          <w:highlight w:val="none"/>
        </w:rPr>
        <w:t xml:space="preserve"> 评标委员会将对通过资格后审的各</w:t>
      </w:r>
      <w:r>
        <w:rPr>
          <w:rFonts w:hint="eastAsia" w:ascii="宋体" w:hAnsi="宋体" w:eastAsia="宋体" w:cs="楷体"/>
          <w:b w:val="0"/>
          <w:bCs w:val="0"/>
          <w:color w:val="auto"/>
          <w:sz w:val="21"/>
          <w:szCs w:val="21"/>
          <w:highlight w:val="none"/>
          <w:lang w:eastAsia="zh-CN"/>
        </w:rPr>
        <w:t xml:space="preserve">供应商</w:t>
      </w:r>
      <w:r>
        <w:rPr>
          <w:rFonts w:hint="eastAsia" w:ascii="宋体" w:hAnsi="宋体" w:eastAsia="宋体" w:cs="楷体"/>
          <w:b w:val="0"/>
          <w:bCs w:val="0"/>
          <w:color w:val="auto"/>
          <w:sz w:val="21"/>
          <w:szCs w:val="21"/>
          <w:highlight w:val="none"/>
        </w:rPr>
        <w:t xml:space="preserve">的投标报价、技术和服务方案等方面进行综合评审，评标委员会各成员应当独立对每个有效</w:t>
      </w:r>
      <w:r>
        <w:rPr>
          <w:rFonts w:hint="eastAsia" w:ascii="宋体" w:hAnsi="宋体" w:eastAsia="宋体" w:cs="楷体"/>
          <w:b w:val="0"/>
          <w:bCs w:val="0"/>
          <w:color w:val="auto"/>
          <w:sz w:val="21"/>
          <w:szCs w:val="21"/>
          <w:highlight w:val="none"/>
          <w:lang w:eastAsia="zh-CN"/>
        </w:rPr>
        <w:t xml:space="preserve">供应商</w:t>
      </w:r>
      <w:r>
        <w:rPr>
          <w:rFonts w:hint="eastAsia" w:ascii="宋体" w:hAnsi="宋体" w:eastAsia="宋体" w:cs="楷体"/>
          <w:b w:val="0"/>
          <w:bCs w:val="0"/>
          <w:color w:val="auto"/>
          <w:sz w:val="21"/>
          <w:szCs w:val="21"/>
          <w:highlight w:val="none"/>
        </w:rPr>
        <w:t xml:space="preserve">的投标文件进行评价、打分。经统计，得出各</w:t>
      </w:r>
      <w:r>
        <w:rPr>
          <w:rFonts w:hint="eastAsia" w:ascii="宋体" w:hAnsi="宋体" w:eastAsia="宋体" w:cs="楷体"/>
          <w:b w:val="0"/>
          <w:bCs w:val="0"/>
          <w:color w:val="auto"/>
          <w:sz w:val="21"/>
          <w:szCs w:val="21"/>
          <w:highlight w:val="none"/>
          <w:lang w:eastAsia="zh-CN"/>
        </w:rPr>
        <w:t xml:space="preserve">供应商</w:t>
      </w:r>
      <w:r>
        <w:rPr>
          <w:rFonts w:hint="eastAsia" w:ascii="宋体" w:hAnsi="宋体" w:eastAsia="宋体" w:cs="楷体"/>
          <w:b w:val="0"/>
          <w:bCs w:val="0"/>
          <w:color w:val="auto"/>
          <w:sz w:val="21"/>
          <w:szCs w:val="21"/>
          <w:highlight w:val="none"/>
        </w:rPr>
        <w:t xml:space="preserve">的最终评审分,按最终评审分由高到低顺序排列。得分相同的，按投标报价由低到高顺序排列。得分且投标报价相同的，按技术指标优劣顺序排列，并形成评标意见。</w:t>
      </w:r>
      <w:r/>
    </w:p>
    <w:p>
      <w:pPr>
        <w:ind w:right="352"/>
        <w:spacing w:line="360" w:lineRule="auto"/>
        <w:rPr>
          <w:rFonts w:ascii="宋体" w:hAnsi="宋体" w:eastAsia="宋体" w:cs="楷体"/>
          <w:color w:val="auto"/>
          <w:highlight w:val="none"/>
          <w14:textOutline w14:w="4356" w14:cap="flat" w14:cmpd="sng" w14:algn="ctr">
            <w14:solidFill>
              <w14:srgbClr w14:val="000000"/>
            </w14:solidFill>
            <w14:prstDash w14:val="solid"/>
            <w14:miter/>
          </w14:textOutline>
        </w:rPr>
      </w:pPr>
      <w:r>
        <w:rPr>
          <w:rFonts w:hint="eastAsia" w:ascii="宋体" w:hAnsi="宋体" w:eastAsia="宋体" w:cs="楷体"/>
          <w:color w:val="auto"/>
          <w:highlight w:val="none"/>
          <w14:textOutline w14:w="4356" w14:cap="flat" w14:cmpd="sng" w14:algn="ctr">
            <w14:solidFill>
              <w14:srgbClr w14:val="000000"/>
            </w14:solidFill>
            <w14:prstDash w14:val="solid"/>
            <w14:miter/>
          </w14:textOutline>
        </w:rPr>
        <w:t xml:space="preserve">二、政府采购政策功能落实 </w:t>
      </w:r>
      <w:r/>
    </w:p>
    <w:p>
      <w:pPr>
        <w:pStyle w:val="979"/>
        <w:ind w:firstLine="420"/>
        <w:spacing w:before="0" w:after="0" w:line="360" w:lineRule="auto"/>
        <w:widowControl w:val="off"/>
        <w:rPr>
          <w:rFonts w:ascii="宋体" w:hAnsi="宋体" w:eastAsia="宋体" w:cs="楷体"/>
          <w:b w:val="0"/>
          <w:bCs w:val="0"/>
          <w:color w:val="auto"/>
          <w:sz w:val="21"/>
          <w:szCs w:val="21"/>
          <w:highlight w:val="none"/>
        </w:rPr>
      </w:pPr>
      <w:r>
        <w:rPr>
          <w:rFonts w:hint="eastAsia" w:ascii="宋体" w:hAnsi="宋体" w:eastAsia="宋体" w:cs="楷体"/>
          <w:b w:val="0"/>
          <w:bCs w:val="0"/>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 </w:t>
      </w:r>
      <w:r/>
    </w:p>
    <w:p>
      <w:pPr>
        <w:pStyle w:val="979"/>
        <w:spacing w:before="0" w:after="0" w:line="360" w:lineRule="auto"/>
        <w:widowControl w:val="off"/>
        <w:rPr>
          <w:rFonts w:ascii="宋体" w:hAnsi="宋体" w:eastAsia="宋体" w:cs="楷体"/>
          <w:b w:val="0"/>
          <w:bCs w:val="0"/>
          <w:color w:val="auto"/>
          <w:sz w:val="21"/>
          <w:szCs w:val="21"/>
          <w:highlight w:val="none"/>
        </w:rPr>
      </w:pPr>
      <w:r>
        <w:rPr>
          <w:rFonts w:hint="eastAsia" w:ascii="宋体" w:hAnsi="宋体" w:eastAsia="宋体" w:cs="楷体"/>
          <w:b w:val="0"/>
          <w:bCs w:val="0"/>
          <w:color w:val="auto"/>
          <w:sz w:val="21"/>
          <w:szCs w:val="21"/>
          <w:highlight w:val="none"/>
        </w:rPr>
        <w:t xml:space="preserve">1、小微型企业价格扣除 </w:t>
      </w:r>
      <w:r/>
    </w:p>
    <w:p>
      <w:pPr>
        <w:pStyle w:val="979"/>
        <w:spacing w:before="0" w:after="0" w:line="360" w:lineRule="auto"/>
        <w:widowControl w:val="off"/>
        <w:rPr>
          <w:rFonts w:ascii="宋体" w:hAnsi="宋体" w:eastAsia="宋体" w:cs="楷体"/>
          <w:b w:val="0"/>
          <w:bCs w:val="0"/>
          <w:color w:val="auto"/>
          <w:sz w:val="21"/>
          <w:szCs w:val="21"/>
          <w:highlight w:val="none"/>
        </w:rPr>
      </w:pPr>
      <w:r>
        <w:rPr>
          <w:rFonts w:hint="eastAsia" w:ascii="宋体" w:hAnsi="宋体" w:eastAsia="宋体" w:cs="楷体"/>
          <w:b w:val="0"/>
          <w:bCs w:val="0"/>
          <w:color w:val="auto"/>
          <w:sz w:val="21"/>
          <w:szCs w:val="21"/>
          <w:highlight w:val="none"/>
        </w:rPr>
        <w:t xml:space="preserve">（1）本项目对小型和微型企业产品给予10%的扣除价格，用扣除后的价格参与评审。 </w:t>
      </w:r>
      <w:r/>
    </w:p>
    <w:p>
      <w:pPr>
        <w:pStyle w:val="979"/>
        <w:spacing w:before="0" w:after="0" w:line="360" w:lineRule="auto"/>
        <w:widowControl w:val="off"/>
        <w:rPr>
          <w:rFonts w:ascii="宋体" w:hAnsi="宋体" w:eastAsia="宋体" w:cs="楷体"/>
          <w:b w:val="0"/>
          <w:bCs w:val="0"/>
          <w:color w:val="auto"/>
          <w:sz w:val="21"/>
          <w:szCs w:val="21"/>
          <w:highlight w:val="none"/>
        </w:rPr>
      </w:pPr>
      <w:r>
        <w:rPr>
          <w:rFonts w:hint="eastAsia" w:ascii="宋体" w:hAnsi="宋体" w:eastAsia="宋体" w:cs="楷体"/>
          <w:b w:val="0"/>
          <w:bCs w:val="0"/>
          <w:color w:val="auto"/>
          <w:sz w:val="21"/>
          <w:szCs w:val="21"/>
          <w:highlight w:val="none"/>
        </w:rPr>
        <w:t xml:space="preserve">（2）供应商需按照采购文件的要求提供相应的《企业声明函》。 </w:t>
      </w:r>
      <w:r/>
    </w:p>
    <w:p>
      <w:pPr>
        <w:pStyle w:val="979"/>
        <w:spacing w:before="0" w:after="0" w:line="360" w:lineRule="auto"/>
        <w:widowControl w:val="off"/>
        <w:rPr>
          <w:rFonts w:ascii="宋体" w:hAnsi="宋体" w:eastAsia="宋体" w:cs="楷体"/>
          <w:b w:val="0"/>
          <w:bCs w:val="0"/>
          <w:color w:val="auto"/>
          <w:sz w:val="21"/>
          <w:szCs w:val="21"/>
          <w:highlight w:val="none"/>
        </w:rPr>
      </w:pPr>
      <w:r>
        <w:rPr>
          <w:rFonts w:hint="eastAsia" w:ascii="宋体" w:hAnsi="宋体" w:eastAsia="宋体" w:cs="楷体"/>
          <w:b w:val="0"/>
          <w:bCs w:val="0"/>
          <w:color w:val="auto"/>
          <w:sz w:val="21"/>
          <w:szCs w:val="21"/>
          <w:highlight w:val="none"/>
        </w:rPr>
        <w:t xml:space="preserve">2、残疾人福利单位价格扣除 </w:t>
      </w:r>
      <w:r/>
    </w:p>
    <w:p>
      <w:pPr>
        <w:pStyle w:val="979"/>
        <w:spacing w:before="0" w:after="0" w:line="360" w:lineRule="auto"/>
        <w:widowControl w:val="off"/>
        <w:rPr>
          <w:rFonts w:ascii="宋体" w:hAnsi="宋体" w:eastAsia="宋体" w:cs="楷体"/>
          <w:b w:val="0"/>
          <w:bCs w:val="0"/>
          <w:color w:val="auto"/>
          <w:sz w:val="21"/>
          <w:szCs w:val="21"/>
          <w:highlight w:val="none"/>
        </w:rPr>
      </w:pPr>
      <w:r>
        <w:rPr>
          <w:rFonts w:hint="eastAsia" w:ascii="宋体" w:hAnsi="宋体" w:eastAsia="宋体" w:cs="楷体"/>
          <w:b w:val="0"/>
          <w:bCs w:val="0"/>
          <w:color w:val="auto"/>
          <w:sz w:val="21"/>
          <w:szCs w:val="21"/>
          <w:highlight w:val="none"/>
        </w:rPr>
        <w:t xml:space="preserve">（1）本项目对残疾人福利性单位视同小型、微型企业，给予10%的价格扣除，用扣除后的价格参与评审。 </w:t>
      </w:r>
      <w:r/>
    </w:p>
    <w:p>
      <w:pPr>
        <w:pStyle w:val="979"/>
        <w:spacing w:before="0" w:after="0" w:line="360" w:lineRule="auto"/>
        <w:widowControl w:val="off"/>
        <w:rPr>
          <w:rFonts w:ascii="宋体" w:hAnsi="宋体" w:eastAsia="宋体" w:cs="楷体"/>
          <w:b w:val="0"/>
          <w:bCs w:val="0"/>
          <w:color w:val="auto"/>
          <w:sz w:val="21"/>
          <w:szCs w:val="21"/>
          <w:highlight w:val="none"/>
        </w:rPr>
      </w:pPr>
      <w:r>
        <w:rPr>
          <w:rFonts w:hint="eastAsia" w:ascii="宋体" w:hAnsi="宋体" w:eastAsia="宋体" w:cs="楷体"/>
          <w:b w:val="0"/>
          <w:bCs w:val="0"/>
          <w:color w:val="auto"/>
          <w:sz w:val="21"/>
          <w:szCs w:val="21"/>
          <w:highlight w:val="none"/>
        </w:rPr>
        <w:t xml:space="preserve">（2）残疾人福利单位需按照采购文件的要求提供《残疾人福利性单位声明函。 </w:t>
      </w:r>
      <w:r/>
    </w:p>
    <w:p>
      <w:pPr>
        <w:pStyle w:val="979"/>
        <w:spacing w:before="0" w:after="0" w:line="360" w:lineRule="auto"/>
        <w:widowControl w:val="off"/>
        <w:rPr>
          <w:rFonts w:ascii="宋体" w:hAnsi="宋体" w:eastAsia="宋体" w:cs="楷体"/>
          <w:b w:val="0"/>
          <w:bCs w:val="0"/>
          <w:color w:val="auto"/>
          <w:sz w:val="21"/>
          <w:szCs w:val="21"/>
          <w:highlight w:val="none"/>
        </w:rPr>
      </w:pPr>
      <w:r>
        <w:rPr>
          <w:rFonts w:hint="eastAsia" w:ascii="宋体" w:hAnsi="宋体" w:eastAsia="宋体" w:cs="楷体"/>
          <w:b w:val="0"/>
          <w:bCs w:val="0"/>
          <w:color w:val="auto"/>
          <w:sz w:val="21"/>
          <w:szCs w:val="21"/>
          <w:highlight w:val="none"/>
        </w:rPr>
        <w:t xml:space="preserve">（3）残疾人福利单位标准请参照《关于促进残疾人就业政府采购政策的通知》（财库 〔2017〕141号）。 </w:t>
      </w:r>
      <w:r/>
    </w:p>
    <w:p>
      <w:pPr>
        <w:pStyle w:val="979"/>
        <w:spacing w:before="0" w:after="0" w:line="360" w:lineRule="auto"/>
        <w:widowControl w:val="off"/>
        <w:rPr>
          <w:rFonts w:ascii="宋体" w:hAnsi="宋体" w:eastAsia="宋体" w:cs="楷体"/>
          <w:b w:val="0"/>
          <w:bCs w:val="0"/>
          <w:color w:val="auto"/>
          <w:sz w:val="21"/>
          <w:szCs w:val="21"/>
          <w:highlight w:val="none"/>
        </w:rPr>
      </w:pPr>
      <w:r>
        <w:rPr>
          <w:rFonts w:hint="eastAsia" w:ascii="宋体" w:hAnsi="宋体" w:eastAsia="宋体" w:cs="楷体"/>
          <w:b w:val="0"/>
          <w:bCs w:val="0"/>
          <w:color w:val="auto"/>
          <w:sz w:val="21"/>
          <w:szCs w:val="21"/>
          <w:highlight w:val="none"/>
        </w:rPr>
        <w:t xml:space="preserve">3、监狱和戒毒企业价格扣除 </w:t>
      </w:r>
      <w:r/>
    </w:p>
    <w:p>
      <w:pPr>
        <w:ind w:right="352"/>
        <w:spacing w:line="360" w:lineRule="auto"/>
        <w:rPr>
          <w:rFonts w:ascii="宋体" w:hAnsi="宋体" w:eastAsia="宋体" w:cs="楷体"/>
          <w:color w:val="auto"/>
          <w:highlight w:val="none"/>
        </w:rPr>
      </w:pPr>
      <w:r>
        <w:rPr>
          <w:rFonts w:hint="eastAsia" w:ascii="宋体" w:hAnsi="宋体" w:eastAsia="宋体" w:cs="楷体"/>
          <w:color w:val="auto"/>
          <w:highlight w:val="none"/>
        </w:rPr>
        <w:t xml:space="preserve">（1）本项目对监狱和戒毒企业（简称监狱企业）视同小型、微型企业，给予10%的价格扣除，用扣除后的价格参与评审。 </w:t>
      </w:r>
      <w:r/>
    </w:p>
    <w:p>
      <w:pPr>
        <w:ind w:right="352"/>
        <w:spacing w:line="360" w:lineRule="auto"/>
        <w:rPr>
          <w:rFonts w:ascii="宋体" w:hAnsi="宋体" w:eastAsia="宋体" w:cs="楷体"/>
          <w:color w:val="auto"/>
          <w:highlight w:val="none"/>
        </w:rPr>
      </w:pPr>
      <w:r>
        <w:rPr>
          <w:rFonts w:hint="eastAsia" w:ascii="宋体" w:hAnsi="宋体" w:eastAsia="宋体" w:cs="楷体"/>
          <w:color w:val="auto"/>
          <w:highlight w:val="none"/>
        </w:rPr>
        <w:t xml:space="preserve">（2）监狱企业参加政府采购活动时，需提供由省级以上监狱管理局、戒毒管理局(含新疆生产建设兵团)出具的属于监狱企业的证明文件。供应商如不提供上述证明文件，价格将 不做相应扣除。</w:t>
      </w:r>
      <w:r/>
    </w:p>
    <w:p>
      <w:pPr>
        <w:ind w:right="352"/>
        <w:spacing w:line="360" w:lineRule="auto"/>
        <w:rPr>
          <w:rFonts w:ascii="宋体" w:hAnsi="宋体" w:eastAsia="宋体" w:cs="楷体"/>
          <w:color w:val="auto"/>
          <w:highlight w:val="none"/>
        </w:rPr>
      </w:pPr>
      <w:r>
        <w:rPr>
          <w:rFonts w:hint="eastAsia" w:ascii="宋体" w:hAnsi="宋体" w:eastAsia="宋体" w:cs="楷体"/>
          <w:color w:val="auto"/>
          <w:highlight w:val="none"/>
        </w:rPr>
        <w:t xml:space="preserve">（3）监狱企业标准请参照《关于政府采购支持监狱企业发展有关问题的通知》（财库[2014]68号）。 </w:t>
      </w:r>
      <w:r/>
    </w:p>
    <w:p>
      <w:pPr>
        <w:ind w:right="352"/>
        <w:spacing w:line="360" w:lineRule="auto"/>
        <w:rPr>
          <w:rFonts w:ascii="宋体" w:hAnsi="宋体" w:eastAsia="宋体" w:cs="楷体"/>
          <w:color w:val="auto"/>
          <w:highlight w:val="none"/>
        </w:rPr>
      </w:pPr>
      <w:r>
        <w:rPr>
          <w:rFonts w:hint="eastAsia" w:ascii="宋体" w:hAnsi="宋体" w:eastAsia="宋体" w:cs="楷体"/>
          <w:color w:val="auto"/>
          <w:highlight w:val="none"/>
        </w:rPr>
        <w:t xml:space="preserve">4、残疾人福利单位、监狱企业属于小型、微型企业的，不重复享受政策。</w:t>
      </w:r>
      <w:r/>
    </w:p>
    <w:p>
      <w:pPr>
        <w:ind w:right="352"/>
        <w:spacing w:line="360" w:lineRule="auto"/>
        <w:rPr>
          <w:rFonts w:ascii="宋体" w:hAnsi="宋体" w:eastAsia="宋体" w:cs="楷体"/>
          <w:color w:val="auto"/>
          <w:highlight w:val="none"/>
        </w:rPr>
      </w:pPr>
      <w:r>
        <w:rPr>
          <w:rFonts w:hint="eastAsia" w:ascii="宋体" w:hAnsi="宋体" w:eastAsia="宋体" w:cs="楷体"/>
          <w:color w:val="auto"/>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eastAsia="宋体" w:cs="楷体"/>
          <w:color w:val="auto"/>
          <w:highlight w:val="none"/>
        </w:rPr>
        <w:br/>
      </w:r>
      <w:r>
        <w:rPr>
          <w:rFonts w:hint="eastAsia" w:ascii="宋体" w:hAnsi="宋体" w:eastAsia="宋体" w:cs="楷体"/>
          <w:color w:val="auto"/>
          <w:highlight w:val="none"/>
        </w:rPr>
        <w:t xml:space="preserve">  6、联合体各方均为小型、微型企业（残疾人福利单位、监狱企业）的，联合体享受10%价格扣除，用扣除后的价格参与评审。</w:t>
      </w:r>
      <w:r/>
    </w:p>
    <w:p>
      <w:pPr>
        <w:pStyle w:val="979"/>
        <w:spacing w:before="0" w:after="0" w:line="360" w:lineRule="auto"/>
        <w:widowControl w:val="off"/>
        <w:rPr>
          <w:rFonts w:ascii="宋体" w:hAnsi="宋体" w:eastAsia="宋体"/>
          <w:color w:val="auto"/>
          <w:highlight w:val="none"/>
        </w:rPr>
      </w:pPr>
      <w:r>
        <w:rPr>
          <w:rFonts w:hint="eastAsia" w:ascii="宋体" w:hAnsi="宋体" w:eastAsia="宋体" w:cs="楷体"/>
          <w:b w:val="0"/>
          <w:bCs w:val="0"/>
          <w:color w:val="auto"/>
          <w:sz w:val="21"/>
          <w:szCs w:val="21"/>
          <w:highlight w:val="none"/>
          <w14:textOutline w14:w="4356" w14:cap="flat" w14:cmpd="sng" w14:algn="ctr">
            <w14:solidFill>
              <w14:srgbClr w14:val="000000"/>
            </w14:solidFill>
            <w14:prstDash w14:val="solid"/>
            <w14:miter/>
          </w14:textOutline>
        </w:rPr>
        <w:t xml:space="preserve">三、评审标准</w:t>
      </w:r>
      <w:r/>
    </w:p>
    <w:tbl>
      <w:tblPr>
        <w:tblStyle w:val="981"/>
        <w:tblW w:w="9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5"/>
        <w:gridCol w:w="1379"/>
        <w:gridCol w:w="6520"/>
      </w:tblGrid>
      <w:tr>
        <w:trPr>
          <w:jc w:val="center"/>
          <w:trHeight w:val="624"/>
        </w:trPr>
        <w:tc>
          <w:tcPr>
            <w:tcW w:w="1295" w:type="dxa"/>
            <w:vAlign w:val="center"/>
            <w:textDirection w:val="lrTb"/>
            <w:noWrap/>
          </w:tcPr>
          <w:p>
            <w:pPr>
              <w:ind w:left="0" w:right="0"/>
              <w:jc w:val="center"/>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评审分项</w:t>
            </w:r>
            <w:r/>
          </w:p>
        </w:tc>
        <w:tc>
          <w:tcPr>
            <w:gridSpan w:val="2"/>
            <w:tcW w:w="7899" w:type="dxa"/>
            <w:vAlign w:val="center"/>
            <w:textDirection w:val="lrTb"/>
            <w:noWrap/>
          </w:tcPr>
          <w:p>
            <w:pPr>
              <w:ind w:left="0" w:right="0"/>
              <w:jc w:val="center"/>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评审细则</w:t>
            </w:r>
            <w:r/>
          </w:p>
        </w:tc>
      </w:tr>
      <w:tr>
        <w:trPr>
          <w:jc w:val="center"/>
          <w:trHeight w:val="1541"/>
        </w:trPr>
        <w:tc>
          <w:tcPr>
            <w:tcW w:w="1295" w:type="dxa"/>
            <w:vAlign w:val="center"/>
            <w:textDirection w:val="lrTb"/>
            <w:noWrap/>
          </w:tcPr>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磋商报价</w:t>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0分）</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综合评分为基准</w:t>
            </w:r>
            <w:r>
              <w:rPr>
                <w:rFonts w:hint="eastAsia" w:asciiTheme="minorEastAsia" w:hAnsiTheme="minorEastAsia" w:eastAsiaTheme="minorEastAsia" w:cstheme="minorEastAsia"/>
                <w:bCs/>
                <w:color w:val="auto"/>
                <w:sz w:val="21"/>
                <w:szCs w:val="21"/>
                <w:highlight w:val="none"/>
                <w:lang w:eastAsia="zh-CN"/>
              </w:rPr>
              <w:t xml:space="preserve">）</w:t>
            </w:r>
            <w:r/>
          </w:p>
        </w:tc>
        <w:tc>
          <w:tcPr>
            <w:gridSpan w:val="2"/>
            <w:tcW w:w="7899" w:type="dxa"/>
            <w:vAlign w:val="center"/>
            <w:textDirection w:val="lrTb"/>
            <w:noWrap/>
          </w:tcPr>
          <w:p>
            <w:pPr>
              <w:pStyle w:val="992"/>
              <w:ind w:left="0" w:right="0" w:firstLine="8"/>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以满足磋商文件要求且最后报价最低的供应商的价格为磋商基准价，其价格分为满分，其他投标人的价格分统一按照下列公式计算（小数点保留两位）：磋商报价得分＝（磋商基准价/最后磋商报价）×</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lang w:eastAsia="zh-CN"/>
              </w:rPr>
              <w:t xml:space="preserve">0分*100%（保留小数点后两位）。</w:t>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64"/>
        </w:trPr>
        <w:tc>
          <w:tcPr>
            <w:tcW w:w="1295" w:type="dxa"/>
            <w:vAlign w:val="center"/>
            <w:vMerge w:val="restart"/>
            <w:textDirection w:val="lrTb"/>
            <w:noWrap/>
          </w:tcPr>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服务方案</w:t>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66</w:t>
            </w:r>
            <w:r>
              <w:rPr>
                <w:rFonts w:hint="eastAsia" w:asciiTheme="minorEastAsia" w:hAnsiTheme="minorEastAsia" w:eastAsiaTheme="minorEastAsia" w:cstheme="minorEastAsia"/>
                <w:bCs/>
                <w:color w:val="auto"/>
                <w:sz w:val="21"/>
                <w:szCs w:val="21"/>
                <w:highlight w:val="none"/>
              </w:rPr>
              <w:t xml:space="preserve">分）</w:t>
            </w:r>
            <w:r/>
          </w:p>
        </w:tc>
        <w:tc>
          <w:tcPr>
            <w:tcW w:w="1379" w:type="dxa"/>
            <w:vAlign w:val="center"/>
            <w:textDirection w:val="lrTb"/>
            <w:noWrap/>
          </w:tcPr>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现状调查与分析方案</w:t>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（10分）</w:t>
            </w:r>
            <w:r/>
          </w:p>
        </w:tc>
        <w:tc>
          <w:tcPr>
            <w:tcW w:w="6520" w:type="dxa"/>
            <w:vAlign w:val="center"/>
            <w:textDirection w:val="lrTb"/>
            <w:noWrap/>
          </w:tcPr>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提供针对本项目的现状调查与分析方案（涵盖能源结构、产业结构、碳排放底数摸排等）：</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方案详尽、精细，对高邮开发区现状分析透彻，数据获取渠道科学可靠，针对性强、规范性合理</w:t>
            </w:r>
            <w:r>
              <w:rPr>
                <w:rFonts w:hint="eastAsia" w:asciiTheme="minorEastAsia" w:hAnsiTheme="minorEastAsia" w:eastAsiaTheme="minorEastAsia" w:cstheme="minorEastAsia"/>
                <w:bCs/>
                <w:color w:val="auto"/>
                <w:sz w:val="21"/>
                <w:szCs w:val="21"/>
                <w:highlight w:val="none"/>
                <w:lang w:val="en-US" w:eastAsia="zh-CN"/>
              </w:rPr>
              <w:t xml:space="preserve">的</w:t>
            </w:r>
            <w:r>
              <w:rPr>
                <w:rFonts w:hint="eastAsia" w:asciiTheme="minorEastAsia" w:hAnsiTheme="minorEastAsia" w:eastAsiaTheme="minorEastAsia" w:cstheme="minorEastAsia"/>
                <w:bCs/>
                <w:color w:val="auto"/>
                <w:sz w:val="21"/>
                <w:szCs w:val="21"/>
                <w:highlight w:val="none"/>
              </w:rPr>
              <w:t xml:space="preserve">得10分；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方案较为全面，对高邮开发区现状分析较为深入，数据获取渠道较为科学，针对性较强、规范性较好</w:t>
            </w:r>
            <w:r>
              <w:rPr>
                <w:rFonts w:hint="eastAsia" w:asciiTheme="minorEastAsia" w:hAnsiTheme="minorEastAsia" w:eastAsiaTheme="minorEastAsia" w:cstheme="minorEastAsia"/>
                <w:bCs/>
                <w:color w:val="auto"/>
                <w:sz w:val="21"/>
                <w:szCs w:val="21"/>
                <w:highlight w:val="none"/>
                <w:lang w:val="en-US" w:eastAsia="zh-CN"/>
              </w:rPr>
              <w:t xml:space="preserve">的</w:t>
            </w:r>
            <w:r>
              <w:rPr>
                <w:rFonts w:hint="eastAsia" w:asciiTheme="minorEastAsia" w:hAnsiTheme="minorEastAsia" w:eastAsiaTheme="minorEastAsia" w:cstheme="minorEastAsia"/>
                <w:bCs/>
                <w:color w:val="auto"/>
                <w:sz w:val="21"/>
                <w:szCs w:val="21"/>
                <w:highlight w:val="none"/>
              </w:rPr>
              <w:t xml:space="preserve">得</w:t>
            </w:r>
            <w:r>
              <w:rPr>
                <w:rFonts w:hint="eastAsia" w:asciiTheme="minorEastAsia" w:hAnsiTheme="minorEastAsia" w:eastAsiaTheme="minorEastAsia" w:cstheme="minorEastAsia"/>
                <w:bCs/>
                <w:color w:val="auto"/>
                <w:sz w:val="21"/>
                <w:szCs w:val="21"/>
                <w:highlight w:val="none"/>
                <w:lang w:val="en-US" w:eastAsia="zh-CN"/>
              </w:rPr>
              <w:t xml:space="preserve">8</w:t>
            </w:r>
            <w:r>
              <w:rPr>
                <w:rFonts w:hint="eastAsia" w:asciiTheme="minorEastAsia" w:hAnsiTheme="minorEastAsia" w:eastAsiaTheme="minorEastAsia" w:cstheme="minorEastAsia"/>
                <w:bCs/>
                <w:color w:val="auto"/>
                <w:sz w:val="21"/>
                <w:szCs w:val="21"/>
                <w:highlight w:val="none"/>
              </w:rPr>
              <w:t xml:space="preserve">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方案基本全面，只具有基本科学性、操作性，规范一般的得</w:t>
            </w:r>
            <w:r>
              <w:rPr>
                <w:rFonts w:hint="eastAsia" w:asciiTheme="minorEastAsia" w:hAnsiTheme="minorEastAsia" w:eastAsia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rPr>
              <w:t xml:space="preserve">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方案较为简单，操作性有所欠缺，规范性有待提升的得</w:t>
            </w:r>
            <w:r>
              <w:rPr>
                <w:rFonts w:hint="eastAsia" w:asciiTheme="minorEastAsia" w:hAnsiTheme="minorEastAsia" w:eastAsiaTheme="minorEastAsia" w:cstheme="minorEastAsia"/>
                <w:bCs/>
                <w:color w:val="auto"/>
                <w:sz w:val="21"/>
                <w:szCs w:val="21"/>
                <w:highlight w:val="none"/>
                <w:lang w:val="en-US" w:eastAsia="zh-CN"/>
              </w:rPr>
              <w:t xml:space="preserve">4</w:t>
            </w:r>
            <w:r>
              <w:rPr>
                <w:rFonts w:hint="eastAsia" w:asciiTheme="minorEastAsia" w:hAnsiTheme="minorEastAsia" w:eastAsiaTheme="minorEastAsia" w:cstheme="minorEastAsia"/>
                <w:bCs/>
                <w:color w:val="auto"/>
                <w:sz w:val="21"/>
                <w:szCs w:val="21"/>
                <w:highlight w:val="none"/>
              </w:rPr>
              <w:t xml:space="preserve">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方案简单，操作性欠缺，规范欠缺的得</w:t>
            </w:r>
            <w:r>
              <w:rPr>
                <w:rFonts w:hint="eastAsia" w:asciiTheme="minorEastAsia" w:hAnsiTheme="minorEastAsia" w:eastAsiaTheme="minorEastAsia" w:cstheme="minorEastAsia"/>
                <w:bCs/>
                <w:color w:val="auto"/>
                <w:sz w:val="21"/>
                <w:szCs w:val="21"/>
                <w:highlight w:val="none"/>
                <w:lang w:val="en-US" w:eastAsia="zh-CN"/>
              </w:rPr>
              <w:t xml:space="preserve">2</w:t>
            </w:r>
            <w:r>
              <w:rPr>
                <w:rFonts w:hint="eastAsia" w:asciiTheme="minorEastAsia" w:hAnsiTheme="minorEastAsia" w:eastAsiaTheme="minorEastAsia" w:cstheme="minorEastAsia"/>
                <w:bCs/>
                <w:color w:val="auto"/>
                <w:sz w:val="21"/>
                <w:szCs w:val="21"/>
                <w:highlight w:val="none"/>
              </w:rPr>
              <w:t xml:space="preserve">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未提供的不得分。</w:t>
            </w:r>
            <w:r/>
          </w:p>
        </w:tc>
      </w:tr>
      <w:tr>
        <w:trPr>
          <w:jc w:val="center"/>
        </w:trPr>
        <w:tc>
          <w:tcPr>
            <w:tcW w:w="1295" w:type="dxa"/>
            <w:vAlign w:val="center"/>
            <w:vMerge w:val="continue"/>
            <w:textDirection w:val="lrTb"/>
            <w:noWrap/>
          </w:tcPr>
          <w:p>
            <w:pPr>
              <w:ind w:left="0" w:right="0" w:firstLine="558"/>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379" w:type="dxa"/>
            <w:vAlign w:val="center"/>
            <w:textDirection w:val="lrTb"/>
            <w:noWrap/>
          </w:tcPr>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创建方案与规划编制</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（12分）</w:t>
            </w:r>
            <w:r/>
          </w:p>
        </w:tc>
        <w:tc>
          <w:tcPr>
            <w:tcW w:w="6520" w:type="dxa"/>
            <w:vAlign w:val="center"/>
            <w:textDirection w:val="lrTb"/>
            <w:noWrap/>
          </w:tcPr>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提供针对本项目的</w:t>
            </w:r>
            <w:r>
              <w:rPr>
                <w:rFonts w:hint="eastAsia" w:asciiTheme="minorEastAsia" w:hAnsiTheme="minorEastAsia" w:eastAsiaTheme="minorEastAsia" w:cstheme="minorEastAsia"/>
                <w:bCs/>
                <w:color w:val="auto"/>
                <w:sz w:val="21"/>
                <w:szCs w:val="21"/>
                <w:highlight w:val="none"/>
                <w:lang w:val="en-US" w:eastAsia="zh-CN"/>
              </w:rPr>
              <w:t xml:space="preserve">国家级</w:t>
            </w:r>
            <w:r>
              <w:rPr>
                <w:rFonts w:hint="eastAsia" w:asciiTheme="minorEastAsia" w:hAnsiTheme="minorEastAsia" w:eastAsiaTheme="minorEastAsia" w:cstheme="minorEastAsia"/>
                <w:bCs/>
                <w:color w:val="auto"/>
                <w:sz w:val="21"/>
                <w:szCs w:val="21"/>
                <w:highlight w:val="none"/>
              </w:rPr>
              <w:t xml:space="preserve">零碳园区</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省级零碳园区和欧盟NG认证等三项工作的</w:t>
            </w:r>
            <w:r>
              <w:rPr>
                <w:rFonts w:hint="eastAsia" w:asciiTheme="minorEastAsia" w:hAnsiTheme="minorEastAsia" w:eastAsiaTheme="minorEastAsia" w:cstheme="minorEastAsia"/>
                <w:bCs/>
                <w:color w:val="auto"/>
                <w:sz w:val="21"/>
                <w:szCs w:val="21"/>
                <w:highlight w:val="none"/>
              </w:rPr>
              <w:t xml:space="preserve">创建方案与规划路径设计：</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针对三项创建目标的规划路线清晰，减排路径科学可行，技术措施先进且符合高邮开发区实际情况，方案详尽、逻辑严密、可操作性强的得12分</w:t>
            </w:r>
            <w:r>
              <w:rPr>
                <w:rFonts w:hint="eastAsia" w:asciiTheme="minorEastAsia" w:hAnsiTheme="minorEastAsia" w:eastAsiaTheme="minorEastAsia" w:cstheme="minorEastAsia"/>
                <w:bCs/>
                <w:color w:val="auto"/>
                <w:sz w:val="21"/>
                <w:szCs w:val="21"/>
                <w:highlight w:val="none"/>
              </w:rPr>
              <w:t xml:space="preserve">；</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针对三项创建目标的规划路线较为清晰，减排路径较为科学可行，技术措施较为先进且基本符合高邮开发区实际情况，方案较为详尽、逻辑较为严密、可操作性较强的得9分；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针对三项创建目标的规划路线基本清晰，减排路径基本合理，技术措施基本可行，方案基本全面、只具有基本科学性、操作性，规范一般的得7分；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针对三项创建目标的规划路线较为模糊，减排路径可行性一般，技术措施较为欠缺，方案较为简单、操作性有所欠缺、规范性有待提升的得5分；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针对三项创建目标的规划路线模糊，减排路径缺乏科学性，技术措施欠缺，方案简单、操作性欠缺、规范欠缺的得3分；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未提供的不得分。</w:t>
            </w:r>
            <w:r/>
          </w:p>
        </w:tc>
      </w:tr>
      <w:tr>
        <w:trPr>
          <w:jc w:val="center"/>
        </w:trPr>
        <w:tc>
          <w:tcPr>
            <w:tcW w:w="1295" w:type="dxa"/>
            <w:vAlign w:val="center"/>
            <w:vMerge w:val="continue"/>
            <w:textDirection w:val="lrTb"/>
            <w:noWrap/>
          </w:tcPr>
          <w:p>
            <w:pPr>
              <w:ind w:left="0" w:right="0" w:firstLine="558"/>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379" w:type="dxa"/>
            <w:vAlign w:val="center"/>
            <w:textDirection w:val="lrTb"/>
            <w:noWrap/>
          </w:tcPr>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重点项目库构建方案</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（8分）</w:t>
            </w:r>
            <w:r/>
          </w:p>
        </w:tc>
        <w:tc>
          <w:tcPr>
            <w:tcW w:w="6520" w:type="dxa"/>
            <w:vAlign w:val="center"/>
            <w:textDirection w:val="lrTb"/>
            <w:noWrap/>
          </w:tcPr>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提供针对本项目的低碳/零碳重点项目库构建思路及筛选标准：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针对三项创建目标的项目筛选标准科学，入库项目分类清晰（如能源替代、能效提升、碳汇类等），投资估算与减排效益测算准确，方案详尽、合理性强的得8分；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针对三项创建目标的项目筛选标准较为科学，入库项目分类较为清晰，投资估算与减排效益测算较为准确，方案较为详尽、合理性较强的得6分；</w:t>
            </w:r>
            <w:r/>
          </w:p>
          <w:p>
            <w:pPr>
              <w:pStyle w:val="993"/>
              <w:ind w:left="0" w:right="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针对三项创建目标的项目筛选标准基本合理，入库项目分类基本清晰，投资估算与减排效益测算基本准确，方案基本全面，只具有基本科学性、操作性，规范一般的得4分；</w:t>
            </w:r>
            <w:r>
              <w:rPr>
                <w:rFonts w:hint="eastAsia" w:asciiTheme="minorEastAsia" w:hAnsiTheme="minorEastAsia" w:eastAsiaTheme="minorEastAsia" w:cstheme="minorEastAsia"/>
                <w:bCs/>
                <w:color w:val="auto"/>
                <w:sz w:val="21"/>
                <w:szCs w:val="21"/>
                <w:highlight w:val="none"/>
                <w:lang w:val="en-US" w:eastAsia="zh-CN"/>
              </w:rPr>
            </w:r>
            <w:r/>
          </w:p>
          <w:p>
            <w:pPr>
              <w:pStyle w:val="993"/>
              <w:ind w:left="0" w:right="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针对三项创建目标的项目筛选标准不明确，入库项目分类混乱，投资估算与减排效益测算不准确，方案简单，操作性欠缺，规范欠缺的得2分；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未提供的不得分。</w:t>
            </w:r>
            <w:r/>
          </w:p>
        </w:tc>
      </w:tr>
      <w:tr>
        <w:trPr>
          <w:jc w:val="center"/>
        </w:trPr>
        <w:tc>
          <w:tcPr>
            <w:tcW w:w="1295" w:type="dxa"/>
            <w:vAlign w:val="center"/>
            <w:vMerge w:val="continue"/>
            <w:textDirection w:val="lrTb"/>
            <w:noWrap/>
          </w:tcPr>
          <w:p>
            <w:pPr>
              <w:ind w:left="0" w:right="0" w:firstLine="558"/>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379" w:type="dxa"/>
            <w:vAlign w:val="center"/>
            <w:textDirection w:val="lrTb"/>
            <w:noWrap/>
          </w:tcPr>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申报文本编制服务方案</w:t>
            </w:r>
            <w:r/>
          </w:p>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（10分）</w:t>
            </w:r>
            <w:r/>
          </w:p>
        </w:tc>
        <w:tc>
          <w:tcPr>
            <w:tcW w:w="6520" w:type="dxa"/>
            <w:vAlign w:val="center"/>
            <w:textDirection w:val="lrTb"/>
            <w:noWrap/>
          </w:tcPr>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提供针对本项目的</w:t>
            </w:r>
            <w:r>
              <w:rPr>
                <w:rFonts w:hint="eastAsia" w:asciiTheme="minorEastAsia" w:hAnsiTheme="minorEastAsia" w:eastAsiaTheme="minorEastAsia" w:cstheme="minorEastAsia"/>
                <w:bCs/>
                <w:color w:val="auto"/>
                <w:sz w:val="21"/>
                <w:szCs w:val="21"/>
                <w:highlight w:val="none"/>
                <w:lang w:val="en-US" w:eastAsia="zh-CN"/>
              </w:rPr>
              <w:t xml:space="preserve">国家级</w:t>
            </w:r>
            <w:r>
              <w:rPr>
                <w:rFonts w:hint="eastAsia" w:asciiTheme="minorEastAsia" w:hAnsiTheme="minorEastAsia" w:eastAsiaTheme="minorEastAsia" w:cstheme="minorEastAsia"/>
                <w:bCs/>
                <w:color w:val="auto"/>
                <w:sz w:val="21"/>
                <w:szCs w:val="21"/>
                <w:highlight w:val="none"/>
              </w:rPr>
              <w:t xml:space="preserve">零碳园区</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省级零碳园区和欧盟NG认证等三项工作的</w:t>
            </w:r>
            <w:r>
              <w:rPr>
                <w:rFonts w:hint="eastAsia" w:asciiTheme="minorEastAsia" w:hAnsiTheme="minorEastAsia" w:eastAsiaTheme="minorEastAsia" w:cstheme="minorEastAsia"/>
                <w:bCs/>
                <w:color w:val="auto"/>
                <w:sz w:val="21"/>
                <w:szCs w:val="21"/>
                <w:highlight w:val="none"/>
              </w:rPr>
              <w:t xml:space="preserve">申报材料编制服务方案：</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针对三项创建目标，对各级申报指标体系理解深刻，材料编制大纲完整，亮点提炼精准，进度安排合理，方案详尽、针对性强的得10分</w:t>
            </w:r>
            <w:r>
              <w:rPr>
                <w:rFonts w:hint="eastAsia" w:asciiTheme="minorEastAsia" w:hAnsiTheme="minorEastAsia" w:eastAsiaTheme="minorEastAsia" w:cstheme="minorEastAsia"/>
                <w:bCs/>
                <w:color w:val="auto"/>
                <w:sz w:val="21"/>
                <w:szCs w:val="21"/>
                <w:highlight w:val="none"/>
              </w:rPr>
              <w:t xml:space="preserve">；</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针对三项创建目标，对各级申报指标体系理解较为深刻，材料编制大纲较为完整，亮点提炼较为精准，进度安排较为合理，方案较为详尽、针对性较强的得8分；</w:t>
            </w:r>
            <w:r/>
          </w:p>
          <w:p>
            <w:pPr>
              <w:pStyle w:val="993"/>
              <w:ind w:left="0" w:right="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针对三项创建目标，对申报指标理解基本到位，材料编制大纲基本完整，方案基本全面，只具有基本科学性、操作性，规范一般的得6分；</w:t>
            </w:r>
            <w:r>
              <w:rPr>
                <w:rFonts w:hint="eastAsia" w:asciiTheme="minorEastAsia" w:hAnsiTheme="minorEastAsia" w:eastAsiaTheme="minorEastAsia" w:cstheme="minorEastAsia"/>
                <w:bCs/>
                <w:color w:val="auto"/>
                <w:sz w:val="21"/>
                <w:szCs w:val="21"/>
                <w:highlight w:val="none"/>
              </w:rPr>
            </w:r>
            <w:r/>
          </w:p>
          <w:p>
            <w:pPr>
              <w:pStyle w:val="993"/>
              <w:ind w:left="0" w:right="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针对三项创建目标，对申报指标理解存在偏差，材料编制大纲不够完整，方案较为简单，操作性有所欠缺，规范性有待提升的得4分；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针对三项创建目标，对申报流程描述不清，材料编制大纲缺失，方案简单，操作性欠缺，规范欠缺的得2分；</w:t>
            </w:r>
            <w:r/>
          </w:p>
          <w:p>
            <w:pPr>
              <w:pStyle w:val="993"/>
              <w:ind w:left="0"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未提供的不得分。</w:t>
            </w:r>
            <w:r/>
          </w:p>
        </w:tc>
      </w:tr>
      <w:tr>
        <w:trPr>
          <w:jc w:val="center"/>
        </w:trPr>
        <w:tc>
          <w:tcPr>
            <w:tcW w:w="1295" w:type="dxa"/>
            <w:vAlign w:val="center"/>
            <w:vMerge w:val="continue"/>
            <w:textDirection w:val="lrTb"/>
            <w:noWrap/>
          </w:tcPr>
          <w:p>
            <w:pPr>
              <w:ind w:left="0" w:right="0" w:firstLine="558"/>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379" w:type="dxa"/>
            <w:vAlign w:val="center"/>
            <w:textDirection w:val="lrTb"/>
            <w:noWrap/>
          </w:tcPr>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建设实施期专业服务方案（</w:t>
            </w:r>
            <w:r>
              <w:rPr>
                <w:rFonts w:hint="eastAsia" w:asciiTheme="minorEastAsia" w:hAnsiTheme="minorEastAsia" w:eastAsiaTheme="minorEastAsia" w:cstheme="minorEastAsia"/>
                <w:bCs/>
                <w:color w:val="auto"/>
                <w:sz w:val="21"/>
                <w:szCs w:val="21"/>
                <w:highlight w:val="none"/>
                <w:lang w:val="en-US" w:eastAsia="zh-CN"/>
              </w:rPr>
              <w:t xml:space="preserve">10</w:t>
            </w:r>
            <w:r>
              <w:rPr>
                <w:rFonts w:hint="eastAsia" w:asciiTheme="minorEastAsia" w:hAnsiTheme="minorEastAsia" w:eastAsiaTheme="minorEastAsia" w:cstheme="minorEastAsia"/>
                <w:bCs/>
                <w:color w:val="auto"/>
                <w:sz w:val="21"/>
                <w:szCs w:val="21"/>
                <w:highlight w:val="none"/>
              </w:rPr>
              <w:t xml:space="preserve">分）</w:t>
            </w:r>
            <w:r/>
          </w:p>
        </w:tc>
        <w:tc>
          <w:tcPr>
            <w:tcW w:w="6520" w:type="dxa"/>
            <w:vAlign w:val="center"/>
            <w:textDirection w:val="lrTb"/>
            <w:noWrap/>
          </w:tcPr>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提供针对本项目在建设实施阶段的技术指导与跟踪服务方案：</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针对三项创建目标，服务流程清晰，关键节点控制措施得力，能提供持续的碳数据监测与评估建议，方案详尽、科学性强、规范合理的得10分</w:t>
            </w:r>
            <w:r>
              <w:rPr>
                <w:rFonts w:hint="eastAsia" w:asciiTheme="minorEastAsia" w:hAnsiTheme="minorEastAsia" w:eastAsiaTheme="minorEastAsia" w:cstheme="minorEastAsia"/>
                <w:bCs/>
                <w:color w:val="auto"/>
                <w:sz w:val="21"/>
                <w:szCs w:val="21"/>
                <w:highlight w:val="none"/>
              </w:rPr>
              <w:t xml:space="preserve">；</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针对三项创建目标，服务流程较为清晰，关键节点控制措施较为得力，能提供较为持续的碳数据监测与评估建议，方案较为详尽、科学性较强、规范较为合理的得8分；</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针对三项创建目标，服务流程基本清晰，关键节点控制措施基本到位，能提供基本的碳数据监测与评估建议，方案基本全面，只具有基本科学性、操作性，规范一般的得6分；</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针对三项创建目标，服务流程较为模糊，关键节点控制措施有所欠缺，碳数据监测与评估建议不够持续，方案较为简单，操作性有所欠缺，规范性有待提升的得4分；</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针对三项创建目标，服务流程不清，缺乏实质性服务内容，无法提供有效的碳数据监测与评估建议，方案简单，操作性欠缺，规范欠缺的得2分；</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未提供的不得分。</w:t>
            </w:r>
            <w:r/>
          </w:p>
        </w:tc>
      </w:tr>
      <w:tr>
        <w:trPr>
          <w:jc w:val="center"/>
        </w:trPr>
        <w:tc>
          <w:tcPr>
            <w:tcW w:w="1295" w:type="dxa"/>
            <w:vAlign w:val="center"/>
            <w:vMerge w:val="continue"/>
            <w:textDirection w:val="lrTb"/>
            <w:noWrap/>
          </w:tcPr>
          <w:p>
            <w:pPr>
              <w:ind w:left="0" w:right="0" w:firstLine="558"/>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379" w:type="dxa"/>
            <w:vAlign w:val="center"/>
            <w:textDirection w:val="lrTb"/>
            <w:noWrap/>
          </w:tcPr>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全过程质量控制及保密机制（</w:t>
            </w:r>
            <w:r>
              <w:rPr>
                <w:rFonts w:hint="eastAsia" w:asciiTheme="minorEastAsia" w:hAnsiTheme="minorEastAsia" w:eastAsiaTheme="minorEastAsia" w:cstheme="minorEastAsia"/>
                <w:bCs/>
                <w:color w:val="auto"/>
                <w:sz w:val="21"/>
                <w:szCs w:val="21"/>
                <w:highlight w:val="none"/>
                <w:lang w:val="en-US" w:eastAsia="zh-CN"/>
              </w:rPr>
              <w:t xml:space="preserve">10</w:t>
            </w:r>
            <w:r>
              <w:rPr>
                <w:rFonts w:hint="eastAsia" w:asciiTheme="minorEastAsia" w:hAnsiTheme="minorEastAsia" w:eastAsiaTheme="minorEastAsia" w:cstheme="minorEastAsia"/>
                <w:bCs/>
                <w:color w:val="auto"/>
                <w:sz w:val="21"/>
                <w:szCs w:val="21"/>
                <w:highlight w:val="none"/>
              </w:rPr>
              <w:t xml:space="preserve">分）</w:t>
            </w:r>
            <w:r/>
          </w:p>
        </w:tc>
        <w:tc>
          <w:tcPr>
            <w:tcW w:w="6520" w:type="dxa"/>
            <w:vAlign w:val="center"/>
            <w:textDirection w:val="lrTb"/>
            <w:noWrap/>
          </w:tcPr>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提供针对本项目的服务质量保障措施及保密制度：</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针对三项创建目标，质量保证体系健全，保密措施严密（特别是针对园区核心数据），应急响应机制完善，方案详尽、科学性强、规范合理的得10分</w:t>
            </w:r>
            <w:r>
              <w:rPr>
                <w:rFonts w:hint="eastAsia" w:asciiTheme="minorEastAsia" w:hAnsiTheme="minorEastAsia" w:eastAsiaTheme="minorEastAsia" w:cstheme="minorEastAsia"/>
                <w:bCs/>
                <w:color w:val="auto"/>
                <w:sz w:val="21"/>
                <w:szCs w:val="21"/>
                <w:highlight w:val="none"/>
              </w:rPr>
              <w:t xml:space="preserve">；</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针对三项创建目标，质量保证体系较为健全，保密措施较为严密，应急响应机制较为完善，方案较为详尽、科学性较强、规范较为合理的得8分；</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针对三项创建目标，质量保证体系基本健全，保密措施基本到位，应急响应机制基本具备，方案基本全面，只具有基本科学性、操作性，规范一般的得6分；</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针对三项创建目标，质量保证体系有所欠缺，保密措施不够严密，应急响应机制不够完善，方案较为简单，操作性有所欠缺，规范性有待提升的得4分；</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针对三项创建目标，质量保证和保密措施流于形式，缺乏实质性保障内容，应急响应机制缺失，方案简单，操作性欠缺，规范欠缺的得2分；</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未提供的不得分。</w:t>
            </w:r>
            <w:r/>
          </w:p>
        </w:tc>
      </w:tr>
      <w:tr>
        <w:trPr>
          <w:jc w:val="center"/>
        </w:trPr>
        <w:tc>
          <w:tcPr>
            <w:tcW w:w="1295" w:type="dxa"/>
            <w:vAlign w:val="center"/>
            <w:vMerge w:val="continue"/>
            <w:textDirection w:val="lrTb"/>
            <w:noWrap/>
          </w:tcPr>
          <w:p>
            <w:pPr>
              <w:ind w:left="0" w:right="0" w:firstLine="558"/>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1379" w:type="dxa"/>
            <w:vAlign w:val="center"/>
            <w:textDirection w:val="lrTb"/>
            <w:noWrap/>
          </w:tcPr>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后续服务承诺及培训方案（6分）</w:t>
            </w:r>
            <w:r/>
          </w:p>
        </w:tc>
        <w:tc>
          <w:tcPr>
            <w:tcW w:w="6520" w:type="dxa"/>
            <w:vAlign w:val="center"/>
            <w:textDirection w:val="lrTb"/>
            <w:noWrap/>
          </w:tcPr>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提供针对本项目的后续运维支持及相关人员培训方案：</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针对三项创建目标，</w:t>
            </w:r>
            <w:r>
              <w:rPr>
                <w:rFonts w:hint="eastAsia" w:asciiTheme="minorEastAsia" w:hAnsiTheme="minorEastAsia" w:eastAsiaTheme="minorEastAsia" w:cstheme="minorEastAsia"/>
                <w:bCs/>
                <w:color w:val="auto"/>
                <w:sz w:val="21"/>
                <w:szCs w:val="21"/>
                <w:highlight w:val="none"/>
              </w:rPr>
              <w:t xml:space="preserve">培训计划详实（包含双碳政策解读、碳资产管理实操等），后续服务响应时间短，承诺具体可行，方案详尽、针对性强的得6分；</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方案基本全面，只具有基本科学性、操作性，规范一般的得4分；</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方案简单，培训内容空洞，操作性欠缺，规范欠缺的得2分；</w:t>
            </w:r>
            <w:r/>
          </w:p>
          <w:p>
            <w:pPr>
              <w:pStyle w:val="993"/>
              <w:ind w:right="0"/>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未提供的不得分。</w:t>
            </w:r>
            <w:r/>
          </w:p>
        </w:tc>
      </w:tr>
      <w:tr>
        <w:trPr>
          <w:jc w:val="center"/>
          <w:trHeight w:val="1126"/>
        </w:trPr>
        <w:tc>
          <w:tcPr>
            <w:tcW w:w="1295" w:type="dxa"/>
            <w:vAlign w:val="center"/>
            <w:textDirection w:val="lrTb"/>
            <w:noWrap/>
          </w:tcPr>
          <w:p>
            <w:pPr>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人员配备(</w:t>
            </w:r>
            <w:r>
              <w:rPr>
                <w:rFonts w:hint="eastAsia" w:asciiTheme="minorEastAsia" w:hAnsiTheme="minorEastAsia" w:eastAsiaTheme="minorEastAsia" w:cstheme="minorEastAsia"/>
                <w:bCs/>
                <w:color w:val="auto"/>
                <w:sz w:val="21"/>
                <w:szCs w:val="21"/>
                <w:highlight w:val="none"/>
                <w:lang w:val="en-US" w:eastAsia="zh-CN"/>
              </w:rPr>
              <w:t xml:space="preserve">18</w:t>
            </w:r>
            <w:r>
              <w:rPr>
                <w:rFonts w:hint="eastAsia" w:asciiTheme="minorEastAsia" w:hAnsiTheme="minorEastAsia" w:eastAsiaTheme="minorEastAsia" w:cstheme="minorEastAsia"/>
                <w:bCs/>
                <w:color w:val="auto"/>
                <w:sz w:val="21"/>
                <w:szCs w:val="21"/>
                <w:highlight w:val="none"/>
              </w:rPr>
              <w:t xml:space="preserve">分)</w:t>
            </w:r>
            <w:r/>
          </w:p>
        </w:tc>
        <w:tc>
          <w:tcPr>
            <w:gridSpan w:val="2"/>
            <w:tcW w:w="7899" w:type="dxa"/>
            <w:vAlign w:val="center"/>
            <w:textDirection w:val="lrTb"/>
            <w:noWrap/>
          </w:tcPr>
          <w:p>
            <w:pPr>
              <w:pStyle w:val="986"/>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1.项目负责人（9分）：</w:t>
            </w:r>
            <w:r/>
          </w:p>
          <w:p>
            <w:pPr>
              <w:pStyle w:val="986"/>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拟配备的项目负责人具备给排水、低碳等相关专业高级工程师职称的得3分；具有注册咨询工程师（投资）证书的得3分；具备流体力学、能源等相关专业硕士及以上学历的得3分；最高得9分。</w:t>
            </w:r>
            <w:r/>
          </w:p>
          <w:p>
            <w:pPr>
              <w:pStyle w:val="986"/>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2.项目团队成员（9分）：</w:t>
            </w:r>
            <w:r/>
          </w:p>
          <w:p>
            <w:pPr>
              <w:pStyle w:val="986"/>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具备给排水、能源与动力工程、水利水电、电气工程及其自动化、碳排放管理等相关专业高级及以上职称的，每人得2分；具备上述专业中级职称的，每人得1分。同一人员仅按1个岗位计分，不得重复叠加，累计最高得9分。</w:t>
            </w:r>
            <w:r/>
          </w:p>
          <w:p>
            <w:pPr>
              <w:pStyle w:val="986"/>
              <w:ind w:left="0" w:right="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bidi="ar-SA"/>
              </w:rPr>
              <w:t xml:space="preserve">注：投标文件中提供以上相关人员的有效证书复印件，同时提供近三个月任意一个月供应商为其缴纳社保的证明材料复印件，复印件材料需加盖公章。</w:t>
            </w:r>
            <w:r/>
          </w:p>
        </w:tc>
      </w:tr>
      <w:tr>
        <w:trPr>
          <w:jc w:val="center"/>
          <w:trHeight w:val="1126"/>
        </w:trPr>
        <w:tc>
          <w:tcPr>
            <w:tcW w:w="1295" w:type="dxa"/>
            <w:vAlign w:val="center"/>
            <w:textDirection w:val="lrTb"/>
            <w:noWrap/>
          </w:tcPr>
          <w:p>
            <w:pPr>
              <w:ind w:left="0" w:right="0"/>
              <w:jc w:val="left"/>
              <w:keepLines w:val="0"/>
              <w:keepNext w:val="0"/>
              <w:pageBreakBefore w:val="0"/>
              <w:spacing w:line="360" w:lineRule="auto"/>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类似业绩</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rPr>
              <w:t xml:space="preserve">分)</w:t>
            </w:r>
            <w:r/>
          </w:p>
        </w:tc>
        <w:tc>
          <w:tcPr>
            <w:gridSpan w:val="2"/>
            <w:tcW w:w="7899" w:type="dxa"/>
            <w:vAlign w:val="center"/>
            <w:textDirection w:val="lrTb"/>
            <w:noWrap/>
          </w:tcPr>
          <w:p>
            <w:pPr>
              <w:pStyle w:val="986"/>
              <w:ind w:left="0" w:right="0"/>
              <w:jc w:val="left"/>
              <w:keepLines w:val="0"/>
              <w:keepNext w:val="0"/>
              <w:pageBreakBefore w:val="0"/>
              <w:spacing w:line="360" w:lineRule="auto"/>
              <w:rPr>
                <w:rFonts w:hint="default"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提供近三年类似零碳园区建设规划咨询类相关合同业绩1个得1分，最高得6分。</w:t>
            </w:r>
            <w:r/>
          </w:p>
        </w:tc>
      </w:tr>
    </w:tbl>
    <w:p>
      <w:pPr>
        <w:jc w:val="both"/>
        <w:widowControl w:val="off"/>
        <w:rPr>
          <w:rFonts w:ascii="Times New Roman" w:hAnsi="Times New Roman" w:eastAsia="宋体" w:cs="Times New Roman"/>
          <w:color w:val="auto"/>
          <w:szCs w:val="22"/>
          <w:highlight w:val="none"/>
        </w:rPr>
      </w:pPr>
      <w:r>
        <w:rPr>
          <w:rFonts w:ascii="Times New Roman" w:hAnsi="Times New Roman" w:eastAsia="宋体" w:cs="Times New Roman"/>
          <w:color w:val="auto"/>
          <w:szCs w:val="22"/>
          <w:highlight w:val="none"/>
        </w:rPr>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注：</w:t>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1、评委应对以上各得分项独立评分，投标人最终得分为所有评委评分汇总的平均值。</w:t>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2、评审委员会启动异常低价投标（响应）审查的情形和具体要求：</w:t>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（一）评审过程中出现下列情形之一的，评审委员会应当启动异常低价投标（响应）审查程序：</w:t>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3.投标(响应)报价低于采购项目最高限价55%的，即投标(响应)报价&lt;采购项目最高限价×55%;</w:t>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4.评审委员会基于专业判断，认为供应商报价过低，有可能影响产品质量或者不能诚信履约的其他情形。</w:t>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256" w:lineRule="auto"/>
        <w:rPr>
          <w:rFonts w:hint="eastAsia" w:ascii="宋体" w:hAnsi="宋体" w:eastAsia="宋体" w:cs="楷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spacing w:line="256" w:lineRule="auto"/>
        <w:rPr>
          <w:rFonts w:ascii="宋体" w:hAnsi="宋体" w:eastAsia="宋体"/>
          <w:color w:val="auto"/>
          <w:highlight w:val="none"/>
        </w:rPr>
      </w:pPr>
      <w:r>
        <w:rPr>
          <w:rFonts w:ascii="宋体" w:hAnsi="宋体" w:eastAsia="宋体"/>
          <w:color w:val="auto"/>
          <w:highlight w:val="none"/>
        </w:rPr>
      </w:r>
      <w:r/>
    </w:p>
    <w:p>
      <w:pPr>
        <w:rPr>
          <w:rFonts w:eastAsiaTheme="minorEastAsia"/>
          <w:color w:val="auto"/>
          <w:highlight w:val="none"/>
        </w:rPr>
      </w:pPr>
      <w:r/>
      <w:bookmarkStart w:id="19" w:name="_Toc109304976"/>
      <w:r>
        <w:rPr>
          <w:rFonts w:eastAsiaTheme="minorEastAsia"/>
          <w:color w:val="auto"/>
          <w:highlight w:val="none"/>
        </w:rPr>
        <w:br w:type="page" w:clear="all"/>
      </w:r>
      <w:r/>
    </w:p>
    <w:p>
      <w:pPr>
        <w:pStyle w:val="977"/>
        <w:jc w:val="center"/>
        <w:spacing w:line="48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 xml:space="preserve">第六章 竞争性磋商响应文件格式</w:t>
      </w:r>
      <w:bookmarkEnd w:id="19"/>
      <w:r/>
      <w:r/>
    </w:p>
    <w:p>
      <w:pPr>
        <w:jc w:val="center"/>
        <w:spacing w:line="480" w:lineRule="auto"/>
        <w:rPr>
          <w:rFonts w:ascii="宋体" w:hAnsi="宋体" w:eastAsia="宋体"/>
          <w:b/>
          <w:color w:val="auto"/>
          <w:sz w:val="22"/>
          <w:highlight w:val="none"/>
        </w:rPr>
      </w:pPr>
      <w:r>
        <w:rPr>
          <w:rFonts w:ascii="宋体" w:hAnsi="宋体" w:eastAsia="宋体"/>
          <w:b/>
          <w:color w:val="auto"/>
          <w:sz w:val="22"/>
          <w:highlight w:val="none"/>
        </w:rPr>
      </w:r>
      <w:r/>
    </w:p>
    <w:p>
      <w:pPr>
        <w:pStyle w:val="979"/>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spacing w:line="480" w:lineRule="auto"/>
        <w:rPr>
          <w:rFonts w:ascii="宋体" w:hAnsi="宋体" w:eastAsia="宋体"/>
          <w:b/>
          <w:color w:val="auto"/>
          <w:sz w:val="36"/>
          <w:highlight w:val="none"/>
        </w:rPr>
      </w:pPr>
      <w:r>
        <w:rPr>
          <w:rFonts w:hint="eastAsia" w:ascii="宋体" w:hAnsi="宋体" w:eastAsia="宋体"/>
          <w:b/>
          <w:bCs/>
          <w:color w:val="auto"/>
          <w:sz w:val="72"/>
          <w:szCs w:val="72"/>
          <w:highlight w:val="none"/>
        </w:rPr>
        <w:t xml:space="preserve">竞争性磋商响应文件</w:t>
      </w:r>
      <w:r/>
    </w:p>
    <w:p>
      <w:pPr>
        <w:spacing w:line="480" w:lineRule="auto"/>
        <w:rPr>
          <w:rFonts w:ascii="宋体" w:hAnsi="宋体" w:eastAsia="宋体"/>
          <w:b/>
          <w:color w:val="auto"/>
          <w:sz w:val="36"/>
          <w:highlight w:val="none"/>
        </w:rPr>
      </w:pPr>
      <w:r>
        <w:rPr>
          <w:rFonts w:ascii="宋体" w:hAnsi="宋体" w:eastAsia="宋体"/>
          <w:b/>
          <w:color w:val="auto"/>
          <w:sz w:val="36"/>
          <w:highlight w:val="none"/>
        </w:rPr>
      </w:r>
      <w:r/>
    </w:p>
    <w:p>
      <w:pPr>
        <w:jc w:val="center"/>
        <w:spacing w:line="480" w:lineRule="auto"/>
        <w:rPr>
          <w:rFonts w:ascii="宋体" w:hAnsi="宋体" w:eastAsia="宋体"/>
          <w:b/>
          <w:color w:val="auto"/>
          <w:sz w:val="36"/>
          <w:highlight w:val="none"/>
        </w:rPr>
      </w:pPr>
      <w:r>
        <w:rPr>
          <w:rFonts w:ascii="宋体" w:hAnsi="宋体" w:eastAsia="宋体"/>
          <w:b/>
          <w:color w:val="auto"/>
          <w:sz w:val="36"/>
          <w:highlight w:val="none"/>
        </w:rPr>
      </w:r>
      <w:r/>
    </w:p>
    <w:p>
      <w:pPr>
        <w:jc w:val="center"/>
        <w:spacing w:line="480" w:lineRule="auto"/>
        <w:rPr>
          <w:rFonts w:ascii="宋体" w:hAnsi="宋体" w:eastAsia="宋体"/>
          <w:b/>
          <w:color w:val="auto"/>
          <w:sz w:val="36"/>
          <w:highlight w:val="none"/>
        </w:rPr>
      </w:pPr>
      <w:r>
        <w:rPr>
          <w:rFonts w:ascii="宋体" w:hAnsi="宋体" w:eastAsia="宋体"/>
          <w:b/>
          <w:color w:val="auto"/>
          <w:sz w:val="36"/>
          <w:highlight w:val="none"/>
        </w:rPr>
      </w:r>
      <w:r/>
    </w:p>
    <w:p>
      <w:pPr>
        <w:ind w:firstLine="1687"/>
        <w:spacing w:line="480" w:lineRule="auto"/>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项 目 名 称：</w:t>
      </w:r>
      <w:r>
        <w:rPr>
          <w:rFonts w:hint="eastAsia" w:ascii="宋体" w:hAnsi="宋体" w:eastAsia="宋体"/>
          <w:b/>
          <w:color w:val="auto"/>
          <w:sz w:val="28"/>
          <w:szCs w:val="28"/>
          <w:highlight w:val="none"/>
          <w:u w:val="single"/>
        </w:rPr>
        <w:t xml:space="preserve">                   </w:t>
      </w:r>
      <w:r/>
    </w:p>
    <w:p>
      <w:pPr>
        <w:ind w:firstLine="1687"/>
        <w:spacing w:line="480" w:lineRule="auto"/>
        <w:rPr>
          <w:rFonts w:ascii="宋体" w:hAnsi="宋体" w:eastAsia="宋体"/>
          <w:b/>
          <w:color w:val="auto"/>
          <w:sz w:val="28"/>
          <w:szCs w:val="28"/>
          <w:highlight w:val="none"/>
          <w:u w:val="single"/>
        </w:rPr>
      </w:pPr>
      <w:r>
        <w:rPr>
          <w:rFonts w:hint="eastAsia" w:ascii="宋体" w:hAnsi="宋体" w:eastAsia="宋体"/>
          <w:b/>
          <w:color w:val="auto"/>
          <w:sz w:val="28"/>
          <w:szCs w:val="28"/>
          <w:highlight w:val="none"/>
        </w:rPr>
        <w:t xml:space="preserve">项 目 编 号：</w:t>
      </w:r>
      <w:r>
        <w:rPr>
          <w:rFonts w:hint="eastAsia" w:ascii="宋体" w:hAnsi="宋体" w:eastAsia="宋体"/>
          <w:b/>
          <w:color w:val="auto"/>
          <w:sz w:val="28"/>
          <w:szCs w:val="28"/>
          <w:highlight w:val="none"/>
          <w:u w:val="single"/>
        </w:rPr>
        <w:t xml:space="preserve">                   </w:t>
      </w:r>
      <w:r/>
    </w:p>
    <w:p>
      <w:pPr>
        <w:spacing w:line="480" w:lineRule="auto"/>
        <w:rPr>
          <w:rFonts w:ascii="宋体" w:hAnsi="宋体" w:eastAsia="宋体"/>
          <w:b/>
          <w:color w:val="auto"/>
          <w:sz w:val="28"/>
          <w:szCs w:val="28"/>
          <w:highlight w:val="none"/>
          <w:u w:val="single"/>
        </w:rPr>
      </w:pPr>
      <w:r>
        <w:rPr>
          <w:rFonts w:hint="eastAsia" w:ascii="宋体" w:hAnsi="宋体" w:eastAsia="宋体"/>
          <w:b/>
          <w:color w:val="auto"/>
          <w:sz w:val="28"/>
          <w:szCs w:val="28"/>
          <w:highlight w:val="none"/>
        </w:rPr>
        <w:t xml:space="preserve">            磋商供应商名称 ：</w:t>
      </w:r>
      <w:r>
        <w:rPr>
          <w:rFonts w:hint="eastAsia" w:ascii="宋体" w:hAnsi="宋体" w:eastAsia="宋体"/>
          <w:b/>
          <w:color w:val="auto"/>
          <w:sz w:val="28"/>
          <w:szCs w:val="28"/>
          <w:highlight w:val="none"/>
          <w:u w:val="single"/>
        </w:rPr>
        <w:t xml:space="preserve">               </w:t>
      </w:r>
      <w:r/>
    </w:p>
    <w:p>
      <w:pPr>
        <w:spacing w:line="480" w:lineRule="auto"/>
        <w:rPr>
          <w:rFonts w:ascii="宋体" w:hAnsi="宋体" w:eastAsia="宋体"/>
          <w:b/>
          <w:color w:val="auto"/>
          <w:sz w:val="28"/>
          <w:szCs w:val="28"/>
          <w:highlight w:val="none"/>
          <w:u w:val="single"/>
        </w:rPr>
      </w:pPr>
      <w:r>
        <w:rPr>
          <w:rFonts w:hint="eastAsia" w:ascii="宋体" w:hAnsi="宋体" w:eastAsia="宋体"/>
          <w:b/>
          <w:color w:val="auto"/>
          <w:sz w:val="28"/>
          <w:szCs w:val="28"/>
          <w:highlight w:val="none"/>
        </w:rPr>
        <w:t xml:space="preserve">            日      期 ：</w:t>
      </w:r>
      <w:r>
        <w:rPr>
          <w:rFonts w:hint="eastAsia" w:ascii="宋体" w:hAnsi="宋体" w:eastAsia="宋体"/>
          <w:b/>
          <w:color w:val="auto"/>
          <w:sz w:val="28"/>
          <w:szCs w:val="28"/>
          <w:highlight w:val="none"/>
          <w:u w:val="single"/>
        </w:rPr>
        <w:t xml:space="preserve">                   </w:t>
      </w:r>
      <w:r/>
    </w:p>
    <w:p>
      <w:pPr>
        <w:ind w:firstLine="1687"/>
        <w:spacing w:line="480" w:lineRule="auto"/>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供  应  商：</w:t>
      </w:r>
      <w:r>
        <w:rPr>
          <w:rFonts w:hint="eastAsia" w:ascii="宋体" w:hAnsi="宋体" w:eastAsia="宋体"/>
          <w:b/>
          <w:color w:val="auto"/>
          <w:sz w:val="28"/>
          <w:szCs w:val="28"/>
          <w:highlight w:val="none"/>
          <w:u w:val="single"/>
        </w:rPr>
        <w:t xml:space="preserve">         </w:t>
      </w:r>
      <w:r>
        <w:rPr>
          <w:rFonts w:hint="eastAsia" w:ascii="宋体" w:hAnsi="宋体" w:eastAsia="宋体"/>
          <w:b/>
          <w:color w:val="auto"/>
          <w:sz w:val="28"/>
          <w:szCs w:val="28"/>
          <w:highlight w:val="none"/>
        </w:rPr>
        <w:t xml:space="preserve">（电子签章）</w:t>
      </w:r>
      <w:r/>
    </w:p>
    <w:p>
      <w:pPr>
        <w:jc w:val="center"/>
        <w:spacing w:line="480" w:lineRule="auto"/>
        <w:rPr>
          <w:rFonts w:ascii="宋体" w:hAnsi="宋体" w:eastAsia="宋体"/>
          <w:b/>
          <w:bCs/>
          <w:color w:val="auto"/>
          <w:sz w:val="32"/>
          <w:szCs w:val="32"/>
          <w:highlight w:val="none"/>
        </w:rPr>
      </w:pPr>
      <w:r>
        <w:rPr>
          <w:rFonts w:hint="eastAsia" w:ascii="宋体" w:hAnsi="宋体" w:eastAsia="宋体"/>
          <w:color w:val="auto"/>
          <w:sz w:val="24"/>
          <w:highlight w:val="none"/>
        </w:rPr>
        <w:br w:type="page" w:clear="all"/>
      </w:r>
      <w:r>
        <w:rPr>
          <w:rFonts w:hint="eastAsia" w:ascii="宋体" w:hAnsi="宋体" w:eastAsia="宋体"/>
          <w:b/>
          <w:bCs/>
          <w:color w:val="auto"/>
          <w:sz w:val="32"/>
          <w:szCs w:val="32"/>
          <w:highlight w:val="none"/>
        </w:rPr>
        <w:t xml:space="preserve">磋商主要文件目录</w:t>
      </w:r>
      <w:r/>
    </w:p>
    <w:p>
      <w:pPr>
        <w:ind w:firstLine="480"/>
        <w:spacing w:line="480" w:lineRule="auto"/>
        <w:rPr>
          <w:rFonts w:ascii="宋体" w:hAnsi="宋体" w:eastAsia="宋体"/>
          <w:color w:val="auto"/>
          <w:sz w:val="24"/>
          <w:highlight w:val="none"/>
        </w:rPr>
      </w:pPr>
      <w:r>
        <w:rPr>
          <w:rFonts w:hint="eastAsia" w:ascii="宋体" w:hAnsi="宋体" w:eastAsia="宋体"/>
          <w:color w:val="auto"/>
          <w:sz w:val="24"/>
          <w:highlight w:val="none"/>
        </w:rPr>
        <w:t xml:space="preserve">一、资格审查响应对照表</w:t>
      </w:r>
      <w:r/>
    </w:p>
    <w:p>
      <w:pPr>
        <w:ind w:left="480"/>
        <w:spacing w:line="480" w:lineRule="auto"/>
        <w:rPr>
          <w:rFonts w:ascii="宋体" w:hAnsi="宋体" w:eastAsia="宋体"/>
          <w:color w:val="auto"/>
          <w:sz w:val="24"/>
          <w:highlight w:val="none"/>
        </w:rPr>
      </w:pPr>
      <w:r>
        <w:rPr>
          <w:rFonts w:hint="eastAsia" w:ascii="宋体" w:hAnsi="宋体" w:eastAsia="宋体"/>
          <w:color w:val="auto"/>
          <w:sz w:val="24"/>
          <w:highlight w:val="none"/>
        </w:rPr>
        <w:t xml:space="preserve">二、符合性审查响应对照表</w:t>
      </w:r>
      <w:r/>
    </w:p>
    <w:p>
      <w:pPr>
        <w:ind w:left="480"/>
        <w:spacing w:line="480" w:lineRule="auto"/>
        <w:rPr>
          <w:rFonts w:ascii="宋体" w:hAnsi="宋体" w:eastAsia="宋体"/>
          <w:color w:val="auto"/>
          <w:sz w:val="24"/>
          <w:highlight w:val="none"/>
        </w:rPr>
      </w:pPr>
      <w:r>
        <w:rPr>
          <w:rFonts w:hint="eastAsia" w:ascii="宋体" w:hAnsi="宋体" w:eastAsia="宋体"/>
          <w:color w:val="auto"/>
          <w:sz w:val="24"/>
          <w:highlight w:val="none"/>
        </w:rPr>
        <w:t xml:space="preserve">三、非实质性响应对照表</w:t>
      </w:r>
      <w:r/>
    </w:p>
    <w:p>
      <w:pPr>
        <w:ind w:firstLine="480"/>
        <w:spacing w:line="480" w:lineRule="auto"/>
        <w:rPr>
          <w:rFonts w:ascii="宋体" w:hAnsi="宋体" w:eastAsia="宋体"/>
          <w:b/>
          <w:bCs/>
          <w:color w:val="auto"/>
          <w:sz w:val="24"/>
          <w:highlight w:val="none"/>
        </w:rPr>
      </w:pPr>
      <w:r>
        <w:rPr>
          <w:rFonts w:hint="eastAsia" w:ascii="宋体" w:hAnsi="宋体" w:eastAsia="宋体"/>
          <w:color w:val="auto"/>
          <w:sz w:val="24"/>
          <w:highlight w:val="none"/>
        </w:rPr>
        <w:t xml:space="preserve">四</w:t>
      </w:r>
      <w:r>
        <w:rPr>
          <w:rFonts w:hint="eastAsia" w:ascii="宋体" w:hAnsi="宋体" w:eastAsia="宋体"/>
          <w:b/>
          <w:bCs/>
          <w:color w:val="auto"/>
          <w:sz w:val="24"/>
          <w:highlight w:val="none"/>
        </w:rPr>
        <w:t xml:space="preserve">、</w:t>
      </w:r>
      <w:r>
        <w:rPr>
          <w:rFonts w:hint="eastAsia" w:ascii="宋体" w:hAnsi="宋体" w:eastAsia="宋体"/>
          <w:i/>
          <w:color w:val="auto"/>
          <w:sz w:val="24"/>
          <w:highlight w:val="none"/>
          <w:u w:val="single"/>
        </w:rPr>
        <w:t xml:space="preserve">磋商响应报价表</w:t>
      </w:r>
      <w:r/>
    </w:p>
    <w:p>
      <w:pPr>
        <w:ind w:firstLine="480"/>
        <w:spacing w:line="480" w:lineRule="auto"/>
        <w:rPr>
          <w:rFonts w:ascii="宋体" w:hAnsi="宋体" w:eastAsia="宋体"/>
          <w:color w:val="auto"/>
          <w:sz w:val="24"/>
          <w:highlight w:val="none"/>
        </w:rPr>
      </w:pPr>
      <w:r>
        <w:rPr>
          <w:rFonts w:hint="eastAsia" w:ascii="宋体" w:hAnsi="宋体" w:eastAsia="宋体"/>
          <w:color w:val="auto"/>
          <w:sz w:val="24"/>
          <w:highlight w:val="none"/>
        </w:rPr>
        <w:t xml:space="preserve">五、</w:t>
      </w:r>
      <w:r>
        <w:rPr>
          <w:rFonts w:hint="eastAsia" w:ascii="宋体" w:hAnsi="宋体" w:eastAsia="宋体"/>
          <w:color w:val="auto"/>
          <w:sz w:val="24"/>
          <w:szCs w:val="24"/>
          <w:highlight w:val="none"/>
        </w:rPr>
        <w:t xml:space="preserve">技术参数响应及偏离表</w:t>
      </w:r>
      <w:r/>
    </w:p>
    <w:p>
      <w:pPr>
        <w:ind w:firstLine="480"/>
        <w:spacing w:line="480" w:lineRule="auto"/>
        <w:rPr>
          <w:rFonts w:ascii="宋体" w:hAnsi="宋体" w:eastAsia="宋体"/>
          <w:color w:val="auto"/>
          <w:sz w:val="24"/>
          <w:highlight w:val="none"/>
        </w:rPr>
      </w:pPr>
      <w:r>
        <w:rPr>
          <w:rFonts w:hint="eastAsia" w:ascii="宋体" w:hAnsi="宋体" w:eastAsia="宋体"/>
          <w:color w:val="auto"/>
          <w:sz w:val="24"/>
          <w:highlight w:val="none"/>
        </w:rPr>
        <w:t xml:space="preserve">六</w:t>
      </w:r>
      <w:r>
        <w:rPr>
          <w:rFonts w:hint="eastAsia" w:ascii="宋体" w:hAnsi="宋体" w:eastAsia="宋体" w:cs="Courier New"/>
          <w:color w:val="auto"/>
          <w:sz w:val="24"/>
          <w:szCs w:val="24"/>
          <w:highlight w:val="none"/>
        </w:rPr>
        <w:t xml:space="preserve">、</w:t>
      </w:r>
      <w:r>
        <w:rPr>
          <w:rFonts w:hint="eastAsia" w:ascii="宋体" w:hAnsi="宋体" w:eastAsia="宋体"/>
          <w:color w:val="auto"/>
          <w:sz w:val="24"/>
          <w:highlight w:val="none"/>
        </w:rPr>
        <w:t xml:space="preserve">商务条款响应及偏离表</w:t>
      </w:r>
      <w:r/>
    </w:p>
    <w:p>
      <w:pPr>
        <w:ind w:firstLine="480"/>
        <w:spacing w:line="480" w:lineRule="auto"/>
        <w:rPr>
          <w:rFonts w:ascii="宋体" w:hAnsi="宋体" w:eastAsia="宋体"/>
          <w:color w:val="auto"/>
          <w:sz w:val="24"/>
          <w:highlight w:val="none"/>
        </w:rPr>
      </w:pPr>
      <w:r>
        <w:rPr>
          <w:rFonts w:hint="eastAsia" w:ascii="宋体" w:hAnsi="宋体" w:eastAsia="宋体"/>
          <w:color w:val="auto"/>
          <w:sz w:val="24"/>
          <w:highlight w:val="none"/>
        </w:rPr>
        <w:t xml:space="preserve">七、其他 （供应商认为有必要提供的声明和文件，如有自拟并自行添加）</w:t>
      </w:r>
      <w:r/>
    </w:p>
    <w:p>
      <w:pPr>
        <w:pStyle w:val="978"/>
        <w:rPr>
          <w:rFonts w:ascii="宋体" w:hAnsi="宋体" w:eastAsia="宋体"/>
          <w:b w:val="0"/>
          <w:color w:val="auto"/>
          <w:highlight w:val="none"/>
        </w:rPr>
      </w:pPr>
      <w:r>
        <w:rPr>
          <w:rFonts w:ascii="宋体" w:hAnsi="宋体" w:eastAsia="宋体"/>
          <w:color w:val="auto"/>
          <w:highlight w:val="none"/>
        </w:rPr>
        <w:br w:type="page" w:clear="all"/>
      </w:r>
      <w:r>
        <w:rPr>
          <w:rFonts w:hint="eastAsia" w:ascii="宋体" w:hAnsi="宋体" w:eastAsia="宋体"/>
          <w:color w:val="auto"/>
          <w:highlight w:val="none"/>
        </w:rPr>
        <w:t xml:space="preserve">一、资格审查响应对照表</w:t>
      </w:r>
      <w:r/>
    </w:p>
    <w:tbl>
      <w:tblPr>
        <w:tblStyle w:val="981"/>
        <w:tblW w:w="8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5584"/>
        <w:gridCol w:w="2212"/>
      </w:tblGrid>
      <w:tr>
        <w:trPr>
          <w:trHeight w:val="702"/>
        </w:trPr>
        <w:tc>
          <w:tcPr>
            <w:tcW w:w="662" w:type="dxa"/>
            <w:vAlign w:val="center"/>
            <w:textDirection w:val="lrTb"/>
            <w:noWrap w:val="false"/>
          </w:tcPr>
          <w:p>
            <w:pPr>
              <w:jc w:val="center"/>
              <w:spacing w:line="240" w:lineRule="atLeast"/>
              <w:rPr>
                <w:rFonts w:ascii="宋体" w:hAnsi="宋体" w:eastAsia="宋体"/>
                <w:b/>
                <w:color w:val="auto"/>
                <w:highlight w:val="none"/>
              </w:rPr>
            </w:pPr>
            <w:r>
              <w:rPr>
                <w:rFonts w:hint="eastAsia" w:ascii="宋体" w:hAnsi="宋体" w:eastAsia="宋体"/>
                <w:b/>
                <w:color w:val="auto"/>
                <w:highlight w:val="none"/>
              </w:rPr>
              <w:t xml:space="preserve">序号</w:t>
            </w:r>
            <w:r/>
          </w:p>
        </w:tc>
        <w:tc>
          <w:tcPr>
            <w:tcW w:w="5584" w:type="dxa"/>
            <w:vAlign w:val="center"/>
            <w:textDirection w:val="lrTb"/>
            <w:noWrap w:val="false"/>
          </w:tcPr>
          <w:p>
            <w:pPr>
              <w:jc w:val="center"/>
              <w:spacing w:line="240" w:lineRule="atLeast"/>
              <w:rPr>
                <w:rFonts w:ascii="宋体" w:hAnsi="宋体" w:eastAsia="宋体"/>
                <w:b/>
                <w:color w:val="auto"/>
                <w:highlight w:val="none"/>
              </w:rPr>
            </w:pPr>
            <w:r>
              <w:rPr>
                <w:rFonts w:hint="eastAsia" w:ascii="宋体" w:hAnsi="宋体" w:eastAsia="宋体"/>
                <w:b/>
                <w:color w:val="auto"/>
                <w:highlight w:val="none"/>
              </w:rPr>
              <w:t xml:space="preserve">资格审查响应内容</w:t>
            </w:r>
            <w:r/>
          </w:p>
        </w:tc>
        <w:tc>
          <w:tcPr>
            <w:tcW w:w="2212" w:type="dxa"/>
            <w:vAlign w:val="center"/>
            <w:textDirection w:val="lrTb"/>
            <w:noWrap w:val="false"/>
          </w:tcPr>
          <w:p>
            <w:pPr>
              <w:jc w:val="center"/>
              <w:spacing w:line="240" w:lineRule="atLeast"/>
              <w:rPr>
                <w:rFonts w:ascii="宋体" w:hAnsi="宋体" w:eastAsia="宋体"/>
                <w:b/>
                <w:color w:val="auto"/>
                <w:highlight w:val="none"/>
              </w:rPr>
            </w:pPr>
            <w:r>
              <w:rPr>
                <w:rFonts w:hint="eastAsia" w:ascii="宋体" w:hAnsi="宋体" w:eastAsia="宋体"/>
                <w:b/>
                <w:color w:val="auto"/>
                <w:highlight w:val="none"/>
              </w:rPr>
              <w:t xml:space="preserve">是否响应</w:t>
            </w:r>
            <w:r/>
          </w:p>
          <w:p>
            <w:pPr>
              <w:jc w:val="center"/>
              <w:spacing w:line="240" w:lineRule="atLeast"/>
              <w:rPr>
                <w:rFonts w:ascii="宋体" w:hAnsi="宋体" w:eastAsia="宋体"/>
                <w:b/>
                <w:color w:val="auto"/>
                <w:highlight w:val="none"/>
              </w:rPr>
            </w:pPr>
            <w:r>
              <w:rPr>
                <w:rFonts w:hint="eastAsia" w:ascii="宋体" w:hAnsi="宋体" w:eastAsia="宋体"/>
                <w:b/>
                <w:color w:val="auto"/>
                <w:highlight w:val="none"/>
              </w:rPr>
              <w:t xml:space="preserve">（填是或者否）</w:t>
            </w:r>
            <w:r/>
          </w:p>
        </w:tc>
      </w:tr>
      <w:tr>
        <w:trPr>
          <w:trHeight w:val="369"/>
        </w:trPr>
        <w:tc>
          <w:tcPr>
            <w:gridSpan w:val="3"/>
            <w:tcW w:w="8458" w:type="dxa"/>
            <w:vAlign w:val="center"/>
            <w:textDirection w:val="lrTb"/>
            <w:noWrap w:val="false"/>
          </w:tcPr>
          <w:p>
            <w:pPr>
              <w:rPr>
                <w:rFonts w:ascii="宋体" w:hAnsi="宋体" w:eastAsia="宋体"/>
                <w:b/>
                <w:color w:val="auto"/>
                <w:highlight w:val="none"/>
              </w:rPr>
            </w:pPr>
            <w:r>
              <w:rPr>
                <w:rFonts w:hint="eastAsia" w:ascii="宋体" w:hAnsi="宋体" w:eastAsia="宋体"/>
                <w:b/>
                <w:color w:val="auto"/>
                <w:highlight w:val="none"/>
              </w:rPr>
              <w:t xml:space="preserve">通用资格条件</w:t>
            </w:r>
            <w:r/>
          </w:p>
        </w:tc>
      </w:tr>
      <w:tr>
        <w:trPr>
          <w:trHeight w:val="884"/>
        </w:trPr>
        <w:tc>
          <w:tcPr>
            <w:tcW w:w="662" w:type="dxa"/>
            <w:vAlign w:val="center"/>
            <w:textDirection w:val="lrTb"/>
            <w:noWrap w:val="false"/>
          </w:tcPr>
          <w:p>
            <w:pPr>
              <w:jc w:val="center"/>
              <w:rPr>
                <w:rFonts w:ascii="宋体" w:hAnsi="宋体" w:eastAsia="宋体"/>
                <w:b/>
                <w:color w:val="auto"/>
                <w:highlight w:val="none"/>
              </w:rPr>
            </w:pPr>
            <w:r>
              <w:rPr>
                <w:rFonts w:hint="eastAsia" w:ascii="宋体" w:hAnsi="宋体" w:eastAsia="宋体"/>
                <w:color w:val="auto"/>
                <w:highlight w:val="none"/>
              </w:rPr>
              <w:t xml:space="preserve">1</w:t>
            </w:r>
            <w:r/>
          </w:p>
        </w:tc>
        <w:tc>
          <w:tcPr>
            <w:tcW w:w="5584" w:type="dxa"/>
            <w:vAlign w:val="center"/>
            <w:textDirection w:val="lrTb"/>
            <w:noWrap w:val="false"/>
          </w:tcPr>
          <w:p>
            <w:pPr>
              <w:spacing w:line="360" w:lineRule="auto"/>
              <w:rPr>
                <w:rFonts w:ascii="宋体" w:hAnsi="宋体" w:eastAsia="宋体"/>
                <w:iCs/>
                <w:color w:val="auto"/>
                <w:highlight w:val="none"/>
              </w:rPr>
            </w:pPr>
            <w:r>
              <w:rPr>
                <w:rFonts w:hint="eastAsia" w:ascii="宋体" w:hAnsi="宋体" w:eastAsia="宋体" w:cs="宋体"/>
                <w:color w:val="auto"/>
                <w:highlight w:val="none"/>
              </w:rPr>
              <w:t xml:space="preserve">法人或者其他组织的营业执照等证明文件，自然人的身份证明</w:t>
            </w:r>
            <w:r>
              <w:rPr>
                <w:rFonts w:hint="eastAsia" w:ascii="宋体" w:hAnsi="宋体" w:eastAsia="宋体"/>
                <w:color w:val="auto"/>
                <w:highlight w:val="none"/>
              </w:rPr>
              <w:t xml:space="preserve">（身份证为正、反面）</w:t>
            </w:r>
            <w:r/>
          </w:p>
        </w:tc>
        <w:tc>
          <w:tcPr>
            <w:tcW w:w="2212" w:type="dxa"/>
            <w:vAlign w:val="center"/>
            <w:textDirection w:val="lrTb"/>
            <w:noWrap w:val="false"/>
          </w:tcPr>
          <w:p>
            <w:pPr>
              <w:rPr>
                <w:rFonts w:ascii="宋体" w:hAnsi="宋体" w:eastAsia="宋体"/>
                <w:b/>
                <w:color w:val="auto"/>
                <w:highlight w:val="none"/>
              </w:rPr>
            </w:pPr>
            <w:r>
              <w:rPr>
                <w:rFonts w:ascii="宋体" w:hAnsi="宋体" w:eastAsia="宋体"/>
                <w:b/>
                <w:color w:val="auto"/>
                <w:highlight w:val="none"/>
              </w:rPr>
            </w:r>
            <w:r/>
          </w:p>
        </w:tc>
      </w:tr>
      <w:tr>
        <w:trPr>
          <w:trHeight w:val="1321"/>
        </w:trPr>
        <w:tc>
          <w:tcPr>
            <w:tcW w:w="662"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rPr>
              <w:t xml:space="preserve">2</w:t>
            </w:r>
            <w:r/>
          </w:p>
        </w:tc>
        <w:tc>
          <w:tcPr>
            <w:tcW w:w="5584" w:type="dxa"/>
            <w:vAlign w:val="center"/>
            <w:textDirection w:val="lrTb"/>
            <w:noWrap w:val="false"/>
          </w:tcPr>
          <w:p>
            <w:pPr>
              <w:spacing w:line="360" w:lineRule="auto"/>
              <w:rPr>
                <w:rFonts w:ascii="宋体" w:hAnsi="宋体" w:eastAsia="宋体"/>
                <w:iCs/>
                <w:color w:val="auto"/>
                <w:highlight w:val="none"/>
              </w:rPr>
            </w:pPr>
            <w:r>
              <w:rPr>
                <w:rFonts w:hint="eastAsia" w:ascii="宋体" w:hAnsi="宋体" w:eastAsia="宋体" w:cs="宋体"/>
                <w:color w:val="auto"/>
                <w:highlight w:val="none"/>
              </w:rPr>
              <w:t xml:space="preserve">依法缴纳职工社会保障资金的证明材料</w:t>
            </w:r>
            <w:r>
              <w:rPr>
                <w:rFonts w:hint="eastAsia" w:ascii="宋体" w:hAnsi="宋体" w:eastAsia="宋体" w:cs="宋体"/>
                <w:b/>
                <w:bCs/>
                <w:color w:val="auto"/>
                <w:highlight w:val="none"/>
              </w:rPr>
              <w:t xml:space="preserve">(税务、银行或社会保险基金管理部门出具的近三个月内任意一个月缴纳职工社会保障资金的缴款凭证或缴款证明)</w:t>
            </w:r>
            <w:r/>
          </w:p>
        </w:tc>
        <w:tc>
          <w:tcPr>
            <w:tcW w:w="2212" w:type="dxa"/>
            <w:vAlign w:val="center"/>
            <w:textDirection w:val="lrTb"/>
            <w:noWrap w:val="false"/>
          </w:tcPr>
          <w:p>
            <w:pPr>
              <w:rPr>
                <w:rFonts w:ascii="宋体" w:hAnsi="宋体" w:eastAsia="宋体"/>
                <w:color w:val="auto"/>
                <w:highlight w:val="none"/>
              </w:rPr>
            </w:pPr>
            <w:r>
              <w:rPr>
                <w:rFonts w:ascii="宋体" w:hAnsi="宋体" w:eastAsia="宋体"/>
                <w:color w:val="auto"/>
                <w:highlight w:val="none"/>
              </w:rPr>
            </w:r>
            <w:r/>
          </w:p>
        </w:tc>
      </w:tr>
      <w:tr>
        <w:trPr>
          <w:trHeight w:val="636"/>
        </w:trPr>
        <w:tc>
          <w:tcPr>
            <w:tcW w:w="662"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rPr>
              <w:t xml:space="preserve">3</w:t>
            </w:r>
            <w:r/>
          </w:p>
        </w:tc>
        <w:tc>
          <w:tcPr>
            <w:tcW w:w="5584" w:type="dxa"/>
            <w:vAlign w:val="center"/>
            <w:textDirection w:val="lrTb"/>
            <w:noWrap w:val="false"/>
          </w:tcPr>
          <w:p>
            <w:pPr>
              <w:spacing w:line="360" w:lineRule="auto"/>
              <w:rPr>
                <w:rFonts w:ascii="宋体" w:hAnsi="宋体" w:eastAsia="宋体"/>
                <w:iCs/>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近三个月内任意一份依法纳税的缴款凭证</w:t>
            </w:r>
            <w:r/>
          </w:p>
        </w:tc>
        <w:tc>
          <w:tcPr>
            <w:tcW w:w="2212" w:type="dxa"/>
            <w:vAlign w:val="center"/>
            <w:textDirection w:val="lrTb"/>
            <w:noWrap w:val="false"/>
          </w:tcPr>
          <w:p>
            <w:pPr>
              <w:rPr>
                <w:rFonts w:ascii="宋体" w:hAnsi="宋体" w:eastAsia="宋体"/>
                <w:color w:val="auto"/>
                <w:highlight w:val="none"/>
              </w:rPr>
            </w:pPr>
            <w:r>
              <w:rPr>
                <w:rFonts w:ascii="宋体" w:hAnsi="宋体" w:eastAsia="宋体"/>
                <w:color w:val="auto"/>
                <w:highlight w:val="none"/>
              </w:rPr>
            </w:r>
            <w:r/>
          </w:p>
        </w:tc>
      </w:tr>
      <w:tr>
        <w:trPr>
          <w:trHeight w:val="456"/>
        </w:trPr>
        <w:tc>
          <w:tcPr>
            <w:tcW w:w="662"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rPr>
              <w:t xml:space="preserve">4</w:t>
            </w:r>
            <w:r/>
          </w:p>
        </w:tc>
        <w:tc>
          <w:tcPr>
            <w:tcW w:w="5584" w:type="dxa"/>
            <w:vAlign w:val="center"/>
            <w:textDirection w:val="lrTb"/>
            <w:noWrap w:val="false"/>
          </w:tcPr>
          <w:p>
            <w:pPr>
              <w:spacing w:line="360" w:lineRule="auto"/>
              <w:rPr>
                <w:rFonts w:ascii="宋体" w:hAnsi="宋体" w:eastAsia="宋体"/>
                <w:iCs/>
                <w:color w:val="auto"/>
                <w:highlight w:val="none"/>
              </w:rPr>
            </w:pPr>
            <w:r>
              <w:rPr>
                <w:rFonts w:hint="eastAsia" w:ascii="宋体" w:hAnsi="宋体" w:eastAsia="宋体" w:cs="宋体"/>
                <w:color w:val="auto"/>
                <w:highlight w:val="none"/>
              </w:rPr>
              <w:t xml:space="preserve">上一年度的财务状况情况</w:t>
            </w:r>
            <w:r>
              <w:rPr>
                <w:rFonts w:hint="eastAsia" w:ascii="宋体" w:hAnsi="宋体" w:eastAsia="宋体" w:cs="宋体"/>
                <w:b/>
                <w:bCs/>
                <w:color w:val="auto"/>
                <w:highlight w:val="none"/>
              </w:rPr>
              <w:t xml:space="preserve">（成立不满一年不需提供）</w:t>
            </w:r>
            <w:r/>
          </w:p>
        </w:tc>
        <w:tc>
          <w:tcPr>
            <w:tcW w:w="2212" w:type="dxa"/>
            <w:vAlign w:val="center"/>
            <w:textDirection w:val="lrTb"/>
            <w:noWrap w:val="false"/>
          </w:tcPr>
          <w:p>
            <w:pPr>
              <w:rPr>
                <w:rFonts w:ascii="宋体" w:hAnsi="宋体" w:eastAsia="宋体"/>
                <w:color w:val="auto"/>
                <w:highlight w:val="none"/>
              </w:rPr>
            </w:pPr>
            <w:r>
              <w:rPr>
                <w:rFonts w:ascii="宋体" w:hAnsi="宋体" w:eastAsia="宋体"/>
                <w:color w:val="auto"/>
                <w:highlight w:val="none"/>
              </w:rPr>
            </w:r>
            <w:r/>
          </w:p>
        </w:tc>
      </w:tr>
      <w:tr>
        <w:trPr>
          <w:trHeight w:val="845"/>
        </w:trPr>
        <w:tc>
          <w:tcPr>
            <w:tcW w:w="662"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rPr>
              <w:t xml:space="preserve">5</w:t>
            </w:r>
            <w:r/>
          </w:p>
        </w:tc>
        <w:tc>
          <w:tcPr>
            <w:tcW w:w="5584" w:type="dxa"/>
            <w:vAlign w:val="center"/>
            <w:textDirection w:val="lrTb"/>
            <w:noWrap w:val="false"/>
          </w:tcPr>
          <w:p>
            <w:pPr>
              <w:spacing w:line="360" w:lineRule="auto"/>
              <w:rPr>
                <w:rFonts w:ascii="宋体" w:hAnsi="宋体" w:eastAsia="宋体"/>
                <w:iCs/>
                <w:color w:val="auto"/>
                <w:highlight w:val="none"/>
              </w:rPr>
            </w:pPr>
            <w:r>
              <w:rPr>
                <w:rFonts w:hint="eastAsia" w:ascii="宋体" w:hAnsi="宋体" w:eastAsia="宋体" w:cs="宋体"/>
                <w:color w:val="auto"/>
                <w:highlight w:val="none"/>
              </w:rPr>
              <w:t xml:space="preserve">具备履行合同所必需的设备和专业技术能力的证明材料</w:t>
            </w:r>
            <w:r/>
          </w:p>
        </w:tc>
        <w:tc>
          <w:tcPr>
            <w:tcW w:w="2212" w:type="dxa"/>
            <w:vAlign w:val="center"/>
            <w:textDirection w:val="lrTb"/>
            <w:noWrap w:val="false"/>
          </w:tcPr>
          <w:p>
            <w:pPr>
              <w:rPr>
                <w:rFonts w:ascii="宋体" w:hAnsi="宋体" w:eastAsia="宋体"/>
                <w:color w:val="auto"/>
                <w:highlight w:val="none"/>
              </w:rPr>
            </w:pPr>
            <w:r>
              <w:rPr>
                <w:rFonts w:ascii="宋体" w:hAnsi="宋体" w:eastAsia="宋体"/>
                <w:color w:val="auto"/>
                <w:highlight w:val="none"/>
              </w:rPr>
            </w:r>
            <w:r/>
          </w:p>
        </w:tc>
      </w:tr>
      <w:tr>
        <w:trPr>
          <w:trHeight w:val="884"/>
        </w:trPr>
        <w:tc>
          <w:tcPr>
            <w:tcW w:w="662"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rPr>
              <w:t xml:space="preserve">6</w:t>
            </w:r>
            <w:r/>
          </w:p>
        </w:tc>
        <w:tc>
          <w:tcPr>
            <w:tcW w:w="5584" w:type="dxa"/>
            <w:vAlign w:val="center"/>
            <w:textDirection w:val="lrTb"/>
            <w:noWrap w:val="false"/>
          </w:tcPr>
          <w:p>
            <w:pPr>
              <w:spacing w:line="360" w:lineRule="auto"/>
              <w:rPr>
                <w:rFonts w:ascii="宋体" w:hAnsi="宋体" w:eastAsia="宋体"/>
                <w:iCs/>
                <w:color w:val="auto"/>
                <w:highlight w:val="none"/>
              </w:rPr>
            </w:pPr>
            <w:r>
              <w:rPr>
                <w:rFonts w:hint="eastAsia" w:ascii="宋体" w:hAnsi="宋体" w:eastAsia="宋体" w:cs="宋体"/>
                <w:color w:val="auto"/>
                <w:highlight w:val="none"/>
              </w:rPr>
              <w:t xml:space="preserve"> 参加本次政府采购活动前3年内在经营活动中没有重大违法记录的书面声明</w:t>
            </w:r>
            <w:r/>
          </w:p>
        </w:tc>
        <w:tc>
          <w:tcPr>
            <w:tcW w:w="2212" w:type="dxa"/>
            <w:vAlign w:val="center"/>
            <w:textDirection w:val="lrTb"/>
            <w:noWrap w:val="false"/>
          </w:tcPr>
          <w:p>
            <w:pPr>
              <w:rPr>
                <w:rFonts w:ascii="宋体" w:hAnsi="宋体" w:eastAsia="宋体"/>
                <w:color w:val="auto"/>
                <w:highlight w:val="none"/>
              </w:rPr>
            </w:pPr>
            <w:r>
              <w:rPr>
                <w:rFonts w:ascii="宋体" w:hAnsi="宋体" w:eastAsia="宋体"/>
                <w:color w:val="auto"/>
                <w:highlight w:val="none"/>
              </w:rPr>
            </w:r>
            <w:r/>
          </w:p>
        </w:tc>
      </w:tr>
      <w:tr>
        <w:trPr>
          <w:trHeight w:val="1758"/>
        </w:trPr>
        <w:tc>
          <w:tcPr>
            <w:tcW w:w="662"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rPr>
              <w:t xml:space="preserve">7</w:t>
            </w:r>
            <w:r/>
          </w:p>
        </w:tc>
        <w:tc>
          <w:tcPr>
            <w:tcW w:w="5584" w:type="dxa"/>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未被“信用中国”网站（www.creditchina.gov.cn）、“中国政府采购网"(www.ccgp.gov.cn)列入失信被执行人、重大税收违法案件当事人名单、政府采购严重违法失信行为记录名单</w:t>
            </w:r>
            <w:r/>
          </w:p>
        </w:tc>
        <w:tc>
          <w:tcPr>
            <w:tcW w:w="2212" w:type="dxa"/>
            <w:vAlign w:val="center"/>
            <w:textDirection w:val="lrTb"/>
            <w:noWrap w:val="false"/>
          </w:tcPr>
          <w:p>
            <w:pPr>
              <w:rPr>
                <w:rFonts w:ascii="宋体" w:hAnsi="宋体" w:eastAsia="宋体"/>
                <w:color w:val="auto"/>
                <w:highlight w:val="none"/>
              </w:rPr>
            </w:pPr>
            <w:r>
              <w:rPr>
                <w:rFonts w:ascii="宋体" w:hAnsi="宋体" w:eastAsia="宋体"/>
                <w:color w:val="auto"/>
                <w:highlight w:val="none"/>
              </w:rPr>
            </w:r>
            <w:r/>
          </w:p>
        </w:tc>
      </w:tr>
      <w:tr>
        <w:trPr>
          <w:trHeight w:val="588"/>
        </w:trPr>
        <w:tc>
          <w:tcPr>
            <w:tcW w:w="662"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rPr>
              <w:t xml:space="preserve">8</w:t>
            </w:r>
            <w:r/>
          </w:p>
        </w:tc>
        <w:tc>
          <w:tcPr>
            <w:tcW w:w="5584" w:type="dxa"/>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供应商信用承诺函</w:t>
            </w:r>
            <w:r/>
          </w:p>
        </w:tc>
        <w:tc>
          <w:tcPr>
            <w:tcW w:w="2212" w:type="dxa"/>
            <w:vAlign w:val="center"/>
            <w:textDirection w:val="lrTb"/>
            <w:noWrap w:val="false"/>
          </w:tcPr>
          <w:p>
            <w:pPr>
              <w:rPr>
                <w:rFonts w:ascii="宋体" w:hAnsi="宋体" w:eastAsia="宋体"/>
                <w:color w:val="auto"/>
                <w:highlight w:val="none"/>
              </w:rPr>
            </w:pPr>
            <w:r>
              <w:rPr>
                <w:rFonts w:ascii="宋体" w:hAnsi="宋体" w:eastAsia="宋体"/>
                <w:color w:val="auto"/>
                <w:highlight w:val="none"/>
              </w:rPr>
            </w:r>
            <w:r/>
          </w:p>
        </w:tc>
      </w:tr>
      <w:tr>
        <w:trPr>
          <w:trHeight w:val="554"/>
        </w:trPr>
        <w:tc>
          <w:tcPr>
            <w:gridSpan w:val="3"/>
            <w:tcW w:w="8458" w:type="dxa"/>
            <w:vAlign w:val="center"/>
            <w:textDirection w:val="lrTb"/>
            <w:noWrap w:val="false"/>
          </w:tcPr>
          <w:p>
            <w:pPr>
              <w:rPr>
                <w:rFonts w:ascii="宋体" w:hAnsi="宋体" w:eastAsia="宋体"/>
                <w:color w:val="auto"/>
                <w:highlight w:val="none"/>
              </w:rPr>
            </w:pPr>
            <w:r>
              <w:rPr>
                <w:rFonts w:hint="eastAsia" w:ascii="宋体" w:hAnsi="宋体" w:eastAsia="宋体" w:cs="宋体"/>
                <w:b/>
                <w:bCs/>
                <w:color w:val="auto"/>
                <w:highlight w:val="none"/>
              </w:rPr>
              <w:t xml:space="preserve">落实政府采购政策需满足的资格要求</w:t>
            </w:r>
            <w:r/>
          </w:p>
        </w:tc>
      </w:tr>
      <w:tr>
        <w:trPr>
          <w:trHeight w:val="690"/>
        </w:trPr>
        <w:tc>
          <w:tcPr>
            <w:tcW w:w="662"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rPr>
              <w:t xml:space="preserve">9</w:t>
            </w:r>
            <w:r/>
          </w:p>
        </w:tc>
        <w:tc>
          <w:tcPr>
            <w:tcW w:w="5584" w:type="dxa"/>
            <w:vAlign w:val="center"/>
            <w:textDirection w:val="lrTb"/>
            <w:noWrap w:val="false"/>
          </w:tcPr>
          <w:p>
            <w:pPr>
              <w:pStyle w:val="979"/>
              <w:rPr>
                <w:rFonts w:ascii="宋体" w:hAnsi="宋体" w:eastAsia="宋体"/>
                <w:color w:val="auto"/>
                <w:highlight w:val="none"/>
              </w:rPr>
            </w:pPr>
            <w:r/>
            <w:bookmarkStart w:id="20" w:name="_Toc28357"/>
            <w:r>
              <w:rPr>
                <w:rFonts w:hint="eastAsia" w:ascii="宋体" w:hAnsi="宋体" w:eastAsia="宋体"/>
                <w:b w:val="0"/>
                <w:bCs w:val="0"/>
                <w:color w:val="auto"/>
                <w:sz w:val="21"/>
                <w:szCs w:val="21"/>
                <w:highlight w:val="none"/>
              </w:rPr>
              <w:t xml:space="preserve">《企业声明函》</w:t>
            </w:r>
            <w:bookmarkEnd w:id="20"/>
            <w:r/>
            <w:r/>
          </w:p>
        </w:tc>
        <w:tc>
          <w:tcPr>
            <w:tcW w:w="2212" w:type="dxa"/>
            <w:vAlign w:val="center"/>
            <w:textDirection w:val="lrTb"/>
            <w:noWrap w:val="false"/>
          </w:tcPr>
          <w:p>
            <w:pPr>
              <w:rPr>
                <w:rFonts w:ascii="宋体" w:hAnsi="宋体" w:eastAsia="宋体"/>
                <w:color w:val="auto"/>
                <w:highlight w:val="none"/>
              </w:rPr>
            </w:pPr>
            <w:r>
              <w:rPr>
                <w:rFonts w:ascii="宋体" w:hAnsi="宋体" w:eastAsia="宋体"/>
                <w:color w:val="auto"/>
                <w:highlight w:val="none"/>
              </w:rPr>
            </w:r>
            <w:r/>
          </w:p>
        </w:tc>
      </w:tr>
      <w:tr>
        <w:trPr>
          <w:trHeight w:val="447"/>
        </w:trPr>
        <w:tc>
          <w:tcPr>
            <w:gridSpan w:val="3"/>
            <w:tcW w:w="8458" w:type="dxa"/>
            <w:vAlign w:val="center"/>
            <w:textDirection w:val="lrTb"/>
            <w:noWrap w:val="false"/>
          </w:tcPr>
          <w:p>
            <w:pPr>
              <w:spacing w:line="360" w:lineRule="auto"/>
              <w:rPr>
                <w:rFonts w:ascii="宋体" w:hAnsi="宋体" w:eastAsia="宋体"/>
                <w:color w:val="auto"/>
                <w:highlight w:val="none"/>
              </w:rPr>
            </w:pPr>
            <w:r>
              <w:rPr>
                <w:rFonts w:hint="eastAsia" w:ascii="宋体" w:hAnsi="宋体" w:eastAsia="宋体"/>
                <w:b/>
                <w:color w:val="auto"/>
                <w:highlight w:val="none"/>
              </w:rPr>
              <w:t xml:space="preserve">特定资格条件</w:t>
            </w:r>
            <w:r/>
          </w:p>
        </w:tc>
      </w:tr>
      <w:tr>
        <w:trPr>
          <w:trHeight w:val="426"/>
        </w:trPr>
        <w:tc>
          <w:tcPr>
            <w:tcW w:w="662"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rPr>
              <w:t xml:space="preserve">10</w:t>
            </w:r>
            <w:r/>
          </w:p>
        </w:tc>
        <w:tc>
          <w:tcPr>
            <w:tcW w:w="5584" w:type="dxa"/>
            <w:vAlign w:val="center"/>
            <w:textDirection w:val="lrTb"/>
            <w:noWrap w:val="false"/>
          </w:tcPr>
          <w:p>
            <w:pPr>
              <w:rPr>
                <w:rFonts w:hint="eastAsia" w:ascii="宋体" w:hAnsi="宋体" w:eastAsia="宋体"/>
                <w:iCs/>
                <w:color w:val="auto"/>
                <w:highlight w:val="none"/>
                <w:lang w:eastAsia="zh-CN"/>
              </w:rPr>
            </w:pPr>
            <w:r>
              <w:rPr>
                <w:rFonts w:hint="eastAsia" w:ascii="宋体" w:hAnsi="宋体" w:eastAsia="宋体"/>
                <w:iCs/>
                <w:color w:val="auto"/>
                <w:highlight w:val="none"/>
                <w:lang w:val="en-US" w:eastAsia="zh-CN"/>
              </w:rPr>
              <w:t xml:space="preserve">无</w:t>
            </w:r>
            <w:r/>
          </w:p>
        </w:tc>
        <w:tc>
          <w:tcPr>
            <w:tcW w:w="2212" w:type="dxa"/>
            <w:vAlign w:val="center"/>
            <w:textDirection w:val="lrTb"/>
            <w:noWrap w:val="false"/>
          </w:tcPr>
          <w:p>
            <w:pPr>
              <w:rPr>
                <w:rFonts w:ascii="宋体" w:hAnsi="宋体" w:eastAsia="宋体"/>
                <w:color w:val="auto"/>
                <w:highlight w:val="none"/>
              </w:rPr>
            </w:pPr>
            <w:r>
              <w:rPr>
                <w:rFonts w:ascii="宋体" w:hAnsi="宋体" w:eastAsia="宋体"/>
                <w:color w:val="auto"/>
                <w:highlight w:val="none"/>
              </w:rPr>
            </w:r>
            <w:r/>
          </w:p>
        </w:tc>
      </w:tr>
      <w:tr>
        <w:trPr>
          <w:trHeight w:val="438"/>
        </w:trPr>
        <w:tc>
          <w:tcPr>
            <w:gridSpan w:val="3"/>
            <w:tcW w:w="8458" w:type="dxa"/>
            <w:vAlign w:val="center"/>
            <w:textDirection w:val="lrTb"/>
            <w:noWrap w:val="false"/>
          </w:tcPr>
          <w:p>
            <w:pPr>
              <w:rPr>
                <w:rFonts w:ascii="宋体" w:hAnsi="宋体" w:eastAsia="宋体"/>
                <w:color w:val="auto"/>
                <w:highlight w:val="none"/>
              </w:rPr>
            </w:pPr>
            <w:r>
              <w:rPr>
                <w:rFonts w:hint="eastAsia" w:ascii="宋体" w:hAnsi="宋体" w:eastAsia="宋体"/>
                <w:b/>
                <w:color w:val="auto"/>
                <w:highlight w:val="none"/>
              </w:rPr>
              <w:t xml:space="preserve">其他资格条件</w:t>
            </w:r>
            <w:r/>
          </w:p>
        </w:tc>
      </w:tr>
      <w:tr>
        <w:trPr>
          <w:trHeight w:val="438"/>
        </w:trPr>
        <w:tc>
          <w:tcPr>
            <w:tcW w:w="662"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rPr>
              <w:t xml:space="preserve">11</w:t>
            </w:r>
            <w:r/>
          </w:p>
        </w:tc>
        <w:tc>
          <w:tcPr>
            <w:tcW w:w="5584" w:type="dxa"/>
            <w:vAlign w:val="center"/>
            <w:textDirection w:val="lrTb"/>
            <w:noWrap w:val="false"/>
          </w:tcPr>
          <w:p>
            <w:pPr>
              <w:spacing w:line="0" w:lineRule="atLeast"/>
              <w:rPr>
                <w:rFonts w:ascii="宋体" w:hAnsi="宋体" w:eastAsia="宋体"/>
                <w:iCs/>
                <w:color w:val="auto"/>
                <w:highlight w:val="none"/>
              </w:rPr>
            </w:pPr>
            <w:r>
              <w:rPr>
                <w:rFonts w:hint="eastAsia" w:ascii="宋体" w:hAnsi="宋体" w:eastAsia="宋体"/>
                <w:iCs/>
                <w:color w:val="auto"/>
                <w:highlight w:val="none"/>
              </w:rPr>
              <w:t xml:space="preserve">磋商响应函</w:t>
            </w:r>
            <w:r/>
          </w:p>
        </w:tc>
        <w:tc>
          <w:tcPr>
            <w:tcW w:w="2212" w:type="dxa"/>
            <w:vAlign w:val="center"/>
            <w:textDirection w:val="lrTb"/>
            <w:noWrap w:val="false"/>
          </w:tcPr>
          <w:p>
            <w:pPr>
              <w:rPr>
                <w:rFonts w:ascii="宋体" w:hAnsi="宋体" w:eastAsia="宋体"/>
                <w:color w:val="auto"/>
                <w:highlight w:val="none"/>
              </w:rPr>
            </w:pPr>
            <w:r>
              <w:rPr>
                <w:rFonts w:ascii="宋体" w:hAnsi="宋体" w:eastAsia="宋体"/>
                <w:color w:val="auto"/>
                <w:highlight w:val="none"/>
              </w:rPr>
            </w:r>
            <w:r/>
          </w:p>
        </w:tc>
      </w:tr>
      <w:tr>
        <w:trPr>
          <w:trHeight w:val="449"/>
        </w:trPr>
        <w:tc>
          <w:tcPr>
            <w:tcW w:w="662"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rPr>
              <w:t xml:space="preserve">12</w:t>
            </w:r>
            <w:r/>
          </w:p>
        </w:tc>
        <w:tc>
          <w:tcPr>
            <w:tcW w:w="5584" w:type="dxa"/>
            <w:vAlign w:val="center"/>
            <w:textDirection w:val="lrTb"/>
            <w:noWrap w:val="false"/>
          </w:tcPr>
          <w:p>
            <w:pPr>
              <w:spacing w:line="0" w:lineRule="atLeast"/>
              <w:rPr>
                <w:rFonts w:ascii="宋体" w:hAnsi="宋体" w:eastAsia="宋体"/>
                <w:iCs/>
                <w:color w:val="auto"/>
                <w:highlight w:val="none"/>
              </w:rPr>
            </w:pPr>
            <w:r>
              <w:rPr>
                <w:rFonts w:hint="eastAsia" w:ascii="宋体" w:hAnsi="宋体" w:eastAsia="宋体"/>
                <w:iCs/>
                <w:color w:val="auto"/>
                <w:highlight w:val="none"/>
              </w:rPr>
              <w:t xml:space="preserve">法人授权书</w:t>
            </w:r>
            <w:r/>
          </w:p>
        </w:tc>
        <w:tc>
          <w:tcPr>
            <w:tcW w:w="2212" w:type="dxa"/>
            <w:vAlign w:val="center"/>
            <w:textDirection w:val="lrTb"/>
            <w:noWrap w:val="false"/>
          </w:tcPr>
          <w:p>
            <w:pPr>
              <w:rPr>
                <w:rFonts w:ascii="宋体" w:hAnsi="宋体" w:eastAsia="宋体"/>
                <w:color w:val="auto"/>
                <w:highlight w:val="none"/>
              </w:rPr>
            </w:pPr>
            <w:r>
              <w:rPr>
                <w:rFonts w:ascii="宋体" w:hAnsi="宋体" w:eastAsia="宋体"/>
                <w:color w:val="auto"/>
                <w:highlight w:val="none"/>
              </w:rPr>
            </w:r>
            <w:r/>
          </w:p>
        </w:tc>
      </w:tr>
    </w:tbl>
    <w:p>
      <w:pPr>
        <w:jc w:val="center"/>
        <w:spacing w:before="156" w:after="156" w:line="48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具备履行合同所必需的设备和专业技术能力的书面声明</w:t>
      </w:r>
      <w:r/>
    </w:p>
    <w:p>
      <w:pPr>
        <w:ind w:firstLine="492"/>
        <w:spacing w:line="480" w:lineRule="auto"/>
        <w:rPr>
          <w:rFonts w:ascii="宋体" w:hAnsi="宋体" w:eastAsia="宋体"/>
          <w:bCs/>
          <w:color w:val="auto"/>
          <w:highlight w:val="none"/>
        </w:rPr>
      </w:pPr>
      <w:r>
        <w:rPr>
          <w:rFonts w:hint="eastAsia" w:ascii="宋体" w:hAnsi="宋体" w:eastAsia="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80" w:lineRule="auto"/>
        <w:rPr>
          <w:rFonts w:ascii="宋体" w:hAnsi="宋体" w:eastAsia="宋体"/>
          <w:bCs/>
          <w:color w:val="auto"/>
          <w:highlight w:val="none"/>
        </w:rPr>
      </w:pPr>
      <w:r>
        <w:rPr>
          <w:rFonts w:hint="eastAsia" w:ascii="宋体" w:hAnsi="宋体" w:eastAsia="宋体"/>
          <w:bCs/>
          <w:color w:val="auto"/>
          <w:highlight w:val="none"/>
        </w:rPr>
        <w:t xml:space="preserve">主要设备有：</w:t>
      </w:r>
      <w:r>
        <w:rPr>
          <w:rFonts w:hint="eastAsia" w:ascii="宋体" w:hAnsi="宋体" w:eastAsia="宋体"/>
          <w:bCs/>
          <w:color w:val="auto"/>
          <w:highlight w:val="none"/>
          <w:u w:val="single"/>
        </w:rPr>
        <w:t xml:space="preserve">       </w:t>
      </w:r>
      <w:r>
        <w:rPr>
          <w:rFonts w:hint="eastAsia" w:ascii="宋体" w:hAnsi="宋体" w:eastAsia="宋体"/>
          <w:bCs/>
          <w:color w:val="auto"/>
          <w:highlight w:val="none"/>
        </w:rPr>
        <w:t xml:space="preserve">。</w:t>
      </w:r>
      <w:r/>
    </w:p>
    <w:p>
      <w:pPr>
        <w:ind w:firstLine="492"/>
        <w:spacing w:line="480" w:lineRule="auto"/>
        <w:rPr>
          <w:rFonts w:ascii="宋体" w:hAnsi="宋体" w:eastAsia="宋体"/>
          <w:bCs/>
          <w:color w:val="auto"/>
          <w:highlight w:val="none"/>
        </w:rPr>
      </w:pPr>
      <w:r>
        <w:rPr>
          <w:rFonts w:hint="eastAsia" w:ascii="宋体" w:hAnsi="宋体" w:eastAsia="宋体"/>
          <w:bCs/>
          <w:color w:val="auto"/>
          <w:highlight w:val="none"/>
        </w:rPr>
        <w:t xml:space="preserve">主要专业技术能力有：</w:t>
      </w:r>
      <w:r>
        <w:rPr>
          <w:rFonts w:hint="eastAsia" w:ascii="宋体" w:hAnsi="宋体" w:eastAsia="宋体"/>
          <w:bCs/>
          <w:color w:val="auto"/>
          <w:highlight w:val="none"/>
          <w:u w:val="single"/>
        </w:rPr>
        <w:t xml:space="preserve">       </w:t>
      </w:r>
      <w:r>
        <w:rPr>
          <w:rFonts w:hint="eastAsia" w:ascii="宋体" w:hAnsi="宋体" w:eastAsia="宋体"/>
          <w:bCs/>
          <w:color w:val="auto"/>
          <w:highlight w:val="none"/>
        </w:rPr>
        <w:t xml:space="preserve">。</w:t>
      </w:r>
      <w:r/>
    </w:p>
    <w:p>
      <w:pPr>
        <w:jc w:val="center"/>
        <w:spacing w:line="480" w:lineRule="auto"/>
        <w:rPr>
          <w:rFonts w:ascii="宋体" w:hAnsi="宋体" w:eastAsia="宋体"/>
          <w:b/>
          <w:bCs/>
          <w:color w:val="auto"/>
          <w:highlight w:val="none"/>
        </w:rPr>
      </w:pPr>
      <w:r>
        <w:rPr>
          <w:rFonts w:ascii="宋体" w:hAnsi="宋体" w:eastAsia="宋体"/>
          <w:b/>
          <w:bCs/>
          <w:color w:val="auto"/>
          <w:highlight w:val="none"/>
        </w:rPr>
        <w:br w:type="page" w:clear="all"/>
      </w:r>
      <w:r/>
    </w:p>
    <w:p>
      <w:pPr>
        <w:jc w:val="center"/>
        <w:spacing w:line="480" w:lineRule="auto"/>
        <w:rPr>
          <w:rFonts w:ascii="宋体" w:hAnsi="宋体" w:eastAsia="宋体"/>
          <w:b/>
          <w:bCs/>
          <w:color w:val="auto"/>
          <w:highlight w:val="none"/>
        </w:rPr>
      </w:pPr>
      <w:r>
        <w:rPr>
          <w:rFonts w:ascii="宋体" w:hAnsi="宋体" w:eastAsia="宋体"/>
          <w:b/>
          <w:bCs/>
          <w:color w:val="auto"/>
          <w:highlight w:val="none"/>
        </w:rPr>
      </w:r>
      <w:r/>
    </w:p>
    <w:p>
      <w:pPr>
        <w:jc w:val="center"/>
        <w:spacing w:line="48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参加本次政府采购活动前 3 年内在经营活动中没有重大违法记录的书面声明</w:t>
      </w:r>
      <w:r/>
    </w:p>
    <w:p>
      <w:pPr>
        <w:spacing w:line="48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spacing w:after="312" w:line="48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声  明</w:t>
      </w:r>
      <w:r/>
    </w:p>
    <w:p>
      <w:pPr>
        <w:spacing w:line="480" w:lineRule="auto"/>
        <w:rPr>
          <w:rFonts w:ascii="宋体" w:hAnsi="宋体" w:eastAsia="宋体"/>
          <w:bCs/>
          <w:color w:val="auto"/>
          <w:highlight w:val="none"/>
        </w:rPr>
      </w:pPr>
      <w:r>
        <w:rPr>
          <w:rFonts w:hint="eastAsia" w:ascii="宋体" w:hAnsi="宋体" w:eastAsia="宋体"/>
          <w:b/>
          <w:bCs/>
          <w:color w:val="auto"/>
          <w:highlight w:val="none"/>
        </w:rPr>
        <w:t xml:space="preserve">    </w:t>
      </w:r>
      <w:r>
        <w:rPr>
          <w:rFonts w:hint="eastAsia" w:ascii="宋体" w:hAnsi="宋体" w:eastAsia="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80" w:lineRule="auto"/>
        <w:rPr>
          <w:rFonts w:ascii="宋体" w:hAnsi="宋体" w:eastAsia="宋体"/>
          <w:bCs/>
          <w:color w:val="auto"/>
          <w:highlight w:val="none"/>
        </w:rPr>
      </w:pPr>
      <w:r>
        <w:rPr>
          <w:rFonts w:hint="eastAsia" w:ascii="宋体" w:hAnsi="宋体" w:eastAsia="宋体"/>
          <w:bCs/>
          <w:color w:val="auto"/>
          <w:highlight w:val="none"/>
        </w:rPr>
        <w:t xml:space="preserve">                               供应商名称（公章）：</w:t>
      </w:r>
      <w:r/>
    </w:p>
    <w:p>
      <w:pPr>
        <w:spacing w:line="480" w:lineRule="auto"/>
        <w:rPr>
          <w:rFonts w:ascii="宋体" w:hAnsi="宋体" w:eastAsia="宋体"/>
          <w:bCs/>
          <w:color w:val="auto"/>
          <w:highlight w:val="none"/>
        </w:rPr>
      </w:pPr>
      <w:r>
        <w:rPr>
          <w:rFonts w:hint="eastAsia" w:ascii="宋体" w:hAnsi="宋体" w:eastAsia="宋体"/>
          <w:bCs/>
          <w:color w:val="auto"/>
          <w:highlight w:val="none"/>
        </w:rPr>
        <w:t xml:space="preserve">                               法定代表人签章：</w:t>
      </w:r>
      <w:r>
        <w:rPr>
          <w:rFonts w:hint="eastAsia" w:ascii="宋体" w:hAnsi="宋体" w:eastAsia="宋体"/>
          <w:bCs/>
          <w:color w:val="auto"/>
          <w:highlight w:val="none"/>
          <w:u w:val="single"/>
        </w:rPr>
        <w:t xml:space="preserve">_______________________</w:t>
      </w:r>
      <w:r/>
    </w:p>
    <w:p>
      <w:pPr>
        <w:spacing w:line="480" w:lineRule="auto"/>
        <w:rPr>
          <w:rFonts w:ascii="宋体" w:hAnsi="宋体" w:eastAsia="宋体"/>
          <w:bCs/>
          <w:color w:val="auto"/>
          <w:highlight w:val="none"/>
        </w:rPr>
      </w:pPr>
      <w:r>
        <w:rPr>
          <w:rFonts w:hint="eastAsia" w:ascii="宋体" w:hAnsi="宋体" w:eastAsia="宋体"/>
          <w:bCs/>
          <w:color w:val="auto"/>
          <w:highlight w:val="none"/>
        </w:rPr>
        <w:t xml:space="preserve">                               日期：</w:t>
      </w:r>
      <w:r>
        <w:rPr>
          <w:rFonts w:hint="eastAsia" w:ascii="宋体" w:hAnsi="宋体" w:eastAsia="宋体"/>
          <w:bCs/>
          <w:color w:val="auto"/>
          <w:highlight w:val="none"/>
          <w:u w:val="single"/>
        </w:rPr>
        <w:t xml:space="preserve">______</w:t>
      </w:r>
      <w:r>
        <w:rPr>
          <w:rFonts w:hint="eastAsia" w:ascii="宋体" w:hAnsi="宋体" w:eastAsia="宋体"/>
          <w:bCs/>
          <w:color w:val="auto"/>
          <w:highlight w:val="none"/>
        </w:rPr>
        <w:t xml:space="preserve">年</w:t>
      </w:r>
      <w:r>
        <w:rPr>
          <w:rFonts w:hint="eastAsia" w:ascii="宋体" w:hAnsi="宋体" w:eastAsia="宋体"/>
          <w:bCs/>
          <w:color w:val="auto"/>
          <w:highlight w:val="none"/>
          <w:u w:val="single"/>
        </w:rPr>
        <w:t xml:space="preserve">    </w:t>
      </w:r>
      <w:r>
        <w:rPr>
          <w:rFonts w:hint="eastAsia" w:ascii="宋体" w:hAnsi="宋体" w:eastAsia="宋体"/>
          <w:bCs/>
          <w:color w:val="auto"/>
          <w:highlight w:val="none"/>
        </w:rPr>
        <w:t xml:space="preserve">月</w:t>
      </w:r>
      <w:r>
        <w:rPr>
          <w:rFonts w:hint="eastAsia" w:ascii="宋体" w:hAnsi="宋体" w:eastAsia="宋体"/>
          <w:bCs/>
          <w:color w:val="auto"/>
          <w:highlight w:val="none"/>
          <w:u w:val="single"/>
        </w:rPr>
        <w:t xml:space="preserve">    </w:t>
      </w:r>
      <w:r>
        <w:rPr>
          <w:rFonts w:hint="eastAsia" w:ascii="宋体" w:hAnsi="宋体" w:eastAsia="宋体"/>
          <w:bCs/>
          <w:color w:val="auto"/>
          <w:highlight w:val="none"/>
        </w:rPr>
        <w:t xml:space="preserve">日</w:t>
      </w:r>
      <w:r/>
    </w:p>
    <w:p>
      <w:pPr>
        <w:spacing w:line="480" w:lineRule="auto"/>
        <w:rPr>
          <w:rFonts w:ascii="宋体" w:hAnsi="宋体" w:eastAsia="宋体"/>
          <w:b/>
          <w:bCs/>
          <w:color w:val="auto"/>
          <w:highlight w:val="none"/>
        </w:rPr>
        <w:sectPr>
          <w:headerReference w:type="default" r:id="rId9"/>
          <w:footerReference w:type="default" r:id="rId12"/>
          <w:footnotePr/>
          <w:endnotePr/>
          <w:type w:val="nextPage"/>
          <w:pgSz w:w="11906" w:h="16838" w:orient="portrait"/>
          <w:pgMar w:top="1440" w:right="1416" w:bottom="1440" w:left="1800" w:header="851" w:footer="992" w:gutter="0"/>
          <w:cols w:num="1" w:sep="0" w:space="720" w:equalWidth="1"/>
          <w:docGrid w:linePitch="360"/>
        </w:sectPr>
      </w:pPr>
      <w:r>
        <w:rPr>
          <w:rFonts w:ascii="宋体" w:hAnsi="宋体" w:eastAsia="宋体"/>
          <w:b/>
          <w:bCs/>
          <w:color w:val="auto"/>
          <w:highlight w:val="none"/>
        </w:rPr>
      </w:r>
      <w:r/>
    </w:p>
    <w:p>
      <w:pPr>
        <w:jc w:val="center"/>
        <w:spacing w:line="520" w:lineRule="exact"/>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供应商信用承诺书</w:t>
      </w:r>
      <w:r/>
    </w:p>
    <w:p>
      <w:pPr>
        <w:jc w:val="center"/>
        <w:spacing w:line="520" w:lineRule="exact"/>
        <w:rPr>
          <w:rFonts w:ascii="宋体" w:hAnsi="宋体" w:eastAsia="宋体"/>
          <w:b/>
          <w:color w:val="auto"/>
          <w:highlight w:val="none"/>
        </w:rPr>
      </w:pPr>
      <w:r>
        <w:rPr>
          <w:rFonts w:ascii="宋体" w:hAnsi="宋体" w:eastAsia="宋体"/>
          <w:b/>
          <w:color w:val="auto"/>
          <w:highlight w:val="none"/>
        </w:rPr>
      </w:r>
      <w:r/>
    </w:p>
    <w:p>
      <w:pPr>
        <w:spacing w:line="360" w:lineRule="auto"/>
        <w:rPr>
          <w:rFonts w:ascii="宋体" w:hAnsi="宋体" w:eastAsia="宋体"/>
          <w:color w:val="auto"/>
          <w:highlight w:val="none"/>
        </w:rPr>
      </w:pPr>
      <w:r>
        <w:rPr>
          <w:rFonts w:hint="eastAsia" w:ascii="宋体" w:hAnsi="宋体" w:eastAsia="宋体"/>
          <w:color w:val="auto"/>
          <w:highlight w:val="none"/>
        </w:rPr>
        <w:t xml:space="preserve">承诺主体名称：</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 </w:t>
      </w:r>
      <w:r/>
    </w:p>
    <w:p>
      <w:pPr>
        <w:spacing w:line="360" w:lineRule="auto"/>
        <w:rPr>
          <w:rFonts w:ascii="宋体" w:hAnsi="宋体" w:eastAsia="宋体"/>
          <w:color w:val="auto"/>
          <w:highlight w:val="none"/>
          <w:u w:val="single"/>
        </w:rPr>
      </w:pPr>
      <w:r>
        <w:rPr>
          <w:rFonts w:hint="eastAsia" w:ascii="宋体" w:hAnsi="宋体" w:eastAsia="宋体"/>
          <w:color w:val="auto"/>
          <w:highlight w:val="none"/>
        </w:rPr>
        <w:t xml:space="preserve">统一社会信用代码：</w:t>
      </w:r>
      <w:r>
        <w:rPr>
          <w:rFonts w:hint="eastAsia" w:ascii="宋体" w:hAnsi="宋体" w:eastAsia="宋体"/>
          <w:color w:val="auto"/>
          <w:highlight w:val="none"/>
          <w:u w:val="single"/>
        </w:rPr>
        <w:t xml:space="preserve">                       </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四、自觉接受行政管理部门、行业组织、社会公众、新闻舆论的监督；</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七、严格遵守信用信息公示相关规定，向社会公示信用信息；</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八、在“信用中国”和“中国政府采购网”网站中无违法违规、较重或严重失信记录；</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十、本承诺书自签订之日起生效。</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（注：法定代表人或负责人、主体名称发生变更的应当重新做出承诺。）</w:t>
      </w:r>
      <w:r/>
    </w:p>
    <w:p>
      <w:pPr>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 </w:t>
      </w:r>
      <w:r/>
    </w:p>
    <w:p>
      <w:pPr>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                承诺单位（签章）： </w:t>
      </w:r>
      <w:r/>
    </w:p>
    <w:p>
      <w:pPr>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                   法定代表人（负责人）：</w:t>
      </w:r>
      <w:r/>
    </w:p>
    <w:p>
      <w:pPr>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                  年   月   日</w:t>
      </w:r>
      <w:r/>
    </w:p>
    <w:p>
      <w:pPr>
        <w:spacing w:line="480" w:lineRule="auto"/>
        <w:rPr>
          <w:rFonts w:ascii="宋体" w:hAnsi="宋体"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
          <w:bCs/>
          <w:color w:val="auto"/>
          <w:highlight w:val="none"/>
        </w:rPr>
      </w:r>
      <w:r/>
    </w:p>
    <w:p>
      <w:pPr>
        <w:jc w:val="center"/>
        <w:spacing w:line="48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磋商响应函</w:t>
      </w:r>
      <w:r/>
    </w:p>
    <w:p>
      <w:pPr>
        <w:spacing w:line="480" w:lineRule="auto"/>
        <w:rPr>
          <w:rFonts w:ascii="宋体" w:hAnsi="宋体" w:eastAsia="宋体"/>
          <w:color w:val="auto"/>
          <w:highlight w:val="none"/>
        </w:rPr>
      </w:pPr>
      <w:r>
        <w:rPr>
          <w:rFonts w:ascii="宋体" w:hAnsi="宋体" w:eastAsia="宋体"/>
          <w:color w:val="auto"/>
          <w:highlight w:val="none"/>
        </w:rPr>
      </w:r>
      <w:r/>
    </w:p>
    <w:p>
      <w:pPr>
        <w:spacing w:line="480" w:lineRule="auto"/>
        <w:rPr>
          <w:rFonts w:ascii="宋体" w:hAnsi="宋体" w:eastAsia="宋体"/>
          <w:b/>
          <w:color w:val="auto"/>
          <w:highlight w:val="none"/>
        </w:rPr>
      </w:pPr>
      <w:r>
        <w:rPr>
          <w:rFonts w:hint="eastAsia" w:ascii="宋体" w:hAnsi="宋体" w:eastAsia="宋体"/>
          <w:color w:val="auto"/>
          <w:highlight w:val="none"/>
        </w:rPr>
        <w:t xml:space="preserve">致：（代理公司）</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994"/>
        <w:ind w:firstLine="420"/>
        <w:spacing w:line="480" w:lineRule="auto"/>
        <w:rPr>
          <w:rFonts w:ascii="宋体" w:hAnsi="宋体"/>
          <w:color w:val="auto"/>
          <w:sz w:val="21"/>
          <w:szCs w:val="21"/>
          <w:highlight w:val="none"/>
        </w:rPr>
      </w:pPr>
      <w:r>
        <w:rPr>
          <w:rFonts w:ascii="宋体" w:hAnsi="宋体"/>
          <w:color w:val="auto"/>
          <w:sz w:val="21"/>
          <w:szCs w:val="21"/>
          <w:highlight w:val="none"/>
        </w:rPr>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994"/>
        <w:ind w:firstLine="422"/>
        <w:jc w:val="center"/>
        <w:spacing w:after="312" w:line="480" w:lineRule="auto"/>
        <w:rPr>
          <w:rFonts w:ascii="宋体" w:hAnsi="宋体"/>
          <w:b/>
          <w:color w:val="auto"/>
          <w:sz w:val="21"/>
          <w:szCs w:val="21"/>
          <w:highlight w:val="none"/>
        </w:rPr>
      </w:pPr>
      <w:r>
        <w:rPr>
          <w:rFonts w:ascii="宋体" w:hAnsi="宋体"/>
          <w:b/>
          <w:color w:val="auto"/>
          <w:sz w:val="21"/>
          <w:szCs w:val="21"/>
          <w:highlight w:val="none"/>
        </w:rPr>
        <w:br w:type="page" w:clear="all"/>
      </w:r>
      <w:r/>
    </w:p>
    <w:p>
      <w:pPr>
        <w:pStyle w:val="994"/>
        <w:ind w:firstLine="482"/>
        <w:jc w:val="center"/>
        <w:spacing w:after="312" w:line="480" w:lineRule="auto"/>
        <w:rPr>
          <w:rFonts w:ascii="宋体" w:hAnsi="宋体"/>
          <w:b/>
          <w:color w:val="auto"/>
          <w:sz w:val="24"/>
          <w:szCs w:val="24"/>
          <w:highlight w:val="none"/>
        </w:rPr>
      </w:pPr>
      <w:r>
        <w:rPr>
          <w:rFonts w:hint="eastAsia" w:ascii="宋体" w:hAnsi="宋体"/>
          <w:b/>
          <w:color w:val="auto"/>
          <w:sz w:val="24"/>
          <w:szCs w:val="24"/>
          <w:highlight w:val="none"/>
        </w:rPr>
        <w:t xml:space="preserve">法人授权书</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94"/>
        <w:ind w:firstLine="420"/>
        <w:spacing w:line="48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94"/>
        <w:ind w:firstLine="0"/>
        <w:spacing w:line="48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94"/>
        <w:ind w:firstLine="420"/>
        <w:spacing w:line="480" w:lineRule="auto"/>
        <w:rPr>
          <w:rFonts w:ascii="宋体" w:hAnsi="宋体"/>
          <w:color w:val="auto"/>
          <w:sz w:val="21"/>
          <w:szCs w:val="21"/>
          <w:highlight w:val="none"/>
          <w:u w:val="single"/>
        </w:rPr>
      </w:pPr>
      <w:r>
        <w:rPr>
          <w:rFonts w:hint="eastAsia" w:ascii="宋体" w:hAnsi="宋体"/>
          <w:color w:val="auto"/>
          <w:sz w:val="21"/>
          <w:szCs w:val="21"/>
          <w:highlight w:val="none"/>
        </w:rPr>
        <w:t xml:space="preserve">单位地址：</w:t>
      </w:r>
      <w:r>
        <w:rPr>
          <w:rFonts w:ascii="宋体" w:hAnsi="宋体"/>
          <w:color w:val="auto"/>
          <w:sz w:val="21"/>
          <w:szCs w:val="21"/>
          <w:highlight w:val="none"/>
          <w:u w:val="single"/>
        </w:rPr>
        <w:t xml:space="preserve">                                         </w:t>
      </w:r>
      <w:r/>
    </w:p>
    <w:p>
      <w:pPr>
        <w:pStyle w:val="994"/>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日期：</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spacing w:line="480" w:lineRule="auto"/>
        <w:rPr>
          <w:rFonts w:ascii="宋体" w:hAnsi="宋体" w:eastAsia="宋体"/>
          <w:bCs/>
          <w:color w:val="auto"/>
          <w:highlight w:val="none"/>
        </w:rPr>
      </w:pPr>
      <w:r>
        <w:rPr>
          <w:rFonts w:ascii="宋体" w:hAnsi="宋体" w:eastAsia="宋体"/>
          <w:bCs/>
          <w:color w:val="auto"/>
          <w:highlight w:val="none"/>
        </w:rPr>
      </w:r>
      <w:r/>
    </w:p>
    <w:p>
      <w:pPr>
        <w:ind w:firstLine="420"/>
        <w:spacing w:line="480" w:lineRule="auto"/>
        <w:rPr>
          <w:rFonts w:ascii="宋体" w:hAnsi="宋体" w:eastAsia="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Cs/>
          <w:color w:val="auto"/>
          <w:highlight w:val="none"/>
        </w:rPr>
        <w:t xml:space="preserve">被授权人身份证复印件</w:t>
      </w:r>
      <w:r/>
    </w:p>
    <w:p>
      <w:pPr>
        <w:numPr>
          <w:ilvl w:val="0"/>
          <w:numId w:val="2"/>
        </w:numPr>
        <w:jc w:val="center"/>
        <w:spacing w:line="48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符合性审查响应对照表</w:t>
      </w:r>
      <w:r/>
    </w:p>
    <w:tbl>
      <w:tblPr>
        <w:tblStyle w:val="98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2136"/>
        <w:gridCol w:w="1124"/>
      </w:tblGrid>
      <w:tr>
        <w:trPr>
          <w:trHeight w:val="882"/>
        </w:trPr>
        <w:tc>
          <w:tcPr>
            <w:tcW w:w="646" w:type="dxa"/>
            <w:vAlign w:val="center"/>
            <w:textDirection w:val="lrTb"/>
            <w:noWrap w:val="false"/>
          </w:tcPr>
          <w:p>
            <w:pPr>
              <w:jc w:val="center"/>
              <w:spacing w:line="480" w:lineRule="auto"/>
              <w:rPr>
                <w:rFonts w:ascii="宋体" w:hAnsi="宋体" w:eastAsia="宋体"/>
                <w:b/>
                <w:color w:val="auto"/>
                <w:highlight w:val="none"/>
              </w:rPr>
            </w:pPr>
            <w:r>
              <w:rPr>
                <w:rFonts w:hint="eastAsia" w:ascii="宋体" w:hAnsi="宋体" w:eastAsia="宋体"/>
                <w:b/>
                <w:color w:val="auto"/>
                <w:highlight w:val="none"/>
              </w:rPr>
              <w:t xml:space="preserve">序号</w:t>
            </w:r>
            <w:r/>
          </w:p>
        </w:tc>
        <w:tc>
          <w:tcPr>
            <w:tcW w:w="4991" w:type="dxa"/>
            <w:vAlign w:val="center"/>
            <w:textDirection w:val="lrTb"/>
            <w:noWrap w:val="false"/>
          </w:tcPr>
          <w:p>
            <w:pPr>
              <w:jc w:val="center"/>
              <w:spacing w:line="480" w:lineRule="auto"/>
              <w:rPr>
                <w:rFonts w:ascii="宋体" w:hAnsi="宋体" w:eastAsia="宋体"/>
                <w:b/>
                <w:color w:val="auto"/>
                <w:highlight w:val="none"/>
              </w:rPr>
            </w:pPr>
            <w:r>
              <w:rPr>
                <w:rFonts w:hint="eastAsia" w:ascii="宋体" w:hAnsi="宋体" w:eastAsia="宋体"/>
                <w:b/>
                <w:color w:val="auto"/>
                <w:highlight w:val="none"/>
              </w:rPr>
              <w:t xml:space="preserve">符合性审查响应内容</w:t>
            </w:r>
            <w:r/>
          </w:p>
        </w:tc>
        <w:tc>
          <w:tcPr>
            <w:tcW w:w="2136" w:type="dxa"/>
            <w:vAlign w:val="center"/>
            <w:textDirection w:val="lrTb"/>
            <w:noWrap w:val="false"/>
          </w:tcPr>
          <w:p>
            <w:pPr>
              <w:jc w:val="center"/>
              <w:spacing w:line="480" w:lineRule="auto"/>
              <w:rPr>
                <w:rFonts w:ascii="宋体" w:hAnsi="宋体" w:eastAsia="宋体"/>
                <w:b/>
                <w:color w:val="auto"/>
                <w:highlight w:val="none"/>
              </w:rPr>
            </w:pPr>
            <w:r>
              <w:rPr>
                <w:rFonts w:hint="eastAsia" w:ascii="宋体" w:hAnsi="宋体" w:eastAsia="宋体"/>
                <w:b/>
                <w:color w:val="auto"/>
                <w:highlight w:val="none"/>
              </w:rPr>
              <w:t xml:space="preserve">是否响应</w:t>
            </w:r>
            <w:r/>
          </w:p>
          <w:p>
            <w:pPr>
              <w:jc w:val="center"/>
              <w:spacing w:line="480" w:lineRule="auto"/>
              <w:rPr>
                <w:rFonts w:ascii="宋体" w:hAnsi="宋体" w:eastAsia="宋体"/>
                <w:b/>
                <w:color w:val="auto"/>
                <w:highlight w:val="none"/>
              </w:rPr>
            </w:pPr>
            <w:r>
              <w:rPr>
                <w:rFonts w:hint="eastAsia" w:ascii="宋体" w:hAnsi="宋体" w:eastAsia="宋体"/>
                <w:b/>
                <w:color w:val="auto"/>
                <w:highlight w:val="none"/>
              </w:rPr>
              <w:t xml:space="preserve">（填是或者否）</w:t>
            </w:r>
            <w:r/>
          </w:p>
        </w:tc>
        <w:tc>
          <w:tcPr>
            <w:tcW w:w="1124" w:type="dxa"/>
            <w:vAlign w:val="center"/>
            <w:textDirection w:val="lrTb"/>
            <w:noWrap w:val="false"/>
          </w:tcPr>
          <w:p>
            <w:pPr>
              <w:jc w:val="center"/>
              <w:spacing w:line="480" w:lineRule="auto"/>
              <w:rPr>
                <w:rFonts w:ascii="宋体" w:hAnsi="宋体" w:eastAsia="宋体"/>
                <w:b/>
                <w:color w:val="auto"/>
                <w:highlight w:val="none"/>
              </w:rPr>
            </w:pPr>
            <w:r>
              <w:rPr>
                <w:rFonts w:hint="eastAsia" w:ascii="宋体" w:hAnsi="宋体" w:eastAsia="宋体"/>
                <w:b/>
                <w:color w:val="auto"/>
                <w:highlight w:val="none"/>
              </w:rPr>
              <w:t xml:space="preserve">响应情况</w:t>
            </w:r>
            <w:r/>
          </w:p>
        </w:tc>
      </w:tr>
      <w:tr>
        <w:trPr>
          <w:trHeight w:val="585"/>
        </w:trPr>
        <w:tc>
          <w:tcPr>
            <w:tcW w:w="646"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1</w:t>
            </w:r>
            <w:r/>
          </w:p>
        </w:tc>
        <w:tc>
          <w:tcPr>
            <w:tcW w:w="4991" w:type="dxa"/>
            <w:vAlign w:val="center"/>
            <w:textDirection w:val="lrTb"/>
            <w:noWrap w:val="false"/>
          </w:tcPr>
          <w:p>
            <w:pPr>
              <w:spacing w:line="480" w:lineRule="auto"/>
              <w:rPr>
                <w:rFonts w:ascii="宋体" w:hAnsi="宋体" w:eastAsia="宋体"/>
                <w:iCs/>
                <w:color w:val="auto"/>
                <w:highlight w:val="none"/>
              </w:rPr>
            </w:pPr>
            <w:r>
              <w:rPr>
                <w:rFonts w:hint="eastAsia" w:ascii="宋体" w:hAnsi="宋体" w:eastAsia="宋体"/>
                <w:iCs/>
                <w:color w:val="auto"/>
                <w:highlight w:val="none"/>
              </w:rPr>
              <w:t xml:space="preserve">采购需求中必须满足的实质性要求（即加斜体下划线内容，每条详细列出）</w:t>
            </w:r>
            <w:r/>
          </w:p>
        </w:tc>
        <w:tc>
          <w:tcPr>
            <w:tcW w:w="2136" w:type="dxa"/>
            <w:vAlign w:val="center"/>
            <w:textDirection w:val="lrTb"/>
            <w:noWrap w:val="false"/>
          </w:tcPr>
          <w:p>
            <w:pPr>
              <w:spacing w:line="480" w:lineRule="auto"/>
              <w:rPr>
                <w:rFonts w:ascii="宋体" w:hAnsi="宋体" w:eastAsia="宋体"/>
                <w:b/>
                <w:color w:val="auto"/>
                <w:highlight w:val="none"/>
              </w:rPr>
            </w:pPr>
            <w:r>
              <w:rPr>
                <w:rFonts w:ascii="宋体" w:hAnsi="宋体" w:eastAsia="宋体"/>
                <w:b/>
                <w:color w:val="auto"/>
                <w:highlight w:val="none"/>
              </w:rPr>
            </w:r>
            <w:r/>
          </w:p>
        </w:tc>
        <w:tc>
          <w:tcPr>
            <w:tcW w:w="1124" w:type="dxa"/>
            <w:vAlign w:val="center"/>
            <w:textDirection w:val="lrTb"/>
            <w:noWrap w:val="false"/>
          </w:tcPr>
          <w:p>
            <w:pPr>
              <w:spacing w:line="480" w:lineRule="auto"/>
              <w:rPr>
                <w:rFonts w:ascii="宋体" w:hAnsi="宋体" w:eastAsia="宋体"/>
                <w:b/>
                <w:color w:val="auto"/>
                <w:highlight w:val="none"/>
              </w:rPr>
            </w:pPr>
            <w:r>
              <w:rPr>
                <w:rFonts w:ascii="宋体" w:hAnsi="宋体" w:eastAsia="宋体"/>
                <w:b/>
                <w:color w:val="auto"/>
                <w:highlight w:val="none"/>
              </w:rPr>
            </w:r>
            <w:r/>
          </w:p>
        </w:tc>
      </w:tr>
      <w:tr>
        <w:trPr>
          <w:trHeight w:val="585"/>
        </w:trPr>
        <w:tc>
          <w:tcPr>
            <w:tcW w:w="646"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2</w:t>
            </w:r>
            <w:r/>
          </w:p>
        </w:tc>
        <w:tc>
          <w:tcPr>
            <w:tcW w:w="4991" w:type="dxa"/>
            <w:vAlign w:val="center"/>
            <w:textDirection w:val="lrTb"/>
            <w:noWrap w:val="false"/>
          </w:tcPr>
          <w:p>
            <w:pPr>
              <w:spacing w:line="480" w:lineRule="auto"/>
              <w:rPr>
                <w:rFonts w:ascii="宋体" w:hAnsi="宋体" w:eastAsia="宋体"/>
                <w:iCs/>
                <w:color w:val="auto"/>
                <w:highlight w:val="none"/>
              </w:rPr>
            </w:pPr>
            <w:r>
              <w:rPr>
                <w:rFonts w:ascii="宋体" w:hAnsi="宋体" w:eastAsia="宋体"/>
                <w:iCs/>
                <w:color w:val="auto"/>
                <w:highlight w:val="none"/>
              </w:rPr>
            </w:r>
            <w:r/>
          </w:p>
        </w:tc>
        <w:tc>
          <w:tcPr>
            <w:tcW w:w="2136"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c>
          <w:tcPr>
            <w:tcW w:w="1124"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r>
      <w:tr>
        <w:trPr>
          <w:trHeight w:val="585"/>
        </w:trPr>
        <w:tc>
          <w:tcPr>
            <w:tcW w:w="646"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3</w:t>
            </w:r>
            <w:r/>
          </w:p>
        </w:tc>
        <w:tc>
          <w:tcPr>
            <w:tcW w:w="4991" w:type="dxa"/>
            <w:vAlign w:val="center"/>
            <w:textDirection w:val="lrTb"/>
            <w:noWrap w:val="false"/>
          </w:tcPr>
          <w:p>
            <w:pPr>
              <w:spacing w:line="480" w:lineRule="auto"/>
              <w:rPr>
                <w:rFonts w:ascii="宋体" w:hAnsi="宋体" w:eastAsia="宋体"/>
                <w:iCs/>
                <w:color w:val="auto"/>
                <w:highlight w:val="none"/>
              </w:rPr>
            </w:pPr>
            <w:r>
              <w:rPr>
                <w:rFonts w:ascii="宋体" w:hAnsi="宋体" w:eastAsia="宋体"/>
                <w:iCs/>
                <w:color w:val="auto"/>
                <w:highlight w:val="none"/>
              </w:rPr>
            </w:r>
            <w:r/>
          </w:p>
        </w:tc>
        <w:tc>
          <w:tcPr>
            <w:tcW w:w="2136"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c>
          <w:tcPr>
            <w:tcW w:w="1124"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r>
      <w:tr>
        <w:trPr>
          <w:trHeight w:val="417"/>
        </w:trPr>
        <w:tc>
          <w:tcPr>
            <w:tcW w:w="646"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4</w:t>
            </w:r>
            <w:r/>
          </w:p>
        </w:tc>
        <w:tc>
          <w:tcPr>
            <w:tcW w:w="4991" w:type="dxa"/>
            <w:vAlign w:val="center"/>
            <w:textDirection w:val="lrTb"/>
            <w:noWrap w:val="false"/>
          </w:tcPr>
          <w:p>
            <w:pPr>
              <w:spacing w:line="480" w:lineRule="auto"/>
              <w:rPr>
                <w:rFonts w:ascii="宋体" w:hAnsi="宋体" w:eastAsia="宋体"/>
                <w:iCs/>
                <w:color w:val="auto"/>
                <w:highlight w:val="none"/>
              </w:rPr>
            </w:pPr>
            <w:r>
              <w:rPr>
                <w:rFonts w:ascii="宋体" w:hAnsi="宋体" w:eastAsia="宋体"/>
                <w:iCs/>
                <w:color w:val="auto"/>
                <w:highlight w:val="none"/>
              </w:rPr>
            </w:r>
            <w:r/>
          </w:p>
        </w:tc>
        <w:tc>
          <w:tcPr>
            <w:tcW w:w="2136"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c>
          <w:tcPr>
            <w:tcW w:w="1124"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r>
      <w:tr>
        <w:trPr>
          <w:trHeight w:val="780"/>
        </w:trPr>
        <w:tc>
          <w:tcPr>
            <w:tcW w:w="646"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5</w:t>
            </w:r>
            <w:r/>
          </w:p>
        </w:tc>
        <w:tc>
          <w:tcPr>
            <w:tcW w:w="4991" w:type="dxa"/>
            <w:vAlign w:val="center"/>
            <w:textDirection w:val="lrTb"/>
            <w:noWrap w:val="false"/>
          </w:tcPr>
          <w:p>
            <w:pPr>
              <w:spacing w:line="480" w:lineRule="auto"/>
              <w:rPr>
                <w:rFonts w:ascii="宋体" w:hAnsi="宋体" w:eastAsia="宋体"/>
                <w:iCs/>
                <w:color w:val="auto"/>
                <w:highlight w:val="none"/>
              </w:rPr>
            </w:pPr>
            <w:r>
              <w:rPr>
                <w:rFonts w:ascii="宋体" w:hAnsi="宋体" w:eastAsia="宋体"/>
                <w:iCs/>
                <w:color w:val="auto"/>
                <w:highlight w:val="none"/>
              </w:rPr>
              <w:t xml:space="preserve">……</w:t>
            </w:r>
            <w:r/>
          </w:p>
        </w:tc>
        <w:tc>
          <w:tcPr>
            <w:tcW w:w="2136"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c>
          <w:tcPr>
            <w:tcW w:w="1124"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r>
    </w:tbl>
    <w:p>
      <w:pPr>
        <w:contextualSpacing/>
        <w:jc w:val="center"/>
        <w:spacing w:line="480" w:lineRule="auto"/>
        <w:rPr>
          <w:rFonts w:ascii="宋体" w:hAnsi="宋体" w:eastAsia="宋体"/>
          <w:b/>
          <w:bCs/>
          <w:color w:val="auto"/>
          <w:sz w:val="32"/>
          <w:szCs w:val="32"/>
          <w:highlight w:val="none"/>
        </w:rPr>
      </w:pPr>
      <w:r>
        <w:rPr>
          <w:rFonts w:ascii="宋体" w:hAnsi="宋体" w:eastAsia="宋体"/>
          <w:b/>
          <w:bCs/>
          <w:color w:val="auto"/>
          <w:sz w:val="32"/>
          <w:szCs w:val="32"/>
          <w:highlight w:val="none"/>
        </w:rPr>
        <w:br w:type="page" w:clear="all"/>
      </w:r>
      <w:r/>
    </w:p>
    <w:p>
      <w:pPr>
        <w:numPr>
          <w:ilvl w:val="0"/>
          <w:numId w:val="2"/>
        </w:numPr>
        <w:jc w:val="center"/>
        <w:spacing w:line="48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非实质性响应对照表</w:t>
      </w:r>
      <w:r/>
    </w:p>
    <w:p>
      <w:pPr>
        <w:spacing w:line="480" w:lineRule="auto"/>
        <w:rPr>
          <w:rFonts w:ascii="宋体" w:hAnsi="宋体" w:eastAsia="宋体"/>
          <w:b/>
          <w:color w:val="auto"/>
          <w:sz w:val="32"/>
          <w:szCs w:val="32"/>
          <w:highlight w:val="none"/>
        </w:rPr>
      </w:pPr>
      <w:r>
        <w:rPr>
          <w:rFonts w:ascii="宋体" w:hAnsi="宋体" w:eastAsia="宋体"/>
          <w:b/>
          <w:color w:val="auto"/>
          <w:sz w:val="32"/>
          <w:szCs w:val="32"/>
          <w:highlight w:val="none"/>
        </w:rPr>
      </w:r>
      <w:r/>
    </w:p>
    <w:tbl>
      <w:tblPr>
        <w:tblStyle w:val="9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480" w:lineRule="auto"/>
              <w:rPr>
                <w:rFonts w:ascii="宋体" w:hAnsi="宋体" w:eastAsia="宋体"/>
                <w:b/>
                <w:color w:val="auto"/>
                <w:highlight w:val="none"/>
              </w:rPr>
            </w:pPr>
            <w:r>
              <w:rPr>
                <w:rFonts w:hint="eastAsia" w:ascii="宋体" w:hAnsi="宋体" w:eastAsia="宋体"/>
                <w:b/>
                <w:color w:val="auto"/>
                <w:highlight w:val="none"/>
              </w:rPr>
              <w:t xml:space="preserve">序号</w:t>
            </w:r>
            <w:r/>
          </w:p>
        </w:tc>
        <w:tc>
          <w:tcPr>
            <w:tcW w:w="5447" w:type="dxa"/>
            <w:vAlign w:val="center"/>
            <w:textDirection w:val="lrTb"/>
            <w:noWrap w:val="false"/>
          </w:tcPr>
          <w:p>
            <w:pPr>
              <w:jc w:val="center"/>
              <w:spacing w:line="480" w:lineRule="auto"/>
              <w:rPr>
                <w:rFonts w:ascii="宋体" w:hAnsi="宋体" w:eastAsia="宋体"/>
                <w:b/>
                <w:color w:val="auto"/>
                <w:highlight w:val="none"/>
              </w:rPr>
            </w:pPr>
            <w:r>
              <w:rPr>
                <w:rFonts w:hint="eastAsia" w:ascii="宋体" w:hAnsi="宋体" w:eastAsia="宋体"/>
                <w:b/>
                <w:color w:val="auto"/>
                <w:highlight w:val="none"/>
              </w:rPr>
              <w:t xml:space="preserve">非实质性响应内容</w:t>
            </w:r>
            <w:r/>
          </w:p>
        </w:tc>
        <w:tc>
          <w:tcPr>
            <w:tcW w:w="1680" w:type="dxa"/>
            <w:vAlign w:val="center"/>
            <w:textDirection w:val="lrTb"/>
            <w:noWrap w:val="false"/>
          </w:tcPr>
          <w:p>
            <w:pPr>
              <w:jc w:val="center"/>
              <w:spacing w:line="480" w:lineRule="auto"/>
              <w:rPr>
                <w:rFonts w:ascii="宋体" w:hAnsi="宋体" w:eastAsia="宋体"/>
                <w:b/>
                <w:color w:val="auto"/>
                <w:highlight w:val="none"/>
              </w:rPr>
            </w:pPr>
            <w:r>
              <w:rPr>
                <w:rFonts w:hint="eastAsia" w:ascii="宋体" w:hAnsi="宋体" w:eastAsia="宋体"/>
                <w:b/>
                <w:color w:val="auto"/>
                <w:highlight w:val="none"/>
              </w:rPr>
              <w:t xml:space="preserve">是否响应</w:t>
            </w:r>
            <w:r/>
          </w:p>
          <w:p>
            <w:pPr>
              <w:jc w:val="center"/>
              <w:spacing w:line="480" w:lineRule="auto"/>
              <w:rPr>
                <w:rFonts w:ascii="宋体" w:hAnsi="宋体" w:eastAsia="宋体"/>
                <w:b/>
                <w:color w:val="auto"/>
                <w:highlight w:val="none"/>
              </w:rPr>
            </w:pPr>
            <w:r>
              <w:rPr>
                <w:rFonts w:hint="eastAsia" w:ascii="宋体" w:hAnsi="宋体" w:eastAsia="宋体"/>
                <w:b/>
                <w:color w:val="auto"/>
                <w:highlight w:val="none"/>
              </w:rPr>
              <w:t xml:space="preserve">（填是或者否）</w:t>
            </w:r>
            <w:r/>
          </w:p>
        </w:tc>
        <w:tc>
          <w:tcPr>
            <w:tcW w:w="1308" w:type="dxa"/>
            <w:vAlign w:val="center"/>
            <w:textDirection w:val="lrTb"/>
            <w:noWrap w:val="false"/>
          </w:tcPr>
          <w:p>
            <w:pPr>
              <w:jc w:val="center"/>
              <w:spacing w:line="480" w:lineRule="auto"/>
              <w:rPr>
                <w:rFonts w:ascii="宋体" w:hAnsi="宋体" w:eastAsia="宋体"/>
                <w:b/>
                <w:color w:val="auto"/>
                <w:highlight w:val="none"/>
              </w:rPr>
            </w:pPr>
            <w:r>
              <w:rPr>
                <w:rFonts w:hint="eastAsia" w:ascii="宋体" w:hAnsi="宋体" w:eastAsia="宋体"/>
                <w:b/>
                <w:color w:val="auto"/>
                <w:highlight w:val="none"/>
              </w:rPr>
              <w:t xml:space="preserve">响应情况</w:t>
            </w:r>
            <w:r/>
          </w:p>
        </w:tc>
      </w:tr>
      <w:tr>
        <w:trPr>
          <w:trHeight w:val="585"/>
        </w:trPr>
        <w:tc>
          <w:tcPr>
            <w:tcW w:w="646" w:type="dxa"/>
            <w:vAlign w:val="center"/>
            <w:textDirection w:val="lrTb"/>
            <w:noWrap w:val="false"/>
          </w:tcPr>
          <w:p>
            <w:pPr>
              <w:jc w:val="center"/>
              <w:spacing w:line="480" w:lineRule="auto"/>
              <w:rPr>
                <w:rFonts w:ascii="宋体" w:hAnsi="宋体" w:eastAsia="宋体"/>
                <w:b/>
                <w:color w:val="auto"/>
                <w:highlight w:val="none"/>
              </w:rPr>
            </w:pPr>
            <w:r>
              <w:rPr>
                <w:rFonts w:hint="eastAsia" w:ascii="宋体" w:hAnsi="宋体" w:eastAsia="宋体"/>
                <w:b/>
                <w:color w:val="auto"/>
                <w:highlight w:val="none"/>
              </w:rPr>
              <w:t xml:space="preserve">1</w:t>
            </w:r>
            <w:r/>
          </w:p>
        </w:tc>
        <w:tc>
          <w:tcPr>
            <w:tcW w:w="5447" w:type="dxa"/>
            <w:vAlign w:val="center"/>
            <w:textDirection w:val="lrTb"/>
            <w:noWrap w:val="false"/>
          </w:tcPr>
          <w:p>
            <w:pPr>
              <w:spacing w:line="480" w:lineRule="auto"/>
              <w:rPr>
                <w:rFonts w:ascii="宋体" w:hAnsi="宋体" w:eastAsia="宋体"/>
                <w:iCs/>
                <w:color w:val="auto"/>
                <w:highlight w:val="none"/>
              </w:rPr>
            </w:pPr>
            <w:r>
              <w:rPr>
                <w:rFonts w:hint="eastAsia" w:ascii="宋体" w:hAnsi="宋体" w:eastAsia="宋体"/>
                <w:color w:val="auto"/>
                <w:highlight w:val="none"/>
              </w:rPr>
              <w:t xml:space="preserve">《企业声明函》</w:t>
            </w:r>
            <w:r/>
          </w:p>
        </w:tc>
        <w:tc>
          <w:tcPr>
            <w:tcW w:w="1680" w:type="dxa"/>
            <w:vAlign w:val="center"/>
            <w:textDirection w:val="lrTb"/>
            <w:noWrap w:val="false"/>
          </w:tcPr>
          <w:p>
            <w:pPr>
              <w:spacing w:line="480" w:lineRule="auto"/>
              <w:rPr>
                <w:rFonts w:ascii="宋体" w:hAnsi="宋体" w:eastAsia="宋体"/>
                <w:b/>
                <w:color w:val="auto"/>
                <w:highlight w:val="none"/>
              </w:rPr>
            </w:pPr>
            <w:r>
              <w:rPr>
                <w:rFonts w:ascii="宋体" w:hAnsi="宋体" w:eastAsia="宋体"/>
                <w:b/>
                <w:color w:val="auto"/>
                <w:highlight w:val="none"/>
              </w:rPr>
            </w:r>
            <w:r/>
          </w:p>
        </w:tc>
        <w:tc>
          <w:tcPr>
            <w:tcW w:w="1308" w:type="dxa"/>
            <w:vAlign w:val="center"/>
            <w:textDirection w:val="lrTb"/>
            <w:noWrap w:val="false"/>
          </w:tcPr>
          <w:p>
            <w:pPr>
              <w:spacing w:line="480" w:lineRule="auto"/>
              <w:rPr>
                <w:rFonts w:ascii="宋体" w:hAnsi="宋体" w:eastAsia="宋体"/>
                <w:b/>
                <w:color w:val="auto"/>
                <w:highlight w:val="none"/>
              </w:rPr>
            </w:pPr>
            <w:r>
              <w:rPr>
                <w:rFonts w:ascii="宋体" w:hAnsi="宋体" w:eastAsia="宋体"/>
                <w:b/>
                <w:color w:val="auto"/>
                <w:highlight w:val="none"/>
              </w:rPr>
            </w:r>
            <w:r/>
          </w:p>
        </w:tc>
      </w:tr>
      <w:tr>
        <w:trPr>
          <w:trHeight w:val="585"/>
        </w:trPr>
        <w:tc>
          <w:tcPr>
            <w:tcW w:w="646"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2</w:t>
            </w:r>
            <w:r/>
          </w:p>
        </w:tc>
        <w:tc>
          <w:tcPr>
            <w:tcW w:w="5447" w:type="dxa"/>
            <w:vAlign w:val="center"/>
            <w:textDirection w:val="lrTb"/>
            <w:noWrap w:val="false"/>
          </w:tcPr>
          <w:p>
            <w:pPr>
              <w:spacing w:line="480" w:lineRule="auto"/>
              <w:rPr>
                <w:rFonts w:ascii="宋体" w:hAnsi="宋体" w:eastAsia="宋体"/>
                <w:iCs/>
                <w:color w:val="auto"/>
                <w:highlight w:val="none"/>
              </w:rPr>
            </w:pPr>
            <w:r>
              <w:rPr>
                <w:rFonts w:hint="eastAsia" w:ascii="宋体" w:hAnsi="宋体" w:eastAsia="宋体"/>
                <w:color w:val="auto"/>
                <w:highlight w:val="none"/>
              </w:rPr>
              <w:t xml:space="preserve">《残疾人福利性单位声明函》</w:t>
            </w:r>
            <w:r/>
          </w:p>
        </w:tc>
        <w:tc>
          <w:tcPr>
            <w:tcW w:w="1680"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c>
          <w:tcPr>
            <w:tcW w:w="1308"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r>
      <w:tr>
        <w:trPr>
          <w:trHeight w:val="780"/>
        </w:trPr>
        <w:tc>
          <w:tcPr>
            <w:tcW w:w="646"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3</w:t>
            </w:r>
            <w:r/>
          </w:p>
        </w:tc>
        <w:tc>
          <w:tcPr>
            <w:tcW w:w="5447" w:type="dxa"/>
            <w:vAlign w:val="center"/>
            <w:textDirection w:val="lrTb"/>
            <w:noWrap w:val="false"/>
          </w:tcPr>
          <w:p>
            <w:pPr>
              <w:spacing w:line="480" w:lineRule="auto"/>
              <w:rPr>
                <w:rFonts w:ascii="宋体" w:hAnsi="宋体" w:eastAsia="宋体"/>
                <w:iCs/>
                <w:color w:val="auto"/>
                <w:highlight w:val="none"/>
              </w:rPr>
            </w:pPr>
            <w:r>
              <w:rPr>
                <w:rFonts w:ascii="宋体" w:hAnsi="宋体" w:eastAsia="宋体"/>
                <w:iCs/>
                <w:color w:val="auto"/>
                <w:highlight w:val="none"/>
              </w:rPr>
              <w:t xml:space="preserve">……</w:t>
            </w:r>
            <w:r/>
          </w:p>
        </w:tc>
        <w:tc>
          <w:tcPr>
            <w:tcW w:w="1680"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c>
          <w:tcPr>
            <w:tcW w:w="1308" w:type="dxa"/>
            <w:vAlign w:val="center"/>
            <w:textDirection w:val="lrTb"/>
            <w:noWrap w:val="false"/>
          </w:tcPr>
          <w:p>
            <w:pPr>
              <w:spacing w:line="480" w:lineRule="auto"/>
              <w:rPr>
                <w:rFonts w:ascii="宋体" w:hAnsi="宋体" w:eastAsia="宋体"/>
                <w:color w:val="auto"/>
                <w:highlight w:val="none"/>
              </w:rPr>
            </w:pPr>
            <w:r>
              <w:rPr>
                <w:rFonts w:ascii="宋体" w:hAnsi="宋体" w:eastAsia="宋体"/>
                <w:color w:val="auto"/>
                <w:highlight w:val="none"/>
              </w:rPr>
            </w:r>
            <w:r/>
          </w:p>
        </w:tc>
      </w:tr>
    </w:tbl>
    <w:p>
      <w:pPr>
        <w:spacing w:line="480" w:lineRule="auto"/>
        <w:rPr>
          <w:rFonts w:ascii="宋体" w:hAnsi="宋体" w:eastAsia="宋体"/>
          <w:b/>
          <w:bCs/>
          <w:color w:val="auto"/>
          <w:highlight w:val="none"/>
        </w:rPr>
      </w:pPr>
      <w:r>
        <w:rPr>
          <w:rFonts w:ascii="宋体" w:hAnsi="宋体" w:eastAsia="宋体"/>
          <w:b/>
          <w:bCs/>
          <w:color w:val="auto"/>
          <w:highlight w:val="none"/>
        </w:rPr>
      </w:r>
      <w:r/>
    </w:p>
    <w:p>
      <w:pPr>
        <w:jc w:val="center"/>
        <w:spacing w:before="240" w:after="240" w:line="480" w:lineRule="auto"/>
        <w:rPr>
          <w:rFonts w:ascii="宋体" w:hAnsi="宋体" w:eastAsia="宋体"/>
          <w:b/>
          <w:bCs/>
          <w:color w:val="auto"/>
          <w:sz w:val="24"/>
          <w:szCs w:val="24"/>
          <w:highlight w:val="none"/>
        </w:rPr>
      </w:pPr>
      <w:r>
        <w:rPr>
          <w:rFonts w:ascii="宋体" w:hAnsi="宋体" w:eastAsia="宋体"/>
          <w:b/>
          <w:bCs/>
          <w:color w:val="auto"/>
          <w:highlight w:val="none"/>
        </w:rPr>
        <w:br w:type="page" w:clear="all"/>
      </w:r>
      <w:r>
        <w:rPr>
          <w:rFonts w:hint="eastAsia" w:ascii="宋体" w:hAnsi="宋体" w:eastAsia="宋体"/>
          <w:b/>
          <w:bCs/>
          <w:color w:val="auto"/>
          <w:sz w:val="24"/>
          <w:szCs w:val="24"/>
          <w:highlight w:val="none"/>
        </w:rPr>
        <w:t xml:space="preserve">中小企业声明函（工程、服务）</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olor w:val="auto"/>
          <w:highlight w:val="none"/>
          <w:u w:val="single"/>
        </w:rPr>
        <w:t xml:space="preserve">（单位名称）</w:t>
      </w:r>
      <w:r>
        <w:rPr>
          <w:rFonts w:hint="eastAsia" w:ascii="宋体" w:hAnsi="宋体" w:eastAsia="宋体"/>
          <w:color w:val="auto"/>
          <w:highlight w:val="none"/>
        </w:rPr>
        <w:t xml:space="preserve">的</w:t>
      </w:r>
      <w:r>
        <w:rPr>
          <w:rFonts w:hint="eastAsia" w:ascii="宋体" w:hAnsi="宋体" w:eastAsia="宋体"/>
          <w:color w:val="auto"/>
          <w:highlight w:val="none"/>
          <w:u w:val="single"/>
        </w:rPr>
        <w:t xml:space="preserve">（项目名称）</w:t>
      </w:r>
      <w:r>
        <w:rPr>
          <w:rFonts w:hint="eastAsia" w:ascii="宋体" w:hAnsi="宋体" w:eastAsia="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eastAsia="宋体"/>
          <w:color w:val="auto"/>
          <w:highlight w:val="none"/>
          <w:u w:val="single"/>
        </w:rPr>
      </w:pPr>
      <w:r>
        <w:rPr>
          <w:rFonts w:hint="eastAsia" w:ascii="宋体" w:hAnsi="宋体" w:eastAsia="宋体"/>
          <w:color w:val="auto"/>
          <w:highlight w:val="none"/>
        </w:rPr>
        <w:t xml:space="preserve">1. </w:t>
      </w:r>
      <w:r>
        <w:rPr>
          <w:rFonts w:hint="eastAsia" w:ascii="宋体" w:hAnsi="宋体" w:eastAsia="宋体"/>
          <w:color w:val="auto"/>
          <w:highlight w:val="none"/>
          <w:u w:val="single"/>
        </w:rPr>
        <w:t xml:space="preserve">（标的名称） </w:t>
      </w:r>
      <w:r>
        <w:rPr>
          <w:rFonts w:hint="eastAsia" w:ascii="宋体" w:hAnsi="宋体" w:eastAsia="宋体"/>
          <w:color w:val="auto"/>
          <w:highlight w:val="none"/>
        </w:rPr>
        <w:t xml:space="preserve">，属于</w:t>
      </w:r>
      <w:r>
        <w:rPr>
          <w:rFonts w:hint="eastAsia" w:ascii="宋体" w:hAnsi="宋体" w:eastAsia="宋体"/>
          <w:color w:val="auto"/>
          <w:highlight w:val="none"/>
          <w:u w:val="single"/>
        </w:rPr>
        <w:t xml:space="preserve">（</w:t>
      </w:r>
      <w:r>
        <w:rPr>
          <w:rFonts w:hint="eastAsia" w:ascii="宋体" w:hAnsi="宋体" w:eastAsia="宋体"/>
          <w:color w:val="auto"/>
          <w:highlight w:val="none"/>
          <w:u w:val="single"/>
          <w:lang w:val="en-US" w:eastAsia="zh-CN"/>
        </w:rPr>
        <w:t xml:space="preserve">其他未列明行业</w:t>
      </w:r>
      <w:r>
        <w:rPr>
          <w:rFonts w:hint="eastAsia" w:ascii="宋体" w:hAnsi="宋体" w:eastAsia="宋体"/>
          <w:color w:val="auto"/>
          <w:highlight w:val="none"/>
          <w:u w:val="single"/>
        </w:rPr>
        <w:t xml:space="preserve">类）</w:t>
      </w:r>
      <w:r>
        <w:rPr>
          <w:rFonts w:hint="eastAsia" w:ascii="宋体" w:hAnsi="宋体" w:eastAsia="宋体"/>
          <w:color w:val="auto"/>
          <w:highlight w:val="none"/>
        </w:rPr>
        <w:t xml:space="preserve">；承建（承接）企业为</w:t>
      </w:r>
      <w:r>
        <w:rPr>
          <w:rFonts w:hint="eastAsia" w:ascii="宋体" w:hAnsi="宋体" w:eastAsia="宋体"/>
          <w:color w:val="auto"/>
          <w:highlight w:val="none"/>
          <w:u w:val="single"/>
        </w:rPr>
        <w:t xml:space="preserve">（企业名称）</w:t>
      </w:r>
      <w:r>
        <w:rPr>
          <w:rFonts w:hint="eastAsia" w:ascii="宋体" w:hAnsi="宋体" w:eastAsia="宋体"/>
          <w:color w:val="auto"/>
          <w:highlight w:val="none"/>
        </w:rPr>
        <w:t xml:space="preserve">，从业人员</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人，营业收入为</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万元，资产总额为</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宋体" w:hAnsi="宋体" w:eastAsia="宋体"/>
          <w:color w:val="auto"/>
          <w:spacing w:val="-1"/>
          <w:highlight w:val="none"/>
          <w:vertAlign w:val="superscript"/>
        </w:rPr>
        <w:t xml:space="preserve">1</w:t>
      </w:r>
      <w:r>
        <w:rPr>
          <w:rFonts w:ascii="宋体" w:hAnsi="宋体" w:eastAsia="宋体"/>
          <w:color w:val="auto"/>
          <w:spacing w:val="-1"/>
          <w:highlight w:val="none"/>
          <w:vertAlign w:val="superscript"/>
        </w:rPr>
        <w:fldChar w:fldCharType="end"/>
      </w:r>
      <w:r>
        <w:rPr>
          <w:rFonts w:hint="eastAsia" w:ascii="宋体" w:hAnsi="宋体" w:eastAsia="宋体"/>
          <w:color w:val="auto"/>
          <w:highlight w:val="none"/>
        </w:rPr>
        <w:t xml:space="preserve">，属于</w:t>
      </w:r>
      <w:r>
        <w:rPr>
          <w:rFonts w:hint="eastAsia" w:ascii="宋体" w:hAnsi="宋体" w:eastAsia="宋体"/>
          <w:color w:val="auto"/>
          <w:highlight w:val="none"/>
          <w:u w:val="single"/>
        </w:rPr>
        <w:t xml:space="preserve">（中型企业、小型企业、微型企业）；</w:t>
      </w:r>
      <w:r/>
    </w:p>
    <w:p>
      <w:pPr>
        <w:ind w:firstLine="420"/>
        <w:spacing w:line="360" w:lineRule="auto"/>
        <w:rPr>
          <w:rFonts w:ascii="宋体" w:hAnsi="宋体" w:eastAsia="宋体"/>
          <w:color w:val="auto"/>
          <w:highlight w:val="none"/>
          <w:u w:val="single"/>
        </w:rPr>
      </w:pPr>
      <w:r>
        <w:rPr>
          <w:rFonts w:hint="eastAsia" w:ascii="宋体" w:hAnsi="宋体" w:eastAsia="宋体"/>
          <w:color w:val="auto"/>
          <w:highlight w:val="none"/>
        </w:rPr>
        <w:t xml:space="preserve">2. </w:t>
      </w:r>
      <w:r>
        <w:rPr>
          <w:rFonts w:hint="eastAsia" w:ascii="宋体" w:hAnsi="宋体" w:eastAsia="宋体"/>
          <w:color w:val="auto"/>
          <w:highlight w:val="none"/>
          <w:u w:val="single"/>
        </w:rPr>
        <w:t xml:space="preserve">（标的名称）</w:t>
      </w:r>
      <w:r>
        <w:rPr>
          <w:rFonts w:hint="eastAsia" w:ascii="宋体" w:hAnsi="宋体" w:eastAsia="宋体"/>
          <w:color w:val="auto"/>
          <w:highlight w:val="none"/>
        </w:rPr>
        <w:t xml:space="preserve"> ，属于</w:t>
      </w:r>
      <w:r>
        <w:rPr>
          <w:rFonts w:hint="eastAsia" w:ascii="宋体" w:hAnsi="宋体" w:eastAsia="宋体"/>
          <w:color w:val="auto"/>
          <w:highlight w:val="none"/>
          <w:u w:val="single"/>
        </w:rPr>
        <w:t xml:space="preserve">（采购文件中明确的所属行业（该行业类别不可修改））</w:t>
      </w:r>
      <w:r>
        <w:rPr>
          <w:rFonts w:hint="eastAsia" w:ascii="宋体" w:hAnsi="宋体" w:eastAsia="宋体"/>
          <w:color w:val="auto"/>
          <w:highlight w:val="none"/>
        </w:rPr>
        <w:t xml:space="preserve">；承建（承接）企业为</w:t>
      </w:r>
      <w:r>
        <w:rPr>
          <w:rFonts w:hint="eastAsia" w:ascii="宋体" w:hAnsi="宋体" w:eastAsia="宋体"/>
          <w:color w:val="auto"/>
          <w:highlight w:val="none"/>
          <w:u w:val="single"/>
        </w:rPr>
        <w:t xml:space="preserve">（企业名称）</w:t>
      </w:r>
      <w:r>
        <w:rPr>
          <w:rFonts w:hint="eastAsia" w:ascii="宋体" w:hAnsi="宋体" w:eastAsia="宋体"/>
          <w:color w:val="auto"/>
          <w:highlight w:val="none"/>
        </w:rPr>
        <w:t xml:space="preserve">，从业人员</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人，营业收入为</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万元，资产总额为</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万元，属于</w:t>
      </w:r>
      <w:r>
        <w:rPr>
          <w:rFonts w:hint="eastAsia" w:ascii="宋体" w:hAnsi="宋体" w:eastAsia="宋体"/>
          <w:color w:val="auto"/>
          <w:highlight w:val="none"/>
          <w:u w:val="single"/>
        </w:rPr>
        <w:t xml:space="preserve">（中型企业、小型企业、微型企业）；</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本企业对上述声明内容的真实性负责。如有虚假，将依法承担相应责任。</w:t>
      </w:r>
      <w:r/>
    </w:p>
    <w:p>
      <w:pPr>
        <w:spacing w:line="360" w:lineRule="auto"/>
        <w:rPr>
          <w:rFonts w:ascii="宋体" w:hAnsi="宋体" w:eastAsia="宋体"/>
          <w:color w:val="auto"/>
          <w:highlight w:val="none"/>
        </w:rPr>
      </w:pPr>
      <w:r>
        <w:rPr>
          <w:rFonts w:hint="eastAsia" w:ascii="宋体" w:hAnsi="宋体" w:eastAsia="宋体"/>
          <w:b/>
          <w:bCs/>
          <w:color w:val="auto"/>
          <w:highlight w:val="none"/>
        </w:rPr>
        <w:t xml:space="preserve">注</w:t>
      </w:r>
      <w:r>
        <w:rPr>
          <w:rFonts w:hint="eastAsia" w:ascii="宋体" w:hAnsi="宋体" w:eastAsia="宋体"/>
          <w:color w:val="auto"/>
          <w:highlight w:val="none"/>
        </w:rPr>
        <w:t xml:space="preserve">：1、从业人员（不仅指在职职工）、营业收入、资产总额填报上一年度数据，无上一年度数据的新成立企业可不填报。</w:t>
      </w:r>
      <w:r/>
    </w:p>
    <w:p>
      <w:pPr>
        <w:spacing w:line="360" w:lineRule="auto"/>
        <w:rPr>
          <w:rFonts w:ascii="宋体" w:hAnsi="宋体" w:eastAsia="宋体"/>
          <w:color w:val="auto"/>
          <w:highlight w:val="none"/>
        </w:rPr>
      </w:pPr>
      <w:r>
        <w:rPr>
          <w:rFonts w:hint="eastAsia" w:ascii="宋体" w:hAnsi="宋体" w:eastAsia="宋体"/>
          <w:color w:val="auto"/>
          <w:highlight w:val="none"/>
        </w:rPr>
        <w:t xml:space="preserve">    2、企业声明函请完整填写，中标后将公示。</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3、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4、中小企业不得属于大企业的分支机构，不得存在控股股东为大企业的情形，不得存在与大企业的负责人为同一人的情形。</w:t>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5、《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spacing w:line="360" w:lineRule="auto"/>
        <w:rPr>
          <w:rFonts w:ascii="宋体" w:hAnsi="宋体" w:eastAsia="宋体"/>
          <w:color w:val="auto"/>
          <w:highlight w:val="none"/>
        </w:rPr>
      </w:pPr>
      <w:r>
        <w:rPr>
          <w:rFonts w:ascii="宋体" w:hAnsi="宋体" w:eastAsia="宋体"/>
          <w:color w:val="auto"/>
          <w:highlight w:val="none"/>
        </w:rPr>
      </w:r>
      <w:r/>
    </w:p>
    <w:p>
      <w:pPr>
        <w:ind w:firstLine="420"/>
        <w:spacing w:line="360" w:lineRule="auto"/>
        <w:rPr>
          <w:rFonts w:ascii="宋体" w:hAnsi="宋体" w:eastAsia="宋体"/>
          <w:color w:val="auto"/>
          <w:highlight w:val="none"/>
        </w:rPr>
      </w:pPr>
      <w:r>
        <w:rPr>
          <w:rFonts w:ascii="宋体" w:hAnsi="宋体" w:eastAsia="宋体"/>
          <w:color w:val="auto"/>
          <w:highlight w:val="none"/>
        </w:rPr>
      </w:r>
      <w:r/>
    </w:p>
    <w:p>
      <w:pPr>
        <w:ind w:firstLine="4620"/>
        <w:spacing w:line="360" w:lineRule="auto"/>
        <w:rPr>
          <w:rFonts w:ascii="宋体" w:hAnsi="宋体" w:eastAsia="宋体"/>
          <w:color w:val="auto"/>
          <w:highlight w:val="none"/>
        </w:rPr>
      </w:pPr>
      <w:r>
        <w:rPr>
          <w:rFonts w:hint="eastAsia" w:ascii="宋体" w:hAnsi="宋体" w:eastAsia="宋体"/>
          <w:color w:val="auto"/>
          <w:highlight w:val="none"/>
        </w:rPr>
        <w:t xml:space="preserve">企业名称（盖章）：</w:t>
      </w:r>
      <w:r/>
    </w:p>
    <w:p>
      <w:pPr>
        <w:ind w:firstLine="4620"/>
        <w:spacing w:line="360" w:lineRule="auto"/>
        <w:rPr>
          <w:rFonts w:ascii="宋体" w:hAnsi="宋体" w:eastAsia="宋体"/>
          <w:color w:val="auto"/>
          <w:highlight w:val="none"/>
        </w:rPr>
      </w:pPr>
      <w:r>
        <w:rPr>
          <w:rFonts w:hint="eastAsia" w:ascii="宋体" w:hAnsi="宋体" w:eastAsia="宋体"/>
          <w:color w:val="auto"/>
          <w:highlight w:val="none"/>
        </w:rPr>
        <w:t xml:space="preserve">日 期：</w:t>
      </w:r>
      <w:r/>
    </w:p>
    <w:p>
      <w:pPr>
        <w:ind w:left="232"/>
        <w:jc w:val="center"/>
        <w:spacing w:before="300" w:after="300" w:line="360" w:lineRule="auto"/>
        <w:widowControl/>
        <w:rPr>
          <w:rFonts w:ascii="宋体" w:hAnsi="宋体" w:cs="宋体"/>
          <w:b/>
          <w:bCs/>
          <w:color w:val="auto"/>
          <w:szCs w:val="21"/>
          <w:highlight w:val="none"/>
          <w:lang w:val="zh-CN" w:bidi="zh-CN"/>
        </w:rPr>
        <w:outlineLvl w:val="1"/>
      </w:pPr>
      <w:r/>
      <w:bookmarkStart w:id="21" w:name="_Toc109304977"/>
      <w:r>
        <w:rPr>
          <w:rFonts w:hint="eastAsia" w:ascii="宋体" w:hAnsi="宋体" w:cs="宋体"/>
          <w:b/>
          <w:color w:val="auto"/>
          <w:szCs w:val="21"/>
          <w:highlight w:val="none"/>
          <w:lang w:val="zh-CN" w:bidi="zh-CN"/>
        </w:rPr>
        <w:t xml:space="preserve">中小微企业划型标准</w:t>
      </w:r>
      <w:bookmarkEnd w:id="21"/>
      <w:r>
        <w:rPr>
          <w:rFonts w:hint="eastAsia" w:ascii="宋体" w:hAnsi="宋体" w:cs="宋体"/>
          <w:b/>
          <w:color w:val="auto"/>
          <w:szCs w:val="21"/>
          <w:highlight w:val="none"/>
          <w:lang w:val="zh-CN" w:bidi="zh-CN"/>
        </w:rPr>
        <w:t xml:space="preserve"> </w:t>
      </w:r>
      <w:r/>
    </w:p>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中小微企业划型标准如下：</w:t>
      </w:r>
      <w:r/>
    </w:p>
    <w:tbl>
      <w:tblPr>
        <w:tblStyle w:val="981"/>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843"/>
        <w:gridCol w:w="851"/>
        <w:gridCol w:w="2302"/>
        <w:gridCol w:w="1909"/>
        <w:gridCol w:w="1342"/>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Y＜50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X＜20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Z＜300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X＜5</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Y＜1000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X＜10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Y＜100</w:t>
            </w:r>
            <w:r/>
          </w:p>
        </w:tc>
      </w:tr>
      <w:tr>
        <w:trPr>
          <w:jc w:val="center"/>
          <w:tblCellSpacing w:w="15" w:type="dxa"/>
          <w:trHeight w:val="70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X＜20</w:t>
            </w:r>
            <w:r/>
          </w:p>
        </w:tc>
      </w:tr>
      <w:tr>
        <w:trPr>
          <w:jc w:val="center"/>
          <w:tblCellSpacing w:w="15" w:type="dxa"/>
          <w:trHeight w:val="46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Y＜200</w:t>
            </w:r>
            <w:r/>
          </w:p>
        </w:tc>
      </w:tr>
      <w:tr>
        <w:trPr>
          <w:jc w:val="center"/>
          <w:tblCellSpacing w:w="15" w:type="dxa"/>
          <w:trHeight w:val="531"/>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X＜20</w:t>
            </w:r>
            <w:r/>
          </w:p>
        </w:tc>
      </w:tr>
      <w:tr>
        <w:trPr>
          <w:jc w:val="center"/>
          <w:tblCellSpacing w:w="15" w:type="dxa"/>
          <w:trHeight w:val="65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Y＜100</w:t>
            </w:r>
            <w:r/>
          </w:p>
        </w:tc>
      </w:tr>
      <w:tr>
        <w:trPr>
          <w:jc w:val="center"/>
          <w:tblCellSpacing w:w="15" w:type="dxa"/>
          <w:trHeight w:val="53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X＜20</w:t>
            </w:r>
            <w:r/>
          </w:p>
        </w:tc>
      </w:tr>
      <w:tr>
        <w:trPr>
          <w:jc w:val="center"/>
          <w:tblCellSpacing w:w="15" w:type="dxa"/>
          <w:trHeight w:val="51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Y＜100</w:t>
            </w:r>
            <w:r/>
          </w:p>
        </w:tc>
      </w:tr>
      <w:tr>
        <w:trPr>
          <w:jc w:val="center"/>
          <w:tblCellSpacing w:w="15" w:type="dxa"/>
          <w:trHeight w:val="5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X＜10</w:t>
            </w:r>
            <w:r/>
          </w:p>
        </w:tc>
      </w:tr>
      <w:tr>
        <w:trPr>
          <w:jc w:val="center"/>
          <w:tblCellSpacing w:w="15" w:type="dxa"/>
          <w:trHeight w:val="642"/>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Y＜100</w:t>
            </w:r>
            <w:r/>
          </w:p>
        </w:tc>
      </w:tr>
      <w:tr>
        <w:trPr>
          <w:jc w:val="center"/>
          <w:tblCellSpacing w:w="15" w:type="dxa"/>
          <w:trHeight w:val="65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X＜10</w:t>
            </w:r>
            <w:r/>
          </w:p>
        </w:tc>
      </w:tr>
      <w:tr>
        <w:trPr>
          <w:jc w:val="center"/>
          <w:tblCellSpacing w:w="15" w:type="dxa"/>
          <w:trHeight w:val="53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Y＜100</w:t>
            </w:r>
            <w:r/>
          </w:p>
        </w:tc>
      </w:tr>
      <w:tr>
        <w:trPr>
          <w:jc w:val="center"/>
          <w:tblCellSpacing w:w="15" w:type="dxa"/>
          <w:trHeight w:val="51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X＜10</w:t>
            </w:r>
            <w:r/>
          </w:p>
        </w:tc>
      </w:tr>
      <w:tr>
        <w:trPr>
          <w:jc w:val="center"/>
          <w:tblCellSpacing w:w="15" w:type="dxa"/>
          <w:trHeight w:val="66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Y＜100</w:t>
            </w:r>
            <w:r/>
          </w:p>
        </w:tc>
      </w:tr>
      <w:tr>
        <w:trPr>
          <w:jc w:val="center"/>
          <w:tblCellSpacing w:w="15" w:type="dxa"/>
          <w:trHeight w:val="53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X＜10</w:t>
            </w:r>
            <w:r/>
          </w:p>
        </w:tc>
      </w:tr>
      <w:tr>
        <w:trPr>
          <w:jc w:val="center"/>
          <w:tblCellSpacing w:w="15" w:type="dxa"/>
          <w:trHeight w:val="79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Y＜50</w:t>
            </w:r>
            <w:r/>
          </w:p>
        </w:tc>
      </w:tr>
      <w:tr>
        <w:trPr>
          <w:jc w:val="center"/>
          <w:tblCellSpacing w:w="15" w:type="dxa"/>
          <w:trHeight w:val="57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X＜100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Y＜2000</w:t>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X＜100</w:t>
            </w:r>
            <w:r/>
          </w:p>
        </w:tc>
      </w:tr>
      <w:tr>
        <w:trPr>
          <w:jc w:val="center"/>
          <w:tblCellSpacing w:w="15" w:type="dxa"/>
          <w:trHeight w:val="72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Y＜500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X＜10</w:t>
            </w:r>
            <w:r/>
          </w:p>
        </w:tc>
      </w:tr>
      <w:tr>
        <w:trPr>
          <w:jc w:val="center"/>
          <w:tblCellSpacing w:w="15" w:type="dxa"/>
          <w:trHeight w:val="78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spacing w:line="360" w:lineRule="auto"/>
              <w:widowControl/>
              <w:rPr>
                <w:rFonts w:ascii="宋体" w:hAnsi="宋体" w:cs="宋体"/>
                <w:color w:val="auto"/>
                <w:sz w:val="22"/>
                <w:szCs w:val="21"/>
                <w:highlight w:val="none"/>
                <w:lang w:val="zh-CN" w:bidi="zh-CN"/>
              </w:rPr>
            </w:pPr>
            <w:r>
              <w:rPr>
                <w:rFonts w:ascii="宋体" w:hAnsi="宋体" w:cs="宋体"/>
                <w:color w:val="auto"/>
                <w:sz w:val="22"/>
                <w:szCs w:val="21"/>
                <w:highlight w:val="none"/>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Y＜100</w:t>
            </w:r>
            <w:r/>
          </w:p>
        </w:tc>
      </w:tr>
      <w:tr>
        <w:trPr>
          <w:jc w:val="center"/>
          <w:tblCellSpacing w:w="15" w:type="dxa"/>
          <w:trHeight w:val="81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X＜10</w:t>
            </w:r>
            <w:r/>
          </w:p>
        </w:tc>
      </w:tr>
    </w:tbl>
    <w:p>
      <w:pPr>
        <w:ind w:firstLine="420"/>
        <w:jc w:val="left"/>
        <w:spacing w:before="100" w:beforeAutospacing="1" w:after="100" w:afterAutospacing="1" w:line="360" w:lineRule="auto"/>
        <w:widowControl/>
        <w:rPr>
          <w:rFonts w:ascii="宋体" w:hAnsi="宋体" w:cs="宋体"/>
          <w:color w:val="auto"/>
          <w:szCs w:val="21"/>
          <w:highlight w:val="none"/>
          <w:lang w:bidi="zh-CN"/>
        </w:rPr>
      </w:pPr>
      <w:r>
        <w:rPr>
          <w:rFonts w:hint="eastAsia" w:ascii="宋体" w:hAnsi="宋体" w:cs="宋体"/>
          <w:b/>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eastAsia="宋体"/>
          <w:color w:val="auto"/>
          <w:highlight w:val="none"/>
        </w:rPr>
      </w:pPr>
      <w:r>
        <w:rPr>
          <w:rFonts w:ascii="宋体" w:hAnsi="宋体" w:eastAsia="宋体"/>
          <w:color w:val="auto"/>
          <w:highlight w:val="none"/>
        </w:rPr>
        <w:br w:type="page" w:clear="all"/>
      </w:r>
      <w:r/>
    </w:p>
    <w:p>
      <w:pPr>
        <w:ind w:firstLine="4620"/>
        <w:spacing w:line="480" w:lineRule="auto"/>
        <w:rPr>
          <w:rFonts w:ascii="宋体" w:hAnsi="宋体" w:eastAsia="宋体"/>
          <w:color w:val="auto"/>
          <w:highlight w:val="none"/>
        </w:rPr>
      </w:pPr>
      <w:r>
        <w:rPr>
          <w:rFonts w:ascii="宋体" w:hAnsi="宋体" w:eastAsia="宋体"/>
          <w:color w:val="auto"/>
          <w:highlight w:val="none"/>
        </w:rPr>
      </w:r>
      <w:r/>
    </w:p>
    <w:p>
      <w:pPr>
        <w:jc w:val="cente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残疾人福利性单位声明函</w:t>
      </w:r>
      <w:r/>
    </w:p>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20"/>
        <w:spacing w:line="360" w:lineRule="auto"/>
        <w:rPr>
          <w:rFonts w:ascii="宋体" w:hAnsi="宋体" w:eastAsia="宋体"/>
          <w:color w:val="auto"/>
          <w:highlight w:val="none"/>
        </w:rPr>
      </w:pPr>
      <w:r>
        <w:rPr>
          <w:rFonts w:hint="eastAsia" w:ascii="宋体" w:hAnsi="宋体" w:eastAsia="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___单位的采购文件编号为</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的</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480" w:lineRule="auto"/>
        <w:rPr>
          <w:rFonts w:ascii="宋体" w:hAnsi="宋体" w:eastAsia="宋体"/>
          <w:color w:val="auto"/>
          <w:highlight w:val="none"/>
        </w:rPr>
      </w:pPr>
      <w:r>
        <w:rPr>
          <w:rFonts w:hint="eastAsia" w:ascii="宋体" w:hAnsi="宋体" w:eastAsia="宋体"/>
          <w:color w:val="auto"/>
          <w:highlight w:val="none"/>
        </w:rPr>
        <w:t xml:space="preserve">本单位在本次政府采购活动中提供的残疾人福利单位产品报价合计为人民币（大写）</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元整（￥：     ）。</w:t>
      </w:r>
      <w:r/>
    </w:p>
    <w:p>
      <w:pPr>
        <w:ind w:firstLine="420"/>
        <w:spacing w:line="480" w:lineRule="auto"/>
        <w:rPr>
          <w:rFonts w:ascii="宋体" w:hAnsi="宋体" w:eastAsia="宋体"/>
          <w:color w:val="auto"/>
          <w:highlight w:val="none"/>
        </w:rPr>
      </w:pPr>
      <w:r>
        <w:rPr>
          <w:rFonts w:hint="eastAsia" w:ascii="宋体" w:hAnsi="宋体" w:eastAsia="宋体"/>
          <w:color w:val="auto"/>
          <w:highlight w:val="none"/>
        </w:rPr>
        <w:t xml:space="preserve">本单位对上述声明的真实性负责。如有虚假，将依法承担相应责任。</w:t>
      </w:r>
      <w:r/>
    </w:p>
    <w:p>
      <w:pPr>
        <w:ind w:firstLine="420"/>
        <w:spacing w:line="480" w:lineRule="auto"/>
        <w:rPr>
          <w:rFonts w:ascii="宋体" w:hAnsi="宋体" w:eastAsia="宋体"/>
          <w:color w:val="auto"/>
          <w:highlight w:val="none"/>
        </w:rPr>
      </w:pPr>
      <w:r>
        <w:rPr>
          <w:rFonts w:ascii="宋体" w:hAnsi="宋体" w:eastAsia="宋体"/>
          <w:color w:val="auto"/>
          <w:highlight w:val="none"/>
        </w:rPr>
      </w:r>
      <w:r/>
    </w:p>
    <w:p>
      <w:pPr>
        <w:ind w:firstLine="420"/>
        <w:spacing w:line="480" w:lineRule="auto"/>
        <w:rPr>
          <w:rFonts w:ascii="宋体" w:hAnsi="宋体" w:eastAsia="宋体"/>
          <w:color w:val="auto"/>
          <w:highlight w:val="none"/>
        </w:rPr>
      </w:pPr>
      <w:r>
        <w:rPr>
          <w:rFonts w:hint="eastAsia" w:ascii="宋体" w:hAnsi="宋体" w:eastAsia="宋体"/>
          <w:color w:val="auto"/>
          <w:highlight w:val="none"/>
        </w:rPr>
        <w:t xml:space="preserve">（备注：1、供应商如不提供此声明函，价格将不做相应扣除。2、成交供应商为残疾人福利单位的，此声明函将随成交结果同时公告，接受社会监督）</w:t>
      </w:r>
      <w:r/>
    </w:p>
    <w:p>
      <w:pPr>
        <w:ind w:firstLine="444"/>
        <w:spacing w:line="480" w:lineRule="auto"/>
        <w:rPr>
          <w:rFonts w:ascii="宋体" w:hAnsi="宋体" w:eastAsia="宋体"/>
          <w:color w:val="auto"/>
          <w:spacing w:val="6"/>
          <w:highlight w:val="none"/>
        </w:rPr>
      </w:pPr>
      <w:r>
        <w:rPr>
          <w:rFonts w:ascii="宋体" w:hAnsi="宋体" w:eastAsia="宋体"/>
          <w:color w:val="auto"/>
          <w:spacing w:val="6"/>
          <w:highlight w:val="none"/>
        </w:rPr>
      </w:r>
      <w:r/>
    </w:p>
    <w:p>
      <w:pPr>
        <w:ind w:right="1560" w:firstLine="444"/>
        <w:jc w:val="center"/>
        <w:spacing w:line="480" w:lineRule="auto"/>
        <w:tabs>
          <w:tab w:val="left" w:pos="4860" w:leader="none"/>
        </w:tabs>
        <w:rPr>
          <w:rFonts w:ascii="宋体" w:hAnsi="宋体" w:eastAsia="宋体"/>
          <w:color w:val="auto"/>
          <w:highlight w:val="none"/>
        </w:rPr>
      </w:pPr>
      <w:r>
        <w:rPr>
          <w:rFonts w:hint="eastAsia" w:ascii="宋体" w:hAnsi="宋体" w:eastAsia="宋体"/>
          <w:color w:val="auto"/>
          <w:spacing w:val="6"/>
          <w:highlight w:val="none"/>
        </w:rPr>
        <w:t xml:space="preserve">             </w:t>
      </w:r>
      <w:r>
        <w:rPr>
          <w:rFonts w:hint="eastAsia" w:ascii="宋体" w:hAnsi="宋体" w:eastAsia="宋体"/>
          <w:color w:val="auto"/>
          <w:highlight w:val="none"/>
        </w:rPr>
        <w:t xml:space="preserve">               供应商全称（盖章）：</w:t>
      </w:r>
      <w:r/>
    </w:p>
    <w:p>
      <w:pPr>
        <w:ind w:right="1560" w:firstLine="420"/>
        <w:jc w:val="center"/>
        <w:spacing w:line="480" w:lineRule="auto"/>
        <w:tabs>
          <w:tab w:val="left" w:pos="4860" w:leader="none"/>
        </w:tabs>
        <w:rPr>
          <w:rFonts w:ascii="宋体" w:hAnsi="宋体" w:eastAsia="宋体"/>
          <w:color w:val="auto"/>
          <w:highlight w:val="none"/>
        </w:rPr>
      </w:pPr>
      <w:r>
        <w:rPr>
          <w:rFonts w:hint="eastAsia" w:ascii="宋体" w:hAnsi="宋体" w:eastAsia="宋体"/>
          <w:color w:val="auto"/>
          <w:highlight w:val="none"/>
        </w:rPr>
        <w:t xml:space="preserve">                              日  期：</w:t>
      </w:r>
      <w:r/>
    </w:p>
    <w:p>
      <w:pPr>
        <w:spacing w:line="480" w:lineRule="auto"/>
        <w:rPr>
          <w:rFonts w:ascii="宋体" w:hAnsi="宋体" w:eastAsia="宋体"/>
          <w:b/>
          <w:bCs/>
          <w:color w:val="auto"/>
          <w:sz w:val="32"/>
          <w:szCs w:val="32"/>
          <w:highlight w:val="none"/>
        </w:rPr>
      </w:pPr>
      <w:r/>
      <w:bookmarkStart w:id="22" w:name="_Toc109304978"/>
      <w:r/>
      <w:r/>
    </w:p>
    <w:p>
      <w:pPr>
        <w:pStyle w:val="979"/>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jc w:val="cente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四、磋商响应报价表</w:t>
      </w:r>
      <w:r/>
    </w:p>
    <w:p>
      <w:pPr>
        <w:spacing w:line="480" w:lineRule="auto"/>
        <w:rPr>
          <w:rFonts w:ascii="宋体" w:hAnsi="宋体" w:eastAsia="宋体"/>
          <w:color w:val="auto"/>
          <w:highlight w:val="none"/>
        </w:rPr>
      </w:pPr>
      <w:r>
        <w:rPr>
          <w:rFonts w:hint="eastAsia" w:ascii="宋体" w:hAnsi="宋体" w:eastAsia="宋体"/>
          <w:color w:val="auto"/>
          <w:highlight w:val="none"/>
        </w:rPr>
        <w:t xml:space="preserve">    </w:t>
      </w:r>
      <w:r/>
    </w:p>
    <w:p>
      <w:pPr>
        <w:pStyle w:val="987"/>
        <w:spacing w:line="48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项目名称： </w:t>
      </w:r>
      <w:r/>
    </w:p>
    <w:p>
      <w:pPr>
        <w:spacing w:line="480" w:lineRule="auto"/>
        <w:rPr>
          <w:rFonts w:ascii="宋体" w:hAnsi="宋体" w:eastAsia="宋体"/>
          <w:color w:val="auto"/>
          <w:highlight w:val="none"/>
        </w:rPr>
      </w:pPr>
      <w:r>
        <w:rPr>
          <w:rFonts w:hint="eastAsia" w:ascii="宋体" w:hAnsi="宋体" w:eastAsia="宋体"/>
          <w:color w:val="auto"/>
          <w:highlight w:val="none"/>
        </w:rPr>
        <w:t xml:space="preserve">项目编号：     </w:t>
      </w:r>
      <w:r/>
    </w:p>
    <w:p>
      <w:pPr>
        <w:jc w:val="center"/>
        <w:spacing w:line="480" w:lineRule="auto"/>
        <w:rPr>
          <w:rFonts w:hint="eastAsia" w:ascii="宋体" w:hAnsi="宋体" w:eastAsia="宋体" w:cs="宋体"/>
          <w:b/>
          <w:bCs/>
          <w:color w:val="auto"/>
          <w:sz w:val="24"/>
          <w:szCs w:val="32"/>
          <w:highlight w:val="none"/>
        </w:rPr>
      </w:pPr>
      <w:r>
        <w:rPr>
          <w:rFonts w:hint="eastAsia" w:ascii="宋体" w:hAnsi="宋体" w:eastAsia="宋体"/>
          <w:b/>
          <w:bCs/>
          <w:color w:val="auto"/>
          <w:highlight w:val="none"/>
        </w:rPr>
        <w:t xml:space="preserve">本次为首次报价</w:t>
      </w:r>
      <w:r/>
    </w:p>
    <w:tbl>
      <w:tblPr>
        <w:tblStyle w:val="9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602"/>
      </w:tblGrid>
      <w:tr>
        <w:trPr>
          <w:cantSplit/>
          <w:jc w:val="center"/>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76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第一轮报价</w:t>
            </w:r>
            <w:r/>
          </w:p>
        </w:tc>
      </w:tr>
      <w:tr>
        <w:trPr>
          <w:cantSplit/>
          <w:jc w:val="center"/>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760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大写：</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小写：</w:t>
            </w:r>
            <w:r>
              <w:rPr>
                <w:rFonts w:hint="eastAsia" w:ascii="宋体" w:hAnsi="宋体" w:cs="宋体"/>
                <w:color w:val="auto"/>
                <w:szCs w:val="21"/>
                <w:highlight w:val="none"/>
                <w:u w:val="single"/>
              </w:rPr>
              <w:t xml:space="preserve">          （人民币）元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工期：</w:t>
            </w:r>
            <w:r>
              <w:rPr>
                <w:rFonts w:hint="eastAsia" w:ascii="宋体" w:hAnsi="宋体" w:cs="宋体"/>
                <w:color w:val="auto"/>
                <w:szCs w:val="21"/>
                <w:highlight w:val="none"/>
                <w:u w:val="single"/>
              </w:rPr>
              <w:t xml:space="preserve">                        </w:t>
            </w:r>
            <w:r/>
          </w:p>
        </w:tc>
      </w:tr>
      <w:tr>
        <w:trPr>
          <w:cantSplit/>
          <w:jc w:val="center"/>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76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备注（壹 贰 叁 肆 伍 陆 柒 捌 玖）</w:t>
            </w:r>
            <w:r/>
          </w:p>
        </w:tc>
      </w:tr>
    </w:tbl>
    <w:p>
      <w:pPr>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r>
      <w:r/>
    </w:p>
    <w:p>
      <w:pPr>
        <w:jc w:val="center"/>
        <w:rPr>
          <w:b/>
          <w:bCs/>
          <w:color w:val="auto"/>
          <w:sz w:val="24"/>
          <w:szCs w:val="32"/>
          <w:highlight w:val="none"/>
        </w:rPr>
      </w:pPr>
      <w:r>
        <w:rPr>
          <w:b/>
          <w:bCs/>
          <w:color w:val="auto"/>
          <w:sz w:val="24"/>
          <w:szCs w:val="32"/>
          <w:highlight w:val="none"/>
        </w:rPr>
      </w:r>
      <w:r/>
    </w:p>
    <w:p>
      <w:pPr>
        <w:ind w:left="5185"/>
        <w:spacing w:line="360" w:lineRule="auto"/>
        <w:rPr>
          <w:rFonts w:ascii="宋体" w:hAnsi="宋体" w:eastAsia="宋体" w:cs="宋体"/>
          <w:color w:val="auto"/>
          <w:sz w:val="23"/>
          <w:szCs w:val="23"/>
          <w:highlight w:val="none"/>
        </w:rPr>
      </w:pPr>
      <w:r>
        <w:rPr>
          <w:rFonts w:ascii="宋体" w:hAnsi="宋体" w:eastAsia="宋体" w:cs="宋体"/>
          <w:color w:val="auto"/>
          <w:sz w:val="23"/>
          <w:szCs w:val="23"/>
          <w:highlight w:val="none"/>
        </w:rPr>
      </w:r>
      <w:r/>
    </w:p>
    <w:p>
      <w:pPr>
        <w:jc w:val="right"/>
        <w:spacing w:line="480" w:lineRule="auto"/>
        <w:rPr>
          <w:rFonts w:hint="eastAsia" w:ascii="宋体" w:hAnsi="宋体" w:eastAsia="宋体" w:cs="宋体"/>
          <w:b/>
          <w:bCs/>
          <w:color w:val="auto"/>
          <w:sz w:val="24"/>
          <w:szCs w:val="32"/>
          <w:highlight w:val="none"/>
        </w:rPr>
      </w:pPr>
      <w:r>
        <w:rPr>
          <w:rFonts w:hint="eastAsia" w:ascii="宋体" w:hAnsi="宋体" w:eastAsia="宋体"/>
          <w:color w:val="auto"/>
          <w:highlight w:val="none"/>
        </w:rPr>
        <w:t xml:space="preserve">日期：    年   月    日</w:t>
      </w:r>
      <w:r/>
    </w:p>
    <w:p>
      <w:pPr>
        <w:rPr>
          <w:rFonts w:ascii="宋体" w:hAnsi="宋体" w:eastAsia="宋体"/>
          <w:bCs/>
          <w:color w:val="auto"/>
          <w:highlight w:val="none"/>
        </w:rPr>
      </w:pPr>
      <w:r>
        <w:rPr>
          <w:rFonts w:ascii="宋体" w:hAnsi="宋体" w:eastAsia="宋体"/>
          <w:bCs/>
          <w:color w:val="auto"/>
          <w:highlight w:val="none"/>
        </w:rPr>
        <w:br w:type="page" w:clear="all"/>
      </w:r>
      <w:r/>
    </w:p>
    <w:p>
      <w:pPr>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投标报价明细表</w:t>
      </w:r>
      <w:r/>
    </w:p>
    <w:tbl>
      <w:tblPr>
        <w:tblStyle w:val="981"/>
        <w:tblW w:w="102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5"/>
        <w:gridCol w:w="2608"/>
        <w:gridCol w:w="3475"/>
        <w:gridCol w:w="3009"/>
      </w:tblGrid>
      <w:tr>
        <w:trPr>
          <w:jc w:val="center"/>
          <w:trHeight w:val="1134" w:hRule="exact"/>
        </w:trPr>
        <w:tc>
          <w:tcPr>
            <w:tcBorders>
              <w:top w:val="single" w:color="000000" w:sz="4" w:space="0"/>
              <w:left w:val="single" w:color="000000" w:sz="4" w:space="0"/>
              <w:bottom w:val="single" w:color="auto" w:sz="4" w:space="0"/>
              <w:right w:val="single" w:color="auto" w:sz="4" w:space="0"/>
            </w:tcBorders>
            <w:tcW w:w="1205"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347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报价（万元）</w:t>
            </w:r>
            <w:r/>
          </w:p>
        </w:tc>
        <w:tc>
          <w:tcPr>
            <w:tcBorders>
              <w:top w:val="single" w:color="auto" w:sz="4" w:space="0"/>
              <w:left w:val="single" w:color="auto" w:sz="4" w:space="0"/>
              <w:bottom w:val="single" w:color="auto" w:sz="4" w:space="0"/>
              <w:right w:val="single" w:color="auto" w:sz="4" w:space="0"/>
            </w:tcBorders>
            <w:tcW w:w="3009"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1134" w:hRule="exact"/>
        </w:trPr>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spacing w:line="240" w:lineRule="auto"/>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方案编制</w:t>
            </w:r>
            <w:r/>
          </w:p>
        </w:tc>
        <w:tc>
          <w:tcPr>
            <w:tcBorders>
              <w:top w:val="single" w:color="auto" w:sz="4" w:space="0"/>
              <w:left w:val="single" w:color="auto" w:sz="4" w:space="0"/>
              <w:bottom w:val="single" w:color="auto" w:sz="4" w:space="0"/>
              <w:right w:val="single" w:color="auto" w:sz="4" w:space="0"/>
            </w:tcBorders>
            <w:tcW w:w="3475" w:type="dxa"/>
            <w:vAlign w:val="center"/>
            <w:textDirection w:val="lrTb"/>
            <w:noWrap/>
          </w:tcPr>
          <w:p>
            <w:pPr>
              <w:jc w:val="center"/>
              <w:spacing w:line="240" w:lineRule="auto"/>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W w:w="3009" w:type="dxa"/>
            <w:vAlign w:val="center"/>
            <w:textDirection w:val="lrTb"/>
            <w:noWrap/>
          </w:tcPr>
          <w:p>
            <w:pPr>
              <w:jc w:val="center"/>
              <w:spacing w:line="240" w:lineRule="auto"/>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最高限价：100万元</w:t>
            </w:r>
            <w:r/>
          </w:p>
        </w:tc>
      </w:tr>
      <w:tr>
        <w:trPr>
          <w:jc w:val="center"/>
          <w:trHeight w:val="1134" w:hRule="exact"/>
        </w:trPr>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spacing w:line="240" w:lineRule="auto"/>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Theme="minorEastAsia" w:hAnsiTheme="minorEastAsia" w:eastAsiaTheme="minorEastAsia" w:cstheme="minorEastAsia"/>
                <w:color w:val="auto"/>
                <w:spacing w:val="0"/>
                <w:position w:val="0"/>
                <w:sz w:val="21"/>
                <w:szCs w:val="21"/>
                <w:highlight w:val="none"/>
              </w:rPr>
              <w:t xml:space="preserve">省级申报</w:t>
            </w:r>
            <w:r/>
          </w:p>
        </w:tc>
        <w:tc>
          <w:tcPr>
            <w:tcBorders>
              <w:top w:val="single" w:color="auto" w:sz="4" w:space="0"/>
              <w:left w:val="single" w:color="auto" w:sz="4" w:space="0"/>
              <w:bottom w:val="single" w:color="auto" w:sz="4" w:space="0"/>
              <w:right w:val="single" w:color="auto" w:sz="4" w:space="0"/>
            </w:tcBorders>
            <w:tcW w:w="3475" w:type="dxa"/>
            <w:vAlign w:val="center"/>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3009" w:type="dxa"/>
            <w:vAlign w:val="center"/>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最高限价：40万元</w:t>
            </w:r>
            <w:r/>
          </w:p>
        </w:tc>
      </w:tr>
      <w:tr>
        <w:trPr>
          <w:jc w:val="center"/>
          <w:trHeight w:val="1134" w:hRule="exact"/>
        </w:trPr>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spacing w:line="240" w:lineRule="auto"/>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Theme="minorEastAsia" w:hAnsiTheme="minorEastAsia" w:eastAsiaTheme="minorEastAsia" w:cstheme="minorEastAsia"/>
                <w:color w:val="auto"/>
                <w:spacing w:val="0"/>
                <w:position w:val="0"/>
                <w:sz w:val="21"/>
                <w:szCs w:val="21"/>
                <w:highlight w:val="none"/>
              </w:rPr>
              <w:t xml:space="preserve">国家级申报</w:t>
            </w:r>
            <w:r/>
          </w:p>
        </w:tc>
        <w:tc>
          <w:tcPr>
            <w:tcBorders>
              <w:top w:val="single" w:color="auto" w:sz="4" w:space="0"/>
              <w:left w:val="single" w:color="auto" w:sz="4" w:space="0"/>
              <w:bottom w:val="single" w:color="auto" w:sz="4" w:space="0"/>
              <w:right w:val="single" w:color="auto" w:sz="4" w:space="0"/>
            </w:tcBorders>
            <w:tcW w:w="3475" w:type="dxa"/>
            <w:vAlign w:val="center"/>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3009" w:type="dxa"/>
            <w:vAlign w:val="center"/>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最高限价：50万元</w:t>
            </w:r>
            <w:r/>
          </w:p>
        </w:tc>
      </w:tr>
      <w:tr>
        <w:trPr>
          <w:jc w:val="center"/>
          <w:trHeight w:val="1134" w:hRule="exact"/>
        </w:trPr>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spacing w:line="240" w:lineRule="auto"/>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Theme="minorEastAsia" w:hAnsiTheme="minorEastAsia" w:eastAsiaTheme="minorEastAsia" w:cstheme="minorEastAsia"/>
                <w:color w:val="auto"/>
                <w:spacing w:val="0"/>
                <w:position w:val="0"/>
                <w:sz w:val="21"/>
                <w:szCs w:val="21"/>
                <w:highlight w:val="none"/>
              </w:rPr>
              <w:t xml:space="preserve">NG专项认证申报</w:t>
            </w:r>
            <w:r/>
          </w:p>
        </w:tc>
        <w:tc>
          <w:tcPr>
            <w:tcBorders>
              <w:top w:val="single" w:color="auto" w:sz="4" w:space="0"/>
              <w:left w:val="single" w:color="auto" w:sz="4" w:space="0"/>
              <w:bottom w:val="single" w:color="auto" w:sz="4" w:space="0"/>
              <w:right w:val="single" w:color="auto" w:sz="4" w:space="0"/>
            </w:tcBorders>
            <w:tcW w:w="3475" w:type="dxa"/>
            <w:vAlign w:val="center"/>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3009" w:type="dxa"/>
            <w:vAlign w:val="center"/>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最高限价：50万元</w:t>
            </w:r>
            <w:r/>
          </w:p>
        </w:tc>
      </w:tr>
      <w:tr>
        <w:trPr>
          <w:jc w:val="center"/>
          <w:trHeight w:val="1134" w:hRule="exact"/>
        </w:trPr>
        <w:tc>
          <w:tcPr>
            <w:tcBorders>
              <w:top w:val="single" w:color="auto" w:sz="4" w:space="0"/>
              <w:left w:val="single" w:color="000000" w:sz="4" w:space="0"/>
              <w:bottom w:val="single" w:color="000000" w:sz="4" w:space="0"/>
              <w:right w:val="single" w:color="auto" w:sz="4" w:space="0"/>
            </w:tcBorders>
            <w:tcW w:w="1205" w:type="dxa"/>
            <w:vAlign w:val="center"/>
            <w:textDirection w:val="lrTb"/>
            <w:noWrap/>
          </w:tcPr>
          <w:p>
            <w:pPr>
              <w:jc w:val="center"/>
              <w:spacing w:line="24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3475" w:type="dxa"/>
            <w:vAlign w:val="center"/>
            <w:textDirection w:val="lrTb"/>
            <w:noWrap/>
          </w:tcPr>
          <w:p>
            <w:pPr>
              <w:jc w:val="center"/>
              <w:spacing w:line="240" w:lineRule="auto"/>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W w:w="3009" w:type="dxa"/>
            <w:vAlign w:val="center"/>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最高限价：240万元</w:t>
            </w:r>
            <w:r/>
          </w:p>
        </w:tc>
      </w:tr>
    </w:tbl>
    <w:p>
      <w:pPr>
        <w:jc w:val="center"/>
        <w:spacing w:line="480" w:lineRule="auto"/>
        <w:rPr>
          <w:rFonts w:ascii="宋体" w:hAnsi="宋体" w:eastAsia="宋体"/>
          <w:b/>
          <w:bCs/>
          <w:color w:val="auto"/>
          <w:sz w:val="24"/>
          <w:szCs w:val="24"/>
          <w:highlight w:val="none"/>
        </w:rPr>
      </w:pPr>
      <w:r>
        <w:rPr>
          <w:rFonts w:ascii="宋体" w:hAnsi="宋体" w:eastAsia="宋体"/>
          <w:bCs/>
          <w:color w:val="auto"/>
          <w:highlight w:val="none"/>
        </w:rPr>
        <w:br w:type="page" w:clear="all"/>
      </w:r>
      <w:r>
        <w:rPr>
          <w:rFonts w:hint="eastAsia" w:ascii="宋体" w:hAnsi="宋体" w:eastAsia="宋体"/>
          <w:b/>
          <w:color w:val="auto"/>
          <w:sz w:val="24"/>
          <w:szCs w:val="24"/>
          <w:highlight w:val="none"/>
        </w:rPr>
        <w:t xml:space="preserve">五、技术参数响应及偏离表</w:t>
      </w:r>
      <w:bookmarkEnd w:id="22"/>
      <w:r/>
      <w:r/>
    </w:p>
    <w:tbl>
      <w:tblPr>
        <w:tblStyle w:val="9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序号</w:t>
            </w:r>
            <w:r/>
          </w:p>
        </w:tc>
        <w:tc>
          <w:tcPr>
            <w:tcW w:w="2852"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采购要求</w:t>
            </w:r>
            <w:r/>
          </w:p>
        </w:tc>
        <w:tc>
          <w:tcPr>
            <w:tcW w:w="2852"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磋商响应</w:t>
            </w:r>
            <w:r/>
          </w:p>
        </w:tc>
        <w:tc>
          <w:tcPr>
            <w:tcW w:w="1308"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超出、符合或偏离</w:t>
            </w:r>
            <w:r/>
          </w:p>
        </w:tc>
        <w:tc>
          <w:tcPr>
            <w:tcW w:w="1173" w:type="dxa"/>
            <w:vAlign w:val="center"/>
            <w:textDirection w:val="lrTb"/>
            <w:noWrap w:val="false"/>
          </w:tcPr>
          <w:p>
            <w:pPr>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证明材料</w:t>
            </w:r>
            <w:r/>
          </w:p>
        </w:tc>
      </w:tr>
      <w:tr>
        <w:trPr>
          <w:cantSplit/>
          <w:trHeight w:val="640"/>
        </w:trPr>
        <w:tc>
          <w:tcPr>
            <w:tcW w:w="984"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308"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173"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r>
      <w:tr>
        <w:trPr>
          <w:cantSplit/>
          <w:trHeight w:val="640"/>
        </w:trPr>
        <w:tc>
          <w:tcPr>
            <w:tcW w:w="984"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308"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173"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r>
      <w:tr>
        <w:trPr>
          <w:cantSplit/>
          <w:trHeight w:val="640"/>
        </w:trPr>
        <w:tc>
          <w:tcPr>
            <w:tcW w:w="984"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308"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173"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r>
      <w:tr>
        <w:trPr>
          <w:cantSplit/>
          <w:trHeight w:val="640"/>
        </w:trPr>
        <w:tc>
          <w:tcPr>
            <w:tcW w:w="984"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308"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173"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r>
      <w:tr>
        <w:trPr>
          <w:cantSplit/>
          <w:trHeight w:val="640"/>
        </w:trPr>
        <w:tc>
          <w:tcPr>
            <w:tcW w:w="984"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308"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173"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r>
      <w:tr>
        <w:trPr>
          <w:cantSplit/>
          <w:trHeight w:val="640"/>
        </w:trPr>
        <w:tc>
          <w:tcPr>
            <w:tcW w:w="984"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308"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173"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r>
      <w:tr>
        <w:trPr>
          <w:cantSplit/>
          <w:trHeight w:val="640"/>
        </w:trPr>
        <w:tc>
          <w:tcPr>
            <w:tcW w:w="984"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308"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173"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r>
      <w:tr>
        <w:trPr>
          <w:cantSplit/>
          <w:trHeight w:val="640"/>
        </w:trPr>
        <w:tc>
          <w:tcPr>
            <w:tcW w:w="984"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2852"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308"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c>
          <w:tcPr>
            <w:tcW w:w="1173" w:type="dxa"/>
            <w:textDirection w:val="lrTb"/>
            <w:noWrap w:val="false"/>
          </w:tcPr>
          <w:p>
            <w:pPr>
              <w:jc w:val="center"/>
              <w:spacing w:line="480" w:lineRule="auto"/>
              <w:rPr>
                <w:rFonts w:ascii="宋体" w:hAnsi="宋体" w:eastAsia="宋体"/>
                <w:color w:val="auto"/>
                <w:highlight w:val="none"/>
              </w:rPr>
            </w:pPr>
            <w:r>
              <w:rPr>
                <w:rFonts w:ascii="宋体" w:hAnsi="宋体" w:eastAsia="宋体"/>
                <w:color w:val="auto"/>
                <w:highlight w:val="none"/>
              </w:rPr>
            </w:r>
            <w:r/>
          </w:p>
        </w:tc>
      </w:tr>
    </w:tbl>
    <w:p>
      <w:pPr>
        <w:spacing w:line="48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480" w:lineRule="auto"/>
        <w:rPr>
          <w:rFonts w:ascii="宋体" w:hAnsi="宋体" w:eastAsia="宋体"/>
          <w:color w:val="auto"/>
          <w:highlight w:val="none"/>
        </w:rPr>
      </w:pPr>
      <w:r>
        <w:rPr>
          <w:rFonts w:hint="eastAsia" w:ascii="宋体" w:hAnsi="宋体" w:eastAsia="宋体"/>
          <w:color w:val="auto"/>
          <w:highlight w:val="none"/>
        </w:rPr>
        <w:t xml:space="preserve">注：1、按照基本技术要求详细填列。</w:t>
      </w:r>
      <w:r/>
    </w:p>
    <w:p>
      <w:pPr>
        <w:ind w:firstLine="420"/>
        <w:spacing w:line="480" w:lineRule="auto"/>
        <w:rPr>
          <w:rFonts w:ascii="宋体" w:hAnsi="宋体" w:eastAsia="宋体"/>
          <w:color w:val="auto"/>
          <w:highlight w:val="none"/>
        </w:rPr>
      </w:pPr>
      <w:r>
        <w:rPr>
          <w:rFonts w:hint="eastAsia" w:ascii="宋体" w:hAnsi="宋体" w:eastAsia="宋体"/>
          <w:color w:val="auto"/>
          <w:highlight w:val="none"/>
        </w:rPr>
        <w:t xml:space="preserve">2、行数不够，可自行添加。</w:t>
      </w:r>
      <w:r/>
    </w:p>
    <w:p>
      <w:pPr>
        <w:pStyle w:val="978"/>
        <w:jc w:val="center"/>
        <w:spacing w:line="480" w:lineRule="auto"/>
        <w:rPr>
          <w:rFonts w:ascii="宋体" w:hAnsi="宋体" w:eastAsia="宋体"/>
          <w:bCs w:val="0"/>
          <w:color w:val="auto"/>
          <w:sz w:val="24"/>
          <w:szCs w:val="24"/>
          <w:highlight w:val="none"/>
        </w:rPr>
      </w:pPr>
      <w:r/>
      <w:bookmarkStart w:id="23" w:name="_Hlt26955054"/>
      <w:r/>
      <w:bookmarkEnd w:id="23"/>
      <w:r/>
      <w:bookmarkStart w:id="24" w:name="_Toc109304979"/>
      <w:r>
        <w:rPr>
          <w:rFonts w:ascii="宋体" w:hAnsi="宋体" w:eastAsia="宋体"/>
          <w:bCs w:val="0"/>
          <w:color w:val="auto"/>
          <w:highlight w:val="none"/>
        </w:rPr>
        <w:br w:type="page" w:clear="all"/>
      </w:r>
      <w:r>
        <w:rPr>
          <w:rFonts w:hint="eastAsia" w:ascii="宋体" w:hAnsi="宋体" w:eastAsia="宋体"/>
          <w:bCs w:val="0"/>
          <w:color w:val="auto"/>
          <w:sz w:val="24"/>
          <w:szCs w:val="24"/>
          <w:highlight w:val="none"/>
        </w:rPr>
        <w:t xml:space="preserve">六、商务条款响应及偏离表</w:t>
      </w:r>
      <w:bookmarkEnd w:id="24"/>
      <w:r/>
      <w:r/>
    </w:p>
    <w:tbl>
      <w:tblPr>
        <w:tblStyle w:val="98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480" w:lineRule="auto"/>
              <w:rPr>
                <w:rFonts w:ascii="宋体" w:hAnsi="宋体" w:eastAsia="宋体"/>
                <w:color w:val="auto"/>
                <w:highlight w:val="none"/>
              </w:rPr>
            </w:pPr>
            <w:r>
              <w:rPr>
                <w:rFonts w:hint="eastAsia" w:ascii="宋体" w:hAnsi="宋体" w:eastAsia="宋体"/>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480" w:lineRule="auto"/>
              <w:rPr>
                <w:rFonts w:ascii="宋体" w:hAnsi="宋体" w:eastAsia="宋体"/>
                <w:color w:val="auto"/>
                <w:highlight w:val="none"/>
              </w:rPr>
            </w:pPr>
            <w:r>
              <w:rPr>
                <w:rFonts w:hint="eastAsia" w:ascii="宋体" w:hAnsi="宋体" w:eastAsia="宋体"/>
                <w:color w:val="auto"/>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480" w:lineRule="auto"/>
              <w:rPr>
                <w:rFonts w:ascii="宋体" w:hAnsi="宋体" w:eastAsia="宋体"/>
                <w:color w:val="auto"/>
                <w:highlight w:val="none"/>
              </w:rPr>
            </w:pPr>
            <w:r>
              <w:rPr>
                <w:rFonts w:hint="eastAsia" w:ascii="宋体" w:hAnsi="宋体" w:eastAsia="宋体"/>
                <w:color w:val="auto"/>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480" w:lineRule="auto"/>
              <w:rPr>
                <w:rFonts w:ascii="宋体" w:hAnsi="宋体" w:eastAsia="宋体"/>
                <w:color w:val="auto"/>
                <w:highlight w:val="none"/>
              </w:rPr>
            </w:pPr>
            <w:r>
              <w:rPr>
                <w:rFonts w:hint="eastAsia" w:ascii="宋体" w:hAnsi="宋体" w:eastAsia="宋体"/>
                <w:color w:val="auto"/>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480" w:lineRule="auto"/>
              <w:rPr>
                <w:rFonts w:ascii="宋体" w:hAnsi="宋体" w:eastAsia="宋体"/>
                <w:color w:val="auto"/>
                <w:highlight w:val="none"/>
              </w:rPr>
            </w:pPr>
            <w:r>
              <w:rPr>
                <w:rFonts w:hint="eastAsia" w:ascii="宋体" w:hAnsi="宋体" w:eastAsia="宋体"/>
                <w:color w:val="auto"/>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480" w:lineRule="auto"/>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480" w:lineRule="auto"/>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20" w:line="480" w:lineRule="auto"/>
              <w:rPr>
                <w:rFonts w:ascii="宋体" w:hAnsi="宋体" w:eastAsia="宋体"/>
                <w:color w:val="auto"/>
                <w:highlight w:val="none"/>
              </w:rPr>
            </w:pPr>
            <w:r>
              <w:rPr>
                <w:rFonts w:ascii="宋体" w:hAnsi="宋体" w:eastAsia="宋体"/>
                <w:color w:val="auto"/>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480" w:lineRule="auto"/>
              <w:rPr>
                <w:rFonts w:ascii="宋体" w:hAnsi="宋体" w:eastAsia="宋体"/>
                <w:color w:val="auto"/>
                <w:highlight w:val="none"/>
              </w:rPr>
            </w:pPr>
            <w:r>
              <w:rPr>
                <w:rFonts w:hint="eastAsia" w:ascii="宋体" w:hAnsi="宋体" w:eastAsia="宋体"/>
                <w:color w:val="auto"/>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20" w:line="480" w:lineRule="auto"/>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480" w:lineRule="auto"/>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20" w:line="480" w:lineRule="auto"/>
              <w:rPr>
                <w:rFonts w:ascii="宋体" w:hAnsi="宋体" w:eastAsia="宋体"/>
                <w:color w:val="auto"/>
                <w:highlight w:val="none"/>
              </w:rPr>
            </w:pPr>
            <w:r>
              <w:rPr>
                <w:rFonts w:ascii="宋体" w:hAnsi="宋体" w:eastAsia="宋体"/>
                <w:color w:val="auto"/>
                <w:highlight w:val="none"/>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480" w:lineRule="auto"/>
              <w:rPr>
                <w:rFonts w:ascii="宋体" w:hAnsi="宋体" w:eastAsia="宋体"/>
                <w:color w:val="auto"/>
                <w:highlight w:val="none"/>
              </w:rPr>
            </w:pPr>
            <w:r>
              <w:rPr>
                <w:rFonts w:hint="eastAsia" w:ascii="宋体" w:hAnsi="宋体" w:eastAsia="宋体"/>
                <w:color w:val="auto"/>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20" w:line="480" w:lineRule="auto"/>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480" w:lineRule="auto"/>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20" w:line="480" w:lineRule="auto"/>
              <w:rPr>
                <w:rFonts w:ascii="宋体" w:hAnsi="宋体" w:eastAsia="宋体"/>
                <w:color w:val="auto"/>
                <w:highlight w:val="none"/>
              </w:rPr>
            </w:pPr>
            <w:r>
              <w:rPr>
                <w:rFonts w:ascii="宋体" w:hAnsi="宋体" w:eastAsia="宋体"/>
                <w:color w:val="auto"/>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480" w:lineRule="auto"/>
              <w:rPr>
                <w:rFonts w:ascii="宋体" w:hAnsi="宋体" w:eastAsia="宋体"/>
                <w:color w:val="auto"/>
                <w:highlight w:val="none"/>
              </w:rPr>
            </w:pPr>
            <w:r>
              <w:rPr>
                <w:rFonts w:hint="eastAsia" w:ascii="宋体" w:hAnsi="宋体" w:eastAsia="宋体"/>
                <w:color w:val="auto"/>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20" w:line="480" w:lineRule="auto"/>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480" w:lineRule="auto"/>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480" w:lineRule="auto"/>
              <w:rPr>
                <w:rFonts w:ascii="宋体" w:hAnsi="宋体" w:eastAsia="宋体"/>
                <w:color w:val="auto"/>
                <w:highlight w:val="none"/>
              </w:rPr>
            </w:pPr>
            <w:r>
              <w:rPr>
                <w:rFonts w:ascii="宋体" w:hAnsi="宋体" w:eastAsia="宋体"/>
                <w:color w:val="auto"/>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480" w:lineRule="auto"/>
              <w:rPr>
                <w:rFonts w:ascii="宋体" w:hAnsi="宋体" w:eastAsia="宋体"/>
                <w:color w:val="auto"/>
                <w:highlight w:val="none"/>
              </w:rPr>
            </w:pPr>
            <w:r>
              <w:rPr>
                <w:rFonts w:hint="eastAsia" w:ascii="宋体" w:hAnsi="宋体" w:eastAsia="宋体"/>
                <w:color w:val="auto"/>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480" w:lineRule="auto"/>
              <w:rPr>
                <w:rFonts w:ascii="宋体" w:hAnsi="宋体" w:eastAsia="宋体"/>
                <w:color w:val="auto"/>
                <w:highlight w:val="none"/>
              </w:rPr>
            </w:pPr>
            <w:r>
              <w:rPr>
                <w:rFonts w:ascii="宋体" w:hAnsi="宋体" w:eastAsia="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480" w:lineRule="auto"/>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480" w:lineRule="auto"/>
              <w:rPr>
                <w:rFonts w:ascii="宋体" w:hAnsi="宋体" w:eastAsia="宋体"/>
                <w:color w:val="auto"/>
                <w:highlight w:val="none"/>
              </w:rPr>
            </w:pPr>
            <w:r>
              <w:rPr>
                <w:rFonts w:ascii="宋体" w:hAnsi="宋体" w:eastAsia="宋体"/>
                <w:color w:val="auto"/>
                <w:highlight w:val="none"/>
              </w:rPr>
            </w:r>
            <w:r/>
          </w:p>
        </w:tc>
      </w:tr>
    </w:tbl>
    <w:p>
      <w:pPr>
        <w:spacing w:line="480" w:lineRule="auto"/>
        <w:rPr>
          <w:rFonts w:ascii="宋体" w:hAnsi="宋体" w:eastAsia="宋体"/>
          <w:b/>
          <w:color w:val="auto"/>
          <w:highlight w:val="none"/>
        </w:rPr>
      </w:pPr>
      <w:r/>
      <w:bookmarkStart w:id="25" w:name="_Hlt26671343"/>
      <w:r/>
      <w:bookmarkEnd w:id="25"/>
      <w:r/>
      <w:bookmarkStart w:id="26" w:name="_Hlt26955064"/>
      <w:r/>
      <w:bookmarkEnd w:id="26"/>
      <w:r/>
      <w:bookmarkStart w:id="27" w:name="_Hlt26671372"/>
      <w:r/>
      <w:bookmarkEnd w:id="27"/>
      <w:r/>
      <w:bookmarkStart w:id="28" w:name="_Hlt26580838"/>
      <w:r/>
      <w:bookmarkEnd w:id="28"/>
      <w:r/>
      <w:bookmarkStart w:id="29" w:name="_Hlt24879081"/>
      <w:r/>
      <w:bookmarkEnd w:id="29"/>
      <w:r/>
      <w:bookmarkStart w:id="30" w:name="_Hlt26609391"/>
      <w:r/>
      <w:bookmarkEnd w:id="30"/>
      <w:r/>
      <w:bookmarkStart w:id="31" w:name="_Hlt26955056"/>
      <w:r/>
      <w:bookmarkEnd w:id="31"/>
      <w:r/>
      <w:bookmarkStart w:id="32" w:name="_Hlt26782999"/>
      <w:r/>
      <w:bookmarkEnd w:id="32"/>
      <w:r>
        <w:rPr>
          <w:rFonts w:ascii="宋体" w:hAnsi="宋体" w:eastAsia="宋体"/>
          <w:b/>
          <w:color w:val="auto"/>
          <w:highlight w:val="none"/>
        </w:rPr>
        <w:br w:type="page" w:clear="all"/>
      </w:r>
      <w:r/>
    </w:p>
    <w:p>
      <w:pPr>
        <w:jc w:val="center"/>
        <w:spacing w:before="240" w:line="48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主要标的信息（成交后将公示）</w:t>
      </w:r>
      <w:r/>
    </w:p>
    <w:p>
      <w:pPr>
        <w:spacing w:after="240" w:line="480" w:lineRule="auto"/>
        <w:rPr>
          <w:rFonts w:ascii="宋体" w:hAnsi="宋体" w:eastAsia="宋体"/>
          <w:b/>
          <w:color w:val="auto"/>
          <w:highlight w:val="none"/>
        </w:rPr>
      </w:pPr>
      <w:r>
        <w:rPr>
          <w:rFonts w:hint="eastAsia" w:ascii="宋体" w:hAnsi="宋体" w:eastAsia="宋体"/>
          <w:color w:val="auto"/>
          <w:highlight w:val="none"/>
        </w:rPr>
        <w:t xml:space="preserve">供应商全称：</w:t>
      </w:r>
      <w:r/>
    </w:p>
    <w:tbl>
      <w:tblPr>
        <w:tblStyle w:val="9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center"/>
            <w:textDirection w:val="lrTb"/>
            <w:noWrap w:val="false"/>
          </w:tcPr>
          <w:p>
            <w:pPr>
              <w:jc w:val="center"/>
              <w:spacing w:line="48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rPr>
              <w:t xml:space="preserve">类</w:t>
            </w:r>
            <w:r/>
          </w:p>
        </w:tc>
      </w:tr>
      <w:tr>
        <w:trPr>
          <w:trHeight w:val="3884"/>
        </w:trPr>
        <w:tc>
          <w:tcPr>
            <w:tcW w:w="8149" w:type="dxa"/>
            <w:textDirection w:val="lrTb"/>
            <w:noWrap w:val="false"/>
          </w:tcPr>
          <w:p>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服务范围：</w:t>
            </w:r>
            <w:r/>
          </w:p>
          <w:p>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服务要求：</w:t>
            </w:r>
            <w:r/>
          </w:p>
          <w:p>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服务时间：</w:t>
            </w:r>
            <w:r/>
          </w:p>
          <w:p>
            <w:pPr>
              <w:spacing w:line="480" w:lineRule="auto"/>
              <w:rPr>
                <w:rFonts w:ascii="宋体" w:hAnsi="宋体" w:eastAsia="宋体" w:cs="宋体"/>
                <w:color w:val="auto"/>
                <w:highlight w:val="none"/>
              </w:rPr>
            </w:pPr>
            <w:r>
              <w:rPr>
                <w:rFonts w:hint="eastAsia" w:ascii="宋体" w:hAnsi="宋体" w:eastAsia="宋体" w:cs="宋体"/>
                <w:color w:val="auto"/>
                <w:highlight w:val="none"/>
              </w:rPr>
              <w:t xml:space="preserve">服务标准：</w:t>
            </w:r>
            <w:r/>
          </w:p>
        </w:tc>
      </w:tr>
    </w:tbl>
    <w:p>
      <w:pPr>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ind w:firstLine="241"/>
        <w:jc w:val="center"/>
        <w:spacing w:line="48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联合体协议（如有）</w:t>
      </w:r>
      <w:r/>
    </w:p>
    <w:p>
      <w:pPr>
        <w:ind w:firstLine="211"/>
        <w:jc w:val="center"/>
        <w:spacing w:line="480" w:lineRule="auto"/>
        <w:rPr>
          <w:rFonts w:ascii="宋体" w:hAnsi="宋体" w:eastAsia="宋体"/>
          <w:b/>
          <w:color w:val="auto"/>
          <w:highlight w:val="none"/>
        </w:rPr>
      </w:pPr>
      <w:r>
        <w:rPr>
          <w:rFonts w:ascii="宋体" w:hAnsi="宋体" w:eastAsia="宋体"/>
          <w:b/>
          <w:color w:val="auto"/>
          <w:highlight w:val="none"/>
        </w:rPr>
      </w:r>
      <w:r/>
    </w:p>
    <w:p>
      <w:pPr>
        <w:spacing w:line="480" w:lineRule="auto"/>
        <w:rPr>
          <w:rFonts w:ascii="宋体" w:hAnsi="宋体" w:eastAsia="宋体"/>
          <w:color w:val="auto"/>
          <w:highlight w:val="none"/>
        </w:rPr>
      </w:pPr>
      <w:r>
        <w:rPr>
          <w:rFonts w:hint="eastAsia" w:ascii="宋体" w:hAnsi="宋体" w:eastAsia="宋体"/>
          <w:color w:val="auto"/>
          <w:highlight w:val="none"/>
        </w:rPr>
        <w:t xml:space="preserve">（联合体中各供应商全称）在此达成以下协议：</w:t>
      </w:r>
      <w:r/>
    </w:p>
    <w:p>
      <w:pPr>
        <w:ind w:firstLine="645"/>
        <w:spacing w:line="480" w:lineRule="auto"/>
        <w:rPr>
          <w:rFonts w:ascii="宋体" w:hAnsi="宋体" w:eastAsia="宋体"/>
          <w:color w:val="auto"/>
          <w:highlight w:val="none"/>
        </w:rPr>
      </w:pPr>
      <w:r>
        <w:rPr>
          <w:rFonts w:hint="eastAsia" w:ascii="宋体" w:hAnsi="宋体" w:eastAsia="宋体"/>
          <w:color w:val="auto"/>
          <w:highlight w:val="none"/>
        </w:rPr>
        <w:t xml:space="preserve">1、我们自愿组成联合体，参加（代理公司）组织的采购编号为（项目编号）（项目全称）的政府采购活动。</w:t>
      </w:r>
      <w:r/>
    </w:p>
    <w:p>
      <w:pPr>
        <w:ind w:firstLine="645"/>
        <w:spacing w:line="480" w:lineRule="auto"/>
        <w:rPr>
          <w:rFonts w:ascii="宋体" w:hAnsi="宋体" w:eastAsia="宋体"/>
          <w:color w:val="auto"/>
          <w:highlight w:val="none"/>
        </w:rPr>
      </w:pPr>
      <w:r>
        <w:rPr>
          <w:rFonts w:hint="eastAsia" w:ascii="宋体" w:hAnsi="宋体" w:eastAsia="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80" w:lineRule="auto"/>
        <w:rPr>
          <w:rFonts w:ascii="宋体" w:hAnsi="宋体" w:eastAsia="宋体"/>
          <w:color w:val="auto"/>
          <w:highlight w:val="none"/>
        </w:rPr>
      </w:pPr>
      <w:r>
        <w:rPr>
          <w:rFonts w:hint="eastAsia" w:ascii="宋体" w:hAnsi="宋体" w:eastAsia="宋体"/>
          <w:color w:val="auto"/>
          <w:sz w:val="24"/>
          <w:highlight w:val="none"/>
        </w:rPr>
        <w:t xml:space="preserve">                                       </w:t>
      </w:r>
      <w:r>
        <w:rPr>
          <w:rFonts w:hint="eastAsia" w:ascii="宋体" w:hAnsi="宋体" w:eastAsia="宋体"/>
          <w:color w:val="auto"/>
          <w:highlight w:val="none"/>
        </w:rPr>
        <w:t xml:space="preserve"> </w:t>
      </w:r>
      <w:r/>
    </w:p>
    <w:p>
      <w:pPr>
        <w:ind w:firstLine="4620"/>
        <w:spacing w:line="480" w:lineRule="auto"/>
        <w:rPr>
          <w:rFonts w:ascii="宋体" w:hAnsi="宋体" w:eastAsia="宋体"/>
          <w:color w:val="auto"/>
          <w:highlight w:val="none"/>
        </w:rPr>
      </w:pPr>
      <w:r>
        <w:rPr>
          <w:rFonts w:hint="eastAsia" w:ascii="宋体" w:hAnsi="宋体" w:eastAsia="宋体"/>
          <w:color w:val="auto"/>
          <w:highlight w:val="none"/>
        </w:rPr>
        <w:t xml:space="preserve">所有供应商全称：</w:t>
      </w:r>
      <w:r/>
    </w:p>
    <w:p>
      <w:pPr>
        <w:ind w:firstLine="645"/>
        <w:spacing w:line="480" w:lineRule="auto"/>
        <w:rPr>
          <w:rFonts w:ascii="宋体" w:hAnsi="宋体" w:eastAsia="宋体"/>
          <w:color w:val="auto"/>
          <w:highlight w:val="none"/>
        </w:rPr>
      </w:pPr>
      <w:r>
        <w:rPr>
          <w:rFonts w:hint="eastAsia" w:ascii="宋体" w:hAnsi="宋体" w:eastAsia="宋体"/>
          <w:color w:val="auto"/>
          <w:highlight w:val="none"/>
        </w:rPr>
        <w:t xml:space="preserve">                                      法定代表人：  </w:t>
      </w:r>
      <w:r/>
    </w:p>
    <w:p>
      <w:pPr>
        <w:ind w:firstLine="4620"/>
        <w:spacing w:line="480" w:lineRule="auto"/>
        <w:rPr>
          <w:rFonts w:ascii="宋体" w:hAnsi="宋体" w:eastAsia="宋体"/>
          <w:color w:val="auto"/>
          <w:highlight w:val="none"/>
        </w:rPr>
      </w:pPr>
      <w:r>
        <w:rPr>
          <w:rFonts w:hint="eastAsia" w:ascii="宋体" w:hAnsi="宋体" w:eastAsia="宋体"/>
          <w:color w:val="auto"/>
          <w:highlight w:val="none"/>
        </w:rPr>
        <w:t xml:space="preserve">日期：</w:t>
      </w:r>
      <w:r/>
    </w:p>
    <w:p>
      <w:pPr>
        <w:spacing w:before="91" w:line="226" w:lineRule="auto"/>
        <w:rPr>
          <w:rFonts w:ascii="宋体" w:hAnsi="宋体" w:eastAsia="宋体" w:cs="楷体"/>
          <w:color w:val="auto"/>
          <w:spacing w:val="14"/>
          <w:sz w:val="28"/>
          <w:szCs w:val="28"/>
          <w:highlight w:val="none"/>
        </w:rPr>
      </w:pPr>
      <w:r>
        <w:rPr>
          <w:rFonts w:ascii="宋体" w:hAnsi="宋体" w:eastAsia="宋体" w:cs="楷体"/>
          <w:color w:val="auto"/>
          <w:spacing w:val="14"/>
          <w:sz w:val="28"/>
          <w:szCs w:val="28"/>
          <w:highlight w:val="none"/>
        </w:rPr>
      </w:r>
      <w:r/>
    </w:p>
    <w:p>
      <w:pPr>
        <w:pStyle w:val="979"/>
        <w:rPr>
          <w:rFonts w:ascii="宋体" w:hAnsi="宋体" w:eastAsia="宋体"/>
          <w:color w:val="auto"/>
          <w:highlight w:val="none"/>
        </w:rPr>
      </w:pPr>
      <w:r>
        <w:rPr>
          <w:rFonts w:ascii="宋体" w:hAnsi="宋体" w:eastAsia="宋体"/>
          <w:color w:val="auto"/>
          <w:highlight w:val="none"/>
        </w:rPr>
      </w:r>
      <w:r/>
    </w:p>
    <w:p>
      <w:pPr>
        <w:spacing w:before="91" w:line="226" w:lineRule="auto"/>
        <w:rPr>
          <w:rFonts w:ascii="宋体" w:hAnsi="宋体" w:eastAsia="宋体" w:cs="楷体"/>
          <w:color w:val="auto"/>
          <w:spacing w:val="14"/>
          <w:sz w:val="28"/>
          <w:szCs w:val="28"/>
          <w:highlight w:val="none"/>
        </w:rPr>
      </w:pPr>
      <w:r>
        <w:rPr>
          <w:rFonts w:ascii="宋体" w:hAnsi="宋体" w:eastAsia="宋体" w:cs="楷体"/>
          <w:color w:val="auto"/>
          <w:spacing w:val="14"/>
          <w:sz w:val="28"/>
          <w:szCs w:val="28"/>
          <w:highlight w:val="none"/>
        </w:rPr>
      </w:r>
      <w:r/>
    </w:p>
    <w:p>
      <w:pPr>
        <w:spacing w:before="91" w:line="226" w:lineRule="auto"/>
        <w:rPr>
          <w:rFonts w:ascii="宋体" w:hAnsi="宋体" w:eastAsia="宋体" w:cs="楷体"/>
          <w:color w:val="auto"/>
          <w:spacing w:val="14"/>
          <w:sz w:val="28"/>
          <w:szCs w:val="28"/>
          <w:highlight w:val="none"/>
        </w:rPr>
      </w:pPr>
      <w:r>
        <w:rPr>
          <w:rFonts w:ascii="宋体" w:hAnsi="宋体" w:eastAsia="宋体" w:cs="楷体"/>
          <w:color w:val="auto"/>
          <w:spacing w:val="14"/>
          <w:sz w:val="28"/>
          <w:szCs w:val="28"/>
          <w:highlight w:val="none"/>
        </w:rPr>
      </w:r>
      <w:r/>
    </w:p>
    <w:p>
      <w:pPr>
        <w:spacing w:before="91" w:line="226" w:lineRule="auto"/>
        <w:rPr>
          <w:rFonts w:ascii="宋体" w:hAnsi="宋体" w:eastAsia="宋体" w:cs="楷体"/>
          <w:color w:val="auto"/>
          <w:spacing w:val="14"/>
          <w:sz w:val="28"/>
          <w:szCs w:val="28"/>
          <w:highlight w:val="none"/>
        </w:rPr>
      </w:pPr>
      <w:r>
        <w:rPr>
          <w:rFonts w:ascii="宋体" w:hAnsi="宋体" w:eastAsia="宋体" w:cs="楷体"/>
          <w:color w:val="auto"/>
          <w:spacing w:val="14"/>
          <w:sz w:val="28"/>
          <w:szCs w:val="28"/>
          <w:highlight w:val="none"/>
        </w:rPr>
      </w:r>
      <w:r/>
    </w:p>
    <w:p>
      <w:pPr>
        <w:spacing w:before="91" w:line="226" w:lineRule="auto"/>
        <w:rPr>
          <w:rFonts w:ascii="宋体" w:hAnsi="宋体" w:eastAsia="宋体" w:cs="楷体"/>
          <w:color w:val="auto"/>
          <w:spacing w:val="14"/>
          <w:sz w:val="28"/>
          <w:szCs w:val="28"/>
          <w:highlight w:val="none"/>
        </w:rPr>
      </w:pPr>
      <w:r>
        <w:rPr>
          <w:rFonts w:ascii="宋体" w:hAnsi="宋体" w:eastAsia="宋体" w:cs="楷体"/>
          <w:color w:val="auto"/>
          <w:spacing w:val="14"/>
          <w:sz w:val="28"/>
          <w:szCs w:val="28"/>
          <w:highlight w:val="none"/>
        </w:rPr>
      </w:r>
      <w:r/>
    </w:p>
    <w:p>
      <w:pPr>
        <w:spacing w:before="91" w:line="226" w:lineRule="auto"/>
        <w:rPr>
          <w:rFonts w:ascii="宋体" w:hAnsi="宋体" w:eastAsia="宋体" w:cs="楷体"/>
          <w:color w:val="auto"/>
          <w:spacing w:val="14"/>
          <w:sz w:val="28"/>
          <w:szCs w:val="28"/>
          <w:highlight w:val="none"/>
        </w:rPr>
      </w:pPr>
      <w:r>
        <w:rPr>
          <w:rFonts w:ascii="宋体" w:hAnsi="宋体" w:eastAsia="宋体" w:cs="楷体"/>
          <w:color w:val="auto"/>
          <w:spacing w:val="14"/>
          <w:sz w:val="28"/>
          <w:szCs w:val="28"/>
          <w:highlight w:val="none"/>
        </w:rPr>
      </w:r>
      <w:r/>
    </w:p>
    <w:p>
      <w:pPr>
        <w:spacing w:before="91" w:line="226" w:lineRule="auto"/>
        <w:rPr>
          <w:rFonts w:ascii="宋体" w:hAnsi="宋体" w:eastAsia="宋体" w:cs="楷体"/>
          <w:color w:val="auto"/>
          <w:spacing w:val="14"/>
          <w:sz w:val="28"/>
          <w:szCs w:val="28"/>
          <w:highlight w:val="none"/>
        </w:rPr>
      </w:pPr>
      <w:r>
        <w:rPr>
          <w:rFonts w:ascii="宋体" w:hAnsi="宋体" w:eastAsia="宋体" w:cs="楷体"/>
          <w:color w:val="auto"/>
          <w:spacing w:val="14"/>
          <w:sz w:val="28"/>
          <w:szCs w:val="28"/>
          <w:highlight w:val="none"/>
        </w:rPr>
      </w:r>
      <w:r/>
    </w:p>
    <w:p>
      <w:pPr>
        <w:spacing w:before="91" w:line="226" w:lineRule="auto"/>
        <w:rPr>
          <w:rFonts w:ascii="宋体" w:hAnsi="宋体" w:eastAsia="宋体" w:cs="楷体"/>
          <w:color w:val="auto"/>
          <w:spacing w:val="14"/>
          <w:sz w:val="24"/>
          <w:szCs w:val="24"/>
          <w:highlight w:val="none"/>
        </w:rPr>
      </w:pPr>
      <w:r>
        <w:rPr>
          <w:rFonts w:ascii="宋体" w:hAnsi="宋体" w:eastAsia="宋体" w:cs="楷体"/>
          <w:color w:val="auto"/>
          <w:spacing w:val="14"/>
          <w:sz w:val="24"/>
          <w:szCs w:val="24"/>
          <w:highlight w:val="none"/>
        </w:rPr>
      </w:r>
      <w:r/>
    </w:p>
    <w:p>
      <w:pPr>
        <w:rPr>
          <w:color w:val="auto"/>
          <w:highlight w:val="none"/>
        </w:rPr>
      </w:pPr>
      <w:r>
        <w:rPr>
          <w:color w:val="auto"/>
          <w:highlight w:val="none"/>
        </w:rPr>
      </w:r>
      <w:r/>
    </w:p>
    <w:sectPr>
      <w:footerReference w:type="default" r:id="rId13"/>
      <w:footnotePr/>
      <w:endnotePr/>
      <w:type w:val="nextPage"/>
      <w:pgSz w:w="11907" w:h="16839" w:orient="portrait"/>
      <w:pgMar w:top="1430" w:right="1418" w:bottom="1463" w:left="1432" w:header="0" w:footer="1285"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黑体">
    <w:panose1 w:val="02010609060101010101"/>
  </w:font>
  <w:font w:name="仿宋">
    <w:panose1 w:val="02010609060101010101"/>
  </w:font>
  <w:font w:name="等线">
    <w:panose1 w:val="02010600030101010101"/>
  </w:font>
  <w:font w:name="Courier New">
    <w:panose1 w:val="02070309020205020404"/>
  </w:font>
  <w:font w:name="宋体">
    <w:panose1 w:val="02010600030101010101"/>
  </w:font>
  <w:font w:name="Times New Roman">
    <w:panose1 w:val="02020603050405020304"/>
  </w:font>
  <w:font w:name="Cambria">
    <w:panose1 w:val="02040503050406030204"/>
  </w:font>
  <w:font w:name="Calibri">
    <w:panose1 w:val="020F0502020204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p>
    <w:pPr>
      <w:pStyle w:val="98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p>
    <w:pPr>
      <w:spacing w:line="182" w:lineRule="auto"/>
      <w:rPr>
        <w:rFonts w:ascii="宋体" w:hAnsi="宋体" w:eastAsia="宋体" w:cs="宋体"/>
        <w:sz w:val="18"/>
        <w:szCs w:val="18"/>
      </w:rPr>
    </w:pPr>
    <w:r>
      <w:rPr>
        <w:rFonts w:ascii="宋体" w:hAnsi="宋体" w:eastAsia="宋体"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szCs w:val="22"/>
      </w:rPr>
    </w:pPr>
    <w:r/>
    <w:bookmarkStart w:id="33" w:name="_Hlk69393956"/>
    <w:r/>
    <w:bookmarkStart w:id="34" w:name="_Hlk69393955"/>
    <w:r>
      <w:t xml:space="preserve">      </w:t>
    </w:r>
    <w:bookmarkEnd w:id="33"/>
    <w:r/>
    <w:bookmarkEnd w:id="34"/>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980"/>
    <w:link w:val="977"/>
    <w:uiPriority w:val="9"/>
    <w:rPr>
      <w:rFonts w:ascii="Arial" w:hAnsi="Arial" w:eastAsia="Arial" w:cs="Arial"/>
      <w:sz w:val="40"/>
      <w:szCs w:val="40"/>
    </w:rPr>
  </w:style>
  <w:style w:type="character" w:styleId="805">
    <w:name w:val="Heading 2 Char"/>
    <w:basedOn w:val="980"/>
    <w:link w:val="978"/>
    <w:uiPriority w:val="9"/>
    <w:rPr>
      <w:rFonts w:ascii="Arial" w:hAnsi="Arial" w:eastAsia="Arial" w:cs="Arial"/>
      <w:sz w:val="34"/>
    </w:rPr>
  </w:style>
  <w:style w:type="character" w:styleId="806">
    <w:name w:val="Heading 3 Char"/>
    <w:basedOn w:val="980"/>
    <w:link w:val="979"/>
    <w:uiPriority w:val="9"/>
    <w:rPr>
      <w:rFonts w:ascii="Arial" w:hAnsi="Arial" w:eastAsia="Arial" w:cs="Arial"/>
      <w:sz w:val="30"/>
      <w:szCs w:val="30"/>
    </w:rPr>
  </w:style>
  <w:style w:type="paragraph" w:styleId="807">
    <w:name w:val="Heading 4"/>
    <w:basedOn w:val="976"/>
    <w:next w:val="976"/>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basedOn w:val="980"/>
    <w:link w:val="807"/>
    <w:uiPriority w:val="9"/>
    <w:rPr>
      <w:rFonts w:ascii="Arial" w:hAnsi="Arial" w:eastAsia="Arial" w:cs="Arial"/>
      <w:b/>
      <w:bCs/>
      <w:sz w:val="26"/>
      <w:szCs w:val="26"/>
    </w:rPr>
  </w:style>
  <w:style w:type="paragraph" w:styleId="809">
    <w:name w:val="Heading 5"/>
    <w:basedOn w:val="976"/>
    <w:next w:val="976"/>
    <w:link w:val="810"/>
    <w:uiPriority w:val="9"/>
    <w:unhideWhenUsed/>
    <w:qFormat/>
    <w:pPr>
      <w:keepLines/>
      <w:keepNext/>
      <w:spacing w:before="320" w:after="200"/>
      <w:outlineLvl w:val="4"/>
    </w:pPr>
    <w:rPr>
      <w:rFonts w:ascii="Arial" w:hAnsi="Arial" w:eastAsia="Arial" w:cs="Arial"/>
      <w:b/>
      <w:bCs/>
      <w:sz w:val="24"/>
      <w:szCs w:val="24"/>
    </w:rPr>
  </w:style>
  <w:style w:type="character" w:styleId="810">
    <w:name w:val="Heading 5 Char"/>
    <w:basedOn w:val="980"/>
    <w:link w:val="809"/>
    <w:uiPriority w:val="9"/>
    <w:rPr>
      <w:rFonts w:ascii="Arial" w:hAnsi="Arial" w:eastAsia="Arial" w:cs="Arial"/>
      <w:b/>
      <w:bCs/>
      <w:sz w:val="24"/>
      <w:szCs w:val="24"/>
    </w:rPr>
  </w:style>
  <w:style w:type="paragraph" w:styleId="811">
    <w:name w:val="Heading 6"/>
    <w:basedOn w:val="976"/>
    <w:next w:val="976"/>
    <w:link w:val="812"/>
    <w:uiPriority w:val="9"/>
    <w:unhideWhenUsed/>
    <w:qFormat/>
    <w:pPr>
      <w:keepLines/>
      <w:keepNext/>
      <w:spacing w:before="320" w:after="200"/>
      <w:outlineLvl w:val="5"/>
    </w:pPr>
    <w:rPr>
      <w:rFonts w:ascii="Arial" w:hAnsi="Arial" w:eastAsia="Arial" w:cs="Arial"/>
      <w:b/>
      <w:bCs/>
      <w:sz w:val="22"/>
      <w:szCs w:val="22"/>
    </w:rPr>
  </w:style>
  <w:style w:type="character" w:styleId="812">
    <w:name w:val="Heading 6 Char"/>
    <w:basedOn w:val="980"/>
    <w:link w:val="811"/>
    <w:uiPriority w:val="9"/>
    <w:rPr>
      <w:rFonts w:ascii="Arial" w:hAnsi="Arial" w:eastAsia="Arial" w:cs="Arial"/>
      <w:b/>
      <w:bCs/>
      <w:sz w:val="22"/>
      <w:szCs w:val="22"/>
    </w:rPr>
  </w:style>
  <w:style w:type="paragraph" w:styleId="813">
    <w:name w:val="Heading 7"/>
    <w:basedOn w:val="976"/>
    <w:next w:val="976"/>
    <w:link w:val="814"/>
    <w:uiPriority w:val="9"/>
    <w:unhideWhenUsed/>
    <w:qFormat/>
    <w:pPr>
      <w:keepLines/>
      <w:keepNext/>
      <w:spacing w:before="320" w:after="200"/>
      <w:outlineLvl w:val="6"/>
    </w:pPr>
    <w:rPr>
      <w:rFonts w:ascii="Arial" w:hAnsi="Arial" w:eastAsia="Arial" w:cs="Arial"/>
      <w:b/>
      <w:bCs/>
      <w:i/>
      <w:iCs/>
      <w:sz w:val="22"/>
      <w:szCs w:val="22"/>
    </w:rPr>
  </w:style>
  <w:style w:type="character" w:styleId="814">
    <w:name w:val="Heading 7 Char"/>
    <w:basedOn w:val="980"/>
    <w:link w:val="813"/>
    <w:uiPriority w:val="9"/>
    <w:rPr>
      <w:rFonts w:ascii="Arial" w:hAnsi="Arial" w:eastAsia="Arial" w:cs="Arial"/>
      <w:b/>
      <w:bCs/>
      <w:i/>
      <w:iCs/>
      <w:sz w:val="22"/>
      <w:szCs w:val="22"/>
    </w:rPr>
  </w:style>
  <w:style w:type="paragraph" w:styleId="815">
    <w:name w:val="Heading 8"/>
    <w:basedOn w:val="976"/>
    <w:next w:val="976"/>
    <w:link w:val="816"/>
    <w:uiPriority w:val="9"/>
    <w:unhideWhenUsed/>
    <w:qFormat/>
    <w:pPr>
      <w:keepLines/>
      <w:keepNext/>
      <w:spacing w:before="320" w:after="200"/>
      <w:outlineLvl w:val="7"/>
    </w:pPr>
    <w:rPr>
      <w:rFonts w:ascii="Arial" w:hAnsi="Arial" w:eastAsia="Arial" w:cs="Arial"/>
      <w:i/>
      <w:iCs/>
      <w:sz w:val="22"/>
      <w:szCs w:val="22"/>
    </w:rPr>
  </w:style>
  <w:style w:type="character" w:styleId="816">
    <w:name w:val="Heading 8 Char"/>
    <w:basedOn w:val="980"/>
    <w:link w:val="815"/>
    <w:uiPriority w:val="9"/>
    <w:rPr>
      <w:rFonts w:ascii="Arial" w:hAnsi="Arial" w:eastAsia="Arial" w:cs="Arial"/>
      <w:i/>
      <w:iCs/>
      <w:sz w:val="22"/>
      <w:szCs w:val="22"/>
    </w:rPr>
  </w:style>
  <w:style w:type="paragraph" w:styleId="817">
    <w:name w:val="Heading 9"/>
    <w:basedOn w:val="976"/>
    <w:next w:val="976"/>
    <w:link w:val="818"/>
    <w:uiPriority w:val="9"/>
    <w:unhideWhenUsed/>
    <w:qFormat/>
    <w:pPr>
      <w:keepLines/>
      <w:keepNext/>
      <w:spacing w:before="320" w:after="200"/>
      <w:outlineLvl w:val="8"/>
    </w:pPr>
    <w:rPr>
      <w:rFonts w:ascii="Arial" w:hAnsi="Arial" w:eastAsia="Arial" w:cs="Arial"/>
      <w:i/>
      <w:iCs/>
      <w:sz w:val="21"/>
      <w:szCs w:val="21"/>
    </w:rPr>
  </w:style>
  <w:style w:type="character" w:styleId="818">
    <w:name w:val="Heading 9 Char"/>
    <w:basedOn w:val="980"/>
    <w:link w:val="817"/>
    <w:uiPriority w:val="9"/>
    <w:rPr>
      <w:rFonts w:ascii="Arial" w:hAnsi="Arial" w:eastAsia="Arial" w:cs="Arial"/>
      <w:i/>
      <w:iCs/>
      <w:sz w:val="21"/>
      <w:szCs w:val="21"/>
    </w:rPr>
  </w:style>
  <w:style w:type="paragraph" w:styleId="819">
    <w:name w:val="List Paragraph"/>
    <w:basedOn w:val="976"/>
    <w:uiPriority w:val="34"/>
    <w:qFormat/>
    <w:pPr>
      <w:contextualSpacing/>
      <w:ind w:left="720"/>
    </w:pPr>
  </w:style>
  <w:style w:type="paragraph" w:styleId="820">
    <w:name w:val="No Spacing"/>
    <w:uiPriority w:val="1"/>
    <w:qFormat/>
    <w:pPr>
      <w:spacing w:before="0" w:after="0" w:line="240" w:lineRule="auto"/>
    </w:pPr>
  </w:style>
  <w:style w:type="paragraph" w:styleId="821">
    <w:name w:val="Title"/>
    <w:basedOn w:val="976"/>
    <w:next w:val="976"/>
    <w:link w:val="822"/>
    <w:uiPriority w:val="10"/>
    <w:qFormat/>
    <w:pPr>
      <w:contextualSpacing/>
      <w:spacing w:before="300" w:after="200"/>
    </w:pPr>
    <w:rPr>
      <w:sz w:val="48"/>
      <w:szCs w:val="48"/>
    </w:rPr>
  </w:style>
  <w:style w:type="character" w:styleId="822">
    <w:name w:val="Title Char"/>
    <w:basedOn w:val="980"/>
    <w:link w:val="821"/>
    <w:uiPriority w:val="10"/>
    <w:rPr>
      <w:sz w:val="48"/>
      <w:szCs w:val="48"/>
    </w:rPr>
  </w:style>
  <w:style w:type="paragraph" w:styleId="823">
    <w:name w:val="Subtitle"/>
    <w:basedOn w:val="976"/>
    <w:next w:val="976"/>
    <w:link w:val="824"/>
    <w:uiPriority w:val="11"/>
    <w:qFormat/>
    <w:pPr>
      <w:spacing w:before="200" w:after="200"/>
    </w:pPr>
    <w:rPr>
      <w:sz w:val="24"/>
      <w:szCs w:val="24"/>
    </w:rPr>
  </w:style>
  <w:style w:type="character" w:styleId="824">
    <w:name w:val="Subtitle Char"/>
    <w:basedOn w:val="980"/>
    <w:link w:val="823"/>
    <w:uiPriority w:val="11"/>
    <w:rPr>
      <w:sz w:val="24"/>
      <w:szCs w:val="24"/>
    </w:rPr>
  </w:style>
  <w:style w:type="paragraph" w:styleId="825">
    <w:name w:val="Quote"/>
    <w:basedOn w:val="976"/>
    <w:next w:val="976"/>
    <w:link w:val="826"/>
    <w:uiPriority w:val="29"/>
    <w:qFormat/>
    <w:pPr>
      <w:ind w:left="720" w:right="720"/>
    </w:pPr>
    <w:rPr>
      <w:i/>
    </w:rPr>
  </w:style>
  <w:style w:type="character" w:styleId="826">
    <w:name w:val="Quote Char"/>
    <w:link w:val="825"/>
    <w:uiPriority w:val="29"/>
    <w:rPr>
      <w:i/>
    </w:rPr>
  </w:style>
  <w:style w:type="paragraph" w:styleId="827">
    <w:name w:val="Intense Quote"/>
    <w:basedOn w:val="976"/>
    <w:next w:val="976"/>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character" w:styleId="829">
    <w:name w:val="Header Char"/>
    <w:basedOn w:val="980"/>
    <w:link w:val="989"/>
    <w:uiPriority w:val="99"/>
  </w:style>
  <w:style w:type="character" w:styleId="830">
    <w:name w:val="Footer Char"/>
    <w:basedOn w:val="980"/>
    <w:link w:val="988"/>
    <w:uiPriority w:val="99"/>
  </w:style>
  <w:style w:type="paragraph" w:styleId="831">
    <w:name w:val="Caption"/>
    <w:basedOn w:val="976"/>
    <w:next w:val="976"/>
    <w:uiPriority w:val="35"/>
    <w:semiHidden/>
    <w:unhideWhenUsed/>
    <w:qFormat/>
    <w:pPr>
      <w:spacing w:line="276" w:lineRule="auto"/>
    </w:pPr>
    <w:rPr>
      <w:b/>
      <w:bCs/>
      <w:color w:val="4f81bd" w:themeColor="accent1"/>
      <w:sz w:val="18"/>
      <w:szCs w:val="18"/>
    </w:rPr>
  </w:style>
  <w:style w:type="character" w:styleId="832">
    <w:name w:val="Caption Char"/>
    <w:basedOn w:val="831"/>
    <w:link w:val="988"/>
    <w:uiPriority w:val="99"/>
  </w:style>
  <w:style w:type="table" w:styleId="833">
    <w:name w:val="Table Grid"/>
    <w:basedOn w:val="9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4">
    <w:name w:val="Table Grid Light"/>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5">
    <w:name w:val="Plain Table 1"/>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9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9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1 Light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2">
    <w:name w:val="Grid Table 1 Light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3">
    <w:name w:val="Grid Table 1 Light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4">
    <w:name w:val="Grid Table 1 Light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5">
    <w:name w:val="Grid Table 1 Light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6">
    <w:name w:val="Grid Table 1 Light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7">
    <w:name w:val="Grid Table 2"/>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2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9">
    <w:name w:val="Grid Table 2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2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2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2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3">
    <w:name w:val="Grid Table 2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4">
    <w:name w:val="Grid Table 3"/>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basedOn w:val="9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4 - Accent 1"/>
    <w:basedOn w:val="9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3">
    <w:name w:val="Grid Table 4 - Accent 2"/>
    <w:basedOn w:val="9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4">
    <w:name w:val="Grid Table 4 - Accent 3"/>
    <w:basedOn w:val="9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5">
    <w:name w:val="Grid Table 4 - Accent 4"/>
    <w:basedOn w:val="9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6">
    <w:name w:val="Grid Table 4 - Accent 5"/>
    <w:basedOn w:val="9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7">
    <w:name w:val="Grid Table 4 - Accent 6"/>
    <w:basedOn w:val="9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8">
    <w:name w:val="Grid Table 5 Dark"/>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5 Dark- Accent 1"/>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0">
    <w:name w:val="Grid Table 5 Dark - Accent 2"/>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1">
    <w:name w:val="Grid Table 5 Dark - Accent 3"/>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2">
    <w:name w:val="Grid Table 5 Dark- Accent 4"/>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3">
    <w:name w:val="Grid Table 5 Dark - Accent 5"/>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4">
    <w:name w:val="Grid Table 5 Dark - Accent 6"/>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5">
    <w:name w:val="Grid Table 6 Colorful"/>
    <w:basedOn w:val="9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6 Colorful - Accent 1"/>
    <w:basedOn w:val="9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7">
    <w:name w:val="Grid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8">
    <w:name w:val="Grid Table 6 Colorful - Accent 3"/>
    <w:basedOn w:val="9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9">
    <w:name w:val="Grid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0">
    <w:name w:val="Grid Table 6 Colorful - Accent 5"/>
    <w:basedOn w:val="9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1">
    <w:name w:val="Grid Table 6 Colorful - Accent 6"/>
    <w:basedOn w:val="9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2">
    <w:name w:val="Grid Table 7 Colorful"/>
    <w:basedOn w:val="9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Grid Table 7 Colorful - Accent 1"/>
    <w:basedOn w:val="9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4">
    <w:name w:val="Grid Table 7 Colorful - Accent 2"/>
    <w:basedOn w:val="9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7 Colorful - Accent 3"/>
    <w:basedOn w:val="9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7 Colorful - Accent 4"/>
    <w:basedOn w:val="9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7 Colorful - Accent 5"/>
    <w:basedOn w:val="9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8">
    <w:name w:val="Grid Table 7 Colorful - Accent 6"/>
    <w:basedOn w:val="9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9">
    <w:name w:val="List Table 1 Light"/>
    <w:basedOn w:val="9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1 Light - Accent 1"/>
    <w:basedOn w:val="98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1">
    <w:name w:val="List Table 1 Light - Accent 2"/>
    <w:basedOn w:val="98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2">
    <w:name w:val="List Table 1 Light - Accent 3"/>
    <w:basedOn w:val="98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3">
    <w:name w:val="List Table 1 Light - Accent 4"/>
    <w:basedOn w:val="98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4">
    <w:name w:val="List Table 1 Light - Accent 5"/>
    <w:basedOn w:val="98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5">
    <w:name w:val="List Table 1 Light - Accent 6"/>
    <w:basedOn w:val="98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6">
    <w:name w:val="List Table 2"/>
    <w:basedOn w:val="9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7">
    <w:name w:val="List Table 2 - Accent 1"/>
    <w:basedOn w:val="9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8">
    <w:name w:val="List Table 2 - Accent 2"/>
    <w:basedOn w:val="9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9">
    <w:name w:val="List Table 2 - Accent 3"/>
    <w:basedOn w:val="9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0">
    <w:name w:val="List Table 2 - Accent 4"/>
    <w:basedOn w:val="9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1">
    <w:name w:val="List Table 2 - Accent 5"/>
    <w:basedOn w:val="9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2">
    <w:name w:val="List Table 2 - Accent 6"/>
    <w:basedOn w:val="9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3">
    <w:name w:val="List Table 3"/>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3 - Accent 1"/>
    <w:basedOn w:val="9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5">
    <w:name w:val="List Table 3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6">
    <w:name w:val="List Table 3 - Accent 3"/>
    <w:basedOn w:val="9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7">
    <w:name w:val="List Table 3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8">
    <w:name w:val="List Table 3 - Accent 5"/>
    <w:basedOn w:val="9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9">
    <w:name w:val="List Table 3 - Accent 6"/>
    <w:basedOn w:val="9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0">
    <w:name w:val="List Table 4"/>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 Accent 1"/>
    <w:basedOn w:val="9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2">
    <w:name w:val="List Table 4 - Accent 2"/>
    <w:basedOn w:val="9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3">
    <w:name w:val="List Table 4 - Accent 3"/>
    <w:basedOn w:val="9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4">
    <w:name w:val="List Table 4 - Accent 4"/>
    <w:basedOn w:val="9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5">
    <w:name w:val="List Table 4 - Accent 5"/>
    <w:basedOn w:val="9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6">
    <w:name w:val="List Table 4 - Accent 6"/>
    <w:basedOn w:val="9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7">
    <w:name w:val="List Table 5 Dark"/>
    <w:basedOn w:val="9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1"/>
    <w:basedOn w:val="9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2"/>
    <w:basedOn w:val="9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3"/>
    <w:basedOn w:val="9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4"/>
    <w:basedOn w:val="9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5"/>
    <w:basedOn w:val="9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6"/>
    <w:basedOn w:val="9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6 Colorful"/>
    <w:basedOn w:val="9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5">
    <w:name w:val="List Table 6 Colorful - Accent 1"/>
    <w:basedOn w:val="9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6">
    <w:name w:val="List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7">
    <w:name w:val="List Table 6 Colorful - Accent 3"/>
    <w:basedOn w:val="9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8">
    <w:name w:val="List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9">
    <w:name w:val="List Table 6 Colorful - Accent 5"/>
    <w:basedOn w:val="9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0">
    <w:name w:val="List Table 6 Colorful - Accent 6"/>
    <w:basedOn w:val="9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1">
    <w:name w:val="List Table 7 Colorful"/>
    <w:basedOn w:val="9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2">
    <w:name w:val="List Table 7 Colorful - Accent 1"/>
    <w:basedOn w:val="9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3">
    <w:name w:val="List Table 7 Colorful - Accent 2"/>
    <w:basedOn w:val="9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4">
    <w:name w:val="List Table 7 Colorful - Accent 3"/>
    <w:basedOn w:val="9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5">
    <w:name w:val="List Table 7 Colorful - Accent 4"/>
    <w:basedOn w:val="9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6">
    <w:name w:val="List Table 7 Colorful - Accent 5"/>
    <w:basedOn w:val="9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7">
    <w:name w:val="List Table 7 Colorful - Accent 6"/>
    <w:basedOn w:val="9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8">
    <w:name w:val="Lined - Accent"/>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Lined - Accent 1"/>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0">
    <w:name w:val="Lined - Accent 2"/>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1">
    <w:name w:val="Lined - Accent 3"/>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2">
    <w:name w:val="Lined - Accent 4"/>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3">
    <w:name w:val="Lined - Accent 5"/>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4">
    <w:name w:val="Lined - Accent 6"/>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5">
    <w:name w:val="Bordered &amp; Lined - Accent"/>
    <w:basedOn w:val="9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Bordered &amp; Lined - Accent 1"/>
    <w:basedOn w:val="9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7">
    <w:name w:val="Bordered &amp; Lined - Accent 2"/>
    <w:basedOn w:val="9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8">
    <w:name w:val="Bordered &amp; Lined - Accent 3"/>
    <w:basedOn w:val="9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9">
    <w:name w:val="Bordered &amp; Lined - Accent 4"/>
    <w:basedOn w:val="9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0">
    <w:name w:val="Bordered &amp; Lined - Accent 5"/>
    <w:basedOn w:val="9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1">
    <w:name w:val="Bordered &amp; Lined - Accent 6"/>
    <w:basedOn w:val="9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2">
    <w:name w:val="Bordered"/>
    <w:basedOn w:val="9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3">
    <w:name w:val="Bordered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4">
    <w:name w:val="Bordered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5">
    <w:name w:val="Bordered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6">
    <w:name w:val="Bordered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7">
    <w:name w:val="Bordered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8">
    <w:name w:val="Bordered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9">
    <w:name w:val="Hyperlink"/>
    <w:uiPriority w:val="99"/>
    <w:unhideWhenUsed/>
    <w:rPr>
      <w:color w:val="0000ff" w:themeColor="hyperlink"/>
      <w:u w:val="single"/>
    </w:rPr>
  </w:style>
  <w:style w:type="paragraph" w:styleId="960">
    <w:name w:val="footnote text"/>
    <w:basedOn w:val="976"/>
    <w:link w:val="961"/>
    <w:uiPriority w:val="99"/>
    <w:semiHidden/>
    <w:unhideWhenUsed/>
    <w:pPr>
      <w:spacing w:after="40" w:line="240" w:lineRule="auto"/>
    </w:pPr>
    <w:rPr>
      <w:sz w:val="18"/>
    </w:rPr>
  </w:style>
  <w:style w:type="character" w:styleId="961">
    <w:name w:val="Footnote Text Char"/>
    <w:link w:val="960"/>
    <w:uiPriority w:val="99"/>
    <w:rPr>
      <w:sz w:val="18"/>
    </w:rPr>
  </w:style>
  <w:style w:type="character" w:styleId="962">
    <w:name w:val="footnote reference"/>
    <w:basedOn w:val="980"/>
    <w:uiPriority w:val="99"/>
    <w:unhideWhenUsed/>
    <w:rPr>
      <w:vertAlign w:val="superscript"/>
    </w:rPr>
  </w:style>
  <w:style w:type="paragraph" w:styleId="963">
    <w:name w:val="endnote text"/>
    <w:basedOn w:val="976"/>
    <w:link w:val="964"/>
    <w:uiPriority w:val="99"/>
    <w:semiHidden/>
    <w:unhideWhenUsed/>
    <w:pPr>
      <w:spacing w:after="0" w:line="240" w:lineRule="auto"/>
    </w:pPr>
    <w:rPr>
      <w:sz w:val="20"/>
    </w:rPr>
  </w:style>
  <w:style w:type="character" w:styleId="964">
    <w:name w:val="Endnote Text Char"/>
    <w:link w:val="963"/>
    <w:uiPriority w:val="99"/>
    <w:rPr>
      <w:sz w:val="20"/>
    </w:rPr>
  </w:style>
  <w:style w:type="character" w:styleId="965">
    <w:name w:val="endnote reference"/>
    <w:basedOn w:val="980"/>
    <w:uiPriority w:val="99"/>
    <w:semiHidden/>
    <w:unhideWhenUsed/>
    <w:rPr>
      <w:vertAlign w:val="superscript"/>
    </w:rPr>
  </w:style>
  <w:style w:type="paragraph" w:styleId="966">
    <w:name w:val="toc 1"/>
    <w:basedOn w:val="976"/>
    <w:next w:val="976"/>
    <w:uiPriority w:val="39"/>
    <w:unhideWhenUsed/>
    <w:pPr>
      <w:ind w:left="0" w:right="0" w:firstLine="0"/>
      <w:spacing w:after="57"/>
    </w:pPr>
  </w:style>
  <w:style w:type="paragraph" w:styleId="967">
    <w:name w:val="toc 2"/>
    <w:basedOn w:val="976"/>
    <w:next w:val="976"/>
    <w:uiPriority w:val="39"/>
    <w:unhideWhenUsed/>
    <w:pPr>
      <w:ind w:left="283" w:right="0" w:firstLine="0"/>
      <w:spacing w:after="57"/>
    </w:pPr>
  </w:style>
  <w:style w:type="paragraph" w:styleId="968">
    <w:name w:val="toc 3"/>
    <w:basedOn w:val="976"/>
    <w:next w:val="976"/>
    <w:uiPriority w:val="39"/>
    <w:unhideWhenUsed/>
    <w:pPr>
      <w:ind w:left="567" w:right="0" w:firstLine="0"/>
      <w:spacing w:after="57"/>
    </w:pPr>
  </w:style>
  <w:style w:type="paragraph" w:styleId="969">
    <w:name w:val="toc 4"/>
    <w:basedOn w:val="976"/>
    <w:next w:val="976"/>
    <w:uiPriority w:val="39"/>
    <w:unhideWhenUsed/>
    <w:pPr>
      <w:ind w:left="850" w:right="0" w:firstLine="0"/>
      <w:spacing w:after="57"/>
    </w:pPr>
  </w:style>
  <w:style w:type="paragraph" w:styleId="970">
    <w:name w:val="toc 5"/>
    <w:basedOn w:val="976"/>
    <w:next w:val="976"/>
    <w:uiPriority w:val="39"/>
    <w:unhideWhenUsed/>
    <w:pPr>
      <w:ind w:left="1134" w:right="0" w:firstLine="0"/>
      <w:spacing w:after="57"/>
    </w:pPr>
  </w:style>
  <w:style w:type="paragraph" w:styleId="971">
    <w:name w:val="toc 6"/>
    <w:basedOn w:val="976"/>
    <w:next w:val="976"/>
    <w:uiPriority w:val="39"/>
    <w:unhideWhenUsed/>
    <w:pPr>
      <w:ind w:left="1417" w:right="0" w:firstLine="0"/>
      <w:spacing w:after="57"/>
    </w:pPr>
  </w:style>
  <w:style w:type="paragraph" w:styleId="972">
    <w:name w:val="toc 7"/>
    <w:basedOn w:val="976"/>
    <w:next w:val="976"/>
    <w:uiPriority w:val="39"/>
    <w:unhideWhenUsed/>
    <w:pPr>
      <w:ind w:left="1701" w:right="0" w:firstLine="0"/>
      <w:spacing w:after="57"/>
    </w:pPr>
  </w:style>
  <w:style w:type="paragraph" w:styleId="973">
    <w:name w:val="toc 9"/>
    <w:basedOn w:val="976"/>
    <w:next w:val="976"/>
    <w:uiPriority w:val="39"/>
    <w:unhideWhenUsed/>
    <w:pPr>
      <w:ind w:left="2268" w:right="0" w:firstLine="0"/>
      <w:spacing w:after="57"/>
    </w:p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uiPriority w:val="0"/>
    <w:qFormat/>
    <w:rPr>
      <w:rFonts w:ascii="Arial" w:hAnsi="Arial" w:eastAsia="Arial" w:cs="Arial"/>
      <w:color w:val="000000"/>
      <w:sz w:val="21"/>
      <w:szCs w:val="21"/>
      <w:lang w:val="en-US" w:eastAsia="zh-CN" w:bidi="ar-SA"/>
    </w:rPr>
  </w:style>
  <w:style w:type="paragraph" w:styleId="977">
    <w:name w:val="Heading 1"/>
    <w:basedOn w:val="976"/>
    <w:next w:val="976"/>
    <w:uiPriority w:val="99"/>
    <w:qFormat/>
    <w:pPr>
      <w:keepLines/>
      <w:keepNext/>
      <w:spacing w:before="340" w:after="330" w:line="578" w:lineRule="auto"/>
      <w:outlineLvl w:val="0"/>
    </w:pPr>
    <w:rPr>
      <w:rFonts w:ascii="Calibri" w:hAnsi="Calibri"/>
      <w:b/>
      <w:bCs/>
      <w:sz w:val="44"/>
      <w:szCs w:val="44"/>
    </w:rPr>
  </w:style>
  <w:style w:type="paragraph" w:styleId="978">
    <w:name w:val="Heading 2"/>
    <w:basedOn w:val="976"/>
    <w:next w:val="982"/>
    <w:uiPriority w:val="9"/>
    <w:qFormat/>
    <w:pPr>
      <w:keepLines/>
      <w:keepNext/>
      <w:spacing w:before="260" w:after="260" w:line="416" w:lineRule="auto"/>
      <w:outlineLvl w:val="1"/>
    </w:pPr>
    <w:rPr>
      <w:rFonts w:ascii="Cambria" w:hAnsi="Cambria"/>
      <w:b/>
      <w:bCs/>
      <w:sz w:val="32"/>
      <w:szCs w:val="32"/>
    </w:rPr>
  </w:style>
  <w:style w:type="paragraph" w:styleId="979">
    <w:name w:val="Heading 3"/>
    <w:basedOn w:val="976"/>
    <w:next w:val="976"/>
    <w:uiPriority w:val="0"/>
    <w:qFormat/>
    <w:pPr>
      <w:keepLines/>
      <w:keepNext/>
      <w:spacing w:before="260" w:after="260" w:line="416" w:lineRule="auto"/>
      <w:outlineLvl w:val="2"/>
    </w:pPr>
    <w:rPr>
      <w:rFonts w:ascii="Calibri" w:hAnsi="Calibri"/>
      <w:b/>
      <w:bCs/>
      <w:sz w:val="32"/>
      <w:szCs w:val="32"/>
    </w:rPr>
  </w:style>
  <w:style w:type="character" w:styleId="980" w:default="1">
    <w:name w:val="Default Paragraph Font"/>
    <w:uiPriority w:val="0"/>
    <w:semiHidden/>
    <w:qFormat/>
  </w:style>
  <w:style w:type="table" w:styleId="981" w:default="1">
    <w:name w:val="Normal Table"/>
    <w:uiPriority w:val="0"/>
    <w:semiHidden/>
    <w:qFormat/>
    <w:tblPr>
      <w:tblCellMar>
        <w:left w:w="108" w:type="dxa"/>
        <w:top w:w="0" w:type="dxa"/>
        <w:right w:w="108" w:type="dxa"/>
        <w:bottom w:w="0" w:type="dxa"/>
      </w:tblCellMar>
    </w:tblPr>
  </w:style>
  <w:style w:type="paragraph" w:styleId="982">
    <w:name w:val="Normal Indent"/>
    <w:basedOn w:val="976"/>
    <w:uiPriority w:val="0"/>
    <w:unhideWhenUsed/>
    <w:qFormat/>
    <w:pPr>
      <w:ind w:firstLine="420"/>
    </w:pPr>
    <w:rPr>
      <w:rFonts w:ascii="Calibri" w:hAnsi="Calibri" w:eastAsia="宋体" w:cs="Times New Roman"/>
    </w:rPr>
  </w:style>
  <w:style w:type="paragraph" w:styleId="983">
    <w:name w:val="annotation text"/>
    <w:basedOn w:val="976"/>
    <w:uiPriority w:val="0"/>
    <w:qFormat/>
    <w:pPr>
      <w:jc w:val="left"/>
    </w:pPr>
  </w:style>
  <w:style w:type="paragraph" w:styleId="984">
    <w:name w:val="Body Text"/>
    <w:basedOn w:val="976"/>
    <w:uiPriority w:val="1"/>
    <w:unhideWhenUsed/>
    <w:qFormat/>
    <w:pPr>
      <w:spacing w:after="120"/>
    </w:pPr>
    <w:rPr>
      <w:rFonts w:ascii="Times New Roman" w:hAnsi="Times New Roman"/>
    </w:rPr>
  </w:style>
  <w:style w:type="paragraph" w:styleId="985">
    <w:name w:val="Plain Text"/>
    <w:basedOn w:val="976"/>
    <w:uiPriority w:val="99"/>
    <w:unhideWhenUsed/>
    <w:qFormat/>
    <w:rPr>
      <w:rFonts w:ascii="宋体" w:hAnsi="Courier New"/>
      <w:sz w:val="20"/>
      <w:szCs w:val="20"/>
    </w:rPr>
  </w:style>
  <w:style w:type="paragraph" w:styleId="986">
    <w:name w:val="toc 8"/>
    <w:basedOn w:val="976"/>
    <w:next w:val="976"/>
    <w:uiPriority w:val="39"/>
    <w:unhideWhenUsed/>
    <w:qFormat/>
    <w:pPr>
      <w:ind w:left="2940"/>
    </w:pPr>
    <w:rPr>
      <w:rFonts w:ascii="等线" w:hAnsi="等线" w:eastAsia="等线" w:cs="黑体"/>
    </w:rPr>
  </w:style>
  <w:style w:type="paragraph" w:styleId="987">
    <w:name w:val="Date"/>
    <w:basedOn w:val="976"/>
    <w:next w:val="976"/>
    <w:uiPriority w:val="0"/>
    <w:qFormat/>
    <w:rPr>
      <w:sz w:val="24"/>
      <w:szCs w:val="20"/>
    </w:rPr>
  </w:style>
  <w:style w:type="paragraph" w:styleId="988">
    <w:name w:val="Footer"/>
    <w:basedOn w:val="976"/>
    <w:uiPriority w:val="99"/>
    <w:qFormat/>
    <w:pPr>
      <w:tabs>
        <w:tab w:val="center" w:pos="4153" w:leader="none"/>
        <w:tab w:val="right" w:pos="8306" w:leader="none"/>
      </w:tabs>
    </w:pPr>
    <w:rPr>
      <w:sz w:val="18"/>
    </w:rPr>
  </w:style>
  <w:style w:type="paragraph" w:styleId="989">
    <w:name w:val="Header"/>
    <w:basedOn w:val="97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table" w:styleId="990" w:customStyle="1">
    <w:name w:val="Table Normal"/>
    <w:uiPriority w:val="0"/>
    <w:qFormat/>
    <w:tblPr>
      <w:tblCellMar>
        <w:left w:w="0" w:type="dxa"/>
        <w:top w:w="0" w:type="dxa"/>
        <w:right w:w="0" w:type="dxa"/>
        <w:bottom w:w="0" w:type="dxa"/>
      </w:tblCellMar>
    </w:tblPr>
  </w:style>
  <w:style w:type="paragraph" w:styleId="991" w:customStyle="1">
    <w:name w:val="正文1"/>
    <w:basedOn w:val="976"/>
    <w:next w:val="976"/>
    <w:uiPriority w:val="0"/>
    <w:qFormat/>
    <w:pPr>
      <w:spacing w:line="360" w:lineRule="atLeast"/>
    </w:pPr>
    <w:rPr>
      <w:rFonts w:ascii="宋体" w:hAnsi="Calibri" w:eastAsia="宋体" w:cs="Times New Roman"/>
      <w:sz w:val="24"/>
      <w:szCs w:val="20"/>
    </w:rPr>
  </w:style>
  <w:style w:type="paragraph" w:styleId="992" w:customStyle="1">
    <w:name w:val="Table Text"/>
    <w:basedOn w:val="976"/>
    <w:uiPriority w:val="0"/>
    <w:semiHidden/>
    <w:qFormat/>
    <w:rPr>
      <w:rFonts w:ascii="仿宋" w:hAnsi="仿宋" w:eastAsia="仿宋" w:cs="仿宋"/>
      <w:sz w:val="24"/>
      <w:szCs w:val="24"/>
      <w:lang w:eastAsia="en-US"/>
    </w:rPr>
  </w:style>
  <w:style w:type="paragraph" w:styleId="993" w:customStyle="1">
    <w:name w:val="Default"/>
    <w:next w:val="976"/>
    <w:uiPriority w:val="0"/>
    <w:qFormat/>
    <w:pPr>
      <w:widowControl w:val="off"/>
    </w:pPr>
    <w:rPr>
      <w:rFonts w:ascii="Times New Roman" w:hAnsi="Times New Roman" w:eastAsia="宋体" w:cs="Times New Roman"/>
      <w:color w:val="000000"/>
      <w:sz w:val="24"/>
      <w:szCs w:val="24"/>
      <w:lang w:val="en-US" w:eastAsia="zh-CN" w:bidi="ar-SA"/>
    </w:rPr>
  </w:style>
  <w:style w:type="paragraph" w:styleId="994" w:customStyle="1">
    <w:name w:val="Char"/>
    <w:basedOn w:val="976"/>
    <w:uiPriority w:val="0"/>
    <w:qFormat/>
    <w:pPr>
      <w:ind w:firstLine="200"/>
      <w:tabs>
        <w:tab w:val="left" w:pos="360" w:leader="none"/>
      </w:tabs>
    </w:pPr>
    <w:rPr>
      <w:rFonts w:ascii="Times New Roman" w:hAnsi="Times New Roman" w:eastAsia="宋体" w:cs="Times New Roman"/>
      <w:sz w:val="28"/>
      <w:szCs w:val="30"/>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郑鑫</dc:creator>
  <cp:lastModifiedBy>郑鑫</cp:lastModifiedBy>
  <cp:revision>6</cp:revision>
  <dcterms:created xsi:type="dcterms:W3CDTF">2026-07-15T10:30:00Z</dcterms:created>
  <dcterms:modified xsi:type="dcterms:W3CDTF">2026-08-06T07:40:07Z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85296318C5A04A8E81E95B62D943EBEA_11</vt:lpwstr>
  </property>
  <property fmtid="{D5CDD505-2E9C-101B-9397-08002B2CF9AE}" pid="4" name="KSOTemplateDocerSaveRecord">
    <vt:lpwstr>eyJoZGlkIjoiZjAyYzJjMDdiNWVkNjk3MWZhNzQwNjc3MjEzMGVjMjYiLCJ1c2VySWQiOiIyMjc0MzI2NTkifQ==</vt:lpwstr>
  </property>
</Properties>
</file>