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bCs/>
          <w:color w:val="000000"/>
          <w:sz w:val="52"/>
          <w:highlight w:val="none"/>
        </w:rPr>
      </w:pPr>
      <w:r>
        <w:rPr>
          <w:rFonts w:hint="eastAsia" w:ascii="宋体" w:hAnsi="宋体"/>
          <w:b/>
          <w:bCs/>
          <w:color w:val="000000"/>
          <w:sz w:val="52"/>
          <w:highlight w:val="none"/>
        </w:rPr>
      </w:r>
      <w:r/>
    </w:p>
    <w:p>
      <w:pPr>
        <w:jc w:val="center"/>
        <w:rPr>
          <w:rFonts w:hint="eastAsia" w:ascii="宋体" w:hAnsi="宋体"/>
          <w:b/>
          <w:bCs/>
          <w:color w:val="auto"/>
          <w:sz w:val="72"/>
          <w:szCs w:val="24"/>
          <w:highlight w:val="none"/>
        </w:rPr>
      </w:pPr>
      <w:r>
        <w:rPr>
          <w:rFonts w:hint="eastAsia" w:ascii="宋体" w:hAnsi="宋体"/>
          <w:b/>
          <w:bCs/>
          <w:color w:val="auto"/>
          <w:sz w:val="72"/>
          <w:szCs w:val="24"/>
          <w:highlight w:val="none"/>
        </w:rPr>
        <w:t xml:space="preserve">宜 兴 市 政 府 采 购</w:t>
      </w:r>
      <w:r/>
    </w:p>
    <w:p>
      <w:pPr>
        <w:jc w:val="both"/>
        <w:rPr>
          <w:rFonts w:ascii="黑体" w:hAnsi="黑体" w:eastAsia="黑体"/>
          <w:b/>
          <w:bCs/>
          <w:color w:val="auto"/>
          <w:sz w:val="52"/>
          <w:szCs w:val="52"/>
          <w:highlight w:val="none"/>
        </w:rPr>
      </w:pPr>
      <w:r>
        <w:rPr>
          <w:rFonts w:ascii="黑体" w:hAnsi="黑体" w:eastAsia="黑体"/>
          <w:b/>
          <w:bCs/>
          <w:color w:val="auto"/>
          <w:sz w:val="52"/>
          <w:szCs w:val="52"/>
          <w:highlight w:val="none"/>
        </w:rPr>
      </w:r>
      <w:r/>
    </w:p>
    <w:p>
      <w:pPr>
        <w:jc w:val="center"/>
        <w:rPr>
          <w:rFonts w:hint="eastAsia" w:ascii="黑体" w:hAnsi="黑体" w:eastAsia="黑体"/>
          <w:b/>
          <w:bCs/>
          <w:color w:val="auto"/>
          <w:sz w:val="96"/>
          <w:szCs w:val="96"/>
          <w:highlight w:val="none"/>
        </w:rPr>
      </w:pPr>
      <w:r>
        <w:rPr>
          <w:rFonts w:hint="eastAsia" w:ascii="黑体" w:hAnsi="黑体" w:eastAsia="黑体"/>
          <w:b/>
          <w:bCs/>
          <w:color w:val="auto"/>
          <w:sz w:val="96"/>
          <w:szCs w:val="96"/>
          <w:highlight w:val="none"/>
        </w:rPr>
        <w:t xml:space="preserve">询</w:t>
      </w:r>
      <w:r/>
    </w:p>
    <w:p>
      <w:pPr>
        <w:jc w:val="center"/>
        <w:rPr>
          <w:rFonts w:hint="eastAsia" w:ascii="黑体" w:hAnsi="黑体" w:eastAsia="黑体"/>
          <w:b/>
          <w:bCs/>
          <w:color w:val="auto"/>
          <w:sz w:val="96"/>
          <w:szCs w:val="96"/>
          <w:highlight w:val="none"/>
        </w:rPr>
      </w:pPr>
      <w:r>
        <w:rPr>
          <w:rFonts w:hint="eastAsia" w:ascii="黑体" w:hAnsi="黑体" w:eastAsia="黑体"/>
          <w:b/>
          <w:bCs/>
          <w:color w:val="auto"/>
          <w:sz w:val="96"/>
          <w:szCs w:val="96"/>
          <w:highlight w:val="none"/>
        </w:rPr>
        <w:t xml:space="preserve">价</w:t>
      </w:r>
      <w:r/>
    </w:p>
    <w:p>
      <w:pPr>
        <w:jc w:val="center"/>
        <w:rPr>
          <w:rFonts w:hint="eastAsia" w:ascii="黑体" w:hAnsi="黑体" w:eastAsia="黑体"/>
          <w:b/>
          <w:bCs/>
          <w:color w:val="auto"/>
          <w:sz w:val="96"/>
          <w:szCs w:val="96"/>
          <w:highlight w:val="none"/>
        </w:rPr>
      </w:pPr>
      <w:r>
        <w:rPr>
          <w:rFonts w:hint="eastAsia" w:ascii="黑体" w:hAnsi="黑体" w:eastAsia="黑体"/>
          <w:b/>
          <w:bCs/>
          <w:color w:val="auto"/>
          <w:sz w:val="96"/>
          <w:szCs w:val="96"/>
          <w:highlight w:val="none"/>
        </w:rPr>
        <w:t xml:space="preserve">通</w:t>
      </w:r>
      <w:r/>
    </w:p>
    <w:p>
      <w:pPr>
        <w:jc w:val="center"/>
        <w:rPr>
          <w:rFonts w:hint="eastAsia" w:ascii="黑体" w:hAnsi="黑体" w:eastAsia="黑体"/>
          <w:b/>
          <w:bCs/>
          <w:color w:val="auto"/>
          <w:sz w:val="96"/>
          <w:szCs w:val="96"/>
          <w:highlight w:val="none"/>
        </w:rPr>
      </w:pPr>
      <w:r>
        <w:rPr>
          <w:rFonts w:hint="eastAsia" w:ascii="黑体" w:hAnsi="黑体" w:eastAsia="黑体"/>
          <w:b/>
          <w:bCs/>
          <w:color w:val="auto"/>
          <w:sz w:val="96"/>
          <w:szCs w:val="96"/>
          <w:highlight w:val="none"/>
        </w:rPr>
        <w:t xml:space="preserve">知</w:t>
      </w:r>
      <w:r/>
    </w:p>
    <w:p>
      <w:pPr>
        <w:jc w:val="center"/>
        <w:rPr>
          <w:rFonts w:ascii="黑体" w:hAnsi="黑体" w:eastAsia="黑体"/>
          <w:b/>
          <w:bCs/>
          <w:color w:val="auto"/>
          <w:sz w:val="96"/>
          <w:szCs w:val="96"/>
          <w:highlight w:val="none"/>
        </w:rPr>
      </w:pPr>
      <w:r>
        <w:rPr>
          <w:rFonts w:hint="eastAsia" w:ascii="黑体" w:hAnsi="黑体" w:eastAsia="黑体"/>
          <w:b/>
          <w:bCs/>
          <w:color w:val="auto"/>
          <w:sz w:val="96"/>
          <w:szCs w:val="96"/>
          <w:highlight w:val="none"/>
        </w:rPr>
        <w:t xml:space="preserve">书</w:t>
      </w:r>
      <w:r/>
    </w:p>
    <w:p>
      <w:pPr>
        <w:jc w:val="center"/>
        <w:rPr>
          <w:rFonts w:ascii="黑体" w:hAnsi="黑体" w:eastAsia="黑体"/>
          <w:color w:val="auto"/>
          <w:sz w:val="60"/>
          <w:szCs w:val="60"/>
          <w:highlight w:val="none"/>
        </w:rPr>
      </w:pPr>
      <w:r>
        <w:rPr>
          <w:rFonts w:hint="eastAsia" w:ascii="黑体" w:hAnsi="黑体" w:eastAsia="黑体"/>
          <w:color w:val="auto"/>
          <w:sz w:val="60"/>
          <w:szCs w:val="60"/>
          <w:highlight w:val="none"/>
        </w:rPr>
        <w:t xml:space="preserve">（电子标）</w:t>
      </w:r>
      <w:r/>
    </w:p>
    <w:p>
      <w:pP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JSZC-320282-JSJF-X2026-0013</w:t>
      </w:r>
      <w:r>
        <w:rPr>
          <w:rFonts w:hint="eastAsia" w:ascii="宋体" w:hAnsi="宋体" w:cs="宋体"/>
          <w:color w:val="auto"/>
          <w:sz w:val="32"/>
          <w:szCs w:val="32"/>
          <w:highlight w:val="none"/>
          <w:lang w:val="en-US" w:eastAsia="zh-CN"/>
        </w:rPr>
        <w:t xml:space="preserve">  </w:t>
      </w:r>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采购人：</w:t>
      </w:r>
      <w:r>
        <w:rPr>
          <w:rFonts w:hint="eastAsia" w:ascii="宋体" w:hAnsi="宋体" w:eastAsia="宋体" w:cs="宋体"/>
          <w:color w:val="auto"/>
          <w:sz w:val="32"/>
          <w:szCs w:val="32"/>
          <w:highlight w:val="none"/>
        </w:rPr>
        <w:t xml:space="preserve">宜兴市农业</w:t>
      </w:r>
      <w:r>
        <w:rPr>
          <w:rFonts w:hint="eastAsia" w:ascii="宋体" w:hAnsi="宋体"/>
          <w:color w:val="auto"/>
          <w:sz w:val="32"/>
          <w:szCs w:val="32"/>
          <w:highlight w:val="none"/>
        </w:rPr>
        <w:t xml:space="preserve">农村局</w:t>
      </w:r>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2026年宜兴市省级资金水稻病虫害防控物资采购发放项目</w:t>
      </w:r>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采购代理机构：</w:t>
      </w:r>
      <w:r>
        <w:rPr>
          <w:rFonts w:hint="eastAsia" w:ascii="宋体" w:hAnsi="宋体" w:cs="宋体"/>
          <w:color w:val="auto"/>
          <w:sz w:val="32"/>
          <w:szCs w:val="32"/>
          <w:highlight w:val="none"/>
          <w:lang w:val="en-US" w:eastAsia="zh-CN"/>
        </w:rPr>
        <w:t xml:space="preserve">江苏建发建设项目咨询有限公司</w:t>
      </w:r>
      <w:r/>
    </w:p>
    <w:p>
      <w:pPr>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lang w:eastAsia="zh-CN"/>
        </w:rPr>
        <w:t xml:space="preserve">二〇</w:t>
      </w:r>
      <w:r>
        <w:rPr>
          <w:rFonts w:hint="eastAsia" w:ascii="宋体" w:hAnsi="宋体" w:cs="宋体"/>
          <w:color w:val="auto"/>
          <w:sz w:val="32"/>
          <w:szCs w:val="32"/>
          <w:highlight w:val="none"/>
        </w:rPr>
        <w:t xml:space="preserve">二</w:t>
      </w:r>
      <w:r>
        <w:rPr>
          <w:rFonts w:hint="eastAsia" w:ascii="宋体" w:hAnsi="宋体" w:cs="宋体"/>
          <w:color w:val="auto"/>
          <w:sz w:val="32"/>
          <w:szCs w:val="32"/>
          <w:highlight w:val="none"/>
          <w:lang w:val="en-US" w:eastAsia="zh-CN"/>
        </w:rPr>
        <w:t xml:space="preserve">六</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lang w:val="en-US" w:eastAsia="zh-CN"/>
        </w:rPr>
        <w:t xml:space="preserve">八</w:t>
      </w:r>
      <w:r>
        <w:rPr>
          <w:rFonts w:hint="eastAsia" w:ascii="宋体" w:hAnsi="宋体" w:cs="宋体"/>
          <w:color w:val="auto"/>
          <w:sz w:val="32"/>
          <w:szCs w:val="32"/>
          <w:highlight w:val="none"/>
        </w:rPr>
        <w:t xml:space="preserve">月</w:t>
      </w:r>
      <w:r/>
    </w:p>
    <w:p>
      <w:pPr>
        <w:tabs>
          <w:tab w:val="left" w:pos="8610" w:leader="none"/>
        </w:tabs>
        <w:rPr>
          <w:rFonts w:eastAsia="黑体"/>
          <w:color w:val="auto"/>
          <w:sz w:val="48"/>
          <w:highlight w:val="none"/>
        </w:rPr>
      </w:pPr>
      <w:r>
        <w:rPr>
          <w:rStyle w:val="964"/>
          <w:rFonts w:eastAsia="黑体"/>
          <w:bCs/>
          <w:color w:val="auto"/>
          <w:sz w:val="48"/>
          <w:highlight w:val="none"/>
        </w:rPr>
        <w:tab/>
      </w:r>
      <w:r/>
    </w:p>
    <w:p>
      <w:pPr>
        <w:rPr>
          <w:rFonts w:eastAsia="黑体"/>
          <w:color w:val="auto"/>
          <w:sz w:val="48"/>
          <w:highlight w:val="none"/>
        </w:rPr>
        <w:sectPr>
          <w:footerReference w:type="default" r:id="rId9"/>
          <w:footerReference w:type="first" r:id="rId10"/>
          <w:footnotePr/>
          <w:endnotePr/>
          <w:type w:val="nextPage"/>
          <w:pgSz w:w="11905" w:h="16838" w:orient="portrait"/>
          <w:pgMar w:top="1134" w:right="1134" w:bottom="1134" w:left="1134" w:header="851" w:footer="850" w:gutter="0"/>
          <w:pgNumType w:start="1"/>
          <w:cols w:num="1" w:sep="0" w:space="1701" w:equalWidth="1"/>
          <w:docGrid w:linePitch="360"/>
        </w:sectPr>
      </w:pPr>
      <w:r>
        <w:rPr>
          <w:rFonts w:eastAsia="黑体"/>
          <w:color w:val="auto"/>
          <w:sz w:val="48"/>
          <w:highlight w:val="none"/>
        </w:rPr>
      </w:r>
      <w:r/>
    </w:p>
    <w:p>
      <w:pPr>
        <w:rPr>
          <w:rStyle w:val="964"/>
          <w:rFonts w:eastAsia="黑体"/>
          <w:bCs/>
          <w:color w:val="auto"/>
          <w:sz w:val="48"/>
          <w:highlight w:val="none"/>
        </w:rPr>
      </w:pPr>
      <w:r>
        <w:rPr>
          <w:rFonts w:eastAsia="黑体"/>
          <w:bCs/>
          <w:color w:val="auto"/>
          <w:sz w:val="48"/>
          <w:highlight w:val="none"/>
        </w:rPr>
      </w:r>
      <w:r/>
    </w:p>
    <w:p>
      <w:pPr>
        <w:jc w:val="center"/>
        <w:rPr>
          <w:rStyle w:val="964"/>
          <w:rFonts w:eastAsia="黑体"/>
          <w:bCs/>
          <w:color w:val="auto"/>
          <w:sz w:val="48"/>
          <w:highlight w:val="none"/>
        </w:rPr>
      </w:pPr>
      <w:r>
        <w:rPr>
          <w:rStyle w:val="964"/>
          <w:rFonts w:hint="eastAsia" w:eastAsia="黑体"/>
          <w:bCs/>
          <w:color w:val="auto"/>
          <w:sz w:val="48"/>
          <w:highlight w:val="none"/>
        </w:rPr>
        <w:t xml:space="preserve">目     录</w:t>
      </w:r>
      <w:r/>
    </w:p>
    <w:p>
      <w:pPr>
        <w:spacing w:line="360" w:lineRule="auto"/>
        <w:rPr>
          <w:rStyle w:val="964"/>
          <w:rFonts w:eastAsia="黑体"/>
          <w:bCs/>
          <w:color w:val="auto"/>
          <w:sz w:val="28"/>
          <w:szCs w:val="28"/>
          <w:highlight w:val="none"/>
        </w:rPr>
      </w:pPr>
      <w:r>
        <w:rPr>
          <w:rFonts w:eastAsia="黑体"/>
          <w:bCs/>
          <w:color w:val="auto"/>
          <w:sz w:val="28"/>
          <w:szCs w:val="28"/>
          <w:highlight w:val="none"/>
        </w:rPr>
      </w:r>
      <w:r/>
    </w:p>
    <w:p>
      <w:pPr>
        <w:jc w:val="center"/>
        <w:spacing w:line="360" w:lineRule="auto"/>
        <w:rPr>
          <w:rStyle w:val="964"/>
          <w:rFonts w:ascii="宋体" w:hAnsi="宋体" w:cs="宋体"/>
          <w:b/>
          <w:color w:val="auto"/>
          <w:sz w:val="30"/>
          <w:szCs w:val="30"/>
          <w:highlight w:val="none"/>
        </w:rPr>
      </w:pPr>
      <w:r>
        <w:rPr>
          <w:rFonts w:ascii="宋体" w:hAnsi="宋体" w:cs="宋体"/>
          <w:b/>
          <w:color w:val="auto"/>
          <w:sz w:val="30"/>
          <w:szCs w:val="30"/>
          <w:highlight w:val="none"/>
        </w:rPr>
      </w:r>
      <w:r/>
    </w:p>
    <w:p>
      <w:pPr>
        <w:pStyle w:val="935"/>
        <w:spacing w:line="360" w:lineRule="auto"/>
        <w:tabs>
          <w:tab w:val="right" w:pos="9637" w:leader="dot"/>
        </w:tabs>
        <w:rPr>
          <w:rFonts w:ascii="宋体" w:hAnsi="宋体" w:cs="宋体"/>
          <w:b/>
          <w:color w:val="auto"/>
          <w:sz w:val="30"/>
          <w:szCs w:val="30"/>
          <w:highlight w:val="none"/>
        </w:rPr>
      </w:pPr>
      <w:r>
        <w:rPr>
          <w:rFonts w:hint="eastAsia" w:ascii="宋体" w:hAnsi="宋体" w:cs="宋体"/>
          <w:b/>
          <w:color w:val="auto"/>
          <w:sz w:val="30"/>
          <w:szCs w:val="30"/>
          <w:highlight w:val="none"/>
        </w:rPr>
        <w:fldChar w:fldCharType="begin"/>
      </w:r>
      <w:r>
        <w:rPr>
          <w:rFonts w:hint="eastAsia" w:ascii="宋体" w:hAnsi="宋体" w:cs="宋体"/>
          <w:b/>
          <w:color w:val="auto"/>
          <w:sz w:val="30"/>
          <w:szCs w:val="30"/>
          <w:highlight w:val="none"/>
        </w:rPr>
        <w:instrText xml:space="preserve">TOC \o "1-3" \h \u </w:instrText>
      </w:r>
      <w:r>
        <w:rPr>
          <w:rFonts w:hint="eastAsia" w:ascii="宋体" w:hAnsi="宋体" w:cs="宋体"/>
          <w:b/>
          <w:color w:val="auto"/>
          <w:sz w:val="30"/>
          <w:szCs w:val="30"/>
          <w:highlight w:val="none"/>
        </w:rPr>
        <w:fldChar w:fldCharType="separate"/>
      </w:r>
      <w:r>
        <w:rPr>
          <w:color w:val="auto"/>
          <w:highlight w:val="none"/>
        </w:rPr>
        <w:fldChar w:fldCharType="begin"/>
      </w:r>
      <w:r>
        <w:rPr>
          <w:color w:val="auto"/>
          <w:highlight w:val="none"/>
        </w:rPr>
        <w:instrText xml:space="preserve"> HYPERLINK \l "_Toc26331" </w:instrText>
      </w:r>
      <w:r>
        <w:rPr>
          <w:color w:val="auto"/>
          <w:highlight w:val="none"/>
        </w:rPr>
        <w:fldChar w:fldCharType="separate"/>
      </w:r>
      <w:r>
        <w:rPr>
          <w:rFonts w:hint="eastAsia" w:ascii="宋体" w:hAnsi="宋体" w:cs="宋体"/>
          <w:b/>
          <w:color w:val="auto"/>
          <w:sz w:val="30"/>
          <w:szCs w:val="30"/>
          <w:highlight w:val="none"/>
        </w:rPr>
        <w:t xml:space="preserve">第一章 报价邀请函</w:t>
      </w:r>
      <w:r>
        <w:rPr>
          <w:rFonts w:hint="eastAsia" w:ascii="宋体" w:hAnsi="宋体" w:cs="宋体"/>
          <w:b/>
          <w:color w:val="auto"/>
          <w:sz w:val="30"/>
          <w:szCs w:val="30"/>
          <w:highlight w:val="none"/>
        </w:rPr>
        <w:tab/>
      </w:r>
      <w:r>
        <w:rPr>
          <w:rFonts w:hint="eastAsia" w:ascii="宋体" w:hAnsi="宋体" w:cs="宋体"/>
          <w:b/>
          <w:color w:val="auto"/>
          <w:sz w:val="30"/>
          <w:szCs w:val="30"/>
          <w:highlight w:val="none"/>
        </w:rPr>
        <w:fldChar w:fldCharType="begin"/>
      </w:r>
      <w:r>
        <w:rPr>
          <w:rFonts w:hint="eastAsia" w:ascii="宋体" w:hAnsi="宋体" w:cs="宋体"/>
          <w:b/>
          <w:color w:val="auto"/>
          <w:sz w:val="30"/>
          <w:szCs w:val="30"/>
          <w:highlight w:val="none"/>
        </w:rPr>
        <w:instrText xml:space="preserve"> PAGEREF _Toc26331 \h </w:instrText>
      </w:r>
      <w:r>
        <w:rPr>
          <w:rFonts w:hint="eastAsia" w:ascii="宋体" w:hAnsi="宋体" w:cs="宋体"/>
          <w:b/>
          <w:color w:val="auto"/>
          <w:sz w:val="30"/>
          <w:szCs w:val="30"/>
          <w:highlight w:val="none"/>
        </w:rPr>
        <w:fldChar w:fldCharType="separate"/>
      </w:r>
      <w:r>
        <w:rPr>
          <w:rFonts w:hint="eastAsia" w:ascii="宋体" w:hAnsi="宋体" w:cs="宋体"/>
          <w:b/>
          <w:color w:val="auto"/>
          <w:sz w:val="30"/>
          <w:szCs w:val="30"/>
          <w:highlight w:val="none"/>
        </w:rPr>
        <w:t xml:space="preserve">2</w:t>
      </w:r>
      <w:r>
        <w:rPr>
          <w:rFonts w:hint="eastAsia" w:ascii="宋体" w:hAnsi="宋体" w:cs="宋体"/>
          <w:b/>
          <w:color w:val="auto"/>
          <w:sz w:val="30"/>
          <w:szCs w:val="30"/>
          <w:highlight w:val="none"/>
        </w:rPr>
        <w:fldChar w:fldCharType="end"/>
      </w:r>
      <w:r>
        <w:rPr>
          <w:rFonts w:hint="eastAsia" w:ascii="宋体" w:hAnsi="宋体" w:cs="宋体"/>
          <w:b/>
          <w:color w:val="auto"/>
          <w:sz w:val="30"/>
          <w:szCs w:val="30"/>
          <w:highlight w:val="none"/>
        </w:rPr>
        <w:fldChar w:fldCharType="end"/>
      </w:r>
      <w:r/>
    </w:p>
    <w:p>
      <w:pPr>
        <w:pStyle w:val="935"/>
        <w:spacing w:line="360" w:lineRule="auto"/>
        <w:tabs>
          <w:tab w:val="right" w:pos="9637" w:leader="dot"/>
        </w:tabs>
        <w:rPr>
          <w:rFonts w:ascii="宋体" w:hAnsi="宋体" w:cs="宋体"/>
          <w:b/>
          <w:color w:val="auto"/>
          <w:sz w:val="30"/>
          <w:szCs w:val="30"/>
          <w:highlight w:val="none"/>
        </w:rPr>
      </w:pPr>
      <w:r>
        <w:rPr>
          <w:color w:val="auto"/>
          <w:highlight w:val="none"/>
        </w:rPr>
        <w:fldChar w:fldCharType="begin"/>
      </w:r>
      <w:r>
        <w:rPr>
          <w:color w:val="auto"/>
          <w:highlight w:val="none"/>
        </w:rPr>
        <w:instrText xml:space="preserve"> HYPERLINK \l "_Toc31677" </w:instrText>
      </w:r>
      <w:r>
        <w:rPr>
          <w:color w:val="auto"/>
          <w:highlight w:val="none"/>
        </w:rPr>
        <w:fldChar w:fldCharType="separate"/>
      </w:r>
      <w:r>
        <w:rPr>
          <w:rFonts w:hint="eastAsia" w:ascii="宋体" w:hAnsi="宋体" w:cs="宋体"/>
          <w:b/>
          <w:color w:val="auto"/>
          <w:sz w:val="30"/>
          <w:szCs w:val="30"/>
          <w:highlight w:val="none"/>
        </w:rPr>
        <w:t xml:space="preserve">第二章 供应商须知</w:t>
      </w:r>
      <w:r>
        <w:rPr>
          <w:rFonts w:hint="eastAsia" w:ascii="宋体" w:hAnsi="宋体" w:cs="宋体"/>
          <w:b/>
          <w:color w:val="auto"/>
          <w:sz w:val="30"/>
          <w:szCs w:val="30"/>
          <w:highlight w:val="none"/>
        </w:rPr>
        <w:tab/>
      </w:r>
      <w:r>
        <w:rPr>
          <w:rFonts w:hint="eastAsia" w:ascii="宋体" w:hAnsi="宋体" w:cs="宋体"/>
          <w:b/>
          <w:color w:val="auto"/>
          <w:sz w:val="30"/>
          <w:szCs w:val="30"/>
          <w:highlight w:val="none"/>
          <w:lang w:val="en-US" w:eastAsia="zh-CN"/>
        </w:rPr>
        <w:t xml:space="preserve">6</w:t>
      </w:r>
      <w:r>
        <w:rPr>
          <w:rFonts w:hint="eastAsia" w:ascii="宋体" w:hAnsi="宋体" w:cs="宋体"/>
          <w:b/>
          <w:color w:val="auto"/>
          <w:sz w:val="30"/>
          <w:szCs w:val="30"/>
          <w:highlight w:val="none"/>
        </w:rPr>
        <w:fldChar w:fldCharType="end"/>
      </w:r>
      <w:r/>
    </w:p>
    <w:p>
      <w:pPr>
        <w:pStyle w:val="935"/>
        <w:spacing w:line="360" w:lineRule="auto"/>
        <w:tabs>
          <w:tab w:val="right" w:pos="9637" w:leader="dot"/>
        </w:tabs>
        <w:rPr>
          <w:rFonts w:ascii="宋体" w:hAnsi="宋体" w:cs="宋体"/>
          <w:b/>
          <w:color w:val="auto"/>
          <w:sz w:val="30"/>
          <w:szCs w:val="30"/>
          <w:highlight w:val="none"/>
        </w:rPr>
      </w:pPr>
      <w:r>
        <w:rPr>
          <w:color w:val="auto"/>
          <w:highlight w:val="none"/>
        </w:rPr>
        <w:fldChar w:fldCharType="begin"/>
      </w:r>
      <w:r>
        <w:rPr>
          <w:color w:val="auto"/>
          <w:highlight w:val="none"/>
        </w:rPr>
        <w:instrText xml:space="preserve"> HYPERLINK \l "_Toc27169" </w:instrText>
      </w:r>
      <w:r>
        <w:rPr>
          <w:color w:val="auto"/>
          <w:highlight w:val="none"/>
        </w:rPr>
        <w:fldChar w:fldCharType="separate"/>
      </w:r>
      <w:r>
        <w:rPr>
          <w:rFonts w:hint="eastAsia" w:ascii="宋体" w:hAnsi="宋体" w:cs="宋体"/>
          <w:b/>
          <w:color w:val="auto"/>
          <w:sz w:val="30"/>
          <w:szCs w:val="30"/>
          <w:highlight w:val="none"/>
        </w:rPr>
        <w:t xml:space="preserve">第三章 项目技术要求和有关说明</w:t>
      </w:r>
      <w:r>
        <w:rPr>
          <w:rFonts w:hint="eastAsia" w:ascii="宋体" w:hAnsi="宋体" w:cs="宋体"/>
          <w:b/>
          <w:color w:val="auto"/>
          <w:sz w:val="30"/>
          <w:szCs w:val="30"/>
          <w:highlight w:val="none"/>
        </w:rPr>
        <w:tab/>
      </w:r>
      <w:r>
        <w:rPr>
          <w:rFonts w:hint="eastAsia" w:ascii="宋体" w:hAnsi="宋体" w:cs="宋体"/>
          <w:b/>
          <w:color w:val="auto"/>
          <w:sz w:val="30"/>
          <w:szCs w:val="30"/>
          <w:highlight w:val="none"/>
        </w:rPr>
        <w:fldChar w:fldCharType="begin"/>
      </w:r>
      <w:r>
        <w:rPr>
          <w:rFonts w:hint="eastAsia" w:ascii="宋体" w:hAnsi="宋体" w:cs="宋体"/>
          <w:b/>
          <w:color w:val="auto"/>
          <w:sz w:val="30"/>
          <w:szCs w:val="30"/>
          <w:highlight w:val="none"/>
        </w:rPr>
        <w:instrText xml:space="preserve"> PAGEREF _Toc27169 \h </w:instrText>
      </w:r>
      <w:r>
        <w:rPr>
          <w:rFonts w:hint="eastAsia" w:ascii="宋体" w:hAnsi="宋体" w:cs="宋体"/>
          <w:b/>
          <w:color w:val="auto"/>
          <w:sz w:val="30"/>
          <w:szCs w:val="30"/>
          <w:highlight w:val="none"/>
        </w:rPr>
        <w:fldChar w:fldCharType="separate"/>
      </w:r>
      <w:r>
        <w:rPr>
          <w:rFonts w:hint="eastAsia" w:ascii="宋体" w:hAnsi="宋体" w:cs="宋体"/>
          <w:b/>
          <w:color w:val="auto"/>
          <w:sz w:val="30"/>
          <w:szCs w:val="30"/>
          <w:highlight w:val="none"/>
        </w:rPr>
        <w:t xml:space="preserve">23</w:t>
      </w:r>
      <w:r>
        <w:rPr>
          <w:rFonts w:hint="eastAsia" w:ascii="宋体" w:hAnsi="宋体" w:cs="宋体"/>
          <w:b/>
          <w:color w:val="auto"/>
          <w:sz w:val="30"/>
          <w:szCs w:val="30"/>
          <w:highlight w:val="none"/>
        </w:rPr>
        <w:fldChar w:fldCharType="end"/>
      </w:r>
      <w:r>
        <w:rPr>
          <w:rFonts w:hint="eastAsia" w:ascii="宋体" w:hAnsi="宋体" w:cs="宋体"/>
          <w:b/>
          <w:color w:val="auto"/>
          <w:sz w:val="30"/>
          <w:szCs w:val="30"/>
          <w:highlight w:val="none"/>
        </w:rPr>
        <w:fldChar w:fldCharType="end"/>
      </w:r>
      <w:r/>
    </w:p>
    <w:p>
      <w:pPr>
        <w:pStyle w:val="935"/>
        <w:spacing w:line="360" w:lineRule="auto"/>
        <w:tabs>
          <w:tab w:val="right" w:pos="9637" w:leader="dot"/>
        </w:tabs>
        <w:rPr>
          <w:rFonts w:ascii="宋体" w:hAnsi="宋体" w:cs="宋体"/>
          <w:b/>
          <w:color w:val="auto"/>
          <w:sz w:val="30"/>
          <w:szCs w:val="30"/>
          <w:highlight w:val="none"/>
        </w:rPr>
      </w:pPr>
      <w:r>
        <w:rPr>
          <w:color w:val="auto"/>
          <w:highlight w:val="none"/>
        </w:rPr>
        <w:fldChar w:fldCharType="begin"/>
      </w:r>
      <w:r>
        <w:rPr>
          <w:color w:val="auto"/>
          <w:highlight w:val="none"/>
        </w:rPr>
        <w:instrText xml:space="preserve"> HYPERLINK \l "_Toc17672" </w:instrText>
      </w:r>
      <w:r>
        <w:rPr>
          <w:color w:val="auto"/>
          <w:highlight w:val="none"/>
        </w:rPr>
        <w:fldChar w:fldCharType="separate"/>
      </w:r>
      <w:r>
        <w:rPr>
          <w:rFonts w:hint="eastAsia" w:ascii="宋体" w:hAnsi="宋体" w:cs="宋体"/>
          <w:b/>
          <w:color w:val="auto"/>
          <w:sz w:val="30"/>
          <w:szCs w:val="30"/>
          <w:highlight w:val="none"/>
        </w:rPr>
        <w:t xml:space="preserve">第四章 政府采购合同（格式）</w:t>
      </w:r>
      <w:r>
        <w:rPr>
          <w:rFonts w:hint="eastAsia" w:ascii="宋体" w:hAnsi="宋体" w:cs="宋体"/>
          <w:b/>
          <w:color w:val="auto"/>
          <w:sz w:val="30"/>
          <w:szCs w:val="30"/>
          <w:highlight w:val="none"/>
        </w:rPr>
        <w:tab/>
      </w:r>
      <w:r>
        <w:rPr>
          <w:rFonts w:hint="eastAsia" w:ascii="宋体" w:hAnsi="宋体" w:cs="宋体"/>
          <w:b/>
          <w:color w:val="auto"/>
          <w:sz w:val="30"/>
          <w:szCs w:val="30"/>
          <w:highlight w:val="none"/>
        </w:rPr>
        <w:fldChar w:fldCharType="begin"/>
      </w:r>
      <w:r>
        <w:rPr>
          <w:rFonts w:hint="eastAsia" w:ascii="宋体" w:hAnsi="宋体" w:cs="宋体"/>
          <w:b/>
          <w:color w:val="auto"/>
          <w:sz w:val="30"/>
          <w:szCs w:val="30"/>
          <w:highlight w:val="none"/>
        </w:rPr>
        <w:instrText xml:space="preserve"> PAGEREF _Toc17672 \h </w:instrText>
      </w:r>
      <w:r>
        <w:rPr>
          <w:rFonts w:hint="eastAsia" w:ascii="宋体" w:hAnsi="宋体" w:cs="宋体"/>
          <w:b/>
          <w:color w:val="auto"/>
          <w:sz w:val="30"/>
          <w:szCs w:val="30"/>
          <w:highlight w:val="none"/>
        </w:rPr>
        <w:fldChar w:fldCharType="separate"/>
      </w:r>
      <w:r>
        <w:rPr>
          <w:rFonts w:hint="eastAsia" w:ascii="宋体" w:hAnsi="宋体" w:cs="宋体"/>
          <w:b/>
          <w:color w:val="auto"/>
          <w:sz w:val="30"/>
          <w:szCs w:val="30"/>
          <w:highlight w:val="none"/>
        </w:rPr>
        <w:t xml:space="preserve">26</w:t>
      </w:r>
      <w:r>
        <w:rPr>
          <w:rFonts w:hint="eastAsia" w:ascii="宋体" w:hAnsi="宋体" w:cs="宋体"/>
          <w:b/>
          <w:color w:val="auto"/>
          <w:sz w:val="30"/>
          <w:szCs w:val="30"/>
          <w:highlight w:val="none"/>
        </w:rPr>
        <w:fldChar w:fldCharType="end"/>
      </w:r>
      <w:r>
        <w:rPr>
          <w:rFonts w:hint="eastAsia" w:ascii="宋体" w:hAnsi="宋体" w:cs="宋体"/>
          <w:b/>
          <w:color w:val="auto"/>
          <w:sz w:val="30"/>
          <w:szCs w:val="30"/>
          <w:highlight w:val="none"/>
        </w:rPr>
        <w:fldChar w:fldCharType="end"/>
      </w:r>
      <w:r/>
    </w:p>
    <w:p>
      <w:pPr>
        <w:pStyle w:val="935"/>
        <w:spacing w:line="360" w:lineRule="auto"/>
        <w:tabs>
          <w:tab w:val="right" w:pos="9637" w:leader="dot"/>
        </w:tabs>
        <w:rPr>
          <w:rFonts w:ascii="宋体" w:hAnsi="宋体" w:cs="宋体"/>
          <w:b/>
          <w:color w:val="auto"/>
          <w:sz w:val="30"/>
          <w:szCs w:val="30"/>
          <w:highlight w:val="none"/>
        </w:rPr>
      </w:pPr>
      <w:r>
        <w:rPr>
          <w:color w:val="auto"/>
          <w:highlight w:val="none"/>
        </w:rPr>
        <w:fldChar w:fldCharType="begin"/>
      </w:r>
      <w:r>
        <w:rPr>
          <w:color w:val="auto"/>
          <w:highlight w:val="none"/>
        </w:rPr>
        <w:instrText xml:space="preserve"> HYPERLINK \l "_Toc31371" </w:instrText>
      </w:r>
      <w:r>
        <w:rPr>
          <w:color w:val="auto"/>
          <w:highlight w:val="none"/>
        </w:rPr>
        <w:fldChar w:fldCharType="separate"/>
      </w:r>
      <w:r>
        <w:rPr>
          <w:rFonts w:hint="eastAsia" w:ascii="宋体" w:hAnsi="宋体" w:cs="宋体"/>
          <w:b/>
          <w:color w:val="auto"/>
          <w:sz w:val="30"/>
          <w:szCs w:val="30"/>
          <w:highlight w:val="none"/>
        </w:rPr>
        <w:t xml:space="preserve">第五章 响应文件（格式）</w:t>
      </w:r>
      <w:r>
        <w:rPr>
          <w:rFonts w:hint="eastAsia" w:ascii="宋体" w:hAnsi="宋体" w:cs="宋体"/>
          <w:b/>
          <w:color w:val="auto"/>
          <w:sz w:val="30"/>
          <w:szCs w:val="30"/>
          <w:highlight w:val="none"/>
        </w:rPr>
        <w:tab/>
      </w:r>
      <w:r>
        <w:rPr>
          <w:rFonts w:hint="eastAsia" w:ascii="宋体" w:hAnsi="宋体" w:cs="宋体"/>
          <w:b/>
          <w:color w:val="auto"/>
          <w:sz w:val="30"/>
          <w:szCs w:val="30"/>
          <w:highlight w:val="none"/>
        </w:rPr>
        <w:fldChar w:fldCharType="begin"/>
      </w:r>
      <w:r>
        <w:rPr>
          <w:rFonts w:hint="eastAsia" w:ascii="宋体" w:hAnsi="宋体" w:cs="宋体"/>
          <w:b/>
          <w:color w:val="auto"/>
          <w:sz w:val="30"/>
          <w:szCs w:val="30"/>
          <w:highlight w:val="none"/>
        </w:rPr>
        <w:instrText xml:space="preserve"> PAGEREF _Toc31371 \h </w:instrText>
      </w:r>
      <w:r>
        <w:rPr>
          <w:rFonts w:hint="eastAsia" w:ascii="宋体" w:hAnsi="宋体" w:cs="宋体"/>
          <w:b/>
          <w:color w:val="auto"/>
          <w:sz w:val="30"/>
          <w:szCs w:val="30"/>
          <w:highlight w:val="none"/>
        </w:rPr>
        <w:fldChar w:fldCharType="separate"/>
      </w:r>
      <w:r>
        <w:rPr>
          <w:rFonts w:hint="eastAsia" w:ascii="宋体" w:hAnsi="宋体" w:cs="宋体"/>
          <w:b/>
          <w:color w:val="auto"/>
          <w:sz w:val="30"/>
          <w:szCs w:val="30"/>
          <w:highlight w:val="none"/>
        </w:rPr>
        <w:t xml:space="preserve">36</w:t>
      </w:r>
      <w:r>
        <w:rPr>
          <w:rFonts w:hint="eastAsia" w:ascii="宋体" w:hAnsi="宋体" w:cs="宋体"/>
          <w:b/>
          <w:color w:val="auto"/>
          <w:sz w:val="30"/>
          <w:szCs w:val="30"/>
          <w:highlight w:val="none"/>
        </w:rPr>
        <w:fldChar w:fldCharType="end"/>
      </w:r>
      <w:r>
        <w:rPr>
          <w:rFonts w:hint="eastAsia" w:ascii="宋体" w:hAnsi="宋体" w:cs="宋体"/>
          <w:b/>
          <w:color w:val="auto"/>
          <w:sz w:val="30"/>
          <w:szCs w:val="30"/>
          <w:highlight w:val="none"/>
        </w:rPr>
        <w:fldChar w:fldCharType="end"/>
      </w:r>
      <w:r/>
    </w:p>
    <w:p>
      <w:pPr>
        <w:pStyle w:val="982"/>
        <w:spacing w:line="360" w:lineRule="auto"/>
        <w:rPr>
          <w:rFonts w:ascii="宋体" w:hAnsi="宋体" w:cs="宋体"/>
          <w:b/>
          <w:color w:val="auto"/>
          <w:sz w:val="28"/>
          <w:szCs w:val="28"/>
          <w:highlight w:val="none"/>
        </w:rPr>
        <w:sectPr>
          <w:footerReference w:type="default" r:id="rId11"/>
          <w:footerReference w:type="first" r:id="rId12"/>
          <w:footnotePr/>
          <w:endnotePr/>
          <w:type w:val="nextPage"/>
          <w:pgSz w:w="11905" w:h="16838" w:orient="portrait"/>
          <w:pgMar w:top="1134" w:right="1134" w:bottom="1134" w:left="1134" w:header="851" w:footer="850" w:gutter="0"/>
          <w:pgNumType w:start="1"/>
          <w:cols w:num="1" w:sep="0" w:space="1701" w:equalWidth="1"/>
          <w:docGrid w:linePitch="360"/>
        </w:sectPr>
      </w:pPr>
      <w:r>
        <w:rPr>
          <w:rFonts w:hint="eastAsia" w:ascii="宋体" w:hAnsi="宋体" w:cs="宋体"/>
          <w:b/>
          <w:color w:val="auto"/>
          <w:sz w:val="30"/>
          <w:szCs w:val="30"/>
          <w:highlight w:val="none"/>
        </w:rPr>
        <w:fldChar w:fldCharType="end"/>
      </w:r>
      <w:bookmarkStart w:id="0" w:name="_Toc26331"/>
      <w:r/>
      <w:bookmarkStart w:id="1" w:name="_Toc157175930"/>
      <w:r/>
      <w:r/>
    </w:p>
    <w:p>
      <w:pPr>
        <w:pStyle w:val="982"/>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t xml:space="preserve">第</w:t>
      </w:r>
      <w:r>
        <w:rPr>
          <w:rFonts w:hint="eastAsia" w:ascii="黑体" w:hAnsi="黑体" w:eastAsia="黑体"/>
          <w:color w:val="auto"/>
          <w:sz w:val="28"/>
          <w:highlight w:val="none"/>
          <w:lang w:val="en-US" w:eastAsia="zh-CN"/>
        </w:rPr>
        <w:t xml:space="preserve">一</w:t>
      </w:r>
      <w:r>
        <w:rPr>
          <w:rFonts w:hint="eastAsia" w:ascii="黑体" w:hAnsi="黑体" w:eastAsia="黑体"/>
          <w:color w:val="auto"/>
          <w:sz w:val="28"/>
          <w:highlight w:val="none"/>
        </w:rPr>
        <w:t xml:space="preserve">章</w:t>
      </w:r>
      <w:r>
        <w:rPr>
          <w:rFonts w:hint="eastAsia" w:ascii="黑体" w:hAnsi="黑体" w:eastAsia="黑体"/>
          <w:color w:val="auto"/>
          <w:sz w:val="28"/>
          <w:highlight w:val="none"/>
          <w:lang w:val="en-US" w:eastAsia="zh-CN"/>
        </w:rPr>
        <w:t xml:space="preserve"> </w:t>
      </w:r>
      <w:r>
        <w:rPr>
          <w:rFonts w:hint="eastAsia" w:ascii="黑体" w:hAnsi="黑体" w:eastAsia="黑体"/>
          <w:color w:val="auto"/>
          <w:sz w:val="28"/>
          <w:highlight w:val="none"/>
        </w:rPr>
        <w:t xml:space="preserve">报价邀请函</w:t>
      </w:r>
      <w:bookmarkEnd w:id="0"/>
      <w:r/>
      <w:bookmarkEnd w:id="1"/>
      <w:r/>
      <w:r/>
    </w:p>
    <w:p>
      <w:pPr>
        <w:pStyle w:val="920"/>
        <w:numPr>
          <w:ilvl w:val="0"/>
          <w:numId w:val="0"/>
        </w:numPr>
        <w:rPr>
          <w:color w:val="auto"/>
          <w:highlight w:val="none"/>
        </w:rPr>
      </w:pPr>
      <w:r>
        <w:rPr>
          <w:color w:val="auto"/>
          <w:highlight w:val="none"/>
        </w:rPr>
      </w:r>
      <w:r/>
    </w:p>
    <w:p>
      <w:pPr>
        <w:ind w:firstLine="480"/>
        <w:spacing w:line="360" w:lineRule="auto"/>
        <w:rPr>
          <w:rFonts w:hint="eastAsia" w:ascii="宋体" w:hAnsi="宋体"/>
          <w:bCs/>
          <w:color w:val="auto"/>
          <w:sz w:val="24"/>
          <w:szCs w:val="24"/>
          <w:highlight w:val="none"/>
        </w:rPr>
      </w:pPr>
      <w:r/>
      <w:bookmarkStart w:id="2" w:name="_Hlk153805320"/>
      <w:r>
        <w:rPr>
          <w:rFonts w:hint="eastAsia" w:ascii="宋体" w:hAnsi="宋体"/>
          <w:color w:val="auto"/>
          <w:sz w:val="24"/>
          <w:szCs w:val="28"/>
          <w:highlight w:val="none"/>
          <w:lang w:eastAsia="zh-CN"/>
        </w:rPr>
        <w:t xml:space="preserve">宜兴市农业农村局</w:t>
      </w:r>
      <w:r>
        <w:rPr>
          <w:rFonts w:hint="eastAsia" w:ascii="宋体" w:hAnsi="宋体"/>
          <w:color w:val="auto"/>
          <w:sz w:val="24"/>
          <w:szCs w:val="28"/>
          <w:highlight w:val="none"/>
        </w:rPr>
        <w:t xml:space="preserve">对</w:t>
      </w:r>
      <w:r>
        <w:rPr>
          <w:rFonts w:hint="eastAsia" w:ascii="宋体" w:hAnsi="宋体"/>
          <w:color w:val="auto"/>
          <w:sz w:val="24"/>
          <w:szCs w:val="28"/>
          <w:highlight w:val="none"/>
          <w:lang w:eastAsia="zh-CN"/>
        </w:rPr>
        <w:t xml:space="preserve">2026年宜兴市省级资金水稻病虫害防控物资采购发放项目</w:t>
      </w:r>
      <w:r>
        <w:rPr>
          <w:rFonts w:hint="eastAsia" w:ascii="宋体" w:hAnsi="宋体"/>
          <w:color w:val="auto"/>
          <w:sz w:val="24"/>
          <w:szCs w:val="28"/>
          <w:highlight w:val="none"/>
        </w:rPr>
        <w:t xml:space="preserve">进行询价</w:t>
      </w:r>
      <w:r>
        <w:rPr>
          <w:rFonts w:hint="eastAsia" w:ascii="宋体" w:hAnsi="宋体"/>
          <w:color w:val="auto"/>
          <w:sz w:val="24"/>
          <w:szCs w:val="28"/>
          <w:highlight w:val="none"/>
          <w:lang w:val="en-US" w:eastAsia="zh-CN"/>
        </w:rPr>
        <w:t xml:space="preserve">方式</w:t>
      </w:r>
      <w:r>
        <w:rPr>
          <w:rFonts w:hint="eastAsia" w:ascii="宋体" w:hAnsi="宋体"/>
          <w:color w:val="auto"/>
          <w:sz w:val="24"/>
          <w:szCs w:val="28"/>
          <w:highlight w:val="none"/>
        </w:rPr>
        <w:t xml:space="preserve">采购，</w:t>
      </w:r>
      <w:r>
        <w:rPr>
          <w:rFonts w:hint="eastAsia" w:ascii="宋体" w:hAnsi="宋体"/>
          <w:bCs/>
          <w:color w:val="auto"/>
          <w:sz w:val="24"/>
          <w:szCs w:val="24"/>
          <w:highlight w:val="none"/>
        </w:rPr>
        <w:t xml:space="preserve">欢迎你单位竞争报价并提请注意下列附表中的相关事项；同时，为贯彻落实习近平总书记重要批示和《中共中央国务院关于开展扫黑除恶专项斗争的通知》精神，加大对于恶意竞标、围标串标、虚假投标、敲诈勒索等涉黑涉恶行为的打击力度，营造公平竞争、诚实守信的政府采购环境，请贵单位依法依规参加本次政府采购活动。</w:t>
      </w:r>
      <w:bookmarkEnd w:id="2"/>
      <w:r/>
      <w:r/>
    </w:p>
    <w:tbl>
      <w:tblPr>
        <w:tblStyle w:val="8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1134"/>
        <w:gridCol w:w="1649"/>
        <w:gridCol w:w="6155"/>
      </w:tblGrid>
      <w:tr>
        <w:trPr>
          <w:jc w:val="center"/>
        </w:trPr>
        <w:tc>
          <w:tcPr>
            <w:tcW w:w="717" w:type="dxa"/>
            <w:vAlign w:val="top"/>
            <w:textDirection w:val="lrTb"/>
            <w:noWrap w:val="false"/>
          </w:tcPr>
          <w:p>
            <w:pPr>
              <w:jc w:val="both"/>
              <w:rPr>
                <w:rFonts w:ascii="宋体" w:hAnsi="宋体"/>
                <w:bCs/>
                <w:color w:val="auto"/>
                <w:sz w:val="24"/>
                <w:szCs w:val="24"/>
                <w:highlight w:val="none"/>
              </w:rPr>
            </w:pPr>
            <w:r/>
            <w:bookmarkStart w:id="3" w:name="OLE_LINK3"/>
            <w:r/>
            <w:bookmarkStart w:id="4" w:name="_Toc29543"/>
            <w:r>
              <w:rPr>
                <w:rFonts w:hint="eastAsia" w:ascii="宋体" w:hAnsi="宋体"/>
                <w:bCs/>
                <w:color w:val="auto"/>
                <w:sz w:val="24"/>
                <w:szCs w:val="24"/>
                <w:highlight w:val="none"/>
              </w:rPr>
              <w:t xml:space="preserve">序号</w:t>
            </w:r>
            <w:r/>
          </w:p>
        </w:tc>
        <w:tc>
          <w:tcPr>
            <w:tcW w:w="1134" w:type="dxa"/>
            <w:vAlign w:val="top"/>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事项</w:t>
            </w:r>
            <w:r/>
          </w:p>
        </w:tc>
        <w:tc>
          <w:tcPr>
            <w:gridSpan w:val="2"/>
            <w:tcW w:w="7804" w:type="dxa"/>
            <w:vAlign w:val="top"/>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内</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容</w:t>
            </w:r>
            <w:r/>
          </w:p>
        </w:tc>
      </w:tr>
      <w:tr>
        <w:trPr>
          <w:jc w:val="center"/>
        </w:trPr>
        <w:tc>
          <w:tcPr>
            <w:tcW w:w="717"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t xml:space="preserve">1</w:t>
            </w:r>
            <w:r/>
          </w:p>
        </w:tc>
        <w:tc>
          <w:tcPr>
            <w:tcW w:w="1134" w:type="dxa"/>
            <w:vAlign w:val="center"/>
            <w:textDirection w:val="lrTb"/>
            <w:noWrap w:val="false"/>
          </w:tcPr>
          <w:p>
            <w:pPr>
              <w:jc w:val="center"/>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项目</w:t>
            </w:r>
            <w:r/>
          </w:p>
          <w:p>
            <w:pPr>
              <w:jc w:val="center"/>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信息</w:t>
            </w:r>
            <w:r/>
          </w:p>
        </w:tc>
        <w:tc>
          <w:tcPr>
            <w:gridSpan w:val="2"/>
            <w:tcW w:w="7804" w:type="dxa"/>
            <w:vAlign w:val="top"/>
            <w:textDirection w:val="lrTb"/>
            <w:noWrap w:val="false"/>
          </w:tcPr>
          <w:p>
            <w:pPr>
              <w:numPr>
                <w:ilvl w:val="0"/>
                <w:numId w:val="0"/>
              </w:numPr>
              <w:jc w:val="left"/>
              <w:spacing w:line="360" w:lineRule="auto"/>
              <w:tabs>
                <w:tab w:val="left" w:pos="0" w:leader="none"/>
              </w:tabs>
              <w:rPr>
                <w:rFonts w:hint="eastAsia" w:ascii="宋体" w:hAnsi="宋体" w:eastAsia="宋体" w:cs="宋体"/>
                <w:color w:val="auto"/>
                <w:sz w:val="24"/>
                <w:szCs w:val="24"/>
                <w:highlight w:val="none"/>
              </w:rPr>
            </w:pPr>
            <w:r/>
            <w:bookmarkStart w:id="5" w:name="OLE_LINK192"/>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2026年宜兴市省级资金水稻病虫害防控物资采购发放项目</w:t>
            </w:r>
            <w:r/>
          </w:p>
          <w:p>
            <w:pPr>
              <w:numPr>
                <w:ilvl w:val="0"/>
                <w:numId w:val="0"/>
              </w:numPr>
              <w:jc w:val="left"/>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JSZC-320282-JSJF-X2026-0013</w:t>
            </w:r>
            <w:r>
              <w:rPr>
                <w:rFonts w:hint="eastAsia" w:ascii="宋体" w:hAnsi="宋体" w:eastAsia="宋体" w:cs="宋体"/>
                <w:color w:val="auto"/>
                <w:sz w:val="24"/>
                <w:szCs w:val="24"/>
                <w:highlight w:val="none"/>
              </w:rPr>
              <w:t xml:space="preserve">                       </w:t>
            </w:r>
            <w:r/>
          </w:p>
          <w:p>
            <w:pPr>
              <w:numPr>
                <w:ilvl w:val="0"/>
                <w:numId w:val="0"/>
              </w:numPr>
              <w:jc w:val="left"/>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项目类型：货物类  </w:t>
            </w:r>
            <w:r/>
          </w:p>
          <w:p>
            <w:pPr>
              <w:numPr>
                <w:ilvl w:val="0"/>
                <w:numId w:val="0"/>
              </w:numPr>
              <w:jc w:val="left"/>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采购方式：询价       </w:t>
            </w:r>
            <w:r/>
          </w:p>
          <w:p>
            <w:pPr>
              <w:numPr>
                <w:ilvl w:val="0"/>
                <w:numId w:val="0"/>
              </w:numPr>
              <w:jc w:val="left"/>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评审方法：参照最低评标价法</w:t>
            </w:r>
            <w:r/>
          </w:p>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6.标段名称及数量：</w:t>
            </w:r>
            <w:r/>
          </w:p>
          <w:p>
            <w:pPr>
              <w:pStyle w:val="897"/>
              <w:rPr>
                <w:rFonts w:hint="eastAsia"/>
                <w:color w:val="auto"/>
                <w:highlight w:val="none"/>
                <w:lang w:val="en-US" w:eastAsia="zh-CN"/>
              </w:rPr>
            </w:pPr>
            <w:r>
              <w:rPr>
                <w:rFonts w:hint="eastAsia"/>
                <w:color w:val="auto"/>
                <w:highlight w:val="none"/>
                <w:lang w:val="en-US" w:eastAsia="zh-CN"/>
              </w:rPr>
            </w:r>
            <w:r/>
          </w:p>
          <w:p>
            <w:pPr>
              <w:ind w:left="42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采购包1：60%吡蚜﹒噻虫胺水分散粒剂  大包装100克/袋  ，数量：一批；</w:t>
            </w:r>
            <w:r/>
          </w:p>
          <w:p>
            <w:pPr>
              <w:ind w:left="42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采购包2：25%吡蚜˙噻嗪酮悬浮剂  大</w:t>
            </w:r>
            <w:r>
              <w:rPr>
                <w:rFonts w:hint="default" w:ascii="宋体" w:hAnsi="宋体" w:eastAsia="宋体" w:cs="宋体"/>
                <w:color w:val="auto"/>
                <w:sz w:val="24"/>
                <w:szCs w:val="24"/>
                <w:highlight w:val="none"/>
                <w:lang w:val="en-US" w:eastAsia="zh-CN" w:bidi="ar-SA"/>
              </w:rPr>
              <w:t xml:space="preserve">包装</w:t>
            </w:r>
            <w:r>
              <w:rPr>
                <w:rFonts w:hint="eastAsia" w:ascii="宋体" w:hAnsi="宋体" w:eastAsia="宋体" w:cs="宋体"/>
                <w:color w:val="auto"/>
                <w:sz w:val="24"/>
                <w:szCs w:val="24"/>
                <w:highlight w:val="none"/>
                <w:lang w:val="en-US" w:eastAsia="zh-CN" w:bidi="ar-SA"/>
              </w:rPr>
              <w:t xml:space="preserve">1000</w:t>
            </w:r>
            <w:r>
              <w:rPr>
                <w:rFonts w:hint="default" w:ascii="宋体" w:hAnsi="宋体" w:eastAsia="宋体" w:cs="宋体"/>
                <w:color w:val="auto"/>
                <w:sz w:val="24"/>
                <w:szCs w:val="24"/>
                <w:highlight w:val="none"/>
                <w:lang w:val="en-US" w:eastAsia="zh-CN" w:bidi="ar-SA"/>
              </w:rPr>
              <w:t xml:space="preserve">克/瓶</w:t>
            </w:r>
            <w:r>
              <w:rPr>
                <w:rFonts w:hint="eastAsia" w:ascii="宋体" w:hAnsi="宋体" w:eastAsia="宋体" w:cs="宋体"/>
                <w:color w:val="auto"/>
                <w:sz w:val="24"/>
                <w:szCs w:val="24"/>
                <w:highlight w:val="none"/>
                <w:lang w:val="en-US" w:eastAsia="zh-CN" w:bidi="ar-SA"/>
              </w:rPr>
              <w:t xml:space="preserve"> ，数量：一批；</w:t>
            </w:r>
            <w:r/>
          </w:p>
          <w:p>
            <w:pPr>
              <w:ind w:left="42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采购包3：30%己唑醇˙嘧菌酯悬浮剂   大</w:t>
            </w:r>
            <w:r>
              <w:rPr>
                <w:rFonts w:hint="default" w:ascii="宋体" w:hAnsi="宋体" w:eastAsia="宋体" w:cs="宋体"/>
                <w:color w:val="auto"/>
                <w:sz w:val="24"/>
                <w:szCs w:val="24"/>
                <w:highlight w:val="none"/>
                <w:lang w:val="en-US" w:eastAsia="zh-CN" w:bidi="ar-SA"/>
              </w:rPr>
              <w:t xml:space="preserve">包装</w:t>
            </w:r>
            <w:r>
              <w:rPr>
                <w:rFonts w:hint="eastAsia" w:ascii="宋体" w:hAnsi="宋体" w:eastAsia="宋体" w:cs="宋体"/>
                <w:color w:val="auto"/>
                <w:sz w:val="24"/>
                <w:szCs w:val="24"/>
                <w:highlight w:val="none"/>
                <w:lang w:val="en-US" w:eastAsia="zh-CN" w:bidi="ar-SA"/>
              </w:rPr>
              <w:t xml:space="preserve">1000</w:t>
            </w:r>
            <w:r>
              <w:rPr>
                <w:rFonts w:hint="default" w:ascii="宋体" w:hAnsi="宋体" w:eastAsia="宋体" w:cs="宋体"/>
                <w:color w:val="auto"/>
                <w:sz w:val="24"/>
                <w:szCs w:val="24"/>
                <w:highlight w:val="none"/>
                <w:lang w:val="en-US" w:eastAsia="zh-CN" w:bidi="ar-SA"/>
              </w:rPr>
              <w:t xml:space="preserve">克/瓶</w:t>
            </w:r>
            <w:r>
              <w:rPr>
                <w:rFonts w:hint="eastAsia" w:ascii="宋体" w:hAnsi="宋体" w:eastAsia="宋体" w:cs="宋体"/>
                <w:color w:val="auto"/>
                <w:sz w:val="24"/>
                <w:szCs w:val="24"/>
                <w:highlight w:val="none"/>
                <w:lang w:val="en-US" w:eastAsia="zh-CN" w:bidi="ar-SA"/>
              </w:rPr>
              <w:t xml:space="preserve">，数量：一批；</w:t>
            </w:r>
            <w:r/>
          </w:p>
          <w:p>
            <w:pPr>
              <w:ind w:left="42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采购包4：50%戊唑˙嘧菌酯悬浮剂  大</w:t>
            </w:r>
            <w:r>
              <w:rPr>
                <w:rFonts w:hint="default" w:ascii="宋体" w:hAnsi="宋体" w:eastAsia="宋体" w:cs="宋体"/>
                <w:color w:val="auto"/>
                <w:sz w:val="24"/>
                <w:szCs w:val="24"/>
                <w:highlight w:val="none"/>
                <w:lang w:val="en-US" w:eastAsia="zh-CN" w:bidi="ar-SA"/>
              </w:rPr>
              <w:t xml:space="preserve">包装</w:t>
            </w:r>
            <w:r>
              <w:rPr>
                <w:rFonts w:hint="eastAsia" w:ascii="宋体" w:hAnsi="宋体" w:eastAsia="宋体" w:cs="宋体"/>
                <w:color w:val="auto"/>
                <w:sz w:val="24"/>
                <w:szCs w:val="24"/>
                <w:highlight w:val="none"/>
                <w:lang w:val="en-US" w:eastAsia="zh-CN" w:bidi="ar-SA"/>
              </w:rPr>
              <w:t xml:space="preserve">150</w:t>
            </w:r>
            <w:r>
              <w:rPr>
                <w:rFonts w:hint="default" w:ascii="宋体" w:hAnsi="宋体" w:eastAsia="宋体" w:cs="宋体"/>
                <w:color w:val="auto"/>
                <w:sz w:val="24"/>
                <w:szCs w:val="24"/>
                <w:highlight w:val="none"/>
                <w:lang w:val="en-US" w:eastAsia="zh-CN" w:bidi="ar-SA"/>
              </w:rPr>
              <w:t xml:space="preserve">克/瓶</w:t>
            </w:r>
            <w:r>
              <w:rPr>
                <w:rFonts w:hint="eastAsia" w:ascii="宋体" w:hAnsi="宋体" w:eastAsia="宋体" w:cs="宋体"/>
                <w:color w:val="auto"/>
                <w:sz w:val="24"/>
                <w:szCs w:val="24"/>
                <w:highlight w:val="none"/>
                <w:lang w:val="en-US" w:eastAsia="zh-CN" w:bidi="ar-SA"/>
              </w:rPr>
              <w:t xml:space="preserve">，数量：一批；</w:t>
            </w:r>
            <w:r/>
          </w:p>
          <w:p>
            <w:pPr>
              <w:pStyle w:val="896"/>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bookmarkEnd w:id="3"/>
            <w:r>
              <w:rPr>
                <w:rFonts w:hint="eastAsia" w:ascii="宋体" w:hAnsi="宋体" w:eastAsia="宋体" w:cs="宋体"/>
                <w:color w:val="auto"/>
                <w:sz w:val="24"/>
                <w:szCs w:val="24"/>
                <w:highlight w:val="none"/>
              </w:rPr>
              <w:t xml:space="preserve">本项目总预算：人民币</w:t>
            </w:r>
            <w:r>
              <w:rPr>
                <w:rFonts w:hint="eastAsia" w:ascii="宋体" w:hAnsi="宋体" w:eastAsia="宋体" w:cs="宋体"/>
                <w:color w:val="auto"/>
                <w:sz w:val="24"/>
                <w:szCs w:val="24"/>
                <w:highlight w:val="none"/>
                <w:lang w:val="en-US" w:eastAsia="zh-CN"/>
              </w:rPr>
              <w:t xml:space="preserve">1429000</w:t>
            </w:r>
            <w:r>
              <w:rPr>
                <w:rFonts w:hint="eastAsia" w:ascii="宋体" w:hAnsi="宋体" w:eastAsia="宋体" w:cs="宋体"/>
                <w:color w:val="auto"/>
                <w:sz w:val="24"/>
                <w:szCs w:val="24"/>
                <w:highlight w:val="none"/>
              </w:rPr>
              <w:t xml:space="preserve">元</w:t>
            </w:r>
            <w:r/>
          </w:p>
          <w:p>
            <w:pPr>
              <w:ind w:left="42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每个采购包预算分别为：采购包1预算：357250元；</w:t>
            </w:r>
            <w:r/>
          </w:p>
          <w:p>
            <w:pPr>
              <w:ind w:left="420" w:firstLine="264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采购包2预算：357250元；</w:t>
            </w:r>
            <w:r/>
          </w:p>
          <w:p>
            <w:pPr>
              <w:ind w:left="420" w:firstLine="264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采购包3预算：357250元</w:t>
            </w:r>
            <w:r/>
          </w:p>
          <w:p>
            <w:pPr>
              <w:ind w:left="420" w:firstLine="264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采购包4预算：357250元；</w:t>
            </w:r>
            <w:r/>
          </w:p>
          <w:p>
            <w:pPr>
              <w:numPr>
                <w:ilvl w:val="0"/>
                <w:numId w:val="1"/>
              </w:numPr>
              <w:jc w:val="left"/>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w:t>
            </w:r>
            <w:r/>
          </w:p>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采购包1最高限价：357250元,采购包1单价最高限价：最高限价：34元</w:t>
            </w: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袋  ；</w:t>
            </w:r>
            <w:r/>
          </w:p>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采购包2最高限价：357250元,采购包2单价最高限价：最高限</w:t>
            </w:r>
            <w:r>
              <w:rPr>
                <w:rFonts w:hint="default" w:ascii="宋体" w:hAnsi="宋体" w:eastAsia="宋体" w:cs="宋体"/>
                <w:color w:val="auto"/>
                <w:sz w:val="24"/>
                <w:szCs w:val="24"/>
                <w:highlight w:val="none"/>
                <w:lang w:val="en-US" w:eastAsia="zh-CN"/>
              </w:rPr>
              <w:t xml:space="preserve">价：</w:t>
            </w:r>
            <w:r>
              <w:rPr>
                <w:rFonts w:hint="eastAsia" w:ascii="宋体" w:hAnsi="宋体" w:eastAsia="宋体" w:cs="宋体"/>
                <w:color w:val="auto"/>
                <w:sz w:val="24"/>
                <w:szCs w:val="24"/>
                <w:highlight w:val="none"/>
                <w:lang w:val="en-US" w:eastAsia="zh-CN"/>
              </w:rPr>
              <w:t xml:space="preserve">77.4</w:t>
            </w:r>
            <w:r>
              <w:rPr>
                <w:rFonts w:hint="default" w:ascii="宋体" w:hAnsi="宋体" w:eastAsia="宋体" w:cs="宋体"/>
                <w:color w:val="auto"/>
                <w:sz w:val="24"/>
                <w:szCs w:val="24"/>
                <w:highlight w:val="none"/>
                <w:lang w:val="en-US" w:eastAsia="zh-CN"/>
              </w:rPr>
              <w:t xml:space="preserve">元/瓶</w:t>
            </w:r>
            <w:r>
              <w:rPr>
                <w:rFonts w:hint="eastAsia" w:ascii="宋体" w:hAnsi="宋体" w:eastAsia="宋体" w:cs="宋体"/>
                <w:color w:val="auto"/>
                <w:sz w:val="24"/>
                <w:szCs w:val="24"/>
                <w:highlight w:val="none"/>
                <w:lang w:val="en-US" w:eastAsia="zh-CN"/>
              </w:rPr>
              <w:t xml:space="preserve">；</w:t>
            </w:r>
            <w:r/>
          </w:p>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采购包3最高限价：357250元,采购包3单价最高限价：最高限</w:t>
            </w:r>
            <w:r>
              <w:rPr>
                <w:rFonts w:hint="default" w:ascii="宋体" w:hAnsi="宋体" w:eastAsia="宋体" w:cs="宋体"/>
                <w:color w:val="auto"/>
                <w:sz w:val="24"/>
                <w:szCs w:val="24"/>
                <w:highlight w:val="none"/>
                <w:lang w:val="en-US" w:eastAsia="zh-CN"/>
              </w:rPr>
              <w:t xml:space="preserve">价：</w:t>
            </w:r>
            <w:r>
              <w:rPr>
                <w:rFonts w:hint="eastAsia" w:ascii="宋体" w:hAnsi="宋体" w:eastAsia="宋体" w:cs="宋体"/>
                <w:color w:val="auto"/>
                <w:sz w:val="24"/>
                <w:szCs w:val="24"/>
                <w:highlight w:val="none"/>
                <w:lang w:val="en-US" w:eastAsia="zh-CN"/>
              </w:rPr>
              <w:t xml:space="preserve">130</w:t>
            </w:r>
            <w:r>
              <w:rPr>
                <w:rFonts w:hint="default" w:ascii="宋体" w:hAnsi="宋体" w:eastAsia="宋体" w:cs="宋体"/>
                <w:color w:val="auto"/>
                <w:sz w:val="24"/>
                <w:szCs w:val="24"/>
                <w:highlight w:val="none"/>
                <w:lang w:val="en-US" w:eastAsia="zh-CN"/>
              </w:rPr>
              <w:t xml:space="preserve">元/瓶</w:t>
            </w:r>
            <w:r>
              <w:rPr>
                <w:rFonts w:hint="eastAsia" w:ascii="宋体" w:hAnsi="宋体" w:eastAsia="宋体" w:cs="宋体"/>
                <w:color w:val="auto"/>
                <w:sz w:val="24"/>
                <w:szCs w:val="24"/>
                <w:highlight w:val="none"/>
                <w:lang w:val="en-US" w:eastAsia="zh-CN"/>
              </w:rPr>
              <w:t xml:space="preserve">；</w:t>
            </w:r>
            <w:r/>
          </w:p>
          <w:p>
            <w:pPr>
              <w:jc w:val="left"/>
              <w:rPr>
                <w:rFonts w:hint="eastAsia"/>
                <w:color w:val="auto"/>
                <w:highlight w:val="none"/>
                <w:lang w:val="en-US" w:eastAsia="zh-CN"/>
              </w:rPr>
            </w:pPr>
            <w:r>
              <w:rPr>
                <w:rFonts w:hint="eastAsia" w:ascii="宋体" w:hAnsi="宋体" w:eastAsia="宋体" w:cs="宋体"/>
                <w:color w:val="auto"/>
                <w:sz w:val="24"/>
                <w:szCs w:val="24"/>
                <w:highlight w:val="none"/>
                <w:lang w:val="en-US" w:eastAsia="zh-CN"/>
              </w:rPr>
              <w:t xml:space="preserve">采购包4</w:t>
            </w:r>
            <w:r>
              <w:rPr>
                <w:rFonts w:hint="eastAsia" w:ascii="宋体" w:hAnsi="宋体" w:eastAsia="宋体" w:cs="宋体"/>
                <w:color w:val="auto"/>
                <w:sz w:val="24"/>
                <w:szCs w:val="24"/>
                <w:highlight w:val="none"/>
              </w:rPr>
              <w:t xml:space="preserve">最高</w:t>
            </w:r>
            <w:r>
              <w:rPr>
                <w:rFonts w:hint="eastAsia" w:ascii="宋体" w:hAnsi="宋体" w:eastAsia="宋体" w:cs="宋体"/>
                <w:color w:val="auto"/>
                <w:sz w:val="24"/>
                <w:szCs w:val="24"/>
                <w:highlight w:val="none"/>
                <w:lang w:val="en-US" w:eastAsia="zh-CN"/>
              </w:rPr>
              <w:t xml:space="preserve">限价：357250元,采购包4单价</w:t>
            </w:r>
            <w:r>
              <w:rPr>
                <w:rFonts w:hint="eastAsia" w:ascii="宋体" w:hAnsi="宋体" w:eastAsia="宋体" w:cs="宋体"/>
                <w:color w:val="auto"/>
                <w:sz w:val="24"/>
                <w:szCs w:val="24"/>
                <w:highlight w:val="none"/>
              </w:rPr>
              <w:t xml:space="preserve">最高</w:t>
            </w:r>
            <w:r>
              <w:rPr>
                <w:rFonts w:hint="eastAsia" w:ascii="宋体" w:hAnsi="宋体" w:eastAsia="宋体" w:cs="宋体"/>
                <w:color w:val="auto"/>
                <w:sz w:val="24"/>
                <w:szCs w:val="24"/>
                <w:highlight w:val="none"/>
                <w:lang w:val="en-US" w:eastAsia="zh-CN"/>
              </w:rPr>
              <w:t xml:space="preserve">限价：40.5</w:t>
            </w:r>
            <w:r>
              <w:rPr>
                <w:rFonts w:hint="default" w:ascii="宋体" w:hAnsi="宋体" w:eastAsia="宋体" w:cs="宋体"/>
                <w:color w:val="auto"/>
                <w:sz w:val="24"/>
                <w:szCs w:val="24"/>
                <w:highlight w:val="none"/>
                <w:lang w:val="en-US" w:eastAsia="zh-CN"/>
              </w:rPr>
              <w:t xml:space="preserve">元/瓶</w:t>
            </w:r>
            <w:r>
              <w:rPr>
                <w:rFonts w:hint="eastAsia" w:ascii="宋体" w:hAnsi="宋体" w:eastAsia="宋体" w:cs="宋体"/>
                <w:color w:val="auto"/>
                <w:sz w:val="24"/>
                <w:szCs w:val="24"/>
                <w:highlight w:val="none"/>
                <w:lang w:val="en-US" w:eastAsia="zh-CN"/>
              </w:rPr>
              <w:t xml:space="preserve">；</w:t>
            </w:r>
            <w:r/>
          </w:p>
          <w:p>
            <w:pPr>
              <w:numPr>
                <w:ilvl w:val="0"/>
                <w:numId w:val="0"/>
              </w:numPr>
              <w:jc w:val="left"/>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核心产品：</w:t>
            </w:r>
            <w:r>
              <w:rPr>
                <w:rFonts w:hint="eastAsia" w:ascii="宋体" w:hAnsi="宋体" w:eastAsia="宋体" w:cs="宋体"/>
                <w:color w:val="auto"/>
                <w:sz w:val="24"/>
                <w:szCs w:val="24"/>
                <w:highlight w:val="none"/>
                <w:lang w:val="en-US" w:eastAsia="zh-CN"/>
              </w:rPr>
              <w:t xml:space="preserve">农药</w:t>
            </w:r>
            <w:r/>
          </w:p>
          <w:p>
            <w:pPr>
              <w:numPr>
                <w:ilvl w:val="0"/>
                <w:numId w:val="0"/>
              </w:numPr>
              <w:jc w:val="left"/>
              <w:spacing w:line="360" w:lineRule="auto"/>
              <w:tabs>
                <w:tab w:val="left" w:pos="0" w:leader="none"/>
              </w:tabs>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采购标的所属行业：</w:t>
            </w:r>
            <w:r>
              <w:rPr>
                <w:rFonts w:hint="eastAsia" w:ascii="宋体" w:hAnsi="宋体" w:eastAsia="宋体" w:cs="宋体"/>
                <w:bCs/>
                <w:color w:val="auto"/>
                <w:sz w:val="24"/>
                <w:szCs w:val="24"/>
                <w:highlight w:val="none"/>
                <w:lang w:val="en-US" w:eastAsia="zh-CN" w:bidi="ar-SA"/>
              </w:rPr>
              <w:t xml:space="preserve">工业</w:t>
            </w:r>
            <w:r/>
          </w:p>
          <w:p>
            <w:pPr>
              <w:numPr>
                <w:ilvl w:val="0"/>
                <w:numId w:val="0"/>
              </w:numPr>
              <w:jc w:val="left"/>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是否接受进口产品：不接受</w:t>
            </w:r>
            <w:r/>
          </w:p>
          <w:p>
            <w:pPr>
              <w:numPr>
                <w:ilvl w:val="0"/>
                <w:numId w:val="0"/>
              </w:numPr>
              <w:jc w:val="left"/>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集中考察或答疑：无</w:t>
            </w:r>
            <w:r/>
          </w:p>
          <w:p>
            <w:pPr>
              <w:numPr>
                <w:ilvl w:val="0"/>
                <w:numId w:val="0"/>
              </w:numPr>
              <w:jc w:val="left"/>
              <w:spacing w:line="360" w:lineRule="auto"/>
              <w:tabs>
                <w:tab w:val="left" w:pos="0" w:leader="none"/>
              </w:tabs>
              <w:rPr>
                <w:rFonts w:hint="eastAsia"/>
                <w:color w:val="auto"/>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本项目不接受联合体，不接受分包。</w:t>
            </w:r>
            <w:r/>
          </w:p>
        </w:tc>
      </w:tr>
      <w:tr>
        <w:trPr>
          <w:jc w:val="center"/>
        </w:trPr>
        <w:tc>
          <w:tcPr>
            <w:tcW w:w="717"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t xml:space="preserve">2</w:t>
            </w:r>
            <w:r/>
          </w:p>
        </w:tc>
        <w:tc>
          <w:tcPr>
            <w:tcW w:w="1134" w:type="dxa"/>
            <w:vAlign w:val="center"/>
            <w:textDirection w:val="lrTb"/>
            <w:noWrap w:val="false"/>
          </w:tcPr>
          <w:p>
            <w:pPr>
              <w:pStyle w:val="996"/>
              <w:jc w:val="center"/>
              <w:spacing w:line="276" w:lineRule="auto"/>
              <w:rPr>
                <w:b/>
                <w:bCs/>
                <w:color w:val="auto"/>
                <w:highlight w:val="none"/>
                <w:lang w:val="zh-CN"/>
              </w:rPr>
            </w:pPr>
            <w:r>
              <w:rPr>
                <w:rFonts w:hint="eastAsia"/>
                <w:b/>
                <w:bCs/>
                <w:color w:val="auto"/>
                <w:highlight w:val="none"/>
                <w:lang w:val="zh-CN"/>
              </w:rPr>
              <w:t xml:space="preserve">资格</w:t>
            </w:r>
            <w:r/>
          </w:p>
          <w:p>
            <w:pPr>
              <w:pStyle w:val="996"/>
              <w:jc w:val="center"/>
              <w:spacing w:line="276" w:lineRule="auto"/>
              <w:rPr>
                <w:b/>
                <w:bCs/>
                <w:color w:val="auto"/>
                <w:highlight w:val="none"/>
                <w:lang w:val="zh-CN"/>
              </w:rPr>
            </w:pPr>
            <w:r>
              <w:rPr>
                <w:rFonts w:hint="eastAsia"/>
                <w:b/>
                <w:bCs/>
                <w:color w:val="auto"/>
                <w:highlight w:val="none"/>
                <w:lang w:val="zh-CN"/>
              </w:rPr>
              <w:t xml:space="preserve">条件</w:t>
            </w:r>
            <w:r/>
          </w:p>
        </w:tc>
        <w:tc>
          <w:tcPr>
            <w:gridSpan w:val="2"/>
            <w:tcW w:w="7804"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1.满足《中华人民共和国政府采购法》第二十二条规定，详见“第二章 供应商须知”响应文件的组成中的“资格条件”；</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2.落实政府采购政策需满足的资格要求：本项目</w:t>
            </w:r>
            <w:r>
              <w:rPr>
                <w:rFonts w:hint="eastAsia" w:ascii="宋体" w:hAnsi="宋体" w:cs="宋体"/>
                <w:color w:val="auto"/>
                <w:sz w:val="24"/>
                <w:szCs w:val="24"/>
                <w:highlight w:val="none"/>
                <w:lang w:val="en-US" w:eastAsia="zh-CN"/>
              </w:rPr>
              <w:t xml:space="preserve">非</w:t>
            </w:r>
            <w:r>
              <w:rPr>
                <w:rFonts w:hint="eastAsia" w:ascii="宋体" w:hAnsi="宋体" w:eastAsia="宋体" w:cs="宋体"/>
                <w:color w:val="auto"/>
                <w:sz w:val="24"/>
                <w:szCs w:val="24"/>
                <w:highlight w:val="none"/>
              </w:rPr>
              <w:t xml:space="preserve">专门面向中小企业采购，对符合规定的小微企业报价给予10%的扣除，用扣除后的价格参与评审。</w:t>
            </w:r>
            <w:bookmarkEnd w:id="4"/>
            <w:r/>
            <w:bookmarkEnd w:id="5"/>
            <w:r/>
            <w:r/>
          </w:p>
          <w:p>
            <w:pPr>
              <w:spacing w:line="360" w:lineRule="auto"/>
              <w:rPr>
                <w:rFonts w:hint="eastAsia" w:ascii="宋体" w:hAnsi="宋体" w:eastAsia="宋体" w:cs="宋体"/>
                <w:color w:val="auto"/>
                <w:sz w:val="24"/>
                <w:szCs w:val="24"/>
                <w:highlight w:val="none"/>
                <w:lang w:val="en-US" w:eastAsia="zh-CN"/>
              </w:rPr>
            </w:pPr>
            <w:r/>
            <w:bookmarkStart w:id="6" w:name="_Hlk163722250"/>
            <w:r/>
            <w:bookmarkStart w:id="7" w:name="_Hlk162969040"/>
            <w:r>
              <w:rPr>
                <w:rFonts w:hint="eastAsia" w:ascii="宋体" w:hAnsi="宋体" w:eastAsia="宋体" w:cs="宋体"/>
                <w:color w:val="auto"/>
                <w:sz w:val="24"/>
                <w:szCs w:val="24"/>
                <w:highlight w:val="none"/>
              </w:rPr>
              <w:t xml:space="preserve">3. 本项目的特定资格要求：</w:t>
            </w:r>
            <w:r>
              <w:rPr>
                <w:rFonts w:hint="eastAsia" w:ascii="宋体" w:hAnsi="宋体" w:eastAsia="宋体" w:cs="宋体"/>
                <w:color w:val="auto"/>
                <w:sz w:val="24"/>
                <w:szCs w:val="24"/>
                <w:highlight w:val="none"/>
                <w:lang w:val="en-US" w:eastAsia="zh-CN"/>
              </w:rPr>
              <w:t xml:space="preserve">①供应商提供农药经营许可证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②供应商所投标的农药品种需提供农药登记证：采购包1需登记在稻飞虱上，采购包2需登记在稻飞虱上，采购包3需登记在水稻纹枯</w:t>
            </w:r>
            <w:r>
              <w:rPr>
                <w:rFonts w:hint="eastAsia" w:ascii="宋体" w:hAnsi="宋体" w:cs="宋体"/>
                <w:color w:val="auto"/>
                <w:sz w:val="24"/>
                <w:szCs w:val="24"/>
                <w:highlight w:val="none"/>
                <w:lang w:val="en-US" w:eastAsia="zh-CN"/>
              </w:rPr>
              <w:t xml:space="preserve">病</w:t>
            </w:r>
            <w:r>
              <w:rPr>
                <w:rFonts w:hint="eastAsia" w:ascii="宋体" w:hAnsi="宋体" w:eastAsia="宋体" w:cs="宋体"/>
                <w:color w:val="auto"/>
                <w:sz w:val="24"/>
                <w:szCs w:val="24"/>
                <w:highlight w:val="none"/>
                <w:lang w:val="en-US" w:eastAsia="zh-CN"/>
              </w:rPr>
              <w:t xml:space="preserve">上，采购包4需登记在水稻纹枯</w:t>
            </w:r>
            <w:r>
              <w:rPr>
                <w:rFonts w:hint="eastAsia" w:ascii="宋体" w:hAnsi="宋体" w:cs="宋体"/>
                <w:color w:val="auto"/>
                <w:sz w:val="24"/>
                <w:szCs w:val="24"/>
                <w:highlight w:val="none"/>
                <w:lang w:val="en-US" w:eastAsia="zh-CN"/>
              </w:rPr>
              <w:t xml:space="preserve">病</w:t>
            </w:r>
            <w:r>
              <w:rPr>
                <w:rFonts w:hint="eastAsia" w:ascii="宋体" w:hAnsi="宋体" w:eastAsia="宋体" w:cs="宋体"/>
                <w:color w:val="auto"/>
                <w:sz w:val="24"/>
                <w:szCs w:val="24"/>
                <w:highlight w:val="none"/>
                <w:lang w:val="en-US" w:eastAsia="zh-CN"/>
              </w:rPr>
              <w:t xml:space="preserve">上</w:t>
            </w:r>
            <w:r>
              <w:rPr>
                <w:rFonts w:hint="eastAsia" w:ascii="宋体" w:hAnsi="宋体" w:eastAsia="宋体" w:cs="宋体"/>
                <w:color w:val="auto"/>
                <w:sz w:val="24"/>
                <w:szCs w:val="24"/>
                <w:highlight w:val="none"/>
              </w:rPr>
              <w:t xml:space="preserve">。</w:t>
            </w:r>
            <w:r/>
          </w:p>
        </w:tc>
      </w:tr>
      <w:tr>
        <w:trPr>
          <w:jc w:val="center"/>
        </w:trPr>
        <w:tc>
          <w:tcPr>
            <w:tcW w:w="717"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t xml:space="preserve">3</w:t>
            </w:r>
            <w:r/>
          </w:p>
        </w:tc>
        <w:tc>
          <w:tcPr>
            <w:tcW w:w="1134" w:type="dxa"/>
            <w:vAlign w:val="center"/>
            <w:textDirection w:val="lrTb"/>
            <w:noWrap w:val="false"/>
          </w:tcPr>
          <w:p>
            <w:pPr>
              <w:pStyle w:val="996"/>
              <w:jc w:val="center"/>
              <w:rPr>
                <w:b/>
                <w:bCs/>
                <w:color w:val="auto"/>
                <w:szCs w:val="22"/>
                <w:highlight w:val="none"/>
              </w:rPr>
            </w:pPr>
            <w:r>
              <w:rPr>
                <w:rFonts w:hint="eastAsia"/>
                <w:b/>
                <w:bCs/>
                <w:color w:val="auto"/>
                <w:szCs w:val="22"/>
                <w:highlight w:val="none"/>
              </w:rPr>
              <w:t xml:space="preserve">询价</w:t>
            </w:r>
            <w:r/>
          </w:p>
          <w:p>
            <w:pPr>
              <w:pStyle w:val="996"/>
              <w:jc w:val="center"/>
              <w:rPr>
                <w:color w:val="auto"/>
                <w:highlight w:val="none"/>
              </w:rPr>
            </w:pPr>
            <w:r>
              <w:rPr>
                <w:rFonts w:hint="eastAsia"/>
                <w:b/>
                <w:bCs/>
                <w:color w:val="auto"/>
                <w:szCs w:val="22"/>
                <w:highlight w:val="none"/>
              </w:rPr>
              <w:t xml:space="preserve">通知书</w:t>
            </w:r>
            <w:r/>
          </w:p>
        </w:tc>
        <w:tc>
          <w:tcPr>
            <w:gridSpan w:val="2"/>
            <w:tcW w:w="7804" w:type="dxa"/>
            <w:vAlign w:val="top"/>
            <w:textDirection w:val="lrTb"/>
            <w:noWrap w:val="false"/>
          </w:tcPr>
          <w:p>
            <w:pPr>
              <w:numPr>
                <w:ilvl w:val="0"/>
                <w:numId w:val="2"/>
              </w:numPr>
              <w:jc w:val="left"/>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“询价通知书”的获取：响应文件提交截止时间前，</w:t>
            </w:r>
            <w:r>
              <w:rPr>
                <w:rFonts w:ascii="宋体" w:hAnsi="宋体" w:cs="宋体"/>
                <w:bCs/>
                <w:color w:val="auto"/>
                <w:sz w:val="24"/>
                <w:szCs w:val="21"/>
                <w:highlight w:val="none"/>
              </w:rPr>
              <w:t xml:space="preserve">通过“江苏政府采购网”首页“苏采云”标签进入系统</w:t>
            </w:r>
            <w:r>
              <w:rPr>
                <w:rFonts w:hint="eastAsia" w:ascii="宋体" w:hAnsi="宋体" w:cs="宋体"/>
                <w:bCs/>
                <w:color w:val="auto"/>
                <w:sz w:val="24"/>
                <w:szCs w:val="21"/>
                <w:highlight w:val="none"/>
              </w:rPr>
              <w:t xml:space="preserve">，应在“项目参与”中下载电子询价通知书</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rPr>
              <w:t xml:space="preserve">后缀名为</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rPr>
              <w:t xml:space="preserve">kedt”</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rPr>
              <w:t xml:space="preserve">；可在“江苏政府采购网”采购公告附件中下载w</w:t>
            </w:r>
            <w:r>
              <w:rPr>
                <w:rFonts w:ascii="宋体" w:hAnsi="宋体" w:cs="宋体"/>
                <w:bCs/>
                <w:color w:val="auto"/>
                <w:sz w:val="24"/>
                <w:szCs w:val="21"/>
                <w:highlight w:val="none"/>
              </w:rPr>
              <w:t xml:space="preserve">ord</w:t>
            </w:r>
            <w:r>
              <w:rPr>
                <w:rFonts w:hint="eastAsia" w:ascii="宋体" w:hAnsi="宋体" w:cs="宋体"/>
                <w:bCs/>
                <w:color w:val="auto"/>
                <w:sz w:val="24"/>
                <w:szCs w:val="21"/>
                <w:highlight w:val="none"/>
              </w:rPr>
              <w:t xml:space="preserve">版询价通知书。</w:t>
            </w:r>
            <w:r/>
          </w:p>
          <w:p>
            <w:pPr>
              <w:numPr>
                <w:ilvl w:val="0"/>
                <w:numId w:val="2"/>
              </w:numPr>
              <w:jc w:val="left"/>
              <w:spacing w:line="360" w:lineRule="auto"/>
              <w:rPr>
                <w:rFonts w:ascii="宋体" w:hAnsi="宋体"/>
                <w:bCs/>
                <w:color w:val="auto"/>
                <w:sz w:val="24"/>
                <w:szCs w:val="24"/>
                <w:highlight w:val="none"/>
              </w:rPr>
            </w:pPr>
            <w:r>
              <w:rPr>
                <w:rFonts w:hint="eastAsia" w:ascii="宋体" w:hAnsi="宋体" w:cs="宋体"/>
                <w:bCs/>
                <w:color w:val="auto"/>
                <w:sz w:val="24"/>
                <w:szCs w:val="21"/>
                <w:highlight w:val="none"/>
              </w:rPr>
              <w:t xml:space="preserve">“CA锁”的使用：供应商须办理有效的CA锁（即有效的CA数字证书及电子签章）才可参与全流程电子政府采购活动，省内各地区办理的“苏采云”系统下的CA锁全省通用。</w:t>
            </w:r>
            <w:r/>
          </w:p>
          <w:p>
            <w:pPr>
              <w:numPr>
                <w:ilvl w:val="0"/>
                <w:numId w:val="2"/>
              </w:numPr>
              <w:jc w:val="left"/>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CA锁办理方式、</w:t>
            </w:r>
            <w:r>
              <w:rPr>
                <w:rFonts w:ascii="宋体" w:hAnsi="宋体" w:cs="宋体"/>
                <w:bCs/>
                <w:color w:val="auto"/>
                <w:sz w:val="24"/>
                <w:szCs w:val="21"/>
                <w:highlight w:val="none"/>
              </w:rPr>
              <w:t xml:space="preserve">“苏采云”</w:t>
            </w:r>
            <w:r>
              <w:rPr>
                <w:rFonts w:hint="eastAsia" w:ascii="宋体" w:hAnsi="宋体" w:cs="宋体"/>
                <w:bCs/>
                <w:color w:val="auto"/>
                <w:sz w:val="24"/>
                <w:szCs w:val="21"/>
                <w:highlight w:val="none"/>
              </w:rPr>
              <w:t xml:space="preserve">系统供应商操作手册及政府采购客户端工具详见江苏政府采购网“办事指南”中的资料下载专栏中的《江苏省政府采购管理交易系统（苏采云</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rPr>
              <w:t xml:space="preserve">供应商操作指南》。</w:t>
            </w:r>
            <w:r/>
          </w:p>
        </w:tc>
      </w:tr>
      <w:tr>
        <w:trPr>
          <w:jc w:val="center"/>
        </w:trPr>
        <w:tc>
          <w:tcPr>
            <w:tcW w:w="717"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4</w:t>
            </w:r>
            <w:r/>
          </w:p>
        </w:tc>
        <w:tc>
          <w:tcPr>
            <w:tcW w:w="1134" w:type="dxa"/>
            <w:vAlign w:val="center"/>
            <w:textDirection w:val="lrTb"/>
            <w:noWrap w:val="false"/>
          </w:tcPr>
          <w:p>
            <w:pPr>
              <w:pStyle w:val="996"/>
              <w:jc w:val="center"/>
              <w:rPr>
                <w:b/>
                <w:bCs/>
                <w:color w:val="auto"/>
                <w:szCs w:val="22"/>
                <w:highlight w:val="none"/>
                <w:lang w:val="zh-CN"/>
              </w:rPr>
            </w:pPr>
            <w:r>
              <w:rPr>
                <w:rFonts w:hint="eastAsia"/>
                <w:b/>
                <w:bCs/>
                <w:color w:val="auto"/>
                <w:szCs w:val="22"/>
                <w:highlight w:val="none"/>
                <w:lang w:val="zh-CN"/>
              </w:rPr>
              <w:t xml:space="preserve">响应</w:t>
            </w:r>
            <w:r/>
          </w:p>
          <w:p>
            <w:pPr>
              <w:pStyle w:val="996"/>
              <w:jc w:val="center"/>
              <w:rPr>
                <w:rFonts w:hAnsi="宋体"/>
                <w:b/>
                <w:color w:val="auto"/>
                <w:szCs w:val="24"/>
                <w:highlight w:val="none"/>
              </w:rPr>
            </w:pPr>
            <w:r>
              <w:rPr>
                <w:rFonts w:hint="eastAsia"/>
                <w:b/>
                <w:bCs/>
                <w:color w:val="auto"/>
                <w:szCs w:val="22"/>
                <w:highlight w:val="none"/>
                <w:lang w:val="zh-CN"/>
              </w:rPr>
              <w:t xml:space="preserve">文件</w:t>
            </w:r>
            <w:r/>
          </w:p>
        </w:tc>
        <w:tc>
          <w:tcPr>
            <w:gridSpan w:val="2"/>
            <w:tcW w:w="7804" w:type="dxa"/>
            <w:vAlign w:val="top"/>
            <w:textDirection w:val="lrTb"/>
            <w:noWrap w:val="false"/>
          </w:tcPr>
          <w:p>
            <w:pPr>
              <w:jc w:val="left"/>
              <w:spacing w:line="360" w:lineRule="auto"/>
              <w:rPr>
                <w:rFonts w:ascii="宋体" w:hAnsi="宋体" w:cs="宋体"/>
                <w:bCs/>
                <w:color w:val="auto"/>
                <w:sz w:val="24"/>
                <w:szCs w:val="21"/>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响应文件制作及提交：</w:t>
            </w:r>
            <w:bookmarkStart w:id="8" w:name="_Hlk127868380"/>
            <w:r>
              <w:rPr>
                <w:rFonts w:hint="eastAsia" w:ascii="宋体" w:hAnsi="宋体" w:cs="宋体"/>
                <w:bCs/>
                <w:color w:val="auto"/>
                <w:sz w:val="24"/>
                <w:szCs w:val="21"/>
                <w:highlight w:val="none"/>
              </w:rPr>
              <w:t xml:space="preserve">将电子询价通知书导入政府采购客户端工具制作响应文件，导出加密的响应文件</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rPr>
              <w:t xml:space="preserve">后缀名为zip</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rPr>
              <w:t xml:space="preserve">，通过“苏采云”系统上传响应文件。</w:t>
            </w:r>
            <w:bookmarkEnd w:id="6"/>
            <w:r/>
            <w:r/>
          </w:p>
          <w:p>
            <w:pPr>
              <w:jc w:val="left"/>
              <w:spacing w:line="360" w:lineRule="auto"/>
              <w:rPr>
                <w:rFonts w:ascii="宋体" w:hAnsi="宋体"/>
                <w:bCs/>
                <w:color w:val="auto"/>
                <w:sz w:val="24"/>
                <w:szCs w:val="24"/>
                <w:highlight w:val="none"/>
                <w:lang w:val="zh-CN"/>
              </w:rPr>
            </w:pPr>
            <w:r>
              <w:rPr>
                <w:rFonts w:hint="eastAsia" w:ascii="宋体" w:hAnsi="宋体" w:cs="宋体"/>
                <w:bCs/>
                <w:color w:val="auto"/>
                <w:sz w:val="24"/>
                <w:szCs w:val="21"/>
                <w:highlight w:val="none"/>
              </w:rPr>
              <w:t xml:space="preserve">2.</w:t>
            </w:r>
            <w:r>
              <w:rPr>
                <w:rFonts w:hint="eastAsia" w:ascii="宋体" w:hAnsi="宋体"/>
                <w:bCs/>
                <w:color w:val="auto"/>
                <w:sz w:val="24"/>
                <w:szCs w:val="24"/>
                <w:highlight w:val="none"/>
              </w:rPr>
              <w:t xml:space="preserve">提交响应文件截止时间后的响应文件，恕不接受。</w:t>
            </w:r>
            <w:r/>
          </w:p>
        </w:tc>
      </w:tr>
      <w:tr>
        <w:trPr>
          <w:jc w:val="center"/>
        </w:trPr>
        <w:tc>
          <w:tcPr>
            <w:tcW w:w="717"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1134" w:type="dxa"/>
            <w:vAlign w:val="center"/>
            <w:textDirection w:val="lrTb"/>
            <w:noWrap w:val="false"/>
          </w:tcPr>
          <w:p>
            <w:pPr>
              <w:pStyle w:val="996"/>
              <w:jc w:val="center"/>
              <w:rPr>
                <w:b/>
                <w:bCs/>
                <w:color w:val="auto"/>
                <w:szCs w:val="22"/>
                <w:highlight w:val="none"/>
                <w:lang w:val="zh-CN"/>
              </w:rPr>
            </w:pPr>
            <w:r>
              <w:rPr>
                <w:rFonts w:hint="eastAsia"/>
                <w:b/>
                <w:bCs/>
                <w:color w:val="auto"/>
                <w:szCs w:val="22"/>
                <w:highlight w:val="none"/>
                <w:lang w:val="zh-CN"/>
              </w:rPr>
              <w:t xml:space="preserve">报价</w:t>
            </w:r>
            <w:r/>
          </w:p>
          <w:p>
            <w:pPr>
              <w:pStyle w:val="996"/>
              <w:jc w:val="center"/>
              <w:rPr>
                <w:b/>
                <w:bCs/>
                <w:color w:val="auto"/>
                <w:sz w:val="20"/>
                <w:highlight w:val="none"/>
                <w:lang w:val="zh-CN"/>
              </w:rPr>
            </w:pPr>
            <w:r>
              <w:rPr>
                <w:rFonts w:hint="eastAsia"/>
                <w:b/>
                <w:bCs/>
                <w:color w:val="auto"/>
                <w:szCs w:val="22"/>
                <w:highlight w:val="none"/>
                <w:lang w:val="zh-CN"/>
              </w:rPr>
              <w:t xml:space="preserve">保证金</w:t>
            </w:r>
            <w:r/>
          </w:p>
        </w:tc>
        <w:tc>
          <w:tcPr>
            <w:gridSpan w:val="2"/>
            <w:tcW w:w="7804" w:type="dxa"/>
            <w:vAlign w:val="center"/>
            <w:textDirection w:val="lrTb"/>
            <w:noWrap w:val="false"/>
          </w:tcPr>
          <w:p>
            <w:p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本项目免收报价保证金。</w:t>
            </w:r>
            <w:r/>
          </w:p>
        </w:tc>
      </w:tr>
      <w:tr>
        <w:trPr>
          <w:jc w:val="center"/>
        </w:trPr>
        <w:tc>
          <w:tcPr>
            <w:tcW w:w="717"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1134" w:type="dxa"/>
            <w:vAlign w:val="center"/>
            <w:textDirection w:val="lrTb"/>
            <w:noWrap w:val="false"/>
          </w:tcPr>
          <w:p>
            <w:pPr>
              <w:pStyle w:val="996"/>
              <w:jc w:val="center"/>
              <w:rPr>
                <w:b/>
                <w:bCs/>
                <w:color w:val="auto"/>
                <w:szCs w:val="22"/>
                <w:highlight w:val="none"/>
                <w:lang w:val="zh-CN"/>
              </w:rPr>
            </w:pPr>
            <w:r>
              <w:rPr>
                <w:rFonts w:hint="eastAsia"/>
                <w:b/>
                <w:bCs/>
                <w:color w:val="auto"/>
                <w:szCs w:val="22"/>
                <w:highlight w:val="none"/>
                <w:lang w:val="zh-CN"/>
              </w:rPr>
              <w:t xml:space="preserve">其他</w:t>
            </w:r>
            <w:r/>
          </w:p>
          <w:p>
            <w:pPr>
              <w:pStyle w:val="996"/>
              <w:jc w:val="center"/>
              <w:rPr>
                <w:b/>
                <w:bCs/>
                <w:color w:val="auto"/>
                <w:szCs w:val="22"/>
                <w:highlight w:val="none"/>
                <w:lang w:val="zh-CN"/>
              </w:rPr>
            </w:pPr>
            <w:r>
              <w:rPr>
                <w:rFonts w:hint="eastAsia"/>
                <w:b/>
                <w:bCs/>
                <w:color w:val="auto"/>
                <w:szCs w:val="22"/>
                <w:highlight w:val="none"/>
                <w:lang w:val="zh-CN"/>
              </w:rPr>
              <w:t xml:space="preserve">要求</w:t>
            </w:r>
            <w:r/>
          </w:p>
        </w:tc>
        <w:tc>
          <w:tcPr>
            <w:gridSpan w:val="2"/>
            <w:tcW w:w="7804" w:type="dxa"/>
            <w:vAlign w:val="center"/>
            <w:textDirection w:val="lrTb"/>
            <w:noWrap w:val="false"/>
          </w:tcPr>
          <w:p>
            <w:pPr>
              <w:spacing w:line="360" w:lineRule="auto"/>
              <w:rPr>
                <w:rFonts w:ascii="宋体" w:hAnsi="宋体" w:cs="宋体"/>
                <w:bCs/>
                <w:color w:val="auto"/>
                <w:sz w:val="24"/>
                <w:szCs w:val="24"/>
                <w:highlight w:val="none"/>
              </w:rPr>
            </w:pPr>
            <w:r/>
            <w:bookmarkStart w:id="9" w:name="_Hlk152312011"/>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单位负责人为同一人或者存在直接控股、管理关系的不同供应商，不得参加同一合同项下的政府采购活动，否则均以报价无效处理。</w:t>
            </w:r>
            <w:r/>
          </w:p>
          <w:p>
            <w:pPr>
              <w:jc w:val="left"/>
              <w:spacing w:line="360" w:lineRule="auto"/>
              <w:rPr>
                <w:rFonts w:ascii="宋体" w:hAnsi="宋体"/>
                <w:bCs/>
                <w:color w:val="auto"/>
                <w:sz w:val="24"/>
                <w:szCs w:val="24"/>
                <w:highlight w:val="none"/>
              </w:rPr>
            </w:pPr>
            <w:r>
              <w:rPr>
                <w:rFonts w:hint="eastAsia" w:ascii="宋体" w:hAnsi="宋体" w:cs="宋体"/>
                <w:bCs/>
                <w:color w:val="auto"/>
                <w:sz w:val="24"/>
                <w:szCs w:val="24"/>
                <w:highlight w:val="none"/>
              </w:rPr>
              <w:t xml:space="preserve">2</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为本采购项目提供整体设计、规范编制或者项目管理、监理、检测等服务的供应商，不得再参加本采购项目的采购活动。</w:t>
            </w:r>
            <w:bookmarkEnd w:id="7"/>
            <w:r/>
            <w:r/>
          </w:p>
        </w:tc>
      </w:tr>
      <w:tr>
        <w:trPr>
          <w:jc w:val="center"/>
        </w:trPr>
        <w:tc>
          <w:tcPr>
            <w:tcW w:w="717"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7</w:t>
            </w:r>
            <w:r/>
          </w:p>
        </w:tc>
        <w:tc>
          <w:tcPr>
            <w:tcW w:w="1134" w:type="dxa"/>
            <w:vAlign w:val="center"/>
            <w:textDirection w:val="lrTb"/>
            <w:noWrap w:val="false"/>
          </w:tcPr>
          <w:p>
            <w:pPr>
              <w:pStyle w:val="996"/>
              <w:jc w:val="center"/>
              <w:rPr>
                <w:rFonts w:hAnsi="宋体"/>
                <w:b/>
                <w:color w:val="auto"/>
                <w:szCs w:val="24"/>
                <w:highlight w:val="none"/>
              </w:rPr>
            </w:pPr>
            <w:r>
              <w:rPr>
                <w:rFonts w:hint="eastAsia" w:hAnsi="宋体"/>
                <w:b/>
                <w:color w:val="auto"/>
                <w:szCs w:val="24"/>
                <w:highlight w:val="none"/>
              </w:rPr>
              <w:t xml:space="preserve">不见面开标</w:t>
            </w:r>
            <w:r/>
          </w:p>
        </w:tc>
        <w:tc>
          <w:tcPr>
            <w:gridSpan w:val="2"/>
            <w:tcW w:w="7804" w:type="dxa"/>
            <w:vAlign w:val="top"/>
            <w:textDirection w:val="lrTb"/>
            <w:noWrap w:val="false"/>
          </w:tcPr>
          <w:p>
            <w:pPr>
              <w:spacing w:line="360" w:lineRule="auto"/>
              <w:rPr>
                <w:rFonts w:ascii="宋体" w:hAnsi="宋体" w:cs="宋体"/>
                <w:bCs/>
                <w:color w:val="auto"/>
                <w:sz w:val="24"/>
                <w:szCs w:val="21"/>
                <w:highlight w:val="none"/>
              </w:rPr>
            </w:pPr>
            <w:r/>
            <w:bookmarkStart w:id="10" w:name="_Hlk127868748"/>
            <w:r>
              <w:rPr>
                <w:rFonts w:hint="eastAsia" w:ascii="宋体" w:hAnsi="宋体" w:cs="宋体"/>
                <w:bCs/>
                <w:color w:val="auto"/>
                <w:sz w:val="24"/>
                <w:szCs w:val="21"/>
                <w:highlight w:val="none"/>
              </w:rPr>
              <w:t xml:space="preserve">本项目采用远程不见面交易模式，通过“苏采云”不见面交易系统及相应的配套硬件设备（摄像头、话筒、麦克风等）完成远程解密、开标现场异议及回复、开标等交互环节。</w:t>
            </w:r>
            <w:bookmarkEnd w:id="8"/>
            <w:r/>
            <w:r/>
          </w:p>
          <w:p>
            <w:pPr>
              <w:numPr>
                <w:ilvl w:val="0"/>
                <w:numId w:val="3"/>
              </w:numPr>
              <w:jc w:val="left"/>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不见面开标注意事项：</w:t>
            </w:r>
            <w:r/>
          </w:p>
          <w:p>
            <w:pPr>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.1</w:t>
            </w:r>
            <w:r>
              <w:rPr>
                <w:rFonts w:hint="eastAsia" w:ascii="宋体" w:hAnsi="宋体" w:cs="宋体"/>
                <w:bCs/>
                <w:color w:val="auto"/>
                <w:sz w:val="24"/>
                <w:szCs w:val="21"/>
                <w:highlight w:val="none"/>
              </w:rPr>
              <w:t xml:space="preserve">不见面开标项目的时间均以国家授时中心发布的时间为准；</w:t>
            </w:r>
            <w:r/>
          </w:p>
          <w:p>
            <w:pPr>
              <w:spacing w:line="360" w:lineRule="auto"/>
              <w:rPr>
                <w:rFonts w:ascii="宋体" w:hAnsi="宋体" w:cs="宋体"/>
                <w:bCs/>
                <w:color w:val="auto"/>
                <w:sz w:val="24"/>
                <w:szCs w:val="21"/>
                <w:highlight w:val="none"/>
              </w:rPr>
            </w:pPr>
            <w:r/>
            <w:bookmarkStart w:id="11" w:name="_Hlk127868774"/>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.2</w:t>
            </w:r>
            <w:r>
              <w:rPr>
                <w:rFonts w:hint="eastAsia" w:ascii="宋体" w:hAnsi="宋体" w:cs="宋体"/>
                <w:bCs/>
                <w:color w:val="auto"/>
                <w:sz w:val="24"/>
                <w:szCs w:val="21"/>
                <w:highlight w:val="none"/>
              </w:rPr>
              <w:t xml:space="preserve">开标当日，供应商不必抵达开标现场，仅需在任意地点通过“苏采云”系统</w:t>
            </w:r>
            <w:r>
              <w:rPr>
                <w:rFonts w:ascii="宋体" w:hAnsi="宋体" w:cs="宋体"/>
                <w:bCs/>
                <w:color w:val="auto"/>
                <w:sz w:val="24"/>
                <w:szCs w:val="21"/>
                <w:highlight w:val="none"/>
              </w:rPr>
              <w:fldChar w:fldCharType="begin"/>
            </w:r>
            <w:r>
              <w:rPr>
                <w:rFonts w:ascii="宋体" w:hAnsi="宋体" w:cs="宋体"/>
                <w:bCs/>
                <w:color w:val="auto"/>
                <w:sz w:val="24"/>
                <w:szCs w:val="21"/>
                <w:highlight w:val="none"/>
              </w:rPr>
              <w:instrText xml:space="preserve"> </w:instrText>
            </w:r>
            <w:r>
              <w:rPr>
                <w:rFonts w:hint="eastAsia" w:ascii="宋体" w:hAnsi="宋体" w:cs="宋体"/>
                <w:bCs/>
                <w:color w:val="auto"/>
                <w:sz w:val="24"/>
                <w:szCs w:val="21"/>
                <w:highlight w:val="none"/>
              </w:rPr>
              <w:instrText xml:space="preserve">HYPERLINK "http://jszfcg.jsczt.cn/）\“开标大厅\”参与开标过程；"</w:instrText>
            </w:r>
            <w:r>
              <w:rPr>
                <w:rFonts w:ascii="宋体" w:hAnsi="宋体" w:cs="宋体"/>
                <w:bCs/>
                <w:color w:val="auto"/>
                <w:sz w:val="24"/>
                <w:szCs w:val="21"/>
                <w:highlight w:val="none"/>
              </w:rPr>
              <w:instrText xml:space="preserve"> </w:instrText>
            </w:r>
            <w:r>
              <w:rPr>
                <w:rFonts w:ascii="宋体" w:hAnsi="宋体" w:cs="宋体"/>
                <w:bCs/>
                <w:color w:val="auto"/>
                <w:sz w:val="24"/>
                <w:szCs w:val="21"/>
                <w:highlight w:val="none"/>
              </w:rPr>
              <w:fldChar w:fldCharType="separate"/>
            </w:r>
            <w:r>
              <w:rPr>
                <w:rFonts w:hint="eastAsia" w:ascii="宋体" w:hAnsi="宋体" w:cs="宋体"/>
                <w:bCs/>
                <w:color w:val="auto"/>
                <w:sz w:val="24"/>
                <w:szCs w:val="21"/>
                <w:highlight w:val="none"/>
              </w:rPr>
              <w:t xml:space="preserve">“开标大厅”参与开标过程；</w:t>
            </w:r>
            <w:r>
              <w:rPr>
                <w:rFonts w:ascii="宋体" w:hAnsi="宋体" w:cs="宋体"/>
                <w:bCs/>
                <w:color w:val="auto"/>
                <w:sz w:val="24"/>
                <w:szCs w:val="21"/>
                <w:highlight w:val="none"/>
              </w:rPr>
              <w:fldChar w:fldCharType="end"/>
            </w:r>
            <w:bookmarkEnd w:id="9"/>
            <w:r/>
            <w:r/>
          </w:p>
          <w:p>
            <w:pPr>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.3</w:t>
            </w:r>
            <w:r>
              <w:rPr>
                <w:rFonts w:hint="eastAsia" w:ascii="宋体" w:hAnsi="宋体" w:cs="宋体"/>
                <w:bCs/>
                <w:color w:val="auto"/>
                <w:sz w:val="24"/>
                <w:szCs w:val="21"/>
                <w:highlight w:val="none"/>
              </w:rPr>
              <w:t xml:space="preserve">未按时加入开标会议区并完成登录签到操作的或未能在开标会议区内全程参与交互的，视为放弃交互和放弃对开评标全过程提出质疑的权利，供应商将无法看到开标、解密指令、异议回复等实时情况；</w:t>
            </w:r>
            <w:r/>
          </w:p>
          <w:p>
            <w:pPr>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.4</w:t>
            </w:r>
            <w:r>
              <w:rPr>
                <w:rFonts w:hint="eastAsia" w:ascii="宋体" w:hAnsi="宋体" w:cs="宋体"/>
                <w:bCs/>
                <w:color w:val="auto"/>
                <w:sz w:val="24"/>
                <w:szCs w:val="21"/>
                <w:highlight w:val="none"/>
              </w:rPr>
              <w:t xml:space="preserve">响应文件提交截止时间后，采购人或采购代理机构将在系统内公布供应商名单，通过开标会议区发出响应文件解密的指令，供应商在各自地点按规定时间自行实施远程解密，</w:t>
            </w:r>
            <w:r>
              <w:rPr>
                <w:rFonts w:hint="eastAsia" w:ascii="宋体" w:hAnsi="宋体" w:cs="宋体"/>
                <w:b/>
                <w:color w:val="auto"/>
                <w:sz w:val="24"/>
                <w:szCs w:val="21"/>
                <w:highlight w:val="none"/>
              </w:rPr>
              <w:t xml:space="preserve">供应商解密限定在</w:t>
            </w:r>
            <w:r>
              <w:rPr>
                <w:rFonts w:hint="eastAsia" w:ascii="宋体" w:hAnsi="宋体" w:cs="宋体"/>
                <w:b/>
                <w:bCs/>
                <w:color w:val="auto"/>
                <w:sz w:val="24"/>
                <w:szCs w:val="21"/>
                <w:highlight w:val="none"/>
              </w:rPr>
              <w:t xml:space="preserve">解密时间开始起</w:t>
            </w:r>
            <w:r>
              <w:rPr>
                <w:rFonts w:hint="eastAsia" w:ascii="宋体" w:hAnsi="宋体" w:cs="宋体"/>
                <w:b/>
                <w:color w:val="auto"/>
                <w:sz w:val="24"/>
                <w:szCs w:val="21"/>
                <w:highlight w:val="none"/>
              </w:rPr>
              <w:t xml:space="preserve">30分钟内完成</w:t>
            </w:r>
            <w:r>
              <w:rPr>
                <w:rFonts w:hint="eastAsia" w:ascii="宋体" w:hAnsi="宋体" w:cs="宋体"/>
                <w:bCs/>
                <w:color w:val="auto"/>
                <w:sz w:val="24"/>
                <w:szCs w:val="21"/>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因</w:t>
            </w:r>
            <w:r>
              <w:rPr>
                <w:rFonts w:ascii="宋体" w:hAnsi="宋体"/>
                <w:bCs/>
                <w:color w:val="auto"/>
                <w:sz w:val="24"/>
                <w:szCs w:val="24"/>
                <w:highlight w:val="none"/>
              </w:rPr>
              <w:t xml:space="preserve">电子交易平台</w:t>
            </w:r>
            <w:r>
              <w:rPr>
                <w:rFonts w:hint="eastAsia" w:ascii="宋体" w:hAnsi="宋体" w:cs="宋体"/>
                <w:bCs/>
                <w:color w:val="auto"/>
                <w:sz w:val="24"/>
                <w:szCs w:val="21"/>
                <w:highlight w:val="none"/>
              </w:rPr>
              <w:t xml:space="preserve">发生故障，导致无法按时完成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w:t>
            </w:r>
            <w:r>
              <w:rPr>
                <w:rFonts w:ascii="宋体" w:hAnsi="宋体"/>
                <w:bCs/>
                <w:color w:val="auto"/>
                <w:sz w:val="24"/>
                <w:szCs w:val="24"/>
                <w:highlight w:val="none"/>
              </w:rPr>
              <w:t xml:space="preserve">电子交易平台</w:t>
            </w:r>
            <w:r>
              <w:rPr>
                <w:rFonts w:hint="eastAsia" w:ascii="宋体" w:hAnsi="宋体" w:cs="宋体"/>
                <w:bCs/>
                <w:color w:val="auto"/>
                <w:sz w:val="24"/>
                <w:szCs w:val="21"/>
                <w:highlight w:val="none"/>
              </w:rPr>
              <w:t xml:space="preserve">运行无故障；开标、评标及交互过程中因供应商自身软硬件配备不齐全、发生故障、CA锁无法正常使用等问题而导致出现不稳定、中断、失效、超时等情况，其后果由供应商承担；</w:t>
            </w:r>
            <w:r/>
          </w:p>
          <w:p>
            <w:pPr>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.5</w:t>
            </w:r>
            <w:r>
              <w:rPr>
                <w:rFonts w:hint="eastAsia" w:ascii="宋体" w:hAnsi="宋体" w:cs="宋体"/>
                <w:bCs/>
                <w:color w:val="auto"/>
                <w:sz w:val="24"/>
                <w:szCs w:val="21"/>
                <w:highlight w:val="none"/>
              </w:rPr>
              <w:t xml:space="preserve">在评审结束前，各供应商应当随时关注不见面开标大厅，并按照要求在规定时间内进行响应，且承担未及时</w:t>
            </w:r>
            <w:r>
              <w:rPr>
                <w:rFonts w:hint="eastAsia" w:ascii="宋体" w:hAnsi="宋体" w:cs="宋体"/>
                <w:bCs/>
                <w:color w:val="auto"/>
                <w:sz w:val="24"/>
                <w:szCs w:val="21"/>
                <w:highlight w:val="none"/>
                <w:lang w:eastAsia="zh-CN"/>
              </w:rPr>
              <w:t xml:space="preserve">做出</w:t>
            </w:r>
            <w:r>
              <w:rPr>
                <w:rFonts w:hint="eastAsia" w:ascii="宋体" w:hAnsi="宋体" w:cs="宋体"/>
                <w:bCs/>
                <w:color w:val="auto"/>
                <w:sz w:val="24"/>
                <w:szCs w:val="21"/>
                <w:highlight w:val="none"/>
              </w:rPr>
              <w:t xml:space="preserve">响应的一切后果。参与远程交互的应当为授权委托人或法人代表，中途不得随意更换，作出响应的人员将均被视为是供应商的授权委托人或法人代表。</w:t>
            </w:r>
            <w:r/>
          </w:p>
          <w:p>
            <w:pPr>
              <w:numPr>
                <w:ilvl w:val="0"/>
                <w:numId w:val="3"/>
              </w:numPr>
              <w:jc w:val="left"/>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采购活动时间：</w:t>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提交响应文件截止时间及响应文件开启时间：详见本项目询价公告</w:t>
            </w:r>
            <w:r/>
          </w:p>
          <w:p>
            <w:pPr>
              <w:spacing w:line="360" w:lineRule="auto"/>
              <w:rPr>
                <w:rFonts w:ascii="宋体" w:hAnsi="宋体" w:cs="宋体"/>
                <w:bCs/>
                <w:color w:val="auto"/>
                <w:sz w:val="24"/>
                <w:szCs w:val="21"/>
                <w:highlight w:val="none"/>
              </w:rPr>
            </w:pPr>
            <w:r>
              <w:rPr>
                <w:rFonts w:hint="eastAsia" w:ascii="宋体" w:hAnsi="宋体" w:cs="宋体"/>
                <w:bCs/>
                <w:color w:val="auto"/>
                <w:sz w:val="24"/>
                <w:szCs w:val="24"/>
                <w:highlight w:val="none"/>
              </w:rPr>
              <w:t xml:space="preserve">2</w:t>
            </w:r>
            <w:r>
              <w:rPr>
                <w:rFonts w:ascii="宋体" w:hAnsi="宋体" w:cs="宋体"/>
                <w:bCs/>
                <w:color w:val="auto"/>
                <w:sz w:val="24"/>
                <w:szCs w:val="24"/>
                <w:highlight w:val="none"/>
              </w:rPr>
              <w:t xml:space="preserve">.2</w:t>
            </w:r>
            <w:r>
              <w:rPr>
                <w:rFonts w:hint="eastAsia" w:ascii="宋体" w:hAnsi="宋体" w:cs="宋体"/>
                <w:bCs/>
                <w:color w:val="auto"/>
                <w:sz w:val="24"/>
                <w:szCs w:val="24"/>
                <w:highlight w:val="none"/>
              </w:rPr>
              <w:t xml:space="preserve">确定成交供应商时间：评审结束后，详见成交结果公告。</w:t>
            </w:r>
            <w:r/>
          </w:p>
        </w:tc>
      </w:tr>
      <w:tr>
        <w:trPr>
          <w:jc w:val="center"/>
        </w:trPr>
        <w:tc>
          <w:tcPr>
            <w:tcW w:w="717" w:type="dxa"/>
            <w:vAlign w:val="center"/>
            <w:vMerge w:val="restart"/>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8</w:t>
            </w:r>
            <w:r/>
          </w:p>
        </w:tc>
        <w:tc>
          <w:tcPr>
            <w:tcW w:w="1134" w:type="dxa"/>
            <w:vAlign w:val="center"/>
            <w:vMerge w:val="restart"/>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联系</w:t>
            </w:r>
            <w:r/>
          </w:p>
          <w:p>
            <w:pPr>
              <w:jc w:val="center"/>
              <w:rPr>
                <w:rFonts w:ascii="宋体" w:hAnsi="宋体"/>
                <w:bCs/>
                <w:color w:val="auto"/>
                <w:sz w:val="24"/>
                <w:szCs w:val="24"/>
                <w:highlight w:val="none"/>
              </w:rPr>
            </w:pPr>
            <w:r>
              <w:rPr>
                <w:rFonts w:hint="eastAsia" w:ascii="宋体" w:hAnsi="宋体"/>
                <w:b/>
                <w:color w:val="auto"/>
                <w:sz w:val="24"/>
                <w:szCs w:val="24"/>
                <w:highlight w:val="none"/>
              </w:rPr>
              <w:t xml:space="preserve">方式</w:t>
            </w:r>
            <w:r/>
          </w:p>
        </w:tc>
        <w:tc>
          <w:tcPr>
            <w:tcW w:w="1649"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采购人</w:t>
            </w:r>
            <w:r/>
          </w:p>
        </w:tc>
        <w:tc>
          <w:tcPr>
            <w:tcW w:w="6155" w:type="dxa"/>
            <w:vAlign w:val="center"/>
            <w:textDirection w:val="lrTb"/>
            <w:noWrap w:val="false"/>
          </w:tcPr>
          <w:p>
            <w:pPr>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采购人：</w:t>
            </w:r>
            <w:r>
              <w:rPr>
                <w:rFonts w:hint="eastAsia" w:ascii="宋体" w:hAnsi="宋体" w:cs="宋体"/>
                <w:bCs/>
                <w:color w:val="auto"/>
                <w:sz w:val="24"/>
                <w:szCs w:val="24"/>
                <w:highlight w:val="none"/>
                <w:lang w:eastAsia="zh-CN"/>
              </w:rPr>
              <w:t xml:space="preserve">宜兴市农业农村局</w:t>
            </w:r>
            <w:r/>
          </w:p>
          <w:p>
            <w:pPr>
              <w:spacing w:line="360" w:lineRule="auto"/>
              <w:rPr>
                <w:rFonts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联系人：</w:t>
            </w:r>
            <w:r>
              <w:rPr>
                <w:rFonts w:hint="eastAsia" w:ascii="宋体" w:hAnsi="宋体" w:cs="宋体"/>
                <w:bCs/>
                <w:color w:val="auto"/>
                <w:sz w:val="24"/>
                <w:szCs w:val="24"/>
                <w:highlight w:val="none"/>
                <w:lang w:val="en-US" w:eastAsia="zh-CN"/>
              </w:rPr>
              <w:t xml:space="preserve">赵女士</w:t>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联系电话</w:t>
            </w:r>
            <w:r>
              <w:rPr>
                <w:rFonts w:hint="eastAsia" w:ascii="宋体" w:hAnsi="宋体" w:cs="宋体"/>
                <w:bCs/>
                <w:color w:val="auto"/>
                <w:sz w:val="24"/>
                <w:szCs w:val="24"/>
                <w:highlight w:val="none"/>
                <w:lang w:eastAsia="zh-CN"/>
              </w:rPr>
              <w:t xml:space="preserve">：</w:t>
            </w:r>
            <w:r>
              <w:rPr>
                <w:rFonts w:hint="eastAsia" w:ascii="宋体" w:hAnsi="宋体"/>
                <w:bCs/>
                <w:color w:val="auto"/>
                <w:sz w:val="24"/>
                <w:szCs w:val="24"/>
                <w:highlight w:val="none"/>
              </w:rPr>
              <w:t xml:space="preserve">15365286508</w:t>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联系地址：</w:t>
            </w:r>
            <w:r>
              <w:rPr>
                <w:rFonts w:hint="eastAsia" w:ascii="宋体" w:hAnsi="宋体"/>
                <w:bCs/>
                <w:color w:val="auto"/>
                <w:sz w:val="24"/>
                <w:szCs w:val="24"/>
                <w:highlight w:val="none"/>
              </w:rPr>
              <w:t xml:space="preserve">宜兴市东山西路62号</w:t>
            </w:r>
            <w:r/>
          </w:p>
          <w:p>
            <w:pPr>
              <w:spacing w:line="360" w:lineRule="auto"/>
              <w:rPr>
                <w:rFonts w:ascii="宋体" w:hAnsi="宋体"/>
                <w:bCs/>
                <w:color w:val="auto"/>
                <w:sz w:val="24"/>
                <w:szCs w:val="24"/>
                <w:highlight w:val="none"/>
              </w:rPr>
            </w:pPr>
            <w:r>
              <w:rPr>
                <w:rFonts w:hint="eastAsia" w:ascii="宋体" w:hAnsi="宋体" w:cs="宋体"/>
                <w:bCs/>
                <w:color w:val="auto"/>
                <w:sz w:val="24"/>
                <w:szCs w:val="24"/>
                <w:highlight w:val="none"/>
              </w:rPr>
              <w:t xml:space="preserve">邮政编码：214200</w:t>
            </w:r>
            <w:r/>
          </w:p>
        </w:tc>
      </w:tr>
      <w:tr>
        <w:trPr>
          <w:jc w:val="center"/>
        </w:trPr>
        <w:tc>
          <w:tcPr>
            <w:tcW w:w="717" w:type="dxa"/>
            <w:vAlign w:val="center"/>
            <w:vMerge w:val="continue"/>
            <w:textDirection w:val="lrTb"/>
            <w:noWrap w:val="false"/>
          </w:tcPr>
          <w:p>
            <w:pPr>
              <w:jc w:val="left"/>
              <w:rPr>
                <w:rFonts w:ascii="宋体" w:hAnsi="宋体"/>
                <w:bCs/>
                <w:color w:val="auto"/>
                <w:sz w:val="24"/>
                <w:szCs w:val="24"/>
                <w:highlight w:val="none"/>
              </w:rPr>
            </w:pPr>
            <w:r>
              <w:rPr>
                <w:rFonts w:ascii="宋体" w:hAnsi="宋体"/>
                <w:bCs/>
                <w:color w:val="auto"/>
                <w:sz w:val="24"/>
                <w:szCs w:val="24"/>
                <w:highlight w:val="none"/>
              </w:rPr>
            </w:r>
            <w:r/>
          </w:p>
        </w:tc>
        <w:tc>
          <w:tcPr>
            <w:tcW w:w="1134" w:type="dxa"/>
            <w:vAlign w:val="center"/>
            <w:vMerge w:val="continue"/>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1649"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采购代理</w:t>
            </w:r>
            <w:r/>
          </w:p>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机构</w:t>
            </w:r>
            <w:r/>
          </w:p>
        </w:tc>
        <w:tc>
          <w:tcPr>
            <w:tcW w:w="6155" w:type="dxa"/>
            <w:vAlign w:val="center"/>
            <w:textDirection w:val="lrTb"/>
            <w:noWrap w:val="false"/>
          </w:tcPr>
          <w:p>
            <w:pPr>
              <w:jc w:val="left"/>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 xml:space="preserve">采购代理机构：</w:t>
            </w:r>
            <w:r>
              <w:rPr>
                <w:rFonts w:hint="eastAsia" w:ascii="宋体" w:hAnsi="宋体" w:eastAsia="宋体" w:cs="Times New Roman"/>
                <w:bCs/>
                <w:color w:val="auto"/>
                <w:sz w:val="24"/>
                <w:szCs w:val="24"/>
                <w:highlight w:val="none"/>
                <w:lang w:eastAsia="zh-CN"/>
              </w:rPr>
              <w:t xml:space="preserve">江苏建发建设项目咨询有限公司</w:t>
            </w:r>
            <w:r/>
          </w:p>
          <w:p>
            <w:pPr>
              <w:jc w:val="left"/>
              <w:spacing w:line="360" w:lineRule="auto"/>
              <w:rPr>
                <w:rFonts w:hint="default" w:ascii="宋体" w:hAnsi="宋体" w:eastAsia="宋体" w:cs="Times New Roman"/>
                <w:bCs/>
                <w:color w:val="auto"/>
                <w:sz w:val="24"/>
                <w:szCs w:val="24"/>
                <w:highlight w:val="none"/>
                <w:lang w:val="en-US"/>
              </w:rPr>
            </w:pPr>
            <w:r>
              <w:rPr>
                <w:rFonts w:hint="eastAsia" w:ascii="宋体" w:hAnsi="宋体" w:eastAsia="宋体" w:cs="Times New Roman"/>
                <w:bCs/>
                <w:color w:val="auto"/>
                <w:sz w:val="24"/>
                <w:szCs w:val="24"/>
                <w:highlight w:val="none"/>
              </w:rPr>
              <w:t xml:space="preserve">联系人：</w:t>
            </w:r>
            <w:r>
              <w:rPr>
                <w:rFonts w:hint="eastAsia" w:ascii="宋体" w:hAnsi="宋体" w:eastAsia="宋体" w:cs="Times New Roman"/>
                <w:bCs/>
                <w:color w:val="auto"/>
                <w:sz w:val="24"/>
                <w:szCs w:val="24"/>
                <w:highlight w:val="none"/>
                <w:lang w:val="en-US" w:eastAsia="zh-CN"/>
              </w:rPr>
              <w:t xml:space="preserve">薛女士</w:t>
            </w:r>
            <w:r/>
          </w:p>
          <w:p>
            <w:pPr>
              <w:jc w:val="left"/>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联系电话：</w:t>
            </w:r>
            <w:r>
              <w:rPr>
                <w:rFonts w:hint="eastAsia" w:ascii="宋体" w:hAnsi="宋体" w:eastAsia="宋体" w:cs="Times New Roman"/>
                <w:bCs/>
                <w:color w:val="auto"/>
                <w:sz w:val="24"/>
                <w:szCs w:val="24"/>
                <w:highlight w:val="none"/>
                <w:lang w:val="en-US" w:eastAsia="zh-CN"/>
              </w:rPr>
              <w:t xml:space="preserve">15262618374</w:t>
            </w:r>
            <w:r/>
          </w:p>
          <w:p>
            <w:pPr>
              <w:jc w:val="left"/>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eastAsia="zh-CN"/>
              </w:rPr>
              <w:t xml:space="preserve">联系地址：</w:t>
            </w:r>
            <w:r>
              <w:rPr>
                <w:rFonts w:hint="eastAsia" w:ascii="宋体" w:hAnsi="宋体" w:eastAsia="宋体" w:cs="Times New Roman"/>
                <w:bCs/>
                <w:color w:val="auto"/>
                <w:sz w:val="24"/>
                <w:szCs w:val="24"/>
                <w:highlight w:val="none"/>
                <w:lang w:val="en-US" w:eastAsia="zh-CN"/>
              </w:rPr>
              <w:t xml:space="preserve">宜兴市宜城街道氿岸华府21号楼一楼</w:t>
            </w:r>
            <w:r/>
          </w:p>
          <w:p>
            <w:pPr>
              <w:jc w:val="left"/>
              <w:spacing w:line="360" w:lineRule="auto"/>
              <w:rPr>
                <w:rFonts w:ascii="宋体" w:hAnsi="宋体"/>
                <w:bCs/>
                <w:color w:val="auto"/>
                <w:sz w:val="24"/>
                <w:szCs w:val="24"/>
                <w:highlight w:val="none"/>
              </w:rPr>
            </w:pPr>
            <w:r>
              <w:rPr>
                <w:rFonts w:hint="eastAsia" w:ascii="宋体" w:hAnsi="宋体" w:eastAsia="宋体" w:cs="Times New Roman"/>
                <w:bCs/>
                <w:color w:val="auto"/>
                <w:sz w:val="24"/>
                <w:szCs w:val="24"/>
                <w:highlight w:val="none"/>
              </w:rPr>
              <w:t xml:space="preserve">邮政编码：214200</w:t>
            </w:r>
            <w:r/>
          </w:p>
        </w:tc>
      </w:tr>
      <w:tr>
        <w:trPr>
          <w:jc w:val="center"/>
        </w:trPr>
        <w:tc>
          <w:tcPr>
            <w:tcW w:w="717" w:type="dxa"/>
            <w:vAlign w:val="center"/>
            <w:vMerge w:val="continue"/>
            <w:textDirection w:val="lrTb"/>
            <w:noWrap w:val="false"/>
          </w:tcPr>
          <w:p>
            <w:pPr>
              <w:jc w:val="left"/>
              <w:rPr>
                <w:rFonts w:ascii="宋体" w:hAnsi="宋体"/>
                <w:bCs/>
                <w:color w:val="auto"/>
                <w:sz w:val="24"/>
                <w:szCs w:val="24"/>
                <w:highlight w:val="none"/>
              </w:rPr>
            </w:pPr>
            <w:r>
              <w:rPr>
                <w:rFonts w:ascii="宋体" w:hAnsi="宋体"/>
                <w:bCs/>
                <w:color w:val="auto"/>
                <w:sz w:val="24"/>
                <w:szCs w:val="24"/>
                <w:highlight w:val="none"/>
              </w:rPr>
            </w:r>
            <w:r/>
          </w:p>
        </w:tc>
        <w:tc>
          <w:tcPr>
            <w:tcW w:w="1134" w:type="dxa"/>
            <w:vAlign w:val="center"/>
            <w:vMerge w:val="continue"/>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1649"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“苏采云”</w:t>
            </w:r>
            <w:r/>
          </w:p>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客服</w:t>
            </w:r>
            <w:r/>
          </w:p>
        </w:tc>
        <w:tc>
          <w:tcPr>
            <w:tcW w:w="6155" w:type="dxa"/>
            <w:vAlign w:val="center"/>
            <w:textDirection w:val="lrTb"/>
            <w:noWrap w:val="false"/>
          </w:tcPr>
          <w:p>
            <w:pPr>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供应商在</w:t>
            </w:r>
            <w:r>
              <w:rPr>
                <w:rFonts w:hint="eastAsia" w:ascii="宋体" w:hAnsi="宋体"/>
                <w:bCs/>
                <w:color w:val="auto"/>
                <w:sz w:val="24"/>
                <w:szCs w:val="24"/>
                <w:highlight w:val="none"/>
              </w:rPr>
              <w:t xml:space="preserve">“苏采云”</w:t>
            </w:r>
            <w:r>
              <w:rPr>
                <w:rFonts w:ascii="宋体" w:hAnsi="宋体"/>
                <w:bCs/>
                <w:color w:val="auto"/>
                <w:sz w:val="24"/>
                <w:szCs w:val="24"/>
                <w:highlight w:val="none"/>
              </w:rPr>
              <w:t xml:space="preserve">系统操作过程中如遇问题</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请致电</w:t>
            </w:r>
            <w:r>
              <w:rPr>
                <w:rFonts w:hint="eastAsia" w:ascii="宋体" w:hAnsi="宋体"/>
                <w:bCs/>
                <w:color w:val="auto"/>
                <w:sz w:val="24"/>
                <w:szCs w:val="24"/>
                <w:highlight w:val="none"/>
              </w:rPr>
              <w:t xml:space="preserve">“苏采云”客服。</w:t>
            </w:r>
            <w:r/>
          </w:p>
          <w:p>
            <w:p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联系电话：</w:t>
            </w:r>
            <w:r>
              <w:rPr>
                <w:rFonts w:ascii="宋体" w:hAnsi="宋体"/>
                <w:bCs/>
                <w:color w:val="auto"/>
                <w:sz w:val="24"/>
                <w:szCs w:val="24"/>
                <w:highlight w:val="none"/>
              </w:rPr>
              <w:t xml:space="preserve">16651529117</w:t>
            </w:r>
            <w:r>
              <w:rPr>
                <w:rFonts w:hint="eastAsia" w:ascii="宋体" w:hAnsi="宋体"/>
                <w:bCs/>
                <w:color w:val="auto"/>
                <w:sz w:val="24"/>
                <w:szCs w:val="24"/>
                <w:highlight w:val="none"/>
              </w:rPr>
              <w:t xml:space="preserve">、025-83633744、025-83633743</w:t>
            </w:r>
            <w:r/>
          </w:p>
        </w:tc>
      </w:tr>
      <w:tr>
        <w:trPr>
          <w:jc w:val="center"/>
        </w:trPr>
        <w:tc>
          <w:tcPr>
            <w:tcW w:w="717" w:type="dxa"/>
            <w:vAlign w:val="center"/>
            <w:vMerge w:val="continue"/>
            <w:textDirection w:val="lrTb"/>
            <w:noWrap w:val="false"/>
          </w:tcPr>
          <w:p>
            <w:pPr>
              <w:jc w:val="left"/>
              <w:rPr>
                <w:rFonts w:ascii="宋体" w:hAnsi="宋体"/>
                <w:bCs/>
                <w:color w:val="auto"/>
                <w:sz w:val="24"/>
                <w:szCs w:val="24"/>
                <w:highlight w:val="none"/>
              </w:rPr>
            </w:pPr>
            <w:r>
              <w:rPr>
                <w:rFonts w:ascii="宋体" w:hAnsi="宋体"/>
                <w:bCs/>
                <w:color w:val="auto"/>
                <w:sz w:val="24"/>
                <w:szCs w:val="24"/>
                <w:highlight w:val="none"/>
              </w:rPr>
            </w:r>
            <w:r/>
          </w:p>
        </w:tc>
        <w:tc>
          <w:tcPr>
            <w:tcW w:w="1134" w:type="dxa"/>
            <w:vAlign w:val="center"/>
            <w:vMerge w:val="continue"/>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1649"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财政监管</w:t>
            </w:r>
            <w:r/>
          </w:p>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部门</w:t>
            </w:r>
            <w:r/>
          </w:p>
        </w:tc>
        <w:tc>
          <w:tcPr>
            <w:tcW w:w="6155" w:type="dxa"/>
            <w:vAlign w:val="top"/>
            <w:textDirection w:val="lrTb"/>
            <w:noWrap w:val="false"/>
          </w:tcPr>
          <w:p>
            <w:p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宜兴市财政局</w:t>
            </w:r>
            <w:r/>
          </w:p>
          <w:p>
            <w:p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联系地址：宜兴市荆溪中路35号五局大院内</w:t>
            </w:r>
            <w:bookmarkEnd w:id="10"/>
            <w:r/>
            <w:r/>
          </w:p>
        </w:tc>
      </w:tr>
    </w:tbl>
    <w:p>
      <w:pPr>
        <w:jc w:val="center"/>
        <w:spacing w:line="360" w:lineRule="auto"/>
        <w:rPr>
          <w:rFonts w:ascii="黑体" w:hAnsi="黑体" w:eastAsia="黑体"/>
          <w:color w:val="auto"/>
          <w:sz w:val="28"/>
          <w:highlight w:val="none"/>
        </w:rPr>
        <w:outlineLvl w:val="0"/>
      </w:pPr>
      <w:r>
        <w:rPr>
          <w:rFonts w:hint="eastAsia" w:ascii="黑体" w:hAnsi="黑体" w:eastAsia="黑体"/>
          <w:color w:val="auto"/>
          <w:sz w:val="28"/>
          <w:highlight w:val="none"/>
        </w:rPr>
        <w:br w:type="page" w:clear="all"/>
      </w:r>
      <w:bookmarkStart w:id="12" w:name="_Toc157175931"/>
      <w:r/>
      <w:bookmarkStart w:id="13" w:name="_Toc31677"/>
      <w:r>
        <w:rPr>
          <w:rFonts w:hint="eastAsia" w:ascii="黑体" w:hAnsi="黑体" w:eastAsia="黑体"/>
          <w:color w:val="auto"/>
          <w:sz w:val="28"/>
          <w:highlight w:val="none"/>
        </w:rPr>
        <w:t xml:space="preserve">第二章 供应商须知</w:t>
      </w:r>
      <w:bookmarkEnd w:id="11"/>
      <w:r/>
      <w:bookmarkEnd w:id="12"/>
      <w:r/>
      <w:bookmarkEnd w:id="13"/>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一、总   则</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1、适用法律</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1.1 《中华人民共和国政府采购法》《中华人民共和国政府采购法实施条例》《</w:t>
      </w:r>
      <w:r>
        <w:rPr>
          <w:rFonts w:hint="eastAsia" w:ascii="宋体" w:hAnsi="宋体"/>
          <w:bCs/>
          <w:color w:val="auto"/>
          <w:sz w:val="24"/>
          <w:szCs w:val="24"/>
          <w:highlight w:val="none"/>
        </w:rPr>
        <w:t xml:space="preserve">政府采购非招标采购方式管理办法</w:t>
      </w:r>
      <w:r>
        <w:rPr>
          <w:rFonts w:hint="eastAsia" w:ascii="宋体" w:hAnsi="宋体"/>
          <w:bCs/>
          <w:color w:val="auto"/>
          <w:sz w:val="24"/>
          <w:szCs w:val="24"/>
          <w:highlight w:val="none"/>
          <w:lang w:val="zh-CN"/>
        </w:rPr>
        <w:t xml:space="preserve">》等有关法律法规、规章和规定等。</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2、定义</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2.1 “供应商”</w:t>
      </w:r>
      <w:r>
        <w:rPr>
          <w:rFonts w:hint="eastAsia" w:ascii="宋体" w:hAnsi="宋体"/>
          <w:bCs/>
          <w:color w:val="auto"/>
          <w:sz w:val="24"/>
          <w:szCs w:val="24"/>
          <w:highlight w:val="none"/>
        </w:rPr>
        <w:t xml:space="preserve">是指参加报价竞争，并符合询价通知书规定资格条件的法人、其他组织或者自然人；银行、保险、石油石化、电力、电信等有行业特殊情况的，可以以分支机构直接参加政府采购活动，其他行业分支机构通过总公司有效授权可以参与本项目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auto"/>
          <w:sz w:val="24"/>
          <w:szCs w:val="24"/>
          <w:highlight w:val="none"/>
        </w:rPr>
        <w:t xml:space="preserve">项</w:t>
      </w:r>
      <w:r>
        <w:rPr>
          <w:rFonts w:hint="eastAsia" w:ascii="宋体" w:hAnsi="宋体"/>
          <w:bCs/>
          <w:color w:val="auto"/>
          <w:sz w:val="24"/>
          <w:szCs w:val="24"/>
          <w:highlight w:val="none"/>
        </w:rPr>
        <w:t xml:space="preserve">下的政府采购活动。</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 </w:t>
      </w:r>
      <w:r>
        <w:rPr>
          <w:rFonts w:hint="eastAsia" w:ascii="宋体" w:hAnsi="宋体"/>
          <w:bCs/>
          <w:color w:val="auto"/>
          <w:sz w:val="24"/>
          <w:szCs w:val="24"/>
          <w:highlight w:val="none"/>
          <w:lang w:val="zh-CN"/>
        </w:rPr>
        <w:t xml:space="preserve">询价通知书中的“法定代表人”是指供应商的营业执照</w:t>
      </w:r>
      <w:r>
        <w:rPr>
          <w:rFonts w:hint="eastAsia" w:ascii="宋体" w:hAnsi="宋体"/>
          <w:color w:val="auto"/>
          <w:sz w:val="24"/>
          <w:highlight w:val="none"/>
        </w:rPr>
        <w:t xml:space="preserve">或相关部门的有效登记证明文件</w:t>
      </w:r>
      <w:r>
        <w:rPr>
          <w:rFonts w:hint="eastAsia" w:ascii="宋体" w:hAnsi="宋体"/>
          <w:bCs/>
          <w:color w:val="auto"/>
          <w:sz w:val="24"/>
          <w:szCs w:val="24"/>
          <w:highlight w:val="none"/>
          <w:lang w:val="zh-CN"/>
        </w:rPr>
        <w:t xml:space="preserve">中的“法定代表人”“执行事务合伙人”“经营者”“</w:t>
      </w:r>
      <w:r>
        <w:rPr>
          <w:rFonts w:hint="eastAsia" w:ascii="宋体" w:hAnsi="宋体"/>
          <w:bCs/>
          <w:color w:val="auto"/>
          <w:sz w:val="24"/>
          <w:szCs w:val="24"/>
          <w:highlight w:val="none"/>
        </w:rPr>
        <w:t xml:space="preserve">负责人</w:t>
      </w:r>
      <w:r>
        <w:rPr>
          <w:rFonts w:hint="eastAsia" w:ascii="宋体" w:hAnsi="宋体"/>
          <w:bCs/>
          <w:color w:val="auto"/>
          <w:sz w:val="24"/>
          <w:szCs w:val="24"/>
          <w:highlight w:val="none"/>
          <w:lang w:val="zh-CN"/>
        </w:rPr>
        <w:t xml:space="preserve">”，若为自然人的指自然人本人。</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 “供应商（电子签章）”</w:t>
      </w:r>
      <w:r>
        <w:rPr>
          <w:rFonts w:hint="eastAsia" w:ascii="宋体" w:hAnsi="宋体"/>
          <w:bCs/>
          <w:color w:val="auto"/>
          <w:sz w:val="24"/>
          <w:szCs w:val="24"/>
          <w:highlight w:val="none"/>
        </w:rPr>
        <w:t xml:space="preserve">是指供应商的电子公章，</w:t>
      </w:r>
      <w:r>
        <w:rPr>
          <w:rFonts w:hint="eastAsia" w:ascii="宋体" w:hAnsi="宋体"/>
          <w:bCs/>
          <w:color w:val="auto"/>
          <w:sz w:val="24"/>
          <w:szCs w:val="24"/>
          <w:highlight w:val="none"/>
          <w:lang w:val="zh-CN"/>
        </w:rPr>
        <w:t xml:space="preserve">自然人报价即指自然人私章或签名</w:t>
      </w:r>
      <w:r>
        <w:rPr>
          <w:rFonts w:hint="eastAsia" w:ascii="宋体" w:hAnsi="宋体"/>
          <w:bCs/>
          <w:color w:val="auto"/>
          <w:sz w:val="24"/>
          <w:szCs w:val="24"/>
          <w:highlight w:val="none"/>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2.4</w:t>
      </w:r>
      <w:r>
        <w:rPr>
          <w:rFonts w:hint="eastAsia" w:ascii="宋体" w:hAnsi="宋体"/>
          <w:bCs/>
          <w:color w:val="auto"/>
          <w:sz w:val="24"/>
          <w:szCs w:val="24"/>
          <w:highlight w:val="none"/>
          <w:lang w:val="zh-CN"/>
        </w:rPr>
        <w:t xml:space="preserve"> “产品”指本询价通知书中所述产品（含配件）及相关服务。</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.5 </w:t>
      </w:r>
      <w:r>
        <w:rPr>
          <w:rFonts w:hint="eastAsia" w:ascii="宋体" w:hAnsi="宋体"/>
          <w:bCs/>
          <w:color w:val="auto"/>
          <w:sz w:val="24"/>
          <w:szCs w:val="24"/>
          <w:highlight w:val="none"/>
          <w:lang w:val="zh-CN"/>
        </w:rPr>
        <w:t xml:space="preserve">“响应”指提交报价文件并对询价通知书提出的条件和要求进行实质性回应，采购公告及采购文件中的“投标”是指报价，</w:t>
      </w:r>
      <w:bookmarkStart w:id="14" w:name="_Hlk166056449"/>
      <w:r>
        <w:rPr>
          <w:rFonts w:hint="eastAsia" w:ascii="宋体" w:hAnsi="宋体"/>
          <w:bCs/>
          <w:color w:val="auto"/>
          <w:sz w:val="24"/>
          <w:szCs w:val="24"/>
          <w:highlight w:val="none"/>
          <w:lang w:val="zh-CN"/>
        </w:rPr>
        <w:t xml:space="preserve">本采购文件中的“报价”除单独列明外均指项目总报价。</w:t>
      </w:r>
      <w:bookmarkEnd w:id="14"/>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lang w:val="zh-CN"/>
        </w:rPr>
        <w:t xml:space="preserve"> “证明材料”指询价通知书中要求提供的相关材料</w:t>
      </w:r>
      <w:bookmarkStart w:id="15" w:name="_Hlk166056619"/>
      <w:r>
        <w:rPr>
          <w:rFonts w:hint="eastAsia" w:ascii="宋体" w:hAnsi="宋体"/>
          <w:bCs/>
          <w:color w:val="auto"/>
          <w:sz w:val="24"/>
          <w:szCs w:val="24"/>
          <w:highlight w:val="none"/>
          <w:lang w:val="zh-CN"/>
        </w:rPr>
        <w:t xml:space="preserve">且必须为有效的，即证明材料的完整性、真实性、出具方式、有效期限、技术标准、认证范围等相关要求符合国家相关法律法规及询价通知书规定。</w:t>
      </w:r>
      <w:bookmarkEnd w:id="15"/>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.7 </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rPr>
        <w:t xml:space="preserve">电子交易平台</w:t>
      </w:r>
      <w:r>
        <w:rPr>
          <w:rFonts w:hint="eastAsia" w:ascii="宋体" w:hAnsi="宋体"/>
          <w:bCs/>
          <w:color w:val="auto"/>
          <w:sz w:val="24"/>
          <w:szCs w:val="24"/>
          <w:highlight w:val="none"/>
          <w:lang w:val="zh-CN"/>
        </w:rPr>
        <w:t xml:space="preserve">”指本项目政府采购活动所依托的江苏政府采购网（</w:t>
      </w:r>
      <w:r>
        <w:rPr>
          <w:rFonts w:ascii="宋体" w:hAnsi="宋体"/>
          <w:bCs/>
          <w:color w:val="auto"/>
          <w:sz w:val="24"/>
          <w:szCs w:val="24"/>
          <w:highlight w:val="none"/>
          <w:lang w:val="zh-CN"/>
        </w:rPr>
        <w:t xml:space="preserve">www.ccgp-jiangsu.gov.cn</w:t>
      </w:r>
      <w:r>
        <w:rPr>
          <w:rFonts w:hint="eastAsia" w:ascii="宋体" w:hAnsi="宋体"/>
          <w:bCs/>
          <w:color w:val="auto"/>
          <w:sz w:val="24"/>
          <w:szCs w:val="24"/>
          <w:highlight w:val="none"/>
          <w:lang w:val="zh-CN"/>
        </w:rPr>
        <w:t xml:space="preserve">） “苏采云”平台（系统）。</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.8 </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中小企业声明”指符合政府采购政策的供应商提供的《中小企业声明函》或《残疾人福利性单位声明函》或监狱企业的证明文件。</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.9 </w:t>
      </w:r>
      <w:r>
        <w:rPr>
          <w:rFonts w:hint="eastAsia" w:ascii="宋体" w:hAnsi="宋体"/>
          <w:bCs/>
          <w:color w:val="auto"/>
          <w:sz w:val="24"/>
          <w:szCs w:val="24"/>
          <w:highlight w:val="none"/>
          <w:lang w:val="zh-CN"/>
        </w:rPr>
        <w:t xml:space="preserve">“报价无效”指供应商提交的响应文件不符合询价通知书或不符合采购人要求的情况，按无效响应处理。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2.10 “正偏离”指供应商提供的货物（服务）响应情况优于询价通知书要求；“负偏离”指供应商提供的货物（服务）响应情况劣于询价通知书要求。</w:t>
      </w:r>
      <w:r/>
    </w:p>
    <w:p>
      <w:pPr>
        <w:ind w:firstLine="480"/>
        <w:jc w:val="left"/>
        <w:spacing w:line="360" w:lineRule="auto"/>
        <w:rPr>
          <w:rFonts w:ascii="宋体" w:hAnsi="宋体"/>
          <w:bCs/>
          <w:color w:val="auto"/>
          <w:sz w:val="24"/>
          <w:szCs w:val="24"/>
          <w:highlight w:val="none"/>
          <w:lang w:val="zh-CN"/>
        </w:rPr>
      </w:pPr>
      <w:r/>
      <w:bookmarkStart w:id="16" w:name="_Hlk164322260"/>
      <w:r>
        <w:rPr>
          <w:rFonts w:hint="eastAsia" w:ascii="宋体" w:hAnsi="宋体"/>
          <w:bCs/>
          <w:color w:val="auto"/>
          <w:sz w:val="24"/>
          <w:szCs w:val="24"/>
          <w:highlight w:val="none"/>
          <w:lang w:val="zh-CN"/>
        </w:rPr>
        <w:t xml:space="preserve">2.11 本询价通知书中的招标与采购、询价通知书与采购文件、报价无效与响应无效、</w:t>
      </w:r>
      <w:r>
        <w:rPr>
          <w:rFonts w:hint="eastAsia" w:ascii="宋体" w:hAnsi="宋体"/>
          <w:bCs/>
          <w:color w:val="auto"/>
          <w:sz w:val="24"/>
          <w:szCs w:val="24"/>
          <w:highlight w:val="none"/>
        </w:rPr>
        <w:t xml:space="preserve">产品与货物、优惠政策与扶持政策，分别为同一概念或意思。</w:t>
      </w:r>
      <w:bookmarkEnd w:id="16"/>
      <w:r/>
      <w:r/>
    </w:p>
    <w:p>
      <w:pPr>
        <w:ind w:firstLine="480"/>
        <w:jc w:val="left"/>
        <w:spacing w:line="360" w:lineRule="auto"/>
        <w:rPr>
          <w:rFonts w:ascii="宋体" w:hAnsi="宋体"/>
          <w:bCs/>
          <w:color w:val="auto"/>
          <w:sz w:val="24"/>
          <w:szCs w:val="24"/>
          <w:highlight w:val="none"/>
          <w:lang w:val="zh-CN"/>
        </w:rPr>
      </w:pPr>
      <w:r/>
      <w:bookmarkStart w:id="17" w:name="OLE_LINK190"/>
      <w:r/>
      <w:bookmarkStart w:id="18" w:name="OLE_LINK87"/>
      <w:r/>
      <w:bookmarkStart w:id="19" w:name="OLE_LINK212"/>
      <w:r/>
      <w:bookmarkStart w:id="20" w:name="OLE_LINK269"/>
      <w:r/>
      <w:bookmarkStart w:id="21" w:name="OLE_LINK217"/>
      <w:r>
        <w:rPr>
          <w:rFonts w:hint="eastAsia" w:ascii="宋体" w:hAnsi="宋体"/>
          <w:bCs/>
          <w:color w:val="auto"/>
          <w:sz w:val="24"/>
          <w:szCs w:val="24"/>
          <w:highlight w:val="none"/>
          <w:lang w:val="zh-CN"/>
        </w:rPr>
        <w:t xml:space="preserve">3、政府采购政策</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3.1 </w:t>
      </w:r>
      <w:r>
        <w:rPr>
          <w:rFonts w:hint="eastAsia" w:ascii="宋体" w:hAnsi="宋体" w:cs="宋体"/>
          <w:bCs/>
          <w:color w:val="auto"/>
          <w:sz w:val="24"/>
          <w:highlight w:val="none"/>
        </w:rPr>
        <w:t xml:space="preserve">政府采购原则上采购本国生产的</w:t>
      </w:r>
      <w:r>
        <w:rPr>
          <w:rFonts w:hint="eastAsia" w:ascii="宋体" w:hAnsi="宋体"/>
          <w:bCs/>
          <w:color w:val="auto"/>
          <w:sz w:val="24"/>
          <w:szCs w:val="24"/>
          <w:highlight w:val="none"/>
          <w:lang w:val="zh-CN"/>
        </w:rPr>
        <w:t xml:space="preserve">产品</w:t>
      </w:r>
      <w:r>
        <w:rPr>
          <w:rFonts w:hint="eastAsia" w:ascii="宋体" w:hAnsi="宋体" w:cs="宋体"/>
          <w:bCs/>
          <w:color w:val="auto"/>
          <w:sz w:val="24"/>
          <w:highlight w:val="none"/>
        </w:rPr>
        <w:t xml:space="preserve">，不允许采购进口产品。除非采购人采购进口产品，已经在采购活动开始前向财政部门提出申请</w:t>
      </w:r>
      <w:r>
        <w:rPr>
          <w:rFonts w:hint="eastAsia" w:ascii="宋体" w:hAnsi="宋体" w:cs="宋体"/>
          <w:color w:val="auto"/>
          <w:sz w:val="24"/>
          <w:highlight w:val="none"/>
        </w:rPr>
        <w:t xml:space="preserve">并获得财政部门审核同意，且在采购需求中明确规定可以采购进口产品。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政府采购支持中小企业发展</w:t>
      </w:r>
      <w:r/>
    </w:p>
    <w:p>
      <w:pPr>
        <w:ind w:firstLine="480"/>
        <w:jc w:val="left"/>
        <w:spacing w:line="360" w:lineRule="auto"/>
        <w:rPr>
          <w:rFonts w:ascii="宋体" w:hAnsi="宋体" w:cs="宋体"/>
          <w:color w:val="auto"/>
          <w:sz w:val="24"/>
          <w:highlight w:val="none"/>
        </w:rPr>
      </w:pPr>
      <w:r>
        <w:rPr>
          <w:rFonts w:ascii="宋体" w:hAnsi="宋体"/>
          <w:bCs/>
          <w:color w:val="auto"/>
          <w:sz w:val="24"/>
          <w:szCs w:val="24"/>
          <w:highlight w:val="none"/>
        </w:rPr>
        <w:t xml:space="preserve">3.2.1</w:t>
      </w:r>
      <w:r>
        <w:rPr>
          <w:rFonts w:hint="eastAsia" w:ascii="宋体" w:hAnsi="宋体"/>
          <w:bCs/>
          <w:color w:val="auto"/>
          <w:sz w:val="24"/>
          <w:szCs w:val="24"/>
          <w:highlight w:val="none"/>
        </w:rPr>
        <w:t xml:space="preserve">“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color w:val="auto"/>
          <w:sz w:val="24"/>
          <w:szCs w:val="24"/>
          <w:highlight w:val="none"/>
          <w:lang w:val="zh-CN"/>
        </w:rPr>
        <w:t xml:space="preserve">以联合体形式参加政府采购活动</w:t>
      </w:r>
      <w:r>
        <w:rPr>
          <w:rFonts w:hint="eastAsia" w:ascii="宋体" w:hAnsi="宋体"/>
          <w:bCs/>
          <w:color w:val="auto"/>
          <w:sz w:val="24"/>
          <w:szCs w:val="24"/>
          <w:highlight w:val="none"/>
          <w:lang w:val="zh-CN" w:eastAsia="zh-CN"/>
        </w:rPr>
        <w:t xml:space="preserve">的</w:t>
      </w:r>
      <w:r>
        <w:rPr>
          <w:rFonts w:hint="eastAsia" w:ascii="宋体" w:hAnsi="宋体"/>
          <w:bCs/>
          <w:color w:val="auto"/>
          <w:sz w:val="24"/>
          <w:szCs w:val="24"/>
          <w:highlight w:val="none"/>
          <w:lang w:val="zh-CN"/>
        </w:rPr>
        <w:t xml:space="preserve">，联合体各方均为中小企业的，联合体视同中小企业。其中，联合体各方均为小微企业的，联合体视同小微企业。由联合体主体单位出具中小企业声明。</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.2.2</w:t>
      </w:r>
      <w:r>
        <w:rPr>
          <w:rFonts w:hint="eastAsia" w:ascii="宋体" w:hAnsi="宋体" w:cs="宋体"/>
          <w:color w:val="auto"/>
          <w:sz w:val="24"/>
          <w:highlight w:val="none"/>
        </w:rPr>
        <w:t xml:space="preserve">在政府采购活动中，供应商提供的货物符合下列情形的，享受中小企业扶持政策：在货物采购项目中，货物由中小企业制造，即货物由中小企业生产且使用该中小企业商号或者注册商标；在货物采购项目中，供应商提供的货物既有中小企业制造货物，也有大型企业制造货物的，不享受中小企业扶持政策。</w:t>
      </w:r>
      <w:r>
        <w:rPr>
          <w:rFonts w:hint="eastAsia" w:ascii="宋体" w:hAnsi="宋体" w:cs="宋体"/>
          <w:bCs/>
          <w:color w:val="auto"/>
          <w:sz w:val="24"/>
          <w:highlight w:val="none"/>
        </w:rPr>
        <w:t xml:space="preserve">根据采购项目类型，若为货物类项目，只对货物的制造商是否为中小企业进行认定，不再对供应商提供的配套服务作出要求。</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对于专门面向中小企业采购的项目，只面向中小企业采购，且评审时不予报价扣除；对于非专门面向中小企业采购的项目，对符合规定的小微企业报价给予扣除</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用扣除后的价格参与评审。</w:t>
      </w:r>
      <w:r>
        <w:rPr>
          <w:rFonts w:hint="eastAsia" w:ascii="宋体" w:hAnsi="宋体" w:cs="宋体"/>
          <w:color w:val="auto"/>
          <w:sz w:val="24"/>
          <w:highlight w:val="none"/>
        </w:rPr>
        <w:t xml:space="preserve">接受大中型企业与小微企业组成联合体或者允许大中型企业向一家或者多家小微企业分包的政府采购货物项目，对于</w:t>
      </w:r>
      <w:bookmarkStart w:id="22" w:name="_Hlk101132181"/>
      <w:r>
        <w:rPr>
          <w:rFonts w:hint="eastAsia" w:ascii="宋体" w:hAnsi="宋体" w:cs="宋体"/>
          <w:color w:val="auto"/>
          <w:sz w:val="24"/>
          <w:highlight w:val="none"/>
        </w:rPr>
        <w:t xml:space="preserve">联合协议或者分包意向协议约定小微企业的合同份额占到合同总金额30%及以上的</w:t>
      </w:r>
      <w:bookmarkEnd w:id="17"/>
      <w:r>
        <w:rPr>
          <w:rFonts w:hint="eastAsia" w:ascii="宋体" w:hAnsi="宋体" w:cs="宋体"/>
          <w:color w:val="auto"/>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rPr>
        <w:t xml:space="preserve">须在《联合体各方共同投标协议》中明确联合体各方是否存在上述关系，如未进行明确的亦不得享受价格扣除。</w:t>
      </w:r>
      <w:r/>
    </w:p>
    <w:p>
      <w:pPr>
        <w:ind w:firstLine="480"/>
        <w:jc w:val="left"/>
        <w:spacing w:line="360" w:lineRule="auto"/>
        <w:rPr>
          <w:rFonts w:ascii="宋体" w:hAnsi="宋体" w:cs="宋体"/>
          <w:color w:val="auto"/>
          <w:sz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4</w:t>
      </w:r>
      <w:r>
        <w:rPr>
          <w:rFonts w:hint="eastAsia" w:ascii="宋体" w:hAnsi="宋体" w:cs="宋体"/>
          <w:color w:val="auto"/>
          <w:sz w:val="24"/>
          <w:highlight w:val="none"/>
        </w:rPr>
        <w:t xml:space="preserve">可享受中小企业扶持政策的供应商应按照询价通知书要求提供中小企业声明，供应商提供的中小企业声明与实际情况不符的，不享受中小企业扶持政策。</w:t>
      </w:r>
      <w:r>
        <w:rPr>
          <w:rFonts w:hint="eastAsia" w:ascii="宋体" w:hAnsi="宋体"/>
          <w:bCs/>
          <w:color w:val="auto"/>
          <w:sz w:val="24"/>
          <w:szCs w:val="24"/>
          <w:highlight w:val="none"/>
          <w:u w:val="single"/>
        </w:rPr>
        <w:t xml:space="preserve">供应商应按照中小企业声明格式准确完整填写相关内容，其中《中小企业声明函》</w:t>
      </w:r>
      <w:bookmarkStart w:id="23" w:name="_Hlk160697267"/>
      <w:r>
        <w:rPr>
          <w:rFonts w:hint="eastAsia" w:ascii="宋体" w:hAnsi="宋体"/>
          <w:bCs/>
          <w:color w:val="auto"/>
          <w:sz w:val="24"/>
          <w:szCs w:val="24"/>
          <w:highlight w:val="none"/>
          <w:u w:val="single"/>
        </w:rPr>
        <w:t xml:space="preserve">须按“第三章 项目技术要求和有关说明”中采购标的明细及所属行业等内容逐一进行填报，并明确相关企业类型（中型、小型或微型），</w:t>
      </w:r>
      <w:bookmarkEnd w:id="18"/>
      <w:r>
        <w:rPr>
          <w:rFonts w:hint="eastAsia" w:ascii="宋体" w:hAnsi="宋体"/>
          <w:bCs/>
          <w:color w:val="auto"/>
          <w:sz w:val="24"/>
          <w:szCs w:val="24"/>
          <w:highlight w:val="none"/>
        </w:rPr>
        <w:t xml:space="preserve">否则自行承担中小企业声明函无效的风险。新成立企业时间认定以相关部门颁发证书的发证、登记日期为准，应提供相关证书，否则不予认可。</w:t>
      </w:r>
      <w:r>
        <w:rPr>
          <w:rFonts w:hint="eastAsia" w:ascii="宋体" w:hAnsi="宋体" w:cs="宋体"/>
          <w:color w:val="auto"/>
          <w:sz w:val="24"/>
          <w:highlight w:val="none"/>
        </w:rPr>
        <w:t xml:space="preserve">声明内容不实的，属于提供虚假材料谋取中标、成交的，应依法承担法律责任。</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2</w:t>
      </w:r>
      <w:r>
        <w:rPr>
          <w:rFonts w:hint="eastAsia" w:ascii="宋体" w:hAnsi="宋体" w:cs="宋体"/>
          <w:color w:val="auto"/>
          <w:sz w:val="24"/>
          <w:highlight w:val="none"/>
        </w:rPr>
        <w:t xml:space="preserve">.</w:t>
      </w:r>
      <w:r>
        <w:rPr>
          <w:rFonts w:ascii="宋体" w:hAnsi="宋体" w:cs="宋体"/>
          <w:color w:val="auto"/>
          <w:sz w:val="24"/>
          <w:highlight w:val="none"/>
        </w:rPr>
        <w:t xml:space="preserve">5</w:t>
      </w:r>
      <w:r>
        <w:rPr>
          <w:rFonts w:hint="eastAsia" w:ascii="宋体" w:hAnsi="宋体" w:cs="宋体"/>
          <w:color w:val="auto"/>
          <w:sz w:val="24"/>
          <w:highlight w:val="none"/>
        </w:rPr>
        <w:t xml:space="preserve">符合《关于促进残疾人就业政府采购政策的通知》（财库〔2017〕141号）规定的条件并提供《残疾人福利性单位声明函》的残疾人福利性单位视同小型、微型企业。</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2</w:t>
      </w:r>
      <w:r>
        <w:rPr>
          <w:rFonts w:hint="eastAsia" w:ascii="宋体" w:hAnsi="宋体" w:cs="宋体"/>
          <w:color w:val="auto"/>
          <w:sz w:val="24"/>
          <w:highlight w:val="none"/>
        </w:rPr>
        <w:t xml:space="preserve">.</w:t>
      </w:r>
      <w:r>
        <w:rPr>
          <w:rFonts w:ascii="宋体" w:hAnsi="宋体" w:cs="宋体"/>
          <w:color w:val="auto"/>
          <w:sz w:val="24"/>
          <w:highlight w:val="none"/>
        </w:rPr>
        <w:t xml:space="preserve">6</w:t>
      </w:r>
      <w:r>
        <w:rPr>
          <w:rFonts w:hint="eastAsia" w:ascii="宋体" w:hAnsi="宋体" w:cs="宋体"/>
          <w:color w:val="auto"/>
          <w:sz w:val="24"/>
          <w:highlight w:val="none"/>
        </w:rPr>
        <w:t xml:space="preserve">符合《关于政府采购支持监狱企业发展有关问题的通知》（财库〔201</w:t>
      </w:r>
      <w:r>
        <w:rPr>
          <w:rFonts w:ascii="宋体" w:hAnsi="宋体" w:cs="宋体"/>
          <w:color w:val="auto"/>
          <w:sz w:val="24"/>
          <w:highlight w:val="none"/>
        </w:rPr>
        <w:t xml:space="preserve">4</w:t>
      </w:r>
      <w:r>
        <w:rPr>
          <w:rFonts w:hint="eastAsia" w:ascii="宋体" w:hAnsi="宋体" w:cs="宋体"/>
          <w:color w:val="auto"/>
          <w:sz w:val="24"/>
          <w:highlight w:val="none"/>
        </w:rPr>
        <w:t xml:space="preserve">〕68号）规定的监狱企业并</w:t>
      </w:r>
      <w:r>
        <w:rPr>
          <w:rFonts w:hint="eastAsia" w:ascii="宋体" w:hAnsi="宋体" w:cs="宋体"/>
          <w:color w:val="auto"/>
          <w:sz w:val="24"/>
          <w:szCs w:val="24"/>
          <w:highlight w:val="none"/>
        </w:rPr>
        <w:t xml:space="preserve">提供由省级以上监狱管理局、戒毒管理局（含新疆生产建设兵团）出具的属于监狱企业证明文件的，视同为小型、微型企业。</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.2.7</w:t>
      </w:r>
      <w:r>
        <w:rPr>
          <w:rFonts w:hint="eastAsia" w:ascii="宋体" w:hAnsi="宋体"/>
          <w:bCs/>
          <w:color w:val="auto"/>
          <w:sz w:val="24"/>
          <w:szCs w:val="24"/>
          <w:highlight w:val="none"/>
        </w:rPr>
        <w:t xml:space="preserve">对于专门面向中小企业的项目，供应商未提供有效的中小企业声明，资格审查不予通过；对于非专门面向中小企业的项目，供应商未提供有效的中小企业声明，不享受政府采购小微企业优惠政策，即不给予小微企业报价扣除；</w:t>
      </w:r>
      <w:bookmarkStart w:id="24" w:name="_Hlk151709984"/>
      <w:r>
        <w:rPr>
          <w:rFonts w:hint="eastAsia" w:ascii="宋体" w:hAnsi="宋体"/>
          <w:bCs/>
          <w:color w:val="auto"/>
          <w:sz w:val="24"/>
          <w:szCs w:val="24"/>
          <w:highlight w:val="none"/>
        </w:rPr>
        <w:t xml:space="preserve">若供应商提供的货物同时为小微企业产品、残疾人福利性单位产品（或监狱企业产品），</w:t>
      </w:r>
      <w:bookmarkEnd w:id="19"/>
      <w:r>
        <w:rPr>
          <w:rFonts w:hint="eastAsia" w:ascii="宋体" w:hAnsi="宋体"/>
          <w:bCs/>
          <w:color w:val="auto"/>
          <w:sz w:val="24"/>
          <w:szCs w:val="24"/>
          <w:highlight w:val="none"/>
        </w:rPr>
        <w:t xml:space="preserve">只享受一次针对小微企业产品的价格优惠。</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中小企业依据《政府采购促进中小企业发展管理办法》（财库〔2020〕46号）规定的扶持政策获得政府采购合同后，小微企业不得将合同分包给大中型企业，中型企业不得将合同分包给大型企业。</w:t>
      </w:r>
      <w:r/>
    </w:p>
    <w:p>
      <w:pPr>
        <w:ind w:firstLine="480"/>
        <w:jc w:val="left"/>
        <w:spacing w:line="360" w:lineRule="auto"/>
        <w:rPr>
          <w:rFonts w:ascii="宋体" w:hAnsi="宋体"/>
          <w:bCs/>
          <w:color w:val="auto"/>
          <w:sz w:val="24"/>
          <w:szCs w:val="24"/>
          <w:highlight w:val="none"/>
          <w:u w:val="single"/>
          <w:lang w:val="zh-CN"/>
        </w:rPr>
      </w:pPr>
      <w:r>
        <w:rPr>
          <w:rFonts w:hint="eastAsia" w:ascii="宋体" w:hAnsi="宋体"/>
          <w:bCs/>
          <w:color w:val="auto"/>
          <w:sz w:val="24"/>
          <w:szCs w:val="24"/>
          <w:highlight w:val="none"/>
          <w:lang w:val="zh-CN"/>
        </w:rPr>
        <w:t xml:space="preserve">3.</w:t>
      </w:r>
      <w:r>
        <w:rPr>
          <w:rFonts w:ascii="宋体" w:hAnsi="宋体"/>
          <w:bCs/>
          <w:color w:val="auto"/>
          <w:sz w:val="24"/>
          <w:szCs w:val="24"/>
          <w:highlight w:val="none"/>
          <w:lang w:val="zh-CN"/>
        </w:rPr>
        <w:t xml:space="preserve">3</w:t>
      </w:r>
      <w:r>
        <w:rPr>
          <w:rFonts w:hint="eastAsia" w:ascii="宋体" w:hAnsi="宋体"/>
          <w:bCs/>
          <w:color w:val="auto"/>
          <w:sz w:val="24"/>
          <w:szCs w:val="24"/>
          <w:highlight w:val="none"/>
          <w:lang w:val="zh-CN"/>
        </w:rPr>
        <w:t xml:space="preserve">强制采购节能产品、信息安全产品。强制采购节能产品是指列入</w:t>
      </w:r>
      <w:r>
        <w:rPr>
          <w:rFonts w:hint="eastAsia" w:ascii="宋体" w:hAnsi="宋体"/>
          <w:bCs/>
          <w:color w:val="auto"/>
          <w:sz w:val="24"/>
          <w:szCs w:val="24"/>
          <w:highlight w:val="none"/>
        </w:rPr>
        <w:t xml:space="preserve">财政部、发展改革委联合</w:t>
      </w:r>
      <w:r>
        <w:rPr>
          <w:rFonts w:hint="eastAsia" w:ascii="宋体" w:hAnsi="宋体"/>
          <w:bCs/>
          <w:color w:val="auto"/>
          <w:sz w:val="24"/>
          <w:szCs w:val="24"/>
          <w:highlight w:val="none"/>
          <w:lang w:val="zh-CN"/>
        </w:rPr>
        <w:t xml:space="preserve">公布的最新《节能产品政府采购品目清单》（具体品目以“★”标注），且获得由国家确定的认证机构出具的、处于有效期之内的节能产品认证证书的节能产品；强制采购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涉及</w:t>
      </w:r>
      <w:r>
        <w:rPr>
          <w:rFonts w:hint="eastAsia" w:ascii="宋体" w:hAnsi="宋体"/>
          <w:bCs/>
          <w:color w:val="auto"/>
          <w:sz w:val="24"/>
          <w:szCs w:val="24"/>
          <w:highlight w:val="none"/>
          <w:u w:val="single"/>
          <w:lang w:val="zh-CN"/>
        </w:rPr>
        <w:t xml:space="preserve">强制采购产品的，供应商须按照上述要求提供相关产品的证明材料，否则报价无效。</w:t>
      </w:r>
      <w:r/>
    </w:p>
    <w:p>
      <w:pPr>
        <w:ind w:firstLine="480"/>
        <w:jc w:val="left"/>
        <w:spacing w:line="360" w:lineRule="auto"/>
        <w:rPr>
          <w:rFonts w:ascii="宋体" w:hAnsi="宋体"/>
          <w:b/>
          <w:color w:val="auto"/>
          <w:sz w:val="24"/>
          <w:szCs w:val="24"/>
          <w:highlight w:val="none"/>
        </w:rPr>
      </w:pPr>
      <w:r>
        <w:rPr>
          <w:rFonts w:hint="eastAsia" w:ascii="宋体" w:hAnsi="宋体"/>
          <w:bCs/>
          <w:color w:val="auto"/>
          <w:sz w:val="24"/>
          <w:szCs w:val="24"/>
          <w:highlight w:val="none"/>
          <w:lang w:val="zh-CN"/>
        </w:rPr>
        <w:t xml:space="preserve">3.</w:t>
      </w:r>
      <w:r>
        <w:rPr>
          <w:rFonts w:ascii="宋体" w:hAnsi="宋体"/>
          <w:bCs/>
          <w:color w:val="auto"/>
          <w:sz w:val="24"/>
          <w:szCs w:val="24"/>
          <w:highlight w:val="none"/>
          <w:lang w:val="zh-CN"/>
        </w:rPr>
        <w:t xml:space="preserve">4</w:t>
      </w:r>
      <w:r>
        <w:rPr>
          <w:rFonts w:hint="eastAsia" w:ascii="宋体" w:hAnsi="宋体"/>
          <w:bCs/>
          <w:color w:val="auto"/>
          <w:sz w:val="24"/>
          <w:szCs w:val="24"/>
          <w:highlight w:val="none"/>
          <w:lang w:val="zh-CN"/>
        </w:rPr>
        <w:t xml:space="preserve">优先采购节能产品、环境标志产品。优先采购节能产品是指列入</w:t>
      </w:r>
      <w:r>
        <w:rPr>
          <w:rFonts w:hint="eastAsia" w:ascii="宋体" w:hAnsi="宋体"/>
          <w:bCs/>
          <w:color w:val="auto"/>
          <w:sz w:val="24"/>
          <w:szCs w:val="24"/>
          <w:highlight w:val="none"/>
        </w:rPr>
        <w:t xml:space="preserve">财政部、发展改革委联合</w:t>
      </w:r>
      <w:r>
        <w:rPr>
          <w:rFonts w:hint="eastAsia" w:ascii="宋体" w:hAnsi="宋体"/>
          <w:bCs/>
          <w:color w:val="auto"/>
          <w:sz w:val="24"/>
          <w:szCs w:val="24"/>
          <w:highlight w:val="none"/>
          <w:lang w:val="zh-CN"/>
        </w:rPr>
        <w:t xml:space="preserve">公布的最新《节能产品政府采购品目清单》（具体品目未以“★”标注），且获得由</w:t>
      </w:r>
      <w:r>
        <w:rPr>
          <w:rFonts w:hint="eastAsia" w:ascii="宋体" w:hAnsi="宋体"/>
          <w:bCs/>
          <w:color w:val="auto"/>
          <w:sz w:val="24"/>
          <w:szCs w:val="24"/>
          <w:highlight w:val="none"/>
        </w:rPr>
        <w:t xml:space="preserve">国家确定的认证机构出具的、处于有效期之内的节能产品认证证书</w:t>
      </w:r>
      <w:r>
        <w:rPr>
          <w:rFonts w:hint="eastAsia" w:ascii="宋体" w:hAnsi="宋体"/>
          <w:bCs/>
          <w:color w:val="auto"/>
          <w:sz w:val="24"/>
          <w:szCs w:val="24"/>
          <w:highlight w:val="none"/>
          <w:lang w:val="zh-CN"/>
        </w:rPr>
        <w:t xml:space="preserve">的节能产品；优先采购环境标志产品是指列入</w:t>
      </w:r>
      <w:r>
        <w:rPr>
          <w:rFonts w:hint="eastAsia" w:ascii="宋体" w:hAnsi="宋体"/>
          <w:bCs/>
          <w:color w:val="auto"/>
          <w:sz w:val="24"/>
          <w:szCs w:val="24"/>
          <w:highlight w:val="none"/>
        </w:rPr>
        <w:t xml:space="preserve">财政部、生态环境部联合</w:t>
      </w:r>
      <w:r>
        <w:rPr>
          <w:rFonts w:hint="eastAsia" w:ascii="宋体" w:hAnsi="宋体"/>
          <w:bCs/>
          <w:color w:val="auto"/>
          <w:sz w:val="24"/>
          <w:szCs w:val="24"/>
          <w:highlight w:val="none"/>
          <w:lang w:val="zh-CN"/>
        </w:rPr>
        <w:t xml:space="preserve">公布的最新《环境标志产品政府采购品目清单》，且获得由</w:t>
      </w:r>
      <w:r>
        <w:rPr>
          <w:rFonts w:hint="eastAsia" w:ascii="宋体" w:hAnsi="宋体"/>
          <w:bCs/>
          <w:color w:val="auto"/>
          <w:sz w:val="24"/>
          <w:szCs w:val="24"/>
          <w:highlight w:val="none"/>
        </w:rPr>
        <w:t xml:space="preserve">国家确定的认证机构出具的、处于有效期之内的环境标志产品认证证书</w:t>
      </w:r>
      <w:r>
        <w:rPr>
          <w:rFonts w:hint="eastAsia" w:ascii="宋体" w:hAnsi="宋体"/>
          <w:bCs/>
          <w:color w:val="auto"/>
          <w:sz w:val="24"/>
          <w:szCs w:val="24"/>
          <w:highlight w:val="none"/>
          <w:lang w:val="zh-CN"/>
        </w:rPr>
        <w:t xml:space="preserve">的环境标志产品。供应商提供的产品若涉及优先采购产品的，须按照上述要求提供相关证明材料，否则不予享受政府采购优惠政策。</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推广使用绿色包装，政府采购货物、工程和服务项目中涉及商品包装和快递包装的，供应商提供产品及相关快递服务的具体包装要求要参考《商品包装政府采购需求标准（试行）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快递包装政府采购需求标准（试行）》（财办库〔2020〕123号）。</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鼓励供应商在参加政府采购过程中开展绿色设计、选择绿色材料、打造绿色制造工艺、开展绿色运输、做好废弃产品回收处理，实现产品全周期的绿色环保。</w:t>
      </w:r>
      <w:r/>
    </w:p>
    <w:p>
      <w:pPr>
        <w:ind w:firstLine="480"/>
        <w:jc w:val="left"/>
        <w:spacing w:line="360" w:lineRule="auto"/>
        <w:rPr>
          <w:rFonts w:ascii="宋体" w:hAnsi="宋体"/>
          <w:bCs/>
          <w:color w:val="auto"/>
          <w:sz w:val="24"/>
          <w:szCs w:val="24"/>
          <w:highlight w:val="none"/>
        </w:rPr>
      </w:pPr>
      <w:r/>
      <w:bookmarkStart w:id="25" w:name="_Hlk162251646"/>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采购数据中心相关设备、运维服务，应当有利于节约能源、环境保护和资源循环利用，按照《绿色数据中心政府采购需求标准（试行）》（财库〔2023〕7号）实施相关采购活动，供应商应当根据需求标准提供相关设备和运维服务。</w:t>
      </w:r>
      <w:bookmarkEnd w:id="20"/>
      <w:r/>
      <w:bookmarkEnd w:id="21"/>
      <w:r/>
      <w:bookmarkEnd w:id="22"/>
      <w:r/>
      <w:bookmarkEnd w:id="23"/>
      <w:r/>
      <w:bookmarkEnd w:id="24"/>
      <w:r/>
      <w:bookmarkEnd w:id="25"/>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注：支持中小企业发展、强制采购、</w:t>
      </w:r>
      <w:r>
        <w:rPr>
          <w:rFonts w:hint="eastAsia" w:ascii="宋体" w:hAnsi="宋体"/>
          <w:bCs/>
          <w:color w:val="auto"/>
          <w:sz w:val="24"/>
          <w:szCs w:val="24"/>
          <w:highlight w:val="none"/>
          <w:lang w:val="zh-CN"/>
        </w:rPr>
        <w:t xml:space="preserve">优先采购及其他政府采购政策详见相关文件规定。</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4、报价费用</w:t>
      </w:r>
      <w:r/>
    </w:p>
    <w:p>
      <w:pPr>
        <w:ind w:firstLine="480"/>
        <w:jc w:val="both"/>
        <w:spacing w:line="360" w:lineRule="auto"/>
        <w:widowControl w:val="off"/>
        <w:rPr>
          <w:rFonts w:hint="default" w:ascii="宋体" w:hAnsi="宋体" w:eastAsia="宋体" w:cs="Times New Roman"/>
          <w:bCs/>
          <w:color w:val="auto"/>
          <w:sz w:val="24"/>
          <w:szCs w:val="24"/>
          <w:highlight w:val="none"/>
          <w:lang w:val="en-US" w:eastAsia="zh-CN" w:bidi="ar-SA"/>
        </w:rPr>
      </w:pPr>
      <w:r/>
      <w:bookmarkStart w:id="26" w:name="OLE_LINK88"/>
      <w:r>
        <w:rPr>
          <w:rFonts w:hint="eastAsia" w:ascii="宋体" w:hAnsi="宋体" w:eastAsia="宋体" w:cs="Times New Roman"/>
          <w:bCs/>
          <w:color w:val="auto"/>
          <w:sz w:val="24"/>
          <w:szCs w:val="24"/>
          <w:highlight w:val="none"/>
          <w:lang w:val="en-US" w:eastAsia="zh-CN" w:bidi="ar-SA"/>
        </w:rPr>
        <w:t xml:space="preserve">4.1 投标人应自行承担所有与准备和参加投标有关的一切费用。</w:t>
      </w:r>
      <w:bookmarkEnd w:id="26"/>
      <w:r/>
      <w:r/>
    </w:p>
    <w:p>
      <w:pPr>
        <w:ind w:firstLine="480"/>
        <w:jc w:val="left"/>
        <w:spacing w:line="360" w:lineRule="auto"/>
        <w:rPr>
          <w:rFonts w:hint="eastAsia" w:ascii="宋体" w:hAnsi="宋体" w:eastAsia="宋体" w:cs="Times New Roman"/>
          <w:b/>
          <w:bCs w:val="0"/>
          <w:color w:val="auto"/>
          <w:sz w:val="24"/>
          <w:szCs w:val="24"/>
          <w:highlight w:val="none"/>
        </w:rPr>
      </w:pPr>
      <w:r>
        <w:rPr>
          <w:rFonts w:hint="eastAsia" w:ascii="宋体" w:hAnsi="宋体" w:eastAsia="宋体" w:cs="Times New Roman"/>
          <w:b/>
          <w:bCs w:val="0"/>
          <w:color w:val="auto"/>
          <w:sz w:val="24"/>
          <w:szCs w:val="24"/>
          <w:highlight w:val="none"/>
        </w:rPr>
        <w:t xml:space="preserve">4.</w:t>
      </w:r>
      <w:r>
        <w:rPr>
          <w:rFonts w:hint="eastAsia" w:ascii="宋体" w:hAnsi="宋体" w:eastAsia="宋体" w:cs="Times New Roman"/>
          <w:b/>
          <w:bCs w:val="0"/>
          <w:color w:val="auto"/>
          <w:sz w:val="24"/>
          <w:szCs w:val="24"/>
          <w:highlight w:val="none"/>
          <w:lang w:val="en-US" w:eastAsia="zh-CN"/>
        </w:rPr>
        <w:t xml:space="preserve">2</w:t>
      </w:r>
      <w:r>
        <w:rPr>
          <w:rFonts w:hint="eastAsia" w:ascii="宋体" w:hAnsi="宋体" w:eastAsia="宋体" w:cs="Times New Roman"/>
          <w:b/>
          <w:bCs w:val="0"/>
          <w:color w:val="auto"/>
          <w:sz w:val="24"/>
          <w:szCs w:val="24"/>
          <w:highlight w:val="none"/>
        </w:rPr>
        <w:t xml:space="preserve"> 本项目采购代理机构的采购代理费由采购人支付，在本项目采购合同签订完毕后一次性付清。本次采购代理费金额： ￥：</w:t>
      </w:r>
      <w:r>
        <w:rPr>
          <w:rFonts w:hint="eastAsia" w:ascii="宋体" w:hAnsi="宋体" w:cs="Times New Roman"/>
          <w:b/>
          <w:bCs w:val="0"/>
          <w:color w:val="auto"/>
          <w:sz w:val="24"/>
          <w:szCs w:val="24"/>
          <w:highlight w:val="none"/>
          <w:lang w:val="en-US" w:eastAsia="zh-CN"/>
        </w:rPr>
        <w:t xml:space="preserve">11000</w:t>
      </w:r>
      <w:r>
        <w:rPr>
          <w:rFonts w:hint="eastAsia" w:ascii="宋体" w:hAnsi="宋体" w:eastAsia="宋体" w:cs="Times New Roman"/>
          <w:b/>
          <w:bCs w:val="0"/>
          <w:color w:val="auto"/>
          <w:sz w:val="24"/>
          <w:szCs w:val="24"/>
          <w:highlight w:val="none"/>
        </w:rPr>
        <w:t xml:space="preserve">.00元；大写：人民币</w:t>
      </w:r>
      <w:r>
        <w:rPr>
          <w:rFonts w:hint="eastAsia" w:ascii="宋体" w:hAnsi="宋体" w:cs="Times New Roman"/>
          <w:b/>
          <w:bCs w:val="0"/>
          <w:color w:val="auto"/>
          <w:sz w:val="24"/>
          <w:szCs w:val="24"/>
          <w:highlight w:val="none"/>
          <w:lang w:val="en-US" w:eastAsia="zh-CN"/>
        </w:rPr>
        <w:t xml:space="preserve">壹万壹仟</w:t>
      </w:r>
      <w:r>
        <w:rPr>
          <w:rFonts w:hint="eastAsia" w:ascii="宋体" w:hAnsi="宋体" w:eastAsia="宋体" w:cs="Times New Roman"/>
          <w:b/>
          <w:bCs w:val="0"/>
          <w:color w:val="auto"/>
          <w:sz w:val="24"/>
          <w:szCs w:val="24"/>
          <w:highlight w:val="none"/>
        </w:rPr>
        <w:t xml:space="preserve">元整。</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5、保密要求</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5.1采购各方当事人，对采购活动过程中获悉的国家秘密、商业秘密，应当依法予以保密。</w:t>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二、询价通知书</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zh-CN"/>
        </w:rPr>
        <w:t xml:space="preserve">询价通知书的组成</w:t>
      </w:r>
      <w:r/>
    </w:p>
    <w:p>
      <w:pPr>
        <w:ind w:firstLine="480"/>
        <w:jc w:val="left"/>
        <w:spacing w:line="360" w:lineRule="auto"/>
        <w:rPr>
          <w:rFonts w:ascii="宋体" w:hAnsi="宋体"/>
          <w:bCs/>
          <w:color w:val="auto"/>
          <w:sz w:val="24"/>
          <w:szCs w:val="24"/>
          <w:highlight w:val="none"/>
        </w:rPr>
      </w:pPr>
      <w:r/>
      <w:bookmarkStart w:id="27" w:name="_Hlk127867521"/>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.1</w:t>
      </w:r>
      <w:bookmarkEnd w:id="27"/>
      <w:r>
        <w:rPr>
          <w:rFonts w:hint="eastAsia" w:ascii="宋体" w:hAnsi="宋体"/>
          <w:bCs/>
          <w:color w:val="auto"/>
          <w:sz w:val="24"/>
          <w:szCs w:val="24"/>
          <w:highlight w:val="none"/>
        </w:rPr>
        <w:t xml:space="preserve">供应商应</w:t>
      </w:r>
      <w:r>
        <w:rPr>
          <w:rFonts w:ascii="宋体" w:hAnsi="宋体"/>
          <w:bCs/>
          <w:color w:val="auto"/>
          <w:sz w:val="24"/>
          <w:szCs w:val="24"/>
          <w:highlight w:val="none"/>
        </w:rPr>
        <w:t xml:space="preserve">登录“苏采云”系统</w:t>
      </w:r>
      <w:r>
        <w:rPr>
          <w:rFonts w:hint="eastAsia" w:ascii="宋体" w:hAnsi="宋体"/>
          <w:bCs/>
          <w:color w:val="auto"/>
          <w:sz w:val="24"/>
          <w:szCs w:val="24"/>
          <w:highlight w:val="none"/>
        </w:rPr>
        <w:t xml:space="preserve">下载询价通知书</w:t>
      </w:r>
      <w:r>
        <w:rPr>
          <w:rFonts w:hint="eastAsia" w:ascii="宋体" w:hAnsi="宋体"/>
          <w:bCs/>
          <w:color w:val="auto"/>
          <w:sz w:val="24"/>
          <w:szCs w:val="24"/>
          <w:highlight w:val="none"/>
          <w:lang w:eastAsia="zh-CN"/>
        </w:rPr>
        <w:t xml:space="preserve">（</w:t>
      </w:r>
      <w:r>
        <w:rPr>
          <w:rFonts w:hint="eastAsia" w:ascii="宋体" w:hAnsi="宋体" w:cs="宋体"/>
          <w:bCs/>
          <w:color w:val="auto"/>
          <w:sz w:val="24"/>
          <w:szCs w:val="21"/>
          <w:highlight w:val="none"/>
        </w:rPr>
        <w:t xml:space="preserve">后缀名为</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rPr>
        <w:t xml:space="preserve">kedt”</w:t>
      </w:r>
      <w:r>
        <w:rPr>
          <w:rFonts w:hint="eastAsia" w:ascii="宋体" w:hAnsi="宋体" w:cs="宋体"/>
          <w:bCs/>
          <w:color w:val="auto"/>
          <w:sz w:val="24"/>
          <w:szCs w:val="21"/>
          <w:highlight w:val="none"/>
          <w:lang w:eastAsia="zh-CN"/>
        </w:rPr>
        <w:t xml:space="preserve">）</w:t>
      </w:r>
      <w:r>
        <w:rPr>
          <w:rFonts w:hint="eastAsia" w:ascii="宋体" w:hAnsi="宋体"/>
          <w:bCs/>
          <w:color w:val="auto"/>
          <w:sz w:val="24"/>
          <w:szCs w:val="24"/>
          <w:highlight w:val="none"/>
        </w:rPr>
        <w:t xml:space="preserve">。供应商须按询价通知书要求提交资料并对询价通知书相关内容作出实质性响应，否则报价无效。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6.2 询价通知书包括采购公告和本文件目录所列全部内容及其附件，如有缺漏，请立即与</w:t>
      </w:r>
      <w:bookmarkStart w:id="28" w:name="OLE_LINK253"/>
      <w:r>
        <w:rPr>
          <w:rFonts w:hint="eastAsia" w:ascii="宋体" w:hAnsi="宋体"/>
          <w:bCs/>
          <w:color w:val="auto"/>
          <w:sz w:val="24"/>
          <w:szCs w:val="24"/>
          <w:highlight w:val="none"/>
        </w:rPr>
        <w:t xml:space="preserve">采购人或者</w:t>
      </w:r>
      <w:bookmarkEnd w:id="28"/>
      <w:r/>
      <w:bookmarkStart w:id="29" w:name="_Hlk166057252"/>
      <w:r>
        <w:rPr>
          <w:rFonts w:hint="eastAsia" w:ascii="宋体" w:hAnsi="宋体"/>
          <w:bCs/>
          <w:color w:val="auto"/>
          <w:sz w:val="24"/>
          <w:szCs w:val="24"/>
          <w:highlight w:val="none"/>
        </w:rPr>
        <w:t xml:space="preserve">采购代理机构</w:t>
      </w:r>
      <w:bookmarkEnd w:id="29"/>
      <w:r>
        <w:rPr>
          <w:rFonts w:hint="eastAsia" w:ascii="宋体" w:hAnsi="宋体"/>
          <w:bCs/>
          <w:color w:val="auto"/>
          <w:sz w:val="24"/>
          <w:szCs w:val="24"/>
          <w:highlight w:val="none"/>
        </w:rPr>
        <w:t xml:space="preserve">联系解决。</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6.3 询价通知书如与询价公告有不一致的地方，以询价通知书为准；电子响应文件制作</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电子响应文件格式、说明与询价通知书格式、说明不一致的，以询价通知书格式、说明为准。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相关网站公告、公示信息如有不一致的，以“江苏政府采购网”发布的信息为准。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w:t>
      </w:r>
      <w:r>
        <w:rPr>
          <w:rFonts w:hint="eastAsia" w:ascii="宋体" w:hAnsi="宋体"/>
          <w:bCs/>
          <w:color w:val="auto"/>
          <w:sz w:val="24"/>
          <w:szCs w:val="24"/>
          <w:highlight w:val="none"/>
          <w:lang w:val="zh-CN"/>
        </w:rPr>
        <w:t xml:space="preserve">询价通知书的解释</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7.1 本询价通知书中“第三章 项目技术要求和有关说明”</w:t>
      </w:r>
      <w:bookmarkStart w:id="30" w:name="OLE_LINK307"/>
      <w:r>
        <w:rPr>
          <w:rFonts w:hint="eastAsia" w:ascii="宋体" w:hAnsi="宋体"/>
          <w:bCs/>
          <w:color w:val="auto"/>
          <w:sz w:val="24"/>
          <w:szCs w:val="24"/>
          <w:highlight w:val="none"/>
        </w:rPr>
        <w:t xml:space="preserve">由采购人负责解释，其他部分由</w:t>
      </w:r>
      <w:bookmarkStart w:id="31" w:name="OLE_LINK270"/>
      <w:r>
        <w:rPr>
          <w:rFonts w:hint="eastAsia" w:ascii="宋体" w:hAnsi="宋体"/>
          <w:bCs/>
          <w:color w:val="auto"/>
          <w:sz w:val="24"/>
          <w:szCs w:val="24"/>
          <w:highlight w:val="none"/>
        </w:rPr>
        <w:t xml:space="preserve">采购人和</w:t>
      </w:r>
      <w:bookmarkEnd w:id="30"/>
      <w:r>
        <w:rPr>
          <w:rFonts w:hint="eastAsia" w:ascii="宋体" w:hAnsi="宋体"/>
          <w:bCs/>
          <w:color w:val="auto"/>
          <w:sz w:val="24"/>
          <w:szCs w:val="24"/>
          <w:highlight w:val="none"/>
        </w:rPr>
        <w:t xml:space="preserve">采购代理机构负责解释</w:t>
      </w:r>
      <w:bookmarkEnd w:id="31"/>
      <w:r>
        <w:rPr>
          <w:rFonts w:hint="eastAsia" w:ascii="宋体" w:hAnsi="宋体"/>
          <w:bCs/>
          <w:color w:val="auto"/>
          <w:sz w:val="24"/>
          <w:szCs w:val="24"/>
          <w:highlight w:val="none"/>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8、</w:t>
      </w:r>
      <w:r>
        <w:rPr>
          <w:rFonts w:hint="eastAsia" w:ascii="宋体" w:hAnsi="宋体"/>
          <w:bCs/>
          <w:color w:val="auto"/>
          <w:sz w:val="24"/>
          <w:szCs w:val="24"/>
          <w:highlight w:val="none"/>
          <w:lang w:val="zh-CN"/>
        </w:rPr>
        <w:t xml:space="preserve">询价通知书的澄清、修改</w:t>
      </w:r>
      <w:r/>
    </w:p>
    <w:p>
      <w:pPr>
        <w:ind w:firstLine="480"/>
        <w:jc w:val="left"/>
        <w:spacing w:line="360" w:lineRule="auto"/>
        <w:rPr>
          <w:rFonts w:ascii="宋体"/>
          <w:color w:val="auto"/>
          <w:sz w:val="24"/>
          <w:szCs w:val="21"/>
          <w:highlight w:val="none"/>
          <w:lang w:val="zh-CN"/>
        </w:rPr>
      </w:pPr>
      <w:r>
        <w:rPr>
          <w:rFonts w:hint="eastAsia" w:ascii="宋体" w:hAnsi="宋体"/>
          <w:bCs/>
          <w:color w:val="auto"/>
          <w:sz w:val="24"/>
          <w:szCs w:val="24"/>
          <w:highlight w:val="none"/>
        </w:rPr>
        <w:t xml:space="preserve">8.1 </w:t>
      </w:r>
      <w:bookmarkStart w:id="32" w:name="OLE_LINK21"/>
      <w:r>
        <w:rPr>
          <w:rFonts w:hint="eastAsia" w:ascii="宋体" w:hAnsi="宋体"/>
          <w:bCs/>
          <w:color w:val="auto"/>
          <w:sz w:val="24"/>
          <w:szCs w:val="21"/>
          <w:highlight w:val="none"/>
        </w:rPr>
        <w:t xml:space="preserve">采购人或</w:t>
      </w:r>
      <w:bookmarkEnd w:id="32"/>
      <w:r>
        <w:rPr>
          <w:rFonts w:hint="eastAsia" w:ascii="宋体" w:hAnsi="宋体"/>
          <w:bCs/>
          <w:color w:val="auto"/>
          <w:sz w:val="24"/>
          <w:szCs w:val="21"/>
          <w:highlight w:val="none"/>
        </w:rPr>
        <w:t xml:space="preserve">采购代理机构</w:t>
      </w:r>
      <w:r>
        <w:rPr>
          <w:rFonts w:hint="eastAsia" w:ascii="宋体"/>
          <w:bCs/>
          <w:color w:val="auto"/>
          <w:sz w:val="24"/>
          <w:szCs w:val="21"/>
          <w:highlight w:val="none"/>
          <w:lang w:val="zh-CN"/>
        </w:rPr>
        <w:t xml:space="preserve">对</w:t>
      </w:r>
      <w:r>
        <w:rPr>
          <w:rFonts w:hint="eastAsia" w:ascii="宋体" w:hAnsi="宋体"/>
          <w:bCs/>
          <w:color w:val="auto"/>
          <w:sz w:val="24"/>
          <w:szCs w:val="24"/>
          <w:highlight w:val="none"/>
          <w:lang w:val="zh-CN"/>
        </w:rPr>
        <w:t xml:space="preserve">已</w:t>
      </w:r>
      <w:r>
        <w:rPr>
          <w:rFonts w:hint="eastAsia" w:ascii="宋体"/>
          <w:bCs/>
          <w:color w:val="auto"/>
          <w:sz w:val="24"/>
          <w:szCs w:val="21"/>
          <w:highlight w:val="none"/>
          <w:lang w:val="zh-CN"/>
        </w:rPr>
        <w:t xml:space="preserve">发出的询价通知书进行必要澄清或者修改的，将在提交响应文件截止之日</w:t>
      </w:r>
      <w:bookmarkStart w:id="33" w:name="OLE_LINK20"/>
      <w:r>
        <w:rPr>
          <w:rFonts w:hint="eastAsia" w:ascii="宋体"/>
          <w:bCs/>
          <w:color w:val="auto"/>
          <w:sz w:val="24"/>
          <w:szCs w:val="21"/>
          <w:highlight w:val="none"/>
        </w:rPr>
        <w:t xml:space="preserve">3个工作日</w:t>
      </w:r>
      <w:bookmarkEnd w:id="33"/>
      <w:r>
        <w:rPr>
          <w:rFonts w:hint="eastAsia" w:ascii="宋体"/>
          <w:bCs/>
          <w:color w:val="auto"/>
          <w:sz w:val="24"/>
          <w:szCs w:val="21"/>
          <w:highlight w:val="none"/>
          <w:lang w:val="zh-CN"/>
        </w:rPr>
        <w:t xml:space="preserve">前，在原询价</w:t>
      </w:r>
      <w:r>
        <w:rPr>
          <w:rFonts w:hint="eastAsia" w:ascii="宋体"/>
          <w:color w:val="auto"/>
          <w:sz w:val="24"/>
          <w:szCs w:val="21"/>
          <w:highlight w:val="none"/>
          <w:lang w:val="zh-CN"/>
        </w:rPr>
        <w:t xml:space="preserve">公告媒体发布更正公告，并</w:t>
      </w:r>
      <w:r>
        <w:rPr>
          <w:rFonts w:ascii="宋体" w:hAnsi="宋体"/>
          <w:color w:val="auto"/>
          <w:sz w:val="24"/>
          <w:szCs w:val="21"/>
          <w:highlight w:val="none"/>
          <w:lang w:val="zh-CN"/>
        </w:rPr>
        <w:t xml:space="preserve">在系统中通知所有已获取</w:t>
      </w:r>
      <w:r>
        <w:rPr>
          <w:rFonts w:hint="eastAsia" w:ascii="宋体" w:hAnsi="宋体"/>
          <w:color w:val="auto"/>
          <w:sz w:val="24"/>
          <w:szCs w:val="21"/>
          <w:highlight w:val="none"/>
        </w:rPr>
        <w:t xml:space="preserve">询价通知书</w:t>
      </w:r>
      <w:r>
        <w:rPr>
          <w:rFonts w:ascii="宋体" w:hAnsi="宋体"/>
          <w:color w:val="auto"/>
          <w:sz w:val="24"/>
          <w:szCs w:val="21"/>
          <w:highlight w:val="none"/>
          <w:lang w:val="zh-CN"/>
        </w:rPr>
        <w:t xml:space="preserve">的潜在</w:t>
      </w:r>
      <w:r>
        <w:rPr>
          <w:rFonts w:hint="eastAsia" w:ascii="宋体" w:hAnsi="宋体"/>
          <w:color w:val="auto"/>
          <w:sz w:val="24"/>
          <w:szCs w:val="21"/>
          <w:highlight w:val="none"/>
          <w:lang w:val="zh-CN"/>
        </w:rPr>
        <w:t xml:space="preserve">供应商，</w:t>
      </w:r>
      <w:r>
        <w:rPr>
          <w:rFonts w:ascii="宋体" w:hAnsi="宋体"/>
          <w:color w:val="auto"/>
          <w:sz w:val="24"/>
          <w:szCs w:val="21"/>
          <w:highlight w:val="none"/>
          <w:lang w:val="zh-CN"/>
        </w:rPr>
        <w:t xml:space="preserve"> </w:t>
      </w:r>
      <w:r>
        <w:rPr>
          <w:rFonts w:hint="eastAsia" w:ascii="宋体" w:hAnsi="宋体"/>
          <w:color w:val="auto"/>
          <w:sz w:val="24"/>
          <w:szCs w:val="21"/>
          <w:highlight w:val="none"/>
        </w:rPr>
        <w:t xml:space="preserve">供应商</w:t>
      </w:r>
      <w:r>
        <w:rPr>
          <w:rFonts w:hint="eastAsia" w:ascii="宋体" w:hAnsi="宋体"/>
          <w:color w:val="auto"/>
          <w:sz w:val="24"/>
          <w:szCs w:val="21"/>
          <w:highlight w:val="none"/>
          <w:lang w:val="zh-CN"/>
        </w:rPr>
        <w:t xml:space="preserve">应</w:t>
      </w:r>
      <w:r>
        <w:rPr>
          <w:rFonts w:ascii="宋体" w:hAnsi="宋体"/>
          <w:color w:val="auto"/>
          <w:sz w:val="24"/>
          <w:szCs w:val="21"/>
          <w:highlight w:val="none"/>
          <w:lang w:val="zh-CN"/>
        </w:rPr>
        <w:t xml:space="preserve">登录系统查看相应内容</w:t>
      </w:r>
      <w:r>
        <w:rPr>
          <w:rFonts w:hint="eastAsia" w:ascii="宋体" w:hAnsi="宋体"/>
          <w:color w:val="auto"/>
          <w:sz w:val="24"/>
          <w:szCs w:val="21"/>
          <w:highlight w:val="none"/>
          <w:lang w:val="zh-CN"/>
        </w:rPr>
        <w:t xml:space="preserve">。</w:t>
      </w:r>
      <w:r>
        <w:rPr>
          <w:rFonts w:hint="eastAsia" w:ascii="宋体"/>
          <w:color w:val="auto"/>
          <w:sz w:val="24"/>
          <w:szCs w:val="21"/>
          <w:highlight w:val="none"/>
          <w:lang w:val="zh-CN"/>
        </w:rPr>
        <w:t xml:space="preserve">不足</w:t>
      </w:r>
      <w:r>
        <w:rPr>
          <w:rFonts w:hint="eastAsia" w:ascii="宋体"/>
          <w:color w:val="auto"/>
          <w:sz w:val="24"/>
          <w:szCs w:val="21"/>
          <w:highlight w:val="none"/>
        </w:rPr>
        <w:t xml:space="preserve">3个工作日的，</w:t>
      </w:r>
      <w:r>
        <w:rPr>
          <w:rFonts w:hint="eastAsia" w:ascii="宋体" w:hAnsi="宋体"/>
          <w:color w:val="auto"/>
          <w:sz w:val="24"/>
          <w:szCs w:val="21"/>
          <w:highlight w:val="none"/>
        </w:rPr>
        <w:t xml:space="preserve">采购人或采购代理机构</w:t>
      </w:r>
      <w:r>
        <w:rPr>
          <w:rFonts w:hint="eastAsia" w:ascii="宋体"/>
          <w:color w:val="auto"/>
          <w:sz w:val="24"/>
          <w:szCs w:val="21"/>
          <w:highlight w:val="none"/>
          <w:lang w:val="zh-CN"/>
        </w:rPr>
        <w:t xml:space="preserve">有权决定是否顺延</w:t>
      </w:r>
      <w:bookmarkStart w:id="34" w:name="OLE_LINK26"/>
      <w:r>
        <w:rPr>
          <w:rFonts w:hint="eastAsia" w:ascii="宋体"/>
          <w:color w:val="auto"/>
          <w:sz w:val="24"/>
          <w:szCs w:val="21"/>
          <w:highlight w:val="none"/>
          <w:lang w:val="zh-CN"/>
        </w:rPr>
        <w:t xml:space="preserve">提交响应文件</w:t>
      </w:r>
      <w:bookmarkEnd w:id="34"/>
      <w:r>
        <w:rPr>
          <w:rFonts w:hint="eastAsia" w:ascii="宋体"/>
          <w:color w:val="auto"/>
          <w:sz w:val="24"/>
          <w:szCs w:val="21"/>
          <w:highlight w:val="none"/>
          <w:lang w:val="zh-CN"/>
        </w:rPr>
        <w:t xml:space="preserve">截止时间和采购活动开始时间，该澄清或者修改的内容为询价通知书的组成部分。</w:t>
      </w:r>
      <w:r>
        <w:rPr>
          <w:rFonts w:hint="eastAsia" w:ascii="宋体" w:hAnsi="宋体"/>
          <w:bCs/>
          <w:color w:val="auto"/>
          <w:sz w:val="24"/>
          <w:szCs w:val="24"/>
          <w:highlight w:val="none"/>
          <w:lang w:val="zh-CN"/>
        </w:rPr>
        <w:t xml:space="preserve">以最新发布的补充更正、澄清和修改后的采购文件、公告信息为准。</w:t>
      </w:r>
      <w:r/>
    </w:p>
    <w:p>
      <w:pPr>
        <w:ind w:firstLine="480"/>
        <w:jc w:val="left"/>
        <w:spacing w:line="360" w:lineRule="auto"/>
        <w:rPr>
          <w:rFonts w:ascii="宋体" w:hAnsi="宋体"/>
          <w:color w:val="auto"/>
          <w:sz w:val="24"/>
          <w:szCs w:val="21"/>
          <w:highlight w:val="none"/>
          <w:lang w:val="zh-CN"/>
        </w:rPr>
      </w:pPr>
      <w:r>
        <w:rPr>
          <w:rFonts w:hint="eastAsia" w:ascii="宋体"/>
          <w:color w:val="auto"/>
          <w:sz w:val="24"/>
          <w:szCs w:val="21"/>
          <w:highlight w:val="none"/>
        </w:rPr>
        <w:t xml:space="preserve">8.2</w:t>
      </w:r>
      <w:r>
        <w:rPr>
          <w:rFonts w:ascii="宋体" w:hAnsi="宋体"/>
          <w:color w:val="auto"/>
          <w:sz w:val="24"/>
          <w:szCs w:val="21"/>
          <w:highlight w:val="none"/>
          <w:lang w:val="zh-CN"/>
        </w:rPr>
        <w:t xml:space="preserve">如澄清或修改公告有重新发布电子</w:t>
      </w:r>
      <w:r>
        <w:rPr>
          <w:rFonts w:hint="eastAsia" w:ascii="宋体" w:hAnsi="宋体"/>
          <w:color w:val="auto"/>
          <w:sz w:val="24"/>
          <w:szCs w:val="21"/>
          <w:highlight w:val="none"/>
        </w:rPr>
        <w:t xml:space="preserve">询价通知书</w:t>
      </w:r>
      <w:r>
        <w:rPr>
          <w:rFonts w:ascii="宋体" w:hAnsi="宋体"/>
          <w:color w:val="auto"/>
          <w:sz w:val="24"/>
          <w:szCs w:val="21"/>
          <w:highlight w:val="none"/>
          <w:lang w:val="zh-CN"/>
        </w:rPr>
        <w:t xml:space="preserve">的，</w:t>
      </w:r>
      <w:r>
        <w:rPr>
          <w:rFonts w:hint="eastAsia" w:ascii="宋体" w:hAnsi="宋体"/>
          <w:color w:val="auto"/>
          <w:sz w:val="24"/>
          <w:szCs w:val="21"/>
          <w:highlight w:val="none"/>
        </w:rPr>
        <w:t xml:space="preserve">供应商</w:t>
      </w:r>
      <w:r>
        <w:rPr>
          <w:rFonts w:ascii="宋体" w:hAnsi="宋体"/>
          <w:color w:val="auto"/>
          <w:sz w:val="24"/>
          <w:szCs w:val="21"/>
          <w:highlight w:val="none"/>
          <w:lang w:val="zh-CN"/>
        </w:rPr>
        <w:t xml:space="preserve">应下载最新发布的电子</w:t>
      </w:r>
      <w:r>
        <w:rPr>
          <w:rFonts w:hint="eastAsia" w:ascii="宋体" w:hAnsi="宋体"/>
          <w:color w:val="auto"/>
          <w:sz w:val="24"/>
          <w:szCs w:val="21"/>
          <w:highlight w:val="none"/>
        </w:rPr>
        <w:t xml:space="preserve">询价通知书</w:t>
      </w:r>
      <w:r>
        <w:rPr>
          <w:rFonts w:ascii="宋体" w:hAnsi="宋体"/>
          <w:color w:val="auto"/>
          <w:sz w:val="24"/>
          <w:szCs w:val="21"/>
          <w:highlight w:val="none"/>
          <w:lang w:val="zh-CN"/>
        </w:rPr>
        <w:t xml:space="preserve">制作</w:t>
      </w:r>
      <w:r>
        <w:rPr>
          <w:rFonts w:hint="eastAsia" w:ascii="宋体" w:hAnsi="宋体"/>
          <w:color w:val="auto"/>
          <w:sz w:val="24"/>
          <w:szCs w:val="21"/>
          <w:highlight w:val="none"/>
        </w:rPr>
        <w:t xml:space="preserve">响应</w:t>
      </w:r>
      <w:r>
        <w:rPr>
          <w:rFonts w:ascii="宋体" w:hAnsi="宋体"/>
          <w:color w:val="auto"/>
          <w:sz w:val="24"/>
          <w:szCs w:val="21"/>
          <w:highlight w:val="none"/>
          <w:lang w:val="zh-CN"/>
        </w:rPr>
        <w:t xml:space="preserve">文件。</w:t>
      </w:r>
      <w:bookmarkStart w:id="35" w:name="_Hlk160612498"/>
      <w:r>
        <w:rPr>
          <w:rFonts w:ascii="宋体" w:hAnsi="宋体"/>
          <w:bCs/>
          <w:color w:val="auto"/>
          <w:sz w:val="24"/>
          <w:szCs w:val="24"/>
          <w:highlight w:val="none"/>
          <w:lang w:val="zh-CN"/>
        </w:rPr>
        <w:t xml:space="preserve">因</w:t>
      </w:r>
      <w:r>
        <w:rPr>
          <w:rFonts w:hint="eastAsia" w:ascii="宋体" w:hAnsi="宋体"/>
          <w:color w:val="auto"/>
          <w:sz w:val="24"/>
          <w:szCs w:val="21"/>
          <w:highlight w:val="none"/>
        </w:rPr>
        <w:t xml:space="preserve">供应商</w:t>
      </w:r>
      <w:r>
        <w:rPr>
          <w:rFonts w:hint="eastAsia" w:ascii="宋体" w:hAnsi="宋体"/>
          <w:bCs/>
          <w:color w:val="auto"/>
          <w:sz w:val="24"/>
          <w:szCs w:val="24"/>
          <w:highlight w:val="none"/>
          <w:lang w:val="zh-CN"/>
        </w:rPr>
        <w:t xml:space="preserve">未及时关注</w:t>
      </w:r>
      <w:r>
        <w:rPr>
          <w:rFonts w:ascii="宋体" w:hAnsi="宋体"/>
          <w:bCs/>
          <w:color w:val="auto"/>
          <w:sz w:val="24"/>
          <w:szCs w:val="24"/>
          <w:highlight w:val="none"/>
          <w:lang w:val="zh-CN"/>
        </w:rPr>
        <w:t xml:space="preserve">澄清</w:t>
      </w:r>
      <w:r>
        <w:rPr>
          <w:rFonts w:hint="eastAsia" w:ascii="宋体" w:hAnsi="宋体"/>
          <w:bCs/>
          <w:color w:val="auto"/>
          <w:sz w:val="24"/>
          <w:szCs w:val="24"/>
          <w:highlight w:val="none"/>
          <w:lang w:val="zh-CN"/>
        </w:rPr>
        <w:t xml:space="preserve">更正公告、未及时更新上传响应文件导致其提交的响应文件不符合要求的，造成的损失及风险由</w:t>
      </w:r>
      <w:r>
        <w:rPr>
          <w:rFonts w:hint="eastAsia" w:ascii="宋体" w:hAnsi="宋体"/>
          <w:color w:val="auto"/>
          <w:sz w:val="24"/>
          <w:szCs w:val="21"/>
          <w:highlight w:val="none"/>
        </w:rPr>
        <w:t xml:space="preserve">供应商</w:t>
      </w:r>
      <w:r>
        <w:rPr>
          <w:rFonts w:hint="eastAsia" w:ascii="宋体" w:hAnsi="宋体"/>
          <w:bCs/>
          <w:color w:val="auto"/>
          <w:sz w:val="24"/>
          <w:szCs w:val="24"/>
          <w:highlight w:val="none"/>
          <w:lang w:val="zh-CN"/>
        </w:rPr>
        <w:t xml:space="preserve">自行承担。</w:t>
      </w:r>
      <w:bookmarkEnd w:id="35"/>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三、响应文件</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9、响应文件的组成</w:t>
      </w:r>
      <w:r/>
    </w:p>
    <w:p>
      <w:pPr>
        <w:ind w:firstLine="480"/>
        <w:spacing w:line="360" w:lineRule="auto"/>
        <w:rPr>
          <w:rFonts w:hint="eastAsia" w:ascii="宋体" w:hAnsi="宋体"/>
          <w:color w:val="auto"/>
          <w:sz w:val="24"/>
          <w:szCs w:val="21"/>
          <w:highlight w:val="none"/>
          <w:lang w:val="zh-CN"/>
        </w:rPr>
      </w:pPr>
      <w:r/>
      <w:bookmarkStart w:id="36" w:name="OLE_LINK8"/>
      <w:r>
        <w:rPr>
          <w:rFonts w:hint="eastAsia" w:ascii="宋体" w:hAnsi="宋体"/>
          <w:color w:val="auto"/>
          <w:sz w:val="24"/>
          <w:szCs w:val="21"/>
          <w:highlight w:val="none"/>
          <w:lang w:val="zh-CN"/>
        </w:rPr>
        <w:t xml:space="preserve">（</w:t>
      </w:r>
      <w:r>
        <w:rPr>
          <w:rFonts w:hint="eastAsia" w:ascii="宋体" w:hAnsi="宋体"/>
          <w:color w:val="auto"/>
          <w:sz w:val="24"/>
          <w:szCs w:val="21"/>
          <w:highlight w:val="none"/>
          <w:lang w:val="en-US" w:eastAsia="zh-CN"/>
        </w:rPr>
        <w:t xml:space="preserve">1</w:t>
      </w:r>
      <w:r>
        <w:rPr>
          <w:rFonts w:hint="eastAsia" w:ascii="宋体" w:hAnsi="宋体"/>
          <w:color w:val="auto"/>
          <w:sz w:val="24"/>
          <w:szCs w:val="21"/>
          <w:highlight w:val="none"/>
          <w:lang w:val="zh-CN"/>
        </w:rPr>
        <w:t xml:space="preserve">）询价报价表：</w:t>
      </w:r>
      <w:r/>
    </w:p>
    <w:p>
      <w:pPr>
        <w:ind w:firstLine="480"/>
        <w:jc w:val="left"/>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w:t>
      </w:r>
      <w:r>
        <w:rPr>
          <w:rFonts w:hint="eastAsia" w:ascii="宋体" w:hAnsi="宋体"/>
          <w:color w:val="auto"/>
          <w:sz w:val="24"/>
          <w:szCs w:val="21"/>
          <w:highlight w:val="none"/>
        </w:rPr>
        <w:t xml:space="preserve">2</w:t>
      </w:r>
      <w:r>
        <w:rPr>
          <w:rFonts w:hint="eastAsia" w:ascii="宋体" w:hAnsi="宋体"/>
          <w:color w:val="auto"/>
          <w:sz w:val="24"/>
          <w:szCs w:val="21"/>
          <w:highlight w:val="none"/>
          <w:lang w:val="zh-CN"/>
        </w:rPr>
        <w:t xml:space="preserve">）资格条件</w:t>
      </w:r>
      <w:bookmarkEnd w:id="36"/>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bookmarkStart w:id="37" w:name="_Hlk139968547"/>
      <w:r/>
      <w:bookmarkStart w:id="38" w:name="OLE_LINK114"/>
      <w:r>
        <w:rPr>
          <w:rFonts w:hint="eastAsia" w:ascii="宋体" w:hAnsi="宋体"/>
          <w:bCs/>
          <w:color w:val="auto"/>
          <w:sz w:val="24"/>
          <w:szCs w:val="24"/>
          <w:highlight w:val="none"/>
          <w:lang w:val="zh-CN"/>
        </w:rPr>
        <w:t xml:space="preserve">①</w:t>
      </w:r>
      <w:r>
        <w:rPr>
          <w:rFonts w:hint="eastAsia" w:ascii="宋体" w:hAnsi="宋体"/>
          <w:b/>
          <w:color w:val="auto"/>
          <w:sz w:val="24"/>
          <w:szCs w:val="24"/>
          <w:highlight w:val="none"/>
          <w:lang w:val="zh-CN"/>
        </w:rPr>
        <w:t xml:space="preserve">资格声明函</w:t>
      </w:r>
      <w:r>
        <w:rPr>
          <w:rFonts w:hint="eastAsia" w:ascii="宋体" w:hAnsi="宋体"/>
          <w:bCs/>
          <w:color w:val="auto"/>
          <w:sz w:val="24"/>
          <w:szCs w:val="24"/>
          <w:highlight w:val="none"/>
          <w:lang w:val="zh-CN"/>
        </w:rPr>
        <w:t xml:space="preserve">：</w:t>
      </w:r>
      <w:bookmarkStart w:id="39" w:name="_Hlk151448601"/>
      <w:r>
        <w:rPr>
          <w:rFonts w:hint="eastAsia" w:ascii="宋体" w:hAnsi="宋体"/>
          <w:bCs/>
          <w:color w:val="auto"/>
          <w:sz w:val="24"/>
          <w:szCs w:val="24"/>
          <w:highlight w:val="none"/>
          <w:lang w:val="zh-CN"/>
        </w:rPr>
        <w:t xml:space="preserve">提供《关于资格的声明函》；</w:t>
      </w:r>
      <w:bookmarkEnd w:id="37"/>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②</w:t>
      </w:r>
      <w:r>
        <w:rPr>
          <w:rFonts w:hint="eastAsia" w:ascii="宋体" w:hAnsi="宋体"/>
          <w:b/>
          <w:color w:val="auto"/>
          <w:sz w:val="24"/>
          <w:szCs w:val="24"/>
          <w:highlight w:val="none"/>
          <w:lang w:val="zh-CN"/>
        </w:rPr>
        <w:t xml:space="preserve">被授权代表身份证明1</w:t>
      </w:r>
      <w:bookmarkStart w:id="40" w:name="_Hlk163378222"/>
      <w:r>
        <w:rPr>
          <w:rFonts w:hint="eastAsia" w:ascii="宋体" w:hAnsi="宋体"/>
          <w:b/>
          <w:color w:val="auto"/>
          <w:sz w:val="24"/>
          <w:szCs w:val="24"/>
          <w:highlight w:val="none"/>
          <w:lang w:val="zh-CN"/>
        </w:rPr>
        <w:t xml:space="preserve">（授权委托书）</w:t>
      </w:r>
      <w:bookmarkEnd w:id="38"/>
      <w:r>
        <w:rPr>
          <w:rFonts w:hint="eastAsia" w:ascii="宋体" w:hAnsi="宋体"/>
          <w:bCs/>
          <w:color w:val="auto"/>
          <w:sz w:val="24"/>
          <w:szCs w:val="24"/>
          <w:highlight w:val="none"/>
          <w:lang w:val="zh-CN"/>
        </w:rPr>
        <w:t xml:space="preserve">：提供供应商法定代表人授权委托书（法定代表人亲自参加的无需提供）；</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③</w:t>
      </w:r>
      <w:r>
        <w:rPr>
          <w:rFonts w:hint="eastAsia" w:ascii="宋体" w:hAnsi="宋体"/>
          <w:b/>
          <w:color w:val="auto"/>
          <w:sz w:val="24"/>
          <w:szCs w:val="24"/>
          <w:highlight w:val="none"/>
          <w:lang w:val="zh-CN"/>
        </w:rPr>
        <w:t xml:space="preserve">被授权代表身份证明2（社保）</w:t>
      </w:r>
      <w:r>
        <w:rPr>
          <w:rFonts w:hint="eastAsia" w:ascii="宋体" w:hAnsi="宋体"/>
          <w:bCs/>
          <w:color w:val="auto"/>
          <w:sz w:val="24"/>
          <w:szCs w:val="24"/>
          <w:highlight w:val="none"/>
          <w:lang w:val="zh-CN"/>
        </w:rPr>
        <w:t xml:space="preserve">：</w:t>
      </w:r>
      <w:bookmarkStart w:id="41" w:name="_Hlk155260749"/>
      <w:r>
        <w:rPr>
          <w:rFonts w:hint="eastAsia" w:ascii="宋体" w:hAnsi="宋体"/>
          <w:bCs/>
          <w:color w:val="auto"/>
          <w:sz w:val="24"/>
          <w:szCs w:val="24"/>
          <w:highlight w:val="none"/>
          <w:lang w:val="zh-CN"/>
        </w:rPr>
        <w:t xml:space="preserve">提供供应商为本项目被授权代表缴纳的近六个月内任意一个月份的社保证明</w:t>
      </w:r>
      <w:bookmarkEnd w:id="39"/>
      <w:r>
        <w:rPr>
          <w:rFonts w:hint="eastAsia" w:ascii="宋体" w:hAnsi="宋体"/>
          <w:bCs/>
          <w:color w:val="auto"/>
          <w:sz w:val="24"/>
          <w:szCs w:val="24"/>
          <w:highlight w:val="none"/>
          <w:lang w:val="zh-CN"/>
        </w:rPr>
        <w:t xml:space="preserve">（提供相关主管部门证明或银行代扣证明，法定代表人亲自参加的无需提供）；</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④</w:t>
      </w:r>
      <w:r>
        <w:rPr>
          <w:rFonts w:hint="eastAsia" w:ascii="宋体" w:hAnsi="宋体"/>
          <w:b/>
          <w:color w:val="auto"/>
          <w:sz w:val="24"/>
          <w:szCs w:val="24"/>
          <w:highlight w:val="none"/>
          <w:lang w:val="zh-CN"/>
        </w:rPr>
        <w:t xml:space="preserve">具有独立承担民事责任的能力</w:t>
      </w:r>
      <w:r>
        <w:rPr>
          <w:rFonts w:hint="eastAsia" w:ascii="宋体" w:hAnsi="宋体"/>
          <w:bCs/>
          <w:color w:val="auto"/>
          <w:sz w:val="24"/>
          <w:szCs w:val="24"/>
          <w:highlight w:val="none"/>
          <w:lang w:val="zh-CN"/>
        </w:rPr>
        <w:t xml:space="preserve">：提供供应商营业执照或法人（登记）证书，供应商为自然人的提供自然人身份证；</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⑤</w:t>
      </w:r>
      <w:r>
        <w:rPr>
          <w:rFonts w:hint="eastAsia" w:ascii="宋体" w:hAnsi="宋体"/>
          <w:b/>
          <w:color w:val="auto"/>
          <w:sz w:val="24"/>
          <w:szCs w:val="24"/>
          <w:highlight w:val="none"/>
          <w:lang w:val="zh-CN"/>
        </w:rPr>
        <w:t xml:space="preserve">具有良好的商业信誉和健全的财务会计制度</w:t>
      </w:r>
      <w:r>
        <w:rPr>
          <w:rFonts w:hint="eastAsia" w:ascii="宋体" w:hAnsi="宋体"/>
          <w:bCs/>
          <w:color w:val="auto"/>
          <w:sz w:val="24"/>
          <w:szCs w:val="24"/>
          <w:highlight w:val="none"/>
          <w:lang w:val="zh-CN"/>
        </w:rPr>
        <w:t xml:space="preserve">：提供银行出具的资信证明（若供应商为法人的须提供其基本开户银行出具的资信证明）；或供应商近十二个月中任意一个月份的财务状况报告（须包含资产负债表和利润表）；或由会计师事务所出具的近两年中任意一个年度的审计报告和所附已审财务报告；</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⑥</w:t>
      </w:r>
      <w:r>
        <w:rPr>
          <w:rFonts w:hint="eastAsia" w:ascii="宋体" w:hAnsi="宋体"/>
          <w:b/>
          <w:color w:val="auto"/>
          <w:sz w:val="24"/>
          <w:szCs w:val="24"/>
          <w:highlight w:val="none"/>
          <w:lang w:val="zh-CN"/>
        </w:rPr>
        <w:t xml:space="preserve">有依法缴纳税收的良好记录</w:t>
      </w:r>
      <w:r>
        <w:rPr>
          <w:rFonts w:hint="eastAsia" w:ascii="宋体" w:hAnsi="宋体"/>
          <w:bCs/>
          <w:color w:val="auto"/>
          <w:sz w:val="24"/>
          <w:szCs w:val="24"/>
          <w:highlight w:val="none"/>
          <w:lang w:val="zh-CN"/>
        </w:rPr>
        <w:t xml:space="preserve">：提供供应商依法缴纳近十二个月中任意一个月份税收的相关材料（提供相关主管部门证明或银行代扣证明）；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⑦</w:t>
      </w:r>
      <w:r>
        <w:rPr>
          <w:rFonts w:hint="eastAsia" w:ascii="宋体" w:hAnsi="宋体"/>
          <w:b/>
          <w:color w:val="auto"/>
          <w:sz w:val="24"/>
          <w:szCs w:val="24"/>
          <w:highlight w:val="none"/>
          <w:lang w:val="zh-CN"/>
        </w:rPr>
        <w:t xml:space="preserve">有依法缴纳社会保障资金的良好记录</w:t>
      </w:r>
      <w:r>
        <w:rPr>
          <w:rFonts w:hint="eastAsia" w:ascii="宋体" w:hAnsi="宋体"/>
          <w:bCs/>
          <w:color w:val="auto"/>
          <w:sz w:val="24"/>
          <w:szCs w:val="24"/>
          <w:highlight w:val="none"/>
          <w:lang w:val="zh-CN"/>
        </w:rPr>
        <w:t xml:space="preserve">：提供供应商依法缴纳近十二个月中任意一个月份社会保障资金的相关材料（提供相关主管部门证明或银行代扣证明）；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⑧</w:t>
      </w:r>
      <w:r>
        <w:rPr>
          <w:rFonts w:hint="eastAsia" w:ascii="宋体" w:hAnsi="宋体"/>
          <w:b/>
          <w:color w:val="auto"/>
          <w:sz w:val="24"/>
          <w:szCs w:val="24"/>
          <w:highlight w:val="none"/>
          <w:lang w:val="zh-CN"/>
        </w:rPr>
        <w:t xml:space="preserve">无不良信用记录</w:t>
      </w:r>
      <w:r>
        <w:rPr>
          <w:rFonts w:hint="eastAsia" w:ascii="宋体" w:hAnsi="宋体"/>
          <w:bCs/>
          <w:color w:val="auto"/>
          <w:sz w:val="24"/>
          <w:szCs w:val="24"/>
          <w:highlight w:val="none"/>
          <w:lang w:val="zh-CN"/>
        </w:rPr>
        <w:t xml:space="preserve">：</w:t>
      </w:r>
      <w:r>
        <w:rPr>
          <w:rFonts w:hint="eastAsia" w:ascii="宋体" w:hAnsi="宋体" w:cs="宋体"/>
          <w:bCs/>
          <w:color w:val="auto"/>
          <w:sz w:val="24"/>
          <w:szCs w:val="24"/>
          <w:highlight w:val="none"/>
        </w:rPr>
        <w:t xml:space="preserve">未被“信用中国”（www.creditchina.gov.cn</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、中国政府采购网（www.ccgp.gov.cn）列入失信被执行人、重大税收违法案件当事人名单、政府采购严重违法失信行为记录名单（在限制期内）</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若供应商企业信息已录入以上网站的，</w:t>
      </w:r>
      <w:r>
        <w:rPr>
          <w:rFonts w:hint="eastAsia" w:ascii="宋体" w:hAnsi="宋体"/>
          <w:bCs/>
          <w:color w:val="auto"/>
          <w:sz w:val="24"/>
          <w:szCs w:val="24"/>
          <w:highlight w:val="none"/>
          <w:lang w:val="zh-CN"/>
        </w:rPr>
        <w:t xml:space="preserve">无需提供相关证明材料</w:t>
      </w:r>
      <w:r>
        <w:rPr>
          <w:rFonts w:ascii="宋体" w:hAnsi="宋体"/>
          <w:bCs/>
          <w:color w:val="auto"/>
          <w:sz w:val="24"/>
          <w:szCs w:val="24"/>
          <w:highlight w:val="none"/>
          <w:lang w:val="zh-CN"/>
        </w:rPr>
        <w:t xml:space="preserve">；</w:t>
      </w:r>
      <w:r>
        <w:rPr>
          <w:rFonts w:hint="eastAsia" w:ascii="宋体" w:hAnsi="宋体"/>
          <w:bCs/>
          <w:color w:val="auto"/>
          <w:sz w:val="24"/>
          <w:szCs w:val="24"/>
          <w:highlight w:val="none"/>
          <w:lang w:val="zh-CN"/>
        </w:rPr>
        <w:t xml:space="preserve">若供应商企业信息</w:t>
      </w:r>
      <w:r>
        <w:rPr>
          <w:rFonts w:ascii="宋体" w:hAnsi="宋体"/>
          <w:bCs/>
          <w:color w:val="auto"/>
          <w:sz w:val="24"/>
          <w:szCs w:val="24"/>
          <w:highlight w:val="none"/>
          <w:lang w:val="zh-CN"/>
        </w:rPr>
        <w:t xml:space="preserve">未</w:t>
      </w:r>
      <w:r>
        <w:rPr>
          <w:rFonts w:hint="eastAsia" w:ascii="宋体" w:hAnsi="宋体"/>
          <w:bCs/>
          <w:color w:val="auto"/>
          <w:sz w:val="24"/>
          <w:szCs w:val="24"/>
          <w:highlight w:val="none"/>
          <w:lang w:val="zh-CN"/>
        </w:rPr>
        <w:t xml:space="preserve">录入以上网站的，以供应商</w:t>
      </w:r>
      <w:bookmarkStart w:id="42" w:name="_Hlk139976635"/>
      <w:r>
        <w:rPr>
          <w:rFonts w:hint="eastAsia" w:ascii="宋体" w:hAnsi="宋体"/>
          <w:bCs/>
          <w:color w:val="auto"/>
          <w:sz w:val="24"/>
          <w:szCs w:val="24"/>
          <w:highlight w:val="none"/>
          <w:lang w:val="zh-CN"/>
        </w:rPr>
        <w:t xml:space="preserve">提供的资格声明函中作出的无不良信用记录的承诺为准</w:t>
      </w:r>
      <w:bookmarkEnd w:id="40"/>
      <w:r>
        <w:rPr>
          <w:rFonts w:hint="eastAsia" w:ascii="宋体" w:hAnsi="宋体"/>
          <w:bCs/>
          <w:color w:val="auto"/>
          <w:sz w:val="24"/>
          <w:szCs w:val="24"/>
          <w:highlight w:val="none"/>
          <w:lang w:val="zh-CN"/>
        </w:rPr>
        <w:t xml:space="preserve">）</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bookmarkStart w:id="43" w:name="_Hlk151448642"/>
      <w:r>
        <w:rPr>
          <w:rFonts w:hint="eastAsia" w:ascii="宋体" w:hAnsi="宋体"/>
          <w:bCs/>
          <w:color w:val="auto"/>
          <w:sz w:val="24"/>
          <w:szCs w:val="24"/>
          <w:highlight w:val="none"/>
          <w:lang w:val="zh-CN"/>
        </w:rPr>
        <w:t xml:space="preserve">⑨</w:t>
      </w:r>
      <w:r>
        <w:rPr>
          <w:rFonts w:hint="eastAsia" w:ascii="宋体" w:hAnsi="宋体"/>
          <w:b/>
          <w:bCs w:val="0"/>
          <w:color w:val="auto"/>
          <w:sz w:val="24"/>
          <w:szCs w:val="24"/>
          <w:highlight w:val="none"/>
          <w:lang w:val="zh-CN"/>
        </w:rPr>
        <w:t xml:space="preserve">联合体</w:t>
      </w:r>
      <w:r>
        <w:rPr>
          <w:rFonts w:hint="eastAsia" w:ascii="宋体" w:hAnsi="宋体"/>
          <w:bCs/>
          <w:color w:val="auto"/>
          <w:sz w:val="24"/>
          <w:szCs w:val="24"/>
          <w:highlight w:val="none"/>
          <w:lang w:val="zh-CN"/>
        </w:rPr>
        <w:t xml:space="preserve">：如采购人要求组成联合体或采购人允许组成联合体且供应商组成联合体的，应提供有效的联合体协议书，否则无需提供；</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⑩</w:t>
      </w:r>
      <w:r>
        <w:rPr>
          <w:rFonts w:hint="eastAsia" w:ascii="宋体" w:hAnsi="宋体"/>
          <w:b/>
          <w:bCs w:val="0"/>
          <w:color w:val="auto"/>
          <w:sz w:val="24"/>
          <w:szCs w:val="24"/>
          <w:highlight w:val="none"/>
          <w:lang w:val="zh-CN"/>
        </w:rPr>
        <w:t xml:space="preserve">分包</w:t>
      </w:r>
      <w:r>
        <w:rPr>
          <w:rFonts w:hint="eastAsia" w:ascii="宋体" w:hAnsi="宋体"/>
          <w:bCs/>
          <w:color w:val="auto"/>
          <w:sz w:val="24"/>
          <w:szCs w:val="24"/>
          <w:highlight w:val="none"/>
          <w:lang w:val="zh-CN"/>
        </w:rPr>
        <w:t xml:space="preserve">：如采购人要求分包或采购人允许分包且供应商有分包意向的，应提供有效的分包情况说明，否则无需提供；</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ascii="Cambria Math" w:hAnsi="Cambria Math" w:cs="Cambria Math"/>
          <w:bCs/>
          <w:color w:val="auto"/>
          <w:sz w:val="24"/>
          <w:szCs w:val="24"/>
          <w:highlight w:val="none"/>
          <w:lang w:val="zh-CN"/>
        </w:rPr>
        <w:t xml:space="preserve">⑪</w:t>
      </w:r>
      <w:r>
        <w:rPr>
          <w:rFonts w:hint="eastAsia" w:ascii="宋体" w:hAnsi="宋体"/>
          <w:b/>
          <w:bCs w:val="0"/>
          <w:color w:val="auto"/>
          <w:sz w:val="24"/>
          <w:szCs w:val="24"/>
          <w:highlight w:val="none"/>
          <w:lang w:val="zh-CN"/>
        </w:rPr>
        <w:t xml:space="preserve">中小企业声明</w:t>
      </w:r>
      <w:r>
        <w:rPr>
          <w:rFonts w:hint="eastAsia" w:ascii="宋体" w:hAnsi="宋体"/>
          <w:bCs/>
          <w:color w:val="auto"/>
          <w:sz w:val="24"/>
          <w:szCs w:val="24"/>
          <w:highlight w:val="none"/>
          <w:lang w:val="zh-CN"/>
        </w:rPr>
        <w:t xml:space="preserve">：供应商</w:t>
      </w:r>
      <w:r>
        <w:rPr>
          <w:rFonts w:hint="eastAsia" w:ascii="宋体" w:hAnsi="宋体"/>
          <w:bCs/>
          <w:color w:val="auto"/>
          <w:sz w:val="24"/>
          <w:szCs w:val="24"/>
          <w:highlight w:val="none"/>
          <w:lang w:val="en-US" w:eastAsia="zh-CN"/>
        </w:rPr>
        <w:t xml:space="preserve">如为中小企业</w:t>
      </w:r>
      <w:r>
        <w:rPr>
          <w:rFonts w:hint="eastAsia" w:ascii="宋体" w:hAnsi="宋体"/>
          <w:bCs/>
          <w:color w:val="auto"/>
          <w:sz w:val="24"/>
          <w:szCs w:val="24"/>
          <w:highlight w:val="none"/>
          <w:lang w:val="zh-CN"/>
        </w:rPr>
        <w:t xml:space="preserve">应提供有效的《中小企业声明函》或《残疾人福利性单位声明函》或监狱企业的证明文件，否则</w:t>
      </w:r>
      <w:r>
        <w:rPr>
          <w:rFonts w:hint="eastAsia" w:ascii="宋体" w:hAnsi="宋体"/>
          <w:bCs/>
          <w:color w:val="auto"/>
          <w:sz w:val="24"/>
          <w:szCs w:val="24"/>
          <w:highlight w:val="none"/>
        </w:rPr>
        <w:t xml:space="preserve">不享受政府采购小微企业优惠政策</w:t>
      </w:r>
      <w:r>
        <w:rPr>
          <w:rFonts w:hint="eastAsia" w:ascii="宋体" w:hAnsi="宋体"/>
          <w:bCs/>
          <w:color w:val="auto"/>
          <w:sz w:val="24"/>
          <w:szCs w:val="24"/>
          <w:highlight w:val="none"/>
          <w:lang w:val="zh-CN"/>
        </w:rPr>
        <w:t xml:space="preserve">；</w:t>
      </w:r>
      <w:r/>
    </w:p>
    <w:p>
      <w:pPr>
        <w:spacing w:line="360" w:lineRule="auto"/>
        <w:rPr>
          <w:rFonts w:hint="eastAsia" w:ascii="宋体" w:hAnsi="宋体" w:eastAsia="宋体" w:cs="宋体"/>
          <w:color w:val="auto"/>
          <w:sz w:val="24"/>
          <w:szCs w:val="24"/>
          <w:highlight w:val="none"/>
        </w:rPr>
      </w:pPr>
      <w:r>
        <w:rPr>
          <w:rFonts w:ascii="Cambria Math" w:hAnsi="Cambria Math" w:cs="Cambria Math"/>
          <w:bCs/>
          <w:color w:val="auto"/>
          <w:sz w:val="24"/>
          <w:szCs w:val="24"/>
          <w:highlight w:val="none"/>
          <w:lang w:val="zh-CN"/>
        </w:rPr>
        <w:t xml:space="preserve">⑫</w:t>
      </w:r>
      <w:r>
        <w:rPr>
          <w:rFonts w:hint="eastAsia" w:ascii="宋体" w:hAnsi="宋体" w:cs="宋体"/>
          <w:b/>
          <w:bCs w:val="0"/>
          <w:color w:val="auto"/>
          <w:sz w:val="24"/>
          <w:szCs w:val="24"/>
          <w:highlight w:val="none"/>
        </w:rPr>
        <w:t xml:space="preserve">特定资格要求</w:t>
      </w:r>
      <w:bookmarkEnd w:id="41"/>
      <w:r/>
      <w:bookmarkEnd w:id="42"/>
      <w:r/>
      <w:bookmarkEnd w:id="43"/>
      <w:r/>
      <w:bookmarkStart w:id="44" w:name="_Hlk160698807"/>
      <w:r>
        <w:rPr>
          <w:rFonts w:hint="eastAsia" w:ascii="宋体" w:hAnsi="宋体" w:eastAsia="宋体" w:cs="宋体"/>
          <w:color w:val="auto"/>
          <w:sz w:val="24"/>
          <w:szCs w:val="24"/>
          <w:highlight w:val="none"/>
        </w:rPr>
        <w:t xml:space="preserve">1.满足《中华人民共和国政府采购法》第二十二条规定，详见“第二章 供应商须知”响应文件的组成中的“资格条件”；</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2.落实政府采购政策需满足的资格要求：本项目专门面向中小企业采购。</w:t>
      </w:r>
      <w:r/>
    </w:p>
    <w:p>
      <w:pPr>
        <w:ind w:firstLine="480"/>
        <w:jc w:val="left"/>
        <w:spacing w:line="360" w:lineRule="auto"/>
        <w:tabs>
          <w:tab w:val="left" w:pos="0" w:leader="none"/>
          <w:tab w:val="left" w:pos="2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本项目的特定资格要求：</w:t>
      </w:r>
      <w:r>
        <w:rPr>
          <w:rFonts w:hint="eastAsia" w:ascii="宋体" w:hAnsi="宋体" w:eastAsia="宋体" w:cs="宋体"/>
          <w:color w:val="auto"/>
          <w:sz w:val="24"/>
          <w:szCs w:val="24"/>
          <w:highlight w:val="none"/>
          <w:lang w:val="en-US" w:eastAsia="zh-CN"/>
        </w:rPr>
        <w:t xml:space="preserve">①供应商提供农药经营许可证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②供应商所投标的农药品种需提供农药登记证：采购包1需登记在稻飞虱上，采购包2需登记在稻飞虱上，采购包3需登记在水稻纹枯</w:t>
      </w:r>
      <w:r>
        <w:rPr>
          <w:rFonts w:hint="eastAsia" w:ascii="宋体" w:hAnsi="宋体" w:cs="宋体"/>
          <w:color w:val="auto"/>
          <w:sz w:val="24"/>
          <w:szCs w:val="24"/>
          <w:highlight w:val="none"/>
          <w:lang w:val="en-US" w:eastAsia="zh-CN"/>
        </w:rPr>
        <w:t xml:space="preserve">病</w:t>
      </w:r>
      <w:r>
        <w:rPr>
          <w:rFonts w:hint="eastAsia" w:ascii="宋体" w:hAnsi="宋体" w:eastAsia="宋体" w:cs="宋体"/>
          <w:color w:val="auto"/>
          <w:sz w:val="24"/>
          <w:szCs w:val="24"/>
          <w:highlight w:val="none"/>
          <w:lang w:val="en-US" w:eastAsia="zh-CN"/>
        </w:rPr>
        <w:t xml:space="preserve">上，采购包4需登记在水稻纹枯</w:t>
      </w:r>
      <w:r>
        <w:rPr>
          <w:rFonts w:hint="eastAsia" w:ascii="宋体" w:hAnsi="宋体" w:cs="宋体"/>
          <w:color w:val="auto"/>
          <w:sz w:val="24"/>
          <w:szCs w:val="24"/>
          <w:highlight w:val="none"/>
          <w:lang w:val="en-US" w:eastAsia="zh-CN"/>
        </w:rPr>
        <w:t xml:space="preserve">病</w:t>
      </w:r>
      <w:r>
        <w:rPr>
          <w:rFonts w:hint="eastAsia" w:ascii="宋体" w:hAnsi="宋体" w:eastAsia="宋体" w:cs="宋体"/>
          <w:color w:val="auto"/>
          <w:sz w:val="24"/>
          <w:szCs w:val="24"/>
          <w:highlight w:val="none"/>
          <w:lang w:val="en-US" w:eastAsia="zh-CN"/>
        </w:rPr>
        <w:t xml:space="preserve">上</w:t>
      </w:r>
      <w:r>
        <w:rPr>
          <w:rFonts w:hint="eastAsia" w:ascii="宋体" w:hAnsi="宋体" w:eastAsia="宋体" w:cs="宋体"/>
          <w:color w:val="auto"/>
          <w:sz w:val="24"/>
          <w:szCs w:val="24"/>
          <w:highlight w:val="none"/>
        </w:rPr>
        <w:t xml:space="preserve">。</w:t>
      </w:r>
      <w:r/>
    </w:p>
    <w:p>
      <w:pPr>
        <w:ind w:firstLine="480"/>
        <w:jc w:val="left"/>
        <w:spacing w:line="360" w:lineRule="auto"/>
        <w:tabs>
          <w:tab w:val="left" w:pos="0" w:leader="none"/>
          <w:tab w:val="left" w:pos="255" w:leader="none"/>
        </w:tabs>
        <w:rPr>
          <w:rFonts w:ascii="宋体" w:hAnsi="宋体"/>
          <w:color w:val="auto"/>
          <w:sz w:val="24"/>
          <w:szCs w:val="24"/>
          <w:highlight w:val="none"/>
        </w:rPr>
      </w:pPr>
      <w:r>
        <w:rPr>
          <w:rFonts w:hint="eastAsia" w:ascii="宋体" w:hAnsi="宋体" w:eastAsia="宋体" w:cs="Times New Roman"/>
          <w:bCs/>
          <w:color w:val="auto"/>
          <w:sz w:val="24"/>
          <w:szCs w:val="24"/>
          <w:highlight w:val="none"/>
          <w:lang w:val="zh-CN"/>
        </w:rPr>
        <w:t xml:space="preserve">注：</w:t>
      </w:r>
      <w:r>
        <w:rPr>
          <w:rFonts w:hint="eastAsia" w:ascii="宋体" w:hAnsi="宋体" w:eastAsia="宋体" w:cs="Times New Roman"/>
          <w:color w:val="auto"/>
          <w:sz w:val="24"/>
          <w:szCs w:val="24"/>
          <w:highlight w:val="none"/>
        </w:rPr>
        <w:t xml:space="preserve">以上近六个月、近十二个月是从提交响应文件截止日向前推算（不含响应文件提交截止当月）；</w:t>
      </w:r>
      <w:r>
        <w:rPr>
          <w:rFonts w:hint="eastAsia" w:ascii="宋体" w:hAnsi="宋体" w:eastAsia="宋体" w:cs="Times New Roman"/>
          <w:bCs/>
          <w:color w:val="auto"/>
          <w:sz w:val="24"/>
          <w:szCs w:val="24"/>
          <w:highlight w:val="none"/>
          <w:lang w:val="zh-CN"/>
        </w:rPr>
        <w:t xml:space="preserve">资格声明函中的较大数额罚款的认定按相关文件规定执行</w:t>
      </w:r>
      <w:r>
        <w:rPr>
          <w:rFonts w:hint="eastAsia" w:ascii="宋体" w:hAnsi="宋体" w:eastAsia="宋体" w:cs="Times New Roman"/>
          <w:bCs/>
          <w:color w:val="auto"/>
          <w:sz w:val="24"/>
          <w:szCs w:val="24"/>
          <w:highlight w:val="none"/>
        </w:rPr>
        <w:t xml:space="preserve">，前三年是从提交响应文件截止日（含）向前推算，一年按3</w:t>
      </w:r>
      <w:r>
        <w:rPr>
          <w:rFonts w:ascii="宋体" w:hAnsi="宋体" w:eastAsia="宋体" w:cs="Times New Roman"/>
          <w:bCs/>
          <w:color w:val="auto"/>
          <w:sz w:val="24"/>
          <w:szCs w:val="24"/>
          <w:highlight w:val="none"/>
        </w:rPr>
        <w:t xml:space="preserve">65</w:t>
      </w:r>
      <w:r>
        <w:rPr>
          <w:rFonts w:hint="eastAsia" w:ascii="宋体" w:hAnsi="宋体" w:eastAsia="宋体" w:cs="Times New Roman"/>
          <w:bCs/>
          <w:color w:val="auto"/>
          <w:sz w:val="24"/>
          <w:szCs w:val="24"/>
          <w:highlight w:val="none"/>
        </w:rPr>
        <w:t xml:space="preserve">天计；</w:t>
      </w:r>
      <w:r>
        <w:rPr>
          <w:rFonts w:hint="eastAsia" w:ascii="宋体" w:hAnsi="宋体" w:eastAsia="宋体" w:cs="Times New Roman"/>
          <w:color w:val="auto"/>
          <w:sz w:val="24"/>
          <w:szCs w:val="24"/>
          <w:highlight w:val="none"/>
        </w:rPr>
        <w:t xml:space="preserve">供应商</w:t>
      </w:r>
      <w:r>
        <w:rPr>
          <w:rFonts w:hint="eastAsia" w:ascii="宋体" w:hAnsi="宋体" w:eastAsia="宋体" w:cs="Times New Roman"/>
          <w:bCs/>
          <w:color w:val="auto"/>
          <w:sz w:val="24"/>
          <w:szCs w:val="24"/>
          <w:highlight w:val="none"/>
        </w:rPr>
        <w:t xml:space="preserve">具备履行合同所必需的设备和专业技术能力在资格声明函中作出承诺</w:t>
      </w:r>
      <w:r>
        <w:rPr>
          <w:rFonts w:hint="eastAsia" w:ascii="宋体" w:hAnsi="宋体" w:eastAsia="宋体" w:cs="Times New Roman"/>
          <w:color w:val="auto"/>
          <w:sz w:val="24"/>
          <w:szCs w:val="24"/>
          <w:highlight w:val="none"/>
        </w:rPr>
        <w:t xml:space="preserve">。</w:t>
      </w:r>
      <w:r/>
    </w:p>
    <w:p>
      <w:pPr>
        <w:ind w:firstLine="480"/>
        <w:jc w:val="left"/>
        <w:spacing w:line="360" w:lineRule="auto"/>
        <w:tabs>
          <w:tab w:val="left" w:pos="0" w:leader="none"/>
          <w:tab w:val="left" w:pos="255" w:leader="none"/>
        </w:tabs>
        <w:rPr>
          <w:rFonts w:ascii="宋体" w:hAnsi="宋体"/>
          <w:color w:val="auto"/>
          <w:sz w:val="24"/>
          <w:szCs w:val="21"/>
          <w:highlight w:val="none"/>
        </w:rPr>
      </w:pPr>
      <w:r>
        <w:rPr>
          <w:rFonts w:hint="eastAsia" w:ascii="宋体" w:hAnsi="宋体"/>
          <w:color w:val="auto"/>
          <w:sz w:val="24"/>
          <w:szCs w:val="21"/>
          <w:highlight w:val="none"/>
          <w:lang w:val="zh-CN"/>
        </w:rPr>
        <w:t xml:space="preserve">（</w:t>
      </w:r>
      <w:r>
        <w:rPr>
          <w:rFonts w:hint="eastAsia" w:ascii="宋体" w:hAnsi="宋体"/>
          <w:color w:val="auto"/>
          <w:sz w:val="24"/>
          <w:szCs w:val="21"/>
          <w:highlight w:val="none"/>
        </w:rPr>
        <w:t xml:space="preserve">3</w:t>
      </w:r>
      <w:r>
        <w:rPr>
          <w:rFonts w:hint="eastAsia" w:ascii="宋体" w:hAnsi="宋体"/>
          <w:color w:val="auto"/>
          <w:sz w:val="24"/>
          <w:szCs w:val="21"/>
          <w:highlight w:val="none"/>
          <w:lang w:val="zh-CN"/>
        </w:rPr>
        <w:t xml:space="preserve">）</w:t>
      </w:r>
      <w:r>
        <w:rPr>
          <w:rFonts w:hint="eastAsia" w:ascii="宋体" w:hAnsi="宋体"/>
          <w:color w:val="auto"/>
          <w:sz w:val="24"/>
          <w:szCs w:val="21"/>
          <w:highlight w:val="none"/>
        </w:rPr>
        <w:t xml:space="preserve">符合条件</w:t>
      </w:r>
      <w:r/>
    </w:p>
    <w:p>
      <w:pPr>
        <w:ind w:firstLine="480"/>
        <w:jc w:val="left"/>
        <w:spacing w:line="360" w:lineRule="auto"/>
        <w:tabs>
          <w:tab w:val="left" w:pos="0" w:leader="none"/>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①响应函</w:t>
      </w:r>
      <w:r/>
    </w:p>
    <w:p>
      <w:pPr>
        <w:ind w:firstLine="480"/>
        <w:jc w:val="left"/>
        <w:spacing w:line="360" w:lineRule="auto"/>
        <w:tabs>
          <w:tab w:val="left" w:pos="0" w:leader="none"/>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②明细报价表</w:t>
      </w:r>
      <w:r/>
    </w:p>
    <w:p>
      <w:pPr>
        <w:ind w:firstLine="480"/>
        <w:jc w:val="left"/>
        <w:spacing w:line="360" w:lineRule="auto"/>
        <w:tabs>
          <w:tab w:val="left" w:pos="0" w:leader="none"/>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③项目技术要求偏离表</w:t>
      </w:r>
      <w:bookmarkEnd w:id="44"/>
      <w:r/>
      <w:r/>
    </w:p>
    <w:p>
      <w:pPr>
        <w:ind w:firstLine="480"/>
        <w:jc w:val="left"/>
        <w:spacing w:line="360" w:lineRule="auto"/>
        <w:tabs>
          <w:tab w:val="left" w:pos="0" w:leader="none"/>
          <w:tab w:val="left" w:pos="255" w:leader="none"/>
        </w:tabs>
        <w:rPr>
          <w:rFonts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④按“第三章项目技术要求和有关说明”提供相关证明材料</w:t>
      </w:r>
      <w:r/>
    </w:p>
    <w:p>
      <w:pPr>
        <w:ind w:left="420"/>
        <w:jc w:val="left"/>
        <w:spacing w:line="360" w:lineRule="auto"/>
        <w:tabs>
          <w:tab w:val="left" w:pos="0" w:leader="none"/>
          <w:tab w:val="left" w:pos="255" w:leader="none"/>
        </w:tabs>
        <w:rPr>
          <w:color w:val="auto"/>
          <w:highlight w:val="none"/>
        </w:rPr>
      </w:pPr>
      <w:r>
        <w:rPr>
          <w:rFonts w:hint="eastAsia" w:ascii="宋体" w:hAnsi="宋体"/>
          <w:color w:val="auto"/>
          <w:sz w:val="24"/>
          <w:szCs w:val="21"/>
          <w:highlight w:val="none"/>
          <w:lang w:val="zh-CN"/>
        </w:rPr>
        <w:t xml:space="preserve">（</w:t>
      </w:r>
      <w:r>
        <w:rPr>
          <w:rFonts w:hint="eastAsia" w:ascii="宋体" w:hAnsi="宋体"/>
          <w:color w:val="auto"/>
          <w:sz w:val="24"/>
          <w:szCs w:val="21"/>
          <w:highlight w:val="none"/>
        </w:rPr>
        <w:t xml:space="preserve">4</w:t>
      </w:r>
      <w:r>
        <w:rPr>
          <w:rFonts w:hint="eastAsia" w:ascii="宋体" w:hAnsi="宋体"/>
          <w:color w:val="auto"/>
          <w:sz w:val="24"/>
          <w:szCs w:val="21"/>
          <w:highlight w:val="none"/>
          <w:lang w:val="zh-CN"/>
        </w:rPr>
        <w:t xml:space="preserve">）</w:t>
      </w:r>
      <w:r>
        <w:rPr>
          <w:rFonts w:hint="eastAsia" w:ascii="宋体" w:hAnsi="宋体"/>
          <w:color w:val="auto"/>
          <w:sz w:val="24"/>
          <w:szCs w:val="24"/>
          <w:highlight w:val="none"/>
        </w:rPr>
        <w:t xml:space="preserve">价格折扣文件</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上述（2）和（3）内容供应商应按要求提供有效证明材料，否则报价无效，相关材料格式见“第五章 响应文件（格式）”。若未提供</w:t>
      </w:r>
      <w:r>
        <w:rPr>
          <w:rFonts w:hint="eastAsia" w:ascii="宋体" w:hAnsi="宋体"/>
          <w:bCs/>
          <w:color w:val="auto"/>
          <w:sz w:val="24"/>
          <w:szCs w:val="24"/>
          <w:highlight w:val="none"/>
          <w:lang w:val="zh-CN"/>
        </w:rPr>
        <w:t xml:space="preserve">被授权代表授权委托书及社保证明的，视为供应商法定代表人亲自参加。</w:t>
      </w:r>
      <w:r>
        <w:rPr>
          <w:rFonts w:hint="eastAsia" w:ascii="宋体" w:hAnsi="宋体"/>
          <w:bCs/>
          <w:color w:val="auto"/>
          <w:sz w:val="24"/>
          <w:szCs w:val="24"/>
          <w:highlight w:val="none"/>
        </w:rPr>
        <w:t xml:space="preserve">如上述资格证明文件遇年检、换证，则必须提供法定年检、换证单位出具的有效证明。</w:t>
      </w:r>
      <w:r>
        <w:rPr>
          <w:rFonts w:hint="eastAsia" w:ascii="宋体" w:hAnsi="宋体"/>
          <w:bCs/>
          <w:color w:val="auto"/>
          <w:sz w:val="24"/>
          <w:szCs w:val="24"/>
          <w:highlight w:val="none"/>
          <w:lang w:val="zh-CN"/>
        </w:rPr>
        <w:t xml:space="preserve">具有良好的商业信誉和健全的财务会计制度仅针对供应商为非自然人。</w:t>
      </w:r>
      <w:r>
        <w:rPr>
          <w:rFonts w:hint="eastAsia" w:ascii="宋体" w:hAnsi="宋体"/>
          <w:bCs/>
          <w:color w:val="auto"/>
          <w:sz w:val="24"/>
          <w:szCs w:val="24"/>
          <w:highlight w:val="none"/>
        </w:rPr>
        <w:t xml:space="preserve">如上述“（</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资格条件”第③、⑥、⑦项，依法免税或不需要缴纳社会保障资金的供应商，须在响应文件中提供相应文件证明其依法免税或不需要缴纳社会保障资金。供应商法定代表人或授权代表为外籍、港、澳、台地区人士的，其身份证明须提供有效的护照或港澳同胞来往内地通行证、台湾同胞来往大陆通行证，或</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可在中国大陆有效居留的许可证明。如采购的项目中有多个采购包，供应商应当按照所参与的采购包提交相应的响应文件资料，不同采购包的响应文件资料不得混用且不作为评审依据。供应商在响应文件中提交的以人事代理、控股子公司等代收代缴形式缴纳社保的证明，属于无效证明文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10、报价</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10</w:t>
      </w: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采购活动均以人民币报价。供应商的报价应遵守《中华人民共和国价格法》。同时，根据《中华人民共和国政府采购法》第二条的规定，为保证公平竞争，如有货物主体部分的赠予行为，其报价将被认定为报价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10</w:t>
      </w: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报价应包含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auto"/>
          <w:sz w:val="24"/>
          <w:szCs w:val="24"/>
          <w:highlight w:val="none"/>
        </w:rPr>
        <w:t xml:space="preserve">，以及供应商认为需要的其他费用等</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供应商所报的各分项单价在合同履行过程中是固定不变的，不得以任何理由予以变更。任何包含价格调整要求的报价，将被认定为报价无效。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lang w:val="zh-CN"/>
        </w:rPr>
        <w:t xml:space="preserve">每种货物只能有一个报价。采购人不接受具有附加条件的报价。</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11、响应文件的制作</w:t>
      </w:r>
      <w:r>
        <w:rPr>
          <w:rFonts w:ascii="宋体" w:hAnsi="宋体"/>
          <w:bCs/>
          <w:color w:val="auto"/>
          <w:sz w:val="24"/>
          <w:szCs w:val="24"/>
          <w:highlight w:val="none"/>
        </w:rPr>
        <w:t xml:space="preserve"> </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供应商所使用的计量单位应为国家法定计量单位。</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如供应商对询价通知书的相关内容有不同意见的偏离，应在响应文件中详细说明偏离的情况，如未明确作出偏离情况的说明，则视同</w:t>
      </w:r>
      <w:r>
        <w:rPr>
          <w:rFonts w:hint="eastAsia" w:ascii="宋体" w:hAnsi="宋体"/>
          <w:bCs/>
          <w:color w:val="auto"/>
          <w:sz w:val="24"/>
          <w:szCs w:val="24"/>
          <w:highlight w:val="none"/>
        </w:rPr>
        <w:t xml:space="preserve">供应商承诺实质性响应询价通知书的要求。</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不因响应文件的</w:t>
      </w:r>
      <w:r>
        <w:rPr>
          <w:rFonts w:ascii="宋体" w:hAnsi="宋体"/>
          <w:bCs/>
          <w:color w:val="auto"/>
          <w:sz w:val="24"/>
          <w:szCs w:val="24"/>
          <w:highlight w:val="none"/>
          <w:lang w:val="zh-CN"/>
        </w:rPr>
        <w:t xml:space="preserve">装订、纸张、文件排序等非实质性的格式、形式</w:t>
      </w:r>
      <w:r>
        <w:rPr>
          <w:rFonts w:hint="eastAsia" w:ascii="宋体" w:hAnsi="宋体"/>
          <w:bCs/>
          <w:color w:val="auto"/>
          <w:sz w:val="24"/>
          <w:szCs w:val="24"/>
          <w:highlight w:val="none"/>
          <w:lang w:val="zh-CN"/>
        </w:rPr>
        <w:t xml:space="preserve">而否决响应。本询价通知书中</w:t>
      </w:r>
      <w:r>
        <w:rPr>
          <w:rFonts w:ascii="宋体" w:hAnsi="宋体"/>
          <w:bCs/>
          <w:color w:val="auto"/>
          <w:sz w:val="24"/>
          <w:szCs w:val="24"/>
          <w:highlight w:val="none"/>
          <w:lang w:val="zh-CN"/>
        </w:rPr>
        <w:t xml:space="preserve">要求提供相关证明材料的，</w:t>
      </w:r>
      <w:r>
        <w:rPr>
          <w:rFonts w:hint="eastAsia" w:ascii="宋体" w:hAnsi="宋体"/>
          <w:bCs/>
          <w:color w:val="auto"/>
          <w:sz w:val="24"/>
          <w:szCs w:val="24"/>
          <w:highlight w:val="none"/>
          <w:lang w:val="zh-CN"/>
        </w:rPr>
        <w:t xml:space="preserve">原则上</w:t>
      </w:r>
      <w:r>
        <w:rPr>
          <w:rFonts w:ascii="宋体" w:hAnsi="宋体"/>
          <w:bCs/>
          <w:color w:val="auto"/>
          <w:sz w:val="24"/>
          <w:szCs w:val="24"/>
          <w:highlight w:val="none"/>
          <w:lang w:val="zh-CN"/>
        </w:rPr>
        <w:t xml:space="preserve">供应商在</w:t>
      </w:r>
      <w:r>
        <w:rPr>
          <w:rFonts w:hint="eastAsia" w:ascii="宋体" w:hAnsi="宋体"/>
          <w:bCs/>
          <w:color w:val="auto"/>
          <w:sz w:val="24"/>
          <w:szCs w:val="24"/>
          <w:highlight w:val="none"/>
          <w:lang w:val="zh-CN"/>
        </w:rPr>
        <w:t xml:space="preserve">响应文件</w:t>
      </w:r>
      <w:r>
        <w:rPr>
          <w:rFonts w:ascii="宋体" w:hAnsi="宋体"/>
          <w:bCs/>
          <w:color w:val="auto"/>
          <w:sz w:val="24"/>
          <w:szCs w:val="24"/>
          <w:highlight w:val="none"/>
          <w:lang w:val="zh-CN"/>
        </w:rPr>
        <w:t xml:space="preserve">中提交相关证明材料原件扫描件</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若供应商无法提供原件扫描件的，可以以电子照片、截图等其他方式提供。无论以何种方式提供的证明材料，彩色、黑白均认可，但必须保证证明材料的清晰完整、真实有效，</w:t>
      </w:r>
      <w:bookmarkStart w:id="45" w:name="_Hlk166503431"/>
      <w:r>
        <w:rPr>
          <w:rFonts w:ascii="宋体" w:hAnsi="宋体"/>
          <w:bCs/>
          <w:color w:val="auto"/>
          <w:sz w:val="24"/>
          <w:szCs w:val="24"/>
          <w:highlight w:val="none"/>
          <w:lang w:val="zh-CN"/>
        </w:rPr>
        <w:t xml:space="preserve">否则由供应商</w:t>
      </w:r>
      <w:r>
        <w:rPr>
          <w:rFonts w:hint="eastAsia" w:ascii="宋体" w:hAnsi="宋体"/>
          <w:bCs/>
          <w:color w:val="auto"/>
          <w:sz w:val="24"/>
          <w:szCs w:val="24"/>
          <w:highlight w:val="none"/>
          <w:lang w:val="zh-CN"/>
        </w:rPr>
        <w:t xml:space="preserve">自行承担证明材料被判定为无效的风险</w:t>
      </w:r>
      <w:r>
        <w:rPr>
          <w:rFonts w:ascii="宋体" w:hAnsi="宋体"/>
          <w:bCs/>
          <w:color w:val="auto"/>
          <w:sz w:val="24"/>
          <w:szCs w:val="24"/>
          <w:highlight w:val="none"/>
          <w:lang w:val="zh-CN"/>
        </w:rPr>
        <w:t xml:space="preserve">。</w:t>
      </w:r>
      <w:bookmarkEnd w:id="45"/>
      <w:r/>
      <w:bookmarkStart w:id="46" w:name="_Hlk166502923"/>
      <w:r/>
      <w:bookmarkStart w:id="47" w:name="_Hlk160719877"/>
      <w:r>
        <w:rPr>
          <w:rFonts w:hint="eastAsia" w:ascii="宋体" w:hAnsi="宋体"/>
          <w:bCs/>
          <w:color w:val="auto"/>
          <w:sz w:val="24"/>
          <w:szCs w:val="24"/>
          <w:highlight w:val="none"/>
          <w:lang w:val="zh-CN"/>
        </w:rPr>
        <w:t xml:space="preserve">供应商提供的相关材料中的相关名称、表述等与采购需求、评审标准不一致，询价小组认为其实质相同的视作等同。</w:t>
      </w:r>
      <w:bookmarkEnd w:id="46"/>
      <w:r>
        <w:rPr>
          <w:rFonts w:hint="eastAsia" w:ascii="宋体" w:hAnsi="宋体"/>
          <w:bCs/>
          <w:color w:val="auto"/>
          <w:sz w:val="24"/>
          <w:szCs w:val="24"/>
          <w:highlight w:val="none"/>
          <w:lang w:val="zh-CN"/>
        </w:rPr>
        <w:t xml:space="preserve">若供应商提交的响应文件格式与询价通知书中的不一致，但必要的评审所需信息不影响评审判断的，视为符合要求，否则报价无效。</w:t>
      </w:r>
      <w:bookmarkEnd w:id="47"/>
      <w:r/>
      <w:r/>
    </w:p>
    <w:p>
      <w:pPr>
        <w:ind w:firstLine="480"/>
        <w:jc w:val="left"/>
        <w:spacing w:line="360" w:lineRule="auto"/>
        <w:rPr>
          <w:rFonts w:ascii="宋体" w:hAnsi="宋体"/>
          <w:bCs/>
          <w:color w:val="auto"/>
          <w:sz w:val="24"/>
          <w:szCs w:val="24"/>
          <w:highlight w:val="none"/>
        </w:rPr>
      </w:pPr>
      <w:r/>
      <w:bookmarkStart w:id="48" w:name="_Hlk166139223"/>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1.5</w:t>
      </w:r>
      <w:r>
        <w:rPr>
          <w:rFonts w:hint="eastAsia" w:ascii="宋体" w:hAnsi="宋体"/>
          <w:bCs/>
          <w:color w:val="auto"/>
          <w:sz w:val="24"/>
          <w:szCs w:val="24"/>
          <w:highlight w:val="none"/>
          <w:lang w:val="zh-CN"/>
        </w:rPr>
        <w:t xml:space="preserve">供应商提交的响应文件中</w:t>
      </w:r>
      <w:r>
        <w:rPr>
          <w:rFonts w:hint="eastAsia" w:ascii="宋体" w:hAnsi="宋体"/>
          <w:bCs/>
          <w:color w:val="auto"/>
          <w:sz w:val="24"/>
          <w:szCs w:val="24"/>
          <w:highlight w:val="none"/>
        </w:rPr>
        <w:t xml:space="preserve">不得修改本次采购的货物名称、数量。</w:t>
      </w:r>
      <w:bookmarkEnd w:id="48"/>
      <w:r/>
      <w:r/>
    </w:p>
    <w:p>
      <w:pPr>
        <w:ind w:firstLine="480"/>
        <w:jc w:val="left"/>
        <w:spacing w:line="360" w:lineRule="auto"/>
        <w:rPr>
          <w:bCs/>
          <w:color w:val="auto"/>
          <w:highlight w:val="none"/>
        </w:rPr>
      </w:pPr>
      <w:r/>
      <w:bookmarkStart w:id="49" w:name="_Hlk144474413"/>
      <w:r>
        <w:rPr>
          <w:rFonts w:hint="eastAsia" w:ascii="宋体" w:hAnsi="宋体"/>
          <w:bCs/>
          <w:color w:val="auto"/>
          <w:sz w:val="24"/>
          <w:szCs w:val="24"/>
          <w:highlight w:val="none"/>
          <w:lang w:val="zh-CN"/>
        </w:rPr>
        <w:t xml:space="preserve">1</w:t>
      </w:r>
      <w:r>
        <w:rPr>
          <w:rFonts w:ascii="宋体" w:hAnsi="宋体"/>
          <w:bCs/>
          <w:color w:val="auto"/>
          <w:sz w:val="24"/>
          <w:szCs w:val="24"/>
          <w:highlight w:val="none"/>
          <w:lang w:val="zh-CN"/>
        </w:rPr>
        <w:t xml:space="preserve">1.</w:t>
      </w:r>
      <w:r>
        <w:rPr>
          <w:rFonts w:hint="eastAsia" w:ascii="宋体" w:hAnsi="宋体"/>
          <w:bCs/>
          <w:color w:val="auto"/>
          <w:sz w:val="24"/>
          <w:szCs w:val="24"/>
          <w:highlight w:val="none"/>
          <w:lang w:val="zh-CN"/>
        </w:rPr>
        <w:t xml:space="preserve">6供应商提交的响应文件中加盖的公章，均视为经供应商法定代表人同意或授权。</w:t>
      </w:r>
      <w:bookmarkEnd w:id="49"/>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、电子响应文件</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12.1 </w:t>
      </w:r>
      <w:r>
        <w:rPr>
          <w:rFonts w:hint="eastAsia" w:ascii="宋体" w:hAnsi="宋体"/>
          <w:bCs/>
          <w:color w:val="auto"/>
          <w:sz w:val="24"/>
          <w:szCs w:val="24"/>
          <w:highlight w:val="none"/>
        </w:rPr>
        <w:t xml:space="preserve">供应商应通过响应文件制作软件使用数字认证证书对响应文件进行合成、电子签章及加密打包，并</w:t>
      </w:r>
      <w:r>
        <w:rPr>
          <w:rFonts w:ascii="宋体" w:hAnsi="宋体"/>
          <w:bCs/>
          <w:color w:val="auto"/>
          <w:sz w:val="24"/>
          <w:szCs w:val="24"/>
          <w:highlight w:val="none"/>
        </w:rPr>
        <w:t xml:space="preserve">在</w:t>
      </w:r>
      <w:r>
        <w:rPr>
          <w:rFonts w:hint="eastAsia" w:ascii="宋体" w:hAnsi="宋体"/>
          <w:bCs/>
          <w:color w:val="auto"/>
          <w:sz w:val="24"/>
          <w:szCs w:val="24"/>
          <w:highlight w:val="none"/>
        </w:rPr>
        <w:t xml:space="preserve">询价通知书</w:t>
      </w:r>
      <w:r>
        <w:rPr>
          <w:rFonts w:ascii="宋体" w:hAnsi="宋体"/>
          <w:bCs/>
          <w:color w:val="auto"/>
          <w:sz w:val="24"/>
          <w:szCs w:val="24"/>
          <w:highlight w:val="none"/>
        </w:rPr>
        <w:t xml:space="preserve">规定的截止时间前，通过</w:t>
      </w:r>
      <w:r>
        <w:rPr>
          <w:rFonts w:hint="eastAsia" w:ascii="宋体" w:hAnsi="宋体"/>
          <w:bCs/>
          <w:color w:val="auto"/>
          <w:sz w:val="24"/>
          <w:szCs w:val="24"/>
          <w:highlight w:val="none"/>
        </w:rPr>
        <w:t xml:space="preserve">响应文件</w:t>
      </w:r>
      <w:r>
        <w:rPr>
          <w:rFonts w:ascii="宋体" w:hAnsi="宋体"/>
          <w:bCs/>
          <w:color w:val="auto"/>
          <w:sz w:val="24"/>
          <w:szCs w:val="24"/>
          <w:highlight w:val="none"/>
        </w:rPr>
        <w:t xml:space="preserve">编制软件或登录“苏采云”系统在规定时间内完成提交，时间以电子交易平台时间为准。</w:t>
      </w:r>
      <w:r>
        <w:rPr>
          <w:rFonts w:hint="eastAsia" w:ascii="宋体" w:hAnsi="宋体"/>
          <w:bCs/>
          <w:color w:val="auto"/>
          <w:sz w:val="24"/>
          <w:szCs w:val="24"/>
          <w:highlight w:val="none"/>
        </w:rPr>
        <w:t xml:space="preserve">具体流程如下：</w:t>
      </w:r>
      <w:r>
        <w:rPr>
          <w:rFonts w:hint="eastAsia" w:ascii="宋体" w:hAnsi="宋体"/>
          <w:bCs/>
          <w:color w:val="auto"/>
          <w:sz w:val="24"/>
          <w:szCs w:val="24"/>
          <w:highlight w:val="none"/>
          <w:lang w:val="zh-CN"/>
        </w:rPr>
        <w:t xml:space="preserve">将后缀名为“kedt”的询价通知书导入政府采购客户端工具－－制作响应文件－－导出加密的响应文件（后缀名为zip） --通过“苏采云”系统上传响应文件。（详见《江苏省政府采购交易系统（苏采云）供应商操作手册》）</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12.2 截止时间以后传输的</w:t>
      </w:r>
      <w:r>
        <w:rPr>
          <w:rFonts w:hint="eastAsia" w:ascii="宋体" w:hAnsi="宋体"/>
          <w:bCs/>
          <w:color w:val="auto"/>
          <w:sz w:val="24"/>
          <w:szCs w:val="24"/>
          <w:highlight w:val="none"/>
        </w:rPr>
        <w:t xml:space="preserve">响应文件</w:t>
      </w:r>
      <w:r>
        <w:rPr>
          <w:rFonts w:ascii="宋体" w:hAnsi="宋体"/>
          <w:bCs/>
          <w:color w:val="auto"/>
          <w:sz w:val="24"/>
          <w:szCs w:val="24"/>
          <w:highlight w:val="none"/>
        </w:rPr>
        <w:t xml:space="preserve">，“苏采云”平台将拒绝接收。供应商应充分考虑网络环境、网络带宽等风险因素。 </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12.3 提交完成后至解密前，供应商不能对加密响应文件时所使用的数字认证证书进行更新、续费，否则可能引起的</w:t>
      </w:r>
      <w:r>
        <w:rPr>
          <w:rFonts w:hint="eastAsia" w:ascii="宋体" w:hAnsi="宋体"/>
          <w:bCs/>
          <w:color w:val="auto"/>
          <w:sz w:val="24"/>
          <w:szCs w:val="24"/>
          <w:highlight w:val="none"/>
        </w:rPr>
        <w:t xml:space="preserve">响应文件</w:t>
      </w:r>
      <w:r>
        <w:rPr>
          <w:rFonts w:ascii="宋体" w:hAnsi="宋体"/>
          <w:bCs/>
          <w:color w:val="auto"/>
          <w:sz w:val="24"/>
          <w:szCs w:val="24"/>
          <w:highlight w:val="none"/>
        </w:rPr>
        <w:t xml:space="preserve">解密失败等相关后果由供应商自行承担（友情提示：若</w:t>
      </w:r>
      <w:r>
        <w:rPr>
          <w:rFonts w:hint="eastAsia" w:ascii="宋体" w:hAnsi="宋体"/>
          <w:bCs/>
          <w:color w:val="auto"/>
          <w:sz w:val="24"/>
          <w:szCs w:val="24"/>
          <w:highlight w:val="none"/>
        </w:rPr>
        <w:t xml:space="preserve">供应商</w:t>
      </w:r>
      <w:r>
        <w:rPr>
          <w:rFonts w:ascii="宋体" w:hAnsi="宋体"/>
          <w:bCs/>
          <w:color w:val="auto"/>
          <w:sz w:val="24"/>
          <w:szCs w:val="24"/>
          <w:highlight w:val="none"/>
        </w:rPr>
        <w:t xml:space="preserve">已领取副锁（含多把副锁）请注意正副锁的使用差别）。 </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12.4 因不可抗力事件造成的（线上、线下）响应文件的损坏、丢失的，采购代理不承担责任。</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、响应文件的拒收：在询价通知书要求提交响应文件的截止时间之后提交的响应文件将被拒收。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、响应文件的真实性</w:t>
      </w:r>
      <w:r/>
    </w:p>
    <w:p>
      <w:pPr>
        <w:ind w:firstLine="480"/>
        <w:jc w:val="left"/>
        <w:spacing w:line="360" w:lineRule="auto"/>
        <w:rPr>
          <w:rFonts w:ascii="宋体" w:hAnsi="宋体"/>
          <w:bCs/>
          <w:color w:val="auto"/>
          <w:sz w:val="24"/>
          <w:szCs w:val="28"/>
          <w:highlight w:val="none"/>
        </w:rPr>
      </w:pPr>
      <w:r>
        <w:rPr>
          <w:rFonts w:hint="eastAsia" w:ascii="宋体" w:hAnsi="宋体"/>
          <w:bCs/>
          <w:color w:val="auto"/>
          <w:sz w:val="24"/>
          <w:szCs w:val="28"/>
          <w:highlight w:val="none"/>
        </w:rPr>
        <w:t xml:space="preserve">1</w:t>
      </w:r>
      <w:r>
        <w:rPr>
          <w:rFonts w:ascii="宋体" w:hAnsi="宋体"/>
          <w:bCs/>
          <w:color w:val="auto"/>
          <w:sz w:val="24"/>
          <w:szCs w:val="28"/>
          <w:highlight w:val="none"/>
        </w:rPr>
        <w:t xml:space="preserve">4</w:t>
      </w:r>
      <w:r>
        <w:rPr>
          <w:rFonts w:hint="eastAsia" w:ascii="宋体" w:hAnsi="宋体"/>
          <w:bCs/>
          <w:color w:val="auto"/>
          <w:sz w:val="24"/>
          <w:szCs w:val="28"/>
          <w:highlight w:val="none"/>
        </w:rPr>
        <w:t xml:space="preserve">.1 供应商（含成交供应商）应对其响应文件中提供的所有材料的真实性负责。</w:t>
      </w:r>
      <w:r/>
    </w:p>
    <w:p>
      <w:pPr>
        <w:ind w:firstLine="480"/>
        <w:jc w:val="left"/>
        <w:spacing w:line="360" w:lineRule="auto"/>
        <w:rPr>
          <w:rFonts w:ascii="宋体" w:hAnsi="宋体"/>
          <w:bCs/>
          <w:color w:val="auto"/>
          <w:sz w:val="24"/>
          <w:szCs w:val="28"/>
          <w:highlight w:val="none"/>
        </w:rPr>
      </w:pPr>
      <w:r>
        <w:rPr>
          <w:rFonts w:hint="eastAsia" w:ascii="宋体" w:hAnsi="宋体"/>
          <w:bCs/>
          <w:color w:val="auto"/>
          <w:sz w:val="24"/>
          <w:szCs w:val="28"/>
          <w:highlight w:val="none"/>
        </w:rPr>
        <w:t xml:space="preserve">1</w:t>
      </w:r>
      <w:r>
        <w:rPr>
          <w:rFonts w:ascii="宋体" w:hAnsi="宋体"/>
          <w:bCs/>
          <w:color w:val="auto"/>
          <w:sz w:val="24"/>
          <w:szCs w:val="28"/>
          <w:highlight w:val="none"/>
        </w:rPr>
        <w:t xml:space="preserve">4</w:t>
      </w:r>
      <w:r>
        <w:rPr>
          <w:rFonts w:hint="eastAsia" w:ascii="宋体" w:hAnsi="宋体"/>
          <w:bCs/>
          <w:color w:val="auto"/>
          <w:sz w:val="24"/>
          <w:szCs w:val="28"/>
          <w:highlight w:val="none"/>
        </w:rPr>
        <w:t xml:space="preserve">.2 如采购人、采购代理机构、询价小组视情况或根据各项</w:t>
      </w:r>
      <w:r>
        <w:rPr>
          <w:rFonts w:hint="eastAsia" w:ascii="宋体" w:hAnsi="宋体"/>
          <w:bCs/>
          <w:color w:val="auto"/>
          <w:sz w:val="24"/>
          <w:szCs w:val="28"/>
          <w:highlight w:val="none"/>
          <w:lang w:eastAsia="zh-CN"/>
        </w:rPr>
        <w:t xml:space="preserve">法律法规</w:t>
      </w:r>
      <w:r>
        <w:rPr>
          <w:rFonts w:hint="eastAsia" w:ascii="宋体" w:hAnsi="宋体"/>
          <w:bCs/>
          <w:color w:val="auto"/>
          <w:sz w:val="24"/>
          <w:szCs w:val="28"/>
          <w:highlight w:val="none"/>
        </w:rPr>
        <w:t xml:space="preserve">、规章及相关制度的规定，要求供应商（含成交供应商）提供响应文件中某材料的原件、其他相关证明性资料等材料，供应商（含成交供应商）应按照规定的时间、内容、数量等相关要求，予以提供原件、相关证明性资料等材料。如供应商（含成交供应商）未能按照以上要求予以提供的，将视同该供应商（含成交供应商）无该材料的原件、相关证明性资料等材料，则供应商（含成交供应商）的响应文件在该材料上未实质性响应（满足）询价通知书的要求。</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15、响应文件的有效期</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15.1 响应文件的有效期为提交响应文件截止之日起的60天</w:t>
      </w:r>
      <w:r>
        <w:rPr>
          <w:rFonts w:hint="eastAsia" w:ascii="宋体" w:hAnsi="宋体"/>
          <w:bCs/>
          <w:color w:val="auto"/>
          <w:sz w:val="24"/>
          <w:highlight w:val="none"/>
          <w:lang w:val="zh-CN"/>
        </w:rPr>
        <w:t xml:space="preserve">（含截止当日）</w:t>
      </w:r>
      <w:r>
        <w:rPr>
          <w:rFonts w:hint="eastAsia" w:ascii="宋体" w:hAnsi="宋体"/>
          <w:bCs/>
          <w:color w:val="auto"/>
          <w:sz w:val="24"/>
          <w:szCs w:val="24"/>
          <w:highlight w:val="none"/>
        </w:rPr>
        <w:t xml:space="preserve">。在特殊情况下，采购人、采购代理机构可与供应商协商延长响应文件的有效期。</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16、响应文件的退还</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16.1 </w:t>
      </w:r>
      <w:r>
        <w:rPr>
          <w:rFonts w:hint="eastAsia" w:ascii="宋体" w:hAnsi="宋体"/>
          <w:bCs/>
          <w:color w:val="auto"/>
          <w:sz w:val="24"/>
          <w:szCs w:val="24"/>
          <w:highlight w:val="none"/>
          <w:lang w:val="zh-CN"/>
        </w:rPr>
        <w:t xml:space="preserve">提交响应文件截止时间</w:t>
      </w:r>
      <w:r>
        <w:rPr>
          <w:rFonts w:hint="eastAsia" w:ascii="宋体" w:hAnsi="宋体"/>
          <w:bCs/>
          <w:color w:val="auto"/>
          <w:sz w:val="24"/>
          <w:szCs w:val="24"/>
          <w:highlight w:val="none"/>
        </w:rPr>
        <w:t xml:space="preserve">后，采购人和采购代理机构对所有供应商的响应文件一律不予退还。</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17、响应文件的</w:t>
      </w:r>
      <w:bookmarkStart w:id="50" w:name="OLE_LINK260"/>
      <w:r>
        <w:rPr>
          <w:rFonts w:hint="eastAsia" w:ascii="宋体" w:hAnsi="宋体"/>
          <w:bCs/>
          <w:color w:val="auto"/>
          <w:sz w:val="24"/>
          <w:szCs w:val="24"/>
          <w:highlight w:val="none"/>
        </w:rPr>
        <w:t xml:space="preserve">补充、修改或者撤回</w:t>
      </w:r>
      <w:bookmarkEnd w:id="50"/>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17.1</w:t>
      </w:r>
      <w:r>
        <w:rPr>
          <w:rFonts w:hint="eastAsia" w:ascii="宋体" w:hAnsi="宋体"/>
          <w:bCs/>
          <w:color w:val="auto"/>
          <w:sz w:val="24"/>
          <w:szCs w:val="24"/>
          <w:highlight w:val="none"/>
          <w:lang w:val="zh-CN"/>
        </w:rPr>
        <w:t xml:space="preserve"> 供应商在提交响应文件截止时间前，可以对所提交的响应文件进行补充、修改或撤回。补充、修改的内容应当按照询价通知书要求签署、盖章后，并作为响应文件的组成部分。</w:t>
      </w:r>
      <w:r/>
    </w:p>
    <w:p>
      <w:pPr>
        <w:ind w:firstLine="480"/>
        <w:jc w:val="left"/>
        <w:spacing w:line="360" w:lineRule="auto"/>
        <w:rPr>
          <w:rFonts w:ascii="宋体" w:hAnsi="宋体"/>
          <w:bCs/>
          <w:color w:val="auto"/>
          <w:sz w:val="24"/>
          <w:szCs w:val="24"/>
          <w:highlight w:val="none"/>
          <w:lang w:val="zh-CN"/>
        </w:rPr>
      </w:pPr>
      <w:r/>
      <w:bookmarkStart w:id="51" w:name="OLE_LINK295"/>
      <w:r>
        <w:rPr>
          <w:rFonts w:hint="eastAsia" w:ascii="宋体" w:hAnsi="宋体"/>
          <w:bCs/>
          <w:color w:val="auto"/>
          <w:sz w:val="24"/>
          <w:szCs w:val="24"/>
          <w:highlight w:val="none"/>
        </w:rPr>
        <w:t xml:space="preserve">17.2 在</w:t>
      </w:r>
      <w:r>
        <w:rPr>
          <w:rFonts w:hint="eastAsia" w:ascii="宋体" w:hAnsi="宋体"/>
          <w:bCs/>
          <w:color w:val="auto"/>
          <w:sz w:val="24"/>
          <w:szCs w:val="24"/>
          <w:highlight w:val="none"/>
          <w:lang w:val="zh-CN"/>
        </w:rPr>
        <w:t xml:space="preserve">提交响应文件截止时间</w:t>
      </w:r>
      <w:r>
        <w:rPr>
          <w:rFonts w:hint="eastAsia" w:ascii="宋体" w:hAnsi="宋体"/>
          <w:bCs/>
          <w:color w:val="auto"/>
          <w:sz w:val="24"/>
          <w:szCs w:val="24"/>
          <w:highlight w:val="none"/>
        </w:rPr>
        <w:t xml:space="preserve">之后，采购人、采购代理机构、询价小组不接受供应商主动对其响应文件做任何补充、修改。</w:t>
      </w:r>
      <w:bookmarkEnd w:id="51"/>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18、</w:t>
      </w:r>
      <w:r>
        <w:rPr>
          <w:rFonts w:hint="eastAsia" w:ascii="宋体" w:hAnsi="宋体"/>
          <w:bCs/>
          <w:color w:val="auto"/>
          <w:sz w:val="24"/>
          <w:szCs w:val="24"/>
          <w:highlight w:val="none"/>
          <w:lang w:val="zh-CN"/>
        </w:rPr>
        <w:t xml:space="preserve">报价无效的确认</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 xml:space="preserve">供应商有下列情况之一者，其报价无效：</w:t>
      </w:r>
      <w:r/>
    </w:p>
    <w:p>
      <w:pPr>
        <w:numPr>
          <w:ilvl w:val="0"/>
          <w:numId w:val="4"/>
        </w:numPr>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color w:val="auto"/>
          <w:sz w:val="24"/>
          <w:szCs w:val="24"/>
          <w:highlight w:val="none"/>
        </w:rPr>
        <w:t xml:space="preserve">响应文件未按</w:t>
      </w:r>
      <w:r>
        <w:rPr>
          <w:rFonts w:hint="eastAsia" w:ascii="宋体" w:hAnsi="宋体" w:cs="宋体"/>
          <w:bCs/>
          <w:color w:val="auto"/>
          <w:sz w:val="24"/>
          <w:szCs w:val="24"/>
          <w:highlight w:val="none"/>
        </w:rPr>
        <w:t xml:space="preserve">询价通知书规定签署或盖章的；</w:t>
      </w:r>
      <w:r/>
    </w:p>
    <w:p>
      <w:pPr>
        <w:numPr>
          <w:ilvl w:val="0"/>
          <w:numId w:val="4"/>
        </w:numPr>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不具备询价通知书中“供应商参加本次政府采购活动</w:t>
      </w:r>
      <w:r>
        <w:rPr>
          <w:rFonts w:hint="eastAsia" w:ascii="宋体" w:hAnsi="宋体" w:cs="宋体"/>
          <w:bCs/>
          <w:color w:val="auto"/>
          <w:sz w:val="24"/>
          <w:szCs w:val="24"/>
          <w:highlight w:val="none"/>
          <w:lang w:val="zh-CN"/>
        </w:rPr>
        <w:t xml:space="preserve">应具备的资格条件</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lang w:val="zh-CN"/>
        </w:rPr>
        <w:t xml:space="preserve">或未按询价通知书规定的要求提供有效资格证明文件的；</w:t>
      </w:r>
      <w:r/>
    </w:p>
    <w:p>
      <w:pPr>
        <w:numPr>
          <w:ilvl w:val="0"/>
          <w:numId w:val="4"/>
        </w:numPr>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响应文件中有</w:t>
      </w:r>
      <w:r>
        <w:rPr>
          <w:rFonts w:hint="eastAsia" w:ascii="宋体" w:hAnsi="宋体" w:cs="宋体"/>
          <w:bCs/>
          <w:color w:val="auto"/>
          <w:sz w:val="24"/>
          <w:szCs w:val="24"/>
          <w:highlight w:val="none"/>
        </w:rPr>
        <w:t xml:space="preserve">询价通知书</w:t>
      </w:r>
      <w:r>
        <w:rPr>
          <w:rFonts w:hint="eastAsia" w:ascii="宋体" w:hAnsi="宋体"/>
          <w:bCs/>
          <w:color w:val="auto"/>
          <w:sz w:val="24"/>
          <w:szCs w:val="24"/>
          <w:highlight w:val="none"/>
        </w:rPr>
        <w:t xml:space="preserve">未允许提供的选择性内容的；</w:t>
      </w:r>
      <w:r/>
    </w:p>
    <w:p>
      <w:pPr>
        <w:numPr>
          <w:ilvl w:val="0"/>
          <w:numId w:val="4"/>
        </w:numPr>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响应文件含有采购人不能接受的附加条件的；</w:t>
      </w:r>
      <w:r/>
    </w:p>
    <w:p>
      <w:pPr>
        <w:numPr>
          <w:ilvl w:val="0"/>
          <w:numId w:val="4"/>
        </w:numPr>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报价</w:t>
      </w:r>
      <w:r>
        <w:rPr>
          <w:rFonts w:hint="eastAsia" w:ascii="宋体" w:hAnsi="宋体" w:cs="宋体"/>
          <w:bCs/>
          <w:color w:val="auto"/>
          <w:sz w:val="24"/>
          <w:szCs w:val="24"/>
          <w:highlight w:val="none"/>
        </w:rPr>
        <w:t xml:space="preserve">超过询价通知书中规定的项目</w:t>
      </w:r>
      <w:r>
        <w:rPr>
          <w:rFonts w:hint="eastAsia" w:ascii="宋体" w:hAnsi="宋体"/>
          <w:bCs/>
          <w:color w:val="auto"/>
          <w:sz w:val="24"/>
          <w:szCs w:val="24"/>
          <w:highlight w:val="none"/>
        </w:rPr>
        <w:t xml:space="preserve">（或采购包）</w:t>
      </w:r>
      <w:r>
        <w:rPr>
          <w:rFonts w:hint="eastAsia" w:ascii="宋体" w:hAnsi="宋体" w:cs="宋体"/>
          <w:bCs/>
          <w:color w:val="auto"/>
          <w:sz w:val="24"/>
          <w:szCs w:val="24"/>
          <w:highlight w:val="none"/>
        </w:rPr>
        <w:t xml:space="preserve">预算金额或者最高限价的</w:t>
      </w:r>
      <w:r>
        <w:rPr>
          <w:rFonts w:hint="eastAsia" w:ascii="宋体" w:hAnsi="宋体" w:cs="宋体"/>
          <w:bCs/>
          <w:color w:val="auto"/>
          <w:sz w:val="24"/>
          <w:szCs w:val="24"/>
          <w:highlight w:val="none"/>
          <w:lang w:val="zh-CN"/>
        </w:rPr>
        <w:t xml:space="preserve">；</w:t>
      </w:r>
      <w:r/>
    </w:p>
    <w:p>
      <w:pPr>
        <w:numPr>
          <w:ilvl w:val="0"/>
          <w:numId w:val="4"/>
        </w:numPr>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响应文件报价</w:t>
      </w:r>
      <w:r>
        <w:rPr>
          <w:rFonts w:hint="eastAsia" w:ascii="宋体" w:hAnsi="宋体" w:cs="宋体"/>
          <w:bCs/>
          <w:color w:val="auto"/>
          <w:sz w:val="24"/>
          <w:szCs w:val="24"/>
          <w:highlight w:val="none"/>
        </w:rPr>
        <w:t xml:space="preserve">出现前后不一致，且供应商拒绝修正的；</w:t>
      </w:r>
      <w:r/>
    </w:p>
    <w:p>
      <w:pPr>
        <w:numPr>
          <w:ilvl w:val="0"/>
          <w:numId w:val="4"/>
        </w:numPr>
        <w:jc w:val="left"/>
        <w:spacing w:line="360" w:lineRule="auto"/>
        <w:tabs>
          <w:tab w:val="left" w:pos="425" w:leader="none"/>
        </w:tabs>
        <w:rPr>
          <w:rFonts w:ascii="宋体" w:hAnsi="宋体" w:cs="宋体"/>
          <w:b w:val="0"/>
          <w:bCs/>
          <w:color w:val="auto"/>
          <w:sz w:val="24"/>
          <w:szCs w:val="24"/>
          <w:highlight w:val="none"/>
          <w:lang w:val="zh-CN"/>
        </w:rPr>
      </w:pPr>
      <w:r>
        <w:rPr>
          <w:rFonts w:hint="eastAsia" w:ascii="宋体" w:hAnsi="宋体" w:cs="宋体"/>
          <w:b w:val="0"/>
          <w:bCs/>
          <w:color w:val="auto"/>
          <w:sz w:val="24"/>
          <w:szCs w:val="24"/>
          <w:highlight w:val="none"/>
        </w:rPr>
        <w:t xml:space="preserve">询价小组认为供应商的报价明显低于其他通过符合性审查供应商的报价，有可能影响产品质量或者不能诚信履约，且供应商不能证明其报价合理性的；</w:t>
      </w:r>
      <w:r/>
    </w:p>
    <w:p>
      <w:pPr>
        <w:numPr>
          <w:ilvl w:val="0"/>
          <w:numId w:val="4"/>
        </w:numPr>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属于询价通知</w:t>
      </w:r>
      <w:r>
        <w:rPr>
          <w:rFonts w:hint="eastAsia" w:ascii="宋体" w:hAnsi="宋体"/>
          <w:bCs/>
          <w:color w:val="auto"/>
          <w:sz w:val="24"/>
          <w:szCs w:val="24"/>
          <w:highlight w:val="none"/>
          <w:lang w:eastAsia="zh-CN"/>
        </w:rPr>
        <w:t xml:space="preserve">书中</w:t>
      </w:r>
      <w:r>
        <w:rPr>
          <w:rFonts w:hint="eastAsia" w:ascii="宋体" w:hAnsi="宋体"/>
          <w:bCs/>
          <w:color w:val="auto"/>
          <w:sz w:val="24"/>
          <w:szCs w:val="24"/>
          <w:highlight w:val="none"/>
        </w:rPr>
        <w:t xml:space="preserve">“不得参加本次采购活动”的供应商的；</w:t>
      </w:r>
      <w:r/>
    </w:p>
    <w:p>
      <w:pPr>
        <w:numPr>
          <w:ilvl w:val="0"/>
          <w:numId w:val="4"/>
        </w:numPr>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与其他供应商串通报价的，包括但不限于以下几种情况：</w:t>
      </w:r>
      <w:r/>
    </w:p>
    <w:p>
      <w:pPr>
        <w:numPr>
          <w:ilvl w:val="0"/>
          <w:numId w:val="5"/>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不同供应商的响应文件由同一单位或者个人编制</w:t>
      </w:r>
      <w:r>
        <w:rPr>
          <w:rFonts w:hint="eastAsia" w:ascii="宋体" w:hAnsi="宋体"/>
          <w:bCs/>
          <w:color w:val="auto"/>
          <w:sz w:val="24"/>
          <w:szCs w:val="24"/>
          <w:highlight w:val="none"/>
          <w:lang w:val="zh-CN"/>
        </w:rPr>
        <w:t xml:space="preserve">；</w:t>
      </w:r>
      <w:r/>
    </w:p>
    <w:p>
      <w:pPr>
        <w:numPr>
          <w:ilvl w:val="0"/>
          <w:numId w:val="5"/>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不同供应商委托同一单位或者个人办理报价事宜</w:t>
      </w:r>
      <w:r>
        <w:rPr>
          <w:rFonts w:hint="eastAsia" w:ascii="宋体" w:hAnsi="宋体"/>
          <w:bCs/>
          <w:color w:val="auto"/>
          <w:sz w:val="24"/>
          <w:szCs w:val="24"/>
          <w:highlight w:val="none"/>
          <w:lang w:val="zh-CN"/>
        </w:rPr>
        <w:t xml:space="preserve">；</w:t>
      </w:r>
      <w:r/>
    </w:p>
    <w:p>
      <w:pPr>
        <w:numPr>
          <w:ilvl w:val="0"/>
          <w:numId w:val="5"/>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不同供应商的响应文件载明的项目管理成员或者联系人员为同一人</w:t>
      </w:r>
      <w:r>
        <w:rPr>
          <w:rFonts w:hint="eastAsia" w:ascii="宋体" w:hAnsi="宋体"/>
          <w:bCs/>
          <w:color w:val="auto"/>
          <w:sz w:val="24"/>
          <w:szCs w:val="24"/>
          <w:highlight w:val="none"/>
          <w:lang w:val="zh-CN"/>
        </w:rPr>
        <w:t xml:space="preserve">；</w:t>
      </w:r>
      <w:r/>
    </w:p>
    <w:p>
      <w:pPr>
        <w:numPr>
          <w:ilvl w:val="0"/>
          <w:numId w:val="5"/>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不同供应商的响应文件异常一致或者报价呈规律性差异</w:t>
      </w:r>
      <w:r>
        <w:rPr>
          <w:rFonts w:hint="eastAsia" w:ascii="宋体" w:hAnsi="宋体"/>
          <w:bCs/>
          <w:color w:val="auto"/>
          <w:sz w:val="24"/>
          <w:szCs w:val="24"/>
          <w:highlight w:val="none"/>
          <w:lang w:val="zh-CN"/>
        </w:rPr>
        <w:t xml:space="preserve">；</w:t>
      </w:r>
      <w:r/>
    </w:p>
    <w:p>
      <w:pPr>
        <w:numPr>
          <w:ilvl w:val="0"/>
          <w:numId w:val="5"/>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不同供应商的响应文件相互混装</w:t>
      </w:r>
      <w:r>
        <w:rPr>
          <w:rFonts w:hint="eastAsia" w:ascii="宋体" w:hAnsi="宋体"/>
          <w:bCs/>
          <w:color w:val="auto"/>
          <w:sz w:val="24"/>
          <w:szCs w:val="24"/>
          <w:highlight w:val="none"/>
          <w:lang w:val="zh-CN"/>
        </w:rPr>
        <w:t xml:space="preserve">。</w:t>
      </w:r>
      <w:r/>
    </w:p>
    <w:p>
      <w:pPr>
        <w:numPr>
          <w:ilvl w:val="0"/>
          <w:numId w:val="4"/>
        </w:numPr>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提供虚假材料</w:t>
      </w:r>
      <w:bookmarkStart w:id="52" w:name="OLE_LINK137"/>
      <w:r>
        <w:rPr>
          <w:rFonts w:hint="eastAsia" w:ascii="宋体" w:hAnsi="宋体" w:cs="宋体"/>
          <w:bCs/>
          <w:color w:val="auto"/>
          <w:sz w:val="24"/>
          <w:szCs w:val="24"/>
          <w:highlight w:val="none"/>
          <w:lang w:val="zh-CN"/>
        </w:rPr>
        <w:t xml:space="preserve">（含虚假承诺）</w:t>
      </w:r>
      <w:bookmarkEnd w:id="52"/>
      <w:r>
        <w:rPr>
          <w:rFonts w:hint="eastAsia" w:ascii="宋体" w:hAnsi="宋体" w:cs="宋体"/>
          <w:bCs/>
          <w:color w:val="auto"/>
          <w:sz w:val="24"/>
          <w:szCs w:val="24"/>
          <w:highlight w:val="none"/>
          <w:lang w:val="zh-CN"/>
        </w:rPr>
        <w:t xml:space="preserve">的；</w:t>
      </w:r>
      <w:r/>
    </w:p>
    <w:p>
      <w:pPr>
        <w:numPr>
          <w:ilvl w:val="0"/>
          <w:numId w:val="4"/>
        </w:numPr>
        <w:jc w:val="left"/>
        <w:spacing w:line="360" w:lineRule="auto"/>
        <w:tabs>
          <w:tab w:val="left" w:pos="425" w:leader="none"/>
        </w:tabs>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响应文件</w:t>
      </w:r>
      <w:bookmarkStart w:id="53" w:name="_Hlk162444294"/>
      <w:r>
        <w:rPr>
          <w:rFonts w:hint="eastAsia" w:ascii="宋体" w:hAnsi="宋体" w:cs="宋体"/>
          <w:bCs/>
          <w:color w:val="auto"/>
          <w:sz w:val="24"/>
          <w:szCs w:val="24"/>
          <w:highlight w:val="none"/>
          <w:lang w:val="zh-CN"/>
        </w:rPr>
        <w:t xml:space="preserve">内容不全</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实质性内容</w:t>
      </w:r>
      <w:r>
        <w:rPr>
          <w:rFonts w:hint="eastAsia" w:ascii="宋体" w:hAnsi="宋体" w:cs="宋体"/>
          <w:bCs/>
          <w:color w:val="auto"/>
          <w:sz w:val="24"/>
          <w:szCs w:val="24"/>
          <w:highlight w:val="none"/>
        </w:rPr>
        <w:t xml:space="preserve">无法辨认</w:t>
      </w:r>
      <w:r>
        <w:rPr>
          <w:rFonts w:hint="eastAsia" w:ascii="宋体" w:hAnsi="宋体" w:cs="宋体"/>
          <w:bCs/>
          <w:color w:val="auto"/>
          <w:sz w:val="24"/>
          <w:szCs w:val="24"/>
          <w:highlight w:val="none"/>
          <w:lang w:val="zh-CN"/>
        </w:rPr>
        <w:t xml:space="preserve">或自相矛盾</w:t>
      </w:r>
      <w:bookmarkStart w:id="54" w:name="_Hlk160521064"/>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lang w:val="zh-CN"/>
        </w:rPr>
        <w:t xml:space="preserve">不符合法律法规规定、不符合</w:t>
      </w:r>
      <w:r>
        <w:rPr>
          <w:rFonts w:hint="eastAsia" w:ascii="宋体" w:hAnsi="宋体"/>
          <w:bCs/>
          <w:color w:val="auto"/>
          <w:sz w:val="24"/>
          <w:szCs w:val="24"/>
          <w:highlight w:val="none"/>
        </w:rPr>
        <w:t xml:space="preserve">询价通知书</w:t>
      </w:r>
      <w:r>
        <w:rPr>
          <w:rFonts w:hint="eastAsia" w:ascii="宋体" w:hAnsi="宋体" w:cs="宋体"/>
          <w:bCs/>
          <w:color w:val="auto"/>
          <w:sz w:val="24"/>
          <w:szCs w:val="24"/>
          <w:highlight w:val="none"/>
          <w:lang w:val="zh-CN"/>
        </w:rPr>
        <w:t xml:space="preserve">中规定的实质性要求，其中之一的</w:t>
      </w:r>
      <w:bookmarkEnd w:id="53"/>
      <w:r/>
      <w:bookmarkEnd w:id="54"/>
      <w:r>
        <w:rPr>
          <w:rFonts w:hint="eastAsia" w:ascii="宋体" w:hAnsi="宋体" w:cs="宋体"/>
          <w:color w:val="auto"/>
          <w:sz w:val="24"/>
          <w:szCs w:val="24"/>
          <w:highlight w:val="none"/>
          <w:lang w:val="zh-CN"/>
        </w:rPr>
        <w:t xml:space="preserve">；</w:t>
      </w:r>
      <w:r/>
    </w:p>
    <w:p>
      <w:pPr>
        <w:numPr>
          <w:ilvl w:val="0"/>
          <w:numId w:val="0"/>
        </w:numPr>
        <w:ind w:left="400"/>
        <w:spacing w:line="360" w:lineRule="auto"/>
        <w:shd w:val="clear" w:color="auto" w:fill="auto"/>
        <w:tabs>
          <w:tab w:val="left" w:pos="0" w:leader="none"/>
          <w:tab w:val="left" w:pos="425" w:leader="none"/>
        </w:tabs>
        <w:rPr>
          <w:rFonts w:hint="eastAsia" w:ascii="宋体" w:hAnsi="宋体" w:cs="宋体"/>
          <w:b w:val="0"/>
          <w:bCs w:val="0"/>
          <w:color w:val="auto"/>
          <w:spacing w:val="0"/>
          <w:sz w:val="24"/>
          <w:szCs w:val="24"/>
          <w:highlight w:val="none"/>
          <w:lang w:val="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lang w:eastAsia="zh-CN"/>
        </w:rPr>
        <w:t xml:space="preserve">）</w:t>
      </w:r>
      <w:r>
        <w:rPr>
          <w:rFonts w:hint="eastAsia" w:ascii="宋体" w:hAnsi="宋体" w:cs="宋体"/>
          <w:b w:val="0"/>
          <w:bCs w:val="0"/>
          <w:color w:val="auto"/>
          <w:spacing w:val="0"/>
          <w:sz w:val="24"/>
          <w:szCs w:val="24"/>
          <w:highlight w:val="none"/>
          <w:lang w:val="zh-CN"/>
        </w:rPr>
        <w:t xml:space="preserve">评标委员会认定投标人的报价明显低于其他通过符合性审查投标人的报价，有可能影响产品质量或者不能诚信履约的，应当</w:t>
      </w:r>
      <w:r>
        <w:rPr>
          <w:rFonts w:hint="eastAsia" w:ascii="宋体" w:hAnsi="宋体" w:cs="宋体"/>
          <w:b w:val="0"/>
          <w:bCs w:val="0"/>
          <w:color w:val="auto"/>
          <w:spacing w:val="0"/>
          <w:sz w:val="24"/>
          <w:szCs w:val="24"/>
          <w:highlight w:val="none"/>
          <w:lang w:val="en-US" w:eastAsia="zh-CN"/>
        </w:rPr>
        <w:t xml:space="preserve">按照</w:t>
      </w:r>
      <w:r>
        <w:rPr>
          <w:rFonts w:hint="eastAsia" w:ascii="宋体" w:hAnsi="宋体" w:cs="宋体"/>
          <w:b w:val="0"/>
          <w:bCs w:val="0"/>
          <w:color w:val="auto"/>
          <w:spacing w:val="0"/>
          <w:sz w:val="24"/>
          <w:szCs w:val="24"/>
          <w:highlight w:val="none"/>
          <w:lang w:val="zh-CN"/>
        </w:rPr>
        <w:t xml:space="preserve">财政部《关于推动解决政府采购异常低价问题的通知》（财库〔2026〕2号），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numPr>
          <w:ilvl w:val="0"/>
          <w:numId w:val="0"/>
        </w:numPr>
        <w:ind w:firstLine="480"/>
        <w:keepLines w:val="0"/>
        <w:keepNext w:val="0"/>
        <w:pageBreakBefore w:val="0"/>
        <w:spacing w:line="360" w:lineRule="auto"/>
        <w:shd w:val="clear" w:color="auto" w:fill="auto"/>
        <w:widowControl w:val="off"/>
        <w:tabs>
          <w:tab w:val="left" w:pos="0" w:leader="none"/>
          <w:tab w:val="left" w:pos="425" w:leader="none"/>
        </w:tabs>
        <w:rPr>
          <w:rFonts w:hint="eastAsia" w:ascii="宋体" w:hAnsi="宋体" w:cs="宋体"/>
          <w:b w:val="0"/>
          <w:bCs w:val="0"/>
          <w:color w:val="auto"/>
          <w:spacing w:val="0"/>
          <w:sz w:val="24"/>
          <w:szCs w:val="24"/>
          <w:highlight w:val="none"/>
          <w:lang w:val="zh-CN"/>
        </w:rPr>
      </w:pPr>
      <w:r>
        <w:rPr>
          <w:rFonts w:hint="eastAsia" w:ascii="宋体" w:hAnsi="宋体" w:cs="宋体"/>
          <w:b w:val="0"/>
          <w:bCs w:val="0"/>
          <w:color w:val="auto"/>
          <w:spacing w:val="0"/>
          <w:sz w:val="24"/>
          <w:szCs w:val="24"/>
          <w:highlight w:val="none"/>
          <w:lang w:val="zh-CN"/>
        </w:rPr>
        <w:t xml:space="preserve">评标委员会启动异常低价投标（响应）审查的情形和具体要求，包括：</w:t>
      </w:r>
      <w:r/>
    </w:p>
    <w:p>
      <w:pPr>
        <w:ind w:firstLine="480"/>
        <w:jc w:val="left"/>
        <w:keepLines w:val="0"/>
        <w:keepNext w:val="0"/>
        <w:pageBreakBefore w:val="0"/>
        <w:spacing w:line="360" w:lineRule="auto"/>
        <w:widowControl w:val="off"/>
        <w:tabs>
          <w:tab w:val="left" w:pos="425" w:leader="none"/>
        </w:tabs>
        <w:rPr>
          <w:rFonts w:hint="eastAsia" w:ascii="宋体" w:hAnsi="宋体" w:cs="宋体"/>
          <w:b w:val="0"/>
          <w:bCs w:val="0"/>
          <w:color w:val="auto"/>
          <w:spacing w:val="0"/>
          <w:sz w:val="24"/>
          <w:szCs w:val="24"/>
          <w:highlight w:val="none"/>
          <w:lang w:val="zh-CN"/>
        </w:rPr>
      </w:pPr>
      <w:r>
        <w:rPr>
          <w:rFonts w:hint="eastAsia" w:ascii="宋体" w:hAnsi="宋体"/>
          <w:b w:val="0"/>
          <w:bCs w:val="0"/>
          <w:color w:val="auto"/>
          <w:spacing w:val="0"/>
          <w:sz w:val="24"/>
          <w:szCs w:val="24"/>
          <w:highlight w:val="none"/>
          <w:lang w:val="zh-CN"/>
        </w:rPr>
        <w:t xml:space="preserve">1、评审过程中出现下列情形之一的，评标委员会应当启动异常低价投标（响应）审查程序：</w:t>
      </w:r>
      <w:r>
        <w:rPr>
          <w:rFonts w:hint="eastAsia" w:ascii="宋体" w:hAnsi="宋体" w:eastAsia="宋体" w:cs="宋体"/>
          <w:b w:val="0"/>
          <w:bCs w:val="0"/>
          <w:i w:val="0"/>
          <w:iCs w:val="0"/>
          <w:caps w:val="0"/>
          <w:color w:val="auto"/>
          <w:spacing w:val="0"/>
          <w:sz w:val="24"/>
          <w:szCs w:val="24"/>
          <w:highlight w:val="none"/>
          <w:shd w:val="clear" w:color="auto" w:fill="ffffff"/>
        </w:rPr>
        <w:t xml:space="preserve">　</w:t>
      </w:r>
      <w:r/>
    </w:p>
    <w:p>
      <w:pPr>
        <w:numPr>
          <w:ilvl w:val="0"/>
          <w:numId w:val="6"/>
        </w:numPr>
        <w:ind w:firstLine="480"/>
        <w:keepLines w:val="0"/>
        <w:keepNext w:val="0"/>
        <w:pageBreakBefore w:val="0"/>
        <w:spacing w:line="360" w:lineRule="auto"/>
        <w:shd w:val="clear" w:color="auto" w:fill="auto"/>
        <w:widowControl w:val="off"/>
        <w:rPr>
          <w:rFonts w:hint="eastAsia" w:ascii="宋体" w:hAnsi="宋体" w:cs="宋体"/>
          <w:b w:val="0"/>
          <w:bCs w:val="0"/>
          <w:color w:val="auto"/>
          <w:spacing w:val="0"/>
          <w:sz w:val="24"/>
          <w:szCs w:val="24"/>
          <w:highlight w:val="none"/>
          <w:lang w:val="zh-CN"/>
        </w:rPr>
      </w:pPr>
      <w:r>
        <w:rPr>
          <w:rFonts w:hint="eastAsia" w:ascii="宋体" w:hAnsi="宋体" w:cs="宋体"/>
          <w:b w:val="0"/>
          <w:bCs w:val="0"/>
          <w:color w:val="auto"/>
          <w:spacing w:val="0"/>
          <w:sz w:val="24"/>
          <w:szCs w:val="24"/>
          <w:highlight w:val="none"/>
          <w:lang w:val="zh-CN"/>
        </w:rPr>
        <w:t xml:space="preserve">投标（响应）报价低于全部通过符合性审查供应商投标（响应）报价平均值50%的，即投标（响应）报价&lt;全部通过符合性审查供应商投标（响应）报价平均值×50%； </w:t>
      </w:r>
      <w:r/>
    </w:p>
    <w:p>
      <w:pPr>
        <w:numPr>
          <w:ilvl w:val="0"/>
          <w:numId w:val="6"/>
        </w:numPr>
        <w:ind w:firstLine="480"/>
        <w:keepLines w:val="0"/>
        <w:keepNext w:val="0"/>
        <w:pageBreakBefore w:val="0"/>
        <w:spacing w:line="360" w:lineRule="auto"/>
        <w:shd w:val="clear" w:color="auto" w:fill="auto"/>
        <w:widowControl w:val="off"/>
        <w:rPr>
          <w:rFonts w:hint="eastAsia" w:ascii="宋体" w:hAnsi="宋体" w:cs="宋体"/>
          <w:b w:val="0"/>
          <w:bCs w:val="0"/>
          <w:color w:val="auto"/>
          <w:spacing w:val="0"/>
          <w:sz w:val="24"/>
          <w:szCs w:val="24"/>
          <w:highlight w:val="none"/>
          <w:lang w:val="zh-CN"/>
        </w:rPr>
      </w:pPr>
      <w:r>
        <w:rPr>
          <w:rFonts w:hint="eastAsia" w:ascii="宋体" w:hAnsi="宋体" w:cs="宋体"/>
          <w:b w:val="0"/>
          <w:bCs w:val="0"/>
          <w:color w:val="auto"/>
          <w:spacing w:val="0"/>
          <w:sz w:val="24"/>
          <w:szCs w:val="24"/>
          <w:highlight w:val="none"/>
          <w:lang w:val="zh-CN"/>
        </w:rPr>
        <w:t xml:space="preserve">投标（响应）报价低于通过符合性审查的次低报价供应商投标（响应）报价50%的，即投标（响应）报价&lt;通过符合性审查的次低报价供应商投标（响应）报价×50%； </w:t>
      </w:r>
      <w:r/>
    </w:p>
    <w:p>
      <w:pPr>
        <w:numPr>
          <w:ilvl w:val="0"/>
          <w:numId w:val="6"/>
        </w:numPr>
        <w:ind w:firstLine="480"/>
        <w:keepLines w:val="0"/>
        <w:keepNext w:val="0"/>
        <w:pageBreakBefore w:val="0"/>
        <w:spacing w:line="360" w:lineRule="auto"/>
        <w:shd w:val="clear" w:color="auto" w:fill="auto"/>
        <w:widowControl w:val="off"/>
        <w:rPr>
          <w:rFonts w:hint="eastAsia" w:ascii="宋体" w:hAnsi="宋体" w:cs="宋体"/>
          <w:b w:val="0"/>
          <w:bCs w:val="0"/>
          <w:color w:val="auto"/>
          <w:spacing w:val="0"/>
          <w:sz w:val="24"/>
          <w:szCs w:val="24"/>
          <w:highlight w:val="none"/>
          <w:lang w:val="zh-CN"/>
        </w:rPr>
      </w:pPr>
      <w:r>
        <w:rPr>
          <w:rFonts w:hint="eastAsia" w:ascii="宋体" w:hAnsi="宋体" w:cs="宋体"/>
          <w:b w:val="0"/>
          <w:bCs w:val="0"/>
          <w:color w:val="auto"/>
          <w:spacing w:val="0"/>
          <w:sz w:val="24"/>
          <w:szCs w:val="24"/>
          <w:highlight w:val="none"/>
          <w:lang w:val="zh-CN"/>
        </w:rPr>
        <w:t xml:space="preserve">投标（响应）报价低于采购项目最高限价45%的，即投标（响应）报价&lt;采购项目最高限价×45%； </w:t>
      </w:r>
      <w:r/>
    </w:p>
    <w:p>
      <w:pPr>
        <w:numPr>
          <w:ilvl w:val="0"/>
          <w:numId w:val="6"/>
        </w:numPr>
        <w:ind w:firstLine="480"/>
        <w:keepLines w:val="0"/>
        <w:keepNext w:val="0"/>
        <w:pageBreakBefore w:val="0"/>
        <w:spacing w:line="360" w:lineRule="auto"/>
        <w:shd w:val="clear" w:color="auto" w:fill="auto"/>
        <w:widowControl w:val="off"/>
        <w:rPr>
          <w:rFonts w:hint="eastAsia" w:ascii="宋体" w:hAnsi="宋体" w:cs="宋体"/>
          <w:b w:val="0"/>
          <w:bCs w:val="0"/>
          <w:color w:val="auto"/>
          <w:spacing w:val="0"/>
          <w:sz w:val="24"/>
          <w:szCs w:val="24"/>
          <w:highlight w:val="none"/>
          <w:lang w:val="zh-CN"/>
        </w:rPr>
      </w:pPr>
      <w:r>
        <w:rPr>
          <w:rFonts w:hint="eastAsia" w:ascii="宋体" w:hAnsi="宋体" w:cs="宋体"/>
          <w:b w:val="0"/>
          <w:bCs w:val="0"/>
          <w:color w:val="auto"/>
          <w:spacing w:val="0"/>
          <w:sz w:val="24"/>
          <w:szCs w:val="24"/>
          <w:highlight w:val="none"/>
          <w:lang w:val="zh-CN"/>
        </w:rPr>
        <w:t xml:space="preserve">评审委员会基于专业判断，认为供应商报价过低，有可能影响产品质量或者不能诚信履约的其他情形。 </w:t>
      </w:r>
      <w:r/>
    </w:p>
    <w:p>
      <w:pPr>
        <w:ind w:firstLine="480"/>
        <w:jc w:val="left"/>
        <w:keepLines w:val="0"/>
        <w:keepNext w:val="0"/>
        <w:pageBreakBefore w:val="0"/>
        <w:spacing w:line="360" w:lineRule="auto"/>
        <w:widowControl w:val="off"/>
        <w:tabs>
          <w:tab w:val="left" w:pos="425" w:leader="none"/>
        </w:tabs>
        <w:rPr>
          <w:rFonts w:hint="eastAsia" w:ascii="宋体" w:hAnsi="宋体" w:cs="宋体"/>
          <w:b w:val="0"/>
          <w:bCs w:val="0"/>
          <w:color w:val="auto"/>
          <w:sz w:val="24"/>
          <w:szCs w:val="24"/>
          <w:highlight w:val="none"/>
          <w:lang w:eastAsia="zh-CN"/>
        </w:rPr>
      </w:pPr>
      <w:r>
        <w:rPr>
          <w:rFonts w:hint="eastAsia" w:ascii="宋体" w:hAnsi="宋体"/>
          <w:b w:val="0"/>
          <w:bCs w:val="0"/>
          <w:color w:val="auto"/>
          <w:spacing w:val="0"/>
          <w:sz w:val="24"/>
          <w:szCs w:val="24"/>
          <w:highlight w:val="none"/>
          <w:lang w:val="zh-CN"/>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numPr>
          <w:ilvl w:val="0"/>
          <w:numId w:val="0"/>
        </w:numPr>
        <w:ind w:left="400"/>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法律、法规和招标文件规定的其他无效情形</w:t>
      </w:r>
      <w:r>
        <w:rPr>
          <w:rFonts w:hint="eastAsia" w:ascii="宋体" w:hAnsi="宋体"/>
          <w:bCs/>
          <w:color w:val="auto"/>
          <w:sz w:val="24"/>
          <w:szCs w:val="24"/>
          <w:highlight w:val="none"/>
          <w:lang w:val="zh-CN"/>
        </w:rPr>
        <w:t xml:space="preserve">。</w:t>
      </w:r>
      <w:r/>
    </w:p>
    <w:p>
      <w:pPr>
        <w:numPr>
          <w:ilvl w:val="0"/>
          <w:numId w:val="7"/>
        </w:num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联合体报价、</w:t>
      </w:r>
      <w:r>
        <w:rPr>
          <w:rFonts w:hint="eastAsia" w:ascii="宋体" w:hAnsi="宋体" w:cs="宋体"/>
          <w:b/>
          <w:color w:val="auto"/>
          <w:sz w:val="24"/>
          <w:szCs w:val="24"/>
          <w:highlight w:val="none"/>
        </w:rPr>
        <w:t xml:space="preserve">成交后分包</w:t>
      </w:r>
      <w:r/>
    </w:p>
    <w:p>
      <w:pPr>
        <w:ind w:firstLine="480"/>
        <w:jc w:val="left"/>
        <w:spacing w:line="360" w:lineRule="auto"/>
        <w:rPr>
          <w:rFonts w:ascii="宋体" w:hAnsi="宋体"/>
          <w:bCs/>
          <w:color w:val="auto"/>
          <w:sz w:val="24"/>
          <w:szCs w:val="24"/>
          <w:highlight w:val="none"/>
        </w:rPr>
      </w:pPr>
      <w:r/>
      <w:bookmarkStart w:id="55" w:name="_Hlk151449361"/>
      <w:r>
        <w:rPr>
          <w:rFonts w:hint="eastAsia" w:ascii="宋体" w:hAnsi="宋体"/>
          <w:bCs/>
          <w:color w:val="auto"/>
          <w:sz w:val="24"/>
          <w:szCs w:val="24"/>
          <w:highlight w:val="none"/>
        </w:rPr>
        <w:t xml:space="preserve">19、联合体、成交后分包（如有）</w:t>
      </w:r>
      <w:bookmarkEnd w:id="55"/>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19.1联合体</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两个以上的自然人、法人或者其他组织组成一个联合体，以一个供应商的身份共同参加政府采购。</w:t>
      </w:r>
      <w:r/>
    </w:p>
    <w:p>
      <w:pPr>
        <w:ind w:firstLine="480"/>
        <w:jc w:val="left"/>
        <w:spacing w:line="360" w:lineRule="auto"/>
        <w:rPr>
          <w:rFonts w:ascii="宋体" w:hAnsi="宋体"/>
          <w:bCs/>
          <w:color w:val="auto"/>
          <w:sz w:val="24"/>
          <w:szCs w:val="24"/>
          <w:highlight w:val="none"/>
          <w:lang w:val="zh-CN"/>
        </w:rPr>
      </w:pPr>
      <w:r/>
      <w:bookmarkStart w:id="56" w:name="OLE_LINK165"/>
      <w:r>
        <w:rPr>
          <w:rFonts w:hint="eastAsia" w:ascii="宋体" w:hAnsi="宋体"/>
          <w:bCs/>
          <w:color w:val="auto"/>
          <w:sz w:val="24"/>
          <w:szCs w:val="24"/>
          <w:highlight w:val="none"/>
        </w:rPr>
        <w:t xml:space="preserve">供应商如为联合体的，</w:t>
      </w:r>
      <w:r>
        <w:rPr>
          <w:rFonts w:hint="eastAsia" w:ascii="宋体" w:hAnsi="宋体"/>
          <w:bCs/>
          <w:color w:val="auto"/>
          <w:sz w:val="24"/>
          <w:szCs w:val="24"/>
          <w:highlight w:val="none"/>
          <w:lang w:val="zh-CN"/>
        </w:rPr>
        <w:t xml:space="preserve">联合体各方应按询价通知书提供的格式签</w:t>
      </w:r>
      <w:bookmarkStart w:id="57" w:name="OLE_LINK199"/>
      <w:r>
        <w:rPr>
          <w:rFonts w:hint="eastAsia" w:ascii="宋体" w:hAnsi="宋体"/>
          <w:bCs/>
          <w:color w:val="auto"/>
          <w:sz w:val="24"/>
          <w:szCs w:val="24"/>
          <w:highlight w:val="none"/>
          <w:lang w:val="zh-CN"/>
        </w:rPr>
        <w:t xml:space="preserve">订联合体协议书</w:t>
      </w:r>
      <w:bookmarkEnd w:id="56"/>
      <w:r>
        <w:rPr>
          <w:rFonts w:hint="eastAsia" w:ascii="宋体" w:hAnsi="宋体"/>
          <w:bCs/>
          <w:color w:val="auto"/>
          <w:sz w:val="24"/>
          <w:szCs w:val="24"/>
          <w:highlight w:val="none"/>
          <w:lang w:val="zh-CN"/>
        </w:rPr>
        <w:t xml:space="preserve">，明确联合体主体单位</w:t>
      </w:r>
      <w:bookmarkStart w:id="58" w:name="_Hlk160003708"/>
      <w:r>
        <w:rPr>
          <w:rFonts w:hint="eastAsia" w:ascii="宋体" w:hAnsi="宋体"/>
          <w:bCs/>
          <w:color w:val="auto"/>
          <w:sz w:val="24"/>
          <w:szCs w:val="24"/>
          <w:highlight w:val="none"/>
          <w:lang w:val="zh-CN"/>
        </w:rPr>
        <w:t xml:space="preserve">（即牵头人）</w:t>
      </w:r>
      <w:bookmarkEnd w:id="57"/>
      <w:r>
        <w:rPr>
          <w:rFonts w:hint="eastAsia" w:ascii="宋体" w:hAnsi="宋体"/>
          <w:bCs/>
          <w:color w:val="auto"/>
          <w:sz w:val="24"/>
          <w:szCs w:val="24"/>
          <w:highlight w:val="none"/>
          <w:lang w:val="zh-CN"/>
        </w:rPr>
        <w:t xml:space="preserve">和各方的权利义务</w:t>
      </w:r>
      <w:bookmarkEnd w:id="58"/>
      <w:r/>
      <w:bookmarkStart w:id="59" w:name="OLE_LINK127"/>
      <w:r/>
      <w:bookmarkStart w:id="60" w:name="OLE_LINK166"/>
      <w:r>
        <w:rPr>
          <w:rFonts w:hint="eastAsia" w:ascii="宋体" w:hAnsi="宋体"/>
          <w:bCs/>
          <w:color w:val="auto"/>
          <w:sz w:val="24"/>
          <w:szCs w:val="24"/>
          <w:highlight w:val="none"/>
          <w:lang w:val="zh-CN"/>
        </w:rPr>
        <w:t xml:space="preserve">，以及其中享受政府采购优惠政策的</w:t>
      </w:r>
      <w:r>
        <w:rPr>
          <w:rFonts w:ascii="宋体" w:hAnsi="宋体"/>
          <w:bCs/>
          <w:color w:val="auto"/>
          <w:sz w:val="24"/>
          <w:szCs w:val="24"/>
          <w:highlight w:val="none"/>
          <w:lang w:val="zh-CN"/>
        </w:rPr>
        <w:t xml:space="preserve">小微企业</w:t>
      </w:r>
      <w:r>
        <w:rPr>
          <w:rFonts w:hint="eastAsia" w:ascii="宋体" w:hAnsi="宋体"/>
          <w:bCs/>
          <w:color w:val="auto"/>
          <w:sz w:val="24"/>
          <w:szCs w:val="24"/>
          <w:highlight w:val="none"/>
          <w:lang w:val="zh-CN"/>
        </w:rPr>
        <w:t xml:space="preserve">（如有）</w:t>
      </w:r>
      <w:r>
        <w:rPr>
          <w:rFonts w:ascii="宋体" w:hAnsi="宋体"/>
          <w:bCs/>
          <w:color w:val="auto"/>
          <w:sz w:val="24"/>
          <w:szCs w:val="24"/>
          <w:highlight w:val="none"/>
          <w:lang w:val="zh-CN"/>
        </w:rPr>
        <w:t xml:space="preserve">合同份额</w:t>
      </w:r>
      <w:r>
        <w:rPr>
          <w:rFonts w:hint="eastAsia" w:ascii="宋体" w:hAnsi="宋体"/>
          <w:bCs/>
          <w:color w:val="auto"/>
          <w:sz w:val="24"/>
          <w:szCs w:val="24"/>
          <w:highlight w:val="none"/>
          <w:lang w:val="zh-CN"/>
        </w:rPr>
        <w:t xml:space="preserve">占合同总金额的比例。除联合体协议书外，其他地方需要供应商签名或盖章的，只需主体单位进行签名或盖章。</w:t>
      </w:r>
      <w:bookmarkEnd w:id="59"/>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以联合体形式参加报价的，</w:t>
      </w:r>
      <w:bookmarkStart w:id="61" w:name="_Hlk160456086"/>
      <w:r>
        <w:rPr>
          <w:rFonts w:hint="eastAsia" w:ascii="宋体" w:hAnsi="宋体"/>
          <w:bCs/>
          <w:color w:val="auto"/>
          <w:sz w:val="24"/>
          <w:szCs w:val="24"/>
          <w:highlight w:val="none"/>
          <w:lang w:val="zh-CN"/>
        </w:rPr>
        <w:t xml:space="preserve">联合体各方均应当具备《中华人民共和国政府采购法》第二十二条规定的条件，</w:t>
      </w:r>
      <w:bookmarkEnd w:id="60"/>
      <w:r>
        <w:rPr>
          <w:rFonts w:hint="eastAsia" w:ascii="宋体" w:hAnsi="宋体"/>
          <w:bCs/>
          <w:color w:val="auto"/>
          <w:sz w:val="24"/>
          <w:szCs w:val="24"/>
          <w:highlight w:val="none"/>
          <w:lang w:val="zh-CN"/>
        </w:rPr>
        <w:t xml:space="preserve">联合体各方均</w:t>
      </w:r>
      <w:r>
        <w:rPr>
          <w:rFonts w:hint="eastAsia" w:ascii="宋体" w:hAnsi="宋体" w:cs="宋体"/>
          <w:bCs/>
          <w:color w:val="auto"/>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color w:val="auto"/>
          <w:sz w:val="24"/>
          <w:szCs w:val="24"/>
          <w:highlight w:val="none"/>
          <w:lang w:val="zh-CN"/>
        </w:rPr>
        <w:t xml:space="preserve">；联合体中有同类资质的供应商按照联合体分工承担相同工作的，按照资质等级较低的供应商确定资质等级；</w:t>
      </w:r>
      <w:bookmarkStart w:id="62" w:name="OLE_LINK128"/>
      <w:r>
        <w:rPr>
          <w:rFonts w:hint="eastAsia" w:ascii="宋体" w:hAnsi="宋体"/>
          <w:bCs/>
          <w:color w:val="auto"/>
          <w:sz w:val="24"/>
          <w:szCs w:val="24"/>
          <w:highlight w:val="none"/>
          <w:lang w:val="zh-CN"/>
        </w:rPr>
        <w:t xml:space="preserve">联合体成员存在不良信用记录的，视同联合体存在不良信用记录。</w:t>
      </w:r>
      <w:bookmarkEnd w:id="61"/>
      <w:r/>
      <w:bookmarkEnd w:id="62"/>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以联合体形式参加政府采购活动的，联合体各方不得再单独参加或者与其他供应商另外组成联合体参加同一合同项下的政府采购活动</w:t>
      </w:r>
      <w:r>
        <w:rPr>
          <w:rFonts w:hint="eastAsia" w:ascii="宋体" w:hAnsi="宋体"/>
          <w:color w:val="auto"/>
          <w:sz w:val="24"/>
          <w:szCs w:val="24"/>
          <w:highlight w:val="none"/>
        </w:rPr>
        <w:t xml:space="preserve">，否则相关报价均将被认定为报价无效</w:t>
      </w:r>
      <w:r>
        <w:rPr>
          <w:rFonts w:ascii="宋体" w:hAnsi="宋体"/>
          <w:color w:val="auto"/>
          <w:sz w:val="24"/>
          <w:szCs w:val="24"/>
          <w:highlight w:val="none"/>
        </w:rPr>
        <w:t xml:space="preserve">。</w:t>
      </w:r>
      <w:r/>
    </w:p>
    <w:p>
      <w:pPr>
        <w:ind w:firstLine="480"/>
        <w:jc w:val="left"/>
        <w:spacing w:line="360" w:lineRule="auto"/>
        <w:rPr>
          <w:rFonts w:ascii="宋体"/>
          <w:color w:val="auto"/>
          <w:sz w:val="24"/>
          <w:highlight w:val="none"/>
          <w:lang w:val="zh-CN"/>
        </w:rPr>
      </w:pPr>
      <w:r>
        <w:rPr>
          <w:rFonts w:hint="eastAsia" w:ascii="宋体"/>
          <w:color w:val="auto"/>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color w:val="auto"/>
          <w:sz w:val="24"/>
          <w:szCs w:val="24"/>
          <w:highlight w:val="none"/>
        </w:rPr>
        <w:t xml:space="preserve">由联合体主体单位出具中小企业声明。</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19.2 成交后分包</w:t>
      </w:r>
      <w:r/>
    </w:p>
    <w:p>
      <w:pPr>
        <w:ind w:firstLine="480"/>
        <w:jc w:val="left"/>
        <w:spacing w:line="360" w:lineRule="auto"/>
        <w:rPr>
          <w:rFonts w:ascii="宋体" w:hAnsi="宋体"/>
          <w:bCs/>
          <w:color w:val="auto"/>
          <w:sz w:val="24"/>
          <w:szCs w:val="24"/>
          <w:highlight w:val="none"/>
        </w:rPr>
      </w:pPr>
      <w:r/>
      <w:bookmarkStart w:id="63" w:name="OLE_LINK25"/>
      <w:r>
        <w:rPr>
          <w:rFonts w:hint="eastAsia" w:ascii="宋体" w:hAnsi="宋体" w:cs="宋体"/>
          <w:color w:val="auto"/>
          <w:sz w:val="24"/>
          <w:szCs w:val="24"/>
          <w:highlight w:val="none"/>
        </w:rPr>
        <w:t xml:space="preserve">供应商根据询价通知书的规定和采购项目的实际情况，拟在成交后将成交项目的非主体、非关键性工作分包的，须在响应文件中载明分包承担主体，分包承担主体应当具备相应资质条件且不得再次分包。</w:t>
      </w:r>
      <w:bookmarkEnd w:id="63"/>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五、采购活动</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20、采购活动</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20.1 </w:t>
      </w:r>
      <w:r>
        <w:rPr>
          <w:rFonts w:hint="eastAsia" w:ascii="宋体" w:hAnsi="宋体"/>
          <w:bCs/>
          <w:color w:val="auto"/>
          <w:sz w:val="24"/>
          <w:szCs w:val="24"/>
          <w:highlight w:val="none"/>
          <w:lang w:val="zh-CN"/>
        </w:rPr>
        <w:t xml:space="preserve">采购人按询价通知书规定的时间在“苏采云开标大厅”召开开标大会。</w:t>
      </w:r>
      <w:r>
        <w:rPr>
          <w:rFonts w:hint="eastAsia" w:ascii="宋体" w:hAnsi="宋体"/>
          <w:bCs/>
          <w:color w:val="auto"/>
          <w:sz w:val="24"/>
          <w:szCs w:val="24"/>
          <w:highlight w:val="none"/>
        </w:rPr>
        <w:t xml:space="preserve">供应商</w:t>
      </w:r>
      <w:r>
        <w:rPr>
          <w:rFonts w:ascii="宋体" w:hAnsi="宋体"/>
          <w:bCs/>
          <w:color w:val="auto"/>
          <w:sz w:val="24"/>
          <w:szCs w:val="24"/>
          <w:highlight w:val="none"/>
          <w:lang w:val="zh-CN"/>
        </w:rPr>
        <w:t xml:space="preserve">应当在</w:t>
      </w:r>
      <w:r>
        <w:rPr>
          <w:rFonts w:hint="eastAsia" w:ascii="宋体" w:hAnsi="宋体"/>
          <w:bCs/>
          <w:color w:val="auto"/>
          <w:sz w:val="24"/>
          <w:szCs w:val="24"/>
          <w:highlight w:val="none"/>
        </w:rPr>
        <w:t xml:space="preserve">报价</w:t>
      </w:r>
      <w:r>
        <w:rPr>
          <w:rFonts w:ascii="宋体" w:hAnsi="宋体"/>
          <w:bCs/>
          <w:color w:val="auto"/>
          <w:sz w:val="24"/>
          <w:szCs w:val="24"/>
          <w:highlight w:val="none"/>
          <w:lang w:val="zh-CN"/>
        </w:rPr>
        <w:t xml:space="preserve">前做好充分准备，携带 CA 数字证书准时参加。</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提交响应文件或成功解密响应文件的供应商不足</w:t>
      </w:r>
      <w:r>
        <w:rPr>
          <w:rFonts w:hint="eastAsia" w:ascii="宋体" w:hAnsi="宋体"/>
          <w:bCs/>
          <w:color w:val="auto"/>
          <w:sz w:val="24"/>
          <w:szCs w:val="24"/>
          <w:highlight w:val="none"/>
        </w:rPr>
        <w:t xml:space="preserve">3家的，不得开标。</w:t>
      </w:r>
      <w:r/>
    </w:p>
    <w:p>
      <w:pPr>
        <w:ind w:firstLine="480"/>
        <w:jc w:val="left"/>
        <w:spacing w:line="360" w:lineRule="auto"/>
        <w:rPr>
          <w:rFonts w:ascii="宋体" w:hAnsi="宋体"/>
          <w:bCs/>
          <w:color w:val="auto"/>
          <w:sz w:val="24"/>
          <w:szCs w:val="24"/>
          <w:highlight w:val="none"/>
          <w:lang w:val="zh-CN"/>
        </w:rPr>
      </w:pPr>
      <w:r>
        <w:rPr>
          <w:rFonts w:ascii="宋体" w:hAnsi="宋体"/>
          <w:bCs/>
          <w:color w:val="auto"/>
          <w:sz w:val="24"/>
          <w:szCs w:val="24"/>
          <w:highlight w:val="none"/>
          <w:lang w:val="zh-CN"/>
        </w:rPr>
        <w:t xml:space="preserve">20.2</w:t>
      </w:r>
      <w:r>
        <w:rPr>
          <w:rFonts w:hint="eastAsia" w:ascii="宋体" w:hAnsi="宋体"/>
          <w:bCs/>
          <w:color w:val="auto"/>
          <w:sz w:val="24"/>
          <w:szCs w:val="24"/>
          <w:highlight w:val="none"/>
          <w:lang w:val="zh-CN"/>
        </w:rPr>
        <w:t xml:space="preserve">响应文件</w:t>
      </w:r>
      <w:r>
        <w:rPr>
          <w:rFonts w:ascii="宋体" w:hAnsi="宋体"/>
          <w:bCs/>
          <w:color w:val="auto"/>
          <w:sz w:val="24"/>
          <w:szCs w:val="24"/>
          <w:highlight w:val="none"/>
          <w:lang w:val="zh-CN"/>
        </w:rPr>
        <w:t xml:space="preserve">提交截止时间后，</w:t>
      </w:r>
      <w:r>
        <w:rPr>
          <w:rFonts w:hint="eastAsia" w:ascii="宋体" w:hAnsi="宋体"/>
          <w:bCs/>
          <w:color w:val="auto"/>
          <w:sz w:val="24"/>
          <w:szCs w:val="24"/>
          <w:highlight w:val="none"/>
          <w:lang w:val="zh-CN"/>
        </w:rPr>
        <w:t xml:space="preserve">在“苏采云开标大厅”开启响应文件，相关注意事项详见报价邀请函。</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21、评审</w:t>
      </w:r>
      <w:r/>
    </w:p>
    <w:p>
      <w:pPr>
        <w:ind w:left="1" w:firstLine="480"/>
        <w:jc w:val="left"/>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21.1 具体评审事务由采购人依法组建的</w:t>
      </w:r>
      <w:bookmarkStart w:id="64" w:name="OLE_LINK11"/>
      <w:r>
        <w:rPr>
          <w:rFonts w:hint="eastAsia" w:ascii="宋体" w:hAnsi="宋体"/>
          <w:bCs/>
          <w:color w:val="auto"/>
          <w:sz w:val="24"/>
          <w:szCs w:val="24"/>
          <w:highlight w:val="none"/>
        </w:rPr>
        <w:t xml:space="preserve">询价小组</w:t>
      </w:r>
      <w:bookmarkEnd w:id="64"/>
      <w:r>
        <w:rPr>
          <w:rFonts w:hint="eastAsia" w:ascii="宋体" w:hAnsi="宋体"/>
          <w:bCs/>
          <w:color w:val="auto"/>
          <w:sz w:val="24"/>
          <w:szCs w:val="24"/>
          <w:highlight w:val="none"/>
        </w:rPr>
        <w:t xml:space="preserve">（即评审委员会）负责，其成员由评审专家和采购人代表组成。</w:t>
      </w:r>
      <w:r/>
    </w:p>
    <w:p>
      <w:pPr>
        <w:ind w:left="1" w:firstLine="480"/>
        <w:jc w:val="left"/>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21.2 询价小组按照询价通知书的要求对供应商进行资格性及符合性审查。未通过资格性或符合性审查</w:t>
      </w:r>
      <w:r>
        <w:rPr>
          <w:rFonts w:hint="eastAsia" w:ascii="宋体" w:hAnsi="宋体" w:cs="宋体"/>
          <w:color w:val="auto"/>
          <w:sz w:val="24"/>
          <w:szCs w:val="24"/>
          <w:highlight w:val="none"/>
        </w:rPr>
        <w:t xml:space="preserve">的，其报价无效。</w:t>
      </w:r>
      <w:r/>
    </w:p>
    <w:p>
      <w:pPr>
        <w:ind w:firstLine="480"/>
        <w:jc w:val="left"/>
        <w:spacing w:line="360" w:lineRule="auto"/>
        <w:rPr>
          <w:rFonts w:ascii="宋体" w:hAnsi="宋体" w:cs="宋体"/>
          <w:bCs/>
          <w:color w:val="auto"/>
          <w:sz w:val="24"/>
          <w:szCs w:val="24"/>
          <w:highlight w:val="none"/>
        </w:rPr>
      </w:pPr>
      <w:r>
        <w:rPr>
          <w:rFonts w:hint="eastAsia" w:ascii="宋体" w:hAnsi="宋体"/>
          <w:bCs/>
          <w:color w:val="auto"/>
          <w:sz w:val="24"/>
          <w:szCs w:val="24"/>
          <w:highlight w:val="none"/>
        </w:rPr>
        <w:t xml:space="preserve">21.2.1资格性审查是指询价小组</w:t>
      </w:r>
      <w:r>
        <w:rPr>
          <w:rFonts w:hint="eastAsia" w:ascii="宋体" w:hAnsi="宋体" w:cs="宋体"/>
          <w:color w:val="auto"/>
          <w:sz w:val="24"/>
          <w:szCs w:val="24"/>
          <w:highlight w:val="none"/>
        </w:rPr>
        <w:t xml:space="preserve">按照本须知“9、响应文件的组成”中“</w:t>
      </w:r>
      <w:r>
        <w:rPr>
          <w:rFonts w:hint="eastAsia" w:ascii="宋体" w:hAnsi="宋体" w:cs="宋体"/>
          <w:bCs/>
          <w:color w:val="auto"/>
          <w:sz w:val="24"/>
          <w:szCs w:val="24"/>
          <w:highlight w:val="none"/>
        </w:rPr>
        <w:t xml:space="preserve">资格条件</w:t>
      </w:r>
      <w:r>
        <w:rPr>
          <w:rFonts w:hint="eastAsia" w:ascii="宋体" w:hAnsi="宋体" w:cs="宋体"/>
          <w:color w:val="auto"/>
          <w:sz w:val="24"/>
          <w:szCs w:val="24"/>
          <w:highlight w:val="none"/>
        </w:rPr>
        <w:t xml:space="preserve">”的要求对供应商</w:t>
      </w:r>
      <w:bookmarkStart w:id="65" w:name="_Hlk160107443"/>
      <w:r>
        <w:rPr>
          <w:rFonts w:hint="eastAsia" w:ascii="宋体" w:hAnsi="宋体" w:cs="宋体"/>
          <w:color w:val="auto"/>
          <w:sz w:val="24"/>
          <w:szCs w:val="24"/>
          <w:highlight w:val="none"/>
        </w:rPr>
        <w:t xml:space="preserve">响应文件中</w:t>
      </w:r>
      <w:bookmarkEnd w:id="65"/>
      <w:r>
        <w:rPr>
          <w:rFonts w:hint="eastAsia" w:ascii="宋体" w:hAnsi="宋体" w:cs="宋体"/>
          <w:color w:val="auto"/>
          <w:sz w:val="24"/>
          <w:szCs w:val="24"/>
          <w:highlight w:val="none"/>
        </w:rPr>
        <w:t xml:space="preserve">资格证明材料进行审查</w:t>
      </w:r>
      <w:r>
        <w:rPr>
          <w:rFonts w:hint="eastAsia" w:ascii="宋体" w:hAnsi="宋体" w:cs="宋体"/>
          <w:bCs/>
          <w:color w:val="auto"/>
          <w:sz w:val="24"/>
          <w:szCs w:val="24"/>
          <w:highlight w:val="none"/>
        </w:rPr>
        <w:t xml:space="preserve">。</w:t>
      </w:r>
      <w:r/>
    </w:p>
    <w:p>
      <w:pPr>
        <w:ind w:firstLine="480"/>
        <w:jc w:val="left"/>
        <w:spacing w:line="360" w:lineRule="auto"/>
        <w:rPr>
          <w:rFonts w:ascii="宋体" w:hAnsi="宋体" w:cs="宋体"/>
          <w:bCs/>
          <w:color w:val="auto"/>
          <w:sz w:val="24"/>
          <w:szCs w:val="24"/>
          <w:highlight w:val="none"/>
        </w:rPr>
      </w:pPr>
      <w:r>
        <w:rPr>
          <w:rFonts w:hint="eastAsia" w:ascii="宋体" w:hAnsi="宋体"/>
          <w:bCs/>
          <w:color w:val="auto"/>
          <w:sz w:val="24"/>
          <w:szCs w:val="24"/>
          <w:highlight w:val="none"/>
        </w:rPr>
        <w:t xml:space="preserve">21.2</w:t>
      </w:r>
      <w:r>
        <w:rPr>
          <w:rFonts w:hint="eastAsia" w:ascii="宋体" w:hAnsi="宋体" w:cs="宋体"/>
          <w:bCs/>
          <w:color w:val="auto"/>
          <w:sz w:val="24"/>
          <w:szCs w:val="24"/>
          <w:highlight w:val="none"/>
        </w:rPr>
        <w:t xml:space="preserve">.2 信用查询。</w:t>
      </w:r>
      <w:r/>
    </w:p>
    <w:p>
      <w:pPr>
        <w:ind w:firstLine="480"/>
        <w:jc w:val="left"/>
        <w:spacing w:line="360" w:lineRule="auto"/>
        <w:rPr>
          <w:rFonts w:ascii="宋体" w:hAnsi="宋体"/>
          <w:bCs/>
          <w:color w:val="auto"/>
          <w:sz w:val="24"/>
          <w:szCs w:val="24"/>
          <w:highlight w:val="none"/>
        </w:rPr>
      </w:pPr>
      <w:r>
        <w:rPr>
          <w:rFonts w:hint="eastAsia" w:ascii="宋体" w:hAnsi="宋体" w:cs="宋体"/>
          <w:bCs/>
          <w:color w:val="auto"/>
          <w:sz w:val="24"/>
          <w:szCs w:val="24"/>
          <w:highlight w:val="none"/>
        </w:rPr>
        <w:t xml:space="preserve">① 查询时间：</w:t>
      </w:r>
      <w:r>
        <w:rPr>
          <w:rFonts w:hint="eastAsia" w:ascii="宋体" w:hAnsi="宋体"/>
          <w:bCs/>
          <w:color w:val="auto"/>
          <w:sz w:val="24"/>
          <w:szCs w:val="24"/>
          <w:highlight w:val="none"/>
        </w:rPr>
        <w:t xml:space="preserve">询价小组将在资审环节查询供应商的信用记录，</w:t>
      </w:r>
      <w:r>
        <w:rPr>
          <w:rFonts w:hint="eastAsia" w:ascii="宋体" w:hAnsi="宋体" w:cs="宋体"/>
          <w:bCs/>
          <w:color w:val="auto"/>
          <w:sz w:val="24"/>
          <w:szCs w:val="24"/>
          <w:highlight w:val="none"/>
        </w:rPr>
        <w:t xml:space="preserve">供应商存在不良信用记录的，其报价将被认定为报价无效。</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② 不良信用记录指：被“信用中国”（www.creditchina.gov.cn</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、中国政府采购网（www.ccgp.gov.cn）列入失信被执行人、重大税收违法案件当事人名单、政府采购严重违法失信行为记录名单（在限制期内）</w:t>
      </w: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存在以上任意一项不良信用记录，</w:t>
      </w:r>
      <w:r>
        <w:rPr>
          <w:rFonts w:hint="eastAsia" w:ascii="宋体" w:hAnsi="宋体"/>
          <w:bCs/>
          <w:color w:val="auto"/>
          <w:sz w:val="24"/>
          <w:szCs w:val="24"/>
          <w:highlight w:val="none"/>
        </w:rPr>
        <w:t xml:space="preserve">其</w:t>
      </w:r>
      <w:r>
        <w:rPr>
          <w:rFonts w:hint="eastAsia" w:ascii="宋体" w:hAnsi="宋体" w:cs="宋体"/>
          <w:color w:val="auto"/>
          <w:sz w:val="24"/>
          <w:szCs w:val="24"/>
          <w:highlight w:val="none"/>
        </w:rPr>
        <w:t xml:space="preserve">报价无效</w:t>
      </w:r>
      <w:r>
        <w:rPr>
          <w:rFonts w:hint="eastAsia" w:ascii="宋体" w:hAnsi="宋体" w:cs="宋体"/>
          <w:bCs/>
          <w:color w:val="auto"/>
          <w:sz w:val="24"/>
          <w:szCs w:val="24"/>
          <w:highlight w:val="none"/>
        </w:rPr>
        <w:t xml:space="preserve">。</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③ 查询及记录方式：评审当日，</w:t>
      </w:r>
      <w:r>
        <w:rPr>
          <w:rFonts w:hint="eastAsia" w:ascii="宋体" w:hAnsi="宋体"/>
          <w:bCs/>
          <w:color w:val="auto"/>
          <w:sz w:val="24"/>
          <w:szCs w:val="24"/>
          <w:highlight w:val="none"/>
        </w:rPr>
        <w:t xml:space="preserve">询价小组</w:t>
      </w:r>
      <w:r>
        <w:rPr>
          <w:rFonts w:hint="eastAsia" w:ascii="宋体" w:hAnsi="宋体" w:cs="宋体"/>
          <w:bCs/>
          <w:color w:val="auto"/>
          <w:sz w:val="24"/>
          <w:szCs w:val="24"/>
          <w:highlight w:val="none"/>
        </w:rPr>
        <w:t xml:space="preserve">在以上网站查询并打印查询结果、签字、存档备查。供应商不良信用记录以</w:t>
      </w:r>
      <w:r>
        <w:rPr>
          <w:rFonts w:hint="eastAsia" w:ascii="宋体" w:hAnsi="宋体"/>
          <w:bCs/>
          <w:color w:val="auto"/>
          <w:sz w:val="24"/>
          <w:szCs w:val="24"/>
          <w:highlight w:val="none"/>
        </w:rPr>
        <w:t xml:space="preserve">询价小组在评审</w:t>
      </w:r>
      <w:r>
        <w:rPr>
          <w:rFonts w:hint="eastAsia" w:ascii="宋体" w:hAnsi="宋体" w:cs="宋体"/>
          <w:bCs/>
          <w:color w:val="auto"/>
          <w:sz w:val="24"/>
          <w:szCs w:val="24"/>
          <w:highlight w:val="none"/>
        </w:rPr>
        <w:t xml:space="preserve">现场实时查询结果为准，评审结束后，不因供应商不良信用记录改变而改变</w:t>
      </w:r>
      <w:bookmarkStart w:id="66" w:name="_Hlk160110027"/>
      <w:r>
        <w:rPr>
          <w:rFonts w:hint="eastAsia" w:ascii="宋体" w:hAnsi="宋体" w:cs="宋体"/>
          <w:bCs/>
          <w:color w:val="auto"/>
          <w:sz w:val="24"/>
          <w:szCs w:val="24"/>
          <w:highlight w:val="none"/>
        </w:rPr>
        <w:t xml:space="preserve">信用查询</w:t>
      </w:r>
      <w:bookmarkEnd w:id="66"/>
      <w:r>
        <w:rPr>
          <w:rFonts w:hint="eastAsia" w:ascii="宋体" w:hAnsi="宋体" w:cs="宋体"/>
          <w:bCs/>
          <w:color w:val="auto"/>
          <w:sz w:val="24"/>
          <w:szCs w:val="24"/>
          <w:highlight w:val="none"/>
        </w:rPr>
        <w:t xml:space="preserve">结果；供应商自行提供的与网站信息不一致的其他证明材料不作为资格审查依据；若在以上两个网站查询不到供应商企业信息的，</w:t>
      </w:r>
      <w:bookmarkStart w:id="67" w:name="_Hlk163724827"/>
      <w:r>
        <w:rPr>
          <w:rFonts w:hint="eastAsia" w:ascii="宋体" w:hAnsi="宋体"/>
          <w:bCs/>
          <w:color w:val="auto"/>
          <w:sz w:val="24"/>
          <w:szCs w:val="24"/>
          <w:highlight w:val="none"/>
          <w:lang w:val="zh-CN"/>
        </w:rPr>
        <w:t xml:space="preserve">以供应商提供的资格声明函中作出的无不良信用记录承诺为准。</w:t>
      </w:r>
      <w:bookmarkEnd w:id="67"/>
      <w:r/>
      <w:r/>
    </w:p>
    <w:p>
      <w:pPr>
        <w:ind w:left="1" w:firstLine="480"/>
        <w:jc w:val="left"/>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21.2.3 符合性审查是指询价小组对通过资格性审查的供应商的响应文件进行</w:t>
      </w:r>
      <w:bookmarkStart w:id="68" w:name="_Hlk159919996"/>
      <w:r>
        <w:rPr>
          <w:rFonts w:hint="eastAsia" w:ascii="宋体" w:hAnsi="宋体"/>
          <w:bCs/>
          <w:color w:val="auto"/>
          <w:sz w:val="24"/>
          <w:szCs w:val="24"/>
          <w:highlight w:val="none"/>
        </w:rPr>
        <w:t xml:space="preserve">审查，以确定其是否满足询价通知书的实质性要求。</w:t>
      </w:r>
      <w:bookmarkEnd w:id="68"/>
      <w:r/>
      <w:bookmarkStart w:id="69" w:name="_Hlk151562902"/>
      <w:r>
        <w:rPr>
          <w:rFonts w:hint="eastAsia" w:ascii="宋体" w:hAnsi="宋体"/>
          <w:bCs/>
          <w:color w:val="auto"/>
          <w:sz w:val="24"/>
          <w:szCs w:val="24"/>
          <w:highlight w:val="none"/>
        </w:rPr>
        <w:t xml:space="preserve">此处实质性要求是指</w:t>
      </w:r>
      <w:r>
        <w:rPr>
          <w:rFonts w:hint="eastAsia" w:ascii="宋体" w:hAnsi="宋体" w:cs="宋体"/>
          <w:bCs/>
          <w:color w:val="auto"/>
          <w:sz w:val="24"/>
          <w:szCs w:val="24"/>
          <w:highlight w:val="none"/>
        </w:rPr>
        <w:t xml:space="preserve">本须知“9、</w:t>
      </w:r>
      <w:r>
        <w:rPr>
          <w:rFonts w:hint="eastAsia" w:ascii="宋体" w:hAnsi="宋体"/>
          <w:bCs/>
          <w:color w:val="auto"/>
          <w:sz w:val="24"/>
          <w:szCs w:val="24"/>
          <w:highlight w:val="none"/>
        </w:rPr>
        <w:t xml:space="preserve">响应文件</w:t>
      </w:r>
      <w:r>
        <w:rPr>
          <w:rFonts w:hint="eastAsia" w:ascii="宋体" w:hAnsi="宋体" w:cs="宋体"/>
          <w:bCs/>
          <w:color w:val="auto"/>
          <w:sz w:val="24"/>
          <w:szCs w:val="24"/>
          <w:highlight w:val="none"/>
        </w:rPr>
        <w:t xml:space="preserve">的组成”</w:t>
      </w:r>
      <w:bookmarkEnd w:id="69"/>
      <w:r>
        <w:rPr>
          <w:rFonts w:hint="eastAsia" w:ascii="宋体" w:hAnsi="宋体" w:cs="宋体"/>
          <w:bCs/>
          <w:color w:val="auto"/>
          <w:sz w:val="24"/>
          <w:szCs w:val="24"/>
          <w:highlight w:val="none"/>
        </w:rPr>
        <w:t xml:space="preserve"> 中“符合条件”和</w:t>
      </w:r>
      <w:r>
        <w:rPr>
          <w:rFonts w:hint="eastAsia" w:ascii="宋体" w:hAnsi="宋体"/>
          <w:bCs/>
          <w:color w:val="auto"/>
          <w:sz w:val="24"/>
          <w:szCs w:val="24"/>
          <w:highlight w:val="none"/>
        </w:rPr>
        <w:t xml:space="preserve">询价通知书中其他实质性要求，未通过符合性审查的，其报价无效。</w:t>
      </w:r>
      <w:r/>
    </w:p>
    <w:p>
      <w:pPr>
        <w:ind w:firstLine="480"/>
        <w:jc w:val="left"/>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21.2.4询价小组可以在国家市场监督管理总局“全国认证认可信息公共服务平台”（http://cx.cnca.cn</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等政府网站查询供应商提供的强制采购节能产品或优先采购节能产品、环境标志产品的认证信息，查看认证信息中的“品目”与本项目相关产品在</w:t>
      </w:r>
      <w:r>
        <w:rPr>
          <w:rFonts w:hint="eastAsia" w:ascii="宋体" w:hAnsi="宋体"/>
          <w:bCs/>
          <w:color w:val="auto"/>
          <w:sz w:val="24"/>
          <w:szCs w:val="24"/>
          <w:highlight w:val="none"/>
          <w:lang w:val="zh-CN"/>
        </w:rPr>
        <w:t xml:space="preserve">节能</w:t>
      </w:r>
      <w:r>
        <w:rPr>
          <w:rFonts w:hint="eastAsia" w:ascii="宋体" w:hAnsi="宋体"/>
          <w:bCs/>
          <w:color w:val="auto"/>
          <w:sz w:val="24"/>
          <w:szCs w:val="24"/>
          <w:highlight w:val="none"/>
        </w:rPr>
        <w:t xml:space="preserve">（环境标志）</w:t>
      </w:r>
      <w:r>
        <w:rPr>
          <w:rFonts w:hint="eastAsia" w:ascii="宋体" w:hAnsi="宋体"/>
          <w:bCs/>
          <w:color w:val="auto"/>
          <w:sz w:val="24"/>
          <w:szCs w:val="24"/>
          <w:highlight w:val="none"/>
          <w:lang w:val="zh-CN"/>
        </w:rPr>
        <w:t xml:space="preserve">产品政府采购品目清单</w:t>
      </w:r>
      <w:r>
        <w:rPr>
          <w:rFonts w:hint="eastAsia" w:ascii="宋体" w:hAnsi="宋体"/>
          <w:bCs/>
          <w:color w:val="auto"/>
          <w:sz w:val="24"/>
          <w:szCs w:val="24"/>
          <w:highlight w:val="none"/>
        </w:rPr>
        <w:t xml:space="preserve">中的品目是否一致，判定供应商提供的相关产品是否满足采购需求。</w:t>
      </w:r>
      <w:r/>
    </w:p>
    <w:p>
      <w:pPr>
        <w:ind w:left="1" w:firstLine="480"/>
        <w:jc w:val="left"/>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21.3 澄清有关问题。询价小组对响应文件的有效性、完整性和响应程度进行审查时，可以要求供应商对响应文件中含义不明确、同类问题表述不一致或者有明显文字错误和计算错误的内容作出必要的澄清、说明或者更正，并以书面形式通知供应商，采用不见面交易模式的，可以采用数据电文形式进行，并做好记录。供应商的澄清、说明或者更正不得超出响应文件的范围或者改变响应文件的实质性内容。</w:t>
      </w:r>
      <w:r>
        <w:rPr>
          <w:rFonts w:hint="eastAsia" w:ascii="宋体" w:hAnsi="宋体"/>
          <w:bCs/>
          <w:color w:val="auto"/>
          <w:sz w:val="24"/>
          <w:highlight w:val="none"/>
        </w:rPr>
        <w:t xml:space="preserve">供应商在项目评审全过程中应保持通讯畅通，及时接听电话，由法定代表人或其授权代</w:t>
      </w:r>
      <w:r>
        <w:rPr>
          <w:rFonts w:hint="eastAsia" w:ascii="宋体" w:hAnsi="宋体"/>
          <w:bCs/>
          <w:color w:val="auto"/>
          <w:sz w:val="24"/>
          <w:highlight w:val="none"/>
          <w:lang w:eastAsia="zh-CN"/>
        </w:rPr>
        <w:t xml:space="preserve">表人</w:t>
      </w:r>
      <w:r>
        <w:rPr>
          <w:rFonts w:hint="eastAsia" w:ascii="宋体" w:hAnsi="宋体"/>
          <w:bCs/>
          <w:color w:val="auto"/>
          <w:sz w:val="24"/>
          <w:highlight w:val="none"/>
        </w:rPr>
        <w:t xml:space="preserve">负责答复相关信息。如未按上述要求及时应答，由此所产生的损失及风险由供应商自行承担。</w:t>
      </w:r>
      <w:r>
        <w:rPr>
          <w:rFonts w:hint="eastAsia" w:ascii="宋体" w:hAnsi="宋体"/>
          <w:bCs/>
          <w:color w:val="auto"/>
          <w:sz w:val="24"/>
          <w:szCs w:val="24"/>
          <w:highlight w:val="none"/>
        </w:rPr>
        <w:t xml:space="preserve">若</w:t>
      </w:r>
      <w:bookmarkStart w:id="70" w:name="OLE_LINK1"/>
      <w:r>
        <w:rPr>
          <w:rFonts w:hint="eastAsia" w:ascii="宋体" w:hAnsi="宋体"/>
          <w:bCs/>
          <w:color w:val="auto"/>
          <w:sz w:val="24"/>
          <w:szCs w:val="24"/>
          <w:highlight w:val="none"/>
        </w:rPr>
        <w:t xml:space="preserve">对不同文字文本响应文件的解释发生异议的，以中文文本为准。</w:t>
      </w:r>
      <w:bookmarkEnd w:id="70"/>
      <w:r/>
      <w:bookmarkStart w:id="71" w:name="_Hlk159572925"/>
      <w:r>
        <w:rPr>
          <w:rFonts w:hint="eastAsia" w:ascii="宋体" w:hAnsi="宋体"/>
          <w:bCs/>
          <w:color w:val="auto"/>
          <w:sz w:val="24"/>
          <w:szCs w:val="24"/>
          <w:highlight w:val="none"/>
        </w:rPr>
        <w:t xml:space="preserve">相关证书名称或内容与询价通知书要求不完全一致，但实质相同的视作等同。除以上询价小组</w:t>
      </w:r>
      <w:r>
        <w:rPr>
          <w:rFonts w:hint="eastAsia" w:ascii="宋体" w:hAnsi="宋体"/>
          <w:bCs/>
          <w:color w:val="auto"/>
          <w:sz w:val="24"/>
          <w:highlight w:val="none"/>
        </w:rPr>
        <w:t xml:space="preserve">要求供应商作出必要的澄清、说明或者纠正时，需要供应商提供相关证明材料外，供应商</w:t>
      </w:r>
      <w:r>
        <w:rPr>
          <w:rFonts w:hint="eastAsia" w:ascii="宋体" w:hAnsi="宋体"/>
          <w:bCs/>
          <w:color w:val="auto"/>
          <w:sz w:val="24"/>
          <w:szCs w:val="24"/>
          <w:highlight w:val="none"/>
        </w:rPr>
        <w:t xml:space="preserve">提供的</w:t>
      </w:r>
      <w:r>
        <w:rPr>
          <w:rFonts w:hint="eastAsia" w:ascii="宋体" w:hAnsi="宋体"/>
          <w:bCs/>
          <w:color w:val="auto"/>
          <w:sz w:val="24"/>
          <w:highlight w:val="none"/>
        </w:rPr>
        <w:t xml:space="preserve">响应文件以外的证明材料一概不作为评审依据。</w:t>
      </w:r>
      <w:bookmarkEnd w:id="71"/>
      <w:r/>
      <w:r/>
    </w:p>
    <w:p>
      <w:pPr>
        <w:ind w:left="1" w:firstLine="480"/>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szCs w:val="24"/>
          <w:highlight w:val="none"/>
        </w:rPr>
        <w:t xml:space="preserve">21.4 </w:t>
      </w:r>
      <w:r>
        <w:rPr>
          <w:rFonts w:hint="eastAsia" w:ascii="宋体" w:hAnsi="宋体"/>
          <w:bCs/>
          <w:color w:val="auto"/>
          <w:sz w:val="24"/>
          <w:highlight w:val="none"/>
        </w:rPr>
        <w:t xml:space="preserve">评审方法和标准。</w:t>
      </w:r>
      <w:r/>
    </w:p>
    <w:p>
      <w:pPr>
        <w:ind w:left="1" w:firstLine="480"/>
        <w:jc w:val="left"/>
        <w:spacing w:line="360" w:lineRule="auto"/>
        <w:tabs>
          <w:tab w:val="left" w:pos="945" w:leader="none"/>
        </w:tabs>
        <w:rPr>
          <w:rFonts w:hint="eastAsia" w:ascii="宋体" w:hAnsi="宋体"/>
          <w:bCs/>
          <w:color w:val="auto"/>
          <w:sz w:val="24"/>
          <w:highlight w:val="none"/>
        </w:rPr>
      </w:pPr>
      <w:r/>
      <w:bookmarkStart w:id="72" w:name="OLE_LINK12"/>
      <w:r>
        <w:rPr>
          <w:rFonts w:hint="eastAsia" w:ascii="宋体" w:hAnsi="宋体"/>
          <w:bCs/>
          <w:color w:val="auto"/>
          <w:sz w:val="24"/>
          <w:highlight w:val="none"/>
        </w:rPr>
        <w:t xml:space="preserve">21.4.1 </w:t>
      </w:r>
      <w:bookmarkEnd w:id="72"/>
      <w:r>
        <w:rPr>
          <w:rFonts w:hint="eastAsia" w:ascii="宋体" w:hAnsi="宋体"/>
          <w:bCs/>
          <w:color w:val="auto"/>
          <w:sz w:val="24"/>
          <w:szCs w:val="24"/>
          <w:highlight w:val="none"/>
        </w:rPr>
        <w:t xml:space="preserve">询价小组从质量和服务均能满足询价通知书实质性响应要求的供应商中，按照报价由低到高的</w:t>
      </w:r>
      <w:r>
        <w:rPr>
          <w:rFonts w:hint="eastAsia" w:ascii="宋体" w:hAnsi="宋体"/>
          <w:bCs/>
          <w:color w:val="auto"/>
          <w:sz w:val="24"/>
          <w:szCs w:val="24"/>
          <w:highlight w:val="none"/>
          <w:lang w:val="zh-CN"/>
        </w:rPr>
        <w:t xml:space="preserve">顺序排列，并作为成交候选人排序，编写评审报告</w:t>
      </w:r>
      <w:r>
        <w:rPr>
          <w:rFonts w:hint="eastAsia" w:ascii="宋体" w:hAnsi="宋体"/>
          <w:bCs/>
          <w:color w:val="auto"/>
          <w:sz w:val="24"/>
          <w:highlight w:val="none"/>
        </w:rPr>
        <w:t xml:space="preserve">。</w:t>
      </w:r>
      <w:r>
        <w:rPr>
          <w:rFonts w:hint="eastAsia" w:ascii="宋体" w:hAnsi="宋体"/>
          <w:bCs/>
          <w:color w:val="auto"/>
          <w:sz w:val="24"/>
          <w:szCs w:val="24"/>
          <w:highlight w:val="none"/>
          <w:lang w:val="zh-CN"/>
        </w:rPr>
        <w:t xml:space="preserve">报价相同的，</w:t>
      </w:r>
      <w:r>
        <w:rPr>
          <w:rFonts w:hint="eastAsia" w:ascii="宋体" w:hAnsi="宋体"/>
          <w:bCs/>
          <w:color w:val="auto"/>
          <w:sz w:val="24"/>
          <w:highlight w:val="none"/>
        </w:rPr>
        <w:t xml:space="preserve">由采购人代表抽签确定排序。</w:t>
      </w:r>
      <w:r/>
    </w:p>
    <w:p>
      <w:pPr>
        <w:ind w:left="1"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随机抽签活动，按下列程序公开进行：</w:t>
      </w:r>
      <w:r/>
    </w:p>
    <w:p>
      <w:pPr>
        <w:numPr>
          <w:ilvl w:val="0"/>
          <w:numId w:val="8"/>
        </w:numPr>
        <w:ind w:firstLine="638"/>
        <w:spacing w:line="360" w:lineRule="auto"/>
        <w:tabs>
          <w:tab w:val="left" w:pos="945" w:leader="none"/>
        </w:tabs>
        <w:rPr>
          <w:rFonts w:hint="eastAsia" w:ascii="宋体" w:hAnsi="宋体"/>
          <w:bCs/>
          <w:color w:val="auto"/>
          <w:sz w:val="24"/>
          <w:szCs w:val="22"/>
          <w:highlight w:val="none"/>
        </w:rPr>
      </w:pPr>
      <w:r>
        <w:rPr>
          <w:rFonts w:hint="eastAsia" w:ascii="宋体" w:hAnsi="宋体"/>
          <w:bCs/>
          <w:color w:val="auto"/>
          <w:sz w:val="24"/>
          <w:szCs w:val="22"/>
          <w:highlight w:val="none"/>
        </w:rPr>
        <w:t xml:space="preserve">根据</w:t>
      </w:r>
      <w:r>
        <w:rPr>
          <w:rFonts w:hint="eastAsia" w:ascii="宋体" w:hAnsi="宋体" w:cs="宋体"/>
          <w:color w:val="auto"/>
          <w:sz w:val="24"/>
          <w:szCs w:val="24"/>
          <w:highlight w:val="none"/>
          <w:lang w:val="zh-CN"/>
        </w:rPr>
        <w:t xml:space="preserve">投标报价</w:t>
      </w:r>
      <w:r>
        <w:rPr>
          <w:rFonts w:hint="eastAsia" w:ascii="宋体" w:hAnsi="宋体"/>
          <w:bCs/>
          <w:color w:val="auto"/>
          <w:sz w:val="24"/>
          <w:szCs w:val="22"/>
          <w:highlight w:val="none"/>
        </w:rPr>
        <w:t xml:space="preserve">相同的</w:t>
      </w:r>
      <w:r>
        <w:rPr>
          <w:rFonts w:hint="eastAsia" w:ascii="宋体" w:hAnsi="宋体"/>
          <w:bCs/>
          <w:color w:val="auto"/>
          <w:sz w:val="24"/>
          <w:szCs w:val="22"/>
          <w:highlight w:val="none"/>
          <w:lang w:val="en-US" w:eastAsia="zh-CN"/>
        </w:rPr>
        <w:t xml:space="preserve">供应商</w:t>
      </w:r>
      <w:r>
        <w:rPr>
          <w:rFonts w:hint="eastAsia" w:ascii="宋体" w:hAnsi="宋体"/>
          <w:bCs/>
          <w:color w:val="auto"/>
          <w:sz w:val="24"/>
          <w:szCs w:val="22"/>
          <w:highlight w:val="none"/>
        </w:rPr>
        <w:t xml:space="preserve">数量，向抽取箱内放入三倍数量以上的号码球；</w:t>
      </w:r>
      <w:r/>
    </w:p>
    <w:p>
      <w:pPr>
        <w:numPr>
          <w:ilvl w:val="0"/>
          <w:numId w:val="8"/>
        </w:numPr>
        <w:ind w:firstLine="638"/>
        <w:spacing w:line="360" w:lineRule="auto"/>
        <w:tabs>
          <w:tab w:val="left" w:pos="945" w:leader="none"/>
        </w:tabs>
        <w:rPr>
          <w:rFonts w:hint="eastAsia" w:ascii="宋体" w:hAnsi="宋体"/>
          <w:bCs/>
          <w:color w:val="auto"/>
          <w:sz w:val="24"/>
          <w:szCs w:val="22"/>
          <w:highlight w:val="none"/>
        </w:rPr>
      </w:pPr>
      <w:r>
        <w:rPr>
          <w:rFonts w:hint="eastAsia" w:ascii="宋体" w:hAnsi="宋体"/>
          <w:bCs/>
          <w:color w:val="auto"/>
          <w:sz w:val="24"/>
          <w:szCs w:val="22"/>
          <w:highlight w:val="none"/>
        </w:rPr>
        <w:t xml:space="preserve">按照</w:t>
      </w:r>
      <w:r>
        <w:rPr>
          <w:rFonts w:hint="eastAsia" w:ascii="宋体" w:hAnsi="宋体"/>
          <w:bCs/>
          <w:color w:val="auto"/>
          <w:sz w:val="24"/>
          <w:szCs w:val="22"/>
          <w:highlight w:val="none"/>
          <w:lang w:val="en-US" w:eastAsia="zh-CN"/>
        </w:rPr>
        <w:t xml:space="preserve">系统</w:t>
      </w:r>
      <w:r>
        <w:rPr>
          <w:rFonts w:hint="eastAsia" w:ascii="宋体" w:hAnsi="宋体"/>
          <w:bCs/>
          <w:color w:val="auto"/>
          <w:sz w:val="24"/>
          <w:szCs w:val="22"/>
          <w:highlight w:val="none"/>
        </w:rPr>
        <w:t xml:space="preserve">顺序，由</w:t>
      </w:r>
      <w:r>
        <w:rPr>
          <w:rFonts w:hint="eastAsia" w:ascii="宋体" w:hAnsi="宋体"/>
          <w:bCs/>
          <w:color w:val="auto"/>
          <w:sz w:val="24"/>
          <w:highlight w:val="none"/>
        </w:rPr>
        <w:t xml:space="preserve">采购人</w:t>
      </w:r>
      <w:r>
        <w:rPr>
          <w:rFonts w:hint="eastAsia" w:ascii="宋体" w:hAnsi="宋体"/>
          <w:bCs/>
          <w:color w:val="auto"/>
          <w:sz w:val="24"/>
          <w:szCs w:val="22"/>
          <w:highlight w:val="none"/>
        </w:rPr>
        <w:t xml:space="preserve">公开抽取一个号码球，当场公布抽取的号码并在记录表上签字确认。确认后，仍将号码球放入抽取箱内，由</w:t>
      </w:r>
      <w:r>
        <w:rPr>
          <w:rFonts w:hint="eastAsia" w:ascii="宋体" w:hAnsi="宋体"/>
          <w:bCs/>
          <w:color w:val="auto"/>
          <w:sz w:val="24"/>
          <w:szCs w:val="22"/>
          <w:highlight w:val="none"/>
          <w:lang w:val="en-US" w:eastAsia="zh-CN"/>
        </w:rPr>
        <w:t xml:space="preserve">采购人</w:t>
      </w:r>
      <w:r>
        <w:rPr>
          <w:rFonts w:hint="eastAsia" w:ascii="宋体" w:hAnsi="宋体"/>
          <w:bCs/>
          <w:color w:val="auto"/>
          <w:sz w:val="24"/>
          <w:szCs w:val="22"/>
          <w:highlight w:val="none"/>
        </w:rPr>
        <w:t xml:space="preserve">抽取</w:t>
      </w:r>
      <w:r>
        <w:rPr>
          <w:rFonts w:hint="eastAsia" w:ascii="宋体" w:hAnsi="宋体"/>
          <w:bCs/>
          <w:color w:val="auto"/>
          <w:sz w:val="24"/>
          <w:szCs w:val="22"/>
          <w:highlight w:val="none"/>
          <w:lang w:val="en-US" w:eastAsia="zh-CN"/>
        </w:rPr>
        <w:t xml:space="preserve">下一个</w:t>
      </w:r>
      <w:r>
        <w:rPr>
          <w:rFonts w:hint="eastAsia" w:ascii="宋体" w:hAnsi="宋体"/>
          <w:bCs/>
          <w:color w:val="auto"/>
          <w:sz w:val="24"/>
          <w:szCs w:val="22"/>
          <w:highlight w:val="none"/>
        </w:rPr>
        <w:t xml:space="preserve">号码球，直至抽取完毕；</w:t>
      </w:r>
      <w:r/>
    </w:p>
    <w:p>
      <w:pPr>
        <w:numPr>
          <w:ilvl w:val="0"/>
          <w:numId w:val="8"/>
        </w:numPr>
        <w:ind w:firstLine="638"/>
        <w:spacing w:line="360" w:lineRule="auto"/>
        <w:tabs>
          <w:tab w:val="left" w:pos="945" w:leader="none"/>
        </w:tabs>
        <w:rPr>
          <w:rFonts w:hint="eastAsia" w:ascii="宋体" w:hAnsi="宋体"/>
          <w:bCs/>
          <w:color w:val="auto"/>
          <w:sz w:val="24"/>
          <w:szCs w:val="22"/>
          <w:highlight w:val="none"/>
        </w:rPr>
      </w:pPr>
      <w:r>
        <w:rPr>
          <w:rFonts w:hint="eastAsia" w:ascii="宋体" w:hAnsi="宋体"/>
          <w:bCs/>
          <w:color w:val="auto"/>
          <w:sz w:val="24"/>
          <w:szCs w:val="22"/>
          <w:highlight w:val="none"/>
        </w:rPr>
        <w:t xml:space="preserve">如抽签确定的号码值出现相同的情况，则</w:t>
      </w:r>
      <w:r>
        <w:rPr>
          <w:rFonts w:hint="eastAsia" w:ascii="宋体" w:hAnsi="宋体"/>
          <w:bCs/>
          <w:color w:val="auto"/>
          <w:sz w:val="24"/>
          <w:szCs w:val="22"/>
          <w:highlight w:val="none"/>
          <w:lang w:val="en-US" w:eastAsia="zh-CN"/>
        </w:rPr>
        <w:t xml:space="preserve">由采购人</w:t>
      </w:r>
      <w:r>
        <w:rPr>
          <w:rFonts w:hint="eastAsia" w:ascii="宋体" w:hAnsi="宋体"/>
          <w:bCs/>
          <w:color w:val="auto"/>
          <w:sz w:val="24"/>
          <w:szCs w:val="22"/>
          <w:highlight w:val="none"/>
        </w:rPr>
        <w:t xml:space="preserve">进行第二轮抽取，从大到小排序。以此类推，直至确定相同号码值</w:t>
      </w:r>
      <w:r>
        <w:rPr>
          <w:rFonts w:hint="eastAsia" w:ascii="宋体" w:hAnsi="宋体"/>
          <w:bCs/>
          <w:color w:val="auto"/>
          <w:sz w:val="24"/>
          <w:szCs w:val="22"/>
          <w:highlight w:val="none"/>
          <w:lang w:val="en-US" w:eastAsia="zh-CN"/>
        </w:rPr>
        <w:t xml:space="preserve">的供应商</w:t>
      </w:r>
      <w:r>
        <w:rPr>
          <w:rFonts w:hint="eastAsia" w:ascii="宋体" w:hAnsi="宋体"/>
          <w:bCs/>
          <w:color w:val="auto"/>
          <w:sz w:val="24"/>
          <w:szCs w:val="22"/>
          <w:highlight w:val="none"/>
        </w:rPr>
        <w:t xml:space="preserve">的排序。</w:t>
      </w:r>
      <w:r/>
    </w:p>
    <w:p>
      <w:pPr>
        <w:ind w:firstLine="482"/>
        <w:spacing w:line="360" w:lineRule="auto"/>
        <w:rPr>
          <w:rFonts w:hint="eastAsia" w:ascii="宋体" w:hAnsi="宋体"/>
          <w:bCs/>
          <w:color w:val="auto"/>
          <w:sz w:val="24"/>
          <w:highlight w:val="none"/>
        </w:rPr>
      </w:pPr>
      <w:r>
        <w:rPr>
          <w:rFonts w:hint="eastAsia" w:ascii="宋体" w:hAnsi="宋体"/>
          <w:b/>
          <w:color w:val="auto"/>
          <w:sz w:val="24"/>
          <w:szCs w:val="24"/>
          <w:highlight w:val="none"/>
        </w:rPr>
        <w:t xml:space="preserve">抽签程序结束后，抽取的号码记录不因</w:t>
      </w:r>
      <w:r>
        <w:rPr>
          <w:rFonts w:hint="eastAsia" w:ascii="宋体" w:hAnsi="宋体"/>
          <w:b/>
          <w:color w:val="auto"/>
          <w:sz w:val="24"/>
          <w:szCs w:val="24"/>
          <w:highlight w:val="none"/>
          <w:lang w:val="en-US" w:eastAsia="zh-CN"/>
        </w:rPr>
        <w:t xml:space="preserve">供应商</w:t>
      </w:r>
      <w:r>
        <w:rPr>
          <w:rFonts w:hint="eastAsia" w:ascii="宋体" w:hAnsi="宋体"/>
          <w:b/>
          <w:color w:val="auto"/>
          <w:sz w:val="24"/>
          <w:szCs w:val="24"/>
          <w:highlight w:val="none"/>
        </w:rPr>
        <w:t xml:space="preserve">的质疑、投诉以及其它任何情形而改变。</w:t>
      </w:r>
      <w:r/>
    </w:p>
    <w:p>
      <w:pPr>
        <w:ind w:left="1" w:firstLine="480"/>
        <w:jc w:val="left"/>
        <w:spacing w:line="360" w:lineRule="auto"/>
        <w:tabs>
          <w:tab w:val="left" w:pos="94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除了算术修正</w:t>
      </w:r>
      <w:bookmarkStart w:id="73" w:name="OLE_LINK201"/>
      <w:r>
        <w:rPr>
          <w:rFonts w:hint="eastAsia" w:ascii="宋体" w:hAnsi="宋体" w:cs="宋体"/>
          <w:bCs/>
          <w:color w:val="auto"/>
          <w:sz w:val="24"/>
          <w:szCs w:val="24"/>
          <w:highlight w:val="none"/>
        </w:rPr>
        <w:t xml:space="preserve">（</w:t>
      </w:r>
      <w:bookmarkStart w:id="74" w:name="OLE_LINK202"/>
      <w:r>
        <w:rPr>
          <w:rFonts w:hint="eastAsia" w:ascii="宋体" w:hAnsi="宋体" w:cs="宋体"/>
          <w:bCs/>
          <w:color w:val="auto"/>
          <w:sz w:val="24"/>
          <w:szCs w:val="24"/>
          <w:highlight w:val="none"/>
        </w:rPr>
        <w:t xml:space="preserve">21.4.2</w:t>
      </w:r>
      <w:bookmarkEnd w:id="73"/>
      <w:r>
        <w:rPr>
          <w:rFonts w:hint="eastAsia" w:ascii="宋体" w:hAnsi="宋体" w:cs="宋体"/>
          <w:bCs/>
          <w:color w:val="auto"/>
          <w:sz w:val="24"/>
          <w:szCs w:val="24"/>
          <w:highlight w:val="none"/>
        </w:rPr>
        <w:t xml:space="preserve">）</w:t>
      </w:r>
      <w:bookmarkEnd w:id="74"/>
      <w:r>
        <w:rPr>
          <w:rFonts w:hint="eastAsia" w:ascii="宋体" w:hAnsi="宋体" w:cs="宋体"/>
          <w:bCs/>
          <w:color w:val="auto"/>
          <w:sz w:val="24"/>
          <w:szCs w:val="24"/>
          <w:highlight w:val="none"/>
        </w:rPr>
        <w:t xml:space="preserve">和落实政府采购政策需进行的价格扣除外，不对供应商的价格进行任何调整。</w:t>
      </w:r>
      <w:r>
        <w:rPr>
          <w:rFonts w:hint="eastAsia" w:ascii="宋体" w:hAnsi="宋体" w:cs="宋体"/>
          <w:color w:val="auto"/>
          <w:sz w:val="24"/>
          <w:szCs w:val="24"/>
          <w:highlight w:val="none"/>
        </w:rPr>
        <w:t xml:space="preserve">如有调整，</w:t>
      </w:r>
      <w:r>
        <w:rPr>
          <w:rFonts w:hint="eastAsia" w:ascii="宋体" w:hAnsi="宋体" w:cs="宋体"/>
          <w:bCs/>
          <w:color w:val="auto"/>
          <w:sz w:val="24"/>
          <w:szCs w:val="24"/>
          <w:highlight w:val="none"/>
        </w:rPr>
        <w:t xml:space="preserve">根据调整后的报价参与评审和排序。</w:t>
      </w:r>
      <w:r/>
    </w:p>
    <w:p>
      <w:pPr>
        <w:ind w:left="420"/>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21.4.2 响应文件报价出现前后不一致的，除询价通知书另有规定外，按照下列规定修正：</w:t>
      </w:r>
      <w:r/>
    </w:p>
    <w:p>
      <w:pPr>
        <w:numPr>
          <w:ilvl w:val="0"/>
          <w:numId w:val="9"/>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响应文件中</w:t>
      </w:r>
      <w:r>
        <w:rPr>
          <w:rFonts w:hint="eastAsia" w:ascii="宋体" w:hAnsi="宋体"/>
          <w:bCs/>
          <w:color w:val="auto"/>
          <w:sz w:val="24"/>
          <w:highlight w:val="none"/>
          <w:lang w:val="zh-CN"/>
        </w:rPr>
        <w:t xml:space="preserve">询价报价表</w:t>
      </w:r>
      <w:r>
        <w:rPr>
          <w:rFonts w:hint="eastAsia" w:ascii="宋体" w:hAnsi="宋体"/>
          <w:bCs/>
          <w:color w:val="auto"/>
          <w:sz w:val="24"/>
          <w:highlight w:val="none"/>
        </w:rPr>
        <w:t xml:space="preserve">内容与响应文件中相应内容不一致的，以</w:t>
      </w:r>
      <w:r>
        <w:rPr>
          <w:rFonts w:hint="eastAsia" w:ascii="宋体" w:hAnsi="宋体"/>
          <w:bCs/>
          <w:color w:val="auto"/>
          <w:sz w:val="24"/>
          <w:highlight w:val="none"/>
          <w:lang w:val="zh-CN"/>
        </w:rPr>
        <w:t xml:space="preserve">询价报价表</w:t>
      </w:r>
      <w:r>
        <w:rPr>
          <w:rFonts w:hint="eastAsia" w:ascii="宋体" w:hAnsi="宋体"/>
          <w:bCs/>
          <w:color w:val="auto"/>
          <w:sz w:val="24"/>
          <w:highlight w:val="none"/>
        </w:rPr>
        <w:t xml:space="preserve">为准；</w:t>
      </w:r>
      <w:r/>
    </w:p>
    <w:p>
      <w:pPr>
        <w:numPr>
          <w:ilvl w:val="0"/>
          <w:numId w:val="9"/>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9"/>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单价金额小数点或者百分比有明显错位的，以</w:t>
      </w:r>
      <w:r>
        <w:rPr>
          <w:rFonts w:hint="eastAsia" w:ascii="宋体" w:hAnsi="宋体"/>
          <w:bCs/>
          <w:color w:val="auto"/>
          <w:sz w:val="24"/>
          <w:highlight w:val="none"/>
          <w:lang w:val="zh-CN"/>
        </w:rPr>
        <w:t xml:space="preserve">询价报价表</w:t>
      </w:r>
      <w:r>
        <w:rPr>
          <w:rFonts w:hint="eastAsia" w:ascii="宋体" w:hAnsi="宋体"/>
          <w:bCs/>
          <w:color w:val="auto"/>
          <w:sz w:val="24"/>
          <w:highlight w:val="none"/>
        </w:rPr>
        <w:t xml:space="preserve">的总价为准，并修改单价；</w:t>
      </w:r>
      <w:r/>
    </w:p>
    <w:p>
      <w:pPr>
        <w:numPr>
          <w:ilvl w:val="0"/>
          <w:numId w:val="9"/>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总价金额与按单价汇总金额不一致的，以总价金额计算结果为准。</w:t>
      </w:r>
      <w:r/>
    </w:p>
    <w:p>
      <w:pPr>
        <w:ind w:left="1" w:firstLine="480"/>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注：同时出现两种以上不一致的，按照前款规定的顺序修正。修正后的报价须</w:t>
      </w:r>
      <w:r>
        <w:rPr>
          <w:rFonts w:hint="eastAsia" w:ascii="宋体" w:hAnsi="宋体" w:cs="宋体"/>
          <w:bCs/>
          <w:color w:val="auto"/>
          <w:sz w:val="24"/>
          <w:szCs w:val="24"/>
          <w:highlight w:val="none"/>
        </w:rPr>
        <w:t xml:space="preserve">加盖供应商公章，或由法定代表人或其授权的代表签字。</w:t>
      </w:r>
      <w:r>
        <w:rPr>
          <w:rFonts w:hint="eastAsia" w:ascii="宋体" w:hAnsi="宋体"/>
          <w:bCs/>
          <w:color w:val="auto"/>
          <w:sz w:val="24"/>
          <w:highlight w:val="none"/>
        </w:rPr>
        <w:t xml:space="preserve">供应商不确认的，其报价无效。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21.4.3</w:t>
      </w:r>
      <w:bookmarkStart w:id="75" w:name="_Hlk166502221"/>
      <w:r>
        <w:rPr>
          <w:rFonts w:hint="eastAsia" w:ascii="宋体" w:hAnsi="宋体"/>
          <w:bCs/>
          <w:color w:val="auto"/>
          <w:sz w:val="24"/>
          <w:szCs w:val="24"/>
          <w:highlight w:val="none"/>
        </w:rPr>
        <w:t xml:space="preserve">询价小组对供应商提供的证明材料中关键要素应进行重点评审，以判定其是否符合要求，例如对节能产品认证证书的评审，应核对证书中的认证标准和技术要求、规格型号、生产厂家与响应文件中所提供的产品相关信息的一致性以及证书的发证机构和有效期。</w:t>
      </w:r>
      <w:bookmarkEnd w:id="75"/>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21.5 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highlight w:val="none"/>
        </w:rPr>
        <w:t xml:space="preserve">宣读</w:t>
      </w:r>
      <w:r>
        <w:rPr>
          <w:rFonts w:hint="eastAsia" w:ascii="宋体" w:hAnsi="宋体"/>
          <w:bCs/>
          <w:color w:val="auto"/>
          <w:sz w:val="24"/>
          <w:szCs w:val="24"/>
          <w:highlight w:val="none"/>
          <w:lang w:val="zh-CN"/>
        </w:rPr>
        <w:t xml:space="preserve">询价小组初步评审意见。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22、确定成交供应商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22.1 </w:t>
      </w:r>
      <w:r>
        <w:rPr>
          <w:rFonts w:hint="eastAsia" w:ascii="宋体" w:hAnsi="宋体"/>
          <w:bCs/>
          <w:color w:val="auto"/>
          <w:sz w:val="24"/>
          <w:szCs w:val="24"/>
          <w:highlight w:val="none"/>
          <w:lang w:val="zh-CN"/>
        </w:rPr>
        <w:t xml:space="preserve">评审结束后，采购人依照法律规定在收到评审报告后5个工作日内，在评审报告推荐的成交候选人中按顺序确定成交供应商。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22.2</w:t>
      </w:r>
      <w:r>
        <w:rPr>
          <w:rFonts w:hint="eastAsia" w:ascii="宋体" w:hAnsi="宋体"/>
          <w:bCs/>
          <w:color w:val="auto"/>
          <w:sz w:val="24"/>
          <w:szCs w:val="24"/>
          <w:highlight w:val="none"/>
          <w:lang w:val="zh-CN"/>
        </w:rPr>
        <w:t xml:space="preserve">成交结果确认后，</w:t>
      </w:r>
      <w:r>
        <w:rPr>
          <w:rFonts w:hint="eastAsia" w:ascii="宋体" w:hAnsi="宋体" w:cs="宋体"/>
          <w:bCs/>
          <w:color w:val="auto"/>
          <w:sz w:val="24"/>
          <w:szCs w:val="24"/>
          <w:highlight w:val="none"/>
        </w:rPr>
        <w:t xml:space="preserve">采购代理机构将向成交供应商发出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rPr>
        <w:t xml:space="preserve">成交通知书，请成交供应商登录“苏采云”系统及时下载成交通知书。因系统存储空间有限，自成交结果公告发布之日起30日后，“苏采云”系统不再保证提供下载成交通知书服务。因未及时下载而造成的一切后果由成交供应商自行承担。</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23、采购终止</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23.1 </w:t>
      </w:r>
      <w:r>
        <w:rPr>
          <w:rFonts w:hint="eastAsia" w:ascii="宋体" w:hAnsi="宋体"/>
          <w:bCs/>
          <w:color w:val="auto"/>
          <w:sz w:val="24"/>
          <w:szCs w:val="24"/>
          <w:highlight w:val="none"/>
          <w:lang w:val="zh-CN"/>
        </w:rPr>
        <w:t xml:space="preserve">在询价采购中，出现下列情况之一的，本次采购活动终止：</w:t>
      </w:r>
      <w:r/>
    </w:p>
    <w:p>
      <w:pPr>
        <w:numPr>
          <w:ilvl w:val="0"/>
          <w:numId w:val="10"/>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因情况变化，不再符合规定的询价采购方式适用情形的；</w:t>
      </w:r>
      <w:r/>
    </w:p>
    <w:p>
      <w:pPr>
        <w:numPr>
          <w:ilvl w:val="0"/>
          <w:numId w:val="10"/>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出现影响采购公正的违法、违规行为的；</w:t>
      </w:r>
      <w:r/>
    </w:p>
    <w:p>
      <w:pPr>
        <w:numPr>
          <w:ilvl w:val="0"/>
          <w:numId w:val="10"/>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在采购过程中符合竞争要求的供应商或者报价未超过采购预算的供应商不足3家的。</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注：提供相同品牌产品的不同供应商参加同一合同项下竞争报价的，按一家供应商计算。非单一产品采购项目，采购人在采购文件中载明核心产品，多家供应商提供的核心产品品牌相同的，按上述规定处理。</w:t>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六、报价保证金</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24、报价保证金：本项目免收报价保证金。</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七、签订</w:t>
      </w:r>
      <w:r>
        <w:rPr>
          <w:rFonts w:hint="eastAsia" w:ascii="宋体" w:hAnsi="宋体"/>
          <w:b/>
          <w:color w:val="auto"/>
          <w:sz w:val="24"/>
          <w:szCs w:val="24"/>
          <w:highlight w:val="none"/>
          <w:lang w:val="zh-CN"/>
        </w:rPr>
        <w:t xml:space="preserve">合同</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25、签订合同</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25.1 </w:t>
      </w:r>
      <w:r>
        <w:rPr>
          <w:rFonts w:hint="eastAsia" w:ascii="宋体" w:hAnsi="宋体"/>
          <w:bCs/>
          <w:color w:val="auto"/>
          <w:sz w:val="24"/>
          <w:szCs w:val="24"/>
          <w:highlight w:val="none"/>
          <w:lang w:val="zh-CN"/>
        </w:rPr>
        <w:t xml:space="preserve">供应商被视为充分熟悉本项目所在地的与履行合同有关的各种情况，包括自然环境、气候条件、劳动力、施工现场及公用设施等，本询价通知书不再对上述情况进行描述。供应商应认真阅读和充分理解询价通知书中所有的内容，一旦成交后，在合同履行过程中的所有风险由供应商自行承担。如因市场变化、政策性调整等因素导致报价成本的变化，成交价格将不会得到调整。</w:t>
      </w:r>
      <w:r/>
    </w:p>
    <w:p>
      <w:pPr>
        <w:ind w:firstLine="480"/>
        <w:jc w:val="left"/>
        <w:spacing w:line="360" w:lineRule="auto"/>
        <w:rPr>
          <w:rFonts w:hint="eastAsia" w:ascii="宋体" w:hAnsi="宋体"/>
          <w:color w:val="auto"/>
          <w:sz w:val="24"/>
          <w:szCs w:val="24"/>
          <w:highlight w:val="none"/>
          <w:lang w:val="zh-CN"/>
        </w:rPr>
      </w:pPr>
      <w:r>
        <w:rPr>
          <w:rFonts w:hint="eastAsia" w:ascii="宋体" w:hAnsi="宋体"/>
          <w:bCs/>
          <w:color w:val="auto"/>
          <w:sz w:val="24"/>
          <w:szCs w:val="24"/>
          <w:highlight w:val="none"/>
        </w:rPr>
        <w:t xml:space="preserve">25.2</w:t>
      </w:r>
      <w:r>
        <w:rPr>
          <w:rFonts w:hint="eastAsia" w:ascii="宋体" w:hAnsi="宋体"/>
          <w:bCs/>
          <w:color w:val="auto"/>
          <w:sz w:val="24"/>
          <w:szCs w:val="24"/>
          <w:highlight w:val="none"/>
          <w:lang w:val="zh-CN"/>
        </w:rPr>
        <w:t xml:space="preserve">成交供应商应于成交通知书发出之日起</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lang w:val="zh-CN"/>
        </w:rPr>
        <w:t xml:space="preserve">个工作日内，按照采购文件确定的事项与采购人签订政府采购合同；采购人应于政府采购合同签订之日起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成交供应商如逾期不办理相关手续、签订合同，财政部门将依据有关规定进行处理。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25.3 </w:t>
      </w:r>
      <w:r>
        <w:rPr>
          <w:rFonts w:hint="eastAsia" w:ascii="宋体" w:hAnsi="宋体"/>
          <w:bCs/>
          <w:color w:val="auto"/>
          <w:sz w:val="24"/>
          <w:szCs w:val="24"/>
          <w:highlight w:val="none"/>
          <w:lang w:val="zh-CN"/>
        </w:rPr>
        <w:t xml:space="preserve">签订合同书及合同条款应以询价通知书和成交供应商的响应文件为依据。</w:t>
      </w:r>
      <w:r/>
    </w:p>
    <w:p>
      <w:pPr>
        <w:ind w:firstLine="480"/>
        <w:jc w:val="left"/>
        <w:spacing w:line="360" w:lineRule="auto"/>
        <w:rPr>
          <w:rFonts w:ascii="宋体" w:hAnsi="宋体"/>
          <w:bCs/>
          <w:color w:val="auto"/>
          <w:sz w:val="24"/>
          <w:szCs w:val="24"/>
          <w:highlight w:val="none"/>
        </w:rPr>
      </w:pPr>
      <w:r/>
      <w:bookmarkStart w:id="76" w:name="_Hlk156377433"/>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.4 </w:t>
      </w:r>
      <w:bookmarkEnd w:id="76"/>
      <w:r>
        <w:rPr>
          <w:rFonts w:hint="eastAsia" w:ascii="宋体" w:hAnsi="宋体"/>
          <w:bCs/>
          <w:color w:val="auto"/>
          <w:sz w:val="24"/>
          <w:szCs w:val="24"/>
          <w:highlight w:val="none"/>
          <w:lang w:val="en-US" w:eastAsia="zh-CN"/>
        </w:rPr>
        <w:t xml:space="preserve">签订合同前，成交供应商须交纳成交合同总金额 10 %的履约保证金。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5</w:t>
      </w:r>
      <w:r>
        <w:rPr>
          <w:rFonts w:hint="eastAsia" w:ascii="宋体" w:hAnsi="宋体"/>
          <w:bCs/>
          <w:color w:val="auto"/>
          <w:sz w:val="24"/>
          <w:szCs w:val="24"/>
          <w:highlight w:val="none"/>
          <w:lang w:val="zh-CN"/>
        </w:rPr>
        <w:t xml:space="preserve">.</w:t>
      </w:r>
      <w:bookmarkStart w:id="77" w:name="OLE_LINK5"/>
      <w:r>
        <w:rPr>
          <w:rFonts w:hint="eastAsia" w:ascii="宋体" w:hAnsi="宋体"/>
          <w:bCs/>
          <w:color w:val="auto"/>
          <w:sz w:val="24"/>
          <w:szCs w:val="24"/>
          <w:highlight w:val="none"/>
        </w:rPr>
        <w:t xml:space="preserve">5 </w:t>
      </w:r>
      <w:r>
        <w:rPr>
          <w:rFonts w:hint="eastAsia" w:ascii="宋体" w:hAnsi="宋体"/>
          <w:bCs/>
          <w:color w:val="auto"/>
          <w:sz w:val="24"/>
          <w:szCs w:val="24"/>
          <w:highlight w:val="none"/>
          <w:lang w:val="zh-CN"/>
        </w:rPr>
        <w:t xml:space="preserve">成交供应商拒绝与采购人签订合同，或因不可抗力或者自身原因不能履行政府采购合同的，需要有明确的意思表示，并向采购人书面申明放弃合同，采购人可以按照评审报告推荐的成交候选人名单排序，确定下一候选人为成交供应商，也可以重新开展政府采购活动。无正当理由拒绝签订合同的成交供应商，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bookmarkStart w:id="78" w:name="OLE_LINK2"/>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成交供应商不得参加对该项</w:t>
      </w:r>
      <w:bookmarkEnd w:id="77"/>
      <w:r>
        <w:rPr>
          <w:rFonts w:hint="eastAsia" w:ascii="宋体" w:hAnsi="宋体"/>
          <w:bCs/>
          <w:color w:val="auto"/>
          <w:sz w:val="24"/>
          <w:szCs w:val="24"/>
          <w:highlight w:val="none"/>
          <w:lang w:val="zh-CN"/>
        </w:rPr>
        <w:t xml:space="preserve">目重新开展的采购活动。</w:t>
      </w:r>
      <w:bookmarkEnd w:id="78"/>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成交候选人放弃成交资格的，参照前款进行处理。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5</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zh-CN"/>
        </w:rPr>
        <w:t xml:space="preserve"> 采购合同履行中，采购人需追加与合同相同货物的，在不改变合同其他条款的前提下，可以与供应商协商签订补充合同，但所有补充合同的采购金额不得超过原合同采购金额的百分之十。</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八、报价行为及报价产品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26、报价行为及报价产品：</w:t>
      </w:r>
      <w:r/>
    </w:p>
    <w:p>
      <w:pPr>
        <w:numPr>
          <w:ilvl w:val="0"/>
          <w:numId w:val="11"/>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供应商的行为必须遵守各项法律法规、规章及相关制度的规定。</w:t>
      </w:r>
      <w:r/>
    </w:p>
    <w:p>
      <w:pPr>
        <w:numPr>
          <w:ilvl w:val="0"/>
          <w:numId w:val="11"/>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报价产品、产品安装（施工）及服务质量等应符合国家、行业等相关标准及要求。</w:t>
      </w:r>
      <w:r/>
    </w:p>
    <w:p>
      <w:pPr>
        <w:numPr>
          <w:ilvl w:val="0"/>
          <w:numId w:val="11"/>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如报价产品为进口产品的，则报价产品必须为通过中国海关报关验放进入中国境内且产自关境外的产品。</w:t>
      </w:r>
      <w:r/>
    </w:p>
    <w:p>
      <w:pPr>
        <w:numPr>
          <w:ilvl w:val="0"/>
          <w:numId w:val="11"/>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供应商提供的产品应是全新、未使用过的原装合格正品。</w:t>
      </w:r>
      <w:r>
        <w:rPr>
          <w:rFonts w:hint="eastAsia" w:ascii="宋体" w:hAnsi="宋体"/>
          <w:bCs/>
          <w:color w:val="auto"/>
          <w:sz w:val="24"/>
          <w:highlight w:val="none"/>
        </w:rPr>
        <w:t xml:space="preserve">供应商成交后，在供货期内如遇产品平滑（自然）升级，成交供应商应提供平滑升级商品不补差价（询价通知书中有特殊要求的除外）。</w:t>
      </w:r>
      <w:r/>
    </w:p>
    <w:p>
      <w:pPr>
        <w:numPr>
          <w:ilvl w:val="0"/>
          <w:numId w:val="11"/>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询价通知书中要求供应商出具的</w:t>
      </w:r>
      <w:bookmarkStart w:id="79" w:name="_Hlk163813752"/>
      <w:r>
        <w:rPr>
          <w:rFonts w:hint="eastAsia" w:ascii="宋体" w:hAnsi="宋体"/>
          <w:bCs/>
          <w:color w:val="auto"/>
          <w:sz w:val="24"/>
          <w:szCs w:val="24"/>
          <w:highlight w:val="none"/>
          <w:lang w:val="zh-CN"/>
        </w:rPr>
        <w:t xml:space="preserve">证书、证明等相关材料，应当能实质性证明采购需求中的相关要求</w:t>
      </w:r>
      <w:bookmarkStart w:id="80" w:name="_Hlk164232479"/>
      <w:r>
        <w:rPr>
          <w:rFonts w:hint="eastAsia" w:ascii="宋体" w:hAnsi="宋体"/>
          <w:bCs/>
          <w:color w:val="auto"/>
          <w:sz w:val="24"/>
          <w:szCs w:val="24"/>
          <w:highlight w:val="none"/>
          <w:lang w:val="zh-CN"/>
        </w:rPr>
        <w:t xml:space="preserve">以及与提供产品的对应关系</w:t>
      </w:r>
      <w:bookmarkEnd w:id="79"/>
      <w:r>
        <w:rPr>
          <w:rFonts w:hint="eastAsia" w:ascii="宋体" w:hAnsi="宋体"/>
          <w:bCs/>
          <w:color w:val="auto"/>
          <w:sz w:val="24"/>
          <w:szCs w:val="24"/>
          <w:highlight w:val="none"/>
          <w:lang w:val="zh-CN"/>
        </w:rPr>
        <w:t xml:space="preserve">，且</w:t>
      </w:r>
      <w:bookmarkEnd w:id="80"/>
      <w:r>
        <w:rPr>
          <w:rFonts w:hint="eastAsia" w:ascii="宋体" w:hAnsi="宋体"/>
          <w:bCs/>
          <w:color w:val="auto"/>
          <w:sz w:val="24"/>
          <w:szCs w:val="24"/>
          <w:highlight w:val="none"/>
          <w:lang w:val="zh-CN"/>
        </w:rPr>
        <w:t xml:space="preserve">均应在有效期限内，即有效期限应覆盖响应文件评审当日。</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、政府采购合同融资</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27.1 </w:t>
      </w:r>
      <w:r>
        <w:rPr>
          <w:rFonts w:hint="eastAsia" w:ascii="宋体" w:hAnsi="宋体"/>
          <w:bCs/>
          <w:color w:val="auto"/>
          <w:sz w:val="24"/>
          <w:szCs w:val="24"/>
          <w:highlight w:val="none"/>
        </w:rPr>
        <w:t xml:space="preserve">政府</w:t>
      </w:r>
      <w:r>
        <w:rPr>
          <w:rFonts w:hint="eastAsia" w:ascii="宋体" w:hAnsi="宋体"/>
          <w:bCs/>
          <w:color w:val="auto"/>
          <w:sz w:val="24"/>
          <w:szCs w:val="24"/>
          <w:highlight w:val="none"/>
          <w:lang w:val="zh-CN"/>
        </w:rPr>
        <w:t xml:space="preserve">采购</w:t>
      </w:r>
      <w:r>
        <w:rPr>
          <w:rFonts w:hint="eastAsia" w:ascii="宋体" w:hAnsi="宋体"/>
          <w:bCs/>
          <w:color w:val="auto"/>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号）要求，并结合自身情况，在“苏采云”平台凭政府采购中标、成交通知书或政府采购合同在线提出融资申请，自主选择金融机构及其融资产品</w:t>
      </w:r>
      <w:r>
        <w:rPr>
          <w:rFonts w:hint="eastAsia" w:ascii="宋体" w:hAnsi="宋体"/>
          <w:bCs/>
          <w:color w:val="auto"/>
          <w:sz w:val="24"/>
          <w:szCs w:val="24"/>
          <w:highlight w:val="none"/>
          <w:lang w:eastAsia="zh-CN"/>
        </w:rPr>
        <w:t xml:space="preserve">，由</w:t>
      </w:r>
      <w:r>
        <w:rPr>
          <w:rFonts w:hint="eastAsia" w:ascii="宋体" w:hAnsi="宋体"/>
          <w:bCs/>
          <w:color w:val="auto"/>
          <w:sz w:val="24"/>
          <w:szCs w:val="24"/>
          <w:highlight w:val="none"/>
        </w:rPr>
        <w:t xml:space="preserve">金融机构进行融资信息审查决定是否为其提供融资，做好预授信。双方达成融资意向后签订融资协议，确定融资成交信息并约定融资回款账户。</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7.2 </w:t>
      </w:r>
      <w:r>
        <w:rPr>
          <w:rFonts w:hint="eastAsia" w:ascii="宋体" w:hAnsi="宋体"/>
          <w:bCs/>
          <w:color w:val="auto"/>
          <w:sz w:val="24"/>
          <w:szCs w:val="24"/>
          <w:highlight w:val="none"/>
        </w:rPr>
        <w:t xml:space="preserve">中标、成交供应商可根据自身情况，自行决定是否选择采用合同融资形式，在江苏政府采购网——政采贷专栏提供的银行名录内自主选择合作银行。</w:t>
      </w:r>
      <w:r/>
    </w:p>
    <w:p>
      <w:pPr>
        <w:ind w:firstLine="482"/>
        <w:jc w:val="left"/>
        <w:spacing w:line="360" w:lineRule="auto"/>
        <w:rPr>
          <w:rFonts w:ascii="宋体" w:hAnsi="宋体"/>
          <w:b/>
          <w:color w:val="auto"/>
          <w:sz w:val="24"/>
          <w:szCs w:val="24"/>
          <w:highlight w:val="none"/>
          <w:lang w:val="zh-CN"/>
        </w:rPr>
      </w:pPr>
      <w:r/>
      <w:bookmarkStart w:id="81" w:name="_Toc23122"/>
      <w:r>
        <w:rPr>
          <w:rFonts w:hint="eastAsia" w:ascii="宋体" w:hAnsi="宋体"/>
          <w:b/>
          <w:color w:val="auto"/>
          <w:sz w:val="24"/>
          <w:szCs w:val="24"/>
          <w:highlight w:val="none"/>
          <w:lang w:val="zh-CN"/>
        </w:rPr>
        <w:t xml:space="preserve">九、验收</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和询价通知书的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以及供应商提供的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对供应商</w:t>
      </w:r>
      <w:r>
        <w:rPr>
          <w:rFonts w:hint="eastAsia" w:ascii="宋体" w:hAnsi="宋体"/>
          <w:bCs/>
          <w:color w:val="auto"/>
          <w:sz w:val="24"/>
          <w:szCs w:val="24"/>
          <w:highlight w:val="none"/>
          <w:lang w:val="zh-CN"/>
        </w:rPr>
        <w:t xml:space="preserve">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政府采购项目验收单。由采购人对成交供应商进行履约管理，并及时向成交供应商支付采购资金。</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十、质疑处理</w:t>
      </w:r>
      <w:r/>
    </w:p>
    <w:p>
      <w:pPr>
        <w:ind w:firstLine="480"/>
        <w:jc w:val="left"/>
        <w:spacing w:line="360" w:lineRule="auto"/>
        <w:rPr>
          <w:rFonts w:ascii="宋体" w:hAnsi="宋体"/>
          <w:bCs/>
          <w:color w:val="auto"/>
          <w:sz w:val="24"/>
          <w:szCs w:val="24"/>
          <w:highlight w:val="none"/>
        </w:rPr>
      </w:pPr>
      <w:r/>
      <w:bookmarkStart w:id="82" w:name="OLE_LINK41"/>
      <w:r/>
      <w:bookmarkStart w:id="83" w:name="OLE_LINK126"/>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9</w:t>
      </w:r>
      <w:r>
        <w:rPr>
          <w:rFonts w:hint="eastAsia" w:ascii="宋体" w:hAnsi="宋体"/>
          <w:bCs/>
          <w:color w:val="auto"/>
          <w:sz w:val="24"/>
          <w:szCs w:val="24"/>
          <w:highlight w:val="none"/>
        </w:rPr>
        <w:t xml:space="preserve">、询问</w:t>
      </w:r>
      <w:r/>
    </w:p>
    <w:p>
      <w:pPr>
        <w:ind w:firstLine="480"/>
        <w:jc w:val="left"/>
        <w:spacing w:line="360" w:lineRule="auto"/>
        <w:rPr>
          <w:rFonts w:ascii="宋体" w:hAnsi="宋体"/>
          <w:bCs/>
          <w:color w:val="auto"/>
          <w:sz w:val="24"/>
          <w:szCs w:val="24"/>
          <w:highlight w:val="none"/>
          <w:lang w:val="zh-CN"/>
        </w:rPr>
      </w:pPr>
      <w:r>
        <w:rPr>
          <w:rFonts w:ascii="宋体" w:hAnsi="宋体"/>
          <w:bCs/>
          <w:color w:val="auto"/>
          <w:sz w:val="24"/>
          <w:szCs w:val="24"/>
          <w:highlight w:val="none"/>
        </w:rPr>
        <w:t xml:space="preserve">29</w:t>
      </w:r>
      <w:r>
        <w:rPr>
          <w:rFonts w:hint="eastAsia" w:ascii="宋体" w:hAnsi="宋体"/>
          <w:bCs/>
          <w:color w:val="auto"/>
          <w:sz w:val="24"/>
          <w:szCs w:val="24"/>
          <w:highlight w:val="none"/>
        </w:rPr>
        <w:t xml:space="preserve">.1 </w:t>
      </w:r>
      <w:r>
        <w:rPr>
          <w:rFonts w:hint="eastAsia" w:ascii="宋体" w:hAnsi="宋体"/>
          <w:bCs/>
          <w:color w:val="auto"/>
          <w:sz w:val="24"/>
          <w:szCs w:val="24"/>
          <w:highlight w:val="none"/>
          <w:lang w:val="zh-CN"/>
        </w:rPr>
        <w:t xml:space="preserve">供应商对采购活动事项有疑问的，可以向</w:t>
      </w:r>
      <w:bookmarkStart w:id="84" w:name="OLE_LINK24"/>
      <w:r>
        <w:rPr>
          <w:rFonts w:hint="eastAsia" w:ascii="宋体" w:hAnsi="宋体"/>
          <w:bCs/>
          <w:color w:val="auto"/>
          <w:sz w:val="24"/>
          <w:szCs w:val="24"/>
          <w:highlight w:val="none"/>
          <w:lang w:val="zh-CN"/>
        </w:rPr>
        <w:t xml:space="preserve">采购人</w:t>
      </w:r>
      <w:bookmarkEnd w:id="81"/>
      <w:r>
        <w:rPr>
          <w:rFonts w:hint="eastAsia" w:ascii="宋体" w:hAnsi="宋体"/>
          <w:bCs/>
          <w:color w:val="auto"/>
          <w:sz w:val="24"/>
          <w:szCs w:val="24"/>
          <w:highlight w:val="none"/>
          <w:lang w:val="zh-CN"/>
        </w:rPr>
        <w:t xml:space="preserve">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个工作日内作出答复，但答复的内容不得涉及商业秘密；供应商也可以向采购人委托的代理机构提出询问，代理机构就采购人委托授权范围内的事项作出答复。</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29.2采购代理机构不负责向任何供应商解释评审情况。</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30</w:t>
      </w:r>
      <w:r>
        <w:rPr>
          <w:rFonts w:hint="eastAsia" w:ascii="宋体" w:hAnsi="宋体"/>
          <w:bCs/>
          <w:color w:val="auto"/>
          <w:sz w:val="24"/>
          <w:szCs w:val="24"/>
          <w:highlight w:val="none"/>
        </w:rPr>
        <w:t xml:space="preserve">、质疑</w:t>
      </w:r>
      <w:r/>
    </w:p>
    <w:p>
      <w:pPr>
        <w:ind w:firstLine="480"/>
        <w:jc w:val="left"/>
        <w:spacing w:line="360" w:lineRule="auto"/>
        <w:rPr>
          <w:rFonts w:ascii="宋体" w:hAnsi="宋体"/>
          <w:bCs/>
          <w:color w:val="auto"/>
          <w:sz w:val="24"/>
          <w:szCs w:val="24"/>
          <w:highlight w:val="none"/>
          <w:lang w:val="zh-CN"/>
        </w:rPr>
      </w:pPr>
      <w:r>
        <w:rPr>
          <w:rFonts w:ascii="宋体" w:hAnsi="宋体"/>
          <w:bCs/>
          <w:color w:val="auto"/>
          <w:sz w:val="24"/>
          <w:szCs w:val="24"/>
          <w:highlight w:val="none"/>
        </w:rPr>
        <w:t xml:space="preserve">30</w:t>
      </w:r>
      <w:r>
        <w:rPr>
          <w:rFonts w:hint="eastAsia" w:ascii="宋体" w:hAnsi="宋体"/>
          <w:bCs/>
          <w:color w:val="auto"/>
          <w:sz w:val="24"/>
          <w:szCs w:val="24"/>
          <w:highlight w:val="none"/>
        </w:rPr>
        <w:t xml:space="preserve">.1 </w:t>
      </w:r>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质疑。供应商在法定质疑期内应当一次性提出针对同一采购程序环节的质疑，否则，采购人或代理机构将不予受理。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lang w:val="zh-CN"/>
        </w:rPr>
        <w:t xml:space="preserve">政府采购供应商质疑函范本</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》）。同一项目下的不同采购包，供应商只能对其参与的采购包质疑。</w:t>
      </w:r>
      <w:r/>
    </w:p>
    <w:p>
      <w:pPr>
        <w:ind w:firstLine="480"/>
        <w:jc w:val="left"/>
        <w:spacing w:line="360" w:lineRule="auto"/>
        <w:rPr>
          <w:rFonts w:ascii="宋体" w:hAnsi="宋体"/>
          <w:bCs/>
          <w:color w:val="auto"/>
          <w:sz w:val="24"/>
          <w:szCs w:val="24"/>
          <w:highlight w:val="none"/>
          <w:lang w:val="zh-CN"/>
        </w:rPr>
      </w:pPr>
      <w:r>
        <w:rPr>
          <w:rFonts w:ascii="宋体" w:hAnsi="宋体"/>
          <w:bCs/>
          <w:color w:val="auto"/>
          <w:sz w:val="24"/>
          <w:szCs w:val="24"/>
          <w:highlight w:val="none"/>
        </w:rPr>
        <w:t xml:space="preserve">30</w:t>
      </w: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zh-CN"/>
        </w:rPr>
        <w:t xml:space="preserve">质疑答复责任主体：</w:t>
      </w:r>
      <w:r/>
    </w:p>
    <w:p>
      <w:pPr>
        <w:numPr>
          <w:ilvl w:val="0"/>
          <w:numId w:val="12"/>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根据《中华人民共和国政府采购法》第</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认为</w:t>
      </w:r>
      <w:r>
        <w:rPr>
          <w:rFonts w:hint="eastAsia" w:ascii="宋体" w:hAnsi="宋体"/>
          <w:bCs/>
          <w:color w:val="auto"/>
          <w:sz w:val="24"/>
          <w:szCs w:val="24"/>
          <w:highlight w:val="none"/>
          <w:lang w:val="zh-CN"/>
        </w:rPr>
        <w:t xml:space="preserve">询价通知书</w:t>
      </w:r>
      <w:r>
        <w:rPr>
          <w:rFonts w:ascii="宋体" w:hAnsi="宋体"/>
          <w:bCs/>
          <w:color w:val="auto"/>
          <w:sz w:val="24"/>
          <w:szCs w:val="24"/>
          <w:highlight w:val="none"/>
          <w:lang w:val="zh-CN"/>
        </w:rPr>
        <w:t xml:space="preserve">、采购过程和成交结果使自己的权益受到损害的，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以书面形式向采购人提出质疑。</w:t>
      </w:r>
      <w:r/>
    </w:p>
    <w:p>
      <w:pPr>
        <w:numPr>
          <w:ilvl w:val="0"/>
          <w:numId w:val="12"/>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供应商认为采购程序及流程操作使自己的权益受到损害的，可以向采购人提出质疑，也可以在法律规定时间内向采购代理机构提出质疑，采购代理机构就采购人委托授权范围内的事项作出答复。</w:t>
      </w:r>
      <w:r/>
    </w:p>
    <w:p>
      <w:pPr>
        <w:ind w:firstLine="420"/>
        <w:jc w:val="left"/>
        <w:spacing w:line="360" w:lineRule="auto"/>
        <w:rPr>
          <w:rFonts w:ascii="宋体" w:hAnsi="宋体"/>
          <w:bCs/>
          <w:color w:val="auto"/>
          <w:sz w:val="24"/>
          <w:szCs w:val="24"/>
          <w:highlight w:val="none"/>
          <w:lang w:val="zh-CN"/>
        </w:rPr>
      </w:pPr>
      <w:r>
        <w:rPr>
          <w:rFonts w:ascii="宋体" w:hAnsi="宋体"/>
          <w:bCs/>
          <w:color w:val="auto"/>
          <w:sz w:val="24"/>
          <w:szCs w:val="24"/>
          <w:highlight w:val="none"/>
        </w:rPr>
        <w:t xml:space="preserve">30</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质疑时效期间的起算：对询价通知书提出质疑的，应自</w:t>
      </w:r>
      <w:r>
        <w:rPr>
          <w:rFonts w:hint="eastAsia" w:ascii="宋体" w:hAnsi="宋体"/>
          <w:bCs/>
          <w:color w:val="auto"/>
          <w:sz w:val="24"/>
          <w:szCs w:val="24"/>
          <w:highlight w:val="none"/>
        </w:rPr>
        <w:t xml:space="preserve">询价</w:t>
      </w:r>
      <w:r>
        <w:rPr>
          <w:rFonts w:hint="eastAsia" w:ascii="宋体" w:hAnsi="宋体"/>
          <w:bCs/>
          <w:color w:val="auto"/>
          <w:sz w:val="24"/>
          <w:szCs w:val="24"/>
          <w:highlight w:val="none"/>
          <w:lang w:val="zh-CN"/>
        </w:rPr>
        <w:t xml:space="preserve">公告期限届满之日起计算；对采购过程提出质疑的，自采购程序环节结束之日起计算；对成交结果提出质疑的，自成交结果公告期限届满之日起计算。未在法律规定的时间内按要求提交质疑函（仅限于原件）的，被质疑人将不予受理。</w:t>
      </w:r>
      <w:r/>
    </w:p>
    <w:p>
      <w:pPr>
        <w:ind w:firstLine="480"/>
        <w:jc w:val="left"/>
        <w:spacing w:line="360" w:lineRule="auto"/>
        <w:rPr>
          <w:rFonts w:ascii="宋体" w:hAnsi="宋体"/>
          <w:bCs/>
          <w:color w:val="auto"/>
          <w:sz w:val="24"/>
          <w:szCs w:val="24"/>
          <w:highlight w:val="none"/>
          <w:lang w:val="zh-CN"/>
        </w:rPr>
      </w:pPr>
      <w:r>
        <w:rPr>
          <w:rFonts w:ascii="宋体" w:hAnsi="宋体"/>
          <w:bCs/>
          <w:color w:val="auto"/>
          <w:sz w:val="24"/>
          <w:szCs w:val="24"/>
          <w:highlight w:val="none"/>
        </w:rPr>
        <w:t xml:space="preserve">30</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lang w:val="zh-CN"/>
        </w:rPr>
        <w:t xml:space="preserve">采购人或采购代理机构将在收到符合上述要求的书面质疑后七个工作日内，对质疑内容作出答复。供应商在法定质疑期限外送达的质疑函或法定质疑期限内送达的质疑函不符合上述要求的均为无效质疑，采购人或采购代理机构不予受理。如质疑查无实据或供应商捏造事实，提供虚假材料进行恶意举报，不配合或采用不正当手段干扰政府采购质疑的，将被记入江苏省和无锡市政府采购“供应商诚信记录”，并按相关规定处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、投诉</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.1</w:t>
      </w:r>
      <w:r>
        <w:rPr>
          <w:rFonts w:ascii="宋体" w:hAnsi="宋体"/>
          <w:bCs/>
          <w:color w:val="auto"/>
          <w:sz w:val="24"/>
          <w:szCs w:val="24"/>
          <w:highlight w:val="none"/>
          <w:lang w:val="zh-CN"/>
        </w:rPr>
        <w:t xml:space="preserve">质疑供应商对采购人的答复不满意或者采购人未在规定的时间内作出答复的，</w:t>
      </w:r>
      <w:bookmarkEnd w:id="82"/>
      <w:r/>
      <w:bookmarkStart w:id="85" w:name="OLE_LINK229"/>
      <w:r>
        <w:rPr>
          <w:rFonts w:ascii="宋体" w:hAnsi="宋体"/>
          <w:bCs/>
          <w:color w:val="auto"/>
          <w:sz w:val="24"/>
          <w:szCs w:val="24"/>
          <w:highlight w:val="none"/>
          <w:lang w:val="zh-CN"/>
        </w:rPr>
        <w:t xml:space="preserve">可以在答复期满后十五个工作日内</w:t>
      </w:r>
      <w:bookmarkStart w:id="86" w:name="OLE_LINK247"/>
      <w:r>
        <w:rPr>
          <w:rFonts w:hint="eastAsia" w:ascii="宋体" w:hAnsi="宋体"/>
          <w:bCs/>
          <w:color w:val="auto"/>
          <w:sz w:val="24"/>
          <w:szCs w:val="24"/>
          <w:highlight w:val="none"/>
          <w:lang w:val="zh-CN"/>
        </w:rPr>
        <w:t xml:space="preserve">向报价邀请函中的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bookmarkEnd w:id="83"/>
      <w:r>
        <w:rPr>
          <w:rFonts w:hint="eastAsia" w:ascii="宋体" w:hAnsi="宋体"/>
          <w:bCs/>
          <w:color w:val="auto"/>
          <w:sz w:val="24"/>
          <w:szCs w:val="24"/>
          <w:highlight w:val="none"/>
          <w:lang w:val="zh-CN"/>
        </w:rPr>
        <w:t xml:space="preserve">。</w:t>
      </w:r>
      <w:bookmarkEnd w:id="84"/>
      <w:r/>
      <w:bookmarkEnd w:id="85"/>
      <w:r/>
      <w:r/>
    </w:p>
    <w:p>
      <w:pPr>
        <w:jc w:val="center"/>
        <w:spacing w:line="360" w:lineRule="auto"/>
        <w:rPr>
          <w:rFonts w:ascii="宋体" w:hAnsi="宋体"/>
          <w:bCs/>
          <w:color w:val="auto"/>
          <w:sz w:val="24"/>
          <w:szCs w:val="24"/>
          <w:highlight w:val="none"/>
          <w:lang w:val="zh-CN"/>
        </w:rPr>
        <w:sectPr>
          <w:footerReference w:type="default" r:id="rId13"/>
          <w:footnotePr/>
          <w:endnotePr/>
          <w:type w:val="nextPage"/>
          <w:pgSz w:w="11905" w:h="16838" w:orient="portrait"/>
          <w:pgMar w:top="1134" w:right="1134" w:bottom="1134" w:left="1134" w:header="851" w:footer="850" w:gutter="0"/>
          <w:cols w:num="1" w:sep="0" w:space="1701" w:equalWidth="1"/>
          <w:docGrid w:linePitch="360"/>
        </w:sectPr>
        <w:outlineLvl w:val="0"/>
      </w:pPr>
      <w:r>
        <w:rPr>
          <w:rFonts w:ascii="宋体" w:hAnsi="宋体"/>
          <w:bCs/>
          <w:color w:val="auto"/>
          <w:sz w:val="24"/>
          <w:szCs w:val="24"/>
          <w:highlight w:val="none"/>
          <w:lang w:val="zh-CN"/>
        </w:rPr>
      </w:r>
      <w:r/>
    </w:p>
    <w:p>
      <w:pPr>
        <w:jc w:val="center"/>
        <w:spacing w:line="360" w:lineRule="auto"/>
        <w:rPr>
          <w:rFonts w:ascii="黑体" w:hAnsi="黑体" w:eastAsia="黑体"/>
          <w:color w:val="auto"/>
          <w:sz w:val="28"/>
          <w:szCs w:val="28"/>
          <w:highlight w:val="none"/>
        </w:rPr>
        <w:outlineLvl w:val="0"/>
      </w:pPr>
      <w:r/>
      <w:bookmarkStart w:id="87" w:name="_Toc157175932"/>
      <w:r/>
      <w:bookmarkStart w:id="88" w:name="_Toc27169"/>
      <w:r>
        <w:rPr>
          <w:rFonts w:hint="eastAsia" w:ascii="黑体" w:hAnsi="黑体" w:eastAsia="黑体"/>
          <w:color w:val="auto"/>
          <w:sz w:val="28"/>
          <w:szCs w:val="28"/>
          <w:highlight w:val="none"/>
        </w:rPr>
        <w:t xml:space="preserve">第三章 项目技术要求和有关说明</w:t>
      </w:r>
      <w:bookmarkEnd w:id="86"/>
      <w:r/>
      <w:bookmarkEnd w:id="87"/>
      <w:r/>
      <w:bookmarkEnd w:id="88"/>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本项目为宜兴市农业农村局</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u w:val="none"/>
          <w:lang w:eastAsia="zh-CN"/>
        </w:rPr>
        <w:t xml:space="preserve">2026年宜兴市省级资金水稻病虫害防控物资采购发放项目</w:t>
      </w:r>
      <w:r>
        <w:rPr>
          <w:rFonts w:hint="eastAsia" w:ascii="宋体" w:hAnsi="宋体" w:eastAsia="宋体" w:cs="宋体"/>
          <w:color w:val="auto"/>
          <w:sz w:val="24"/>
          <w:szCs w:val="24"/>
          <w:highlight w:val="none"/>
        </w:rPr>
        <w:t xml:space="preserve">，具体要求如下，供应商须提供满足以下要求的服务，不得有负偏离：</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一、项目技术要求：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1、本次招标项目的要求及数量详见下表。</w:t>
      </w:r>
      <w:r/>
    </w:p>
    <w:tbl>
      <w:tblPr>
        <w:tblStyle w:val="947"/>
        <w:tblW w:w="0" w:type="auto"/>
        <w:tblInd w:w="2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4"/>
        <w:gridCol w:w="2196"/>
        <w:gridCol w:w="735"/>
        <w:gridCol w:w="810"/>
        <w:gridCol w:w="2595"/>
        <w:gridCol w:w="2039"/>
      </w:tblGrid>
      <w:tr>
        <w:trPr/>
        <w:tc>
          <w:tcPr>
            <w:tcW w:w="1164" w:type="dxa"/>
            <w:vAlign w:val="center"/>
            <w:textDirection w:val="lrTb"/>
            <w:noWrap w:val="false"/>
          </w:tcPr>
          <w:p>
            <w:pPr>
              <w:jc w:val="center"/>
              <w:rPr>
                <w:rFonts w:hint="eastAsia" w:ascii="宋体" w:hAnsi="宋体"/>
                <w:color w:val="auto"/>
                <w:sz w:val="24"/>
                <w:szCs w:val="24"/>
                <w:highlight w:val="none"/>
                <w:vertAlign w:val="baseline"/>
              </w:rPr>
            </w:pPr>
            <w:r>
              <w:rPr>
                <w:rFonts w:hint="eastAsia" w:ascii="宋体" w:hAnsi="宋体" w:eastAsia="宋体" w:cs="宋体"/>
                <w:b w:val="0"/>
                <w:bCs w:val="0"/>
                <w:color w:val="auto"/>
                <w:sz w:val="24"/>
                <w:highlight w:val="none"/>
                <w:lang w:val="en-US" w:eastAsia="zh-CN"/>
              </w:rPr>
              <w:t xml:space="preserve">标段号</w:t>
            </w:r>
            <w:r/>
          </w:p>
        </w:tc>
        <w:tc>
          <w:tcPr>
            <w:tcW w:w="2196" w:type="dxa"/>
            <w:vAlign w:val="center"/>
            <w:textDirection w:val="lrTb"/>
            <w:noWrap w:val="false"/>
          </w:tcPr>
          <w:p>
            <w:pPr>
              <w:jc w:val="center"/>
              <w:rPr>
                <w:rFonts w:hint="eastAsia" w:ascii="宋体" w:hAnsi="宋体"/>
                <w:color w:val="auto"/>
                <w:sz w:val="24"/>
                <w:szCs w:val="24"/>
                <w:highlight w:val="none"/>
                <w:vertAlign w:val="baseline"/>
              </w:rPr>
            </w:pPr>
            <w:r>
              <w:rPr>
                <w:rFonts w:hint="eastAsia" w:ascii="宋体" w:hAnsi="宋体" w:eastAsia="宋体" w:cs="宋体"/>
                <w:b w:val="0"/>
                <w:bCs w:val="0"/>
                <w:color w:val="auto"/>
                <w:sz w:val="24"/>
                <w:highlight w:val="none"/>
              </w:rPr>
              <w:t xml:space="preserve">采购名称</w:t>
            </w:r>
            <w:r/>
          </w:p>
        </w:tc>
        <w:tc>
          <w:tcPr>
            <w:tcW w:w="735" w:type="dxa"/>
            <w:vAlign w:val="center"/>
            <w:textDirection w:val="lrTb"/>
            <w:noWrap w:val="false"/>
          </w:tcPr>
          <w:p>
            <w:pPr>
              <w:jc w:val="center"/>
              <w:rPr>
                <w:rFonts w:hint="eastAsia" w:ascii="宋体" w:hAnsi="宋体"/>
                <w:color w:val="auto"/>
                <w:sz w:val="24"/>
                <w:szCs w:val="24"/>
                <w:highlight w:val="none"/>
                <w:vertAlign w:val="baseline"/>
              </w:rPr>
            </w:pPr>
            <w:r>
              <w:rPr>
                <w:rFonts w:hint="eastAsia" w:ascii="宋体" w:hAnsi="宋体" w:eastAsia="宋体" w:cs="宋体"/>
                <w:b w:val="0"/>
                <w:bCs w:val="0"/>
                <w:color w:val="auto"/>
                <w:sz w:val="24"/>
                <w:highlight w:val="none"/>
              </w:rPr>
              <w:t xml:space="preserve">单位</w:t>
            </w:r>
            <w:r/>
          </w:p>
        </w:tc>
        <w:tc>
          <w:tcPr>
            <w:tcW w:w="810" w:type="dxa"/>
            <w:vAlign w:val="center"/>
            <w:textDirection w:val="lrTb"/>
            <w:noWrap w:val="false"/>
          </w:tcPr>
          <w:p>
            <w:pPr>
              <w:jc w:val="center"/>
              <w:rPr>
                <w:rFonts w:hint="eastAsia" w:ascii="宋体" w:hAnsi="宋体"/>
                <w:color w:val="auto"/>
                <w:sz w:val="24"/>
                <w:szCs w:val="24"/>
                <w:highlight w:val="none"/>
                <w:vertAlign w:val="baseline"/>
              </w:rPr>
            </w:pPr>
            <w:r>
              <w:rPr>
                <w:rFonts w:hint="eastAsia" w:ascii="宋体" w:hAnsi="宋体" w:eastAsia="宋体" w:cs="宋体"/>
                <w:b w:val="0"/>
                <w:bCs w:val="0"/>
                <w:color w:val="auto"/>
                <w:sz w:val="24"/>
                <w:highlight w:val="none"/>
              </w:rPr>
              <w:t xml:space="preserve">数量</w:t>
            </w:r>
            <w:r/>
          </w:p>
        </w:tc>
        <w:tc>
          <w:tcPr>
            <w:tcW w:w="2595" w:type="dxa"/>
            <w:vAlign w:val="center"/>
            <w:textDirection w:val="lrTb"/>
            <w:noWrap w:val="false"/>
          </w:tcPr>
          <w:p>
            <w:pPr>
              <w:jc w:val="both"/>
              <w:rPr>
                <w:rFonts w:hint="eastAsia" w:ascii="宋体" w:hAnsi="宋体"/>
                <w:color w:val="auto"/>
                <w:sz w:val="24"/>
                <w:szCs w:val="24"/>
                <w:highlight w:val="none"/>
                <w:vertAlign w:val="baseline"/>
              </w:rPr>
            </w:pPr>
            <w:r>
              <w:rPr>
                <w:rFonts w:hint="eastAsia" w:ascii="宋体" w:hAnsi="宋体" w:eastAsia="宋体" w:cs="宋体"/>
                <w:b w:val="0"/>
                <w:bCs w:val="0"/>
                <w:color w:val="auto"/>
                <w:sz w:val="24"/>
                <w:highlight w:val="none"/>
              </w:rPr>
              <w:t xml:space="preserve">预算</w:t>
            </w:r>
            <w:r>
              <w:rPr>
                <w:rFonts w:hint="eastAsia" w:ascii="宋体" w:hAnsi="宋体" w:eastAsia="宋体" w:cs="宋体"/>
                <w:b w:val="0"/>
                <w:bCs w:val="0"/>
                <w:color w:val="auto"/>
                <w:sz w:val="24"/>
                <w:highlight w:val="none"/>
                <w:lang w:val="en-US" w:eastAsia="zh-CN"/>
              </w:rPr>
              <w:t xml:space="preserve">价</w:t>
            </w: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最高限价</w:t>
            </w: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 </w:t>
            </w:r>
            <w:r/>
          </w:p>
        </w:tc>
        <w:tc>
          <w:tcPr>
            <w:tcW w:w="2039" w:type="dxa"/>
            <w:vAlign w:val="center"/>
            <w:textDirection w:val="lrTb"/>
            <w:noWrap w:val="false"/>
          </w:tcPr>
          <w:p>
            <w:pPr>
              <w:jc w:val="center"/>
              <w:rPr>
                <w:rFonts w:hint="eastAsia" w:ascii="宋体" w:hAnsi="宋体"/>
                <w:color w:val="auto"/>
                <w:sz w:val="24"/>
                <w:szCs w:val="24"/>
                <w:highlight w:val="none"/>
                <w:vertAlign w:val="baseline"/>
              </w:rPr>
            </w:pPr>
            <w:r>
              <w:rPr>
                <w:rFonts w:hint="eastAsia" w:ascii="宋体" w:hAnsi="宋体" w:eastAsia="宋体" w:cs="宋体"/>
                <w:b w:val="0"/>
                <w:bCs w:val="0"/>
                <w:color w:val="auto"/>
                <w:sz w:val="24"/>
                <w:highlight w:val="none"/>
              </w:rPr>
              <w:t xml:space="preserve">主要配置、技术参数</w:t>
            </w:r>
            <w:r/>
          </w:p>
        </w:tc>
      </w:tr>
      <w:tr>
        <w:trPr>
          <w:trHeight w:val="1140"/>
        </w:trPr>
        <w:tc>
          <w:tcPr>
            <w:tcW w:w="1164" w:type="dxa"/>
            <w:vAlign w:val="center"/>
            <w:textDirection w:val="lrTb"/>
            <w:noWrap w:val="false"/>
          </w:tcPr>
          <w:p>
            <w:pPr>
              <w:jc w:val="both"/>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采购包1</w:t>
            </w:r>
            <w:r/>
          </w:p>
        </w:tc>
        <w:tc>
          <w:tcPr>
            <w:tcW w:w="2196" w:type="dxa"/>
            <w:vAlign w:val="center"/>
            <w:textDirection w:val="lrTb"/>
            <w:noWrap w:val="false"/>
          </w:tcPr>
          <w:p>
            <w:pPr>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60%吡蚜﹒噻虫胺水分散粒剂</w:t>
            </w:r>
            <w:r/>
          </w:p>
        </w:tc>
        <w:tc>
          <w:tcPr>
            <w:tcW w:w="735" w:type="dxa"/>
            <w:vAlign w:val="center"/>
            <w:textDirection w:val="lrTb"/>
            <w:noWrap w:val="false"/>
          </w:tcPr>
          <w:p>
            <w:pPr>
              <w:jc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p>
        </w:tc>
        <w:tc>
          <w:tcPr>
            <w:tcW w:w="810" w:type="dxa"/>
            <w:vAlign w:val="center"/>
            <w:textDirection w:val="lrTb"/>
            <w:noWrap w:val="false"/>
          </w:tcPr>
          <w:p>
            <w:pPr>
              <w:jc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批</w:t>
            </w:r>
            <w:r/>
          </w:p>
        </w:tc>
        <w:tc>
          <w:tcPr>
            <w:tcW w:w="2595" w:type="dxa"/>
            <w:vAlign w:val="top"/>
            <w:textDirection w:val="lrTb"/>
            <w:noWrap w:val="false"/>
          </w:tcPr>
          <w:p>
            <w:pPr>
              <w:jc w:val="both"/>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标段</w:t>
            </w:r>
            <w:r>
              <w:rPr>
                <w:rFonts w:hint="eastAsia" w:ascii="宋体" w:hAnsi="宋体" w:eastAsia="宋体" w:cs="宋体"/>
                <w:b w:val="0"/>
                <w:bCs w:val="0"/>
                <w:color w:val="auto"/>
                <w:sz w:val="24"/>
                <w:highlight w:val="none"/>
                <w:lang w:val="en-US" w:eastAsia="zh-CN"/>
              </w:rPr>
              <w:t xml:space="preserve">最高限价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357250</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单价最高限价</w:t>
            </w:r>
            <w:r>
              <w:rPr>
                <w:rFonts w:hint="eastAsia" w:ascii="宋体" w:hAnsi="宋体" w:eastAsia="宋体" w:cs="宋体"/>
                <w:color w:val="auto"/>
                <w:sz w:val="24"/>
                <w:szCs w:val="24"/>
                <w:highlight w:val="none"/>
                <w:lang w:val="en-US" w:eastAsia="zh-CN"/>
              </w:rPr>
              <w:t xml:space="preserve">34元</w:t>
            </w: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袋</w:t>
            </w:r>
            <w:r/>
          </w:p>
        </w:tc>
        <w:tc>
          <w:tcPr>
            <w:tcW w:w="2039" w:type="dxa"/>
            <w:vAlign w:val="center"/>
            <w:textDirection w:val="lrTb"/>
            <w:noWrap w:val="false"/>
          </w:tcPr>
          <w:p>
            <w:pPr>
              <w:jc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规格：</w:t>
            </w:r>
            <w:r>
              <w:rPr>
                <w:rFonts w:hint="eastAsia" w:ascii="宋体" w:hAnsi="宋体" w:eastAsia="宋体" w:cs="宋体"/>
                <w:color w:val="auto"/>
                <w:sz w:val="24"/>
                <w:szCs w:val="24"/>
                <w:highlight w:val="none"/>
                <w:lang w:val="en-US" w:eastAsia="zh-CN"/>
              </w:rPr>
              <w:t xml:space="preserve">大包装100克/袋</w:t>
            </w:r>
            <w:r/>
          </w:p>
        </w:tc>
      </w:tr>
      <w:tr>
        <w:trPr>
          <w:trHeight w:val="1140"/>
        </w:trPr>
        <w:tc>
          <w:tcPr>
            <w:tcW w:w="1164" w:type="dxa"/>
            <w:vAlign w:val="center"/>
            <w:textDirection w:val="lrTb"/>
            <w:noWrap w:val="false"/>
          </w:tcPr>
          <w:p>
            <w:pPr>
              <w:jc w:val="both"/>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采购包2</w:t>
            </w:r>
            <w:r/>
          </w:p>
        </w:tc>
        <w:tc>
          <w:tcPr>
            <w:tcW w:w="2196" w:type="dxa"/>
            <w:vAlign w:val="center"/>
            <w:textDirection w:val="lrTb"/>
            <w:noWrap w:val="false"/>
          </w:tcPr>
          <w:p>
            <w:pPr>
              <w:jc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25%吡蚜˙噻嗪酮悬浮剂</w:t>
            </w:r>
            <w:r/>
          </w:p>
        </w:tc>
        <w:tc>
          <w:tcPr>
            <w:tcW w:w="735" w:type="dxa"/>
            <w:vAlign w:val="center"/>
            <w:textDirection w:val="lrTb"/>
            <w:noWrap w:val="false"/>
          </w:tcPr>
          <w:p>
            <w:pPr>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W w:w="810" w:type="dxa"/>
            <w:vAlign w:val="center"/>
            <w:textDirection w:val="lrTb"/>
            <w:noWrap w:val="false"/>
          </w:tcPr>
          <w:p>
            <w:pPr>
              <w:jc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批</w:t>
            </w:r>
            <w:r/>
          </w:p>
        </w:tc>
        <w:tc>
          <w:tcPr>
            <w:tcW w:w="2595" w:type="dxa"/>
            <w:vAlign w:val="top"/>
            <w:textDirection w:val="lrTb"/>
            <w:noWrap w:val="false"/>
          </w:tcPr>
          <w:p>
            <w:pPr>
              <w:jc w:val="both"/>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标段</w:t>
            </w:r>
            <w:r>
              <w:rPr>
                <w:rFonts w:hint="eastAsia" w:ascii="宋体" w:hAnsi="宋体" w:eastAsia="宋体" w:cs="宋体"/>
                <w:b w:val="0"/>
                <w:bCs w:val="0"/>
                <w:color w:val="auto"/>
                <w:sz w:val="24"/>
                <w:highlight w:val="none"/>
                <w:lang w:val="en-US" w:eastAsia="zh-CN"/>
              </w:rPr>
              <w:t xml:space="preserve">最高限价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357250</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元；</w:t>
            </w:r>
            <w:r>
              <w:rPr>
                <w:rFonts w:hint="eastAsia" w:ascii="宋体" w:hAnsi="宋体" w:cs="宋体"/>
                <w:color w:val="auto"/>
                <w:sz w:val="24"/>
                <w:szCs w:val="24"/>
                <w:highlight w:val="none"/>
                <w:lang w:val="en-US" w:eastAsia="zh-CN"/>
              </w:rPr>
              <w:t xml:space="preserve">单价最高限价：</w:t>
            </w:r>
            <w:r>
              <w:rPr>
                <w:rFonts w:hint="eastAsia" w:ascii="宋体" w:hAnsi="宋体" w:eastAsia="宋体" w:cs="宋体"/>
                <w:color w:val="auto"/>
                <w:sz w:val="24"/>
                <w:szCs w:val="24"/>
                <w:highlight w:val="none"/>
                <w:lang w:val="en-US" w:eastAsia="zh-CN"/>
              </w:rPr>
              <w:t xml:space="preserve">77.4</w:t>
            </w:r>
            <w:r>
              <w:rPr>
                <w:rFonts w:hint="default" w:ascii="宋体" w:hAnsi="宋体" w:eastAsia="宋体" w:cs="宋体"/>
                <w:color w:val="auto"/>
                <w:sz w:val="24"/>
                <w:szCs w:val="24"/>
                <w:highlight w:val="none"/>
                <w:lang w:val="en-US" w:eastAsia="zh-CN"/>
              </w:rPr>
              <w:t xml:space="preserve">元/瓶</w:t>
            </w:r>
            <w:r/>
          </w:p>
        </w:tc>
        <w:tc>
          <w:tcPr>
            <w:tcW w:w="2039" w:type="dxa"/>
            <w:vAlign w:val="center"/>
            <w:textDirection w:val="lrTb"/>
            <w:noWrap w:val="false"/>
          </w:tcPr>
          <w:p>
            <w:pPr>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规格：</w:t>
            </w:r>
            <w:r>
              <w:rPr>
                <w:rFonts w:hint="eastAsia" w:ascii="宋体" w:hAnsi="宋体" w:eastAsia="宋体" w:cs="宋体"/>
                <w:color w:val="auto"/>
                <w:sz w:val="24"/>
                <w:szCs w:val="24"/>
                <w:highlight w:val="none"/>
                <w:lang w:val="en-US" w:eastAsia="zh-CN"/>
              </w:rPr>
              <w:t xml:space="preserve">大</w:t>
            </w:r>
            <w:r>
              <w:rPr>
                <w:rFonts w:hint="default" w:ascii="宋体" w:hAnsi="宋体" w:eastAsia="宋体" w:cs="宋体"/>
                <w:color w:val="auto"/>
                <w:sz w:val="24"/>
                <w:szCs w:val="24"/>
                <w:highlight w:val="none"/>
                <w:lang w:val="en-US" w:eastAsia="zh-CN"/>
              </w:rPr>
              <w:t xml:space="preserve">包装</w:t>
            </w:r>
            <w:r>
              <w:rPr>
                <w:rFonts w:hint="eastAsia" w:ascii="宋体" w:hAnsi="宋体" w:eastAsia="宋体" w:cs="宋体"/>
                <w:color w:val="auto"/>
                <w:sz w:val="24"/>
                <w:szCs w:val="24"/>
                <w:highlight w:val="none"/>
                <w:lang w:val="en-US" w:eastAsia="zh-CN"/>
              </w:rPr>
              <w:t xml:space="preserve">1000</w:t>
            </w:r>
            <w:r>
              <w:rPr>
                <w:rFonts w:hint="default" w:ascii="宋体" w:hAnsi="宋体" w:eastAsia="宋体" w:cs="宋体"/>
                <w:color w:val="auto"/>
                <w:sz w:val="24"/>
                <w:szCs w:val="24"/>
                <w:highlight w:val="none"/>
                <w:lang w:val="en-US" w:eastAsia="zh-CN"/>
              </w:rPr>
              <w:t xml:space="preserve">克/瓶</w:t>
            </w:r>
            <w:r/>
          </w:p>
        </w:tc>
      </w:tr>
      <w:tr>
        <w:trPr>
          <w:trHeight w:val="1140"/>
        </w:trPr>
        <w:tc>
          <w:tcPr>
            <w:tcW w:w="1164" w:type="dxa"/>
            <w:vAlign w:val="center"/>
            <w:textDirection w:val="lrTb"/>
            <w:noWrap w:val="false"/>
          </w:tcPr>
          <w:p>
            <w:pPr>
              <w:jc w:val="both"/>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采购包3</w:t>
            </w:r>
            <w:r/>
          </w:p>
        </w:tc>
        <w:tc>
          <w:tcPr>
            <w:tcW w:w="2196" w:type="dxa"/>
            <w:vAlign w:val="center"/>
            <w:textDirection w:val="lrTb"/>
            <w:noWrap w:val="false"/>
          </w:tcPr>
          <w:p>
            <w:pPr>
              <w:jc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30%己唑醇˙嘧菌酯悬浮剂</w:t>
            </w:r>
            <w:r/>
          </w:p>
        </w:tc>
        <w:tc>
          <w:tcPr>
            <w:tcW w:w="735" w:type="dxa"/>
            <w:vAlign w:val="center"/>
            <w:textDirection w:val="lrTb"/>
            <w:noWrap w:val="false"/>
          </w:tcPr>
          <w:p>
            <w:pPr>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W w:w="810" w:type="dxa"/>
            <w:vAlign w:val="center"/>
            <w:textDirection w:val="lrTb"/>
            <w:noWrap w:val="false"/>
          </w:tcPr>
          <w:p>
            <w:pPr>
              <w:jc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批</w:t>
            </w:r>
            <w:r/>
          </w:p>
        </w:tc>
        <w:tc>
          <w:tcPr>
            <w:tcW w:w="2595" w:type="dxa"/>
            <w:vAlign w:val="top"/>
            <w:textDirection w:val="lrTb"/>
            <w:noWrap w:val="false"/>
          </w:tcPr>
          <w:p>
            <w:pPr>
              <w:jc w:val="both"/>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标段</w:t>
            </w:r>
            <w:r>
              <w:rPr>
                <w:rFonts w:hint="eastAsia" w:ascii="宋体" w:hAnsi="宋体" w:eastAsia="宋体" w:cs="宋体"/>
                <w:b w:val="0"/>
                <w:bCs w:val="0"/>
                <w:color w:val="auto"/>
                <w:sz w:val="24"/>
                <w:highlight w:val="none"/>
                <w:lang w:val="en-US" w:eastAsia="zh-CN"/>
              </w:rPr>
              <w:t xml:space="preserve">最高限价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357250</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单价最高限价：</w:t>
            </w:r>
            <w:r>
              <w:rPr>
                <w:rFonts w:hint="eastAsia" w:ascii="宋体" w:hAnsi="宋体" w:eastAsia="宋体" w:cs="宋体"/>
                <w:color w:val="auto"/>
                <w:sz w:val="24"/>
                <w:szCs w:val="24"/>
                <w:highlight w:val="none"/>
                <w:lang w:val="en-US" w:eastAsia="zh-CN"/>
              </w:rPr>
              <w:t xml:space="preserve">130</w:t>
            </w:r>
            <w:r>
              <w:rPr>
                <w:rFonts w:hint="default" w:ascii="宋体" w:hAnsi="宋体" w:eastAsia="宋体" w:cs="宋体"/>
                <w:color w:val="auto"/>
                <w:sz w:val="24"/>
                <w:szCs w:val="24"/>
                <w:highlight w:val="none"/>
                <w:lang w:val="en-US" w:eastAsia="zh-CN"/>
              </w:rPr>
              <w:t xml:space="preserve">元/瓶</w:t>
            </w:r>
            <w:r/>
          </w:p>
        </w:tc>
        <w:tc>
          <w:tcPr>
            <w:tcW w:w="2039" w:type="dxa"/>
            <w:vAlign w:val="center"/>
            <w:textDirection w:val="lrTb"/>
            <w:noWrap w:val="false"/>
          </w:tcPr>
          <w:p>
            <w:pPr>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规格</w:t>
            </w:r>
            <w:r>
              <w:rPr>
                <w:rFonts w:hint="eastAsia" w:ascii="宋体" w:hAnsi="宋体" w:eastAsia="宋体" w:cs="宋体"/>
                <w:color w:val="auto"/>
                <w:sz w:val="24"/>
                <w:szCs w:val="24"/>
                <w:highlight w:val="none"/>
                <w:lang w:val="en-US" w:eastAsia="zh-CN"/>
              </w:rPr>
              <w:t xml:space="preserve">大</w:t>
            </w:r>
            <w:r>
              <w:rPr>
                <w:rFonts w:hint="default" w:ascii="宋体" w:hAnsi="宋体" w:eastAsia="宋体" w:cs="宋体"/>
                <w:color w:val="auto"/>
                <w:sz w:val="24"/>
                <w:szCs w:val="24"/>
                <w:highlight w:val="none"/>
                <w:lang w:val="en-US" w:eastAsia="zh-CN"/>
              </w:rPr>
              <w:t xml:space="preserve">包装</w:t>
            </w:r>
            <w:r>
              <w:rPr>
                <w:rFonts w:hint="eastAsia" w:ascii="宋体" w:hAnsi="宋体" w:eastAsia="宋体" w:cs="宋体"/>
                <w:color w:val="auto"/>
                <w:sz w:val="24"/>
                <w:szCs w:val="24"/>
                <w:highlight w:val="none"/>
                <w:lang w:val="en-US" w:eastAsia="zh-CN"/>
              </w:rPr>
              <w:t xml:space="preserve">1000</w:t>
            </w:r>
            <w:r>
              <w:rPr>
                <w:rFonts w:hint="default" w:ascii="宋体" w:hAnsi="宋体" w:eastAsia="宋体" w:cs="宋体"/>
                <w:color w:val="auto"/>
                <w:sz w:val="24"/>
                <w:szCs w:val="24"/>
                <w:highlight w:val="none"/>
                <w:lang w:val="en-US" w:eastAsia="zh-CN"/>
              </w:rPr>
              <w:t xml:space="preserve">克/瓶</w:t>
            </w:r>
            <w:r/>
          </w:p>
        </w:tc>
      </w:tr>
      <w:tr>
        <w:trPr>
          <w:trHeight w:val="1140"/>
        </w:trPr>
        <w:tc>
          <w:tcPr>
            <w:tcW w:w="1164" w:type="dxa"/>
            <w:vAlign w:val="center"/>
            <w:textDirection w:val="lrTb"/>
            <w:noWrap w:val="false"/>
          </w:tcPr>
          <w:p>
            <w:pPr>
              <w:jc w:val="both"/>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采购包4</w:t>
            </w:r>
            <w:r/>
          </w:p>
        </w:tc>
        <w:tc>
          <w:tcPr>
            <w:tcW w:w="2196" w:type="dxa"/>
            <w:vAlign w:val="center"/>
            <w:textDirection w:val="lrTb"/>
            <w:noWrap w:val="false"/>
          </w:tcPr>
          <w:p>
            <w:pPr>
              <w:jc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50%戊唑˙嘧菌酯悬浮剂</w:t>
            </w:r>
            <w:r/>
          </w:p>
        </w:tc>
        <w:tc>
          <w:tcPr>
            <w:tcW w:w="735" w:type="dxa"/>
            <w:vAlign w:val="center"/>
            <w:textDirection w:val="lrTb"/>
            <w:noWrap w:val="false"/>
          </w:tcPr>
          <w:p>
            <w:pPr>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W w:w="810" w:type="dxa"/>
            <w:vAlign w:val="center"/>
            <w:textDirection w:val="lrTb"/>
            <w:noWrap w:val="false"/>
          </w:tcPr>
          <w:p>
            <w:pPr>
              <w:jc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批</w:t>
            </w:r>
            <w:r/>
          </w:p>
        </w:tc>
        <w:tc>
          <w:tcPr>
            <w:tcW w:w="2595" w:type="dxa"/>
            <w:vAlign w:val="top"/>
            <w:textDirection w:val="lrTb"/>
            <w:noWrap w:val="false"/>
          </w:tcPr>
          <w:p>
            <w:pPr>
              <w:jc w:val="both"/>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标段</w:t>
            </w:r>
            <w:r>
              <w:rPr>
                <w:rFonts w:hint="eastAsia" w:ascii="宋体" w:hAnsi="宋体" w:eastAsia="宋体" w:cs="宋体"/>
                <w:b w:val="0"/>
                <w:bCs w:val="0"/>
                <w:color w:val="auto"/>
                <w:sz w:val="24"/>
                <w:highlight w:val="none"/>
                <w:lang w:val="en-US" w:eastAsia="zh-CN"/>
              </w:rPr>
              <w:t xml:space="preserve">最高限价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357250</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单价最高限价：</w:t>
            </w:r>
            <w:r>
              <w:rPr>
                <w:rFonts w:hint="eastAsia" w:ascii="宋体" w:hAnsi="宋体" w:eastAsia="宋体" w:cs="宋体"/>
                <w:color w:val="auto"/>
                <w:sz w:val="24"/>
                <w:szCs w:val="24"/>
                <w:highlight w:val="none"/>
                <w:lang w:val="en-US" w:eastAsia="zh-CN"/>
              </w:rPr>
              <w:t xml:space="preserve">40.5</w:t>
            </w:r>
            <w:r>
              <w:rPr>
                <w:rFonts w:hint="default" w:ascii="宋体" w:hAnsi="宋体" w:eastAsia="宋体" w:cs="宋体"/>
                <w:color w:val="auto"/>
                <w:sz w:val="24"/>
                <w:szCs w:val="24"/>
                <w:highlight w:val="none"/>
                <w:lang w:val="en-US" w:eastAsia="zh-CN"/>
              </w:rPr>
              <w:t xml:space="preserve">元/瓶</w:t>
            </w:r>
            <w:r/>
          </w:p>
        </w:tc>
        <w:tc>
          <w:tcPr>
            <w:tcW w:w="2039" w:type="dxa"/>
            <w:vAlign w:val="center"/>
            <w:textDirection w:val="lrTb"/>
            <w:noWrap w:val="false"/>
          </w:tcPr>
          <w:p>
            <w:pPr>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规格：</w:t>
            </w:r>
            <w:r>
              <w:rPr>
                <w:rFonts w:hint="eastAsia" w:ascii="宋体" w:hAnsi="宋体" w:eastAsia="宋体" w:cs="宋体"/>
                <w:color w:val="auto"/>
                <w:sz w:val="24"/>
                <w:szCs w:val="24"/>
                <w:highlight w:val="none"/>
                <w:lang w:val="en-US" w:eastAsia="zh-CN"/>
              </w:rPr>
              <w:t xml:space="preserve">大</w:t>
            </w:r>
            <w:r>
              <w:rPr>
                <w:rFonts w:hint="default" w:ascii="宋体" w:hAnsi="宋体" w:eastAsia="宋体" w:cs="宋体"/>
                <w:color w:val="auto"/>
                <w:sz w:val="24"/>
                <w:szCs w:val="24"/>
                <w:highlight w:val="none"/>
                <w:lang w:val="en-US" w:eastAsia="zh-CN"/>
              </w:rPr>
              <w:t xml:space="preserve">包装</w:t>
            </w:r>
            <w:r>
              <w:rPr>
                <w:rFonts w:hint="eastAsia" w:ascii="宋体" w:hAnsi="宋体" w:eastAsia="宋体" w:cs="宋体"/>
                <w:color w:val="auto"/>
                <w:sz w:val="24"/>
                <w:szCs w:val="24"/>
                <w:highlight w:val="none"/>
                <w:lang w:val="en-US" w:eastAsia="zh-CN"/>
              </w:rPr>
              <w:t xml:space="preserve">150</w:t>
            </w:r>
            <w:r>
              <w:rPr>
                <w:rFonts w:hint="default" w:ascii="宋体" w:hAnsi="宋体" w:eastAsia="宋体" w:cs="宋体"/>
                <w:color w:val="auto"/>
                <w:sz w:val="24"/>
                <w:szCs w:val="24"/>
                <w:highlight w:val="none"/>
                <w:lang w:val="en-US" w:eastAsia="zh-CN"/>
              </w:rPr>
              <w:t xml:space="preserve">克/瓶</w:t>
            </w:r>
            <w:r/>
          </w:p>
        </w:tc>
      </w:tr>
    </w:tbl>
    <w:p>
      <w:pPr>
        <w:ind w:firstLine="482"/>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rPr>
        <w:t xml:space="preserve">注意：投标供应商报价文件中，单价报价不得超过单价最高限价</w:t>
      </w:r>
      <w:r>
        <w:rPr>
          <w:rFonts w:hint="eastAsia" w:ascii="宋体" w:hAnsi="宋体"/>
          <w:b/>
          <w:bCs/>
          <w:color w:val="auto"/>
          <w:sz w:val="24"/>
          <w:szCs w:val="24"/>
          <w:highlight w:val="none"/>
          <w:lang w:val="en-US" w:eastAsia="zh-CN"/>
        </w:rPr>
        <w:t xml:space="preserve">且</w:t>
      </w:r>
      <w:r>
        <w:rPr>
          <w:rFonts w:hint="eastAsia" w:ascii="宋体" w:hAnsi="宋体"/>
          <w:b/>
          <w:bCs/>
          <w:color w:val="auto"/>
          <w:sz w:val="24"/>
          <w:szCs w:val="24"/>
          <w:highlight w:val="none"/>
        </w:rPr>
        <w:t xml:space="preserve">每个标段报价不得超过标段最高限价。（超过最高限价，报价无效）</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投标报价表及报价明细表中的数量取整数，不得出现小数，也不得四舍五入，小数位的数量统一舍去（不接受拆零供货）。</w:t>
      </w:r>
      <w:r/>
    </w:p>
    <w:p>
      <w:pPr>
        <w:pStyle w:val="896"/>
        <w:rPr>
          <w:rFonts w:hint="eastAsia"/>
          <w:color w:val="auto"/>
          <w:highlight w:val="none"/>
        </w:rPr>
      </w:pPr>
      <w:r>
        <w:rPr>
          <w:rFonts w:hint="eastAsia"/>
          <w:color w:val="auto"/>
          <w:highlight w:val="none"/>
        </w:rPr>
      </w:r>
      <w:r/>
    </w:p>
    <w:p>
      <w:pPr>
        <w:ind w:firstLine="480"/>
        <w:spacing w:line="360"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具体计算方式如下：</w:t>
      </w:r>
      <w:r/>
    </w:p>
    <w:p>
      <w:pPr>
        <w:ind w:firstLine="480"/>
        <w:spacing w:line="360"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报价数量=标段最高限价÷</w:t>
      </w:r>
      <w:r>
        <w:rPr>
          <w:rFonts w:hint="eastAsia" w:ascii="宋体" w:hAnsi="宋体"/>
          <w:b w:val="0"/>
          <w:bCs w:val="0"/>
          <w:color w:val="auto"/>
          <w:sz w:val="24"/>
          <w:szCs w:val="24"/>
          <w:highlight w:val="none"/>
          <w:lang w:val="en-US" w:eastAsia="zh-CN"/>
        </w:rPr>
        <w:t xml:space="preserve">投标</w:t>
      </w:r>
      <w:r>
        <w:rPr>
          <w:rFonts w:hint="eastAsia" w:ascii="宋体" w:hAnsi="宋体"/>
          <w:b w:val="0"/>
          <w:bCs w:val="0"/>
          <w:color w:val="auto"/>
          <w:sz w:val="24"/>
          <w:szCs w:val="24"/>
          <w:highlight w:val="none"/>
        </w:rPr>
        <w:t xml:space="preserve">单价</w:t>
      </w:r>
      <w:r/>
    </w:p>
    <w:p>
      <w:pPr>
        <w:ind w:firstLine="480"/>
        <w:spacing w:line="360" w:lineRule="auto"/>
        <w:rPr>
          <w:rFonts w:hint="eastAsia" w:ascii="宋体" w:hAnsi="宋体" w:eastAsia="宋体"/>
          <w:b w:val="0"/>
          <w:bCs w:val="0"/>
          <w:color w:val="auto"/>
          <w:sz w:val="24"/>
          <w:szCs w:val="24"/>
          <w:highlight w:val="none"/>
          <w:lang w:eastAsia="zh-CN"/>
        </w:rPr>
      </w:pPr>
      <w:r>
        <w:rPr>
          <w:rFonts w:hint="eastAsia" w:ascii="宋体" w:hAnsi="宋体"/>
          <w:b w:val="0"/>
          <w:bCs w:val="0"/>
          <w:color w:val="auto"/>
          <w:sz w:val="24"/>
          <w:szCs w:val="24"/>
          <w:highlight w:val="none"/>
        </w:rPr>
        <w:t xml:space="preserve">（</w:t>
      </w:r>
      <w:r>
        <w:rPr>
          <w:rFonts w:hint="eastAsia" w:ascii="宋体" w:hAnsi="宋体"/>
          <w:b w:val="0"/>
          <w:bCs w:val="0"/>
          <w:color w:val="auto"/>
          <w:sz w:val="24"/>
          <w:szCs w:val="24"/>
          <w:highlight w:val="none"/>
          <w:lang w:val="en-US" w:eastAsia="zh-CN"/>
        </w:rPr>
        <w:t xml:space="preserve">数量</w:t>
      </w:r>
      <w:r>
        <w:rPr>
          <w:rFonts w:hint="eastAsia" w:ascii="宋体" w:hAnsi="宋体"/>
          <w:b w:val="0"/>
          <w:bCs w:val="0"/>
          <w:color w:val="auto"/>
          <w:sz w:val="24"/>
          <w:szCs w:val="24"/>
          <w:highlight w:val="none"/>
        </w:rPr>
        <w:t xml:space="preserve">取整不保留小数，不四舍五入</w:t>
      </w:r>
      <w:r>
        <w:rPr>
          <w:rFonts w:hint="eastAsia" w:ascii="宋体" w:hAnsi="宋体"/>
          <w:b w:val="0"/>
          <w:bCs w:val="0"/>
          <w:color w:val="auto"/>
          <w:sz w:val="24"/>
          <w:szCs w:val="24"/>
          <w:highlight w:val="none"/>
          <w:lang w:eastAsia="zh-CN"/>
        </w:rPr>
        <w:t xml:space="preserve">，</w:t>
      </w:r>
      <w:r>
        <w:rPr>
          <w:rFonts w:hint="eastAsia" w:ascii="宋体" w:hAnsi="宋体"/>
          <w:b w:val="0"/>
          <w:bCs w:val="0"/>
          <w:color w:val="auto"/>
          <w:sz w:val="24"/>
          <w:szCs w:val="24"/>
          <w:highlight w:val="none"/>
          <w:lang w:val="en-US" w:eastAsia="zh-CN"/>
        </w:rPr>
        <w:t xml:space="preserve">小数位的数量统一舍去</w:t>
      </w:r>
      <w:r>
        <w:rPr>
          <w:rFonts w:hint="eastAsia" w:ascii="宋体" w:hAnsi="宋体"/>
          <w:b w:val="0"/>
          <w:bCs w:val="0"/>
          <w:color w:val="auto"/>
          <w:sz w:val="24"/>
          <w:szCs w:val="24"/>
          <w:highlight w:val="none"/>
        </w:rPr>
        <w:t xml:space="preserve">）</w:t>
      </w:r>
      <w:r>
        <w:rPr>
          <w:rFonts w:hint="eastAsia" w:ascii="宋体" w:hAnsi="宋体"/>
          <w:b w:val="0"/>
          <w:bCs w:val="0"/>
          <w:color w:val="auto"/>
          <w:sz w:val="24"/>
          <w:szCs w:val="24"/>
          <w:highlight w:val="none"/>
          <w:lang w:eastAsia="zh-CN"/>
        </w:rPr>
        <w:t xml:space="preserve">；</w:t>
      </w:r>
      <w:r/>
    </w:p>
    <w:p>
      <w:pPr>
        <w:ind w:firstLine="480"/>
        <w:spacing w:line="360"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lang w:val="en-US" w:eastAsia="zh-CN"/>
        </w:rPr>
        <w:t xml:space="preserve">投标</w:t>
      </w:r>
      <w:r>
        <w:rPr>
          <w:rFonts w:hint="eastAsia" w:ascii="宋体" w:hAnsi="宋体"/>
          <w:b w:val="0"/>
          <w:bCs w:val="0"/>
          <w:color w:val="auto"/>
          <w:sz w:val="24"/>
          <w:szCs w:val="24"/>
          <w:highlight w:val="none"/>
        </w:rPr>
        <w:t xml:space="preserve">单价*报价数量=标段报价</w:t>
      </w:r>
      <w:r/>
    </w:p>
    <w:p>
      <w:pPr>
        <w:ind w:firstLine="480"/>
        <w:spacing w:line="360"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价格评审标准：</w:t>
      </w:r>
      <w:r>
        <w:rPr>
          <w:rFonts w:hint="eastAsia" w:ascii="宋体" w:hAnsi="宋体"/>
          <w:b/>
          <w:bCs/>
          <w:color w:val="auto"/>
          <w:sz w:val="24"/>
          <w:szCs w:val="24"/>
          <w:highlight w:val="none"/>
          <w:lang w:val="en-US" w:eastAsia="zh-CN"/>
        </w:rPr>
        <w:t xml:space="preserve">只</w:t>
      </w:r>
      <w:r>
        <w:rPr>
          <w:rFonts w:hint="eastAsia" w:ascii="宋体" w:hAnsi="宋体"/>
          <w:b/>
          <w:bCs/>
          <w:color w:val="auto"/>
          <w:sz w:val="24"/>
          <w:szCs w:val="24"/>
          <w:highlight w:val="none"/>
        </w:rPr>
        <w:t xml:space="preserve">评审单价（最低价中标法）</w:t>
      </w:r>
      <w:r>
        <w:rPr>
          <w:rFonts w:hint="eastAsia" w:ascii="宋体" w:hAnsi="宋体"/>
          <w:b w:val="0"/>
          <w:bCs w:val="0"/>
          <w:color w:val="auto"/>
          <w:sz w:val="24"/>
          <w:szCs w:val="24"/>
          <w:highlight w:val="none"/>
        </w:rPr>
        <w:t xml:space="preserve">且同时供货数量为最多。</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举例：</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采购包1</w:t>
      </w:r>
      <w:r>
        <w:rPr>
          <w:rFonts w:hint="eastAsia" w:ascii="宋体" w:hAnsi="宋体" w:eastAsia="宋体" w:cs="宋体"/>
          <w:b w:val="0"/>
          <w:bCs w:val="0"/>
          <w:color w:val="auto"/>
          <w:sz w:val="24"/>
          <w:szCs w:val="24"/>
          <w:highlight w:val="none"/>
        </w:rPr>
        <w:t xml:space="preserve">最高限价</w:t>
      </w:r>
      <w:r>
        <w:rPr>
          <w:rFonts w:hint="eastAsia" w:ascii="宋体" w:hAnsi="宋体" w:eastAsia="宋体" w:cs="宋体"/>
          <w:b w:val="0"/>
          <w:bCs w:val="0"/>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357250</w:t>
      </w:r>
      <w:r>
        <w:rPr>
          <w:rFonts w:hint="eastAsia" w:ascii="宋体" w:hAnsi="宋体" w:eastAsia="宋体" w:cs="宋体"/>
          <w:b w:val="0"/>
          <w:bCs w:val="0"/>
          <w:color w:val="auto"/>
          <w:sz w:val="24"/>
          <w:szCs w:val="24"/>
          <w:highlight w:val="none"/>
          <w:lang w:val="en-US" w:eastAsia="zh-CN"/>
        </w:rPr>
        <w:t xml:space="preserve">元</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rPr>
        <w:t xml:space="preserve">单价</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34元</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=10507.3529411765（瓶）；数量取整数(</w:t>
      </w:r>
      <w:r>
        <w:rPr>
          <w:rFonts w:hint="eastAsia" w:ascii="宋体" w:hAnsi="宋体" w:eastAsia="宋体" w:cs="Times New Roman"/>
          <w:b w:val="0"/>
          <w:bCs w:val="0"/>
          <w:color w:val="auto"/>
          <w:sz w:val="24"/>
          <w:szCs w:val="24"/>
          <w:highlight w:val="none"/>
        </w:rPr>
        <w:t xml:space="preserve">不四舍五入</w:t>
      </w:r>
      <w:r>
        <w:rPr>
          <w:rFonts w:hint="eastAsia" w:ascii="宋体" w:hAnsi="宋体" w:eastAsia="宋体" w:cs="宋体"/>
          <w:b w:val="0"/>
          <w:bCs w:val="0"/>
          <w:color w:val="auto"/>
          <w:sz w:val="24"/>
          <w:szCs w:val="24"/>
          <w:highlight w:val="none"/>
          <w:lang w:val="en-US" w:eastAsia="zh-CN"/>
        </w:rPr>
        <w:t xml:space="preserve">)为10507瓶。</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正确的投标报价明细表填写：</w:t>
      </w:r>
      <w:r/>
    </w:p>
    <w:p>
      <w:pPr>
        <w:ind w:left="42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投标单价：</w:t>
      </w: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lang w:val="en-US" w:eastAsia="zh-CN" w:bidi="ar-SA"/>
        </w:rPr>
        <w:t xml:space="preserve">元</w:t>
      </w:r>
      <w:r/>
    </w:p>
    <w:p>
      <w:pPr>
        <w:ind w:left="42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投标数量：</w:t>
      </w:r>
      <w:r>
        <w:rPr>
          <w:rFonts w:hint="eastAsia" w:ascii="宋体" w:hAnsi="宋体" w:eastAsia="宋体" w:cs="宋体"/>
          <w:b w:val="0"/>
          <w:bCs w:val="0"/>
          <w:color w:val="auto"/>
          <w:sz w:val="24"/>
          <w:szCs w:val="24"/>
          <w:highlight w:val="none"/>
          <w:lang w:val="en-US" w:eastAsia="zh-CN"/>
        </w:rPr>
        <w:t xml:space="preserve">10507</w:t>
      </w:r>
      <w:r>
        <w:rPr>
          <w:rFonts w:hint="eastAsia" w:ascii="宋体" w:hAnsi="宋体" w:eastAsia="宋体" w:cs="宋体"/>
          <w:color w:val="auto"/>
          <w:sz w:val="24"/>
          <w:szCs w:val="24"/>
          <w:highlight w:val="none"/>
          <w:lang w:val="en-US" w:eastAsia="zh-CN" w:bidi="ar-SA"/>
        </w:rPr>
        <w:t xml:space="preserve">瓶</w:t>
      </w:r>
      <w:r/>
    </w:p>
    <w:p>
      <w:pPr>
        <w:ind w:left="420"/>
        <w:jc w:val="both"/>
        <w:spacing w:after="120"/>
        <w:widowControl w:val="off"/>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SA"/>
        </w:rPr>
        <w:t xml:space="preserve">采购包报价：357238元</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2、合同签订时或实际使用时数量可能会有10%左右的变动，最终结算以实际使用数量结算。</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3、其他要求</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质量标准：</w:t>
      </w:r>
      <w:r/>
    </w:p>
    <w:p>
      <w:pPr>
        <w:ind w:firstLine="480"/>
        <w:spacing w:line="360" w:lineRule="auto"/>
        <w:rPr>
          <w:rFonts w:hint="eastAsia" w:ascii="宋体" w:hAnsi="宋体" w:eastAsia="宋体" w:cs="Times New Roman"/>
          <w:b/>
          <w:bCs/>
          <w:color w:val="auto"/>
          <w:sz w:val="28"/>
          <w:szCs w:val="28"/>
          <w:highlight w:val="none"/>
        </w:rPr>
      </w:pPr>
      <w:r>
        <w:rPr>
          <w:rFonts w:hint="eastAsia" w:ascii="宋体" w:hAnsi="宋体" w:eastAsia="宋体" w:cs="Times New Roman"/>
          <w:color w:val="auto"/>
          <w:sz w:val="24"/>
          <w:szCs w:val="24"/>
          <w:highlight w:val="none"/>
        </w:rPr>
        <w:t xml:space="preserve">（1）各农药品种质量须符合规定的产品质量标准，</w:t>
      </w:r>
      <w:r>
        <w:rPr>
          <w:rFonts w:hint="eastAsia" w:ascii="宋体" w:hAnsi="宋体" w:eastAsia="宋体" w:cs="Times New Roman"/>
          <w:b/>
          <w:bCs/>
          <w:color w:val="auto"/>
          <w:sz w:val="28"/>
          <w:szCs w:val="28"/>
          <w:highlight w:val="none"/>
        </w:rPr>
        <w:t xml:space="preserve">并提供产品合格证</w:t>
      </w:r>
      <w:r>
        <w:rPr>
          <w:rFonts w:hint="eastAsia" w:ascii="宋体" w:hAnsi="宋体" w:eastAsia="宋体" w:cs="Times New Roman"/>
          <w:b/>
          <w:bCs/>
          <w:color w:val="auto"/>
          <w:sz w:val="28"/>
          <w:szCs w:val="28"/>
          <w:highlight w:val="none"/>
          <w:lang w:eastAsia="zh-CN"/>
        </w:rPr>
        <w:t xml:space="preserve">（</w:t>
      </w:r>
      <w:r>
        <w:rPr>
          <w:rFonts w:hint="eastAsia" w:ascii="宋体" w:hAnsi="宋体" w:eastAsia="宋体" w:cs="Times New Roman"/>
          <w:b/>
          <w:bCs/>
          <w:color w:val="auto"/>
          <w:sz w:val="28"/>
          <w:szCs w:val="28"/>
          <w:highlight w:val="none"/>
          <w:lang w:val="en-US" w:eastAsia="zh-CN"/>
        </w:rPr>
        <w:t xml:space="preserve">或合格证明材料</w:t>
      </w:r>
      <w:r>
        <w:rPr>
          <w:rFonts w:hint="eastAsia" w:ascii="宋体" w:hAnsi="宋体" w:eastAsia="宋体" w:cs="Times New Roman"/>
          <w:b/>
          <w:bCs/>
          <w:color w:val="auto"/>
          <w:sz w:val="28"/>
          <w:szCs w:val="28"/>
          <w:highlight w:val="none"/>
          <w:lang w:eastAsia="zh-CN"/>
        </w:rPr>
        <w:t xml:space="preserve">）</w:t>
      </w:r>
      <w:r>
        <w:rPr>
          <w:rFonts w:hint="eastAsia" w:ascii="宋体" w:hAnsi="宋体" w:eastAsia="宋体" w:cs="Times New Roman"/>
          <w:b/>
          <w:bCs/>
          <w:color w:val="auto"/>
          <w:sz w:val="28"/>
          <w:szCs w:val="28"/>
          <w:highlight w:val="none"/>
        </w:rPr>
        <w:t xml:space="preserve">。</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（2）供应商所提供的农药保质期不少于一年。</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（3）参加报价的供应商应当在响应文件中详细说明以下内容：</w:t>
      </w:r>
      <w:r/>
    </w:p>
    <w:p>
      <w:pPr>
        <w:ind w:firstLine="480"/>
        <w:spacing w:line="360" w:lineRule="auto"/>
        <w:rPr>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rPr>
        <w:t xml:space="preserve">A．产品的使用说明书。</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二、有关说明</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本采购文件中有关技术与商务条款的相关要求为基准要求，采购人将不接受低于该基准要求（负偏离）的报价，供应商需对此基准要求作实质性响应。供应商中标后，在供货期内如遇产品平滑（自然）升级，成交供应商应提供平滑升级商品不补差价（询价通知书中有特殊要求的除外）。</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本项目中有政府强制采购节能产品的，供应商只能选择财政部、国家发展改革委公布的现行《节能产品政府采购清单》中的产品，并提供有效的节能产品认证证书复印件及标明所投产品位置的《节能产品政府采购清单》复印件。</w:t>
      </w:r>
      <w:r/>
    </w:p>
    <w:p>
      <w:pPr>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3、服务要求：</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本次采购的农药自签收之日起至少有一年的有效期；质保期12个月，免费质保期内，应提供免除一切费用的售后服务。</w:t>
      </w:r>
      <w:r/>
    </w:p>
    <w:p>
      <w:pPr>
        <w:ind w:left="420"/>
        <w:jc w:val="both"/>
        <w:keepLines w:val="0"/>
        <w:keepNext w:val="0"/>
        <w:pageBreakBefore w:val="0"/>
        <w:spacing w:after="120"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为保证产品质量与售后服务，成交供应商须在中标公示期满、签订采购合同前，提交制造商针对本项目加盖公章的售后服务承诺书原件（须标明项目名称和项目编号）；逾期无法提供或承诺内容不满足采购需求，采购人有权取消中标资格，顺延下一位中标候选人。</w:t>
      </w:r>
      <w:r/>
    </w:p>
    <w:p>
      <w:pPr>
        <w:ind w:firstLine="482"/>
        <w:spacing w:line="360" w:lineRule="auto"/>
        <w:rPr>
          <w:rFonts w:hint="eastAsia" w:ascii="宋体" w:hAnsi="宋体" w:eastAsia="宋体" w:cs="Times New Roman"/>
          <w:color w:val="auto"/>
          <w:sz w:val="24"/>
          <w:szCs w:val="24"/>
          <w:highlight w:val="none"/>
          <w:u w:val="none"/>
        </w:rPr>
      </w:pPr>
      <w:r/>
      <w:bookmarkStart w:id="89" w:name="_Toc9368"/>
      <w:r/>
      <w:bookmarkStart w:id="90" w:name="_Toc526779129"/>
      <w:r/>
      <w:bookmarkStart w:id="91" w:name="_Toc29639"/>
      <w:r/>
      <w:bookmarkStart w:id="92" w:name="_Toc5576"/>
      <w:r/>
      <w:bookmarkStart w:id="93" w:name="_Toc2535"/>
      <w:r/>
      <w:bookmarkStart w:id="94" w:name="_Toc17672"/>
      <w:r/>
      <w:bookmarkStart w:id="95" w:name="_Toc3082"/>
      <w:r/>
      <w:bookmarkStart w:id="96" w:name="_Toc157175933"/>
      <w:r/>
      <w:bookmarkStart w:id="97" w:name="_Toc487900374"/>
      <w:r>
        <w:rPr>
          <w:rFonts w:hint="eastAsia" w:ascii="宋体" w:hAnsi="宋体" w:eastAsia="宋体" w:cs="Times New Roman"/>
          <w:b/>
          <w:bCs/>
          <w:color w:val="auto"/>
          <w:sz w:val="24"/>
          <w:szCs w:val="24"/>
          <w:highlight w:val="none"/>
        </w:rPr>
        <w:t xml:space="preserve">4、交货地点</w:t>
      </w:r>
      <w:r>
        <w:rPr>
          <w:rFonts w:hint="eastAsia" w:ascii="宋体" w:hAnsi="宋体" w:eastAsia="宋体" w:cs="Times New Roman"/>
          <w:b/>
          <w:bCs/>
          <w:color w:val="auto"/>
          <w:sz w:val="24"/>
          <w:szCs w:val="24"/>
          <w:highlight w:val="none"/>
          <w:lang w:val="en-US" w:eastAsia="zh-CN"/>
        </w:rPr>
        <w:t xml:space="preserve">及方式</w:t>
      </w:r>
      <w:r>
        <w:rPr>
          <w:rFonts w:hint="eastAsia" w:ascii="宋体" w:hAnsi="宋体" w:eastAsia="宋体" w:cs="Times New Roman"/>
          <w:b/>
          <w:bCs/>
          <w:color w:val="auto"/>
          <w:sz w:val="24"/>
          <w:szCs w:val="24"/>
          <w:highlight w:val="none"/>
        </w:rPr>
        <w:t xml:space="preserve">：</w:t>
      </w:r>
      <w:r>
        <w:rPr>
          <w:rFonts w:hint="eastAsia" w:ascii="宋体" w:hAnsi="宋体" w:eastAsia="宋体" w:cs="Times New Roman"/>
          <w:color w:val="auto"/>
          <w:sz w:val="24"/>
          <w:szCs w:val="24"/>
          <w:highlight w:val="none"/>
        </w:rPr>
        <w:t xml:space="preserve">宜兴市各乡镇采购人指定地点</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成交供应商必须负责免费运输及上下货搬运工作，如无法实施搬运的，其卸货地搬运产</w:t>
      </w:r>
      <w:r>
        <w:rPr>
          <w:rFonts w:hint="eastAsia" w:ascii="宋体" w:hAnsi="宋体" w:eastAsia="宋体" w:cs="Times New Roman"/>
          <w:color w:val="auto"/>
          <w:sz w:val="24"/>
          <w:szCs w:val="24"/>
          <w:highlight w:val="none"/>
          <w:u w:val="none"/>
          <w:lang w:val="en-US" w:eastAsia="zh-CN"/>
        </w:rPr>
        <w:t xml:space="preserve">生的费用，由成交供应商全部承担</w:t>
      </w:r>
      <w:r>
        <w:rPr>
          <w:rFonts w:hint="eastAsia" w:ascii="宋体" w:hAnsi="宋体" w:eastAsia="宋体" w:cs="宋体"/>
          <w:color w:val="auto"/>
          <w:sz w:val="24"/>
          <w:highlight w:val="none"/>
          <w:u w:val="none"/>
          <w:lang w:val="en-US" w:eastAsia="zh-CN"/>
        </w:rPr>
        <w:t xml:space="preserve">并自行</w:t>
      </w:r>
      <w:r>
        <w:rPr>
          <w:rFonts w:hint="eastAsia" w:ascii="宋体" w:hAnsi="宋体" w:eastAsia="宋体" w:cs="Times New Roman"/>
          <w:color w:val="auto"/>
          <w:sz w:val="24"/>
          <w:szCs w:val="24"/>
          <w:highlight w:val="none"/>
          <w:u w:val="none"/>
          <w:lang w:val="en-US" w:eastAsia="zh-CN"/>
        </w:rPr>
        <w:t xml:space="preserve">，其金额不包含在本次采购成交金额内</w:t>
      </w:r>
      <w:r>
        <w:rPr>
          <w:rFonts w:hint="eastAsia" w:ascii="宋体" w:hAnsi="宋体" w:eastAsia="宋体" w:cs="Times New Roman"/>
          <w:color w:val="auto"/>
          <w:sz w:val="24"/>
          <w:szCs w:val="24"/>
          <w:highlight w:val="none"/>
          <w:u w:val="none"/>
          <w:lang w:eastAsia="zh-CN"/>
        </w:rPr>
        <w:t xml:space="preserve">）</w:t>
      </w:r>
      <w:r>
        <w:rPr>
          <w:rFonts w:hint="eastAsia" w:ascii="宋体" w:hAnsi="宋体" w:eastAsia="宋体" w:cs="Times New Roman"/>
          <w:color w:val="auto"/>
          <w:sz w:val="24"/>
          <w:szCs w:val="24"/>
          <w:highlight w:val="none"/>
          <w:u w:val="none"/>
        </w:rPr>
        <w:t xml:space="preserve">。</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b/>
          <w:bCs/>
          <w:color w:val="auto"/>
          <w:sz w:val="24"/>
          <w:szCs w:val="24"/>
          <w:highlight w:val="none"/>
        </w:rPr>
        <w:t xml:space="preserve">5、交货期限：</w:t>
      </w:r>
      <w:r>
        <w:rPr>
          <w:rFonts w:hint="eastAsia" w:ascii="宋体" w:hAnsi="宋体" w:eastAsia="宋体" w:cs="Times New Roman"/>
          <w:color w:val="auto"/>
          <w:sz w:val="24"/>
          <w:szCs w:val="24"/>
          <w:highlight w:val="none"/>
        </w:rPr>
        <w:t xml:space="preserve">成交供应商于合同生效之日起按采购人要求供货，接到采购人通知后5日内送达采购人方指定地点。</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eastAsia="宋体" w:cs="Times New Roman"/>
          <w:color w:val="auto"/>
          <w:sz w:val="24"/>
          <w:szCs w:val="24"/>
          <w:highlight w:val="none"/>
        </w:rPr>
        <w:t xml:space="preserve">供应商应承诺收到中标通知书后7日内与采购人签订供货合同并供货，不得以批量小为由拒绝及时送货、供货。</w:t>
      </w:r>
      <w:r/>
    </w:p>
    <w:p>
      <w:pPr>
        <w:ind w:firstLine="482"/>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b/>
          <w:bCs/>
          <w:color w:val="auto"/>
          <w:sz w:val="24"/>
          <w:szCs w:val="24"/>
          <w:highlight w:val="none"/>
        </w:rPr>
        <w:t xml:space="preserve">6、验收方式：</w:t>
      </w:r>
      <w:r>
        <w:rPr>
          <w:rFonts w:hint="eastAsia" w:ascii="宋体" w:hAnsi="宋体" w:eastAsia="宋体" w:cs="Times New Roman"/>
          <w:color w:val="auto"/>
          <w:sz w:val="24"/>
          <w:szCs w:val="24"/>
          <w:highlight w:val="none"/>
        </w:rPr>
        <w:t xml:space="preserve">（1）采购人在成交供应商生产过程中可对物品进行随机抽检或现场监制，若发现不合格，有权要求成交供应商整改，若供应商拒不整改或整改不到位，采购人有权报监管部门终止合同，抽检费用和相关损失由成交供应商承担。</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（2）货到现场，采购人组织验收，随机抽取部分产品委托国家认可的专业检测机构检测，有权对不符合要求的产品提出整改或退货重换要求，相关费用和损失由供应商承担。</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验收时间：供货完毕后60日内完成质量验收。如项目区农户在使用过程中提出异议或举报有质量问题应重新验收，包括产品质量抽检。采购人可请国家认可的专业检测机构出具质量检测报告，检测费用由供应商承担。供应商交货前应对产品作出全面检查和对验收文件进行整理，并列出清单，作为采购人收货验收和使用的技术条件依据，检验的结果应随货物交采购人。初步验收时供应商必须在现场，质量验收完毕后作出验收结果报告。</w:t>
      </w:r>
      <w:r/>
    </w:p>
    <w:p>
      <w:pPr>
        <w:ind w:firstLine="482"/>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b/>
          <w:bCs/>
          <w:color w:val="auto"/>
          <w:sz w:val="24"/>
          <w:szCs w:val="24"/>
          <w:highlight w:val="none"/>
        </w:rPr>
        <w:t xml:space="preserve">7、付款步骤：</w:t>
      </w:r>
      <w:r>
        <w:rPr>
          <w:rFonts w:hint="eastAsia" w:ascii="宋体" w:hAnsi="宋体" w:eastAsia="宋体" w:cs="Times New Roman"/>
          <w:color w:val="auto"/>
          <w:sz w:val="24"/>
          <w:szCs w:val="24"/>
          <w:highlight w:val="none"/>
        </w:rPr>
        <w:t xml:space="preserve">供货完毕验收合格后（财政对本项目另有要求除外），在202</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年12月31日前一次性付清全部货款。</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三、核心产品及实质性要求：</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在本次政府采购过程中，对核心产品农药提供相同品牌产品的不同供应商参加同一合同项下报价的，以其中通过资格审查、符合性审查且报价最低的参加评审；报价相同的，采用随机抽取方式确定一个参加报价的供应商，其他报价无效。</w:t>
      </w:r>
      <w:r/>
    </w:p>
    <w:p>
      <w:pPr>
        <w:rPr>
          <w:color w:val="auto"/>
          <w:highlight w:val="none"/>
        </w:rPr>
      </w:pPr>
      <w:r>
        <w:rPr>
          <w:color w:val="auto"/>
          <w:highlight w:val="none"/>
        </w:rPr>
      </w:r>
      <w:r/>
    </w:p>
    <w:p>
      <w:pPr>
        <w:pStyle w:val="992"/>
        <w:jc w:val="center"/>
        <w:keepLines/>
        <w:keepNext/>
        <w:pageBreakBefore/>
        <w:widowControl w:val="off"/>
        <w:rPr>
          <w:rFonts w:ascii="黑体" w:hAnsi="黑体" w:eastAsia="黑体"/>
          <w:b w:val="0"/>
          <w:bCs/>
          <w:color w:val="auto"/>
          <w:sz w:val="28"/>
          <w:highlight w:val="none"/>
        </w:rPr>
      </w:pPr>
      <w:r>
        <w:rPr>
          <w:rFonts w:hint="eastAsia" w:ascii="黑体" w:hAnsi="黑体" w:eastAsia="黑体"/>
          <w:b w:val="0"/>
          <w:bCs/>
          <w:color w:val="auto"/>
          <w:sz w:val="28"/>
          <w:highlight w:val="none"/>
        </w:rPr>
        <w:t xml:space="preserve">第四章 政府采购合同（格式）</w:t>
      </w:r>
      <w:bookmarkEnd w:id="89"/>
      <w:r/>
      <w:bookmarkEnd w:id="90"/>
      <w:r/>
      <w:bookmarkEnd w:id="91"/>
      <w:r/>
      <w:bookmarkEnd w:id="92"/>
      <w:r/>
      <w:bookmarkEnd w:id="93"/>
      <w:r/>
      <w:bookmarkEnd w:id="94"/>
      <w:r/>
      <w:bookmarkEnd w:id="95"/>
      <w:r/>
      <w:r/>
    </w:p>
    <w:p>
      <w:pPr>
        <w:pStyle w:val="1001"/>
        <w:ind w:firstLine="0"/>
        <w:jc w:val="center"/>
        <w:rPr>
          <w:rFonts w:hint="default" w:hAnsi="宋体" w:eastAsia="宋体" w:cs="宋体"/>
          <w:b/>
          <w:color w:val="auto"/>
          <w:sz w:val="28"/>
          <w:szCs w:val="28"/>
          <w:highlight w:val="none"/>
          <w:lang w:val="en-US" w:eastAsia="zh-CN"/>
        </w:rPr>
      </w:pPr>
      <w:r>
        <w:rPr>
          <w:rFonts w:hint="eastAsia" w:hAnsi="宋体" w:cs="宋体"/>
          <w:b/>
          <w:color w:val="auto"/>
          <w:sz w:val="28"/>
          <w:szCs w:val="28"/>
          <w:highlight w:val="none"/>
          <w:lang w:val="en-US" w:eastAsia="zh-CN"/>
        </w:rPr>
        <w:t xml:space="preserve">           计划单号：</w:t>
      </w:r>
      <w:r/>
    </w:p>
    <w:p>
      <w:pPr>
        <w:pStyle w:val="1001"/>
        <w:ind w:firstLine="0"/>
        <w:jc w:val="right"/>
        <w:rPr>
          <w:rFonts w:hAnsi="宋体" w:cs="宋体"/>
          <w:color w:val="auto"/>
          <w:szCs w:val="24"/>
          <w:highlight w:val="none"/>
        </w:rPr>
      </w:pPr>
      <w:r>
        <w:rPr>
          <w:rFonts w:hAnsi="宋体" w:cs="宋体"/>
          <w:color w:val="auto"/>
          <w:szCs w:val="24"/>
          <w:highlight w:val="none"/>
        </w:rPr>
      </w:r>
      <w:r/>
    </w:p>
    <w:p>
      <w:pPr>
        <w:pStyle w:val="1001"/>
        <w:ind w:firstLine="0"/>
        <w:rPr>
          <w:rFonts w:hAnsi="宋体" w:cs="宋体"/>
          <w:color w:val="auto"/>
          <w:szCs w:val="24"/>
          <w:highlight w:val="none"/>
        </w:rPr>
      </w:pPr>
      <w:r>
        <w:rPr>
          <w:rFonts w:hAnsi="宋体" w:cs="宋体"/>
          <w:color w:val="auto"/>
          <w:szCs w:val="24"/>
          <w:highlight w:val="none"/>
        </w:rPr>
      </w:r>
      <w:r/>
    </w:p>
    <w:p>
      <w:pPr>
        <w:pStyle w:val="1001"/>
        <w:ind w:firstLine="0"/>
        <w:rPr>
          <w:rFonts w:hAnsi="宋体" w:cs="宋体"/>
          <w:color w:val="auto"/>
          <w:szCs w:val="24"/>
          <w:highlight w:val="none"/>
        </w:rPr>
      </w:pPr>
      <w:r>
        <w:rPr>
          <w:rFonts w:hAnsi="宋体" w:cs="宋体"/>
          <w:color w:val="auto"/>
          <w:szCs w:val="24"/>
          <w:highlight w:val="none"/>
        </w:rPr>
      </w:r>
      <w:bookmarkEnd w:id="96"/>
      <w:r/>
      <w:bookmarkEnd w:id="97"/>
      <w:r/>
      <w:r/>
    </w:p>
    <w:p>
      <w:pPr>
        <w:pStyle w:val="1001"/>
        <w:ind w:firstLine="0"/>
        <w:jc w:val="center"/>
        <w:rPr>
          <w:rFonts w:hAnsi="宋体" w:cs="宋体"/>
          <w:b/>
          <w:color w:val="auto"/>
          <w:sz w:val="32"/>
          <w:szCs w:val="32"/>
          <w:highlight w:val="none"/>
        </w:rPr>
      </w:pPr>
      <w:r/>
      <w:bookmarkStart w:id="98" w:name="_Toc7245"/>
      <w:r/>
      <w:bookmarkStart w:id="99" w:name="_Toc11173"/>
      <w:r/>
      <w:bookmarkStart w:id="100" w:name="_Toc331685783"/>
      <w:r>
        <w:rPr>
          <w:rFonts w:hint="eastAsia" w:hAnsi="宋体" w:cs="宋体"/>
          <w:b/>
          <w:color w:val="auto"/>
          <w:sz w:val="32"/>
          <w:szCs w:val="32"/>
          <w:highlight w:val="none"/>
        </w:rPr>
        <w:t xml:space="preserve">第一部分 合同书</w:t>
      </w:r>
      <w:r/>
    </w:p>
    <w:p>
      <w:pPr>
        <w:pStyle w:val="1001"/>
        <w:ind w:firstLine="0"/>
        <w:rPr>
          <w:rFonts w:hAnsi="宋体" w:cs="宋体"/>
          <w:color w:val="auto"/>
          <w:sz w:val="32"/>
          <w:szCs w:val="32"/>
          <w:highlight w:val="none"/>
        </w:rPr>
      </w:pPr>
      <w:r>
        <w:rPr>
          <w:rFonts w:hAnsi="宋体" w:cs="宋体"/>
          <w:color w:val="auto"/>
          <w:sz w:val="32"/>
          <w:szCs w:val="32"/>
          <w:highlight w:val="none"/>
        </w:rPr>
      </w:r>
      <w:r/>
    </w:p>
    <w:p>
      <w:pPr>
        <w:pStyle w:val="1001"/>
        <w:ind w:firstLine="0"/>
        <w:rPr>
          <w:rFonts w:hAnsi="宋体" w:cs="宋体"/>
          <w:color w:val="auto"/>
          <w:szCs w:val="24"/>
          <w:highlight w:val="none"/>
        </w:rPr>
      </w:pPr>
      <w:r>
        <w:rPr>
          <w:rFonts w:hAnsi="宋体" w:cs="宋体"/>
          <w:color w:val="auto"/>
          <w:szCs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lang w:val="en-US" w:eastAsia="zh-CN"/>
        </w:rPr>
        <w:t xml:space="preserve">                                    </w:t>
      </w:r>
      <w:r/>
    </w:p>
    <w:p>
      <w:pPr>
        <w:pStyle w:val="1012"/>
        <w:spacing w:before="120" w:line="22" w:lineRule="atLeast"/>
        <w:rPr>
          <w:rFonts w:ascii="宋体" w:hAnsi="宋体" w:eastAsia="宋体" w:cs="宋体"/>
          <w:color w:val="auto"/>
          <w:szCs w:val="24"/>
          <w:highlight w:val="none"/>
        </w:rPr>
      </w:pPr>
      <w:r>
        <w:rPr>
          <w:rFonts w:ascii="宋体" w:hAnsi="宋体" w:eastAsia="宋体" w:cs="宋体"/>
          <w:color w:val="auto"/>
          <w:szCs w:val="24"/>
          <w:highlight w:val="none"/>
        </w:rPr>
      </w:r>
      <w:r/>
    </w:p>
    <w:p>
      <w:pPr>
        <w:pStyle w:val="1012"/>
        <w:spacing w:before="120" w:line="22" w:lineRule="atLeast"/>
        <w:rPr>
          <w:rFonts w:ascii="宋体" w:hAnsi="宋体" w:eastAsia="宋体" w:cs="宋体"/>
          <w:color w:val="auto"/>
          <w:szCs w:val="24"/>
          <w:highlight w:val="none"/>
        </w:rPr>
      </w:pPr>
      <w:r>
        <w:rPr>
          <w:rFonts w:hint="eastAsia" w:ascii="宋体" w:hAnsi="宋体" w:eastAsia="宋体" w:cs="宋体"/>
          <w:bCs/>
          <w:color w:val="auto"/>
          <w:highlight w:val="none"/>
        </w:rPr>
        <w:t xml:space="preserve">        项目编号：</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rPr>
        <w:t xml:space="preserve"> </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     </w:t>
      </w:r>
      <w:r/>
    </w:p>
    <w:p>
      <w:pPr>
        <w:rPr>
          <w:rFonts w:ascii="宋体" w:hAnsi="宋体" w:cs="宋体"/>
          <w:color w:val="auto"/>
          <w:highlight w:val="none"/>
        </w:rPr>
      </w:pPr>
      <w:r>
        <w:rPr>
          <w:rFonts w:ascii="宋体" w:hAnsi="宋体" w:cs="宋体"/>
          <w:color w:val="auto"/>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宜兴市农业农村局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签订地：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宜兴市农业农村局</w:t>
      </w:r>
      <w:r>
        <w:rPr>
          <w:rFonts w:hint="eastAsia" w:ascii="宋体" w:hAnsi="宋体" w:cs="宋体"/>
          <w:color w:val="auto"/>
          <w:sz w:val="24"/>
          <w:highlight w:val="none"/>
          <w:u w:val="single"/>
          <w:lang w:val="en-US" w:eastAsia="zh-CN"/>
        </w:rPr>
        <w:t xml:space="preserve">内</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640"/>
        <w:jc w:val="center"/>
        <w:spacing w:line="600" w:lineRule="exact"/>
        <w:rPr>
          <w:rFonts w:ascii="宋体" w:hAnsi="宋体" w:cs="宋体"/>
          <w:color w:val="auto"/>
          <w:sz w:val="24"/>
          <w:highlight w:val="none"/>
        </w:rPr>
        <w:sectPr>
          <w:footerReference w:type="default" r:id="rId14"/>
          <w:footnotePr/>
          <w:endnotePr/>
          <w:type w:val="nextPage"/>
          <w:pgSz w:w="11905" w:h="16838" w:orient="portrait"/>
          <w:pgMar w:top="1134" w:right="1134" w:bottom="1134" w:left="1134" w:header="851" w:footer="850" w:gutter="0"/>
          <w:cols w:num="1" w:sep="0" w:space="720" w:equalWidth="1"/>
          <w:docGrid w:linePitch="360"/>
        </w:sectPr>
      </w:pPr>
      <w:r>
        <w:rPr>
          <w:rFonts w:ascii="宋体" w:hAnsi="宋体" w:cs="宋体"/>
          <w:color w:val="auto"/>
          <w:sz w:val="24"/>
          <w:highlight w:val="none"/>
        </w:rPr>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u w:val="single"/>
          <w:lang w:val="en-US" w:eastAsia="zh-CN"/>
        </w:rPr>
        <w:t xml:space="preserve">2026</w:t>
      </w:r>
      <w:r>
        <w:rPr>
          <w:rFonts w:hint="eastAsia" w:ascii="宋体" w:hAnsi="宋体" w:cs="宋体"/>
          <w:color w:val="auto"/>
          <w:sz w:val="24"/>
          <w:highlight w:val="none"/>
          <w:lang w:val="zh-CN"/>
        </w:rPr>
        <w:t xml:space="preserve">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zh-CN"/>
        </w:rPr>
        <w:t xml:space="preserve">月</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zh-CN"/>
        </w:rPr>
        <w:t xml:space="preserve">日</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eastAsia="宋体" w:cs="宋体"/>
          <w:color w:val="auto"/>
          <w:sz w:val="24"/>
          <w:szCs w:val="24"/>
          <w:highlight w:val="none"/>
          <w:u w:val="single"/>
        </w:rPr>
        <w:t xml:space="preserve">宜兴市农业农村局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lang w:val="en-US" w:eastAsia="zh-CN"/>
        </w:rPr>
        <w:t xml:space="preserve">询价</w:t>
      </w:r>
      <w:r>
        <w:rPr>
          <w:rFonts w:hint="eastAsia" w:ascii="宋体" w:hAnsi="宋体" w:cs="宋体"/>
          <w:color w:val="auto"/>
          <w:sz w:val="24"/>
          <w:highlight w:val="none"/>
          <w:u w:val="none"/>
          <w:lang w:val="en-US" w:eastAsia="zh-CN"/>
        </w:rPr>
        <w:t xml:space="preserve">采购方式</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val="en-US" w:eastAsia="zh-CN"/>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none"/>
          <w:lang w:eastAsia="zh-CN"/>
        </w:rPr>
        <w:t xml:space="preserve">项目</w:t>
      </w:r>
      <w:r>
        <w:rPr>
          <w:rFonts w:hint="eastAsia" w:ascii="宋体" w:hAnsi="宋体" w:cs="宋体"/>
          <w:color w:val="auto"/>
          <w:sz w:val="24"/>
          <w:highlight w:val="none"/>
        </w:rPr>
        <w:t xml:space="preserve">进行了采购。经</w:t>
      </w:r>
      <w:r>
        <w:rPr>
          <w:rFonts w:hint="eastAsia" w:ascii="宋体" w:hAnsi="宋体"/>
          <w:bCs/>
          <w:color w:val="auto"/>
          <w:sz w:val="24"/>
          <w:szCs w:val="24"/>
          <w:highlight w:val="none"/>
          <w:lang w:val="en-US" w:eastAsia="zh-CN"/>
        </w:rPr>
        <w:t xml:space="preserve">评标委员会</w:t>
      </w:r>
      <w:r>
        <w:rPr>
          <w:rFonts w:hint="eastAsia" w:ascii="宋体" w:hAnsi="宋体" w:cs="宋体"/>
          <w:color w:val="auto"/>
          <w:sz w:val="24"/>
          <w:highlight w:val="none"/>
        </w:rPr>
        <w:t xml:space="preserve">评审，</w:t>
      </w:r>
      <w:r>
        <w:rPr>
          <w:rFonts w:hint="eastAsia" w:ascii="宋体" w:hAnsi="宋体" w:eastAsia="宋体" w:cs="宋体"/>
          <w:color w:val="auto"/>
          <w:sz w:val="24"/>
          <w:szCs w:val="24"/>
          <w:highlight w:val="none"/>
          <w:u w:val="single"/>
        </w:rPr>
        <w:t xml:space="preserve">宜兴市农业农村局</w:t>
      </w:r>
      <w:r>
        <w:rPr>
          <w:rFonts w:hint="eastAsia" w:ascii="宋体" w:hAnsi="宋体" w:cs="宋体"/>
          <w:color w:val="auto"/>
          <w:sz w:val="24"/>
          <w:highlight w:val="none"/>
        </w:rPr>
        <w:t xml:space="preserve">确定</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为该项目</w:t>
      </w:r>
      <w:r>
        <w:rPr>
          <w:rFonts w:hint="eastAsia" w:ascii="宋体" w:hAnsi="宋体" w:cs="宋体"/>
          <w:color w:val="auto"/>
          <w:sz w:val="24"/>
          <w:highlight w:val="none"/>
          <w:lang w:val="en-US" w:eastAsia="zh-CN"/>
        </w:rPr>
        <w:t xml:space="preserve">中标人</w:t>
      </w:r>
      <w:r>
        <w:rPr>
          <w:rFonts w:hint="eastAsia" w:ascii="宋体" w:hAnsi="宋体" w:cs="宋体"/>
          <w:color w:val="auto"/>
          <w:sz w:val="24"/>
          <w:highlight w:val="none"/>
        </w:rPr>
        <w:t xml:space="preserve">。现于</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通知书发出之日起</w:t>
      </w:r>
      <w:r>
        <w:rPr>
          <w:rFonts w:hint="eastAsia" w:ascii="宋体" w:hAnsi="宋体" w:cs="宋体"/>
          <w:color w:val="auto"/>
          <w:sz w:val="24"/>
          <w:highlight w:val="none"/>
          <w:lang w:val="en-US" w:eastAsia="zh-CN"/>
        </w:rPr>
        <w:t xml:space="preserve">五个工作日</w:t>
      </w:r>
      <w:r>
        <w:rPr>
          <w:rFonts w:hint="eastAsia" w:ascii="宋体" w:hAnsi="宋体" w:cs="宋体"/>
          <w:color w:val="auto"/>
          <w:sz w:val="24"/>
          <w:highlight w:val="none"/>
        </w:rPr>
        <w:t xml:space="preserve">内，按照</w:t>
      </w:r>
      <w:r>
        <w:rPr>
          <w:rFonts w:hint="eastAsia" w:ascii="宋体" w:hAnsi="宋体" w:cs="宋体"/>
          <w:color w:val="auto"/>
          <w:sz w:val="24"/>
          <w:highlight w:val="none"/>
          <w:lang w:val="en-US" w:eastAsia="zh-CN"/>
        </w:rPr>
        <w:t xml:space="preserve">招标文件</w:t>
      </w:r>
      <w:r>
        <w:rPr>
          <w:rFonts w:hint="eastAsia" w:ascii="宋体" w:hAnsi="宋体" w:cs="宋体"/>
          <w:color w:val="auto"/>
          <w:sz w:val="24"/>
          <w:highlight w:val="none"/>
        </w:rPr>
        <w:t xml:space="preserve">确定的事项签订本合同。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eastAsia="宋体" w:cs="宋体"/>
          <w:color w:val="auto"/>
          <w:sz w:val="24"/>
          <w:szCs w:val="24"/>
          <w:highlight w:val="none"/>
          <w:u w:val="single"/>
        </w:rPr>
        <w:t xml:space="preserve">宜兴市农业农村局</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lang w:val="zh-CN"/>
        </w:rPr>
        <w:t xml:space="preserve">以下简称：乙方）协商一致，约定以下合同</w:t>
      </w:r>
      <w:r>
        <w:rPr>
          <w:rFonts w:hint="eastAsia" w:ascii="宋体" w:hAnsi="宋体" w:cs="宋体"/>
          <w:color w:val="auto"/>
          <w:sz w:val="24"/>
          <w:highlight w:val="none"/>
        </w:rPr>
        <w:t xml:space="preserve">条款，以兹共同遵守、全面履行。</w:t>
      </w:r>
      <w:r/>
    </w:p>
    <w:p>
      <w:pPr>
        <w:ind w:firstLine="482"/>
        <w:jc w:val="left"/>
        <w:spacing w:line="560" w:lineRule="exact"/>
        <w:rPr>
          <w:rFonts w:ascii="宋体" w:hAnsi="宋体" w:cs="宋体"/>
          <w:b/>
          <w:color w:val="auto"/>
          <w:sz w:val="24"/>
          <w:highlight w:val="none"/>
        </w:rPr>
      </w:pPr>
      <w:r/>
      <w:bookmarkStart w:id="101" w:name="_Toc24059"/>
      <w:r/>
      <w:bookmarkStart w:id="102" w:name="_Toc3029"/>
      <w:r/>
      <w:bookmarkStart w:id="103" w:name="_Toc2232"/>
      <w:r>
        <w:rPr>
          <w:rFonts w:hint="eastAsia" w:ascii="宋体" w:hAnsi="宋体" w:cs="宋体"/>
          <w:b/>
          <w:color w:val="auto"/>
          <w:sz w:val="24"/>
          <w:highlight w:val="none"/>
        </w:rPr>
        <w:t xml:space="preserve">1.1 合同组成部分</w:t>
      </w:r>
      <w:bookmarkEnd w:id="101"/>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下列文件为本合同的组成部分，并构成一个整体，需综合解释、相互补充。如果下列文件内容出现不一致的情形，那么在保证按照</w:t>
      </w:r>
      <w:r>
        <w:rPr>
          <w:rFonts w:hint="eastAsia" w:ascii="宋体" w:hAnsi="宋体" w:cs="宋体"/>
          <w:color w:val="auto"/>
          <w:sz w:val="24"/>
          <w:highlight w:val="none"/>
          <w:lang w:eastAsia="zh-CN"/>
        </w:rPr>
        <w:t xml:space="preserve">招标文件</w:t>
      </w:r>
      <w:r>
        <w:rPr>
          <w:rFonts w:hint="eastAsia" w:ascii="宋体" w:hAnsi="宋体" w:cs="宋体"/>
          <w:color w:val="auto"/>
          <w:sz w:val="24"/>
          <w:highlight w:val="none"/>
        </w:rPr>
        <w:t xml:space="preserve">确定的事项的前提下，组成本合同的多个文件的优先适用顺序如下：</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1.1.1 本合同及其补充合同、变更协议；</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1.1.2 成交通知书；</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1.1.3 </w:t>
      </w:r>
      <w:r>
        <w:rPr>
          <w:rFonts w:hint="eastAsia" w:ascii="宋体" w:hAnsi="宋体" w:cs="宋体"/>
          <w:color w:val="auto"/>
          <w:sz w:val="24"/>
          <w:highlight w:val="none"/>
          <w:lang w:eastAsia="zh-CN"/>
        </w:rPr>
        <w:t xml:space="preserve">投标文件</w:t>
      </w:r>
      <w:r>
        <w:rPr>
          <w:rFonts w:hint="eastAsia" w:ascii="宋体" w:hAnsi="宋体" w:cs="宋体"/>
          <w:color w:val="auto"/>
          <w:sz w:val="24"/>
          <w:highlight w:val="none"/>
        </w:rPr>
        <w:t xml:space="preserve">（含澄清或者说明文件）；</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1.1.4 </w:t>
      </w:r>
      <w:r>
        <w:rPr>
          <w:rFonts w:hint="eastAsia" w:ascii="宋体" w:hAnsi="宋体" w:cs="宋体"/>
          <w:color w:val="auto"/>
          <w:sz w:val="24"/>
          <w:highlight w:val="none"/>
          <w:lang w:eastAsia="zh-CN"/>
        </w:rPr>
        <w:t xml:space="preserve">招标文件</w:t>
      </w:r>
      <w:r>
        <w:rPr>
          <w:rFonts w:hint="eastAsia" w:ascii="宋体" w:hAnsi="宋体" w:cs="宋体"/>
          <w:color w:val="auto"/>
          <w:sz w:val="24"/>
          <w:highlight w:val="none"/>
        </w:rPr>
        <w:t xml:space="preserve">（含澄清或者修改文件）；</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1.1.5 其他相关</w:t>
      </w:r>
      <w:r>
        <w:rPr>
          <w:rFonts w:hint="eastAsia" w:ascii="宋体" w:hAnsi="宋体" w:cs="宋体"/>
          <w:color w:val="auto"/>
          <w:sz w:val="24"/>
          <w:szCs w:val="24"/>
          <w:highlight w:val="none"/>
          <w:lang w:eastAsia="zh-CN"/>
        </w:rPr>
        <w:t xml:space="preserve">招标</w:t>
      </w:r>
      <w:r>
        <w:rPr>
          <w:rFonts w:hint="eastAsia" w:ascii="宋体" w:hAnsi="宋体" w:cs="宋体"/>
          <w:color w:val="auto"/>
          <w:sz w:val="24"/>
          <w:szCs w:val="24"/>
          <w:highlight w:val="none"/>
        </w:rPr>
        <w:t xml:space="preserve">文件</w:t>
      </w:r>
      <w:r>
        <w:rPr>
          <w:rFonts w:hint="eastAsia" w:ascii="宋体" w:hAnsi="宋体" w:cs="宋体"/>
          <w:color w:val="auto"/>
          <w:sz w:val="24"/>
          <w:highlight w:val="none"/>
        </w:rPr>
        <w:t xml:space="preserve">。</w:t>
      </w:r>
      <w:r/>
    </w:p>
    <w:p>
      <w:pPr>
        <w:ind w:firstLine="482"/>
        <w:jc w:val="left"/>
        <w:spacing w:line="560" w:lineRule="exact"/>
        <w:rPr>
          <w:rFonts w:ascii="宋体" w:hAnsi="宋体" w:cs="宋体"/>
          <w:b/>
          <w:color w:val="auto"/>
          <w:sz w:val="24"/>
          <w:highlight w:val="none"/>
        </w:rPr>
      </w:pPr>
      <w:r/>
      <w:bookmarkStart w:id="104" w:name="_Toc27126"/>
      <w:r/>
      <w:bookmarkStart w:id="105" w:name="_Toc24300"/>
      <w:r/>
      <w:bookmarkStart w:id="106" w:name="_Toc21295"/>
      <w:r>
        <w:rPr>
          <w:rFonts w:hint="eastAsia" w:ascii="宋体" w:hAnsi="宋体" w:cs="宋体"/>
          <w:b/>
          <w:color w:val="auto"/>
          <w:sz w:val="24"/>
          <w:highlight w:val="none"/>
        </w:rPr>
        <w:t xml:space="preserve">1.2 货物</w:t>
      </w:r>
      <w:bookmarkEnd w:id="102"/>
      <w:r/>
      <w:bookmarkEnd w:id="103"/>
      <w:r/>
      <w:bookmarkEnd w:id="104"/>
      <w:r/>
      <w:r/>
    </w:p>
    <w:p>
      <w:pPr>
        <w:ind w:firstLine="480"/>
        <w:jc w:val="left"/>
        <w:spacing w:line="560" w:lineRule="exact"/>
        <w:rPr>
          <w:rFonts w:ascii="宋体" w:hAnsi="宋体" w:cs="宋体"/>
          <w:color w:val="auto"/>
          <w:sz w:val="24"/>
          <w:highlight w:val="none"/>
          <w:u w:val="single"/>
        </w:rPr>
      </w:pPr>
      <w:r>
        <w:rPr>
          <w:rFonts w:hint="eastAsia" w:ascii="宋体" w:hAnsi="宋体" w:cs="宋体"/>
          <w:color w:val="auto"/>
          <w:sz w:val="24"/>
          <w:highlight w:val="none"/>
        </w:rPr>
        <w:t xml:space="preserve">1.2.1 货物名称：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采购包</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，规格：</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包装  </w:t>
      </w:r>
      <w:r>
        <w:rPr>
          <w:rFonts w:hint="eastAsia" w:ascii="宋体" w:hAnsi="宋体" w:cs="宋体"/>
          <w:color w:val="auto"/>
          <w:sz w:val="24"/>
          <w:highlight w:val="none"/>
        </w:rPr>
        <w:t xml:space="preserve">；</w:t>
      </w:r>
      <w:r/>
    </w:p>
    <w:p>
      <w:pPr>
        <w:ind w:firstLine="480"/>
        <w:jc w:val="left"/>
        <w:spacing w:line="560" w:lineRule="exact"/>
        <w:rPr>
          <w:rFonts w:ascii="宋体" w:hAnsi="宋体" w:cs="宋体"/>
          <w:color w:val="auto"/>
          <w:sz w:val="24"/>
          <w:highlight w:val="none"/>
          <w:u w:val="single"/>
        </w:rPr>
      </w:pPr>
      <w:r>
        <w:rPr>
          <w:rFonts w:hint="eastAsia" w:ascii="宋体" w:hAnsi="宋体" w:cs="宋体"/>
          <w:color w:val="auto"/>
          <w:sz w:val="24"/>
          <w:highlight w:val="none"/>
        </w:rPr>
        <w:t xml:space="preserve">1.2.2 货物数量：</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1.2.3 货物质量：</w:t>
      </w:r>
      <w:r>
        <w:rPr>
          <w:rFonts w:hint="eastAsia" w:ascii="宋体" w:hAnsi="宋体" w:cs="宋体"/>
          <w:color w:val="auto"/>
          <w:sz w:val="24"/>
          <w:highlight w:val="none"/>
          <w:u w:val="single"/>
        </w:rPr>
        <w:t xml:space="preserve">质量满足</w:t>
      </w:r>
      <w:r>
        <w:rPr>
          <w:rFonts w:hint="eastAsia" w:ascii="宋体" w:hAnsi="宋体" w:cs="宋体"/>
          <w:color w:val="auto"/>
          <w:sz w:val="24"/>
          <w:highlight w:val="none"/>
          <w:u w:val="single"/>
          <w:lang w:val="en-US" w:eastAsia="zh-CN"/>
        </w:rPr>
        <w:t xml:space="preserve">招标</w:t>
      </w:r>
      <w:r>
        <w:rPr>
          <w:rFonts w:hint="eastAsia" w:ascii="宋体" w:hAnsi="宋体" w:cs="宋体"/>
          <w:color w:val="auto"/>
          <w:sz w:val="24"/>
          <w:highlight w:val="none"/>
          <w:u w:val="single"/>
        </w:rPr>
        <w:t xml:space="preserve">文件要求，符合规定的产品质量标准，并提供产品合格证。在供货期内如遇产品平滑(自然)升级，提供平滑升级商品不补差价(</w:t>
      </w:r>
      <w:r>
        <w:rPr>
          <w:rFonts w:hint="eastAsia" w:ascii="宋体" w:hAnsi="宋体" w:cs="宋体"/>
          <w:color w:val="auto"/>
          <w:sz w:val="24"/>
          <w:highlight w:val="none"/>
          <w:u w:val="single"/>
          <w:lang w:eastAsia="zh-CN"/>
        </w:rPr>
        <w:t xml:space="preserve">招标文件</w:t>
      </w:r>
      <w:r>
        <w:rPr>
          <w:rFonts w:hint="eastAsia" w:ascii="宋体" w:hAnsi="宋体" w:cs="宋体"/>
          <w:color w:val="auto"/>
          <w:sz w:val="24"/>
          <w:highlight w:val="none"/>
          <w:u w:val="single"/>
        </w:rPr>
        <w:t xml:space="preserve">中有特殊要求的除外)。保质期一年以上。</w:t>
      </w:r>
      <w:r/>
    </w:p>
    <w:p>
      <w:pPr>
        <w:ind w:firstLine="482"/>
        <w:jc w:val="left"/>
        <w:spacing w:line="560" w:lineRule="exact"/>
        <w:rPr>
          <w:rFonts w:ascii="宋体" w:hAnsi="宋体" w:cs="宋体"/>
          <w:b/>
          <w:color w:val="auto"/>
          <w:sz w:val="24"/>
          <w:highlight w:val="none"/>
        </w:rPr>
      </w:pPr>
      <w:r/>
      <w:bookmarkStart w:id="107" w:name="_Toc21631"/>
      <w:r/>
      <w:bookmarkStart w:id="108" w:name="_Toc23292"/>
      <w:r/>
      <w:bookmarkStart w:id="109" w:name="_Toc21551"/>
      <w:r>
        <w:rPr>
          <w:rFonts w:hint="eastAsia" w:ascii="宋体" w:hAnsi="宋体" w:cs="宋体"/>
          <w:b/>
          <w:color w:val="auto"/>
          <w:sz w:val="24"/>
          <w:highlight w:val="none"/>
        </w:rPr>
        <w:t xml:space="preserve">1.3 价款</w:t>
      </w:r>
      <w:bookmarkEnd w:id="105"/>
      <w:r/>
      <w:bookmarkEnd w:id="106"/>
      <w:r/>
      <w:bookmarkEnd w:id="107"/>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本合同总价为：￥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人民币）。</w:t>
      </w:r>
      <w:r/>
    </w:p>
    <w:p>
      <w:pPr>
        <w:ind w:firstLine="480"/>
        <w:spacing w:line="560" w:lineRule="exact"/>
        <w:rPr>
          <w:rFonts w:ascii="宋体" w:hAnsi="宋体" w:cs="宋体"/>
          <w:color w:val="auto"/>
          <w:sz w:val="24"/>
          <w:highlight w:val="none"/>
          <w:u w:val="single"/>
        </w:rPr>
      </w:pPr>
      <w:r>
        <w:rPr>
          <w:rFonts w:hint="eastAsia" w:ascii="宋体" w:hAnsi="宋体" w:cs="宋体"/>
          <w:color w:val="auto"/>
          <w:sz w:val="24"/>
          <w:highlight w:val="none"/>
        </w:rPr>
        <w:t xml:space="preserve">分项价格：</w:t>
      </w:r>
      <w:r/>
    </w:p>
    <w:tbl>
      <w:tblPr>
        <w:tblStyle w:val="873"/>
        <w:tblW w:w="87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0"/>
        <w:gridCol w:w="3892"/>
        <w:gridCol w:w="1726"/>
        <w:gridCol w:w="1796"/>
      </w:tblGrid>
      <w:tr>
        <w:trPr>
          <w:jc w:val="center"/>
          <w:trHeight w:val="521"/>
        </w:trPr>
        <w:tc>
          <w:tcPr>
            <w:tcW w:w="1350" w:type="dxa"/>
            <w:vAlign w:val="center"/>
            <w:textDirection w:val="lrTb"/>
            <w:noWrap w:val="false"/>
          </w:tcPr>
          <w:p>
            <w:pPr>
              <w:pStyle w:val="959"/>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序号</w:t>
            </w:r>
            <w:r/>
          </w:p>
        </w:tc>
        <w:tc>
          <w:tcPr>
            <w:tcW w:w="3892" w:type="dxa"/>
            <w:vAlign w:val="center"/>
            <w:textDirection w:val="lrTb"/>
            <w:noWrap w:val="false"/>
          </w:tcPr>
          <w:p>
            <w:pPr>
              <w:pStyle w:val="959"/>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分项名称</w:t>
            </w:r>
            <w:r/>
          </w:p>
        </w:tc>
        <w:tc>
          <w:tcPr>
            <w:tcW w:w="1726" w:type="dxa"/>
            <w:vAlign w:val="center"/>
            <w:textDirection w:val="lrTb"/>
            <w:noWrap w:val="false"/>
          </w:tcPr>
          <w:p>
            <w:pPr>
              <w:pStyle w:val="959"/>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分项价格</w:t>
            </w:r>
            <w:r/>
          </w:p>
        </w:tc>
        <w:tc>
          <w:tcPr>
            <w:tcW w:w="1796" w:type="dxa"/>
            <w:vAlign w:val="center"/>
            <w:textDirection w:val="lrTb"/>
            <w:noWrap w:val="false"/>
          </w:tcPr>
          <w:p>
            <w:pPr>
              <w:pStyle w:val="959"/>
              <w:jc w:val="center"/>
              <w:spacing w:line="560" w:lineRule="exact"/>
              <w:rPr>
                <w:rFonts w:hint="default"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分项数量</w:t>
            </w:r>
            <w:r/>
          </w:p>
        </w:tc>
      </w:tr>
      <w:tr>
        <w:trPr>
          <w:jc w:val="center"/>
          <w:trHeight w:val="521"/>
        </w:trPr>
        <w:tc>
          <w:tcPr>
            <w:tcW w:w="1350" w:type="dxa"/>
            <w:vAlign w:val="center"/>
            <w:textDirection w:val="lrTb"/>
            <w:noWrap w:val="false"/>
          </w:tcPr>
          <w:p>
            <w:pPr>
              <w:pStyle w:val="959"/>
              <w:jc w:val="both"/>
              <w:spacing w:line="560" w:lineRule="exact"/>
              <w:rPr>
                <w:rFonts w:hint="default"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采购包号 </w:t>
            </w:r>
            <w:r/>
          </w:p>
        </w:tc>
        <w:tc>
          <w:tcPr>
            <w:tcW w:w="3892" w:type="dxa"/>
            <w:vAlign w:val="center"/>
            <w:textDirection w:val="lrTb"/>
            <w:noWrap w:val="false"/>
          </w:tcPr>
          <w:p>
            <w:pPr>
              <w:pStyle w:val="959"/>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lang w:val="en-US" w:eastAsia="zh-CN"/>
              </w:rPr>
              <w:t xml:space="preserve"> </w:t>
            </w:r>
            <w:r/>
          </w:p>
        </w:tc>
        <w:tc>
          <w:tcPr>
            <w:tcW w:w="1726" w:type="dxa"/>
            <w:vAlign w:val="center"/>
            <w:textDirection w:val="lrTb"/>
            <w:noWrap w:val="false"/>
          </w:tcPr>
          <w:p>
            <w:pPr>
              <w:pStyle w:val="959"/>
              <w:ind w:firstLine="200"/>
              <w:jc w:val="center"/>
              <w:spacing w:line="560" w:lineRule="exact"/>
              <w:rPr>
                <w:rFonts w:hint="eastAsia" w:hAnsi="宋体" w:eastAsia="宋体" w:cs="宋体"/>
                <w:color w:val="auto"/>
                <w:sz w:val="24"/>
                <w:szCs w:val="24"/>
                <w:highlight w:val="none"/>
                <w:lang w:eastAsia="zh-CN"/>
              </w:rPr>
            </w:pPr>
            <w:r>
              <w:rPr>
                <w:rFonts w:hint="eastAsia" w:hAnsi="宋体" w:cs="宋体"/>
                <w:color w:val="auto"/>
                <w:sz w:val="24"/>
                <w:szCs w:val="24"/>
                <w:highlight w:val="none"/>
                <w:lang w:val="en-US" w:eastAsia="zh-CN"/>
              </w:rPr>
              <w:t xml:space="preserve"> </w:t>
            </w:r>
            <w:r/>
          </w:p>
        </w:tc>
        <w:tc>
          <w:tcPr>
            <w:tcW w:w="1796" w:type="dxa"/>
            <w:vAlign w:val="center"/>
            <w:textDirection w:val="lrTb"/>
            <w:noWrap w:val="false"/>
          </w:tcPr>
          <w:p>
            <w:pPr>
              <w:pStyle w:val="959"/>
              <w:ind w:firstLine="200"/>
              <w:jc w:val="center"/>
              <w:spacing w:line="560" w:lineRule="exact"/>
              <w:rPr>
                <w:rFonts w:hint="eastAsia" w:hAnsi="宋体" w:eastAsia="宋体" w:cs="宋体"/>
                <w:color w:val="auto"/>
                <w:sz w:val="24"/>
                <w:szCs w:val="24"/>
                <w:highlight w:val="none"/>
                <w:lang w:eastAsia="zh-CN"/>
              </w:rPr>
            </w:pPr>
            <w:r>
              <w:rPr>
                <w:rFonts w:hint="eastAsia" w:hAnsi="宋体" w:cs="宋体"/>
                <w:color w:val="auto"/>
                <w:sz w:val="24"/>
                <w:szCs w:val="24"/>
                <w:highlight w:val="none"/>
                <w:lang w:val="en-US" w:eastAsia="zh-CN"/>
              </w:rPr>
              <w:t xml:space="preserve"> </w:t>
            </w:r>
            <w:r/>
          </w:p>
        </w:tc>
      </w:tr>
      <w:tr>
        <w:trPr>
          <w:jc w:val="center"/>
          <w:trHeight w:val="530"/>
        </w:trPr>
        <w:tc>
          <w:tcPr>
            <w:gridSpan w:val="2"/>
            <w:tcW w:w="5242" w:type="dxa"/>
            <w:vAlign w:val="center"/>
            <w:textDirection w:val="lrTb"/>
            <w:noWrap w:val="false"/>
          </w:tcPr>
          <w:p>
            <w:pPr>
              <w:pStyle w:val="959"/>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总价</w:t>
            </w:r>
            <w:r/>
          </w:p>
        </w:tc>
        <w:tc>
          <w:tcPr>
            <w:gridSpan w:val="2"/>
            <w:tcW w:w="3522" w:type="dxa"/>
            <w:vAlign w:val="center"/>
            <w:textDirection w:val="lrTb"/>
            <w:noWrap w:val="false"/>
          </w:tcPr>
          <w:p>
            <w:pPr>
              <w:pStyle w:val="959"/>
              <w:ind w:firstLine="200"/>
              <w:jc w:val="center"/>
              <w:spacing w:line="560" w:lineRule="exact"/>
              <w:rPr>
                <w:rFonts w:hint="eastAsia"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 元</w:t>
            </w:r>
            <w:r/>
          </w:p>
        </w:tc>
      </w:tr>
    </w:tbl>
    <w:p>
      <w:pPr>
        <w:ind w:firstLine="482"/>
        <w:jc w:val="left"/>
        <w:spacing w:line="560" w:lineRule="exact"/>
        <w:rPr>
          <w:rFonts w:hint="default" w:ascii="宋体" w:hAnsi="宋体" w:eastAsia="宋体" w:cs="宋体"/>
          <w:b/>
          <w:color w:val="auto"/>
          <w:sz w:val="24"/>
          <w:highlight w:val="none"/>
          <w:lang w:val="en-US" w:eastAsia="zh-CN"/>
        </w:rPr>
      </w:pPr>
      <w:r/>
      <w:bookmarkStart w:id="110" w:name="_Toc1814"/>
      <w:r/>
      <w:bookmarkStart w:id="111" w:name="_Toc10340"/>
      <w:r/>
      <w:bookmarkStart w:id="112" w:name="_Toc22618"/>
      <w:r>
        <w:rPr>
          <w:rFonts w:hint="eastAsia" w:ascii="宋体" w:hAnsi="宋体" w:cs="宋体"/>
          <w:b/>
          <w:color w:val="auto"/>
          <w:sz w:val="24"/>
          <w:highlight w:val="none"/>
          <w:lang w:val="en-US" w:eastAsia="zh-CN"/>
        </w:rPr>
        <w:t xml:space="preserve">注：此价格包含本次招标过程中的所有费用，甲方不再承担任何其他费用。</w:t>
      </w:r>
      <w:r/>
    </w:p>
    <w:p>
      <w:pPr>
        <w:ind w:firstLine="482"/>
        <w:jc w:val="left"/>
        <w:spacing w:line="560" w:lineRule="exact"/>
        <w:rPr>
          <w:rFonts w:ascii="宋体" w:hAnsi="宋体" w:cs="宋体"/>
          <w:b/>
          <w:color w:val="auto"/>
          <w:sz w:val="24"/>
          <w:highlight w:val="none"/>
        </w:rPr>
      </w:pPr>
      <w:r>
        <w:rPr>
          <w:rFonts w:hint="eastAsia" w:ascii="宋体" w:hAnsi="宋体" w:cs="宋体"/>
          <w:b/>
          <w:color w:val="auto"/>
          <w:sz w:val="24"/>
          <w:highlight w:val="none"/>
        </w:rPr>
        <w:t xml:space="preserve">1.4 付款方式和发票开具方式</w:t>
      </w:r>
      <w:bookmarkEnd w:id="108"/>
      <w:r/>
      <w:bookmarkEnd w:id="109"/>
      <w:r/>
      <w:bookmarkEnd w:id="110"/>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1.4.1 付款方式：</w:t>
      </w:r>
      <w:r>
        <w:rPr>
          <w:rFonts w:hint="eastAsia" w:ascii="宋体" w:hAnsi="宋体" w:cs="宋体"/>
          <w:color w:val="auto"/>
          <w:sz w:val="24"/>
          <w:highlight w:val="none"/>
          <w:u w:val="single"/>
        </w:rPr>
        <w:t xml:space="preserve">供货完毕验收合格后（财政对本项目另有要求除外），在</w:t>
      </w:r>
      <w:r>
        <w:rPr>
          <w:rFonts w:hint="eastAsia" w:ascii="宋体" w:hAnsi="宋体" w:eastAsia="宋体" w:cs="Times New Roman"/>
          <w:color w:val="auto"/>
          <w:sz w:val="24"/>
          <w:szCs w:val="24"/>
          <w:highlight w:val="none"/>
          <w:u w:val="single"/>
        </w:rPr>
        <w:t xml:space="preserve">在202</w:t>
      </w:r>
      <w:r>
        <w:rPr>
          <w:rFonts w:hint="eastAsia" w:ascii="宋体" w:hAnsi="宋体" w:eastAsia="宋体" w:cs="Times New Roman"/>
          <w:color w:val="auto"/>
          <w:sz w:val="24"/>
          <w:szCs w:val="24"/>
          <w:highlight w:val="none"/>
          <w:u w:val="single"/>
          <w:lang w:val="en-US" w:eastAsia="zh-CN"/>
        </w:rPr>
        <w:t xml:space="preserve">6</w:t>
      </w:r>
      <w:r>
        <w:rPr>
          <w:rFonts w:hint="eastAsia" w:ascii="宋体" w:hAnsi="宋体" w:eastAsia="宋体" w:cs="Times New Roman"/>
          <w:color w:val="auto"/>
          <w:sz w:val="24"/>
          <w:szCs w:val="24"/>
          <w:highlight w:val="none"/>
          <w:u w:val="single"/>
        </w:rPr>
        <w:t xml:space="preserve">年12月31日前一次性付清全部货款</w:t>
      </w:r>
      <w:r>
        <w:rPr>
          <w:rFonts w:hint="eastAsia" w:ascii="宋体" w:hAnsi="宋体" w:cs="宋体"/>
          <w:color w:val="auto"/>
          <w:sz w:val="24"/>
          <w:highlight w:val="none"/>
        </w:rPr>
        <w:t xml:space="preserve">；</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1.4.2 发票开具方式：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增值税普通发票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jc w:val="left"/>
        <w:spacing w:line="560" w:lineRule="exact"/>
        <w:rPr>
          <w:rFonts w:ascii="宋体" w:hAnsi="宋体" w:cs="宋体"/>
          <w:b/>
          <w:color w:val="auto"/>
          <w:sz w:val="24"/>
          <w:highlight w:val="none"/>
        </w:rPr>
      </w:pPr>
      <w:r/>
      <w:bookmarkStart w:id="113" w:name="_Toc2846"/>
      <w:r/>
      <w:bookmarkStart w:id="114" w:name="_Toc19304"/>
      <w:r/>
      <w:bookmarkStart w:id="115" w:name="_Toc32071"/>
      <w:r>
        <w:rPr>
          <w:rFonts w:hint="eastAsia" w:ascii="宋体" w:hAnsi="宋体" w:cs="宋体"/>
          <w:b/>
          <w:color w:val="auto"/>
          <w:sz w:val="24"/>
          <w:highlight w:val="none"/>
        </w:rPr>
        <w:t xml:space="preserve">1.5 货物交付期限、地点和方式</w:t>
      </w:r>
      <w:bookmarkEnd w:id="111"/>
      <w:r/>
      <w:bookmarkEnd w:id="112"/>
      <w:r/>
      <w:bookmarkEnd w:id="113"/>
      <w:r/>
      <w:r/>
    </w:p>
    <w:p>
      <w:pPr>
        <w:ind w:firstLine="480"/>
        <w:jc w:val="left"/>
        <w:spacing w:line="560" w:lineRule="exact"/>
        <w:rPr>
          <w:rFonts w:ascii="宋体" w:hAnsi="宋体" w:cs="宋体"/>
          <w:color w:val="auto"/>
          <w:sz w:val="24"/>
          <w:highlight w:val="none"/>
          <w:u w:val="single"/>
        </w:rPr>
      </w:pPr>
      <w:r>
        <w:rPr>
          <w:rFonts w:hint="eastAsia" w:ascii="宋体" w:hAnsi="宋体" w:cs="宋体"/>
          <w:color w:val="auto"/>
          <w:sz w:val="24"/>
          <w:highlight w:val="none"/>
        </w:rPr>
        <w:t xml:space="preserve">1.5.1 交付期限：</w:t>
      </w:r>
      <w:r>
        <w:rPr>
          <w:rFonts w:hint="eastAsia" w:ascii="宋体" w:hAnsi="宋体" w:cs="宋体"/>
          <w:color w:val="auto"/>
          <w:sz w:val="24"/>
          <w:highlight w:val="none"/>
          <w:u w:val="single"/>
        </w:rPr>
        <w:t xml:space="preserve">按采购人要求的发货通知，</w:t>
      </w:r>
      <w:r>
        <w:rPr>
          <w:rFonts w:hint="eastAsia" w:ascii="宋体" w:hAnsi="宋体" w:cs="宋体"/>
          <w:color w:val="auto"/>
          <w:sz w:val="24"/>
          <w:highlight w:val="none"/>
          <w:u w:val="single"/>
          <w:lang w:val="en-US" w:eastAsia="zh-CN"/>
        </w:rPr>
        <w:t xml:space="preserve">5</w:t>
      </w:r>
      <w:r>
        <w:rPr>
          <w:rFonts w:hint="eastAsia" w:ascii="宋体" w:hAnsi="宋体" w:cs="宋体"/>
          <w:color w:val="auto"/>
          <w:sz w:val="24"/>
          <w:highlight w:val="none"/>
          <w:u w:val="single"/>
        </w:rPr>
        <w:t xml:space="preserve">日内完成供货，送达采购人方指定地点</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1.5.2 交付地点：</w:t>
      </w:r>
      <w:r>
        <w:rPr>
          <w:rFonts w:hint="eastAsia" w:ascii="宋体" w:hAnsi="宋体" w:cs="宋体"/>
          <w:color w:val="auto"/>
          <w:sz w:val="24"/>
          <w:highlight w:val="none"/>
          <w:u w:val="single"/>
        </w:rPr>
        <w:t xml:space="preserve">         宜兴市各乡镇采购人指定地点</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1.5.3 交付方式：</w:t>
      </w:r>
      <w:r>
        <w:rPr>
          <w:rFonts w:hint="eastAsia" w:ascii="宋体" w:hAnsi="宋体" w:cs="宋体"/>
          <w:color w:val="auto"/>
          <w:sz w:val="24"/>
          <w:highlight w:val="none"/>
          <w:u w:val="single"/>
          <w:lang w:eastAsia="zh-CN"/>
        </w:rPr>
        <w:t xml:space="preserve">中标人</w:t>
      </w:r>
      <w:r>
        <w:rPr>
          <w:rFonts w:hint="eastAsia" w:ascii="宋体" w:hAnsi="宋体" w:cs="宋体"/>
          <w:color w:val="auto"/>
          <w:sz w:val="24"/>
          <w:highlight w:val="none"/>
          <w:u w:val="single"/>
        </w:rPr>
        <w:t xml:space="preserve">必须负责免费运输及上下货搬运工作，如无法实施搬运的，其卸货地搬运产生的费用，由</w:t>
      </w:r>
      <w:r>
        <w:rPr>
          <w:rFonts w:hint="eastAsia" w:ascii="宋体" w:hAnsi="宋体" w:cs="宋体"/>
          <w:color w:val="auto"/>
          <w:sz w:val="24"/>
          <w:highlight w:val="none"/>
          <w:u w:val="single"/>
          <w:lang w:eastAsia="zh-CN"/>
        </w:rPr>
        <w:t xml:space="preserve">中标人</w:t>
      </w:r>
      <w:r>
        <w:rPr>
          <w:rFonts w:hint="eastAsia" w:ascii="宋体" w:hAnsi="宋体" w:cs="宋体"/>
          <w:color w:val="auto"/>
          <w:sz w:val="24"/>
          <w:highlight w:val="none"/>
          <w:u w:val="single"/>
        </w:rPr>
        <w:t xml:space="preserve">全部承担</w:t>
      </w:r>
      <w:r>
        <w:rPr>
          <w:rFonts w:hint="eastAsia" w:ascii="宋体" w:hAnsi="宋体" w:cs="宋体"/>
          <w:color w:val="auto"/>
          <w:sz w:val="24"/>
          <w:highlight w:val="none"/>
          <w:u w:val="single"/>
          <w:lang w:val="en-US" w:eastAsia="zh-CN"/>
        </w:rPr>
        <w:t xml:space="preserve">并自行支付</w:t>
      </w:r>
      <w:r>
        <w:rPr>
          <w:rFonts w:hint="eastAsia" w:ascii="宋体" w:hAnsi="宋体" w:cs="宋体"/>
          <w:color w:val="auto"/>
          <w:sz w:val="24"/>
          <w:highlight w:val="none"/>
          <w:u w:val="single"/>
        </w:rPr>
        <w:t xml:space="preserve">，其金额不包含在本次</w:t>
      </w:r>
      <w:r>
        <w:rPr>
          <w:rFonts w:hint="eastAsia" w:ascii="宋体" w:hAnsi="宋体" w:cs="宋体"/>
          <w:color w:val="auto"/>
          <w:sz w:val="24"/>
          <w:highlight w:val="none"/>
          <w:u w:val="single"/>
          <w:lang w:eastAsia="zh-CN"/>
        </w:rPr>
        <w:t xml:space="preserve">招标</w:t>
      </w:r>
      <w:r>
        <w:rPr>
          <w:rFonts w:hint="eastAsia" w:ascii="宋体" w:hAnsi="宋体" w:cs="宋体"/>
          <w:color w:val="auto"/>
          <w:sz w:val="24"/>
          <w:highlight w:val="none"/>
          <w:u w:val="single"/>
        </w:rPr>
        <w:t xml:space="preserve">成交金额内</w:t>
      </w:r>
      <w:r>
        <w:rPr>
          <w:rFonts w:hint="eastAsia" w:ascii="宋体" w:hAnsi="宋体" w:cs="宋体"/>
          <w:color w:val="auto"/>
          <w:sz w:val="24"/>
          <w:highlight w:val="none"/>
        </w:rPr>
        <w:t xml:space="preserve">。</w:t>
      </w:r>
      <w:r/>
    </w:p>
    <w:p>
      <w:pPr>
        <w:ind w:firstLine="482"/>
        <w:jc w:val="left"/>
        <w:spacing w:line="560" w:lineRule="exact"/>
        <w:rPr>
          <w:rFonts w:ascii="宋体" w:hAnsi="宋体" w:cs="宋体"/>
          <w:b/>
          <w:color w:val="auto"/>
          <w:sz w:val="24"/>
          <w:highlight w:val="none"/>
        </w:rPr>
      </w:pPr>
      <w:r/>
      <w:bookmarkStart w:id="116" w:name="_Toc19554"/>
      <w:r/>
      <w:bookmarkStart w:id="117" w:name="_Toc21423"/>
      <w:r/>
      <w:bookmarkStart w:id="118" w:name="_Toc27250"/>
      <w:r>
        <w:rPr>
          <w:rFonts w:hint="eastAsia" w:ascii="宋体" w:hAnsi="宋体" w:cs="宋体"/>
          <w:b/>
          <w:color w:val="auto"/>
          <w:sz w:val="24"/>
          <w:highlight w:val="none"/>
        </w:rPr>
        <w:t xml:space="preserve">1.6 违约责任</w:t>
      </w:r>
      <w:bookmarkEnd w:id="114"/>
      <w:r/>
      <w:bookmarkEnd w:id="115"/>
      <w:r/>
      <w:bookmarkEnd w:id="116"/>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%计算，最高限额为本合同总价的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10</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%；迟延交付货物的违约金计算数额达到前述最高限额之日起，甲方有权在要求乙方支付违约金的同时，书面通知乙方解除本合同；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%计算，最高限额为本合同总价的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%；迟延付款的违约金计算数额达到前述最高限额之日起，乙方有权在要求甲方支付违约金的同时，书面通知甲方解除本合同；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jc w:val="left"/>
        <w:spacing w:line="560" w:lineRule="exact"/>
        <w:rPr>
          <w:rFonts w:ascii="宋体" w:hAnsi="宋体" w:cs="宋体"/>
          <w:color w:val="auto"/>
          <w:sz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1.6.7 如果出现政府采购监督管理部门在处理投诉事项期间，书面通知甲方暂停</w:t>
      </w:r>
      <w:r>
        <w:rPr>
          <w:rFonts w:hint="eastAsia" w:ascii="宋体" w:hAnsi="宋体" w:cs="宋体"/>
          <w:color w:val="auto"/>
          <w:sz w:val="24"/>
          <w:highlight w:val="none"/>
          <w:lang w:eastAsia="zh-CN"/>
        </w:rPr>
        <w:t xml:space="preserve">招标</w:t>
      </w:r>
      <w:r>
        <w:rPr>
          <w:rFonts w:hint="eastAsia" w:ascii="宋体" w:hAnsi="宋体" w:cs="宋体"/>
          <w:color w:val="auto"/>
          <w:sz w:val="24"/>
          <w:highlight w:val="none"/>
        </w:rPr>
        <w:t xml:space="preserve">活动的情形，或者询问或质疑事项可能影响成交结果的，导致甲方中止履行合同的情形，均不视为甲方违约。</w:t>
      </w:r>
      <w:r/>
    </w:p>
    <w:p>
      <w:pPr>
        <w:ind w:firstLine="482"/>
        <w:jc w:val="left"/>
        <w:spacing w:line="560" w:lineRule="exact"/>
        <w:rPr>
          <w:rFonts w:ascii="宋体" w:hAnsi="宋体" w:cs="宋体"/>
          <w:b/>
          <w:color w:val="auto"/>
          <w:sz w:val="24"/>
          <w:highlight w:val="none"/>
        </w:rPr>
      </w:pPr>
      <w:r/>
      <w:bookmarkStart w:id="119" w:name="_Toc28375"/>
      <w:r/>
      <w:bookmarkStart w:id="120" w:name="_Toc16021"/>
      <w:r/>
      <w:bookmarkStart w:id="121" w:name="_Toc15583"/>
      <w:r>
        <w:rPr>
          <w:rFonts w:hint="eastAsia" w:ascii="宋体" w:hAnsi="宋体" w:cs="宋体"/>
          <w:b/>
          <w:color w:val="auto"/>
          <w:sz w:val="24"/>
          <w:highlight w:val="none"/>
        </w:rPr>
        <w:t xml:space="preserve">1.7 合同争议的解决</w:t>
      </w:r>
      <w:bookmarkEnd w:id="117"/>
      <w:r/>
      <w:bookmarkEnd w:id="118"/>
      <w:r/>
      <w:bookmarkEnd w:id="119"/>
      <w:r/>
      <w:r/>
    </w:p>
    <w:p>
      <w:pPr>
        <w:ind w:firstLine="480"/>
        <w:jc w:val="left"/>
        <w:spacing w:line="560" w:lineRule="exact"/>
        <w:rPr>
          <w:rFonts w:ascii="宋体" w:hAnsi="宋体" w:cs="宋体"/>
          <w:color w:val="auto"/>
          <w:sz w:val="24"/>
          <w:highlight w:val="none"/>
        </w:rPr>
      </w:pPr>
      <w:r/>
      <w:bookmarkStart w:id="122" w:name="_Toc15322"/>
      <w:r>
        <w:rPr>
          <w:rFonts w:hint="eastAsia" w:ascii="宋体" w:hAnsi="宋体" w:cs="宋体"/>
          <w:color w:val="auto"/>
          <w:sz w:val="24"/>
          <w:highlight w:val="none"/>
        </w:rPr>
        <w:t xml:space="preserve">1.7.1 </w:t>
      </w:r>
      <w:r>
        <w:rPr>
          <w:rFonts w:hint="eastAsia" w:ascii="宋体" w:hAnsi="宋体" w:cs="宋体"/>
          <w:color w:val="auto"/>
          <w:sz w:val="24"/>
          <w:highlight w:val="none"/>
          <w:lang w:val="zh-CN"/>
        </w:rPr>
        <w:t xml:space="preserve">因货物的质量问题发生争议的，应当邀请国家认可的质量检测机构对货物质量进行鉴定。符合标准的，鉴定费由甲方承担；不符合质量标准的，鉴定费由乙方承担。</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1.7.</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 本合同履行过程中发生的任何争议，双方当事人均可通过和解或者调解解决；不愿和解、调解或者和解、调解不成的，可以选择下列第</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2</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种方式解决： </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）将争议提交</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仲裁委员会依申请仲裁时其现行有效的仲裁规则裁决；</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）向</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甲方所在地（宜兴）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人民法院起诉。</w:t>
      </w:r>
      <w:r/>
    </w:p>
    <w:p>
      <w:pPr>
        <w:ind w:firstLine="482"/>
        <w:jc w:val="left"/>
        <w:spacing w:line="560" w:lineRule="exact"/>
        <w:rPr>
          <w:rFonts w:ascii="宋体" w:hAnsi="宋体" w:cs="宋体"/>
          <w:b/>
          <w:color w:val="auto"/>
          <w:sz w:val="24"/>
          <w:highlight w:val="none"/>
        </w:rPr>
      </w:pPr>
      <w:r>
        <w:rPr>
          <w:rFonts w:hint="eastAsia" w:ascii="宋体" w:hAnsi="宋体" w:cs="宋体"/>
          <w:b/>
          <w:color w:val="auto"/>
          <w:sz w:val="24"/>
          <w:highlight w:val="none"/>
        </w:rPr>
        <w:t xml:space="preserve">1.8 合同生效</w:t>
      </w:r>
      <w:bookmarkEnd w:id="120"/>
      <w:r/>
      <w:bookmarkEnd w:id="121"/>
      <w:r/>
      <w:bookmarkEnd w:id="122"/>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经甲乙双方代表签字并加盖公章（或合同章）后即生效。</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1.8.2 本合同一式</w:t>
      </w:r>
      <w:r>
        <w:rPr>
          <w:rFonts w:hint="eastAsia" w:ascii="宋体" w:hAnsi="宋体" w:cs="宋体"/>
          <w:color w:val="auto"/>
          <w:sz w:val="24"/>
          <w:highlight w:val="none"/>
          <w:lang w:val="en-US" w:eastAsia="zh-CN"/>
        </w:rPr>
        <w:t xml:space="preserve">伍</w:t>
      </w:r>
      <w:r>
        <w:rPr>
          <w:rFonts w:hint="eastAsia" w:ascii="宋体" w:hAnsi="宋体" w:cs="宋体"/>
          <w:color w:val="auto"/>
          <w:sz w:val="24"/>
          <w:highlight w:val="none"/>
        </w:rPr>
        <w:t xml:space="preserve">份，供需双方各持</w:t>
      </w:r>
      <w:r>
        <w:rPr>
          <w:rFonts w:hint="eastAsia" w:ascii="宋体" w:hAnsi="宋体" w:cs="宋体"/>
          <w:color w:val="auto"/>
          <w:sz w:val="24"/>
          <w:highlight w:val="none"/>
          <w:lang w:val="en-US" w:eastAsia="zh-CN"/>
        </w:rPr>
        <w:t xml:space="preserve">贰</w:t>
      </w:r>
      <w:r>
        <w:rPr>
          <w:rFonts w:hint="eastAsia" w:ascii="宋体" w:hAnsi="宋体" w:cs="宋体"/>
          <w:color w:val="auto"/>
          <w:sz w:val="24"/>
          <w:highlight w:val="none"/>
        </w:rPr>
        <w:t xml:space="preserve">份，报送财政监管部门备案</w:t>
      </w:r>
      <w:r>
        <w:rPr>
          <w:rFonts w:hint="eastAsia" w:ascii="宋体" w:hAnsi="宋体" w:cs="宋体"/>
          <w:color w:val="auto"/>
          <w:sz w:val="24"/>
          <w:highlight w:val="none"/>
          <w:lang w:val="en-US" w:eastAsia="zh-CN"/>
        </w:rPr>
        <w:t xml:space="preserve">壹</w:t>
      </w:r>
      <w:r>
        <w:rPr>
          <w:rFonts w:hint="eastAsia" w:ascii="宋体" w:hAnsi="宋体" w:cs="宋体"/>
          <w:color w:val="auto"/>
          <w:sz w:val="24"/>
          <w:highlight w:val="none"/>
        </w:rPr>
        <w:t xml:space="preserve">份。</w:t>
      </w:r>
      <w:r/>
    </w:p>
    <w:p>
      <w:pPr>
        <w:ind w:firstLine="1063"/>
        <w:jc w:val="left"/>
        <w:spacing w:line="560" w:lineRule="exact"/>
        <w:rPr>
          <w:rFonts w:ascii="宋体" w:hAnsi="宋体" w:cs="宋体"/>
          <w:color w:val="auto"/>
          <w:sz w:val="24"/>
          <w:szCs w:val="24"/>
          <w:highlight w:val="none"/>
          <w:lang w:val="zh-CN"/>
        </w:rPr>
      </w:pPr>
      <w:r>
        <w:rPr>
          <w:rFonts w:hint="eastAsia" w:ascii="宋体" w:hAnsi="宋体" w:cs="宋体"/>
          <w:b/>
          <w:color w:val="auto"/>
          <w:sz w:val="24"/>
          <w:szCs w:val="24"/>
          <w:highlight w:val="none"/>
          <w:lang w:val="zh-CN"/>
        </w:rPr>
        <w:t xml:space="preserve">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 xml:space="preserve">：</w:t>
      </w:r>
      <w:r/>
    </w:p>
    <w:p>
      <w:pPr>
        <w:ind w:firstLine="1058"/>
        <w:jc w:val="left"/>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统一社会信用代码：                       统一社会信用代码或身份证号码：</w:t>
      </w:r>
      <w:r/>
    </w:p>
    <w:p>
      <w:pPr>
        <w:ind w:firstLine="1058"/>
        <w:jc w:val="left"/>
        <w:spacing w:line="56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1058"/>
        <w:jc w:val="left"/>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住所：                                   住所：</w:t>
      </w:r>
      <w:r/>
    </w:p>
    <w:p>
      <w:pPr>
        <w:ind w:firstLine="1058"/>
        <w:jc w:val="left"/>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                             法定代表人</w:t>
      </w:r>
      <w:r/>
    </w:p>
    <w:p>
      <w:pPr>
        <w:ind w:firstLine="1058"/>
        <w:jc w:val="left"/>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r/>
    </w:p>
    <w:p>
      <w:pPr>
        <w:ind w:firstLine="1058"/>
        <w:jc w:val="left"/>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                                 联系人：</w:t>
      </w:r>
      <w:r/>
    </w:p>
    <w:p>
      <w:pPr>
        <w:ind w:firstLine="1058"/>
        <w:jc w:val="left"/>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约定送达地址：                           约定送达地址：</w:t>
      </w:r>
      <w:r/>
    </w:p>
    <w:p>
      <w:pPr>
        <w:ind w:firstLine="1058"/>
        <w:jc w:val="left"/>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邮政编码：                               邮政编码：</w:t>
      </w:r>
      <w:r/>
    </w:p>
    <w:p>
      <w:pPr>
        <w:ind w:firstLine="1058"/>
        <w:jc w:val="left"/>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r/>
    </w:p>
    <w:p>
      <w:pPr>
        <w:ind w:firstLine="1058"/>
        <w:jc w:val="left"/>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传真：                                    传真：</w:t>
      </w:r>
      <w:r/>
    </w:p>
    <w:p>
      <w:pPr>
        <w:ind w:firstLine="1058"/>
        <w:jc w:val="left"/>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电子邮箱：                               电子邮箱：</w:t>
      </w:r>
      <w:r/>
    </w:p>
    <w:p>
      <w:pPr>
        <w:ind w:firstLine="1058"/>
        <w:jc w:val="left"/>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r/>
    </w:p>
    <w:p>
      <w:pPr>
        <w:ind w:firstLine="1058"/>
        <w:jc w:val="left"/>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r/>
    </w:p>
    <w:p>
      <w:pPr>
        <w:ind w:firstLine="1058"/>
        <w:jc w:val="left"/>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开户账号：</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 xml:space="preserve">开户账号：</w:t>
      </w:r>
      <w:r/>
    </w:p>
    <w:p>
      <w:pPr>
        <w:pStyle w:val="1001"/>
        <w:ind w:left="1058" w:hanging="2"/>
        <w:spacing w:line="560" w:lineRule="exact"/>
        <w:rPr>
          <w:rFonts w:hAnsi="宋体" w:cs="宋体"/>
          <w:b/>
          <w:color w:val="auto"/>
          <w:szCs w:val="24"/>
          <w:highlight w:val="none"/>
        </w:rPr>
      </w:pPr>
      <w:r>
        <w:rPr>
          <w:rFonts w:hAnsi="宋体" w:cs="宋体"/>
          <w:b/>
          <w:color w:val="auto"/>
          <w:szCs w:val="24"/>
          <w:highlight w:val="none"/>
        </w:rPr>
      </w:r>
      <w:r/>
    </w:p>
    <w:p>
      <w:pPr>
        <w:pStyle w:val="1001"/>
        <w:ind w:firstLine="200"/>
        <w:jc w:val="center"/>
        <w:spacing w:line="560" w:lineRule="exact"/>
        <w:rPr>
          <w:rFonts w:hAnsi="宋体" w:cs="宋体"/>
          <w:b/>
          <w:color w:val="auto"/>
          <w:szCs w:val="24"/>
          <w:highlight w:val="none"/>
        </w:rPr>
      </w:pPr>
      <w:r>
        <w:rPr>
          <w:rFonts w:hAnsi="宋体" w:cs="宋体"/>
          <w:b/>
          <w:color w:val="auto"/>
          <w:szCs w:val="24"/>
          <w:highlight w:val="none"/>
        </w:rPr>
      </w:r>
      <w:r/>
    </w:p>
    <w:p>
      <w:pPr>
        <w:pStyle w:val="1001"/>
        <w:ind w:firstLine="200"/>
        <w:jc w:val="center"/>
        <w:spacing w:line="560" w:lineRule="exact"/>
        <w:rPr>
          <w:rFonts w:hAnsi="宋体" w:cs="宋体"/>
          <w:b/>
          <w:color w:val="auto"/>
          <w:szCs w:val="24"/>
          <w:highlight w:val="none"/>
        </w:rPr>
      </w:pPr>
      <w:r>
        <w:rPr>
          <w:rFonts w:hAnsi="宋体" w:cs="宋体"/>
          <w:b/>
          <w:color w:val="auto"/>
          <w:szCs w:val="24"/>
          <w:highlight w:val="none"/>
        </w:rPr>
      </w:r>
      <w:r/>
    </w:p>
    <w:p>
      <w:pPr>
        <w:pStyle w:val="1001"/>
        <w:ind w:firstLine="200"/>
        <w:jc w:val="center"/>
        <w:spacing w:line="560" w:lineRule="exact"/>
        <w:rPr>
          <w:rFonts w:hAnsi="宋体" w:cs="宋体"/>
          <w:b/>
          <w:color w:val="auto"/>
          <w:szCs w:val="24"/>
          <w:highlight w:val="none"/>
        </w:rPr>
      </w:pPr>
      <w:r>
        <w:rPr>
          <w:rFonts w:hAnsi="宋体" w:cs="宋体"/>
          <w:b/>
          <w:color w:val="auto"/>
          <w:szCs w:val="24"/>
          <w:highlight w:val="none"/>
        </w:rPr>
      </w:r>
      <w:r/>
    </w:p>
    <w:p>
      <w:pPr>
        <w:pStyle w:val="1001"/>
        <w:ind w:firstLine="200"/>
        <w:jc w:val="center"/>
        <w:spacing w:line="560" w:lineRule="exact"/>
        <w:rPr>
          <w:rFonts w:hAnsi="宋体" w:cs="宋体"/>
          <w:b/>
          <w:color w:val="auto"/>
          <w:szCs w:val="24"/>
          <w:highlight w:val="none"/>
        </w:rPr>
      </w:pPr>
      <w:r>
        <w:rPr>
          <w:rFonts w:hAnsi="宋体" w:cs="宋体"/>
          <w:b/>
          <w:color w:val="auto"/>
          <w:szCs w:val="24"/>
          <w:highlight w:val="none"/>
        </w:rPr>
      </w:r>
      <w:r/>
    </w:p>
    <w:p>
      <w:pPr>
        <w:pStyle w:val="1001"/>
        <w:ind w:firstLine="200"/>
        <w:jc w:val="center"/>
        <w:spacing w:line="560" w:lineRule="exact"/>
        <w:rPr>
          <w:rFonts w:hAnsi="宋体" w:cs="宋体"/>
          <w:b/>
          <w:color w:val="auto"/>
          <w:szCs w:val="24"/>
          <w:highlight w:val="none"/>
        </w:rPr>
      </w:pPr>
      <w:r>
        <w:rPr>
          <w:rFonts w:hAnsi="宋体" w:cs="宋体"/>
          <w:b/>
          <w:color w:val="auto"/>
          <w:szCs w:val="24"/>
          <w:highlight w:val="none"/>
        </w:rPr>
      </w:r>
      <w:r/>
    </w:p>
    <w:p>
      <w:pPr>
        <w:pStyle w:val="1001"/>
        <w:ind w:firstLine="200"/>
        <w:jc w:val="center"/>
        <w:spacing w:line="560" w:lineRule="exact"/>
        <w:rPr>
          <w:rFonts w:hAnsi="宋体" w:cs="宋体"/>
          <w:b/>
          <w:color w:val="auto"/>
          <w:szCs w:val="24"/>
          <w:highlight w:val="none"/>
        </w:rPr>
      </w:pPr>
      <w:r>
        <w:rPr>
          <w:rFonts w:hAnsi="宋体" w:cs="宋体"/>
          <w:b/>
          <w:color w:val="auto"/>
          <w:szCs w:val="24"/>
          <w:highlight w:val="none"/>
        </w:rPr>
      </w:r>
      <w:r/>
    </w:p>
    <w:p>
      <w:pPr>
        <w:pStyle w:val="1001"/>
        <w:ind w:firstLine="200"/>
        <w:jc w:val="center"/>
        <w:spacing w:line="560" w:lineRule="exact"/>
        <w:rPr>
          <w:rFonts w:hAnsi="宋体" w:cs="宋体"/>
          <w:b/>
          <w:color w:val="auto"/>
          <w:szCs w:val="24"/>
          <w:highlight w:val="none"/>
        </w:rPr>
      </w:pPr>
      <w:r>
        <w:rPr>
          <w:rFonts w:hAnsi="宋体" w:cs="宋体"/>
          <w:b/>
          <w:color w:val="auto"/>
          <w:szCs w:val="24"/>
          <w:highlight w:val="none"/>
        </w:rPr>
      </w:r>
      <w:r/>
    </w:p>
    <w:p>
      <w:pPr>
        <w:pStyle w:val="1001"/>
        <w:ind w:left="0" w:firstLine="0"/>
        <w:jc w:val="both"/>
        <w:spacing w:line="560" w:lineRule="exact"/>
        <w:rPr>
          <w:rFonts w:hAnsi="宋体" w:cs="宋体"/>
          <w:b/>
          <w:color w:val="auto"/>
          <w:szCs w:val="24"/>
          <w:highlight w:val="none"/>
        </w:rPr>
      </w:pPr>
      <w:r>
        <w:rPr>
          <w:rFonts w:hAnsi="宋体" w:cs="宋体"/>
          <w:b/>
          <w:color w:val="auto"/>
          <w:szCs w:val="24"/>
          <w:highlight w:val="none"/>
        </w:rPr>
      </w:r>
      <w:r/>
    </w:p>
    <w:p>
      <w:pPr>
        <w:pStyle w:val="1001"/>
        <w:ind w:firstLine="0"/>
        <w:jc w:val="center"/>
        <w:spacing w:line="560" w:lineRule="exact"/>
        <w:rPr>
          <w:rFonts w:hAnsi="宋体" w:cs="宋体"/>
          <w:b/>
          <w:color w:val="auto"/>
          <w:szCs w:val="24"/>
          <w:highlight w:val="none"/>
        </w:rPr>
      </w:pPr>
      <w:r>
        <w:rPr>
          <w:rFonts w:hint="eastAsia" w:hAnsi="宋体" w:cs="宋体"/>
          <w:b/>
          <w:color w:val="auto"/>
          <w:szCs w:val="24"/>
          <w:highlight w:val="none"/>
        </w:rPr>
        <w:t xml:space="preserve">第二部分 合同条款</w:t>
      </w:r>
      <w:bookmarkEnd w:id="98"/>
      <w:r/>
      <w:r/>
    </w:p>
    <w:p>
      <w:pPr>
        <w:ind w:firstLine="482"/>
        <w:jc w:val="left"/>
        <w:spacing w:line="560" w:lineRule="exact"/>
        <w:rPr>
          <w:rFonts w:ascii="宋体" w:hAnsi="宋体" w:cs="宋体"/>
          <w:b/>
          <w:color w:val="auto"/>
          <w:sz w:val="24"/>
          <w:highlight w:val="none"/>
        </w:rPr>
      </w:pPr>
      <w:r/>
      <w:bookmarkStart w:id="123" w:name="_Ref467378404"/>
      <w:r/>
      <w:bookmarkStart w:id="124" w:name="_Ref467379214"/>
      <w:r/>
      <w:bookmarkStart w:id="125" w:name="_Ref467379225"/>
      <w:r/>
      <w:bookmarkStart w:id="126" w:name="_Toc279701240"/>
      <w:r/>
      <w:bookmarkStart w:id="127" w:name="_Ref467378499"/>
      <w:r/>
      <w:bookmarkStart w:id="128" w:name="_Toc16917"/>
      <w:r/>
      <w:bookmarkStart w:id="129" w:name="_Ref467379094"/>
      <w:r/>
      <w:bookmarkStart w:id="130" w:name="_Toc28763"/>
      <w:r/>
      <w:bookmarkStart w:id="131" w:name="_Toc19614"/>
      <w:r/>
      <w:bookmarkStart w:id="132" w:name="_Ref467378463"/>
      <w:r/>
      <w:bookmarkStart w:id="133" w:name="_Toc259093669"/>
      <w:r/>
      <w:bookmarkStart w:id="134" w:name="_Ref467379101"/>
      <w:r/>
      <w:bookmarkStart w:id="135" w:name="_Toc487900349"/>
      <w:r/>
      <w:bookmarkStart w:id="136" w:name="_Ref467379205"/>
      <w:r/>
      <w:bookmarkStart w:id="137" w:name="_Ref467379109"/>
      <w:r/>
      <w:bookmarkStart w:id="138" w:name="_Ref467379195"/>
      <w:r>
        <w:rPr>
          <w:rFonts w:hint="eastAsia" w:ascii="宋体" w:hAnsi="宋体" w:cs="宋体"/>
          <w:b/>
          <w:color w:val="auto"/>
          <w:sz w:val="24"/>
          <w:highlight w:val="none"/>
        </w:rPr>
        <w:t xml:space="preserve">2.1 定义</w:t>
      </w:r>
      <w:bookmarkEnd w:id="99"/>
      <w:r/>
      <w:bookmarkEnd w:id="100"/>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本合同中的下列词语应按以下内容进行解释：</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2.1.1 “合同”系指采购人和成交供应商签订的载明双方当事人所达成的协议，并包括所有的附件、附录和构成合同的其他文件。</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2.1.2 “合同价”系指根据合同约定，成交供应商在完全履行合同义务后，采购人应支付给成交供应商的价格。</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2.1.3 “货物”系指成交供应商根据合同约定应向采购人交付的一切各种形态和种类的物品，包括原材料、燃料、设备、机械、仪表、备件、计算机软件、产品等，并包括工具、手册等其他相关资料。</w:t>
      </w:r>
      <w:r/>
    </w:p>
    <w:p>
      <w:pPr>
        <w:ind w:firstLine="480"/>
        <w:jc w:val="left"/>
        <w:spacing w:line="560" w:lineRule="exact"/>
        <w:rPr>
          <w:rFonts w:ascii="宋体" w:hAnsi="宋体" w:cs="宋体"/>
          <w:color w:val="auto"/>
          <w:sz w:val="24"/>
          <w:highlight w:val="none"/>
        </w:rPr>
      </w:pPr>
      <w:r/>
      <w:bookmarkStart w:id="139" w:name="_Ref467378840"/>
      <w:r>
        <w:rPr>
          <w:rFonts w:hint="eastAsia" w:ascii="宋体" w:hAnsi="宋体" w:cs="宋体"/>
          <w:color w:val="auto"/>
          <w:sz w:val="24"/>
          <w:highlight w:val="none"/>
        </w:rPr>
        <w:t xml:space="preserve">2.1.4 “甲方”系指与成交供应商签署合同的采购人</w:t>
      </w:r>
      <w:bookmarkEnd w:id="137"/>
      <w:r>
        <w:rPr>
          <w:rFonts w:hint="eastAsia" w:ascii="宋体" w:hAnsi="宋体" w:cs="宋体"/>
          <w:color w:val="auto"/>
          <w:sz w:val="24"/>
          <w:highlight w:val="none"/>
        </w:rPr>
        <w:t xml:space="preserve">；采购人委托采购代理机构代表其与乙方签订合同的，采购人的授权委托书作为合同附件。</w:t>
      </w:r>
      <w:r/>
    </w:p>
    <w:p>
      <w:pPr>
        <w:ind w:firstLine="480"/>
        <w:jc w:val="left"/>
        <w:spacing w:line="560" w:lineRule="exact"/>
        <w:rPr>
          <w:rFonts w:ascii="宋体" w:hAnsi="宋体" w:cs="宋体"/>
          <w:color w:val="auto"/>
          <w:sz w:val="24"/>
          <w:highlight w:val="none"/>
        </w:rPr>
      </w:pPr>
      <w:r/>
      <w:bookmarkStart w:id="140" w:name="_Ref467379400"/>
      <w:r>
        <w:rPr>
          <w:rFonts w:hint="eastAsia" w:ascii="宋体" w:hAnsi="宋体" w:cs="宋体"/>
          <w:color w:val="auto"/>
          <w:sz w:val="24"/>
          <w:highlight w:val="none"/>
        </w:rPr>
        <w:t xml:space="preserve">2.1.5 “乙方”系指根据合同约定交付货物的</w:t>
      </w:r>
      <w:bookmarkEnd w:id="138"/>
      <w:r>
        <w:rPr>
          <w:rFonts w:hint="eastAsia" w:ascii="宋体" w:hAnsi="宋体" w:cs="宋体"/>
          <w:color w:val="auto"/>
          <w:sz w:val="24"/>
          <w:highlight w:val="none"/>
        </w:rPr>
        <w:t xml:space="preserve">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jc w:val="left"/>
        <w:spacing w:line="560" w:lineRule="exact"/>
        <w:rPr>
          <w:rFonts w:ascii="宋体" w:hAnsi="宋体" w:cs="宋体"/>
          <w:color w:val="auto"/>
          <w:sz w:val="24"/>
          <w:highlight w:val="none"/>
        </w:rPr>
      </w:pPr>
      <w:r/>
      <w:bookmarkStart w:id="141" w:name="_Ref467379436"/>
      <w:r>
        <w:rPr>
          <w:rFonts w:hint="eastAsia" w:ascii="宋体" w:hAnsi="宋体" w:cs="宋体"/>
          <w:color w:val="auto"/>
          <w:sz w:val="24"/>
          <w:highlight w:val="none"/>
        </w:rPr>
        <w:t xml:space="preserve">2.1.6 “现场”系指合同约定货物将要运至或者安装的地点。</w:t>
      </w:r>
      <w:bookmarkEnd w:id="139"/>
      <w:r/>
      <w:r/>
    </w:p>
    <w:p>
      <w:pPr>
        <w:ind w:firstLine="482"/>
        <w:jc w:val="left"/>
        <w:spacing w:line="560" w:lineRule="exact"/>
        <w:rPr>
          <w:rFonts w:ascii="宋体" w:hAnsi="宋体" w:cs="宋体"/>
          <w:b/>
          <w:color w:val="auto"/>
          <w:sz w:val="24"/>
          <w:highlight w:val="none"/>
        </w:rPr>
      </w:pPr>
      <w:r/>
      <w:bookmarkStart w:id="142" w:name="_Toc32504"/>
      <w:r/>
      <w:bookmarkStart w:id="143" w:name="_Toc487900350"/>
      <w:r/>
      <w:bookmarkStart w:id="144" w:name="_Toc13336"/>
      <w:r/>
      <w:bookmarkStart w:id="145" w:name="_Toc27635"/>
      <w:r/>
      <w:bookmarkStart w:id="146" w:name="_Toc279701241"/>
      <w:r/>
      <w:bookmarkStart w:id="147" w:name="_Toc259093670"/>
      <w:r>
        <w:rPr>
          <w:rFonts w:hint="eastAsia" w:ascii="宋体" w:hAnsi="宋体" w:cs="宋体"/>
          <w:b/>
          <w:color w:val="auto"/>
          <w:sz w:val="24"/>
          <w:highlight w:val="none"/>
        </w:rPr>
        <w:t xml:space="preserve">2.2 技术规范</w:t>
      </w:r>
      <w:bookmarkEnd w:id="140"/>
      <w:r/>
      <w:bookmarkEnd w:id="141"/>
      <w:r/>
      <w:bookmarkEnd w:id="142"/>
      <w:r/>
      <w:bookmarkEnd w:id="143"/>
      <w:r/>
      <w:bookmarkEnd w:id="144"/>
      <w:r/>
      <w:bookmarkEnd w:id="145"/>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货物所应遵守的技术规范应与询价通知书规定的技术规范和技术规范附件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如果有的话</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及其技术规范偏差表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如果被甲方接受的话</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相一致；如果询价通知书中没有技术规范的相应说明，那么应以国家有关部门最新颁布的相应标准和规范为准。</w:t>
      </w:r>
      <w:r/>
    </w:p>
    <w:p>
      <w:pPr>
        <w:ind w:firstLine="482"/>
        <w:jc w:val="left"/>
        <w:spacing w:line="560" w:lineRule="exact"/>
        <w:rPr>
          <w:rFonts w:ascii="宋体" w:hAnsi="宋体" w:cs="宋体"/>
          <w:b/>
          <w:color w:val="auto"/>
          <w:sz w:val="24"/>
          <w:highlight w:val="none"/>
        </w:rPr>
      </w:pPr>
      <w:r/>
      <w:bookmarkStart w:id="148" w:name="_Toc27853"/>
      <w:r/>
      <w:bookmarkStart w:id="149" w:name="_Toc487900351"/>
      <w:r/>
      <w:bookmarkStart w:id="150" w:name="_Toc279701242"/>
      <w:r/>
      <w:bookmarkStart w:id="151" w:name="_Toc31634"/>
      <w:r/>
      <w:bookmarkStart w:id="152" w:name="_Toc9829"/>
      <w:r/>
      <w:bookmarkStart w:id="153" w:name="_Toc259093671"/>
      <w:r>
        <w:rPr>
          <w:rFonts w:hint="eastAsia" w:ascii="宋体" w:hAnsi="宋体" w:cs="宋体"/>
          <w:b/>
          <w:color w:val="auto"/>
          <w:sz w:val="24"/>
          <w:highlight w:val="none"/>
        </w:rPr>
        <w:t xml:space="preserve">2.3 知识产权</w:t>
      </w:r>
      <w:bookmarkEnd w:id="146"/>
      <w:r/>
      <w:bookmarkEnd w:id="147"/>
      <w:r/>
      <w:bookmarkEnd w:id="148"/>
      <w:r/>
      <w:bookmarkEnd w:id="149"/>
      <w:r/>
      <w:bookmarkEnd w:id="150"/>
      <w:r/>
      <w:bookmarkEnd w:id="151"/>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2.3.2具有知识产权的计算机软件等货物的知识产权归属甲方。</w:t>
      </w:r>
      <w:r/>
    </w:p>
    <w:p>
      <w:pPr>
        <w:ind w:firstLine="482"/>
        <w:jc w:val="left"/>
        <w:spacing w:line="560" w:lineRule="exact"/>
        <w:rPr>
          <w:rFonts w:ascii="宋体" w:hAnsi="宋体" w:cs="宋体"/>
          <w:b/>
          <w:color w:val="auto"/>
          <w:sz w:val="24"/>
          <w:highlight w:val="none"/>
        </w:rPr>
      </w:pPr>
      <w:r/>
      <w:bookmarkStart w:id="154" w:name="_Toc29149"/>
      <w:r/>
      <w:bookmarkStart w:id="155" w:name="_Toc11932"/>
      <w:r/>
      <w:bookmarkStart w:id="156" w:name="_Toc4194"/>
      <w:r>
        <w:rPr>
          <w:rFonts w:hint="eastAsia" w:ascii="宋体" w:hAnsi="宋体" w:cs="宋体"/>
          <w:b/>
          <w:color w:val="auto"/>
          <w:sz w:val="24"/>
          <w:highlight w:val="none"/>
        </w:rPr>
        <w:t xml:space="preserve">2.4 包装和装运</w:t>
      </w:r>
      <w:bookmarkEnd w:id="152"/>
      <w:r/>
      <w:bookmarkEnd w:id="153"/>
      <w:r/>
      <w:bookmarkEnd w:id="154"/>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2.4.1除甲方另有约定外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乙方交付的全部货物</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均应采用本行业通用的方式进行包装，没有通用方式的，应当采取足以保护货物的包装方式，且该包装应符合国家有关包装的</w:t>
      </w:r>
      <w:r>
        <w:rPr>
          <w:rFonts w:hint="eastAsia" w:ascii="宋体" w:hAnsi="宋体" w:cs="宋体"/>
          <w:color w:val="auto"/>
          <w:sz w:val="24"/>
          <w:highlight w:val="none"/>
          <w:lang w:eastAsia="zh-CN"/>
        </w:rPr>
        <w:t xml:space="preserve">法律法规</w:t>
      </w:r>
      <w:r>
        <w:rPr>
          <w:rFonts w:hint="eastAsia" w:ascii="宋体" w:hAnsi="宋体" w:cs="宋体"/>
          <w:color w:val="auto"/>
          <w:sz w:val="24"/>
          <w:highlight w:val="none"/>
        </w:rPr>
        <w:t xml:space="preserve">的规定。如有必要，包装应适用于远距离运输、防潮、防震、防锈和防粗暴装卸，确保货物安全无损地运抵现场。由于包装不善所引起的货物锈蚀、损坏和损失等一切风险均由乙方承担。</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2.4.2 装运货物的要求应按国家有关规定或本行业通用标准执行。如因乙方包装或运输不当等原因造成损坏或丢失，应由乙方负责调换或补缺，如因此导致乙方逾期交付货物的，乙方还应承担逾期交付的违约责任。</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2.4.3 货到甲方指定地址后，由于甲方保管不善造成的质量问题，乙方应负责修理，但有关费用甲方承担。</w:t>
      </w:r>
      <w:r/>
    </w:p>
    <w:p>
      <w:pPr>
        <w:ind w:firstLine="482"/>
        <w:jc w:val="left"/>
        <w:spacing w:line="560" w:lineRule="exact"/>
        <w:rPr>
          <w:rFonts w:ascii="宋体" w:hAnsi="宋体" w:cs="宋体"/>
          <w:b/>
          <w:color w:val="auto"/>
          <w:sz w:val="24"/>
          <w:highlight w:val="none"/>
        </w:rPr>
      </w:pPr>
      <w:r/>
      <w:bookmarkStart w:id="157" w:name="_Toc259093674"/>
      <w:r/>
      <w:bookmarkStart w:id="158" w:name="_Ref467378591"/>
      <w:r/>
      <w:bookmarkStart w:id="159" w:name="_Ref467379536"/>
      <w:r/>
      <w:bookmarkStart w:id="160" w:name="_Ref467379527"/>
      <w:r/>
      <w:bookmarkStart w:id="161" w:name="_Toc487900354"/>
      <w:r/>
      <w:bookmarkStart w:id="162" w:name="_Ref467378541"/>
      <w:r/>
      <w:bookmarkStart w:id="163" w:name="_Ref467379542"/>
      <w:r/>
      <w:bookmarkStart w:id="164" w:name="_Toc279701245"/>
      <w:r/>
      <w:bookmarkStart w:id="165" w:name="_Toc26182"/>
      <w:r/>
      <w:bookmarkStart w:id="166" w:name="_Toc19074"/>
      <w:r/>
      <w:bookmarkStart w:id="167" w:name="_Toc30272"/>
      <w:r>
        <w:rPr>
          <w:rFonts w:hint="eastAsia" w:ascii="宋体" w:hAnsi="宋体" w:cs="宋体"/>
          <w:b/>
          <w:color w:val="auto"/>
          <w:sz w:val="24"/>
          <w:highlight w:val="none"/>
        </w:rPr>
        <w:t xml:space="preserve">2.</w:t>
      </w:r>
      <w:bookmarkEnd w:id="155"/>
      <w:r/>
      <w:bookmarkEnd w:id="156"/>
      <w:r/>
      <w:bookmarkEnd w:id="157"/>
      <w:r/>
      <w:bookmarkEnd w:id="158"/>
      <w:r/>
      <w:bookmarkEnd w:id="159"/>
      <w:r/>
      <w:bookmarkEnd w:id="160"/>
      <w:r/>
      <w:bookmarkEnd w:id="161"/>
      <w:r/>
      <w:bookmarkEnd w:id="162"/>
      <w:r>
        <w:rPr>
          <w:rFonts w:hint="eastAsia" w:ascii="宋体" w:hAnsi="宋体" w:cs="宋体"/>
          <w:b/>
          <w:color w:val="auto"/>
          <w:sz w:val="24"/>
          <w:highlight w:val="none"/>
        </w:rPr>
        <w:t xml:space="preserve">5 履约检查和问题反馈</w:t>
      </w:r>
      <w:bookmarkEnd w:id="163"/>
      <w:r/>
      <w:bookmarkEnd w:id="164"/>
      <w:r/>
      <w:bookmarkEnd w:id="165"/>
      <w:r/>
      <w:r/>
    </w:p>
    <w:p>
      <w:pPr>
        <w:ind w:firstLine="480"/>
        <w:jc w:val="left"/>
        <w:spacing w:line="560" w:lineRule="exact"/>
        <w:rPr>
          <w:rFonts w:ascii="宋体" w:hAnsi="宋体" w:cs="宋体"/>
          <w:color w:val="auto"/>
          <w:sz w:val="24"/>
          <w:highlight w:val="none"/>
        </w:rPr>
      </w:pPr>
      <w:r/>
      <w:bookmarkStart w:id="168" w:name="_Ref467379657"/>
      <w:r>
        <w:rPr>
          <w:rFonts w:hint="eastAsia" w:ascii="宋体" w:hAnsi="宋体" w:cs="宋体"/>
          <w:color w:val="auto"/>
          <w:sz w:val="24"/>
          <w:highlight w:val="none"/>
        </w:rPr>
        <w:t xml:space="preserve">2.5.1</w:t>
      </w:r>
      <w:bookmarkEnd w:id="166"/>
      <w:r/>
      <w:bookmarkStart w:id="169" w:name="_Toc487900357"/>
      <w:r/>
      <w:bookmarkStart w:id="170" w:name="_Toc186431854"/>
      <w:r/>
      <w:bookmarkStart w:id="171" w:name="_Toc279701247"/>
      <w:r/>
      <w:bookmarkStart w:id="172" w:name="_Ref467379793"/>
      <w:r/>
      <w:bookmarkStart w:id="173" w:name="_Toc259093676"/>
      <w:r/>
      <w:bookmarkStart w:id="174" w:name="_Ref467379807"/>
      <w:r>
        <w:rPr>
          <w:rFonts w:hint="eastAsia" w:ascii="宋体" w:hAnsi="宋体" w:cs="宋体"/>
          <w:color w:val="auto"/>
          <w:sz w:val="24"/>
          <w:highlight w:val="none"/>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2.5.2 合同履行期间，甲方有权将履行过程中出现的问题反馈给乙方，双方当事人应以书面形式约定需要完善和改进的内容</w:t>
      </w:r>
      <w:bookmarkEnd w:id="167"/>
      <w:r/>
      <w:bookmarkStart w:id="175" w:name="_Toc186431855"/>
      <w:r>
        <w:rPr>
          <w:rFonts w:hint="eastAsia" w:ascii="宋体" w:hAnsi="宋体" w:cs="宋体"/>
          <w:color w:val="auto"/>
          <w:sz w:val="24"/>
          <w:highlight w:val="none"/>
        </w:rPr>
        <w:t xml:space="preserve">。</w:t>
      </w:r>
      <w:bookmarkEnd w:id="168"/>
      <w:r/>
      <w:bookmarkEnd w:id="169"/>
      <w:r/>
      <w:bookmarkEnd w:id="170"/>
      <w:r/>
      <w:bookmarkEnd w:id="171"/>
      <w:r/>
      <w:bookmarkEnd w:id="172"/>
      <w:r/>
      <w:bookmarkEnd w:id="173"/>
      <w:r/>
      <w:r/>
    </w:p>
    <w:p>
      <w:pPr>
        <w:ind w:firstLine="482"/>
        <w:jc w:val="left"/>
        <w:spacing w:line="560" w:lineRule="exact"/>
        <w:rPr>
          <w:rFonts w:ascii="宋体" w:hAnsi="宋体" w:cs="宋体"/>
          <w:b/>
          <w:color w:val="auto"/>
          <w:sz w:val="24"/>
          <w:highlight w:val="none"/>
        </w:rPr>
      </w:pPr>
      <w:r/>
      <w:bookmarkStart w:id="176" w:name="_Toc487900358"/>
      <w:r/>
      <w:bookmarkStart w:id="177" w:name="_Toc279701248"/>
      <w:r/>
      <w:bookmarkStart w:id="178" w:name="_Toc259093677"/>
      <w:r/>
      <w:bookmarkStart w:id="179" w:name="_Ref467379863"/>
      <w:r/>
      <w:bookmarkStart w:id="180" w:name="_Ref467379923"/>
      <w:r/>
      <w:bookmarkStart w:id="181" w:name="_Toc774"/>
      <w:r/>
      <w:bookmarkStart w:id="182" w:name="_Toc3225"/>
      <w:r/>
      <w:bookmarkStart w:id="183" w:name="_Toc16110"/>
      <w:r/>
      <w:bookmarkStart w:id="184" w:name="_Ref467379852"/>
      <w:r>
        <w:rPr>
          <w:rFonts w:hint="eastAsia" w:ascii="宋体" w:hAnsi="宋体" w:cs="宋体"/>
          <w:b/>
          <w:color w:val="auto"/>
          <w:sz w:val="24"/>
          <w:highlight w:val="none"/>
        </w:rPr>
        <w:t xml:space="preserve">2.6 技术资料</w:t>
      </w:r>
      <w:bookmarkEnd w:id="174"/>
      <w:r/>
      <w:bookmarkEnd w:id="175"/>
      <w:r/>
      <w:bookmarkEnd w:id="176"/>
      <w:r/>
      <w:bookmarkEnd w:id="177"/>
      <w:r/>
      <w:bookmarkEnd w:id="178"/>
      <w:r/>
      <w:bookmarkEnd w:id="179"/>
      <w:r>
        <w:rPr>
          <w:rFonts w:hint="eastAsia" w:ascii="宋体" w:hAnsi="宋体" w:cs="宋体"/>
          <w:b/>
          <w:color w:val="auto"/>
          <w:sz w:val="24"/>
          <w:highlight w:val="none"/>
        </w:rPr>
        <w:t xml:space="preserve">和保密义务</w:t>
      </w:r>
      <w:bookmarkEnd w:id="180"/>
      <w:r/>
      <w:bookmarkEnd w:id="181"/>
      <w:r/>
      <w:bookmarkEnd w:id="182"/>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 乙方有权依据合同约定和项目需要，向甲方了解有关情况，调阅有关资料等，甲方应予积极配合；</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2.6.2 乙方有义务妥善保管和保护由甲方提供的前款信息和资料等；</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jc w:val="left"/>
        <w:spacing w:line="560" w:lineRule="exact"/>
        <w:rPr>
          <w:rFonts w:ascii="宋体" w:hAnsi="宋体" w:cs="宋体"/>
          <w:b/>
          <w:color w:val="auto"/>
          <w:sz w:val="24"/>
          <w:highlight w:val="none"/>
        </w:rPr>
      </w:pPr>
      <w:r/>
      <w:bookmarkStart w:id="185" w:name="_Toc7860"/>
      <w:r>
        <w:rPr>
          <w:rFonts w:hint="eastAsia" w:ascii="宋体" w:hAnsi="宋体" w:cs="宋体"/>
          <w:b/>
          <w:color w:val="auto"/>
          <w:sz w:val="24"/>
          <w:highlight w:val="none"/>
        </w:rPr>
        <w:t xml:space="preserve">2.7 质量保证</w:t>
      </w:r>
      <w:bookmarkEnd w:id="183"/>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2.7.1 乙方应建立和完善履行合同的内部质量保证体系，并提供相关内部规章制度给甲方，以便甲方进行监督检查；</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jc w:val="left"/>
        <w:spacing w:line="560" w:lineRule="exact"/>
        <w:rPr>
          <w:rFonts w:ascii="宋体" w:hAnsi="宋体" w:cs="宋体"/>
          <w:b/>
          <w:color w:val="auto"/>
          <w:sz w:val="24"/>
          <w:highlight w:val="none"/>
        </w:rPr>
      </w:pPr>
      <w:r/>
      <w:bookmarkStart w:id="186" w:name="_Toc14055"/>
      <w:r/>
      <w:bookmarkStart w:id="187" w:name="_Toc487900362"/>
      <w:r/>
      <w:bookmarkStart w:id="188" w:name="_Toc279701252"/>
      <w:r/>
      <w:bookmarkStart w:id="189" w:name="_Toc259093681"/>
      <w:r>
        <w:rPr>
          <w:rFonts w:hint="eastAsia" w:ascii="宋体" w:hAnsi="宋体" w:cs="宋体"/>
          <w:b/>
          <w:color w:val="auto"/>
          <w:sz w:val="24"/>
          <w:highlight w:val="none"/>
        </w:rPr>
        <w:t xml:space="preserve">2.8 延迟交货</w:t>
      </w:r>
      <w:bookmarkEnd w:id="184"/>
      <w:r/>
      <w:bookmarkEnd w:id="185"/>
      <w:r/>
      <w:bookmarkEnd w:id="186"/>
      <w:r/>
      <w:bookmarkEnd w:id="187"/>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482"/>
        <w:jc w:val="left"/>
        <w:spacing w:line="560" w:lineRule="exact"/>
        <w:rPr>
          <w:rFonts w:ascii="宋体" w:hAnsi="宋体" w:cs="宋体"/>
          <w:b/>
          <w:color w:val="auto"/>
          <w:sz w:val="24"/>
          <w:highlight w:val="none"/>
        </w:rPr>
      </w:pPr>
      <w:r/>
      <w:bookmarkStart w:id="190" w:name="_Toc487900364"/>
      <w:r/>
      <w:bookmarkStart w:id="191" w:name="_Toc7502"/>
      <w:r/>
      <w:bookmarkStart w:id="192" w:name="_Toc259093683"/>
      <w:r/>
      <w:bookmarkStart w:id="193" w:name="_Ref467378121"/>
      <w:r/>
      <w:bookmarkStart w:id="194" w:name="_Toc279701254"/>
      <w:r>
        <w:rPr>
          <w:rFonts w:hint="eastAsia" w:ascii="宋体" w:hAnsi="宋体" w:cs="宋体"/>
          <w:b/>
          <w:color w:val="auto"/>
          <w:sz w:val="24"/>
          <w:highlight w:val="none"/>
        </w:rPr>
        <w:t xml:space="preserve">2.9 合同变更</w:t>
      </w:r>
      <w:bookmarkEnd w:id="188"/>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2.9.1双方当事人协商一致，可以签订书面补充合同的形式变更合同，但不得违背询价通知书确定的事项，且如果系追加与合同标的相同的货物的，那么所有补充合同的采购金额不得超过原合同价的10%；</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2.9.2 合同继续履行将损害国家利益和社会公共利益的，双方当事人应当以书面形式变更合同。有过错的一方应当承担赔偿责任，双方当事人都有过错的，各自承担相应的责任。</w:t>
      </w:r>
      <w:bookmarkStart w:id="195" w:name="_Toc487900369"/>
      <w:r/>
      <w:bookmarkStart w:id="196" w:name="_Toc259093688"/>
      <w:r/>
      <w:bookmarkStart w:id="197" w:name="_Toc279701259"/>
      <w:r/>
      <w:r/>
    </w:p>
    <w:p>
      <w:pPr>
        <w:ind w:firstLine="482"/>
        <w:jc w:val="left"/>
        <w:spacing w:line="560" w:lineRule="exact"/>
        <w:rPr>
          <w:rFonts w:ascii="宋体" w:hAnsi="宋体" w:cs="宋体"/>
          <w:b/>
          <w:color w:val="auto"/>
          <w:sz w:val="24"/>
          <w:highlight w:val="none"/>
        </w:rPr>
      </w:pPr>
      <w:r/>
      <w:bookmarkStart w:id="198" w:name="_Toc22955"/>
      <w:r/>
      <w:bookmarkStart w:id="199" w:name="_Toc15237"/>
      <w:r/>
      <w:bookmarkStart w:id="200" w:name="_Toc10366"/>
      <w:r>
        <w:rPr>
          <w:rFonts w:hint="eastAsia" w:ascii="宋体" w:hAnsi="宋体" w:cs="宋体"/>
          <w:b/>
          <w:color w:val="auto"/>
          <w:sz w:val="24"/>
          <w:highlight w:val="none"/>
        </w:rPr>
        <w:t xml:space="preserve">2.10 合同转让</w:t>
      </w:r>
      <w:bookmarkEnd w:id="189"/>
      <w:r/>
      <w:bookmarkEnd w:id="190"/>
      <w:r/>
      <w:bookmarkEnd w:id="191"/>
      <w:r>
        <w:rPr>
          <w:rFonts w:hint="eastAsia" w:ascii="宋体" w:hAnsi="宋体" w:cs="宋体"/>
          <w:b/>
          <w:color w:val="auto"/>
          <w:sz w:val="24"/>
          <w:highlight w:val="none"/>
        </w:rPr>
        <w:t xml:space="preserve">和分包</w:t>
      </w:r>
      <w:bookmarkEnd w:id="192"/>
      <w:r/>
      <w:bookmarkEnd w:id="193"/>
      <w:r/>
      <w:bookmarkEnd w:id="194"/>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合同的权利义务依法不得转让，如询价通知书中甲方接受成交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jc w:val="left"/>
        <w:spacing w:line="560" w:lineRule="exact"/>
        <w:rPr>
          <w:rFonts w:ascii="宋体" w:hAnsi="宋体" w:cs="宋体"/>
          <w:b/>
          <w:color w:val="auto"/>
          <w:sz w:val="24"/>
          <w:highlight w:val="none"/>
        </w:rPr>
      </w:pPr>
      <w:r/>
      <w:bookmarkStart w:id="201" w:name="_Toc13566"/>
      <w:r/>
      <w:bookmarkStart w:id="202" w:name="_Toc14066"/>
      <w:r/>
      <w:bookmarkStart w:id="203" w:name="_Toc16508"/>
      <w:r>
        <w:rPr>
          <w:rFonts w:hint="eastAsia" w:ascii="宋体" w:hAnsi="宋体" w:cs="宋体"/>
          <w:b/>
          <w:color w:val="auto"/>
          <w:sz w:val="24"/>
          <w:highlight w:val="none"/>
        </w:rPr>
        <w:t xml:space="preserve">2.11 不可抗力</w:t>
      </w:r>
      <w:bookmarkEnd w:id="195"/>
      <w:r/>
      <w:bookmarkEnd w:id="196"/>
      <w:r/>
      <w:bookmarkEnd w:id="197"/>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2.11.1如果任何一方遭遇法律规定的不可抗力，致使合同履行受阻时，履行合同的期限应予延长，延长的期限应相当于不可抗力所影响的时间；</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2.11.2 因不可抗力致使不能实现合同目的的，当事人可以解除合同；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2.11.3 因不可抗力致使合同有变更必要的，双方当事人应在约定时间内以书面形式变更合同；</w:t>
      </w:r>
      <w:r/>
    </w:p>
    <w:p>
      <w:pPr>
        <w:ind w:firstLine="480"/>
        <w:jc w:val="left"/>
        <w:spacing w:line="560" w:lineRule="exact"/>
        <w:rPr>
          <w:rFonts w:ascii="宋体" w:hAnsi="宋体"/>
          <w:bCs/>
          <w:color w:val="auto"/>
          <w:sz w:val="24"/>
          <w:highlight w:val="none"/>
          <w:lang w:val="zh-CN"/>
        </w:rPr>
      </w:pPr>
      <w:r>
        <w:rPr>
          <w:rFonts w:hint="eastAsia" w:ascii="宋体" w:hAnsi="宋体" w:cs="宋体"/>
          <w:color w:val="auto"/>
          <w:sz w:val="24"/>
          <w:highlight w:val="none"/>
        </w:rPr>
        <w:t xml:space="preserve">2.11.4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jc w:val="left"/>
        <w:spacing w:line="560" w:lineRule="exact"/>
        <w:rPr>
          <w:rFonts w:ascii="宋体" w:hAnsi="宋体"/>
          <w:bCs/>
          <w:color w:val="auto"/>
          <w:sz w:val="24"/>
          <w:highlight w:val="none"/>
          <w:lang w:val="zh-CN"/>
        </w:rPr>
      </w:pPr>
      <w:r>
        <w:rPr>
          <w:rFonts w:hint="eastAsia" w:ascii="宋体" w:hAnsi="宋体" w:cs="宋体"/>
          <w:color w:val="auto"/>
          <w:sz w:val="24"/>
          <w:highlight w:val="none"/>
        </w:rPr>
        <w:t xml:space="preserve">2.11.5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jc w:val="left"/>
        <w:spacing w:line="560" w:lineRule="exact"/>
        <w:rPr>
          <w:rFonts w:ascii="宋体" w:hAnsi="宋体" w:cs="宋体"/>
          <w:b/>
          <w:color w:val="auto"/>
          <w:sz w:val="24"/>
          <w:highlight w:val="none"/>
        </w:rPr>
      </w:pPr>
      <w:r/>
      <w:bookmarkStart w:id="204" w:name="_Toc689"/>
      <w:r/>
      <w:bookmarkStart w:id="205" w:name="_Toc259093684"/>
      <w:r/>
      <w:bookmarkStart w:id="206" w:name="_Toc6969"/>
      <w:r/>
      <w:bookmarkStart w:id="207" w:name="_Toc279701255"/>
      <w:r/>
      <w:bookmarkStart w:id="208" w:name="_Toc487900365"/>
      <w:r/>
      <w:bookmarkStart w:id="209" w:name="_Toc30676"/>
      <w:r>
        <w:rPr>
          <w:rFonts w:hint="eastAsia" w:ascii="宋体" w:hAnsi="宋体" w:cs="宋体"/>
          <w:b/>
          <w:color w:val="auto"/>
          <w:sz w:val="24"/>
          <w:highlight w:val="none"/>
        </w:rPr>
        <w:t xml:space="preserve">2.12 税费</w:t>
      </w:r>
      <w:bookmarkEnd w:id="198"/>
      <w:r/>
      <w:bookmarkEnd w:id="199"/>
      <w:r/>
      <w:bookmarkEnd w:id="200"/>
      <w:r/>
      <w:bookmarkEnd w:id="201"/>
      <w:r/>
      <w:bookmarkEnd w:id="202"/>
      <w:r/>
      <w:bookmarkEnd w:id="203"/>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与合同有关的一切税费，均按照中华人民共和国法律的相关规定。</w:t>
      </w:r>
      <w:r/>
    </w:p>
    <w:p>
      <w:pPr>
        <w:ind w:firstLine="482"/>
        <w:jc w:val="left"/>
        <w:spacing w:line="560" w:lineRule="exact"/>
        <w:rPr>
          <w:rFonts w:ascii="宋体" w:hAnsi="宋体" w:cs="宋体"/>
          <w:b/>
          <w:color w:val="auto"/>
          <w:sz w:val="24"/>
          <w:highlight w:val="none"/>
        </w:rPr>
      </w:pPr>
      <w:r/>
      <w:bookmarkStart w:id="210" w:name="_Toc8298"/>
      <w:r/>
      <w:bookmarkStart w:id="211" w:name="_Toc279701258"/>
      <w:r/>
      <w:bookmarkStart w:id="212" w:name="_Toc7102"/>
      <w:r/>
      <w:bookmarkStart w:id="213" w:name="_Toc16959"/>
      <w:r/>
      <w:bookmarkStart w:id="214" w:name="_Toc259093687"/>
      <w:r/>
      <w:bookmarkStart w:id="215" w:name="_Toc487900368"/>
      <w:r>
        <w:rPr>
          <w:rFonts w:hint="eastAsia" w:ascii="宋体" w:hAnsi="宋体" w:cs="宋体"/>
          <w:b/>
          <w:color w:val="auto"/>
          <w:sz w:val="24"/>
          <w:highlight w:val="none"/>
        </w:rPr>
        <w:t xml:space="preserve">2.13 乙方破产</w:t>
      </w:r>
      <w:bookmarkEnd w:id="204"/>
      <w:r/>
      <w:bookmarkEnd w:id="205"/>
      <w:r/>
      <w:bookmarkEnd w:id="206"/>
      <w:r/>
      <w:bookmarkEnd w:id="207"/>
      <w:r/>
      <w:bookmarkEnd w:id="208"/>
      <w:r/>
      <w:bookmarkEnd w:id="209"/>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jc w:val="left"/>
        <w:spacing w:line="560" w:lineRule="exact"/>
        <w:rPr>
          <w:rFonts w:ascii="宋体" w:hAnsi="宋体" w:cs="宋体"/>
          <w:b/>
          <w:color w:val="auto"/>
          <w:sz w:val="24"/>
          <w:highlight w:val="none"/>
        </w:rPr>
      </w:pPr>
      <w:r/>
      <w:bookmarkStart w:id="216" w:name="_Toc29333"/>
      <w:r/>
      <w:bookmarkStart w:id="217" w:name="_Toc6134"/>
      <w:r/>
      <w:bookmarkStart w:id="218" w:name="_Toc15387"/>
      <w:r>
        <w:rPr>
          <w:rFonts w:hint="eastAsia" w:ascii="宋体" w:hAnsi="宋体" w:cs="宋体"/>
          <w:b/>
          <w:color w:val="auto"/>
          <w:sz w:val="24"/>
          <w:highlight w:val="none"/>
        </w:rPr>
        <w:t xml:space="preserve">2.14 合同中止、终止</w:t>
      </w:r>
      <w:bookmarkEnd w:id="210"/>
      <w:r/>
      <w:bookmarkEnd w:id="211"/>
      <w:r/>
      <w:bookmarkEnd w:id="212"/>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2.14.1 双方当事人不得擅自中止或者终止合同；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2.14.2合同继续履行将损害国家利益和社会公共利益的，双方当事人应当中止或者终止合同。有过错的一方应当承担赔偿责任，双方当事人都有过错的，各自承担相应的责任。</w:t>
      </w:r>
      <w:r/>
    </w:p>
    <w:p>
      <w:pPr>
        <w:ind w:firstLine="482"/>
        <w:jc w:val="left"/>
        <w:spacing w:line="560" w:lineRule="exact"/>
        <w:rPr>
          <w:rFonts w:ascii="宋体" w:hAnsi="宋体" w:cs="宋体"/>
          <w:b/>
          <w:color w:val="auto"/>
          <w:sz w:val="24"/>
          <w:highlight w:val="none"/>
        </w:rPr>
      </w:pPr>
      <w:r/>
      <w:bookmarkStart w:id="219" w:name="_Toc1125"/>
      <w:r/>
      <w:bookmarkStart w:id="220" w:name="_Toc14563"/>
      <w:r/>
      <w:bookmarkStart w:id="221" w:name="_Toc6596"/>
      <w:r>
        <w:rPr>
          <w:rFonts w:hint="eastAsia" w:ascii="宋体" w:hAnsi="宋体" w:cs="宋体"/>
          <w:b/>
          <w:color w:val="auto"/>
          <w:sz w:val="24"/>
          <w:highlight w:val="none"/>
        </w:rPr>
        <w:t xml:space="preserve">2.15 检验和验收</w:t>
      </w:r>
      <w:bookmarkEnd w:id="213"/>
      <w:r/>
      <w:bookmarkEnd w:id="214"/>
      <w:r/>
      <w:bookmarkEnd w:id="215"/>
      <w:r/>
      <w:r/>
    </w:p>
    <w:p>
      <w:pPr>
        <w:ind w:firstLine="480"/>
        <w:jc w:val="left"/>
        <w:spacing w:line="560" w:lineRule="exact"/>
        <w:tabs>
          <w:tab w:val="left" w:pos="360" w:leader="none"/>
          <w:tab w:val="left" w:pos="540"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2.15.1货物交付前，乙方应对货物的质量、数量等方面进行详细、全面的检验，并向甲方出具政府采购项目验收单；货物交付时，乙方在约定时间内组织验收，并可依法邀请相关方参加，验收应出具验收书。</w:t>
      </w:r>
      <w:r/>
    </w:p>
    <w:p>
      <w:pPr>
        <w:ind w:firstLine="480"/>
        <w:jc w:val="left"/>
        <w:spacing w:line="560" w:lineRule="exact"/>
        <w:tabs>
          <w:tab w:val="left" w:pos="360" w:leader="none"/>
          <w:tab w:val="left" w:pos="540"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2.15.2合同期满或者履行完毕后，甲方有权组织（包括依法邀请国家认可的质量检测机构参加）对乙方履约的验收，即：按照合同约定的技术、服务、安全标准，组织对每一项技术、服务、安全标准的履约情况的验收，并出具验收书。</w:t>
      </w:r>
      <w:bookmarkEnd w:id="216"/>
      <w:r/>
      <w:bookmarkEnd w:id="217"/>
      <w:r/>
      <w:bookmarkEnd w:id="218"/>
      <w:r/>
      <w:bookmarkEnd w:id="219"/>
      <w:r/>
      <w:r/>
    </w:p>
    <w:p>
      <w:pPr>
        <w:ind w:firstLine="482"/>
        <w:jc w:val="left"/>
        <w:spacing w:line="560" w:lineRule="exact"/>
        <w:rPr>
          <w:rFonts w:ascii="宋体" w:hAnsi="宋体" w:cs="宋体"/>
          <w:b/>
          <w:color w:val="auto"/>
          <w:sz w:val="24"/>
          <w:highlight w:val="none"/>
        </w:rPr>
      </w:pPr>
      <w:r/>
      <w:bookmarkStart w:id="222" w:name="_Toc259093690"/>
      <w:r/>
      <w:bookmarkStart w:id="223" w:name="_Toc487900371"/>
      <w:r/>
      <w:bookmarkStart w:id="224" w:name="_Toc279701261"/>
      <w:r/>
      <w:bookmarkStart w:id="225" w:name="_Toc11284"/>
      <w:r/>
      <w:bookmarkStart w:id="226" w:name="_Toc25182"/>
      <w:r/>
      <w:bookmarkStart w:id="227" w:name="_Toc19604"/>
      <w:r>
        <w:rPr>
          <w:rFonts w:hint="eastAsia" w:ascii="宋体" w:hAnsi="宋体" w:cs="宋体"/>
          <w:b/>
          <w:color w:val="auto"/>
          <w:sz w:val="24"/>
          <w:highlight w:val="none"/>
        </w:rPr>
        <w:t xml:space="preserve">2.16 通知</w:t>
      </w:r>
      <w:bookmarkEnd w:id="220"/>
      <w:r/>
      <w:bookmarkEnd w:id="221"/>
      <w:r/>
      <w:bookmarkEnd w:id="222"/>
      <w:r>
        <w:rPr>
          <w:rFonts w:hint="eastAsia" w:ascii="宋体" w:hAnsi="宋体" w:cs="宋体"/>
          <w:b/>
          <w:color w:val="auto"/>
          <w:sz w:val="24"/>
          <w:highlight w:val="none"/>
        </w:rPr>
        <w:t xml:space="preserve">和送达</w:t>
      </w:r>
      <w:bookmarkEnd w:id="223"/>
      <w:r/>
      <w:bookmarkEnd w:id="224"/>
      <w:r/>
      <w:bookmarkEnd w:id="225"/>
      <w:r/>
      <w:r/>
    </w:p>
    <w:p>
      <w:pPr>
        <w:ind w:firstLine="480"/>
        <w:jc w:val="left"/>
        <w:spacing w:line="560" w:lineRule="exact"/>
        <w:rPr>
          <w:rFonts w:ascii="宋体" w:hAnsi="宋体" w:cs="宋体"/>
          <w:color w:val="auto"/>
          <w:sz w:val="24"/>
          <w:highlight w:val="none"/>
        </w:rPr>
      </w:pPr>
      <w:r/>
      <w:bookmarkStart w:id="228" w:name="_Toc259093691"/>
      <w:r/>
      <w:bookmarkStart w:id="229" w:name="_Toc487900372"/>
      <w:r/>
      <w:bookmarkStart w:id="230" w:name="_Toc3135"/>
      <w:r/>
      <w:bookmarkStart w:id="231" w:name="_Toc279701262"/>
      <w:r/>
      <w:bookmarkStart w:id="232" w:name="_Toc6698"/>
      <w:r>
        <w:rPr>
          <w:rFonts w:hint="eastAsia" w:ascii="宋体" w:hAnsi="宋体" w:cs="宋体"/>
          <w:color w:val="auto"/>
          <w:sz w:val="24"/>
          <w:highlight w:val="none"/>
        </w:rPr>
        <w:t xml:space="preserve">2.16.1 任何一方因履行合同而以合同第一部分尾部所列明的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发出的所有通知、文件、材料，均视为已向对方当事人送达；任何一方变更上述送达方式或者地址的，应于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个工作日内书面通知对方当事人，在对方当事人收到有关变更通知之前，变更前的约定送达方式或者地址仍视为有效。</w:t>
      </w:r>
      <w:bookmarkEnd w:id="226"/>
      <w:r/>
      <w:bookmarkEnd w:id="227"/>
      <w:r/>
      <w:r/>
    </w:p>
    <w:p>
      <w:pPr>
        <w:ind w:firstLine="480"/>
        <w:jc w:val="left"/>
        <w:spacing w:line="560" w:lineRule="exact"/>
        <w:rPr>
          <w:rFonts w:ascii="宋体" w:hAnsi="宋体" w:cs="宋体"/>
          <w:color w:val="auto"/>
          <w:sz w:val="24"/>
          <w:highlight w:val="none"/>
        </w:rPr>
      </w:pPr>
      <w:r/>
      <w:bookmarkStart w:id="233" w:name="_Toc23128"/>
      <w:r/>
      <w:bookmarkStart w:id="234" w:name="_Toc23294"/>
      <w:r>
        <w:rPr>
          <w:rFonts w:hint="eastAsia" w:ascii="宋体" w:hAnsi="宋体" w:cs="宋体"/>
          <w:color w:val="auto"/>
          <w:sz w:val="24"/>
          <w:highlight w:val="none"/>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28"/>
      <w:r/>
      <w:bookmarkEnd w:id="229"/>
      <w:r/>
      <w:r/>
    </w:p>
    <w:p>
      <w:pPr>
        <w:ind w:firstLine="482"/>
        <w:jc w:val="left"/>
        <w:spacing w:line="560" w:lineRule="exact"/>
        <w:rPr>
          <w:rFonts w:ascii="宋体" w:hAnsi="宋体" w:cs="宋体"/>
          <w:b/>
          <w:color w:val="auto"/>
          <w:sz w:val="24"/>
          <w:highlight w:val="none"/>
        </w:rPr>
      </w:pPr>
      <w:r/>
      <w:bookmarkStart w:id="235" w:name="_Toc18540"/>
      <w:r/>
      <w:bookmarkStart w:id="236" w:name="_Toc30599"/>
      <w:r>
        <w:rPr>
          <w:rFonts w:hint="eastAsia" w:ascii="宋体" w:hAnsi="宋体" w:cs="宋体"/>
          <w:b/>
          <w:color w:val="auto"/>
          <w:sz w:val="24"/>
          <w:highlight w:val="none"/>
        </w:rPr>
        <w:t xml:space="preserve">2.17 计量单位</w:t>
      </w:r>
      <w:bookmarkEnd w:id="230"/>
      <w:r/>
      <w:bookmarkEnd w:id="231"/>
      <w:r/>
      <w:bookmarkEnd w:id="232"/>
      <w:r/>
      <w:bookmarkEnd w:id="233"/>
      <w:r/>
      <w:bookmarkEnd w:id="234"/>
      <w:r/>
      <w:bookmarkEnd w:id="235"/>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除技术规范中另有规定外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合同的计量单位均使用国家法定计量单位。</w:t>
      </w:r>
      <w:r/>
    </w:p>
    <w:p>
      <w:pPr>
        <w:ind w:firstLine="482"/>
        <w:jc w:val="left"/>
        <w:spacing w:line="560" w:lineRule="exact"/>
        <w:rPr>
          <w:rFonts w:ascii="宋体" w:hAnsi="宋体" w:cs="宋体"/>
          <w:b/>
          <w:color w:val="auto"/>
          <w:sz w:val="24"/>
          <w:highlight w:val="none"/>
        </w:rPr>
      </w:pPr>
      <w:r>
        <w:rPr>
          <w:rFonts w:hint="eastAsia" w:ascii="宋体" w:hAnsi="宋体" w:cs="宋体"/>
          <w:b/>
          <w:color w:val="auto"/>
          <w:sz w:val="24"/>
          <w:highlight w:val="none"/>
        </w:rPr>
        <w:t xml:space="preserve">2.18 合同使用的文字和适用的法律</w:t>
      </w:r>
      <w:bookmarkEnd w:id="236"/>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2.18.1 合同使用汉语书就、变更和解释；</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2.18.2 合同适用中华人民共和国法律。</w:t>
      </w:r>
      <w:r/>
    </w:p>
    <w:p>
      <w:pPr>
        <w:ind w:firstLine="482"/>
        <w:jc w:val="left"/>
        <w:spacing w:line="560" w:lineRule="exact"/>
        <w:rPr>
          <w:rFonts w:ascii="宋体" w:hAnsi="宋体" w:cs="宋体"/>
          <w:b/>
          <w:color w:val="auto"/>
          <w:sz w:val="24"/>
          <w:highlight w:val="none"/>
        </w:rPr>
      </w:pPr>
      <w:r>
        <w:rPr>
          <w:rFonts w:hint="eastAsia" w:ascii="宋体" w:hAnsi="宋体" w:cs="宋体"/>
          <w:b/>
          <w:color w:val="auto"/>
          <w:sz w:val="24"/>
          <w:highlight w:val="none"/>
        </w:rPr>
        <w:t xml:space="preserve">2.19 履约保证金</w:t>
      </w:r>
      <w:r/>
    </w:p>
    <w:p>
      <w:pPr>
        <w:ind w:firstLine="480"/>
        <w:spacing w:line="560" w:lineRule="exact"/>
        <w:rPr>
          <w:rFonts w:ascii="宋体" w:hAnsi="宋体"/>
          <w:bCs/>
          <w:color w:val="auto"/>
          <w:sz w:val="24"/>
          <w:szCs w:val="24"/>
          <w:highlight w:val="none"/>
          <w:lang w:val="zh-CN"/>
        </w:rPr>
      </w:pPr>
      <w:r>
        <w:rPr>
          <w:rFonts w:hint="eastAsia" w:ascii="宋体" w:hAnsi="宋体" w:cs="宋体"/>
          <w:color w:val="auto"/>
          <w:sz w:val="24"/>
          <w:szCs w:val="24"/>
          <w:highlight w:val="none"/>
        </w:rPr>
        <w:t xml:space="preserve">2.1</w:t>
      </w: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.1 </w:t>
      </w:r>
      <w:r>
        <w:rPr>
          <w:rFonts w:hint="eastAsia" w:ascii="宋体" w:hAnsi="宋体"/>
          <w:bCs/>
          <w:color w:val="auto"/>
          <w:sz w:val="24"/>
          <w:szCs w:val="24"/>
          <w:highlight w:val="none"/>
          <w:lang w:val="zh-CN"/>
        </w:rPr>
        <w:t xml:space="preserve">签订合同前，成交供应商须交纳成交合同总金额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10</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lang w:val="zh-CN"/>
        </w:rPr>
        <w:t xml:space="preserve">%的履约保证金。</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w:t>
      </w: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.2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w:t>
      </w: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.3 如果甲方未及时退还履约保证金，相关责任由甲乙双方在合同中自行约定。</w:t>
      </w:r>
      <w:r/>
    </w:p>
    <w:p>
      <w:pPr>
        <w:pStyle w:val="992"/>
        <w:jc w:val="center"/>
        <w:rPr>
          <w:rFonts w:ascii="黑体" w:hAnsi="黑体" w:eastAsia="黑体"/>
          <w:b w:val="0"/>
          <w:bCs/>
          <w:color w:val="auto"/>
          <w:sz w:val="28"/>
          <w:highlight w:val="none"/>
        </w:rPr>
      </w:pPr>
      <w:r>
        <w:rPr>
          <w:rFonts w:ascii="宋体" w:hAnsi="宋体" w:cs="宋体"/>
          <w:color w:val="auto"/>
          <w:sz w:val="24"/>
          <w:highlight w:val="none"/>
        </w:rPr>
        <w:br w:type="page" w:clear="all"/>
      </w:r>
      <w:bookmarkStart w:id="237" w:name="_Toc31371"/>
      <w:r>
        <w:rPr>
          <w:rFonts w:hint="eastAsia" w:ascii="黑体" w:hAnsi="黑体" w:eastAsia="黑体"/>
          <w:b w:val="0"/>
          <w:bCs/>
          <w:color w:val="auto"/>
          <w:sz w:val="28"/>
          <w:highlight w:val="none"/>
        </w:rPr>
        <w:t xml:space="preserve">第五章 响应文件（格式）</w:t>
      </w:r>
      <w:bookmarkEnd w:id="237"/>
      <w:r/>
      <w:r/>
    </w:p>
    <w:p>
      <w:pPr>
        <w:pStyle w:val="92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spacing w:line="360" w:lineRule="auto"/>
        <w:rPr>
          <w:rFonts w:hint="eastAsia" w:ascii="宋体" w:hAnsi="宋体" w:cs="宋体"/>
          <w:b/>
          <w:color w:val="auto"/>
          <w:sz w:val="96"/>
          <w:szCs w:val="48"/>
          <w:highlight w:val="none"/>
        </w:rPr>
      </w:pPr>
      <w:r>
        <w:rPr>
          <w:rFonts w:hint="eastAsia" w:ascii="宋体" w:hAnsi="宋体" w:cs="宋体"/>
          <w:b/>
          <w:color w:val="auto"/>
          <w:sz w:val="96"/>
          <w:szCs w:val="48"/>
          <w:highlight w:val="none"/>
        </w:rPr>
        <w:t xml:space="preserve">响应文件</w:t>
      </w:r>
      <w:r/>
    </w:p>
    <w:p>
      <w:pPr>
        <w:spacing w:line="360" w:lineRule="auto"/>
        <w:rPr>
          <w:rFonts w:hint="eastAsia" w:ascii="宋体" w:hAnsi="宋体" w:cs="宋体"/>
          <w:color w:val="auto"/>
          <w:sz w:val="52"/>
          <w:szCs w:val="48"/>
          <w:highlight w:val="none"/>
        </w:rPr>
      </w:pPr>
      <w:r>
        <w:rPr>
          <w:rFonts w:hint="eastAsia" w:ascii="宋体" w:hAnsi="宋体" w:cs="宋体"/>
          <w:color w:val="auto"/>
          <w:sz w:val="52"/>
          <w:szCs w:val="48"/>
          <w:highlight w:val="none"/>
        </w:rPr>
      </w:r>
      <w:r/>
    </w:p>
    <w:p>
      <w:pPr>
        <w:spacing w:line="360" w:lineRule="auto"/>
        <w:rPr>
          <w:rFonts w:hint="eastAsia" w:ascii="宋体" w:hAnsi="宋体" w:cs="宋体"/>
          <w:color w:val="auto"/>
          <w:sz w:val="52"/>
          <w:szCs w:val="48"/>
          <w:highlight w:val="none"/>
        </w:rPr>
      </w:pPr>
      <w:r>
        <w:rPr>
          <w:rFonts w:hint="eastAsia" w:ascii="宋体" w:hAnsi="宋体" w:cs="宋体"/>
          <w:color w:val="auto"/>
          <w:sz w:val="52"/>
          <w:szCs w:val="48"/>
          <w:highlight w:val="none"/>
        </w:rPr>
      </w:r>
      <w:r/>
    </w:p>
    <w:p>
      <w:pPr>
        <w:ind w:firstLine="2168"/>
        <w:rPr>
          <w:rFonts w:ascii="宋体" w:hAnsi="宋体"/>
          <w:b/>
          <w:color w:val="auto"/>
          <w:sz w:val="36"/>
          <w:szCs w:val="36"/>
          <w:highlight w:val="none"/>
          <w:u w:val="single"/>
        </w:rPr>
      </w:pPr>
      <w:r/>
      <w:bookmarkStart w:id="238" w:name="_Toc10010"/>
      <w:r/>
      <w:bookmarkStart w:id="239" w:name="_Toc24371"/>
      <w:r>
        <w:rPr>
          <w:rFonts w:hint="eastAsia" w:ascii="宋体" w:hAnsi="宋体"/>
          <w:b/>
          <w:color w:val="auto"/>
          <w:sz w:val="36"/>
          <w:szCs w:val="36"/>
          <w:highlight w:val="none"/>
        </w:rPr>
        <w:t xml:space="preserve">项目名称：</w:t>
      </w:r>
      <w:bookmarkEnd w:id="238"/>
      <w:r>
        <w:rPr>
          <w:rFonts w:ascii="宋体" w:hAnsi="宋体"/>
          <w:b/>
          <w:color w:val="auto"/>
          <w:sz w:val="36"/>
          <w:szCs w:val="36"/>
          <w:highlight w:val="none"/>
          <w:u w:val="single"/>
        </w:rPr>
        <w:t xml:space="preserve">                    </w:t>
      </w:r>
      <w:r/>
    </w:p>
    <w:p>
      <w:pPr>
        <w:ind w:firstLine="2168"/>
        <w:rPr>
          <w:rFonts w:hint="eastAsia" w:ascii="宋体" w:hAnsi="宋体"/>
          <w:b/>
          <w:color w:val="auto"/>
          <w:sz w:val="36"/>
          <w:szCs w:val="36"/>
          <w:highlight w:val="none"/>
        </w:rPr>
      </w:pPr>
      <w:r/>
      <w:bookmarkStart w:id="240" w:name="_Toc2400"/>
      <w:r>
        <w:rPr>
          <w:rFonts w:hint="eastAsia" w:ascii="宋体" w:hAnsi="宋体"/>
          <w:b/>
          <w:color w:val="auto"/>
          <w:sz w:val="36"/>
          <w:szCs w:val="36"/>
          <w:highlight w:val="none"/>
        </w:rPr>
        <w:t xml:space="preserve">项目编号：</w:t>
      </w:r>
      <w:bookmarkEnd w:id="240"/>
      <w:r>
        <w:rPr>
          <w:rFonts w:ascii="宋体" w:hAnsi="宋体"/>
          <w:b/>
          <w:color w:val="auto"/>
          <w:sz w:val="36"/>
          <w:szCs w:val="36"/>
          <w:highlight w:val="none"/>
          <w:u w:val="single"/>
        </w:rPr>
        <w:t xml:space="preserve">                    </w:t>
      </w:r>
      <w:r/>
    </w:p>
    <w:p>
      <w:pPr>
        <w:ind w:firstLine="2168"/>
        <w:rPr>
          <w:rFonts w:ascii="宋体" w:hAnsi="宋体"/>
          <w:b/>
          <w:color w:val="auto"/>
          <w:sz w:val="36"/>
          <w:szCs w:val="36"/>
          <w:highlight w:val="none"/>
        </w:rPr>
      </w:pPr>
      <w:r>
        <w:rPr>
          <w:rFonts w:hint="eastAsia" w:ascii="宋体" w:hAnsi="宋体"/>
          <w:b/>
          <w:color w:val="auto"/>
          <w:sz w:val="36"/>
          <w:szCs w:val="36"/>
          <w:highlight w:val="none"/>
        </w:rPr>
        <w:t xml:space="preserve">投 标 人：</w:t>
      </w:r>
      <w:bookmarkEnd w:id="239"/>
      <w:r>
        <w:rPr>
          <w:rFonts w:ascii="宋体" w:hAnsi="宋体"/>
          <w:b/>
          <w:color w:val="auto"/>
          <w:sz w:val="36"/>
          <w:szCs w:val="36"/>
          <w:highlight w:val="none"/>
          <w:u w:val="single"/>
        </w:rPr>
        <w:t xml:space="preserve">                    </w:t>
      </w:r>
      <w:r/>
    </w:p>
    <w:p>
      <w:pPr>
        <w:ind w:firstLine="2168"/>
        <w:rPr>
          <w:rFonts w:hint="eastAsia" w:ascii="宋体" w:hAnsi="宋体"/>
          <w:b/>
          <w:color w:val="auto"/>
          <w:sz w:val="32"/>
          <w:szCs w:val="32"/>
          <w:highlight w:val="none"/>
        </w:rPr>
      </w:pPr>
      <w:r>
        <w:rPr>
          <w:rFonts w:hint="eastAsia" w:ascii="宋体" w:hAnsi="宋体"/>
          <w:b/>
          <w:color w:val="auto"/>
          <w:sz w:val="36"/>
          <w:szCs w:val="36"/>
          <w:highlight w:val="none"/>
        </w:rPr>
        <w:t xml:space="preserve">日 </w:t>
      </w:r>
      <w:r>
        <w:rPr>
          <w:rFonts w:ascii="宋体" w:hAnsi="宋体"/>
          <w:b/>
          <w:color w:val="auto"/>
          <w:sz w:val="36"/>
          <w:szCs w:val="36"/>
          <w:highlight w:val="none"/>
        </w:rPr>
        <w:t xml:space="preserve">   </w:t>
      </w:r>
      <w:r>
        <w:rPr>
          <w:rFonts w:hint="eastAsia" w:ascii="宋体" w:hAnsi="宋体"/>
          <w:b/>
          <w:color w:val="auto"/>
          <w:sz w:val="36"/>
          <w:szCs w:val="36"/>
          <w:highlight w:val="none"/>
        </w:rPr>
        <w:t xml:space="preserve">期：</w:t>
      </w:r>
      <w:r>
        <w:rPr>
          <w:rFonts w:ascii="宋体" w:hAnsi="宋体"/>
          <w:b/>
          <w:color w:val="auto"/>
          <w:sz w:val="36"/>
          <w:szCs w:val="36"/>
          <w:highlight w:val="none"/>
          <w:u w:val="single"/>
        </w:rPr>
        <w:t xml:space="preserve">                    </w:t>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宋体" w:hAnsi="宋体" w:cs="宋体"/>
          <w:color w:val="auto"/>
          <w:sz w:val="40"/>
          <w:szCs w:val="48"/>
          <w:highlight w:val="none"/>
        </w:rPr>
      </w:pPr>
      <w:r>
        <w:rPr>
          <w:rFonts w:hint="eastAsia" w:ascii="宋体" w:hAnsi="宋体" w:cs="宋体"/>
          <w:color w:val="auto"/>
          <w:sz w:val="40"/>
          <w:szCs w:val="48"/>
          <w:highlight w:val="none"/>
        </w:rPr>
      </w:r>
      <w:r/>
    </w:p>
    <w:p>
      <w:pPr>
        <w:pStyle w:val="923"/>
        <w:spacing w:line="360" w:lineRule="auto"/>
        <w:rPr>
          <w:rFonts w:hint="eastAsia" w:ascii="宋体" w:hAnsi="宋体" w:cs="宋体"/>
          <w:color w:val="auto"/>
          <w:sz w:val="40"/>
          <w:szCs w:val="48"/>
          <w:highlight w:val="none"/>
        </w:rPr>
      </w:pPr>
      <w:r>
        <w:rPr>
          <w:rFonts w:hint="eastAsia" w:ascii="宋体" w:hAnsi="宋体" w:cs="宋体"/>
          <w:color w:val="auto"/>
          <w:sz w:val="40"/>
          <w:szCs w:val="48"/>
          <w:highlight w:val="none"/>
        </w:rPr>
      </w:r>
      <w:r/>
    </w:p>
    <w:p>
      <w:pPr>
        <w:rPr>
          <w:rFonts w:hint="eastAsia" w:ascii="宋体" w:hAnsi="宋体" w:cs="宋体"/>
          <w:color w:val="auto"/>
          <w:sz w:val="40"/>
          <w:szCs w:val="48"/>
          <w:highlight w:val="none"/>
        </w:rPr>
      </w:pPr>
      <w:r>
        <w:rPr>
          <w:rFonts w:hint="eastAsia" w:ascii="宋体" w:hAnsi="宋体" w:cs="宋体"/>
          <w:color w:val="auto"/>
          <w:sz w:val="40"/>
          <w:szCs w:val="48"/>
          <w:highlight w:val="none"/>
        </w:rPr>
      </w:r>
      <w:r/>
    </w:p>
    <w:p>
      <w:pPr>
        <w:pStyle w:val="923"/>
        <w:rPr>
          <w:rFonts w:hint="eastAsia" w:ascii="宋体" w:hAnsi="宋体" w:cs="宋体"/>
          <w:color w:val="auto"/>
          <w:sz w:val="40"/>
          <w:szCs w:val="48"/>
          <w:highlight w:val="none"/>
        </w:rPr>
      </w:pPr>
      <w:r>
        <w:rPr>
          <w:rFonts w:hint="eastAsia" w:ascii="宋体" w:hAnsi="宋体" w:cs="宋体"/>
          <w:color w:val="auto"/>
          <w:sz w:val="40"/>
          <w:szCs w:val="48"/>
          <w:highlight w:val="none"/>
        </w:rPr>
      </w:r>
      <w:r/>
    </w:p>
    <w:p>
      <w:pPr>
        <w:rPr>
          <w:rFonts w:hint="eastAsia"/>
          <w:color w:val="auto"/>
          <w:highlight w:val="none"/>
        </w:rPr>
      </w:pPr>
      <w:r>
        <w:rPr>
          <w:rFonts w:hint="eastAsia"/>
          <w:color w:val="auto"/>
          <w:highlight w:val="none"/>
        </w:rPr>
      </w:r>
      <w:r/>
    </w:p>
    <w:p>
      <w:pPr>
        <w:jc w:val="center"/>
        <w:rPr>
          <w:rFonts w:ascii="宋体" w:hAnsi="宋体"/>
          <w:b/>
          <w:color w:val="auto"/>
          <w:sz w:val="32"/>
          <w:szCs w:val="32"/>
          <w:highlight w:val="none"/>
        </w:rPr>
      </w:pPr>
      <w:r/>
      <w:bookmarkStart w:id="241" w:name="_Toc1179"/>
      <w:r>
        <w:rPr>
          <w:rFonts w:hint="eastAsia" w:ascii="宋体" w:hAnsi="宋体"/>
          <w:b/>
          <w:color w:val="auto"/>
          <w:sz w:val="32"/>
          <w:szCs w:val="32"/>
          <w:highlight w:val="none"/>
        </w:rPr>
        <w:t xml:space="preserve">日期：</w:t>
      </w:r>
      <w:r>
        <w:rPr>
          <w:rFonts w:hint="eastAsia" w:ascii="宋体" w:hAnsi="宋体"/>
          <w:b/>
          <w:color w:val="auto"/>
          <w:sz w:val="32"/>
          <w:szCs w:val="32"/>
          <w:highlight w:val="none"/>
          <w:u w:val="single"/>
        </w:rPr>
        <w:t xml:space="preserve">      年    月    日</w:t>
      </w:r>
      <w:bookmarkEnd w:id="241"/>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keepLines w:val="0"/>
        <w:keepNext w:val="0"/>
        <w:pageBreakBefore/>
        <w:widowControl w:val="off"/>
        <w:rPr>
          <w:rFonts w:hint="eastAsia" w:ascii="黑体" w:hAnsi="宋体" w:eastAsia="黑体" w:cs="Times New Roman"/>
          <w:bCs/>
          <w:color w:val="auto"/>
          <w:sz w:val="28"/>
          <w:szCs w:val="28"/>
          <w:highlight w:val="none"/>
        </w:rPr>
      </w:pPr>
      <w:r>
        <w:rPr>
          <w:rFonts w:hint="eastAsia" w:ascii="黑体" w:hAnsi="宋体" w:eastAsia="黑体" w:cs="Times New Roman"/>
          <w:bCs/>
          <w:color w:val="auto"/>
          <w:sz w:val="28"/>
          <w:szCs w:val="28"/>
          <w:highlight w:val="none"/>
        </w:rPr>
        <w:t xml:space="preserve">（一）</w:t>
      </w:r>
      <w:r>
        <w:rPr>
          <w:rFonts w:hint="eastAsia" w:ascii="黑体" w:hAnsi="宋体" w:eastAsia="黑体" w:cs="Times New Roman"/>
          <w:bCs/>
          <w:color w:val="auto"/>
          <w:sz w:val="28"/>
          <w:szCs w:val="28"/>
          <w:highlight w:val="none"/>
          <w:lang w:val="zh-CN"/>
        </w:rPr>
        <w:t xml:space="preserve">询价报价表</w:t>
      </w:r>
      <w:r/>
    </w:p>
    <w:p>
      <w:pPr>
        <w:ind w:firstLine="480"/>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 xml:space="preserve">1、</w:t>
      </w:r>
      <w:r>
        <w:rPr>
          <w:rFonts w:hint="eastAsia" w:ascii="黑体" w:hAnsi="宋体" w:eastAsia="黑体" w:cs="Times New Roman"/>
          <w:bCs/>
          <w:color w:val="auto"/>
          <w:sz w:val="24"/>
          <w:szCs w:val="24"/>
          <w:highlight w:val="none"/>
          <w:lang w:val="zh-CN"/>
        </w:rPr>
        <w:t xml:space="preserve">询价报价表</w:t>
      </w:r>
      <w:r>
        <w:rPr>
          <w:rFonts w:hint="eastAsia" w:ascii="黑体" w:hAnsi="宋体" w:eastAsia="黑体" w:cs="Times New Roman"/>
          <w:bCs/>
          <w:color w:val="auto"/>
          <w:sz w:val="24"/>
          <w:szCs w:val="24"/>
          <w:highlight w:val="none"/>
        </w:rPr>
        <w:t xml:space="preserve">（格式）：</w:t>
      </w:r>
      <w:r/>
    </w:p>
    <w:p>
      <w:pPr>
        <w:pStyle w:val="863"/>
        <w:jc w:val="center"/>
        <w:keepLines w:val="0"/>
        <w:keepNext w:val="0"/>
        <w:widowControl/>
        <w:suppressLineNumbers w:val="0"/>
      </w:pPr>
      <w:r>
        <w:t xml:space="preserve">询价报价表</w:t>
      </w:r>
      <w:r/>
    </w:p>
    <w:p>
      <w:pPr>
        <w:pStyle w:val="890"/>
        <w:keepLines w:val="0"/>
        <w:keepNext w:val="0"/>
        <w:widowControl/>
        <w:suppressLineNumbers w:val="0"/>
      </w:pPr>
      <w:r>
        <w:t xml:space="preserve">项目编号：</w:t>
      </w:r>
      <w:r/>
    </w:p>
    <w:p>
      <w:pPr>
        <w:pStyle w:val="890"/>
        <w:keepLines w:val="0"/>
        <w:keepNext w:val="0"/>
        <w:widowControl/>
        <w:suppressLineNumbers w:val="0"/>
      </w:pPr>
      <w:r>
        <w:t xml:space="preserve">货币单位：人民币元</w:t>
      </w:r>
      <w:r/>
    </w:p>
    <w:tbl>
      <w:tblPr>
        <w:tblW w:w="4997" w:type="pct"/>
        <w:jc w:val="center"/>
        <w:tblCellSpacing w:w="1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tblLayout w:type="autofit"/>
        <w:tblCellMar>
          <w:left w:w="15" w:type="dxa"/>
          <w:top w:w="15" w:type="dxa"/>
          <w:right w:w="15" w:type="dxa"/>
          <w:bottom w:w="15" w:type="dxa"/>
        </w:tblCellMar>
        <w:tblLook w:val="04A0" w:firstRow="1" w:lastRow="0" w:firstColumn="1" w:lastColumn="0" w:noHBand="0" w:noVBand="1"/>
      </w:tblPr>
      <w:tblGrid>
        <w:gridCol w:w="1877"/>
        <w:gridCol w:w="4159"/>
        <w:gridCol w:w="2553"/>
        <w:gridCol w:w="1162"/>
      </w:tblGrid>
      <w:tr>
        <w:trPr>
          <w:jc w:val="center"/>
          <w:tblCellSpacing w:w="15" w:type="dxa"/>
          <w:trHeight w:val="0"/>
        </w:trPr>
        <w:tc>
          <w:tcPr>
            <w:shd w:val="clear" w:color="auto"/>
            <w:tcW w:w="948" w:type="pct"/>
            <w:vAlign w:val="center"/>
            <w:textDirection w:val="lrTb"/>
            <w:noWrap w:val="false"/>
          </w:tcPr>
          <w:p>
            <w:pPr>
              <w:pStyle w:val="890"/>
              <w:keepLines w:val="0"/>
              <w:keepNext w:val="0"/>
              <w:widowControl/>
              <w:suppressLineNumbers w:val="0"/>
            </w:pPr>
            <w:r>
              <w:t xml:space="preserve"> 项目名称</w:t>
            </w:r>
            <w:r/>
          </w:p>
        </w:tc>
        <w:tc>
          <w:tcPr>
            <w:shd w:val="clear" w:color="auto"/>
            <w:tcW w:w="2137" w:type="pct"/>
            <w:vAlign w:val="center"/>
            <w:textDirection w:val="lrTb"/>
            <w:noWrap w:val="false"/>
          </w:tcPr>
          <w:p>
            <w:pPr>
              <w:pStyle w:val="890"/>
              <w:keepLines w:val="0"/>
              <w:keepNext w:val="0"/>
              <w:widowControl/>
              <w:suppressLineNumbers w:val="0"/>
            </w:pPr>
            <w:r>
              <w:t xml:space="preserve">报价项目品牌规格型号</w:t>
            </w:r>
            <w:r/>
          </w:p>
        </w:tc>
        <w:tc>
          <w:tcPr>
            <w:shd w:val="clear" w:color="auto"/>
            <w:tcW w:w="1306" w:type="pct"/>
            <w:vAlign w:val="center"/>
            <w:textDirection w:val="lrTb"/>
            <w:noWrap w:val="false"/>
          </w:tcPr>
          <w:p>
            <w:pPr>
              <w:pStyle w:val="890"/>
              <w:keepLines w:val="0"/>
              <w:keepNext w:val="0"/>
              <w:widowControl/>
              <w:suppressLineNumbers w:val="0"/>
            </w:pPr>
            <w:r>
              <w:t xml:space="preserve">单价（小写）</w:t>
            </w:r>
            <w:r/>
          </w:p>
        </w:tc>
        <w:tc>
          <w:tcPr>
            <w:shd w:val="clear" w:color="auto"/>
            <w:tcW w:w="530" w:type="pct"/>
            <w:vAlign w:val="center"/>
            <w:textDirection w:val="lrTb"/>
            <w:noWrap w:val="false"/>
          </w:tcPr>
          <w:p>
            <w:pPr>
              <w:pStyle w:val="890"/>
              <w:keepLines w:val="0"/>
              <w:keepNext w:val="0"/>
              <w:widowControl/>
              <w:suppressLineNumbers w:val="0"/>
            </w:pPr>
            <w:r>
              <w:t xml:space="preserve">备注</w:t>
            </w:r>
            <w:r/>
          </w:p>
        </w:tc>
      </w:tr>
      <w:tr>
        <w:trPr>
          <w:jc w:val="center"/>
          <w:tblCellSpacing w:w="15" w:type="dxa"/>
          <w:trHeight w:val="0"/>
        </w:trPr>
        <w:tc>
          <w:tcPr>
            <w:shd w:val="clear" w:color="auto"/>
            <w:tcW w:w="948" w:type="pct"/>
            <w:vAlign w:val="center"/>
            <w:textDirection w:val="lrTb"/>
            <w:noWrap w:val="false"/>
          </w:tcPr>
          <w:p>
            <w:pPr>
              <w:pStyle w:val="890"/>
              <w:keepLines w:val="0"/>
              <w:keepNext w:val="0"/>
              <w:widowControl/>
              <w:suppressLineNumbers w:val="0"/>
            </w:pPr>
            <w:r>
              <w:t xml:space="preserve">项目名称 </w:t>
            </w:r>
            <w:r/>
          </w:p>
        </w:tc>
        <w:tc>
          <w:tcPr>
            <w:shd w:val="clear" w:color="auto"/>
            <w:tcW w:w="2137" w:type="pct"/>
            <w:vAlign w:val="center"/>
            <w:textDirection w:val="lrTb"/>
            <w:noWrap w:val="false"/>
          </w:tcPr>
          <w:p>
            <w:pPr>
              <w:pStyle w:val="890"/>
              <w:keepLines w:val="0"/>
              <w:keepNext w:val="0"/>
              <w:widowControl/>
              <w:suppressLineNumbers w:val="0"/>
            </w:pPr>
            <w:r>
              <w:t xml:space="preserve">详见投标文件</w:t>
            </w:r>
            <w:r/>
          </w:p>
        </w:tc>
        <w:tc>
          <w:tcPr>
            <w:shd w:val="clear" w:color="auto"/>
            <w:tcW w:w="1306" w:type="pct"/>
            <w:vAlign w:val="center"/>
            <w:textDirection w:val="lrTb"/>
            <w:noWrap w:val="false"/>
          </w:tcPr>
          <w:p>
            <w:pPr>
              <w:pStyle w:val="890"/>
              <w:keepLines w:val="0"/>
              <w:keepNext w:val="0"/>
              <w:widowControl/>
              <w:suppressLineNumbers w:val="0"/>
            </w:pPr>
            <w:r>
              <mc:AlternateContent>
                <mc:Choice Requires="wpg">
                  <w:drawing>
                    <wp:inline xmlns:wp="http://schemas.openxmlformats.org/drawingml/2006/wordprocessingDrawing" distT="0" distB="0" distL="0" distR="0">
                      <wp:extent cx="635" cy="0"/>
                      <wp:effectExtent l="0" t="0" r="0" b="0"/>
                      <wp:docPr id="5"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w:pict>
                </mc:Fallback>
              </mc:AlternateContent>
            </w:r>
            <w:r>
              <w:t xml:space="preserve"> </w:t>
            </w:r>
            <w:r/>
          </w:p>
        </w:tc>
        <w:tc>
          <w:tcPr>
            <w:shd w:val="clear" w:color="auto"/>
            <w:tcW w:w="530" w:type="pct"/>
            <w:vAlign w:val="center"/>
            <w:textDirection w:val="lrTb"/>
            <w:noWrap w:val="false"/>
          </w:tcPr>
          <w:p>
            <w:pPr>
              <w:pStyle w:val="890"/>
              <w:keepLines w:val="0"/>
              <w:keepNext w:val="0"/>
              <w:widowControl/>
              <w:suppressLineNumbers w:val="0"/>
            </w:pPr>
            <w:r>
              <w:t xml:space="preserve"> </w:t>
            </w:r>
            <w:r/>
          </w:p>
        </w:tc>
      </w:tr>
      <w:tr>
        <w:trPr>
          <w:jc w:val="center"/>
          <w:tblCellSpacing w:w="15" w:type="dxa"/>
          <w:trHeight w:val="0"/>
        </w:trPr>
        <w:tc>
          <w:tcPr>
            <w:gridSpan w:val="4"/>
            <w:shd w:val="clear" w:color="auto"/>
            <w:tcW w:w="4969" w:type="pct"/>
            <w:vAlign w:val="center"/>
            <w:textDirection w:val="lrTb"/>
            <w:noWrap w:val="false"/>
          </w:tcPr>
          <w:p>
            <w:pPr>
              <w:pStyle w:val="890"/>
              <w:keepLines w:val="0"/>
              <w:keepNext w:val="0"/>
              <w:widowControl/>
              <w:suppressLineNumbers w:val="0"/>
            </w:pPr>
            <w:r>
              <w:t xml:space="preserve">单价（大写）：金额大写 </w:t>
            </w:r>
            <w:r/>
          </w:p>
        </w:tc>
      </w:tr>
    </w:tbl>
    <w:p>
      <w:pPr>
        <w:pStyle w:val="890"/>
        <w:keepLines w:val="0"/>
        <w:keepNext w:val="0"/>
        <w:widowControl/>
        <w:suppressLineNumbers w:val="0"/>
      </w:pPr>
      <w:r>
        <w:t xml:space="preserve">本次报价为单价，大小写不一致以大写为准。</w:t>
      </w:r>
      <w:r/>
    </w:p>
    <w:p>
      <w:pPr>
        <w:pStyle w:val="890"/>
        <w:keepLines w:val="0"/>
        <w:keepNext w:val="0"/>
        <w:widowControl/>
        <w:suppressLineNumbers w:val="0"/>
      </w:pPr>
      <w:r>
        <w:t xml:space="preserve"> </w:t>
      </w:r>
      <w:bookmarkStart w:id="250" w:name="_GoBack"/>
      <w:r/>
      <w:bookmarkEnd w:id="250"/>
      <w:r>
        <w:t xml:space="preserve">投标人公章：                               （电子签章）</w:t>
      </w:r>
      <w:r/>
    </w:p>
    <w:p>
      <w:pPr>
        <w:pStyle w:val="890"/>
        <w:keepLines w:val="0"/>
        <w:keepNext w:val="0"/>
        <w:widowControl/>
        <w:suppressLineNumbers w:val="0"/>
      </w:pPr>
      <w:r>
        <w:t xml:space="preserve">日期：</w:t>
      </w:r>
      <w:r>
        <mc:AlternateContent>
          <mc:Choice Requires="wpg">
            <w:drawing>
              <wp:inline xmlns:wp="http://schemas.openxmlformats.org/drawingml/2006/wordprocessingDrawing" distT="0" distB="0" distL="0" distR="0">
                <wp:extent cx="635" cy="0"/>
                <wp:effectExtent l="0" t="0" r="0" b="0"/>
                <wp:docPr id="6"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w:pict>
          </mc:Fallback>
        </mc:AlternateContent>
      </w:r>
      <w:r>
        <w:t xml:space="preserve">  年 </w:t>
      </w:r>
      <w:r>
        <mc:AlternateContent>
          <mc:Choice Requires="wpg">
            <w:drawing>
              <wp:inline xmlns:wp="http://schemas.openxmlformats.org/drawingml/2006/wordprocessingDrawing" distT="0" distB="0" distL="0" distR="0">
                <wp:extent cx="635" cy="0"/>
                <wp:effectExtent l="0" t="0" r="0" b="0"/>
                <wp:docPr id="7"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color="#000000"/>
            </w:pict>
          </mc:Fallback>
        </mc:AlternateContent>
      </w:r>
      <w:r>
        <w:t xml:space="preserve">   月 </w:t>
      </w:r>
      <w:r>
        <mc:AlternateContent>
          <mc:Choice Requires="wpg">
            <w:drawing>
              <wp:inline xmlns:wp="http://schemas.openxmlformats.org/drawingml/2006/wordprocessingDrawing" distT="0" distB="0" distL="0" distR="0">
                <wp:extent cx="635" cy="0"/>
                <wp:effectExtent l="0" t="0" r="0" b="0"/>
                <wp:docPr id="8"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7" o:spid="_x0000_s7" o:spt="1" type="#_x0000_t1" style="width:0.0pt;height:0.0pt;mso-wrap-distance-left:0.0pt;mso-wrap-distance-top:0.0pt;mso-wrap-distance-right:0.0pt;mso-wrap-distance-bottom:0.0pt;visibility:visible;" filled="f" strokecolor="#000000"/>
            </w:pict>
          </mc:Fallback>
        </mc:AlternateContent>
      </w:r>
      <w:r>
        <w:t xml:space="preserve">   日</w:t>
      </w:r>
      <w:r/>
    </w:p>
    <w:p>
      <w:pPr>
        <w:ind w:left="1" w:firstLine="422"/>
        <w:jc w:val="left"/>
        <w:spacing w:line="360" w:lineRule="auto"/>
        <w:rPr>
          <w:rFonts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注：</w:t>
      </w:r>
      <w:r/>
    </w:p>
    <w:p>
      <w:pPr>
        <w:ind w:firstLine="480"/>
        <w:jc w:val="left"/>
        <w:spacing w:line="360" w:lineRule="auto"/>
        <w:rPr>
          <w:rFonts w:ascii="宋体" w:hAnsi="宋体"/>
          <w:color w:val="auto"/>
          <w:sz w:val="24"/>
          <w:szCs w:val="24"/>
          <w:highlight w:val="none"/>
          <w:lang w:val="zh-CN"/>
        </w:rPr>
      </w:pPr>
      <w:r>
        <w:rPr>
          <w:rFonts w:hint="eastAsia" w:ascii="宋体" w:hAnsi="宋体" w:cs="宋体"/>
          <w:color w:val="auto"/>
          <w:sz w:val="24"/>
          <w:szCs w:val="24"/>
          <w:highlight w:val="none"/>
          <w:lang w:val="zh-CN"/>
        </w:rPr>
        <w:t xml:space="preserve">①</w:t>
      </w:r>
      <w:r>
        <w:rPr>
          <w:rFonts w:hint="eastAsia" w:ascii="宋体" w:hAnsi="宋体"/>
          <w:color w:val="auto"/>
          <w:sz w:val="24"/>
          <w:szCs w:val="24"/>
          <w:highlight w:val="none"/>
          <w:lang w:val="zh-CN"/>
        </w:rPr>
        <w:t xml:space="preserve">报价应包含货物设计、制造、包装、专利技术、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olor w:val="auto"/>
          <w:sz w:val="24"/>
          <w:szCs w:val="24"/>
          <w:highlight w:val="none"/>
        </w:rPr>
        <w:t xml:space="preserve">，以及供应商认为需要的其他费用等；</w:t>
      </w:r>
      <w:r/>
    </w:p>
    <w:p>
      <w:pPr>
        <w:ind w:firstLine="480"/>
        <w:jc w:val="left"/>
        <w:spacing w:line="360" w:lineRule="auto"/>
        <w:rPr>
          <w:rFonts w:ascii="宋体" w:hAnsi="宋体"/>
          <w:color w:val="auto"/>
          <w:sz w:val="24"/>
          <w:szCs w:val="24"/>
          <w:highlight w:val="none"/>
          <w:lang w:val="zh-CN"/>
        </w:rPr>
      </w:pPr>
      <w:r>
        <w:rPr>
          <w:rFonts w:hint="eastAsia" w:ascii="宋体" w:hAnsi="宋体" w:cs="宋体"/>
          <w:color w:val="auto"/>
          <w:sz w:val="24"/>
          <w:szCs w:val="24"/>
          <w:highlight w:val="none"/>
          <w:lang w:val="zh-CN"/>
        </w:rPr>
        <w:t xml:space="preserve">②</w:t>
      </w:r>
      <w:r>
        <w:rPr>
          <w:rFonts w:hint="eastAsia" w:ascii="宋体" w:hAnsi="宋体"/>
          <w:color w:val="auto"/>
          <w:sz w:val="24"/>
          <w:szCs w:val="24"/>
          <w:highlight w:val="none"/>
          <w:lang w:val="zh-CN"/>
        </w:rPr>
        <w:t xml:space="preserve">每一项货物仅接受一个价格，响应文件应对《询价报价表》中的全部设备进行报价，只投其中部分设备者，报价无效；</w:t>
      </w:r>
      <w:r/>
    </w:p>
    <w:p>
      <w:pPr>
        <w:ind w:firstLine="480"/>
        <w:jc w:val="left"/>
        <w:spacing w:line="360" w:lineRule="auto"/>
        <w:rPr>
          <w:rFonts w:hint="eastAsia" w:ascii="宋体" w:hAnsi="宋体"/>
          <w:color w:val="auto"/>
          <w:sz w:val="24"/>
          <w:szCs w:val="24"/>
          <w:highlight w:val="none"/>
          <w:lang w:val="zh-CN"/>
        </w:rPr>
      </w:pPr>
      <w:r>
        <w:rPr>
          <w:rFonts w:hint="eastAsia" w:ascii="宋体" w:hAnsi="宋体" w:cs="宋体"/>
          <w:color w:val="auto"/>
          <w:sz w:val="24"/>
          <w:szCs w:val="24"/>
          <w:highlight w:val="none"/>
          <w:lang w:val="zh-CN"/>
        </w:rPr>
        <w:t xml:space="preserve">③</w:t>
      </w:r>
      <w:r>
        <w:rPr>
          <w:rFonts w:hint="eastAsia" w:ascii="宋体" w:hAnsi="宋体"/>
          <w:color w:val="auto"/>
          <w:sz w:val="24"/>
          <w:szCs w:val="24"/>
          <w:highlight w:val="none"/>
          <w:lang w:val="zh-CN"/>
        </w:rPr>
        <w:t xml:space="preserve">供应商一旦成交后，如因市场变化、政策性调整等因素导致报价成本的变化，报价将不会得到调整。</w:t>
      </w:r>
      <w:r/>
    </w:p>
    <w:p>
      <w:pPr>
        <w:pStyle w:val="920"/>
        <w:ind w:firstLine="480"/>
        <w:rPr>
          <w:rFonts w:hint="eastAsia" w:eastAsia="宋体"/>
          <w:color w:val="auto"/>
          <w:highlight w:val="none"/>
          <w:lang w:val="en-US" w:eastAsia="zh-CN"/>
        </w:rPr>
      </w:pPr>
      <w:r>
        <w:rPr>
          <w:rFonts w:hint="eastAsia" w:ascii="宋体" w:hAnsi="宋体"/>
          <w:color w:val="auto"/>
          <w:sz w:val="24"/>
          <w:szCs w:val="24"/>
          <w:highlight w:val="none"/>
          <w:lang w:val="en-US" w:eastAsia="zh-CN"/>
        </w:rPr>
        <w:t xml:space="preserve">④</w:t>
      </w:r>
      <w:r>
        <w:rPr>
          <w:rFonts w:ascii="宋体" w:hAnsi="宋体" w:eastAsia="宋体" w:cs="宋体"/>
          <w:color w:val="auto"/>
          <w:sz w:val="24"/>
          <w:szCs w:val="24"/>
          <w:highlight w:val="none"/>
        </w:rPr>
        <w:t xml:space="preserve">本次报价为单价，大小写不一致以大写为准。</w:t>
      </w:r>
      <w:r/>
    </w:p>
    <w:p>
      <w:pPr>
        <w:ind w:left="1" w:firstLine="280"/>
        <w:rPr>
          <w:rFonts w:ascii="宋体" w:hAnsi="宋体"/>
          <w:color w:val="auto"/>
          <w:sz w:val="28"/>
          <w:szCs w:val="28"/>
          <w:highlight w:val="none"/>
        </w:rPr>
      </w:pPr>
      <w:r>
        <w:rPr>
          <w:rFonts w:ascii="宋体" w:hAnsi="宋体"/>
          <w:color w:val="auto"/>
          <w:sz w:val="28"/>
          <w:szCs w:val="28"/>
          <w:highlight w:val="none"/>
        </w:rPr>
      </w:r>
      <w:r/>
    </w:p>
    <w:p>
      <w:pPr>
        <w:ind w:firstLine="480"/>
        <w:jc w:val="left"/>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left="1"/>
        <w:jc w:val="center"/>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                                               </w:t>
      </w:r>
      <w:r>
        <w:rPr>
          <w:rFonts w:ascii="宋体" w:hAnsi="宋体"/>
          <w:color w:val="auto"/>
          <w:sz w:val="28"/>
          <w:szCs w:val="28"/>
          <w:highlight w:val="none"/>
        </w:rPr>
        <w:t xml:space="preserve">供应商</w:t>
      </w:r>
      <w:r>
        <w:rPr>
          <w:rFonts w:hint="eastAsia" w:ascii="宋体" w:hAnsi="宋体"/>
          <w:color w:val="auto"/>
          <w:sz w:val="28"/>
          <w:szCs w:val="28"/>
          <w:highlight w:val="none"/>
        </w:rPr>
        <w:t xml:space="preserve">（电子签章）：</w:t>
      </w:r>
      <w:r/>
    </w:p>
    <w:p>
      <w:pPr>
        <w:ind w:left="1" w:firstLine="560"/>
        <w:jc w:val="center"/>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                                        年 </w:t>
      </w:r>
      <w:r>
        <w:rPr>
          <w:rFonts w:ascii="宋体" w:hAnsi="宋体"/>
          <w:color w:val="auto"/>
          <w:sz w:val="28"/>
          <w:szCs w:val="28"/>
          <w:highlight w:val="none"/>
        </w:rPr>
        <w:t xml:space="preserve">  </w:t>
      </w:r>
      <w:r>
        <w:rPr>
          <w:rFonts w:hint="eastAsia" w:ascii="宋体" w:hAnsi="宋体"/>
          <w:color w:val="auto"/>
          <w:sz w:val="28"/>
          <w:szCs w:val="28"/>
          <w:highlight w:val="none"/>
        </w:rPr>
        <w:t xml:space="preserve">月 </w:t>
      </w:r>
      <w:r>
        <w:rPr>
          <w:rFonts w:ascii="宋体" w:hAnsi="宋体"/>
          <w:color w:val="auto"/>
          <w:sz w:val="28"/>
          <w:szCs w:val="28"/>
          <w:highlight w:val="none"/>
        </w:rPr>
        <w:t xml:space="preserve">  </w:t>
      </w:r>
      <w:r>
        <w:rPr>
          <w:rFonts w:hint="eastAsia" w:ascii="宋体" w:hAnsi="宋体"/>
          <w:color w:val="auto"/>
          <w:sz w:val="28"/>
          <w:szCs w:val="28"/>
          <w:highlight w:val="none"/>
        </w:rPr>
        <w:t xml:space="preserve">日</w:t>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spacing w:after="156"/>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（二）资格条件</w:t>
      </w:r>
      <w:r/>
    </w:p>
    <w:p>
      <w:pPr>
        <w:ind w:firstLine="240"/>
        <w:rPr>
          <w:rFonts w:ascii="黑体" w:eastAsia="黑体"/>
          <w:bCs/>
          <w:color w:val="auto"/>
          <w:sz w:val="36"/>
          <w:highlight w:val="none"/>
        </w:rPr>
      </w:pPr>
      <w:r>
        <w:rPr>
          <w:rFonts w:hint="eastAsia" w:ascii="黑体" w:hAnsi="宋体" w:eastAsia="黑体"/>
          <w:bCs/>
          <w:color w:val="auto"/>
          <w:sz w:val="24"/>
          <w:szCs w:val="24"/>
          <w:highlight w:val="none"/>
        </w:rPr>
        <w:t xml:space="preserve">1、关于资格的声明函</w:t>
      </w:r>
      <w:r>
        <w:rPr>
          <w:rFonts w:hint="eastAsia" w:ascii="黑体" w:hAnsi="宋体" w:eastAsia="黑体"/>
          <w:bCs/>
          <w:color w:val="auto"/>
          <w:sz w:val="24"/>
          <w:szCs w:val="24"/>
          <w:highlight w:val="none"/>
          <w:lang w:val="zh-CN"/>
        </w:rPr>
        <w:t xml:space="preserve">（格式）</w:t>
      </w:r>
      <w:r>
        <w:rPr>
          <w:rFonts w:hint="eastAsia" w:ascii="黑体" w:hAnsi="宋体" w:eastAsia="黑体"/>
          <w:bCs/>
          <w:color w:val="auto"/>
          <w:sz w:val="24"/>
          <w:szCs w:val="24"/>
          <w:highlight w:val="none"/>
        </w:rPr>
        <w:t xml:space="preserve">：</w:t>
      </w:r>
      <w:r/>
    </w:p>
    <w:p>
      <w:pPr>
        <w:jc w:val="center"/>
        <w:spacing w:before="156" w:after="156"/>
        <w:rPr>
          <w:rFonts w:ascii="黑体" w:eastAsia="黑体"/>
          <w:bCs/>
          <w:color w:val="auto"/>
          <w:sz w:val="32"/>
          <w:highlight w:val="none"/>
        </w:rPr>
      </w:pPr>
      <w:r>
        <w:rPr>
          <w:rFonts w:hint="eastAsia" w:ascii="黑体" w:eastAsia="黑体"/>
          <w:bCs/>
          <w:color w:val="auto"/>
          <w:sz w:val="28"/>
          <w:szCs w:val="28"/>
          <w:highlight w:val="none"/>
        </w:rPr>
        <w:t xml:space="preserve">关于资格的声明函</w:t>
      </w:r>
      <w:r/>
    </w:p>
    <w:p>
      <w:pPr>
        <w:spacing w:before="312" w:line="480" w:lineRule="auto"/>
        <w:rPr>
          <w:rFonts w:ascii="宋体"/>
          <w:bCs/>
          <w:color w:val="auto"/>
          <w:sz w:val="24"/>
          <w:szCs w:val="24"/>
          <w:highlight w:val="none"/>
        </w:rPr>
      </w:pPr>
      <w:r>
        <w:rPr>
          <w:rFonts w:hint="eastAsia" w:ascii="宋体" w:hAnsi="宋体"/>
          <w:color w:val="auto"/>
          <w:sz w:val="24"/>
          <w:szCs w:val="24"/>
          <w:highlight w:val="none"/>
          <w:u w:val="none"/>
        </w:rPr>
        <w:t xml:space="preserve">宜兴市农业农村局</w:t>
      </w:r>
      <w:r>
        <w:rPr>
          <w:rFonts w:hint="eastAsia" w:ascii="宋体" w:hAnsi="宋体"/>
          <w:bCs/>
          <w:color w:val="auto"/>
          <w:sz w:val="24"/>
          <w:szCs w:val="24"/>
          <w:highlight w:val="none"/>
        </w:rPr>
        <w:t xml:space="preserve">：</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参加贵单位本项目（项目编号：</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）政府采购活动前三年内在经营活动中没有重大违法记录；</w:t>
      </w:r>
      <w:r>
        <w:rPr>
          <w:rFonts w:ascii="宋体" w:hAnsi="宋体" w:cs="宋体"/>
          <w:color w:val="auto"/>
          <w:sz w:val="24"/>
          <w:szCs w:val="24"/>
          <w:highlight w:val="none"/>
          <w:lang w:bidi="ar"/>
        </w:rPr>
        <w:t xml:space="preserve">同时，</w:t>
      </w:r>
      <w:r>
        <w:rPr>
          <w:rFonts w:hint="eastAsia" w:ascii="宋体" w:hAnsi="宋体" w:cs="宋体"/>
          <w:color w:val="auto"/>
          <w:sz w:val="24"/>
          <w:szCs w:val="24"/>
          <w:highlight w:val="none"/>
          <w:lang w:bidi="ar"/>
        </w:rPr>
        <w:t xml:space="preserve">提交响应文件</w:t>
      </w:r>
      <w:r>
        <w:rPr>
          <w:rFonts w:ascii="宋体" w:hAnsi="宋体" w:cs="宋体"/>
          <w:color w:val="auto"/>
          <w:sz w:val="24"/>
          <w:szCs w:val="24"/>
          <w:highlight w:val="none"/>
          <w:lang w:bidi="ar"/>
        </w:rPr>
        <w:t xml:space="preserve">时不存在</w:t>
      </w:r>
      <w:r>
        <w:rPr>
          <w:rFonts w:hint="eastAsia" w:ascii="宋体" w:hAnsi="宋体" w:cs="宋体"/>
          <w:color w:val="auto"/>
          <w:sz w:val="24"/>
          <w:szCs w:val="24"/>
          <w:highlight w:val="none"/>
          <w:lang w:bidi="ar"/>
        </w:rPr>
        <w:t xml:space="preserve">有效期限</w:t>
      </w:r>
      <w:r>
        <w:rPr>
          <w:rFonts w:ascii="宋体" w:hAnsi="宋体" w:cs="宋体"/>
          <w:color w:val="auto"/>
          <w:sz w:val="24"/>
          <w:szCs w:val="24"/>
          <w:highlight w:val="none"/>
          <w:lang w:bidi="ar"/>
        </w:rPr>
        <w:t xml:space="preserve">内的政府采购严重违法失信行为的</w:t>
      </w:r>
      <w:r>
        <w:rPr>
          <w:rFonts w:hint="eastAsia" w:ascii="宋体" w:hAnsi="宋体" w:cs="宋体"/>
          <w:color w:val="auto"/>
          <w:sz w:val="24"/>
          <w:szCs w:val="24"/>
          <w:highlight w:val="none"/>
          <w:lang w:bidi="ar"/>
        </w:rPr>
        <w:t xml:space="preserve">处罚</w:t>
      </w:r>
      <w:r>
        <w:rPr>
          <w:rFonts w:ascii="宋体" w:hAnsi="宋体" w:cs="宋体"/>
          <w:color w:val="auto"/>
          <w:sz w:val="24"/>
          <w:szCs w:val="24"/>
          <w:highlight w:val="none"/>
          <w:lang w:bidi="ar"/>
        </w:rPr>
        <w:t xml:space="preserve">记录</w:t>
      </w: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未被列入失信名单或重大税收违法案件当事人名单；</w:t>
      </w:r>
      <w:r>
        <w:rPr>
          <w:rFonts w:hint="eastAsia" w:ascii="宋体" w:hAnsi="宋体"/>
          <w:bCs/>
          <w:color w:val="auto"/>
          <w:sz w:val="24"/>
          <w:szCs w:val="24"/>
          <w:highlight w:val="none"/>
        </w:rPr>
        <w:t xml:space="preserve">且具备履行合同所必需的设备和专业技术能力。我公司（单位）</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愿针对本次项目进行报价，</w:t>
      </w:r>
      <w:r>
        <w:rPr>
          <w:rFonts w:hint="eastAsia" w:ascii="宋体" w:hAnsi="宋体"/>
          <w:color w:val="auto"/>
          <w:sz w:val="24"/>
          <w:szCs w:val="24"/>
          <w:highlight w:val="none"/>
        </w:rPr>
        <w:t xml:space="preserve">所提供的货物均为原厂全新合格品，</w:t>
      </w:r>
      <w:r>
        <w:rPr>
          <w:rFonts w:hint="eastAsia" w:ascii="宋体" w:hAnsi="宋体"/>
          <w:bCs/>
          <w:color w:val="auto"/>
          <w:sz w:val="24"/>
          <w:szCs w:val="24"/>
          <w:highlight w:val="none"/>
        </w:rPr>
        <w:t xml:space="preserve">响应文件中所有关于报价资格的文件、证明、陈述均是真实的、准确的。若有违背，我公司（单位）</w:t>
      </w:r>
      <w:r>
        <w:rPr>
          <w:rFonts w:ascii="宋体"/>
          <w:bCs/>
          <w:color w:val="auto"/>
          <w:sz w:val="24"/>
          <w:szCs w:val="24"/>
          <w:highlight w:val="none"/>
        </w:rPr>
        <w:t xml:space="preserve">同意监管部门做出的相关决定并承担由此而产生的一切后果</w:t>
      </w:r>
      <w:r>
        <w:rPr>
          <w:rFonts w:hint="eastAsia" w:ascii="宋体"/>
          <w:bCs/>
          <w:color w:val="auto"/>
          <w:sz w:val="24"/>
          <w:szCs w:val="24"/>
          <w:highlight w:val="none"/>
        </w:rPr>
        <w:t xml:space="preserve">。</w:t>
      </w:r>
      <w:r/>
    </w:p>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w:t>
      </w:r>
      <w:r/>
    </w:p>
    <w:p>
      <w:pPr>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spacing w:line="360" w:lineRule="auto"/>
        <w:rPr>
          <w:rFonts w:hint="eastAsia" w:ascii="黑体" w:eastAsia="黑体"/>
          <w:bCs/>
          <w:color w:val="auto"/>
          <w:sz w:val="28"/>
          <w:szCs w:val="28"/>
          <w:highlight w:val="none"/>
        </w:rPr>
      </w:pPr>
      <w:r>
        <w:rPr>
          <w:rFonts w:hint="eastAsia"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0" t="0" r="0" b="0"/>
                <wp:wrapNone/>
                <wp:docPr id="9" name="文本框 4"/>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r/>
                            <w:r/>
                          </w:p>
                        </w:txbxContent>
                      </wps:txbx>
                      <wps:bodyPr wrap="square" upright="1"/>
                    </wps:wsp>
                  </a:graphicData>
                </a:graphic>
              </wp:anchor>
            </w:drawing>
          </mc:Choice>
          <mc:Fallback>
            <w:pict>
              <v:shape id="shape 8" o:spid="_x0000_s8" o:spt="202" type="#_x0000_t202" style="position:absolute;z-index:251660288;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r/>
                      <w:r/>
                    </w:p>
                  </w:txbxContent>
                </v:textbox>
              </v:shape>
            </w:pict>
          </mc:Fallback>
        </mc:AlternateContent>
      </w:r>
      <w:r>
        <w:rPr>
          <w:rFonts w:hint="eastAsia"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-38735</wp:posOffset>
                </wp:positionH>
                <wp:positionV relativeFrom="paragraph">
                  <wp:posOffset>29210</wp:posOffset>
                </wp:positionV>
                <wp:extent cx="2999105" cy="2070735"/>
                <wp:effectExtent l="0" t="0" r="0" b="0"/>
                <wp:wrapNone/>
                <wp:docPr id="10" name="文本框 5"/>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r/>
                            <w:r/>
                          </w:p>
                        </w:txbxContent>
                      </wps:txbx>
                      <wps:bodyPr wrap="square" upright="1"/>
                    </wps:wsp>
                  </a:graphicData>
                </a:graphic>
              </wp:anchor>
            </w:drawing>
          </mc:Choice>
          <mc:Fallback>
            <w:pict>
              <v:shape id="shape 9" o:spid="_x0000_s9" o:spt="202" type="#_x0000_t202" style="position:absolute;z-index:251659264;o:allowoverlap:true;o:allowincell:true;mso-position-horizontal-relative:text;margin-left:-3.0pt;mso-position-horizontal:absolute;mso-position-vertical-relative:text;margin-top:2.3pt;mso-position-vertical:absolute;width:236.1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r/>
                      <w:r/>
                    </w:p>
                  </w:txbxContent>
                </v:textbox>
              </v:shape>
            </w:pict>
          </mc:Fallback>
        </mc:AlternateContent>
      </w:r>
      <w:r/>
    </w:p>
    <w:p>
      <w:pP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spacing w:line="480" w:lineRule="auto"/>
        <w:rPr>
          <w:rFonts w:ascii="宋体"/>
          <w:bCs/>
          <w:color w:val="auto"/>
          <w:sz w:val="24"/>
          <w:szCs w:val="24"/>
          <w:highlight w:val="none"/>
        </w:rPr>
      </w:pPr>
      <w:r>
        <w:rPr>
          <w:rFonts w:ascii="宋体"/>
          <w:bCs/>
          <w:color w:val="auto"/>
          <w:sz w:val="24"/>
          <w:szCs w:val="24"/>
          <w:highlight w:val="none"/>
        </w:rPr>
      </w:r>
      <w:r/>
    </w:p>
    <w:p>
      <w:pPr>
        <w:ind w:left="5460" w:hanging="5460"/>
        <w:jc w:val="left"/>
        <w:spacing w:line="360" w:lineRule="auto"/>
        <w:rPr>
          <w:rFonts w:ascii="宋体"/>
          <w:bCs/>
          <w:color w:val="auto"/>
          <w:sz w:val="24"/>
          <w:szCs w:val="24"/>
          <w:highlight w:val="none"/>
        </w:rPr>
      </w:pPr>
      <w:r>
        <w:rPr>
          <w:rFonts w:ascii="宋体"/>
          <w:bCs/>
          <w:color w:val="auto"/>
          <w:sz w:val="24"/>
          <w:szCs w:val="24"/>
          <w:highlight w:val="none"/>
        </w:rPr>
      </w:r>
      <w:r/>
    </w:p>
    <w:p>
      <w:pPr>
        <w:ind w:left="5460" w:hanging="5460"/>
        <w:jc w:val="left"/>
        <w:spacing w:line="360" w:lineRule="auto"/>
        <w:rPr>
          <w:rFonts w:ascii="宋体"/>
          <w:bCs/>
          <w:color w:val="auto"/>
          <w:sz w:val="24"/>
          <w:szCs w:val="24"/>
          <w:highlight w:val="none"/>
        </w:rPr>
      </w:pPr>
      <w:r>
        <w:rPr>
          <w:rFonts w:ascii="宋体"/>
          <w:bCs/>
          <w:color w:val="auto"/>
          <w:sz w:val="24"/>
          <w:szCs w:val="24"/>
          <w:highlight w:val="none"/>
        </w:rPr>
      </w:r>
      <w:r/>
    </w:p>
    <w:p>
      <w:pPr>
        <w:ind w:left="5460" w:right="960" w:hanging="5460"/>
        <w:jc w:val="right"/>
        <w:spacing w:line="360" w:lineRule="auto"/>
        <w:rPr>
          <w:rFonts w:ascii="黑体" w:eastAsia="黑体"/>
          <w:bCs/>
          <w:color w:val="auto"/>
          <w:sz w:val="28"/>
          <w:szCs w:val="28"/>
          <w:highlight w:val="none"/>
        </w:rPr>
      </w:pPr>
      <w:r>
        <w:rPr>
          <w:color w:val="auto"/>
          <w:sz w:val="24"/>
          <w:szCs w:val="24"/>
          <w:highlight w:val="none"/>
        </w:rPr>
        <w:t xml:space="preserve">供应商（电子签章）：</w:t>
      </w:r>
      <w:r/>
    </w:p>
    <w:p>
      <w:pPr>
        <w:rPr>
          <w:color w:val="auto"/>
          <w:highlight w:val="none"/>
        </w:rPr>
      </w:pPr>
      <w:r>
        <w:rPr>
          <w:rFonts w:hint="eastAsia"/>
          <w:color w:val="auto"/>
          <w:highlight w:val="none"/>
        </w:rPr>
        <w:t xml:space="preserve">注：上述所称“重大违法记录”是指供应商因违法经营受到刑事处罚或者责令停产停业、吊销许可证或者执照、较大数额罚款等行政处罚。</w:t>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left"/>
        <w:spacing w:before="156" w:after="156"/>
        <w:rPr>
          <w:rFonts w:ascii="黑体" w:hAnsi="黑体" w:eastAsia="黑体"/>
          <w:color w:val="auto"/>
          <w:sz w:val="28"/>
          <w:szCs w:val="28"/>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  2、</w:t>
      </w:r>
      <w:r>
        <w:rPr>
          <w:rFonts w:hint="eastAsia" w:ascii="黑体" w:hAnsi="宋体" w:eastAsia="黑体"/>
          <w:bCs/>
          <w:color w:val="auto"/>
          <w:sz w:val="24"/>
          <w:szCs w:val="24"/>
          <w:highlight w:val="none"/>
          <w:lang w:val="zh-CN"/>
        </w:rPr>
        <w:t xml:space="preserve">被授权代表身份证明</w:t>
      </w:r>
      <w:r>
        <w:rPr>
          <w:rFonts w:hint="eastAsia" w:ascii="黑体" w:hAnsi="宋体" w:eastAsia="黑体"/>
          <w:bCs/>
          <w:color w:val="auto"/>
          <w:sz w:val="24"/>
          <w:szCs w:val="24"/>
          <w:highlight w:val="none"/>
        </w:rPr>
        <w:t xml:space="preserve">1（格式）：</w:t>
      </w:r>
      <w:r/>
    </w:p>
    <w:p>
      <w:pPr>
        <w:jc w:val="center"/>
        <w:spacing w:before="156" w:after="156"/>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法定代表人授权委托书</w:t>
      </w:r>
      <w:r/>
    </w:p>
    <w:p>
      <w:pPr>
        <w:ind w:firstLine="480"/>
        <w:spacing w:before="312"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4"/>
          <w:highlight w:val="none"/>
          <w:u w:val="none"/>
        </w:rPr>
        <w:t xml:space="preserve">宜兴市农业农村局</w:t>
      </w:r>
      <w:r>
        <w:rPr>
          <w:rFonts w:hint="eastAsia" w:ascii="宋体" w:hAnsi="宋体"/>
          <w:color w:val="auto"/>
          <w:sz w:val="24"/>
          <w:szCs w:val="21"/>
          <w:highlight w:val="none"/>
          <w:lang w:val="zh-CN"/>
        </w:rPr>
        <w:t xml:space="preserve">：</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系中华人民共和国合法企业，法定地址：</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，特授权</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代表我公司（单位）全权办理针对本项目</w:t>
      </w: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w:t>
      </w:r>
      <w:r>
        <w:rPr>
          <w:rFonts w:hint="eastAsia" w:ascii="宋体" w:hAnsi="宋体"/>
          <w:color w:val="auto"/>
          <w:sz w:val="24"/>
          <w:szCs w:val="21"/>
          <w:highlight w:val="none"/>
          <w:lang w:val="zh-CN"/>
        </w:rPr>
        <w:t xml:space="preserve">的响应报价，以我方名义签署、确认、澄清、提交、撤回、修改相关文件和处理有关事宜，其法律后果由我方承担。</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委托期限：自本授权委托书签署之日起至响应有效期届满之日止。</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被授权代表情况：</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en-US" w:eastAsia="zh-CN"/>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en-US" w:eastAsia="zh-CN"/>
        </w:rPr>
        <w:t xml:space="preserve">  </w:t>
      </w:r>
      <w:r>
        <w:rPr>
          <w:rFonts w:ascii="宋体" w:hAnsi="宋体"/>
          <w:color w:val="auto"/>
          <w:sz w:val="24"/>
          <w:szCs w:val="21"/>
          <w:highlight w:val="none"/>
          <w:u w:val="single"/>
        </w:rPr>
        <w:t xml:space="preserve">        </w:t>
      </w:r>
      <w:r/>
    </w:p>
    <w:p>
      <w:pPr>
        <w:ind w:firstLine="840"/>
        <w:rPr>
          <w:rFonts w:ascii="宋体" w:hAnsi="宋体"/>
          <w:bCs/>
          <w:color w:val="auto"/>
          <w:sz w:val="24"/>
          <w:highlight w:val="none"/>
        </w:rPr>
      </w:pPr>
      <w:r>
        <w:rPr>
          <w:rFonts w:hint="eastAsia" w:ascii="宋体" w:hAnsi="宋体"/>
          <w:bCs/>
          <w:color w:val="auto"/>
          <w:sz w:val="24"/>
          <w:highlight w:val="none"/>
        </w:rPr>
        <w:t xml:space="preserve">                          </w:t>
      </w:r>
      <w:r/>
    </w:p>
    <w:p>
      <w:pPr>
        <w:spacing w:line="360" w:lineRule="auto"/>
        <w:rPr>
          <w:rFonts w:hint="eastAsia" w:ascii="黑体" w:eastAsia="黑体"/>
          <w:bCs/>
          <w:color w:val="auto"/>
          <w:sz w:val="28"/>
          <w:szCs w:val="28"/>
          <w:highlight w:val="none"/>
        </w:rPr>
      </w:pPr>
      <w:r>
        <w:rPr>
          <w:rFonts w:hint="eastAsia"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0" t="0" r="0" b="0"/>
                <wp:wrapNone/>
                <wp:docPr id="11" name="文本框 6"/>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p>
                            <w:r/>
                            <w:r/>
                          </w:p>
                        </w:txbxContent>
                      </wps:txbx>
                      <wps:bodyPr wrap="square" upright="1"/>
                    </wps:wsp>
                  </a:graphicData>
                </a:graphic>
              </wp:anchor>
            </w:drawing>
          </mc:Choice>
          <mc:Fallback>
            <w:pict>
              <v:shape id="shape 10" o:spid="_x0000_s10" o:spt="202" type="#_x0000_t202" style="position:absolute;z-index:251660288;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p>
                      <w:r/>
                      <w:r/>
                    </w:p>
                  </w:txbxContent>
                </v:textbox>
              </v:shape>
            </w:pict>
          </mc:Fallback>
        </mc:AlternateContent>
      </w:r>
      <w:r>
        <w:rPr>
          <w:rFonts w:hint="eastAsia"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-38735</wp:posOffset>
                </wp:positionH>
                <wp:positionV relativeFrom="paragraph">
                  <wp:posOffset>29210</wp:posOffset>
                </wp:positionV>
                <wp:extent cx="2999105" cy="2070735"/>
                <wp:effectExtent l="0" t="0" r="0" b="0"/>
                <wp:wrapNone/>
                <wp:docPr id="12" name="文本框 7"/>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round/>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p>
                            <w:r/>
                            <w:r/>
                          </w:p>
                        </w:txbxContent>
                      </wps:txbx>
                      <wps:bodyPr wrap="square" upright="1"/>
                    </wps:wsp>
                  </a:graphicData>
                </a:graphic>
              </wp:anchor>
            </w:drawing>
          </mc:Choice>
          <mc:Fallback>
            <w:pict>
              <v:shape id="shape 11" o:spid="_x0000_s11" o:spt="202" type="#_x0000_t202" style="position:absolute;z-index:251660288;o:allowoverlap:true;o:allowincell:true;mso-position-horizontal-relative:text;margin-left:-3.0pt;mso-position-horizontal:absolute;mso-position-vertical-relative:text;margin-top:2.3pt;mso-position-vertical:absolute;width:236.1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p>
                      <w:r/>
                      <w:r/>
                    </w:p>
                  </w:txbxContent>
                </v:textbox>
              </v:shape>
            </w:pict>
          </mc:Fallback>
        </mc:AlternateContent>
      </w:r>
      <w:r/>
    </w:p>
    <w:p>
      <w:pP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jc w:val="both"/>
        <w:spacing w:line="360" w:lineRule="auto"/>
        <w:rPr>
          <w:rFonts w:ascii="宋体" w:hAnsi="宋体"/>
          <w:bCs/>
          <w:color w:val="auto"/>
          <w:sz w:val="24"/>
          <w:highlight w:val="none"/>
        </w:rPr>
      </w:pPr>
      <w:r>
        <w:rPr>
          <w:rFonts w:ascii="宋体" w:hAnsi="宋体"/>
          <w:bCs/>
          <w:color w:val="auto"/>
          <w:sz w:val="24"/>
          <w:highlight w:val="none"/>
        </w:rPr>
      </w:r>
      <w:r/>
    </w:p>
    <w:p>
      <w:pPr>
        <w:jc w:val="right"/>
        <w:spacing w:line="360" w:lineRule="auto"/>
        <w:rPr>
          <w:color w:val="auto"/>
          <w:sz w:val="24"/>
          <w:szCs w:val="24"/>
          <w:highlight w:val="none"/>
        </w:rPr>
      </w:pPr>
      <w:r>
        <w:rPr>
          <w:rFonts w:hint="eastAsia"/>
          <w:color w:val="auto"/>
          <w:sz w:val="24"/>
          <w:szCs w:val="24"/>
          <w:highlight w:val="none"/>
        </w:rPr>
        <w:t xml:space="preserve">供应商</w:t>
      </w:r>
      <w:r>
        <w:rPr>
          <w:color w:val="auto"/>
          <w:sz w:val="24"/>
          <w:szCs w:val="24"/>
          <w:highlight w:val="none"/>
        </w:rPr>
        <w:t xml:space="preserve">（电子签章）：</w:t>
      </w:r>
      <w:r/>
    </w:p>
    <w:p>
      <w:pPr>
        <w:jc w:val="righ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日期：___年___月__日</w:t>
      </w:r>
      <w:r/>
    </w:p>
    <w:p>
      <w:pPr>
        <w:ind w:left="420" w:firstLine="480"/>
        <w:spacing w:line="360" w:lineRule="auto"/>
        <w:tabs>
          <w:tab w:val="left" w:pos="255" w:leader="none"/>
        </w:tabs>
        <w:rPr>
          <w:color w:val="auto"/>
          <w:sz w:val="24"/>
          <w:szCs w:val="24"/>
          <w:highlight w:val="none"/>
        </w:rPr>
      </w:pPr>
      <w:r>
        <w:rPr>
          <w:color w:val="auto"/>
          <w:sz w:val="24"/>
          <w:szCs w:val="24"/>
          <w:highlight w:val="none"/>
        </w:rPr>
      </w:r>
      <w:r/>
    </w:p>
    <w:p>
      <w:pPr>
        <w:ind w:firstLine="480"/>
        <w:spacing w:line="360" w:lineRule="auto"/>
        <w:rPr>
          <w:rFonts w:ascii="黑体" w:hAnsi="宋体" w:eastAsia="黑体"/>
          <w:b/>
          <w:bCs/>
          <w:color w:val="auto"/>
          <w:sz w:val="24"/>
          <w:szCs w:val="24"/>
          <w:highlight w:val="none"/>
        </w:rPr>
      </w:pPr>
      <w:r>
        <w:rPr>
          <w:color w:val="auto"/>
          <w:sz w:val="24"/>
          <w:szCs w:val="24"/>
          <w:highlight w:val="none"/>
        </w:rPr>
        <w:br w:type="page" w:clear="all"/>
      </w:r>
      <w:r/>
    </w:p>
    <w:p>
      <w:pPr>
        <w:ind w:firstLine="240"/>
        <w:spacing w:line="360" w:lineRule="auto"/>
        <w:rPr>
          <w:color w:val="auto"/>
          <w:sz w:val="24"/>
          <w:szCs w:val="24"/>
          <w:highlight w:val="none"/>
        </w:rPr>
      </w:pPr>
      <w:r>
        <w:rPr>
          <w:rFonts w:hint="eastAsia" w:ascii="黑体" w:hAnsi="宋体" w:eastAsia="黑体"/>
          <w:bCs/>
          <w:color w:val="auto"/>
          <w:sz w:val="24"/>
          <w:szCs w:val="24"/>
          <w:highlight w:val="none"/>
        </w:rPr>
        <w:t xml:space="preserve">3、被授权代表身份证明2（社保）：</w:t>
      </w:r>
      <w:r>
        <w:rPr>
          <w:rFonts w:hint="eastAsia" w:ascii="宋体" w:hAnsi="宋体"/>
          <w:color w:val="auto"/>
          <w:sz w:val="24"/>
          <w:szCs w:val="21"/>
          <w:highlight w:val="none"/>
          <w:lang w:val="zh-CN"/>
        </w:rPr>
        <w:t xml:space="preserve">详见第二章供应商须知相关要求</w:t>
      </w:r>
      <w:r/>
    </w:p>
    <w:p>
      <w:pPr>
        <w:jc w:val="left"/>
        <w:rPr>
          <w:color w:val="auto"/>
          <w:sz w:val="24"/>
          <w:szCs w:val="24"/>
          <w:highlight w:val="none"/>
        </w:rPr>
      </w:pPr>
      <w:r>
        <w:rPr>
          <w:color w:val="auto"/>
          <w:sz w:val="24"/>
          <w:szCs w:val="24"/>
          <w:highlight w:val="none"/>
        </w:rPr>
      </w:r>
      <w:r/>
    </w:p>
    <w:p>
      <w:pPr>
        <w:ind w:firstLine="24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4、具有独立承担民事责任的能力：</w:t>
      </w:r>
      <w:r>
        <w:rPr>
          <w:rFonts w:hint="eastAsia" w:ascii="宋体" w:hAnsi="宋体"/>
          <w:color w:val="auto"/>
          <w:sz w:val="24"/>
          <w:szCs w:val="21"/>
          <w:highlight w:val="none"/>
          <w:lang w:val="zh-CN"/>
        </w:rPr>
        <w:t xml:space="preserve">按第二章供应商须知要求提供相关证明材料</w:t>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24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5、具有良好的商业信誉和健全的财务会计制度：</w:t>
      </w:r>
      <w:r>
        <w:rPr>
          <w:rFonts w:hint="eastAsia" w:ascii="宋体" w:hAnsi="宋体"/>
          <w:color w:val="auto"/>
          <w:sz w:val="24"/>
          <w:szCs w:val="21"/>
          <w:highlight w:val="none"/>
          <w:lang w:val="zh-CN"/>
        </w:rPr>
        <w:t xml:space="preserve">按第二章供应商须知要求提供相关证明材料</w:t>
      </w:r>
      <w:r/>
    </w:p>
    <w:p>
      <w:pPr>
        <w:ind w:firstLine="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24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6、有依法缴纳税收的良好记录：</w:t>
      </w:r>
      <w:r>
        <w:rPr>
          <w:rFonts w:hint="eastAsia" w:ascii="宋体" w:hAnsi="宋体"/>
          <w:color w:val="auto"/>
          <w:sz w:val="24"/>
          <w:szCs w:val="21"/>
          <w:highlight w:val="none"/>
          <w:lang w:val="zh-CN"/>
        </w:rPr>
        <w:t xml:space="preserve">按第二章供应商须知要求提供相关证明材料</w:t>
      </w:r>
      <w:r/>
    </w:p>
    <w:p>
      <w:pPr>
        <w:ind w:left="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24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7、有依法缴纳社会保障资金的良好记录：</w:t>
      </w:r>
      <w:r>
        <w:rPr>
          <w:rFonts w:hint="eastAsia" w:ascii="宋体" w:hAnsi="宋体"/>
          <w:color w:val="auto"/>
          <w:sz w:val="24"/>
          <w:szCs w:val="21"/>
          <w:highlight w:val="none"/>
          <w:lang w:val="zh-CN"/>
        </w:rPr>
        <w:t xml:space="preserve">按第二章供应商须知要求提供相关证明材料</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24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8、无不良信用记录：</w:t>
      </w:r>
      <w:r>
        <w:rPr>
          <w:rFonts w:hint="eastAsia" w:ascii="宋体" w:hAnsi="宋体"/>
          <w:color w:val="auto"/>
          <w:sz w:val="24"/>
          <w:szCs w:val="21"/>
          <w:highlight w:val="none"/>
          <w:lang w:val="zh-CN"/>
        </w:rPr>
        <w:t xml:space="preserve">详见第二章供应商须知相关要求</w:t>
      </w:r>
      <w:r/>
    </w:p>
    <w:p>
      <w:pPr>
        <w:jc w:val="left"/>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ind w:firstLine="240"/>
        <w:jc w:val="left"/>
        <w:rPr>
          <w:rFonts w:ascii="黑体" w:hAnsi="宋体" w:eastAsia="黑体"/>
          <w:bCs/>
          <w:color w:val="auto"/>
          <w:sz w:val="24"/>
          <w:szCs w:val="24"/>
          <w:highlight w:val="none"/>
        </w:rPr>
      </w:pPr>
      <w:r>
        <w:rPr>
          <w:rFonts w:hint="eastAsia" w:ascii="黑体" w:hAnsi="宋体" w:eastAsia="黑体"/>
          <w:bCs/>
          <w:color w:val="auto"/>
          <w:sz w:val="24"/>
          <w:szCs w:val="24"/>
          <w:highlight w:val="none"/>
          <w:lang w:val="en-US" w:eastAsia="zh-CN"/>
        </w:rPr>
        <w:t xml:space="preserve">9</w:t>
      </w:r>
      <w:r>
        <w:rPr>
          <w:rFonts w:hint="eastAsia" w:ascii="黑体" w:hAnsi="宋体" w:eastAsia="黑体"/>
          <w:bCs/>
          <w:color w:val="auto"/>
          <w:sz w:val="24"/>
          <w:szCs w:val="24"/>
          <w:highlight w:val="none"/>
        </w:rPr>
        <w:t xml:space="preserve">、中小企业声明</w:t>
      </w:r>
      <w:r/>
    </w:p>
    <w:p>
      <w:pPr>
        <w:spacing w:line="360" w:lineRule="auto"/>
        <w:tabs>
          <w:tab w:val="left" w:pos="0" w:leader="none"/>
          <w:tab w:val="left" w:pos="255" w:leader="none"/>
        </w:tabs>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tabs>
          <w:tab w:val="left" w:pos="0" w:leader="none"/>
          <w:tab w:val="left" w:pos="255" w:leader="none"/>
        </w:tabs>
        <w:rPr>
          <w:rFonts w:hint="eastAsia" w:ascii="宋体" w:hAnsi="宋体"/>
          <w:bCs/>
          <w:color w:val="auto"/>
          <w:sz w:val="24"/>
          <w:szCs w:val="24"/>
          <w:highlight w:val="none"/>
          <w:lang w:eastAsia="zh-CN"/>
        </w:rPr>
      </w:pPr>
      <w:r>
        <w:rPr>
          <w:rFonts w:hint="eastAsia" w:ascii="宋体" w:hAnsi="宋体"/>
          <w:bCs/>
          <w:color w:val="auto"/>
          <w:sz w:val="24"/>
          <w:szCs w:val="24"/>
          <w:highlight w:val="none"/>
        </w:rPr>
        <w:t xml:space="preserve">注：</w:t>
      </w:r>
      <w:r>
        <w:rPr>
          <w:rFonts w:hint="eastAsia" w:ascii="宋体" w:hAnsi="宋体"/>
          <w:bCs/>
          <w:color w:val="auto"/>
          <w:sz w:val="24"/>
          <w:szCs w:val="24"/>
          <w:highlight w:val="none"/>
          <w:lang w:val="zh-CN"/>
        </w:rPr>
        <w:t xml:space="preserve">供应商</w:t>
      </w:r>
      <w:r>
        <w:rPr>
          <w:rFonts w:hint="eastAsia" w:ascii="宋体" w:hAnsi="宋体"/>
          <w:bCs/>
          <w:color w:val="auto"/>
          <w:sz w:val="24"/>
          <w:szCs w:val="24"/>
          <w:highlight w:val="none"/>
          <w:lang w:val="en-US" w:eastAsia="zh-CN"/>
        </w:rPr>
        <w:t xml:space="preserve">如为中小企业</w:t>
      </w:r>
      <w:r>
        <w:rPr>
          <w:rFonts w:hint="eastAsia" w:ascii="宋体" w:hAnsi="宋体"/>
          <w:bCs/>
          <w:color w:val="auto"/>
          <w:sz w:val="24"/>
          <w:szCs w:val="24"/>
          <w:highlight w:val="none"/>
          <w:lang w:val="zh-CN"/>
        </w:rPr>
        <w:t xml:space="preserve">应提供有效的《中小企业声明函》或《残疾人福利性单位声明函》或监狱企业的证明文件，否则</w:t>
      </w:r>
      <w:r>
        <w:rPr>
          <w:rFonts w:hint="eastAsia" w:ascii="宋体" w:hAnsi="宋体"/>
          <w:bCs/>
          <w:color w:val="auto"/>
          <w:sz w:val="24"/>
          <w:szCs w:val="24"/>
          <w:highlight w:val="none"/>
        </w:rPr>
        <w:t xml:space="preserve">不享受政府采购小微企业优惠政策</w:t>
      </w:r>
      <w:r>
        <w:rPr>
          <w:rFonts w:hint="eastAsia" w:ascii="宋体" w:hAnsi="宋体"/>
          <w:bCs/>
          <w:color w:val="auto"/>
          <w:sz w:val="24"/>
          <w:szCs w:val="24"/>
          <w:highlight w:val="none"/>
          <w:lang w:eastAsia="zh-CN"/>
        </w:rPr>
        <w:t xml:space="preserve">。</w:t>
      </w:r>
      <w:r/>
    </w:p>
    <w:p>
      <w:pPr>
        <w:ind w:firstLine="480"/>
        <w:spacing w:line="360" w:lineRule="auto"/>
        <w:tabs>
          <w:tab w:val="left" w:pos="0" w:leader="none"/>
          <w:tab w:val="left" w:pos="255" w:leader="none"/>
        </w:tabs>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r>
      <w:r/>
    </w:p>
    <w:p>
      <w:pPr>
        <w:numPr>
          <w:ilvl w:val="0"/>
          <w:numId w:val="13"/>
        </w:numPr>
        <w:ind w:firstLine="240"/>
        <w:jc w:val="left"/>
        <w:keepLines w:val="0"/>
        <w:keepNext w:val="0"/>
        <w:pageBreakBefore w:val="0"/>
        <w:spacing w:line="480" w:lineRule="auto"/>
        <w:widowControl w:val="off"/>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特定资格要求</w:t>
      </w:r>
      <w:r/>
    </w:p>
    <w:p>
      <w:pPr>
        <w:pStyle w:val="896"/>
        <w:numPr>
          <w:ilvl w:val="0"/>
          <w:numId w:val="0"/>
        </w:numPr>
        <w:keepLines w:val="0"/>
        <w:keepNext w:val="0"/>
        <w:pageBreakBefore w:val="0"/>
        <w:spacing w:line="480" w:lineRule="auto"/>
        <w:widowControl w:val="off"/>
        <w:rPr>
          <w:rFonts w:ascii="黑体" w:hAnsi="宋体" w:eastAsia="黑体"/>
          <w:bCs/>
          <w:color w:val="auto"/>
          <w:sz w:val="24"/>
          <w:szCs w:val="24"/>
          <w:highlight w:val="none"/>
        </w:rPr>
      </w:pPr>
      <w:r>
        <w:rPr>
          <w:rFonts w:hint="eastAsia"/>
          <w:color w:val="auto"/>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val="en-US" w:eastAsia="zh-CN"/>
        </w:rPr>
        <w:t xml:space="preserve">①供应商提供农药经营许可证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②供应商所投标的农药品种需提供农药登记证：采购包1需登记在稻飞虱上，采购包2需登记在稻飞虱上，采购包3需登记在水稻纹枯</w:t>
      </w:r>
      <w:r>
        <w:rPr>
          <w:rFonts w:hint="eastAsia" w:ascii="宋体" w:hAnsi="宋体" w:cs="宋体"/>
          <w:color w:val="auto"/>
          <w:sz w:val="24"/>
          <w:szCs w:val="24"/>
          <w:highlight w:val="none"/>
          <w:lang w:val="en-US" w:eastAsia="zh-CN"/>
        </w:rPr>
        <w:t xml:space="preserve">病</w:t>
      </w:r>
      <w:r>
        <w:rPr>
          <w:rFonts w:hint="eastAsia" w:ascii="宋体" w:hAnsi="宋体" w:eastAsia="宋体" w:cs="宋体"/>
          <w:color w:val="auto"/>
          <w:sz w:val="24"/>
          <w:szCs w:val="24"/>
          <w:highlight w:val="none"/>
          <w:lang w:val="en-US" w:eastAsia="zh-CN"/>
        </w:rPr>
        <w:t xml:space="preserve">上，采购包4需登记在水稻纹枯</w:t>
      </w:r>
      <w:r>
        <w:rPr>
          <w:rFonts w:hint="eastAsia" w:ascii="宋体" w:hAnsi="宋体" w:cs="宋体"/>
          <w:color w:val="auto"/>
          <w:sz w:val="24"/>
          <w:szCs w:val="24"/>
          <w:highlight w:val="none"/>
          <w:lang w:val="en-US" w:eastAsia="zh-CN"/>
        </w:rPr>
        <w:t xml:space="preserve">病</w:t>
      </w:r>
      <w:r>
        <w:rPr>
          <w:rFonts w:hint="eastAsia" w:ascii="宋体" w:hAnsi="宋体" w:eastAsia="宋体" w:cs="宋体"/>
          <w:color w:val="auto"/>
          <w:sz w:val="24"/>
          <w:szCs w:val="24"/>
          <w:highlight w:val="none"/>
          <w:lang w:val="en-US" w:eastAsia="zh-CN"/>
        </w:rPr>
        <w:t xml:space="preserve">上</w:t>
      </w:r>
      <w:r>
        <w:rPr>
          <w:rFonts w:hint="eastAsia" w:ascii="宋体" w:hAnsi="宋体" w:eastAsia="宋体" w:cs="宋体"/>
          <w:color w:val="auto"/>
          <w:sz w:val="24"/>
          <w:szCs w:val="24"/>
          <w:highlight w:val="none"/>
        </w:rPr>
        <w:t xml:space="preserve">。</w:t>
      </w:r>
      <w:r/>
    </w:p>
    <w:p>
      <w:pPr>
        <w:ind w:firstLine="480"/>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注：如本项目有特定资格要求的，按询价通知书要求提供证明材料，否则无需提供。</w:t>
      </w:r>
      <w:r/>
    </w:p>
    <w:p>
      <w:pPr>
        <w:ind w:firstLine="482"/>
        <w:spacing w:line="360" w:lineRule="auto"/>
        <w:tabs>
          <w:tab w:val="left" w:pos="0" w:leader="none"/>
          <w:tab w:val="left" w:pos="255" w:leader="none"/>
        </w:tabs>
        <w:rPr>
          <w:rFonts w:ascii="宋体" w:hAnsi="宋体"/>
          <w:b/>
          <w:color w:val="auto"/>
          <w:sz w:val="24"/>
          <w:szCs w:val="24"/>
          <w:highlight w:val="none"/>
        </w:rPr>
      </w:pPr>
      <w:r>
        <w:rPr>
          <w:rFonts w:ascii="宋体" w:hAnsi="宋体"/>
          <w:b/>
          <w:color w:val="auto"/>
          <w:sz w:val="24"/>
          <w:szCs w:val="24"/>
          <w:highlight w:val="none"/>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黑体" w:hAnsi="宋体" w:eastAsia="黑体"/>
          <w:bCs/>
          <w:color w:val="auto"/>
          <w:sz w:val="28"/>
          <w:szCs w:val="28"/>
          <w:highlight w:val="none"/>
        </w:rPr>
      </w:pPr>
      <w:r>
        <w:rPr>
          <w:rFonts w:ascii="宋体" w:hAnsi="宋体"/>
          <w:b/>
          <w:color w:val="auto"/>
          <w:sz w:val="24"/>
          <w:szCs w:val="24"/>
          <w:highlight w:val="none"/>
          <w:lang w:val="zh-CN"/>
        </w:rPr>
        <w:br w:type="page" w:clear="all"/>
      </w:r>
      <w:r>
        <w:rPr>
          <w:rFonts w:hint="eastAsia" w:ascii="黑体" w:hAnsi="宋体" w:eastAsia="黑体"/>
          <w:bCs/>
          <w:color w:val="auto"/>
          <w:sz w:val="28"/>
          <w:szCs w:val="28"/>
          <w:highlight w:val="none"/>
        </w:rPr>
        <w:t xml:space="preserve">（三）符合条件</w:t>
      </w:r>
      <w:r/>
    </w:p>
    <w:p>
      <w:pPr>
        <w:ind w:firstLine="421"/>
        <w:spacing w:line="360" w:lineRule="auto"/>
        <w:rPr>
          <w:rFonts w:ascii="宋体"/>
          <w:b/>
          <w:bCs/>
          <w:color w:val="auto"/>
          <w:sz w:val="24"/>
          <w:szCs w:val="24"/>
          <w:highlight w:val="none"/>
        </w:rPr>
      </w:pP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rPr>
        <w:t xml:space="preserve">、响应函（格式）：</w:t>
      </w:r>
      <w:r/>
    </w:p>
    <w:p>
      <w:pPr>
        <w:jc w:val="center"/>
        <w:spacing w:before="156" w:after="156"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响应函</w:t>
      </w:r>
      <w:r/>
    </w:p>
    <w:p>
      <w:p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致</w:t>
      </w:r>
      <w:r>
        <w:rPr>
          <w:rFonts w:hint="eastAsia" w:ascii="宋体" w:hAnsi="宋体"/>
          <w:color w:val="auto"/>
          <w:sz w:val="24"/>
          <w:szCs w:val="24"/>
          <w:highlight w:val="none"/>
          <w:u w:val="none"/>
        </w:rPr>
        <w:t xml:space="preserve">宜兴市农业农村局</w:t>
      </w:r>
      <w:r>
        <w:rPr>
          <w:rFonts w:hint="eastAsia" w:ascii="宋体" w:hAnsi="宋体"/>
          <w:bCs/>
          <w:color w:val="auto"/>
          <w:sz w:val="24"/>
          <w:highlight w:val="none"/>
          <w:lang w:val="zh-CN"/>
        </w:rPr>
        <w:t xml:space="preserve">：</w:t>
      </w:r>
      <w:r/>
    </w:p>
    <w:p>
      <w:p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我方收到本项目</w:t>
      </w: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w:t>
      </w:r>
      <w:r>
        <w:rPr>
          <w:rFonts w:hint="eastAsia" w:ascii="宋体" w:hAnsi="宋体"/>
          <w:bCs/>
          <w:color w:val="auto"/>
          <w:sz w:val="24"/>
          <w:highlight w:val="none"/>
          <w:lang w:val="zh-CN"/>
        </w:rPr>
        <w:t xml:space="preserve">询价通知书，经仔细阅读和研究，我方决定参加报价。</w:t>
      </w:r>
      <w:r/>
    </w:p>
    <w:p>
      <w:pPr>
        <w:numPr>
          <w:ilvl w:val="0"/>
          <w:numId w:val="14"/>
        </w:num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我方愿意按照询价通知书的一切要求，提供报价产品，总报价详见《</w:t>
      </w:r>
      <w:r>
        <w:rPr>
          <w:rFonts w:hint="eastAsia" w:ascii="宋体" w:hAnsi="宋体"/>
          <w:bCs/>
          <w:color w:val="auto"/>
          <w:sz w:val="24"/>
          <w:highlight w:val="none"/>
          <w:lang w:val="en-US" w:eastAsia="zh-CN"/>
        </w:rPr>
        <w:t xml:space="preserve">询价报价表</w:t>
      </w:r>
      <w:r>
        <w:rPr>
          <w:rFonts w:hint="eastAsia" w:ascii="宋体" w:hAnsi="宋体"/>
          <w:bCs/>
          <w:color w:val="auto"/>
          <w:sz w:val="24"/>
          <w:highlight w:val="none"/>
          <w:lang w:val="zh-CN"/>
        </w:rPr>
        <w:t xml:space="preserve">》。</w:t>
      </w:r>
      <w:r/>
    </w:p>
    <w:p>
      <w:pPr>
        <w:numPr>
          <w:ilvl w:val="0"/>
          <w:numId w:val="14"/>
        </w:num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我方已对照采购产品的技术参数要求，填写了报价产品的技术参数要求，详见《项目技术要求偏离表》。</w:t>
      </w:r>
      <w:r/>
    </w:p>
    <w:p>
      <w:pPr>
        <w:numPr>
          <w:ilvl w:val="0"/>
          <w:numId w:val="14"/>
        </w:num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我方承诺本次采购项目清单中，若涉及到强制采购节能产品或信息安全产品的，将按照询价通知书及法律法规要求提供相关产品证明材料。</w:t>
      </w:r>
      <w:r/>
    </w:p>
    <w:p>
      <w:pPr>
        <w:numPr>
          <w:ilvl w:val="0"/>
          <w:numId w:val="14"/>
        </w:numPr>
        <w:ind w:firstLine="480"/>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我方参与报价即表示认可并遵守本询价通知书的所有规定，不再对询价通知书及相关补充更正文件提出质疑和投诉。</w:t>
      </w:r>
      <w:r>
        <w:rPr>
          <w:rFonts w:hint="eastAsia" w:ascii="宋体" w:hAnsi="宋体"/>
          <w:bCs/>
          <w:color w:val="auto"/>
          <w:sz w:val="24"/>
          <w:highlight w:val="none"/>
          <w:lang w:val="zh-CN"/>
        </w:rPr>
        <w:t xml:space="preserve">我方响应文件的有效期为响应文件提交截止之日起的60天（含提交截止当日），在特殊情况下，可与贵方协商延长响应文件的有效期。</w:t>
      </w:r>
      <w:r/>
    </w:p>
    <w:p>
      <w:pPr>
        <w:numPr>
          <w:ilvl w:val="0"/>
          <w:numId w:val="14"/>
        </w:num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如果我方的响应文件被接受，我方将履行询价通知书、响应文件中规定的每一项要求，按期、按质、按量、按地点，完成交货任务。</w:t>
      </w:r>
      <w:r/>
    </w:p>
    <w:p>
      <w:pPr>
        <w:numPr>
          <w:ilvl w:val="0"/>
          <w:numId w:val="14"/>
        </w:num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我方愿意根据贵方及询价小组的要求，提供响应文件中所有材料</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lang w:val="zh-CN"/>
        </w:rPr>
        <w:t xml:space="preserve">相关证明性资料，</w:t>
      </w:r>
      <w:r>
        <w:rPr>
          <w:rFonts w:hint="eastAsia" w:ascii="宋体" w:hAnsi="宋体"/>
          <w:bCs/>
          <w:color w:val="auto"/>
          <w:sz w:val="24"/>
          <w:highlight w:val="none"/>
        </w:rPr>
        <w:t xml:space="preserve">并保证我方已提供和将要提供的资料是真实的、准确的</w:t>
      </w:r>
      <w:r>
        <w:rPr>
          <w:rFonts w:hint="eastAsia" w:ascii="宋体" w:hAnsi="宋体"/>
          <w:bCs/>
          <w:color w:val="auto"/>
          <w:sz w:val="24"/>
          <w:highlight w:val="none"/>
          <w:lang w:val="zh-CN"/>
        </w:rPr>
        <w:t xml:space="preserve">。</w:t>
      </w:r>
      <w:r/>
    </w:p>
    <w:p>
      <w:pPr>
        <w:numPr>
          <w:ilvl w:val="0"/>
          <w:numId w:val="14"/>
        </w:num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我方认为采购人有权确定成交供应商。</w:t>
      </w:r>
      <w:r>
        <w:rPr>
          <w:rFonts w:hint="eastAsia" w:ascii="宋体" w:hAnsi="宋体"/>
          <w:bCs/>
          <w:color w:val="auto"/>
          <w:sz w:val="24"/>
          <w:szCs w:val="24"/>
          <w:highlight w:val="none"/>
          <w:lang w:val="zh-CN"/>
        </w:rPr>
        <w:t xml:space="preserve">除因不可抗力或询价通知书认可的情形以外，我方绝不放弃成交资格</w:t>
      </w:r>
      <w:r>
        <w:rPr>
          <w:rFonts w:hint="eastAsia" w:ascii="宋体" w:hAnsi="宋体"/>
          <w:bCs/>
          <w:color w:val="auto"/>
          <w:sz w:val="24"/>
          <w:highlight w:val="none"/>
          <w:lang w:val="zh-CN"/>
        </w:rPr>
        <w:t xml:space="preserve">。</w:t>
      </w:r>
      <w:r/>
    </w:p>
    <w:p>
      <w:pPr>
        <w:numPr>
          <w:ilvl w:val="0"/>
          <w:numId w:val="14"/>
        </w:num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我方愿意按</w:t>
      </w:r>
      <w:r>
        <w:rPr>
          <w:rFonts w:hint="eastAsia" w:ascii="宋体" w:hAnsi="宋体" w:cs="宋体"/>
          <w:color w:val="auto"/>
          <w:sz w:val="24"/>
          <w:highlight w:val="none"/>
          <w:lang w:val="zh-CN"/>
        </w:rPr>
        <w:t xml:space="preserve">《中华人民共和国民法典》</w:t>
      </w:r>
      <w:r>
        <w:rPr>
          <w:rFonts w:hint="eastAsia" w:ascii="宋体" w:hAnsi="宋体"/>
          <w:bCs/>
          <w:color w:val="auto"/>
          <w:sz w:val="24"/>
          <w:highlight w:val="none"/>
          <w:lang w:val="zh-CN"/>
        </w:rPr>
        <w:t xml:space="preserve">和合同条款履行自己的全部责任。</w:t>
      </w:r>
      <w:r/>
    </w:p>
    <w:p>
      <w:pPr>
        <w:numPr>
          <w:ilvl w:val="0"/>
          <w:numId w:val="14"/>
        </w:num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如果我方成交，我方愿意遵守询价通知书和成交通知书的规定，在指定时间和地点与采购人签订合同，并在签订合同前按询价通知书的规定交纳履约保证金。</w:t>
      </w:r>
      <w:r/>
    </w:p>
    <w:p>
      <w:pPr>
        <w:numPr>
          <w:ilvl w:val="0"/>
          <w:numId w:val="14"/>
        </w:num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决不提供虚假材料谋取成交，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14"/>
        </w:num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我方不是为本项目提供整体设计、规范编制或者项目管理、监理、检测等服务的供应商。</w:t>
      </w:r>
      <w:r/>
    </w:p>
    <w:p>
      <w:pPr>
        <w:numPr>
          <w:ilvl w:val="0"/>
          <w:numId w:val="14"/>
        </w:num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关联单位情况说明：</w:t>
      </w:r>
      <w:r/>
    </w:p>
    <w:tbl>
      <w:tblPr>
        <w:tblStyle w:val="8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1"/>
        <w:gridCol w:w="4446"/>
      </w:tblGrid>
      <w:tr>
        <w:trPr>
          <w:jc w:val="center"/>
          <w:trHeight w:val="645"/>
        </w:trPr>
        <w:tc>
          <w:tcPr>
            <w:tcW w:w="4941"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446"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Height w:val="663"/>
        </w:trPr>
        <w:tc>
          <w:tcPr>
            <w:tcW w:w="4941"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446"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bl>
    <w:p>
      <w:pPr>
        <w:ind w:left="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numPr>
          <w:ilvl w:val="0"/>
          <w:numId w:val="14"/>
        </w:num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与本报价有关的一切正式往来函电，请联系：</w:t>
      </w:r>
      <w:r/>
    </w:p>
    <w:tbl>
      <w:tblPr>
        <w:tblStyle w:val="8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地址</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法定代表人</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bl>
    <w:p>
      <w:pPr>
        <w:jc w:val="center"/>
        <w:rPr>
          <w:rFonts w:ascii="宋体" w:hAnsi="宋体"/>
          <w:color w:val="auto"/>
          <w:sz w:val="28"/>
          <w:szCs w:val="28"/>
          <w:highlight w:val="none"/>
        </w:rPr>
      </w:pPr>
      <w:r>
        <w:rPr>
          <w:rFonts w:ascii="宋体" w:hAnsi="宋体"/>
          <w:color w:val="auto"/>
          <w:sz w:val="28"/>
          <w:szCs w:val="28"/>
          <w:highlight w:val="none"/>
        </w:rPr>
      </w:r>
      <w:r/>
    </w:p>
    <w:p>
      <w:pPr>
        <w:ind w:left="6370" w:hanging="6370"/>
        <w:jc w:val="right"/>
        <w:spacing w:line="360" w:lineRule="auto"/>
        <w:rPr>
          <w:rFonts w:ascii="宋体" w:hAnsi="宋体"/>
          <w:color w:val="auto"/>
          <w:sz w:val="28"/>
          <w:szCs w:val="28"/>
          <w:highlight w:val="none"/>
        </w:rPr>
      </w:pPr>
      <w:r>
        <w:rPr>
          <w:rFonts w:ascii="宋体" w:hAnsi="宋体"/>
          <w:color w:val="auto"/>
          <w:sz w:val="28"/>
          <w:szCs w:val="28"/>
          <w:highlight w:val="none"/>
        </w:rPr>
      </w:r>
      <w:r/>
    </w:p>
    <w:p>
      <w:pPr>
        <w:ind w:left="5460" w:right="480" w:hanging="5460"/>
        <w:jc w:val="right"/>
        <w:spacing w:line="360" w:lineRule="auto"/>
        <w:rPr>
          <w:rFonts w:ascii="宋体" w:hAnsi="宋体"/>
          <w:bCs/>
          <w:color w:val="auto"/>
          <w:sz w:val="24"/>
          <w:highlight w:val="none"/>
          <w:lang w:val="zh-CN"/>
        </w:rPr>
      </w:pPr>
      <w:r>
        <w:rPr>
          <w:rFonts w:ascii="宋体" w:hAnsi="宋体"/>
          <w:bCs/>
          <w:color w:val="auto"/>
          <w:sz w:val="24"/>
          <w:highlight w:val="none"/>
        </w:rPr>
        <w:t xml:space="preserve">供应商（电子签章）：</w:t>
      </w:r>
      <w:r/>
    </w:p>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p>
      <w:pPr>
        <w:rPr>
          <w:rFonts w:ascii="宋体" w:hAnsi="宋体"/>
          <w:color w:val="auto"/>
          <w:sz w:val="28"/>
          <w:szCs w:val="28"/>
          <w:highlight w:val="none"/>
        </w:rPr>
      </w:pPr>
      <w:r>
        <w:rPr>
          <w:rFonts w:ascii="黑体" w:eastAsia="黑体"/>
          <w:bCs/>
          <w:color w:val="auto"/>
          <w:sz w:val="28"/>
          <w:szCs w:val="28"/>
          <w:highlight w:val="none"/>
        </w:rPr>
        <w:br w:type="page" w:clear="all"/>
      </w:r>
      <w:r>
        <w:rPr>
          <w:rFonts w:hint="eastAsia" w:ascii="黑体" w:eastAsia="黑体"/>
          <w:bCs/>
          <w:color w:val="auto"/>
          <w:sz w:val="28"/>
          <w:szCs w:val="28"/>
          <w:highlight w:val="none"/>
        </w:rPr>
        <w:t xml:space="preserve">  </w:t>
      </w:r>
      <w:r>
        <w:rPr>
          <w:rFonts w:ascii="黑体" w:hAnsi="宋体" w:eastAsia="黑体"/>
          <w:bCs/>
          <w:color w:val="auto"/>
          <w:sz w:val="24"/>
          <w:szCs w:val="24"/>
          <w:highlight w:val="none"/>
        </w:rPr>
        <w:t xml:space="preserve">2</w:t>
      </w:r>
      <w:r>
        <w:rPr>
          <w:rFonts w:hint="eastAsia" w:ascii="黑体" w:hAnsi="宋体" w:eastAsia="黑体"/>
          <w:bCs/>
          <w:color w:val="auto"/>
          <w:sz w:val="24"/>
          <w:szCs w:val="24"/>
          <w:highlight w:val="none"/>
        </w:rPr>
        <w:t xml:space="preserve">、明细报价表（格式）：</w:t>
      </w:r>
      <w:r/>
    </w:p>
    <w:p>
      <w:pPr>
        <w:ind w:firstLine="560"/>
        <w:jc w:val="center"/>
        <w:spacing w:before="156"/>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明细报价表 </w:t>
      </w:r>
      <w:r/>
    </w:p>
    <w:p>
      <w:pPr>
        <w:ind w:firstLine="240"/>
        <w:jc w:val="left"/>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val="en-US" w:eastAsia="zh-CN"/>
        </w:rPr>
        <w:t xml:space="preserve"> </w:t>
      </w:r>
      <w:r/>
    </w:p>
    <w:p>
      <w:pPr>
        <w:ind w:firstLine="240"/>
        <w:jc w:val="left"/>
        <w:spacing w:line="360" w:lineRule="auto"/>
        <w:rPr>
          <w:rFonts w:hint="eastAsia" w:ascii="宋体" w:hAnsi="宋体" w:eastAsia="宋体"/>
          <w:color w:val="auto"/>
          <w:sz w:val="28"/>
          <w:szCs w:val="28"/>
          <w:highlight w:val="none"/>
          <w:lang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val="en-US" w:eastAsia="zh-CN"/>
        </w:rPr>
        <w:t xml:space="preserve"> </w:t>
      </w:r>
      <w:r/>
    </w:p>
    <w:tbl>
      <w:tblPr>
        <w:tblStyle w:val="8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230"/>
        <w:gridCol w:w="1410"/>
        <w:gridCol w:w="1173"/>
        <w:gridCol w:w="6"/>
        <w:gridCol w:w="921"/>
        <w:gridCol w:w="558"/>
        <w:gridCol w:w="150"/>
        <w:gridCol w:w="851"/>
        <w:gridCol w:w="930"/>
        <w:gridCol w:w="771"/>
        <w:gridCol w:w="1030"/>
      </w:tblGrid>
      <w:tr>
        <w:trPr>
          <w:jc w:val="center"/>
          <w:trHeight w:val="771"/>
        </w:trPr>
        <w:tc>
          <w:tcPr>
            <w:tcW w:w="735"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序号</w:t>
            </w:r>
            <w:r/>
          </w:p>
        </w:tc>
        <w:tc>
          <w:tcPr>
            <w:tcW w:w="1230"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标的名称</w:t>
            </w:r>
            <w:r/>
          </w:p>
        </w:tc>
        <w:tc>
          <w:tcPr>
            <w:tcW w:w="1410"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型号或尺寸</w:t>
            </w:r>
            <w:r/>
          </w:p>
        </w:tc>
        <w:tc>
          <w:tcPr>
            <w:tcW w:w="1173"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生产厂家</w:t>
            </w:r>
            <w:r/>
          </w:p>
        </w:tc>
        <w:tc>
          <w:tcPr>
            <w:gridSpan w:val="2"/>
            <w:tcW w:w="927"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质保期</w:t>
            </w:r>
            <w:r/>
          </w:p>
        </w:tc>
        <w:tc>
          <w:tcPr>
            <w:gridSpan w:val="2"/>
            <w:tcW w:w="708"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数量</w:t>
            </w:r>
            <w:r/>
          </w:p>
        </w:tc>
        <w:tc>
          <w:tcPr>
            <w:tcW w:w="851" w:type="dxa"/>
            <w:vAlign w:val="center"/>
            <w:textDirection w:val="lrTb"/>
            <w:noWrap w:val="false"/>
          </w:tcPr>
          <w:p>
            <w:pPr>
              <w:jc w:val="center"/>
              <w:spacing w:before="5"/>
              <w:rPr>
                <w:color w:val="auto"/>
                <w:sz w:val="18"/>
                <w:szCs w:val="18"/>
                <w:highlight w:val="none"/>
              </w:rPr>
            </w:pPr>
            <w:r>
              <w:rPr>
                <w:rFonts w:hint="eastAsia"/>
                <w:color w:val="auto"/>
                <w:sz w:val="18"/>
                <w:szCs w:val="18"/>
                <w:highlight w:val="none"/>
              </w:rPr>
              <w:t xml:space="preserve">单价</w:t>
            </w:r>
            <w:r>
              <w:rPr>
                <w:rFonts w:hint="eastAsia" w:ascii="宋体" w:hAnsi="宋体"/>
                <w:color w:val="auto"/>
                <w:sz w:val="18"/>
                <w:szCs w:val="18"/>
                <w:highlight w:val="none"/>
              </w:rPr>
              <w:t xml:space="preserve">（元）</w:t>
            </w:r>
            <w:r/>
          </w:p>
        </w:tc>
        <w:tc>
          <w:tcPr>
            <w:gridSpan w:val="2"/>
            <w:tcW w:w="1701"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产品</w:t>
            </w:r>
            <w:r/>
          </w:p>
          <w:p>
            <w:pPr>
              <w:jc w:val="center"/>
              <w:spacing w:before="5"/>
              <w:rPr>
                <w:color w:val="auto"/>
                <w:sz w:val="18"/>
                <w:highlight w:val="none"/>
              </w:rPr>
            </w:pPr>
            <w:r>
              <w:rPr>
                <w:rFonts w:hint="eastAsia"/>
                <w:color w:val="auto"/>
                <w:sz w:val="18"/>
                <w:highlight w:val="none"/>
              </w:rPr>
              <w:t xml:space="preserve">类别</w:t>
            </w:r>
            <w:r/>
          </w:p>
        </w:tc>
        <w:tc>
          <w:tcPr>
            <w:tcW w:w="1030"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优先采购节能产品、环境标志产品</w:t>
            </w:r>
            <w:r/>
          </w:p>
        </w:tc>
      </w:tr>
      <w:tr>
        <w:trPr>
          <w:jc w:val="center"/>
          <w:trHeight w:val="330"/>
        </w:trPr>
        <w:tc>
          <w:tcPr>
            <w:tcW w:w="735"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1</w:t>
            </w:r>
            <w:r/>
          </w:p>
        </w:tc>
        <w:tc>
          <w:tcPr>
            <w:tcW w:w="1230" w:type="dxa"/>
            <w:vAlign w:val="center"/>
            <w:textDirection w:val="lrTb"/>
            <w:noWrap w:val="false"/>
          </w:tcPr>
          <w:p>
            <w:pPr>
              <w:pStyle w:val="1015"/>
              <w:jc w:val="center"/>
              <w:spacing w:line="240" w:lineRule="atLeast"/>
              <w:rPr>
                <w:rFonts w:ascii="Calibri" w:hAnsi="Calibri"/>
                <w:color w:val="auto"/>
                <w:sz w:val="18"/>
                <w:highlight w:val="none"/>
              </w:rPr>
            </w:pPr>
            <w:r>
              <w:rPr>
                <w:rFonts w:ascii="Calibri" w:hAnsi="Calibri"/>
                <w:color w:val="auto"/>
                <w:sz w:val="18"/>
                <w:highlight w:val="none"/>
              </w:rPr>
            </w:r>
            <w:r/>
          </w:p>
        </w:tc>
        <w:tc>
          <w:tcPr>
            <w:tcW w:w="1410" w:type="dxa"/>
            <w:vAlign w:val="center"/>
            <w:textDirection w:val="lrTb"/>
            <w:noWrap w:val="false"/>
          </w:tcPr>
          <w:p>
            <w:pPr>
              <w:jc w:val="center"/>
              <w:spacing w:before="5"/>
              <w:rPr>
                <w:color w:val="auto"/>
                <w:sz w:val="18"/>
                <w:highlight w:val="none"/>
              </w:rPr>
            </w:pPr>
            <w:r>
              <w:rPr>
                <w:color w:val="auto"/>
                <w:sz w:val="18"/>
                <w:highlight w:val="none"/>
              </w:rPr>
            </w:r>
            <w:r/>
          </w:p>
        </w:tc>
        <w:tc>
          <w:tcPr>
            <w:tcW w:w="1173" w:type="dxa"/>
            <w:vAlign w:val="center"/>
            <w:textDirection w:val="lrTb"/>
            <w:noWrap w:val="false"/>
          </w:tcPr>
          <w:p>
            <w:pPr>
              <w:jc w:val="center"/>
              <w:spacing w:before="5"/>
              <w:rPr>
                <w:color w:val="auto"/>
                <w:sz w:val="18"/>
                <w:highlight w:val="none"/>
              </w:rPr>
            </w:pPr>
            <w:r>
              <w:rPr>
                <w:color w:val="auto"/>
                <w:sz w:val="18"/>
                <w:highlight w:val="none"/>
              </w:rPr>
            </w:r>
            <w:r/>
          </w:p>
        </w:tc>
        <w:tc>
          <w:tcPr>
            <w:gridSpan w:val="2"/>
            <w:tcW w:w="927" w:type="dxa"/>
            <w:vAlign w:val="center"/>
            <w:textDirection w:val="lrTb"/>
            <w:noWrap w:val="false"/>
          </w:tcPr>
          <w:p>
            <w:pPr>
              <w:jc w:val="center"/>
              <w:spacing w:before="5"/>
              <w:rPr>
                <w:color w:val="auto"/>
                <w:sz w:val="18"/>
                <w:highlight w:val="none"/>
              </w:rPr>
            </w:pPr>
            <w:r>
              <w:rPr>
                <w:color w:val="auto"/>
                <w:sz w:val="18"/>
                <w:highlight w:val="none"/>
              </w:rPr>
            </w:r>
            <w:r/>
          </w:p>
        </w:tc>
        <w:tc>
          <w:tcPr>
            <w:gridSpan w:val="2"/>
            <w:tcW w:w="708" w:type="dxa"/>
            <w:vAlign w:val="center"/>
            <w:textDirection w:val="lrTb"/>
            <w:noWrap w:val="false"/>
          </w:tcPr>
          <w:p>
            <w:pPr>
              <w:jc w:val="center"/>
              <w:spacing w:before="5"/>
              <w:rPr>
                <w:color w:val="auto"/>
                <w:sz w:val="18"/>
                <w:highlight w:val="none"/>
              </w:rPr>
            </w:pPr>
            <w:r>
              <w:rPr>
                <w:color w:val="auto"/>
                <w:sz w:val="18"/>
                <w:highlight w:val="none"/>
              </w:rPr>
            </w:r>
            <w:r/>
          </w:p>
        </w:tc>
        <w:tc>
          <w:tcPr>
            <w:tcW w:w="851" w:type="dxa"/>
            <w:vAlign w:val="center"/>
            <w:textDirection w:val="lrTb"/>
            <w:noWrap w:val="false"/>
          </w:tcPr>
          <w:p>
            <w:pPr>
              <w:jc w:val="center"/>
              <w:spacing w:before="5"/>
              <w:rPr>
                <w:color w:val="auto"/>
                <w:sz w:val="18"/>
                <w:highlight w:val="none"/>
              </w:rPr>
            </w:pPr>
            <w:r>
              <w:rPr>
                <w:color w:val="auto"/>
                <w:sz w:val="18"/>
                <w:highlight w:val="none"/>
              </w:rPr>
            </w:r>
            <w:r/>
          </w:p>
        </w:tc>
        <w:tc>
          <w:tcPr>
            <w:gridSpan w:val="2"/>
            <w:tcW w:w="1701" w:type="dxa"/>
            <w:vAlign w:val="center"/>
            <w:textDirection w:val="lrTb"/>
            <w:noWrap w:val="false"/>
          </w:tcPr>
          <w:p>
            <w:pPr>
              <w:jc w:val="center"/>
              <w:spacing w:before="5"/>
              <w:rPr>
                <w:color w:val="auto"/>
                <w:sz w:val="18"/>
                <w:highlight w:val="none"/>
              </w:rPr>
            </w:pPr>
            <w:r>
              <w:rPr>
                <w:color w:val="auto"/>
                <w:sz w:val="18"/>
                <w:highlight w:val="none"/>
              </w:rPr>
            </w:r>
            <w:r/>
          </w:p>
        </w:tc>
        <w:tc>
          <w:tcPr>
            <w:tcW w:w="1030" w:type="dxa"/>
            <w:vAlign w:val="center"/>
            <w:textDirection w:val="lrTb"/>
            <w:noWrap w:val="false"/>
          </w:tcPr>
          <w:p>
            <w:pPr>
              <w:jc w:val="center"/>
              <w:spacing w:before="5"/>
              <w:rPr>
                <w:color w:val="auto"/>
                <w:sz w:val="18"/>
                <w:highlight w:val="none"/>
              </w:rPr>
            </w:pPr>
            <w:r>
              <w:rPr>
                <w:color w:val="auto"/>
                <w:sz w:val="18"/>
                <w:highlight w:val="none"/>
              </w:rPr>
            </w:r>
            <w:r/>
          </w:p>
        </w:tc>
      </w:tr>
      <w:tr>
        <w:trPr>
          <w:jc w:val="center"/>
          <w:trHeight w:val="349"/>
        </w:trPr>
        <w:tc>
          <w:tcPr>
            <w:tcW w:w="735"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2</w:t>
            </w:r>
            <w:r/>
          </w:p>
        </w:tc>
        <w:tc>
          <w:tcPr>
            <w:tcW w:w="1230" w:type="dxa"/>
            <w:vAlign w:val="center"/>
            <w:textDirection w:val="lrTb"/>
            <w:noWrap w:val="false"/>
          </w:tcPr>
          <w:p>
            <w:pPr>
              <w:pStyle w:val="1015"/>
              <w:jc w:val="center"/>
              <w:spacing w:line="240" w:lineRule="atLeast"/>
              <w:rPr>
                <w:rFonts w:ascii="Calibri" w:hAnsi="Calibri"/>
                <w:color w:val="auto"/>
                <w:sz w:val="18"/>
                <w:highlight w:val="none"/>
              </w:rPr>
            </w:pPr>
            <w:r>
              <w:rPr>
                <w:rFonts w:ascii="Calibri" w:hAnsi="Calibri"/>
                <w:color w:val="auto"/>
                <w:sz w:val="18"/>
                <w:highlight w:val="none"/>
              </w:rPr>
            </w:r>
            <w:r/>
          </w:p>
        </w:tc>
        <w:tc>
          <w:tcPr>
            <w:tcW w:w="1410" w:type="dxa"/>
            <w:vAlign w:val="center"/>
            <w:textDirection w:val="lrTb"/>
            <w:noWrap w:val="false"/>
          </w:tcPr>
          <w:p>
            <w:pPr>
              <w:jc w:val="center"/>
              <w:spacing w:before="5"/>
              <w:rPr>
                <w:color w:val="auto"/>
                <w:sz w:val="18"/>
                <w:highlight w:val="none"/>
              </w:rPr>
            </w:pPr>
            <w:r>
              <w:rPr>
                <w:color w:val="auto"/>
                <w:sz w:val="18"/>
                <w:highlight w:val="none"/>
              </w:rPr>
            </w:r>
            <w:r/>
          </w:p>
        </w:tc>
        <w:tc>
          <w:tcPr>
            <w:tcW w:w="1173" w:type="dxa"/>
            <w:vAlign w:val="center"/>
            <w:textDirection w:val="lrTb"/>
            <w:noWrap w:val="false"/>
          </w:tcPr>
          <w:p>
            <w:pPr>
              <w:jc w:val="center"/>
              <w:spacing w:before="5"/>
              <w:rPr>
                <w:color w:val="auto"/>
                <w:sz w:val="18"/>
                <w:highlight w:val="none"/>
              </w:rPr>
            </w:pPr>
            <w:r>
              <w:rPr>
                <w:color w:val="auto"/>
                <w:sz w:val="18"/>
                <w:highlight w:val="none"/>
              </w:rPr>
            </w:r>
            <w:r/>
          </w:p>
        </w:tc>
        <w:tc>
          <w:tcPr>
            <w:gridSpan w:val="2"/>
            <w:tcW w:w="927" w:type="dxa"/>
            <w:vAlign w:val="center"/>
            <w:textDirection w:val="lrTb"/>
            <w:noWrap w:val="false"/>
          </w:tcPr>
          <w:p>
            <w:pPr>
              <w:jc w:val="center"/>
              <w:spacing w:before="5"/>
              <w:rPr>
                <w:color w:val="auto"/>
                <w:sz w:val="18"/>
                <w:highlight w:val="none"/>
              </w:rPr>
            </w:pPr>
            <w:r>
              <w:rPr>
                <w:color w:val="auto"/>
                <w:sz w:val="18"/>
                <w:highlight w:val="none"/>
              </w:rPr>
            </w:r>
            <w:r/>
          </w:p>
        </w:tc>
        <w:tc>
          <w:tcPr>
            <w:gridSpan w:val="2"/>
            <w:tcW w:w="708" w:type="dxa"/>
            <w:vAlign w:val="center"/>
            <w:textDirection w:val="lrTb"/>
            <w:noWrap w:val="false"/>
          </w:tcPr>
          <w:p>
            <w:pPr>
              <w:jc w:val="center"/>
              <w:spacing w:before="5"/>
              <w:rPr>
                <w:color w:val="auto"/>
                <w:sz w:val="18"/>
                <w:highlight w:val="none"/>
              </w:rPr>
            </w:pPr>
            <w:r>
              <w:rPr>
                <w:color w:val="auto"/>
                <w:sz w:val="18"/>
                <w:highlight w:val="none"/>
              </w:rPr>
            </w:r>
            <w:r/>
          </w:p>
        </w:tc>
        <w:tc>
          <w:tcPr>
            <w:tcW w:w="851" w:type="dxa"/>
            <w:vAlign w:val="center"/>
            <w:textDirection w:val="lrTb"/>
            <w:noWrap w:val="false"/>
          </w:tcPr>
          <w:p>
            <w:pPr>
              <w:jc w:val="center"/>
              <w:spacing w:before="5"/>
              <w:rPr>
                <w:color w:val="auto"/>
                <w:sz w:val="18"/>
                <w:highlight w:val="none"/>
              </w:rPr>
            </w:pPr>
            <w:r>
              <w:rPr>
                <w:color w:val="auto"/>
                <w:sz w:val="18"/>
                <w:highlight w:val="none"/>
              </w:rPr>
            </w:r>
            <w:r/>
          </w:p>
        </w:tc>
        <w:tc>
          <w:tcPr>
            <w:gridSpan w:val="2"/>
            <w:tcW w:w="1701" w:type="dxa"/>
            <w:vAlign w:val="center"/>
            <w:textDirection w:val="lrTb"/>
            <w:noWrap w:val="false"/>
          </w:tcPr>
          <w:p>
            <w:pPr>
              <w:jc w:val="center"/>
              <w:spacing w:before="5"/>
              <w:rPr>
                <w:color w:val="auto"/>
                <w:sz w:val="18"/>
                <w:highlight w:val="none"/>
              </w:rPr>
            </w:pPr>
            <w:r>
              <w:rPr>
                <w:color w:val="auto"/>
                <w:sz w:val="18"/>
                <w:highlight w:val="none"/>
              </w:rPr>
            </w:r>
            <w:r/>
          </w:p>
        </w:tc>
        <w:tc>
          <w:tcPr>
            <w:tcW w:w="1030" w:type="dxa"/>
            <w:vAlign w:val="center"/>
            <w:textDirection w:val="lrTb"/>
            <w:noWrap w:val="false"/>
          </w:tcPr>
          <w:p>
            <w:pPr>
              <w:jc w:val="center"/>
              <w:spacing w:before="5"/>
              <w:rPr>
                <w:color w:val="auto"/>
                <w:sz w:val="18"/>
                <w:highlight w:val="none"/>
              </w:rPr>
            </w:pPr>
            <w:r>
              <w:rPr>
                <w:color w:val="auto"/>
                <w:sz w:val="18"/>
                <w:highlight w:val="none"/>
              </w:rPr>
            </w:r>
            <w:r/>
          </w:p>
        </w:tc>
      </w:tr>
      <w:tr>
        <w:trPr>
          <w:jc w:val="center"/>
          <w:trHeight w:val="330"/>
        </w:trPr>
        <w:tc>
          <w:tcPr>
            <w:tcW w:w="735"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w:t>
            </w:r>
            <w:r/>
          </w:p>
        </w:tc>
        <w:tc>
          <w:tcPr>
            <w:tcW w:w="1230" w:type="dxa"/>
            <w:vAlign w:val="center"/>
            <w:textDirection w:val="lrTb"/>
            <w:noWrap w:val="false"/>
          </w:tcPr>
          <w:p>
            <w:pPr>
              <w:pStyle w:val="1015"/>
              <w:jc w:val="center"/>
              <w:spacing w:line="240" w:lineRule="atLeast"/>
              <w:rPr>
                <w:rFonts w:ascii="Calibri" w:hAnsi="Calibri"/>
                <w:color w:val="auto"/>
                <w:sz w:val="18"/>
                <w:highlight w:val="none"/>
              </w:rPr>
            </w:pPr>
            <w:r>
              <w:rPr>
                <w:rFonts w:ascii="Calibri" w:hAnsi="Calibri"/>
                <w:color w:val="auto"/>
                <w:sz w:val="18"/>
                <w:highlight w:val="none"/>
              </w:rPr>
            </w:r>
            <w:r/>
          </w:p>
        </w:tc>
        <w:tc>
          <w:tcPr>
            <w:tcW w:w="1410" w:type="dxa"/>
            <w:vAlign w:val="center"/>
            <w:textDirection w:val="lrTb"/>
            <w:noWrap w:val="false"/>
          </w:tcPr>
          <w:p>
            <w:pPr>
              <w:jc w:val="center"/>
              <w:spacing w:before="5"/>
              <w:rPr>
                <w:color w:val="auto"/>
                <w:sz w:val="18"/>
                <w:highlight w:val="none"/>
              </w:rPr>
            </w:pPr>
            <w:r>
              <w:rPr>
                <w:color w:val="auto"/>
                <w:sz w:val="18"/>
                <w:highlight w:val="none"/>
              </w:rPr>
            </w:r>
            <w:r/>
          </w:p>
        </w:tc>
        <w:tc>
          <w:tcPr>
            <w:tcW w:w="1173" w:type="dxa"/>
            <w:vAlign w:val="center"/>
            <w:textDirection w:val="lrTb"/>
            <w:noWrap w:val="false"/>
          </w:tcPr>
          <w:p>
            <w:pPr>
              <w:jc w:val="center"/>
              <w:spacing w:before="5"/>
              <w:rPr>
                <w:color w:val="auto"/>
                <w:sz w:val="18"/>
                <w:highlight w:val="none"/>
              </w:rPr>
            </w:pPr>
            <w:r>
              <w:rPr>
                <w:color w:val="auto"/>
                <w:sz w:val="18"/>
                <w:highlight w:val="none"/>
              </w:rPr>
            </w:r>
            <w:r/>
          </w:p>
        </w:tc>
        <w:tc>
          <w:tcPr>
            <w:gridSpan w:val="2"/>
            <w:tcW w:w="927" w:type="dxa"/>
            <w:vAlign w:val="center"/>
            <w:textDirection w:val="lrTb"/>
            <w:noWrap w:val="false"/>
          </w:tcPr>
          <w:p>
            <w:pPr>
              <w:jc w:val="center"/>
              <w:spacing w:before="5"/>
              <w:rPr>
                <w:color w:val="auto"/>
                <w:sz w:val="18"/>
                <w:highlight w:val="none"/>
              </w:rPr>
            </w:pPr>
            <w:r>
              <w:rPr>
                <w:color w:val="auto"/>
                <w:sz w:val="18"/>
                <w:highlight w:val="none"/>
              </w:rPr>
            </w:r>
            <w:r/>
          </w:p>
        </w:tc>
        <w:tc>
          <w:tcPr>
            <w:gridSpan w:val="2"/>
            <w:tcW w:w="708" w:type="dxa"/>
            <w:vAlign w:val="center"/>
            <w:textDirection w:val="lrTb"/>
            <w:noWrap w:val="false"/>
          </w:tcPr>
          <w:p>
            <w:pPr>
              <w:jc w:val="center"/>
              <w:spacing w:before="5"/>
              <w:rPr>
                <w:color w:val="auto"/>
                <w:sz w:val="18"/>
                <w:highlight w:val="none"/>
              </w:rPr>
            </w:pPr>
            <w:r>
              <w:rPr>
                <w:color w:val="auto"/>
                <w:sz w:val="18"/>
                <w:highlight w:val="none"/>
              </w:rPr>
            </w:r>
            <w:r/>
          </w:p>
        </w:tc>
        <w:tc>
          <w:tcPr>
            <w:tcW w:w="851" w:type="dxa"/>
            <w:vAlign w:val="center"/>
            <w:textDirection w:val="lrTb"/>
            <w:noWrap w:val="false"/>
          </w:tcPr>
          <w:p>
            <w:pPr>
              <w:jc w:val="center"/>
              <w:spacing w:before="5"/>
              <w:rPr>
                <w:color w:val="auto"/>
                <w:sz w:val="18"/>
                <w:highlight w:val="none"/>
              </w:rPr>
            </w:pPr>
            <w:r>
              <w:rPr>
                <w:color w:val="auto"/>
                <w:sz w:val="18"/>
                <w:highlight w:val="none"/>
              </w:rPr>
            </w:r>
            <w:r/>
          </w:p>
        </w:tc>
        <w:tc>
          <w:tcPr>
            <w:gridSpan w:val="2"/>
            <w:tcW w:w="1701" w:type="dxa"/>
            <w:vAlign w:val="center"/>
            <w:textDirection w:val="lrTb"/>
            <w:noWrap w:val="false"/>
          </w:tcPr>
          <w:p>
            <w:pPr>
              <w:jc w:val="center"/>
              <w:spacing w:before="5"/>
              <w:rPr>
                <w:color w:val="auto"/>
                <w:sz w:val="18"/>
                <w:highlight w:val="none"/>
              </w:rPr>
            </w:pPr>
            <w:r>
              <w:rPr>
                <w:color w:val="auto"/>
                <w:sz w:val="18"/>
                <w:highlight w:val="none"/>
              </w:rPr>
            </w:r>
            <w:r/>
          </w:p>
        </w:tc>
        <w:tc>
          <w:tcPr>
            <w:tcW w:w="1030" w:type="dxa"/>
            <w:vAlign w:val="center"/>
            <w:textDirection w:val="lrTb"/>
            <w:noWrap w:val="false"/>
          </w:tcPr>
          <w:p>
            <w:pPr>
              <w:jc w:val="center"/>
              <w:spacing w:before="5"/>
              <w:rPr>
                <w:color w:val="auto"/>
                <w:sz w:val="18"/>
                <w:highlight w:val="none"/>
              </w:rPr>
            </w:pPr>
            <w:r>
              <w:rPr>
                <w:color w:val="auto"/>
                <w:sz w:val="18"/>
                <w:highlight w:val="none"/>
              </w:rPr>
            </w:r>
            <w:r/>
          </w:p>
        </w:tc>
      </w:tr>
      <w:tr>
        <w:trPr>
          <w:jc w:val="center"/>
          <w:trHeight w:val="330"/>
        </w:trPr>
        <w:tc>
          <w:tcPr>
            <w:tcW w:w="735" w:type="dxa"/>
            <w:vAlign w:val="center"/>
            <w:textDirection w:val="lrTb"/>
            <w:noWrap w:val="false"/>
          </w:tcPr>
          <w:p>
            <w:pPr>
              <w:jc w:val="center"/>
              <w:spacing w:before="5"/>
              <w:rPr>
                <w:color w:val="auto"/>
                <w:sz w:val="18"/>
                <w:highlight w:val="none"/>
              </w:rPr>
            </w:pPr>
            <w:r>
              <w:rPr>
                <w:color w:val="auto"/>
                <w:sz w:val="18"/>
                <w:highlight w:val="none"/>
              </w:rPr>
            </w:r>
            <w:r/>
          </w:p>
        </w:tc>
        <w:tc>
          <w:tcPr>
            <w:tcW w:w="1230" w:type="dxa"/>
            <w:vAlign w:val="center"/>
            <w:textDirection w:val="lrTb"/>
            <w:noWrap w:val="false"/>
          </w:tcPr>
          <w:p>
            <w:pPr>
              <w:pStyle w:val="1015"/>
              <w:jc w:val="center"/>
              <w:spacing w:line="240" w:lineRule="atLeast"/>
              <w:rPr>
                <w:rFonts w:ascii="Calibri" w:hAnsi="Calibri"/>
                <w:color w:val="auto"/>
                <w:sz w:val="18"/>
                <w:highlight w:val="none"/>
              </w:rPr>
            </w:pPr>
            <w:r>
              <w:rPr>
                <w:rFonts w:ascii="Calibri" w:hAnsi="Calibri"/>
                <w:color w:val="auto"/>
                <w:sz w:val="18"/>
                <w:highlight w:val="none"/>
              </w:rPr>
            </w:r>
            <w:r/>
          </w:p>
        </w:tc>
        <w:tc>
          <w:tcPr>
            <w:tcW w:w="1410" w:type="dxa"/>
            <w:vAlign w:val="center"/>
            <w:textDirection w:val="lrTb"/>
            <w:noWrap w:val="false"/>
          </w:tcPr>
          <w:p>
            <w:pPr>
              <w:jc w:val="center"/>
              <w:spacing w:before="5"/>
              <w:rPr>
                <w:color w:val="auto"/>
                <w:sz w:val="18"/>
                <w:highlight w:val="none"/>
              </w:rPr>
            </w:pPr>
            <w:r>
              <w:rPr>
                <w:color w:val="auto"/>
                <w:sz w:val="18"/>
                <w:highlight w:val="none"/>
              </w:rPr>
            </w:r>
            <w:r/>
          </w:p>
        </w:tc>
        <w:tc>
          <w:tcPr>
            <w:tcW w:w="1173" w:type="dxa"/>
            <w:vAlign w:val="center"/>
            <w:textDirection w:val="lrTb"/>
            <w:noWrap w:val="false"/>
          </w:tcPr>
          <w:p>
            <w:pPr>
              <w:jc w:val="center"/>
              <w:spacing w:before="5"/>
              <w:rPr>
                <w:color w:val="auto"/>
                <w:sz w:val="18"/>
                <w:highlight w:val="none"/>
              </w:rPr>
            </w:pPr>
            <w:r>
              <w:rPr>
                <w:color w:val="auto"/>
                <w:sz w:val="18"/>
                <w:highlight w:val="none"/>
              </w:rPr>
            </w:r>
            <w:r/>
          </w:p>
        </w:tc>
        <w:tc>
          <w:tcPr>
            <w:gridSpan w:val="2"/>
            <w:tcW w:w="927" w:type="dxa"/>
            <w:vAlign w:val="center"/>
            <w:textDirection w:val="lrTb"/>
            <w:noWrap w:val="false"/>
          </w:tcPr>
          <w:p>
            <w:pPr>
              <w:jc w:val="center"/>
              <w:spacing w:before="5"/>
              <w:rPr>
                <w:color w:val="auto"/>
                <w:sz w:val="18"/>
                <w:highlight w:val="none"/>
              </w:rPr>
            </w:pPr>
            <w:r>
              <w:rPr>
                <w:color w:val="auto"/>
                <w:sz w:val="18"/>
                <w:highlight w:val="none"/>
              </w:rPr>
            </w:r>
            <w:r/>
          </w:p>
        </w:tc>
        <w:tc>
          <w:tcPr>
            <w:gridSpan w:val="2"/>
            <w:tcW w:w="708" w:type="dxa"/>
            <w:vAlign w:val="center"/>
            <w:textDirection w:val="lrTb"/>
            <w:noWrap w:val="false"/>
          </w:tcPr>
          <w:p>
            <w:pPr>
              <w:jc w:val="center"/>
              <w:spacing w:before="5"/>
              <w:rPr>
                <w:color w:val="auto"/>
                <w:sz w:val="18"/>
                <w:highlight w:val="none"/>
              </w:rPr>
            </w:pPr>
            <w:r>
              <w:rPr>
                <w:color w:val="auto"/>
                <w:sz w:val="18"/>
                <w:highlight w:val="none"/>
              </w:rPr>
            </w:r>
            <w:r/>
          </w:p>
        </w:tc>
        <w:tc>
          <w:tcPr>
            <w:tcW w:w="851" w:type="dxa"/>
            <w:vAlign w:val="center"/>
            <w:textDirection w:val="lrTb"/>
            <w:noWrap w:val="false"/>
          </w:tcPr>
          <w:p>
            <w:pPr>
              <w:jc w:val="center"/>
              <w:spacing w:before="5"/>
              <w:rPr>
                <w:color w:val="auto"/>
                <w:sz w:val="18"/>
                <w:highlight w:val="none"/>
              </w:rPr>
            </w:pPr>
            <w:r>
              <w:rPr>
                <w:color w:val="auto"/>
                <w:sz w:val="18"/>
                <w:highlight w:val="none"/>
              </w:rPr>
            </w:r>
            <w:r/>
          </w:p>
        </w:tc>
        <w:tc>
          <w:tcPr>
            <w:gridSpan w:val="2"/>
            <w:tcW w:w="1701" w:type="dxa"/>
            <w:vAlign w:val="center"/>
            <w:textDirection w:val="lrTb"/>
            <w:noWrap w:val="false"/>
          </w:tcPr>
          <w:p>
            <w:pPr>
              <w:jc w:val="center"/>
              <w:spacing w:before="5"/>
              <w:rPr>
                <w:color w:val="auto"/>
                <w:sz w:val="18"/>
                <w:highlight w:val="none"/>
              </w:rPr>
            </w:pPr>
            <w:r>
              <w:rPr>
                <w:color w:val="auto"/>
                <w:sz w:val="18"/>
                <w:highlight w:val="none"/>
              </w:rPr>
            </w:r>
            <w:r/>
          </w:p>
        </w:tc>
        <w:tc>
          <w:tcPr>
            <w:tcW w:w="1030" w:type="dxa"/>
            <w:vAlign w:val="center"/>
            <w:textDirection w:val="lrTb"/>
            <w:noWrap w:val="false"/>
          </w:tcPr>
          <w:p>
            <w:pPr>
              <w:jc w:val="center"/>
              <w:spacing w:before="5"/>
              <w:rPr>
                <w:color w:val="auto"/>
                <w:sz w:val="18"/>
                <w:highlight w:val="none"/>
              </w:rPr>
            </w:pPr>
            <w:r>
              <w:rPr>
                <w:color w:val="auto"/>
                <w:sz w:val="18"/>
                <w:highlight w:val="none"/>
              </w:rPr>
            </w:r>
            <w:r/>
          </w:p>
        </w:tc>
      </w:tr>
      <w:tr>
        <w:trPr>
          <w:jc w:val="center"/>
          <w:trHeight w:val="330"/>
        </w:trPr>
        <w:tc>
          <w:tcPr>
            <w:tcW w:w="735" w:type="dxa"/>
            <w:vAlign w:val="center"/>
            <w:textDirection w:val="lrTb"/>
            <w:noWrap w:val="false"/>
          </w:tcPr>
          <w:p>
            <w:pPr>
              <w:jc w:val="center"/>
              <w:spacing w:before="5"/>
              <w:rPr>
                <w:color w:val="auto"/>
                <w:sz w:val="18"/>
                <w:highlight w:val="none"/>
              </w:rPr>
            </w:pPr>
            <w:r>
              <w:rPr>
                <w:color w:val="auto"/>
                <w:sz w:val="18"/>
                <w:highlight w:val="none"/>
              </w:rPr>
            </w:r>
            <w:r/>
          </w:p>
        </w:tc>
        <w:tc>
          <w:tcPr>
            <w:tcW w:w="1230" w:type="dxa"/>
            <w:vAlign w:val="center"/>
            <w:textDirection w:val="lrTb"/>
            <w:noWrap w:val="false"/>
          </w:tcPr>
          <w:p>
            <w:pPr>
              <w:pStyle w:val="1015"/>
              <w:jc w:val="center"/>
              <w:spacing w:line="240" w:lineRule="atLeast"/>
              <w:rPr>
                <w:rFonts w:ascii="Calibri" w:hAnsi="Calibri"/>
                <w:color w:val="auto"/>
                <w:sz w:val="18"/>
                <w:highlight w:val="none"/>
              </w:rPr>
            </w:pPr>
            <w:r>
              <w:rPr>
                <w:rFonts w:ascii="Calibri" w:hAnsi="Calibri"/>
                <w:color w:val="auto"/>
                <w:sz w:val="18"/>
                <w:highlight w:val="none"/>
              </w:rPr>
            </w:r>
            <w:r/>
          </w:p>
        </w:tc>
        <w:tc>
          <w:tcPr>
            <w:tcW w:w="1410" w:type="dxa"/>
            <w:vAlign w:val="center"/>
            <w:textDirection w:val="lrTb"/>
            <w:noWrap w:val="false"/>
          </w:tcPr>
          <w:p>
            <w:pPr>
              <w:jc w:val="center"/>
              <w:spacing w:before="5"/>
              <w:rPr>
                <w:color w:val="auto"/>
                <w:sz w:val="18"/>
                <w:highlight w:val="none"/>
              </w:rPr>
            </w:pPr>
            <w:r>
              <w:rPr>
                <w:color w:val="auto"/>
                <w:sz w:val="18"/>
                <w:highlight w:val="none"/>
              </w:rPr>
            </w:r>
            <w:r/>
          </w:p>
        </w:tc>
        <w:tc>
          <w:tcPr>
            <w:tcW w:w="1173" w:type="dxa"/>
            <w:vAlign w:val="center"/>
            <w:textDirection w:val="lrTb"/>
            <w:noWrap w:val="false"/>
          </w:tcPr>
          <w:p>
            <w:pPr>
              <w:jc w:val="center"/>
              <w:spacing w:before="5"/>
              <w:rPr>
                <w:color w:val="auto"/>
                <w:sz w:val="18"/>
                <w:highlight w:val="none"/>
              </w:rPr>
            </w:pPr>
            <w:r>
              <w:rPr>
                <w:color w:val="auto"/>
                <w:sz w:val="18"/>
                <w:highlight w:val="none"/>
              </w:rPr>
            </w:r>
            <w:r/>
          </w:p>
        </w:tc>
        <w:tc>
          <w:tcPr>
            <w:gridSpan w:val="2"/>
            <w:tcW w:w="927" w:type="dxa"/>
            <w:vAlign w:val="center"/>
            <w:textDirection w:val="lrTb"/>
            <w:noWrap w:val="false"/>
          </w:tcPr>
          <w:p>
            <w:pPr>
              <w:jc w:val="center"/>
              <w:spacing w:before="5"/>
              <w:rPr>
                <w:color w:val="auto"/>
                <w:sz w:val="18"/>
                <w:highlight w:val="none"/>
              </w:rPr>
            </w:pPr>
            <w:r>
              <w:rPr>
                <w:color w:val="auto"/>
                <w:sz w:val="18"/>
                <w:highlight w:val="none"/>
              </w:rPr>
            </w:r>
            <w:r/>
          </w:p>
        </w:tc>
        <w:tc>
          <w:tcPr>
            <w:gridSpan w:val="2"/>
            <w:tcW w:w="708" w:type="dxa"/>
            <w:vAlign w:val="center"/>
            <w:textDirection w:val="lrTb"/>
            <w:noWrap w:val="false"/>
          </w:tcPr>
          <w:p>
            <w:pPr>
              <w:jc w:val="center"/>
              <w:spacing w:before="5"/>
              <w:rPr>
                <w:color w:val="auto"/>
                <w:sz w:val="18"/>
                <w:highlight w:val="none"/>
              </w:rPr>
            </w:pPr>
            <w:r>
              <w:rPr>
                <w:color w:val="auto"/>
                <w:sz w:val="18"/>
                <w:highlight w:val="none"/>
              </w:rPr>
            </w:r>
            <w:r/>
          </w:p>
        </w:tc>
        <w:tc>
          <w:tcPr>
            <w:tcW w:w="851" w:type="dxa"/>
            <w:vAlign w:val="center"/>
            <w:textDirection w:val="lrTb"/>
            <w:noWrap w:val="false"/>
          </w:tcPr>
          <w:p>
            <w:pPr>
              <w:jc w:val="center"/>
              <w:spacing w:before="5"/>
              <w:rPr>
                <w:color w:val="auto"/>
                <w:sz w:val="18"/>
                <w:highlight w:val="none"/>
              </w:rPr>
            </w:pPr>
            <w:r>
              <w:rPr>
                <w:color w:val="auto"/>
                <w:sz w:val="18"/>
                <w:highlight w:val="none"/>
              </w:rPr>
            </w:r>
            <w:r/>
          </w:p>
        </w:tc>
        <w:tc>
          <w:tcPr>
            <w:gridSpan w:val="2"/>
            <w:tcW w:w="1701" w:type="dxa"/>
            <w:vAlign w:val="center"/>
            <w:textDirection w:val="lrTb"/>
            <w:noWrap w:val="false"/>
          </w:tcPr>
          <w:p>
            <w:pPr>
              <w:jc w:val="center"/>
              <w:spacing w:before="5"/>
              <w:rPr>
                <w:color w:val="auto"/>
                <w:sz w:val="18"/>
                <w:highlight w:val="none"/>
              </w:rPr>
            </w:pPr>
            <w:r>
              <w:rPr>
                <w:color w:val="auto"/>
                <w:sz w:val="18"/>
                <w:highlight w:val="none"/>
              </w:rPr>
            </w:r>
            <w:r/>
          </w:p>
        </w:tc>
        <w:tc>
          <w:tcPr>
            <w:tcW w:w="1030" w:type="dxa"/>
            <w:vAlign w:val="center"/>
            <w:textDirection w:val="lrTb"/>
            <w:noWrap w:val="false"/>
          </w:tcPr>
          <w:p>
            <w:pPr>
              <w:jc w:val="center"/>
              <w:spacing w:before="5"/>
              <w:rPr>
                <w:color w:val="auto"/>
                <w:sz w:val="18"/>
                <w:highlight w:val="none"/>
              </w:rPr>
            </w:pPr>
            <w:r>
              <w:rPr>
                <w:color w:val="auto"/>
                <w:sz w:val="18"/>
                <w:highlight w:val="none"/>
              </w:rPr>
            </w:r>
            <w:r/>
          </w:p>
        </w:tc>
      </w:tr>
      <w:tr>
        <w:trPr>
          <w:jc w:val="center"/>
          <w:trHeight w:val="330"/>
        </w:trPr>
        <w:tc>
          <w:tcPr>
            <w:tcW w:w="735" w:type="dxa"/>
            <w:vAlign w:val="center"/>
            <w:textDirection w:val="lrTb"/>
            <w:noWrap w:val="false"/>
          </w:tcPr>
          <w:p>
            <w:pPr>
              <w:jc w:val="center"/>
              <w:spacing w:before="5"/>
              <w:rPr>
                <w:color w:val="auto"/>
                <w:sz w:val="18"/>
                <w:highlight w:val="none"/>
              </w:rPr>
            </w:pPr>
            <w:r>
              <w:rPr>
                <w:color w:val="auto"/>
                <w:sz w:val="18"/>
                <w:highlight w:val="none"/>
              </w:rPr>
            </w:r>
            <w:r/>
          </w:p>
        </w:tc>
        <w:tc>
          <w:tcPr>
            <w:tcW w:w="1230" w:type="dxa"/>
            <w:vAlign w:val="center"/>
            <w:textDirection w:val="lrTb"/>
            <w:noWrap w:val="false"/>
          </w:tcPr>
          <w:p>
            <w:pPr>
              <w:pStyle w:val="1015"/>
              <w:jc w:val="center"/>
              <w:spacing w:line="240" w:lineRule="atLeast"/>
              <w:rPr>
                <w:rFonts w:ascii="Calibri" w:hAnsi="Calibri"/>
                <w:color w:val="auto"/>
                <w:sz w:val="18"/>
                <w:highlight w:val="none"/>
              </w:rPr>
            </w:pPr>
            <w:r>
              <w:rPr>
                <w:rFonts w:ascii="Calibri" w:hAnsi="Calibri"/>
                <w:color w:val="auto"/>
                <w:sz w:val="18"/>
                <w:highlight w:val="none"/>
              </w:rPr>
            </w:r>
            <w:r/>
          </w:p>
        </w:tc>
        <w:tc>
          <w:tcPr>
            <w:tcW w:w="1410" w:type="dxa"/>
            <w:vAlign w:val="center"/>
            <w:textDirection w:val="lrTb"/>
            <w:noWrap w:val="false"/>
          </w:tcPr>
          <w:p>
            <w:pPr>
              <w:jc w:val="center"/>
              <w:spacing w:before="5"/>
              <w:rPr>
                <w:color w:val="auto"/>
                <w:sz w:val="18"/>
                <w:highlight w:val="none"/>
              </w:rPr>
            </w:pPr>
            <w:r>
              <w:rPr>
                <w:color w:val="auto"/>
                <w:sz w:val="18"/>
                <w:highlight w:val="none"/>
              </w:rPr>
            </w:r>
            <w:r/>
          </w:p>
        </w:tc>
        <w:tc>
          <w:tcPr>
            <w:tcW w:w="1173" w:type="dxa"/>
            <w:vAlign w:val="center"/>
            <w:textDirection w:val="lrTb"/>
            <w:noWrap w:val="false"/>
          </w:tcPr>
          <w:p>
            <w:pPr>
              <w:jc w:val="center"/>
              <w:spacing w:before="5"/>
              <w:rPr>
                <w:color w:val="auto"/>
                <w:sz w:val="18"/>
                <w:highlight w:val="none"/>
              </w:rPr>
            </w:pPr>
            <w:r>
              <w:rPr>
                <w:color w:val="auto"/>
                <w:sz w:val="18"/>
                <w:highlight w:val="none"/>
              </w:rPr>
            </w:r>
            <w:r/>
          </w:p>
        </w:tc>
        <w:tc>
          <w:tcPr>
            <w:gridSpan w:val="2"/>
            <w:tcW w:w="927" w:type="dxa"/>
            <w:vAlign w:val="center"/>
            <w:textDirection w:val="lrTb"/>
            <w:noWrap w:val="false"/>
          </w:tcPr>
          <w:p>
            <w:pPr>
              <w:jc w:val="center"/>
              <w:spacing w:before="5"/>
              <w:rPr>
                <w:color w:val="auto"/>
                <w:sz w:val="18"/>
                <w:highlight w:val="none"/>
              </w:rPr>
            </w:pPr>
            <w:r>
              <w:rPr>
                <w:color w:val="auto"/>
                <w:sz w:val="18"/>
                <w:highlight w:val="none"/>
              </w:rPr>
            </w:r>
            <w:r/>
          </w:p>
        </w:tc>
        <w:tc>
          <w:tcPr>
            <w:gridSpan w:val="2"/>
            <w:tcW w:w="708" w:type="dxa"/>
            <w:vAlign w:val="center"/>
            <w:textDirection w:val="lrTb"/>
            <w:noWrap w:val="false"/>
          </w:tcPr>
          <w:p>
            <w:pPr>
              <w:jc w:val="center"/>
              <w:spacing w:before="5"/>
              <w:rPr>
                <w:color w:val="auto"/>
                <w:sz w:val="18"/>
                <w:highlight w:val="none"/>
              </w:rPr>
            </w:pPr>
            <w:r>
              <w:rPr>
                <w:color w:val="auto"/>
                <w:sz w:val="18"/>
                <w:highlight w:val="none"/>
              </w:rPr>
            </w:r>
            <w:r/>
          </w:p>
        </w:tc>
        <w:tc>
          <w:tcPr>
            <w:tcW w:w="851" w:type="dxa"/>
            <w:vAlign w:val="center"/>
            <w:textDirection w:val="lrTb"/>
            <w:noWrap w:val="false"/>
          </w:tcPr>
          <w:p>
            <w:pPr>
              <w:jc w:val="center"/>
              <w:spacing w:before="5"/>
              <w:rPr>
                <w:color w:val="auto"/>
                <w:sz w:val="18"/>
                <w:highlight w:val="none"/>
              </w:rPr>
            </w:pPr>
            <w:r>
              <w:rPr>
                <w:color w:val="auto"/>
                <w:sz w:val="18"/>
                <w:highlight w:val="none"/>
              </w:rPr>
            </w:r>
            <w:r/>
          </w:p>
        </w:tc>
        <w:tc>
          <w:tcPr>
            <w:gridSpan w:val="2"/>
            <w:tcW w:w="1701" w:type="dxa"/>
            <w:vAlign w:val="center"/>
            <w:textDirection w:val="lrTb"/>
            <w:noWrap w:val="false"/>
          </w:tcPr>
          <w:p>
            <w:pPr>
              <w:jc w:val="center"/>
              <w:spacing w:before="5"/>
              <w:rPr>
                <w:color w:val="auto"/>
                <w:sz w:val="18"/>
                <w:highlight w:val="none"/>
              </w:rPr>
            </w:pPr>
            <w:r>
              <w:rPr>
                <w:color w:val="auto"/>
                <w:sz w:val="18"/>
                <w:highlight w:val="none"/>
              </w:rPr>
            </w:r>
            <w:r/>
          </w:p>
        </w:tc>
        <w:tc>
          <w:tcPr>
            <w:tcW w:w="1030" w:type="dxa"/>
            <w:vAlign w:val="center"/>
            <w:textDirection w:val="lrTb"/>
            <w:noWrap w:val="false"/>
          </w:tcPr>
          <w:p>
            <w:pPr>
              <w:jc w:val="center"/>
              <w:spacing w:before="5"/>
              <w:rPr>
                <w:color w:val="auto"/>
                <w:sz w:val="18"/>
                <w:highlight w:val="none"/>
              </w:rPr>
            </w:pPr>
            <w:r>
              <w:rPr>
                <w:color w:val="auto"/>
                <w:sz w:val="18"/>
                <w:highlight w:val="none"/>
              </w:rPr>
            </w:r>
            <w:r/>
          </w:p>
        </w:tc>
      </w:tr>
      <w:tr>
        <w:trPr>
          <w:jc w:val="center"/>
          <w:trHeight w:val="625"/>
        </w:trPr>
        <w:tc>
          <w:tcPr>
            <w:gridSpan w:val="2"/>
            <w:tcW w:w="1965" w:type="dxa"/>
            <w:vAlign w:val="center"/>
            <w:textDirection w:val="lrTb"/>
            <w:noWrap w:val="false"/>
          </w:tcPr>
          <w:p>
            <w:pPr>
              <w:jc w:val="center"/>
              <w:spacing w:before="5"/>
              <w:rPr>
                <w:color w:val="auto"/>
                <w:sz w:val="18"/>
                <w:highlight w:val="none"/>
              </w:rPr>
            </w:pPr>
            <w:r>
              <w:rPr>
                <w:rFonts w:hint="eastAsia"/>
                <w:b/>
                <w:bCs/>
                <w:color w:val="auto"/>
                <w:szCs w:val="21"/>
                <w:highlight w:val="none"/>
              </w:rPr>
              <w:t xml:space="preserve">单价</w:t>
            </w:r>
            <w:r>
              <w:rPr>
                <w:rFonts w:hint="eastAsia"/>
                <w:b/>
                <w:bCs/>
                <w:color w:val="auto"/>
                <w:szCs w:val="21"/>
                <w:highlight w:val="none"/>
              </w:rPr>
              <w:t xml:space="preserve">报价</w:t>
            </w:r>
            <w:r>
              <w:rPr>
                <w:rFonts w:hint="eastAsia" w:ascii="宋体" w:hAnsi="宋体"/>
                <w:b/>
                <w:bCs/>
                <w:color w:val="auto"/>
                <w:szCs w:val="21"/>
                <w:highlight w:val="none"/>
              </w:rPr>
              <w:t xml:space="preserve">（元）</w:t>
            </w:r>
            <w:r/>
          </w:p>
        </w:tc>
        <w:tc>
          <w:tcPr>
            <w:gridSpan w:val="10"/>
            <w:tcW w:w="7800" w:type="dxa"/>
            <w:vAlign w:val="center"/>
            <w:textDirection w:val="lrTb"/>
            <w:noWrap w:val="false"/>
          </w:tcPr>
          <w:p>
            <w:pPr>
              <w:jc w:val="center"/>
              <w:spacing w:before="5"/>
              <w:rPr>
                <w:color w:val="auto"/>
                <w:sz w:val="18"/>
                <w:highlight w:val="none"/>
              </w:rPr>
            </w:pPr>
            <w:r>
              <w:rPr>
                <w:color w:val="auto"/>
                <w:sz w:val="18"/>
                <w:highlight w:val="none"/>
              </w:rPr>
            </w:r>
            <w:r/>
          </w:p>
        </w:tc>
      </w:tr>
      <w:tr>
        <w:trPr>
          <w:jc w:val="center"/>
          <w:trHeight w:val="584"/>
        </w:trPr>
        <w:tc>
          <w:tcPr>
            <w:gridSpan w:val="7"/>
            <w:tcW w:w="6033" w:type="dxa"/>
            <w:vAlign w:val="center"/>
            <w:textDirection w:val="lrTb"/>
            <w:noWrap w:val="false"/>
          </w:tcPr>
          <w:p>
            <w:pPr>
              <w:jc w:val="center"/>
              <w:rPr>
                <w:rFonts w:ascii="宋体"/>
                <w:b/>
                <w:bCs/>
                <w:color w:val="auto"/>
                <w:sz w:val="24"/>
                <w:highlight w:val="none"/>
              </w:rPr>
            </w:pPr>
            <w:r>
              <w:rPr>
                <w:rFonts w:hint="eastAsia" w:ascii="宋体"/>
                <w:b/>
                <w:bCs/>
                <w:color w:val="auto"/>
                <w:sz w:val="24"/>
                <w:highlight w:val="none"/>
              </w:rPr>
              <w:t xml:space="preserve">其中属于优先采购的节能、环境标志产品的价格合计</w:t>
            </w:r>
            <w:r/>
          </w:p>
          <w:p>
            <w:pPr>
              <w:jc w:val="center"/>
              <w:rPr>
                <w:color w:val="auto"/>
                <w:sz w:val="18"/>
                <w:highlight w:val="none"/>
              </w:rPr>
            </w:pPr>
            <w:r>
              <w:rPr>
                <w:rFonts w:hint="eastAsia" w:ascii="宋体"/>
                <w:b/>
                <w:bCs/>
                <w:color w:val="auto"/>
                <w:sz w:val="24"/>
                <w:highlight w:val="none"/>
              </w:rPr>
              <w:t xml:space="preserve">（小写）</w:t>
            </w:r>
            <w:r>
              <w:rPr>
                <w:rFonts w:hint="eastAsia" w:ascii="宋体" w:hAnsi="宋体"/>
                <w:b/>
                <w:bCs/>
                <w:color w:val="auto"/>
                <w:szCs w:val="21"/>
                <w:highlight w:val="none"/>
              </w:rPr>
              <w:t xml:space="preserve">（元）</w:t>
            </w:r>
            <w:r/>
          </w:p>
        </w:tc>
        <w:tc>
          <w:tcPr>
            <w:gridSpan w:val="5"/>
            <w:tcW w:w="3732" w:type="dxa"/>
            <w:vAlign w:val="center"/>
            <w:textDirection w:val="lrTb"/>
            <w:noWrap w:val="false"/>
          </w:tcPr>
          <w:p>
            <w:pPr>
              <w:rPr>
                <w:color w:val="auto"/>
                <w:sz w:val="18"/>
                <w:highlight w:val="none"/>
              </w:rPr>
            </w:pPr>
            <w:r>
              <w:rPr>
                <w:color w:val="auto"/>
                <w:sz w:val="18"/>
                <w:highlight w:val="none"/>
              </w:rPr>
            </w:r>
            <w:r/>
          </w:p>
        </w:tc>
      </w:tr>
      <w:tr>
        <w:trPr>
          <w:jc w:val="center"/>
          <w:trHeight w:val="670"/>
        </w:trPr>
        <w:tc>
          <w:tcPr>
            <w:gridSpan w:val="2"/>
            <w:tcW w:w="1965" w:type="dxa"/>
            <w:vAlign w:val="center"/>
            <w:textDirection w:val="lrTb"/>
            <w:noWrap w:val="false"/>
          </w:tcPr>
          <w:p>
            <w:pPr>
              <w:jc w:val="center"/>
              <w:rPr>
                <w:rFonts w:ascii="宋体"/>
                <w:b/>
                <w:bCs/>
                <w:color w:val="auto"/>
                <w:sz w:val="24"/>
                <w:highlight w:val="none"/>
              </w:rPr>
            </w:pPr>
            <w:r>
              <w:rPr>
                <w:rFonts w:hint="eastAsia" w:ascii="宋体"/>
                <w:b/>
                <w:bCs/>
                <w:color w:val="auto"/>
                <w:sz w:val="24"/>
                <w:szCs w:val="22"/>
                <w:highlight w:val="none"/>
              </w:rPr>
              <w:t xml:space="preserve">核心产品</w:t>
            </w:r>
            <w:r/>
          </w:p>
        </w:tc>
        <w:tc>
          <w:tcPr>
            <w:gridSpan w:val="2"/>
            <w:tcW w:w="2583" w:type="dxa"/>
            <w:vAlign w:val="center"/>
            <w:textDirection w:val="lrTb"/>
            <w:noWrap w:val="false"/>
          </w:tcPr>
          <w:p>
            <w:pPr>
              <w:jc w:val="center"/>
              <w:rPr>
                <w:rFonts w:ascii="宋体"/>
                <w:b/>
                <w:bCs/>
                <w:color w:val="auto"/>
                <w:sz w:val="24"/>
                <w:highlight w:val="none"/>
              </w:rPr>
            </w:pPr>
            <w:r>
              <w:rPr>
                <w:rFonts w:ascii="宋体"/>
                <w:b/>
                <w:bCs/>
                <w:color w:val="auto"/>
                <w:sz w:val="24"/>
                <w:highlight w:val="none"/>
              </w:rPr>
            </w:r>
            <w:r/>
          </w:p>
        </w:tc>
        <w:tc>
          <w:tcPr>
            <w:gridSpan w:val="3"/>
            <w:tcW w:w="1485" w:type="dxa"/>
            <w:vAlign w:val="center"/>
            <w:textDirection w:val="lrTb"/>
            <w:noWrap w:val="false"/>
          </w:tcPr>
          <w:p>
            <w:pPr>
              <w:rPr>
                <w:rFonts w:ascii="宋体"/>
                <w:b/>
                <w:bCs/>
                <w:color w:val="auto"/>
                <w:sz w:val="24"/>
                <w:szCs w:val="22"/>
                <w:highlight w:val="none"/>
              </w:rPr>
            </w:pPr>
            <w:r>
              <w:rPr>
                <w:rFonts w:hint="eastAsia" w:ascii="宋体"/>
                <w:b/>
                <w:bCs/>
                <w:color w:val="auto"/>
                <w:sz w:val="24"/>
                <w:szCs w:val="22"/>
                <w:highlight w:val="none"/>
              </w:rPr>
              <w:t xml:space="preserve">序号：</w:t>
            </w:r>
            <w:r/>
          </w:p>
        </w:tc>
        <w:tc>
          <w:tcPr>
            <w:gridSpan w:val="5"/>
            <w:tcW w:w="3732" w:type="dxa"/>
            <w:vAlign w:val="center"/>
            <w:textDirection w:val="lrTb"/>
            <w:noWrap w:val="false"/>
          </w:tcPr>
          <w:p>
            <w:pPr>
              <w:rPr>
                <w:rFonts w:ascii="宋体"/>
                <w:b/>
                <w:bCs/>
                <w:color w:val="auto"/>
                <w:sz w:val="24"/>
                <w:szCs w:val="22"/>
                <w:highlight w:val="none"/>
              </w:rPr>
            </w:pPr>
            <w:r>
              <w:rPr>
                <w:rFonts w:hint="eastAsia" w:ascii="宋体"/>
                <w:b/>
                <w:bCs/>
                <w:color w:val="auto"/>
                <w:sz w:val="24"/>
                <w:szCs w:val="22"/>
                <w:highlight w:val="none"/>
              </w:rPr>
              <w:t xml:space="preserve">品牌：</w:t>
            </w:r>
            <w:r/>
          </w:p>
        </w:tc>
      </w:tr>
      <w:tr>
        <w:trPr>
          <w:jc w:val="center"/>
          <w:trHeight w:val="670"/>
        </w:trPr>
        <w:tc>
          <w:tcPr>
            <w:gridSpan w:val="5"/>
            <w:tcBorders>
              <w:right w:val="single" w:color="auto" w:sz="4" w:space="0"/>
            </w:tcBorders>
            <w:tcW w:w="4554" w:type="dxa"/>
            <w:vAlign w:val="center"/>
            <w:textDirection w:val="lrTb"/>
            <w:noWrap w:val="false"/>
          </w:tcPr>
          <w:p>
            <w:pPr>
              <w:jc w:val="left"/>
              <w:rPr>
                <w:rFonts w:hint="eastAsia" w:ascii="宋体"/>
                <w:b/>
                <w:bCs/>
                <w:color w:val="auto"/>
                <w:sz w:val="24"/>
                <w:highlight w:val="none"/>
              </w:rPr>
            </w:pPr>
            <w:r>
              <w:rPr>
                <w:rFonts w:hint="eastAsia" w:ascii="宋体" w:hAnsi="宋体" w:cs="宋体"/>
                <w:b/>
                <w:bCs/>
                <w:color w:val="auto"/>
                <w:sz w:val="24"/>
                <w:highlight w:val="none"/>
              </w:rPr>
              <w:t xml:space="preserve">其中属于小、微型企业产品的价格合计（小写）</w:t>
            </w:r>
            <w:r/>
          </w:p>
        </w:tc>
        <w:tc>
          <w:tcPr>
            <w:gridSpan w:val="2"/>
            <w:tcBorders>
              <w:left w:val="single" w:color="auto" w:sz="4" w:space="0"/>
              <w:right w:val="single" w:color="auto" w:sz="4" w:space="0"/>
            </w:tcBorders>
            <w:tcW w:w="1479" w:type="dxa"/>
            <w:vAlign w:val="center"/>
            <w:textDirection w:val="lrTb"/>
            <w:noWrap w:val="false"/>
          </w:tcPr>
          <w:p>
            <w:pPr>
              <w:jc w:val="left"/>
              <w:rPr>
                <w:rFonts w:hint="eastAsia" w:ascii="宋体"/>
                <w:b/>
                <w:bCs/>
                <w:color w:val="auto"/>
                <w:sz w:val="24"/>
                <w:highlight w:val="none"/>
              </w:rPr>
            </w:pPr>
            <w:r>
              <w:rPr>
                <w:rFonts w:hint="eastAsia" w:ascii="宋体"/>
                <w:b/>
                <w:bCs/>
                <w:color w:val="auto"/>
                <w:sz w:val="24"/>
                <w:highlight w:val="none"/>
              </w:rPr>
            </w:r>
            <w:r/>
          </w:p>
        </w:tc>
        <w:tc>
          <w:tcPr>
            <w:gridSpan w:val="5"/>
            <w:tcBorders>
              <w:left w:val="single" w:color="auto" w:sz="4" w:space="0"/>
            </w:tcBorders>
            <w:tcW w:w="3732" w:type="dxa"/>
            <w:vAlign w:val="center"/>
            <w:textDirection w:val="lrTb"/>
            <w:noWrap w:val="false"/>
          </w:tcPr>
          <w:p>
            <w:pPr>
              <w:jc w:val="left"/>
              <w:rPr>
                <w:rFonts w:hint="eastAsia" w:ascii="宋体"/>
                <w:b/>
                <w:bCs/>
                <w:color w:val="auto"/>
                <w:sz w:val="24"/>
                <w:highlight w:val="none"/>
              </w:rPr>
            </w:pPr>
            <w:r>
              <w:rPr>
                <w:rFonts w:hint="eastAsia" w:ascii="宋体"/>
                <w:b/>
                <w:bCs/>
                <w:color w:val="auto"/>
                <w:sz w:val="24"/>
                <w:highlight w:val="none"/>
              </w:rPr>
            </w:r>
            <w:r/>
          </w:p>
        </w:tc>
      </w:tr>
      <w:tr>
        <w:trPr>
          <w:jc w:val="center"/>
          <w:trHeight w:val="670"/>
        </w:trPr>
        <w:tc>
          <w:tcPr>
            <w:gridSpan w:val="5"/>
            <w:tcBorders>
              <w:right w:val="single" w:color="auto" w:sz="4" w:space="0"/>
            </w:tcBorders>
            <w:tcW w:w="4554" w:type="dxa"/>
            <w:vAlign w:val="center"/>
            <w:textDirection w:val="lrTb"/>
            <w:noWrap w:val="false"/>
          </w:tcPr>
          <w:p>
            <w:pPr>
              <w:jc w:val="left"/>
              <w:rPr>
                <w:rFonts w:hint="eastAsia" w:ascii="宋体"/>
                <w:b/>
                <w:bCs/>
                <w:color w:val="auto"/>
                <w:sz w:val="24"/>
                <w:highlight w:val="none"/>
              </w:rPr>
            </w:pPr>
            <w:r>
              <w:rPr>
                <w:rFonts w:hint="eastAsia" w:ascii="宋体" w:hAnsi="宋体" w:cs="宋体"/>
                <w:b/>
                <w:bCs/>
                <w:color w:val="auto"/>
                <w:sz w:val="24"/>
                <w:highlight w:val="none"/>
              </w:rPr>
              <w:t xml:space="preserve">其中属于残疾人福利性单位产品的价格合计（小写）</w:t>
            </w:r>
            <w:r/>
          </w:p>
        </w:tc>
        <w:tc>
          <w:tcPr>
            <w:gridSpan w:val="2"/>
            <w:tcBorders>
              <w:left w:val="single" w:color="auto" w:sz="4" w:space="0"/>
              <w:right w:val="single" w:color="auto" w:sz="4" w:space="0"/>
            </w:tcBorders>
            <w:tcW w:w="1479" w:type="dxa"/>
            <w:vAlign w:val="center"/>
            <w:textDirection w:val="lrTb"/>
            <w:noWrap w:val="false"/>
          </w:tcPr>
          <w:p>
            <w:pPr>
              <w:jc w:val="left"/>
              <w:rPr>
                <w:rFonts w:hint="eastAsia" w:ascii="宋体"/>
                <w:b/>
                <w:bCs/>
                <w:color w:val="auto"/>
                <w:sz w:val="24"/>
                <w:highlight w:val="none"/>
              </w:rPr>
            </w:pPr>
            <w:r>
              <w:rPr>
                <w:rFonts w:hint="eastAsia" w:ascii="宋体"/>
                <w:b/>
                <w:bCs/>
                <w:color w:val="auto"/>
                <w:sz w:val="24"/>
                <w:highlight w:val="none"/>
              </w:rPr>
            </w:r>
            <w:r/>
          </w:p>
        </w:tc>
        <w:tc>
          <w:tcPr>
            <w:gridSpan w:val="5"/>
            <w:tcBorders>
              <w:left w:val="single" w:color="auto" w:sz="4" w:space="0"/>
            </w:tcBorders>
            <w:tcW w:w="3732" w:type="dxa"/>
            <w:vAlign w:val="center"/>
            <w:textDirection w:val="lrTb"/>
            <w:noWrap w:val="false"/>
          </w:tcPr>
          <w:p>
            <w:pPr>
              <w:jc w:val="left"/>
              <w:rPr>
                <w:rFonts w:hint="eastAsia" w:ascii="宋体"/>
                <w:b/>
                <w:bCs/>
                <w:color w:val="auto"/>
                <w:sz w:val="24"/>
                <w:highlight w:val="none"/>
              </w:rPr>
            </w:pPr>
            <w:r>
              <w:rPr>
                <w:rFonts w:hint="eastAsia" w:ascii="宋体"/>
                <w:b/>
                <w:bCs/>
                <w:color w:val="auto"/>
                <w:sz w:val="24"/>
                <w:highlight w:val="none"/>
              </w:rPr>
            </w:r>
            <w:r/>
          </w:p>
        </w:tc>
      </w:tr>
      <w:tr>
        <w:trPr>
          <w:jc w:val="center"/>
          <w:trHeight w:val="670"/>
        </w:trPr>
        <w:tc>
          <w:tcPr>
            <w:gridSpan w:val="5"/>
            <w:tcBorders>
              <w:right w:val="single" w:color="auto" w:sz="4" w:space="0"/>
            </w:tcBorders>
            <w:tcW w:w="4554" w:type="dxa"/>
            <w:vAlign w:val="center"/>
            <w:textDirection w:val="lrTb"/>
            <w:noWrap w:val="false"/>
          </w:tcPr>
          <w:p>
            <w:pPr>
              <w:jc w:val="both"/>
              <w:spacing w:before="5"/>
              <w:rPr>
                <w:rFonts w:hint="eastAsia" w:ascii="宋体"/>
                <w:b/>
                <w:bCs/>
                <w:color w:val="auto"/>
                <w:sz w:val="24"/>
                <w:highlight w:val="none"/>
              </w:rPr>
            </w:pPr>
            <w:r>
              <w:rPr>
                <w:rFonts w:hint="eastAsia" w:ascii="宋体"/>
                <w:b/>
                <w:bCs/>
                <w:color w:val="auto"/>
                <w:sz w:val="24"/>
                <w:highlight w:val="none"/>
                <w:lang w:val="en-US" w:eastAsia="zh-CN"/>
              </w:rPr>
              <w:t xml:space="preserve">其中属于符合本国产品标准的产品价格合计</w:t>
            </w:r>
            <w:r>
              <w:rPr>
                <w:rFonts w:hint="eastAsia" w:ascii="宋体"/>
                <w:b/>
                <w:bCs/>
                <w:color w:val="auto"/>
                <w:sz w:val="24"/>
                <w:highlight w:val="none"/>
              </w:rPr>
              <w:t xml:space="preserve">（小写）</w:t>
            </w:r>
            <w:r/>
          </w:p>
        </w:tc>
        <w:tc>
          <w:tcPr>
            <w:gridSpan w:val="2"/>
            <w:tcBorders>
              <w:left w:val="single" w:color="auto" w:sz="4" w:space="0"/>
              <w:right w:val="single" w:color="auto" w:sz="4" w:space="0"/>
            </w:tcBorders>
            <w:tcW w:w="1479" w:type="dxa"/>
            <w:vAlign w:val="center"/>
            <w:textDirection w:val="lrTb"/>
            <w:noWrap w:val="false"/>
          </w:tcPr>
          <w:p>
            <w:pPr>
              <w:jc w:val="left"/>
              <w:rPr>
                <w:rFonts w:hint="eastAsia" w:ascii="宋体"/>
                <w:b/>
                <w:bCs/>
                <w:color w:val="auto"/>
                <w:sz w:val="24"/>
                <w:highlight w:val="none"/>
              </w:rPr>
            </w:pPr>
            <w:r>
              <w:rPr>
                <w:rFonts w:hint="eastAsia" w:ascii="宋体"/>
                <w:b/>
                <w:bCs/>
                <w:color w:val="auto"/>
                <w:sz w:val="24"/>
                <w:highlight w:val="none"/>
              </w:rPr>
            </w:r>
            <w:r/>
          </w:p>
        </w:tc>
        <w:tc>
          <w:tcPr>
            <w:gridSpan w:val="5"/>
            <w:tcBorders>
              <w:left w:val="single" w:color="auto" w:sz="4" w:space="0"/>
            </w:tcBorders>
            <w:tcW w:w="3732" w:type="dxa"/>
            <w:vAlign w:val="center"/>
            <w:textDirection w:val="lrTb"/>
            <w:noWrap w:val="false"/>
          </w:tcPr>
          <w:p>
            <w:pPr>
              <w:jc w:val="left"/>
              <w:rPr>
                <w:rFonts w:hint="eastAsia" w:ascii="宋体"/>
                <w:b/>
                <w:bCs/>
                <w:color w:val="auto"/>
                <w:sz w:val="24"/>
                <w:highlight w:val="none"/>
              </w:rPr>
            </w:pPr>
            <w:r>
              <w:rPr>
                <w:rFonts w:hint="eastAsia" w:ascii="宋体"/>
                <w:b/>
                <w:bCs/>
                <w:color w:val="auto"/>
                <w:sz w:val="24"/>
                <w:highlight w:val="none"/>
              </w:rPr>
            </w:r>
            <w:r/>
          </w:p>
        </w:tc>
      </w:tr>
      <w:tr>
        <w:trPr>
          <w:jc w:val="center"/>
          <w:trHeight w:val="670"/>
        </w:trPr>
        <w:tc>
          <w:tcPr>
            <w:gridSpan w:val="2"/>
            <w:tcW w:w="1965" w:type="dxa"/>
            <w:vAlign w:val="center"/>
            <w:textDirection w:val="lrTb"/>
            <w:noWrap w:val="false"/>
          </w:tcPr>
          <w:p>
            <w:pPr>
              <w:jc w:val="center"/>
              <w:rPr>
                <w:rFonts w:hint="eastAsia" w:ascii="宋体" w:eastAsia="宋体"/>
                <w:b/>
                <w:bCs/>
                <w:color w:val="auto"/>
                <w:sz w:val="24"/>
                <w:highlight w:val="none"/>
                <w:lang w:eastAsia="zh-CN"/>
              </w:rPr>
            </w:pPr>
            <w:r>
              <w:rPr>
                <w:rFonts w:hint="eastAsia" w:ascii="宋体"/>
                <w:b/>
                <w:bCs/>
                <w:color w:val="auto"/>
                <w:sz w:val="24"/>
                <w:highlight w:val="none"/>
                <w:lang w:val="en-US" w:eastAsia="zh-CN"/>
              </w:rPr>
              <w:t xml:space="preserve">供货期</w:t>
            </w:r>
            <w:r/>
          </w:p>
        </w:tc>
        <w:tc>
          <w:tcPr>
            <w:gridSpan w:val="10"/>
            <w:tcW w:w="7800" w:type="dxa"/>
            <w:vAlign w:val="center"/>
            <w:textDirection w:val="lrTb"/>
            <w:noWrap w:val="false"/>
          </w:tcPr>
          <w:p>
            <w:pPr>
              <w:jc w:val="left"/>
              <w:rPr>
                <w:rFonts w:ascii="宋体"/>
                <w:b/>
                <w:bCs/>
                <w:color w:val="auto"/>
                <w:sz w:val="24"/>
                <w:highlight w:val="none"/>
              </w:rPr>
            </w:pPr>
            <w:r>
              <w:rPr>
                <w:rFonts w:hint="eastAsia" w:ascii="宋体"/>
                <w:b/>
                <w:bCs/>
                <w:color w:val="auto"/>
                <w:sz w:val="24"/>
                <w:highlight w:val="none"/>
              </w:rPr>
              <w:t xml:space="preserve">承诺收到中标通知书后</w:t>
            </w:r>
            <w:r>
              <w:rPr>
                <w:rFonts w:hint="eastAsia" w:ascii="宋体"/>
                <w:b/>
                <w:bCs/>
                <w:color w:val="auto"/>
                <w:sz w:val="24"/>
                <w:highlight w:val="none"/>
                <w:u w:val="single"/>
              </w:rPr>
              <w:t xml:space="preserve">3个工作日</w:t>
            </w:r>
            <w:r>
              <w:rPr>
                <w:rFonts w:hint="eastAsia" w:ascii="宋体"/>
                <w:b/>
                <w:bCs/>
                <w:color w:val="auto"/>
                <w:sz w:val="24"/>
                <w:highlight w:val="none"/>
              </w:rPr>
              <w:t xml:space="preserve">内与采购人签订供货合同</w:t>
            </w:r>
            <w:r>
              <w:rPr>
                <w:rFonts w:hint="eastAsia" w:ascii="宋体"/>
                <w:b/>
                <w:bCs/>
                <w:color w:val="auto"/>
                <w:sz w:val="24"/>
                <w:highlight w:val="none"/>
                <w:lang w:eastAsia="zh-CN"/>
              </w:rPr>
              <w:t xml:space="preserve">；</w:t>
            </w:r>
            <w:r>
              <w:rPr>
                <w:rFonts w:hint="eastAsia" w:ascii="宋体"/>
                <w:b/>
                <w:bCs/>
                <w:color w:val="auto"/>
                <w:sz w:val="24"/>
                <w:highlight w:val="none"/>
              </w:rPr>
              <w:t xml:space="preserve">合同签订后</w:t>
            </w:r>
            <w:r>
              <w:rPr>
                <w:rFonts w:hint="eastAsia" w:ascii="宋体"/>
                <w:b/>
                <w:bCs/>
                <w:color w:val="auto"/>
                <w:sz w:val="24"/>
                <w:highlight w:val="none"/>
                <w:u w:val="single"/>
              </w:rPr>
              <w:t xml:space="preserve"> </w:t>
            </w:r>
            <w:r>
              <w:rPr>
                <w:rFonts w:hint="eastAsia" w:ascii="宋体"/>
                <w:b/>
                <w:bCs/>
                <w:color w:val="auto"/>
                <w:sz w:val="24"/>
                <w:highlight w:val="none"/>
                <w:u w:val="single"/>
                <w:lang w:val="en-US" w:eastAsia="zh-CN"/>
              </w:rPr>
              <w:t xml:space="preserve">5</w:t>
            </w:r>
            <w:r>
              <w:rPr>
                <w:rFonts w:hint="eastAsia" w:ascii="宋体"/>
                <w:b/>
                <w:bCs/>
                <w:color w:val="auto"/>
                <w:sz w:val="24"/>
                <w:highlight w:val="none"/>
                <w:u w:val="single"/>
              </w:rPr>
              <w:t xml:space="preserve"> 日</w:t>
            </w:r>
            <w:r>
              <w:rPr>
                <w:rFonts w:hint="eastAsia" w:ascii="宋体"/>
                <w:b/>
                <w:bCs/>
                <w:color w:val="auto"/>
                <w:sz w:val="24"/>
                <w:highlight w:val="none"/>
              </w:rPr>
              <w:t xml:space="preserve">内</w:t>
            </w:r>
            <w:r>
              <w:rPr>
                <w:rFonts w:hint="eastAsia" w:ascii="宋体"/>
                <w:b/>
                <w:bCs/>
                <w:color w:val="auto"/>
                <w:sz w:val="24"/>
                <w:highlight w:val="none"/>
                <w:lang w:val="en-US" w:eastAsia="zh-CN"/>
              </w:rPr>
              <w:t xml:space="preserve">完成供货</w:t>
            </w:r>
            <w:r>
              <w:rPr>
                <w:rFonts w:hint="eastAsia" w:ascii="宋体"/>
                <w:b/>
                <w:bCs/>
                <w:color w:val="auto"/>
                <w:sz w:val="24"/>
                <w:highlight w:val="none"/>
              </w:rPr>
              <w:t xml:space="preserve">。</w:t>
            </w:r>
            <w:r/>
          </w:p>
        </w:tc>
      </w:tr>
      <w:tr>
        <w:trPr>
          <w:jc w:val="center"/>
          <w:trHeight w:val="960"/>
        </w:trPr>
        <w:tc>
          <w:tcPr>
            <w:gridSpan w:val="2"/>
            <w:tcW w:w="1965" w:type="dxa"/>
            <w:vAlign w:val="center"/>
            <w:textDirection w:val="lrTb"/>
            <w:noWrap w:val="false"/>
          </w:tcPr>
          <w:p>
            <w:pPr>
              <w:jc w:val="center"/>
              <w:rPr>
                <w:rFonts w:ascii="宋体"/>
                <w:b/>
                <w:bCs/>
                <w:color w:val="auto"/>
                <w:sz w:val="24"/>
                <w:highlight w:val="none"/>
              </w:rPr>
            </w:pPr>
            <w:r>
              <w:rPr>
                <w:rFonts w:hint="eastAsia" w:ascii="宋体"/>
                <w:b/>
                <w:bCs/>
                <w:color w:val="auto"/>
                <w:sz w:val="24"/>
                <w:highlight w:val="none"/>
              </w:rPr>
              <w:t xml:space="preserve">项目整体质保期</w:t>
            </w:r>
            <w:r/>
          </w:p>
        </w:tc>
        <w:tc>
          <w:tcPr>
            <w:gridSpan w:val="10"/>
            <w:tcW w:w="7800" w:type="dxa"/>
            <w:vAlign w:val="center"/>
            <w:textDirection w:val="lrTb"/>
            <w:noWrap w:val="false"/>
          </w:tcPr>
          <w:p>
            <w:pPr>
              <w:jc w:val="left"/>
              <w:rPr>
                <w:rFonts w:ascii="宋体"/>
                <w:b/>
                <w:bCs/>
                <w:color w:val="auto"/>
                <w:sz w:val="24"/>
                <w:highlight w:val="none"/>
              </w:rPr>
            </w:pPr>
            <w:r>
              <w:rPr>
                <w:rFonts w:ascii="宋体"/>
                <w:b/>
                <w:bCs/>
                <w:color w:val="auto"/>
                <w:sz w:val="24"/>
                <w:highlight w:val="none"/>
              </w:rPr>
            </w:r>
            <w:r/>
          </w:p>
        </w:tc>
      </w:tr>
      <w:tr>
        <w:trPr>
          <w:jc w:val="center"/>
          <w:trHeight w:val="2140"/>
        </w:trPr>
        <w:tc>
          <w:tcPr>
            <w:tcW w:w="735" w:type="dxa"/>
            <w:vAlign w:val="center"/>
            <w:vMerge w:val="restart"/>
            <w:textDirection w:val="lrTb"/>
            <w:noWrap w:val="false"/>
          </w:tcPr>
          <w:p>
            <w:pPr>
              <w:pStyle w:val="975"/>
              <w:ind w:firstLine="120"/>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服</w:t>
            </w:r>
            <w:r/>
          </w:p>
          <w:p>
            <w:pPr>
              <w:pStyle w:val="975"/>
              <w:ind w:firstLine="120"/>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务</w:t>
            </w:r>
            <w:r/>
          </w:p>
          <w:p>
            <w:pPr>
              <w:pStyle w:val="975"/>
              <w:ind w:firstLine="120"/>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承</w:t>
            </w:r>
            <w:r/>
          </w:p>
          <w:p>
            <w:pPr>
              <w:jc w:val="center"/>
              <w:spacing w:before="5"/>
              <w:rPr>
                <w:color w:val="auto"/>
                <w:sz w:val="18"/>
                <w:highlight w:val="none"/>
              </w:rPr>
            </w:pPr>
            <w:r>
              <w:rPr>
                <w:rFonts w:hint="eastAsia" w:ascii="宋体" w:hAnsi="宋体"/>
                <w:b/>
                <w:bCs/>
                <w:color w:val="auto"/>
                <w:sz w:val="24"/>
                <w:szCs w:val="24"/>
                <w:highlight w:val="none"/>
              </w:rPr>
              <w:t xml:space="preserve">诺</w:t>
            </w:r>
            <w:r/>
          </w:p>
        </w:tc>
        <w:tc>
          <w:tcPr>
            <w:gridSpan w:val="11"/>
            <w:tcW w:w="9030" w:type="dxa"/>
            <w:vAlign w:val="center"/>
            <w:textDirection w:val="lrTb"/>
            <w:noWrap w:val="false"/>
          </w:tcPr>
          <w:p>
            <w:pPr>
              <w:jc w:val="left"/>
              <w:spacing w:before="5"/>
              <w:rPr>
                <w:color w:val="auto"/>
                <w:sz w:val="18"/>
                <w:highlight w:val="none"/>
              </w:rPr>
            </w:pPr>
            <w:r>
              <w:rPr>
                <w:color w:val="auto"/>
                <w:sz w:val="18"/>
                <w:highlight w:val="none"/>
              </w:rPr>
            </w:r>
            <w:r/>
          </w:p>
        </w:tc>
      </w:tr>
      <w:tr>
        <w:trPr>
          <w:jc w:val="center"/>
          <w:trHeight w:val="576"/>
        </w:trPr>
        <w:tc>
          <w:tcPr>
            <w:tcW w:w="735" w:type="dxa"/>
            <w:vAlign w:val="center"/>
            <w:vMerge w:val="continue"/>
            <w:textDirection w:val="lrTb"/>
            <w:noWrap w:val="false"/>
          </w:tcPr>
          <w:p>
            <w:pPr>
              <w:jc w:val="center"/>
              <w:spacing w:before="5"/>
              <w:rPr>
                <w:color w:val="auto"/>
                <w:sz w:val="18"/>
                <w:highlight w:val="none"/>
              </w:rPr>
            </w:pPr>
            <w:r>
              <w:rPr>
                <w:color w:val="auto"/>
                <w:sz w:val="18"/>
                <w:highlight w:val="none"/>
              </w:rPr>
            </w:r>
            <w:r/>
          </w:p>
        </w:tc>
        <w:tc>
          <w:tcPr>
            <w:gridSpan w:val="11"/>
            <w:tcW w:w="9030" w:type="dxa"/>
            <w:vAlign w:val="center"/>
            <w:textDirection w:val="lrTb"/>
            <w:noWrap w:val="false"/>
          </w:tcPr>
          <w:p>
            <w:pPr>
              <w:jc w:val="left"/>
              <w:tabs>
                <w:tab w:val="left" w:pos="2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质量</w:t>
            </w:r>
            <w:r>
              <w:rPr>
                <w:rFonts w:ascii="宋体" w:hAnsi="宋体"/>
                <w:bCs/>
                <w:color w:val="auto"/>
                <w:sz w:val="24"/>
                <w:szCs w:val="24"/>
                <w:highlight w:val="none"/>
              </w:rPr>
              <w:t xml:space="preserve"> 2.</w:t>
            </w:r>
            <w:r>
              <w:rPr>
                <w:rFonts w:hint="eastAsia" w:ascii="宋体" w:hAnsi="宋体"/>
                <w:bCs/>
                <w:color w:val="auto"/>
                <w:sz w:val="24"/>
                <w:szCs w:val="24"/>
                <w:highlight w:val="none"/>
              </w:rPr>
              <w:t xml:space="preserve">安装</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三包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包修、包退、包换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其他承诺</w:t>
            </w:r>
            <w:r/>
          </w:p>
          <w:p>
            <w:pPr>
              <w:jc w:val="left"/>
              <w:spacing w:before="5"/>
              <w:rPr>
                <w:color w:val="auto"/>
                <w:sz w:val="18"/>
                <w:highlight w:val="none"/>
              </w:rPr>
            </w:pPr>
            <w:r>
              <w:rPr>
                <w:rFonts w:hint="eastAsia" w:ascii="宋体" w:hAnsi="宋体"/>
                <w:bCs/>
                <w:color w:val="auto"/>
                <w:sz w:val="24"/>
                <w:szCs w:val="24"/>
                <w:highlight w:val="none"/>
              </w:rPr>
              <w:t xml:space="preserve">（以上是主要承诺，供供应商参考，供应商应在满足询价通知书要求的基础上，根据自己单位的情况</w:t>
            </w:r>
            <w:r>
              <w:rPr>
                <w:rFonts w:hint="eastAsia" w:ascii="宋体" w:hAnsi="宋体"/>
                <w:bCs/>
                <w:color w:val="auto"/>
                <w:sz w:val="24"/>
                <w:szCs w:val="24"/>
                <w:highlight w:val="none"/>
                <w:lang w:eastAsia="zh-CN"/>
              </w:rPr>
              <w:t xml:space="preserve">做出</w:t>
            </w:r>
            <w:r>
              <w:rPr>
                <w:rFonts w:hint="eastAsia" w:ascii="宋体" w:hAnsi="宋体"/>
                <w:bCs/>
                <w:color w:val="auto"/>
                <w:sz w:val="24"/>
                <w:szCs w:val="24"/>
                <w:highlight w:val="none"/>
              </w:rPr>
              <w:t xml:space="preserve">具体承诺）</w:t>
            </w:r>
            <w:r/>
          </w:p>
        </w:tc>
      </w:tr>
    </w:tbl>
    <w:p>
      <w:pPr>
        <w:ind w:left="5460" w:hanging="5460"/>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w:t>
      </w:r>
      <w:r/>
    </w:p>
    <w:p>
      <w:pPr>
        <w:ind w:left="5460" w:hanging="5460"/>
        <w:jc w:val="center"/>
        <w:spacing w:line="360" w:lineRule="auto"/>
        <w:rPr>
          <w:color w:val="auto"/>
          <w:sz w:val="24"/>
          <w:szCs w:val="24"/>
          <w:highlight w:val="none"/>
        </w:rPr>
      </w:pPr>
      <w:r>
        <w:rPr>
          <w:rFonts w:hint="eastAsia" w:ascii="宋体" w:hAnsi="宋体"/>
          <w:bCs/>
          <w:color w:val="auto"/>
          <w:sz w:val="24"/>
          <w:highlight w:val="none"/>
        </w:rPr>
        <w:t xml:space="preserve">                              </w:t>
      </w:r>
      <w:r>
        <w:rPr>
          <w:color w:val="auto"/>
          <w:sz w:val="24"/>
          <w:szCs w:val="24"/>
          <w:highlight w:val="none"/>
        </w:rPr>
        <w:t xml:space="preserve">供应商（电子签章）：</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注： </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（1）供应商应当根据“第三章 项目技术要求和有关说明”的内容详细填写明细报价表，须包括本次采购的所有细项，表格不够可自行延长；</w:t>
      </w:r>
      <w:r>
        <w:rPr>
          <w:rFonts w:hint="eastAsia" w:ascii="宋体" w:hAnsi="宋体"/>
          <w:bCs/>
          <w:color w:val="auto"/>
          <w:szCs w:val="21"/>
          <w:highlight w:val="none"/>
          <w:lang w:val="en-US" w:eastAsia="zh-CN"/>
        </w:rPr>
        <w:t xml:space="preserve">本次报价为单价报价</w:t>
      </w:r>
      <w:r>
        <w:rPr>
          <w:rFonts w:hint="eastAsia" w:ascii="宋体" w:hAnsi="宋体"/>
          <w:bCs/>
          <w:color w:val="auto"/>
          <w:szCs w:val="21"/>
          <w:highlight w:val="none"/>
        </w:rPr>
        <w:t xml:space="preserve">，包含提供货物的一切费用；如本表单价计算的结果与总价不一致，以单价为准修正总价。</w:t>
      </w:r>
      <w:r/>
    </w:p>
    <w:p>
      <w:pPr>
        <w:ind w:firstLine="421"/>
        <w:jc w:val="left"/>
        <w:spacing w:line="360" w:lineRule="auto"/>
        <w:rPr>
          <w:rFonts w:ascii="宋体" w:hAnsi="宋体"/>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2</w:t>
      </w:r>
      <w:r>
        <w:rPr>
          <w:rFonts w:hint="eastAsia" w:ascii="宋体" w:hAnsi="宋体"/>
          <w:bCs/>
          <w:color w:val="auto"/>
          <w:szCs w:val="21"/>
          <w:highlight w:val="none"/>
          <w:lang w:val="zh-CN"/>
        </w:rPr>
        <w:t xml:space="preserve">）</w:t>
      </w:r>
      <w:r>
        <w:rPr>
          <w:rFonts w:hint="eastAsia" w:ascii="宋体" w:hAnsi="宋体"/>
          <w:b/>
          <w:color w:val="auto"/>
          <w:szCs w:val="21"/>
          <w:highlight w:val="none"/>
          <w:lang w:val="zh-CN"/>
        </w:rPr>
        <w:t xml:space="preserve">核心产品：</w:t>
      </w:r>
      <w:r>
        <w:rPr>
          <w:rFonts w:hint="eastAsia" w:ascii="宋体" w:hAnsi="宋体"/>
          <w:bCs/>
          <w:color w:val="auto"/>
          <w:szCs w:val="21"/>
          <w:highlight w:val="none"/>
        </w:rPr>
        <w:t xml:space="preserve">供应商须在上表中详细填写核心产品在明细报价表中的序号及品牌，对核心产品提供相同品牌产品的不同供应商参加同一合同项下报价（项目单价）的，以其中通过资格审查、符合性审查且报价最低的参加评审，其他报价无效；报价相同的，由采购人代表采用随机抽取方式确定一个参加报价的供应商，其他报价无效。</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（3）政府采购优惠政策：</w:t>
      </w:r>
      <w:r/>
    </w:p>
    <w:p>
      <w:pPr>
        <w:ind w:firstLine="420"/>
        <w:jc w:val="left"/>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供应商提供的产品属于</w:t>
      </w:r>
      <w:r>
        <w:rPr>
          <w:rFonts w:hint="eastAsia" w:ascii="宋体" w:hAnsi="宋体"/>
          <w:bCs/>
          <w:color w:val="auto"/>
          <w:szCs w:val="21"/>
          <w:highlight w:val="none"/>
        </w:rPr>
        <w:t xml:space="preserve">政府采购</w:t>
      </w:r>
      <w:r>
        <w:rPr>
          <w:rFonts w:hint="eastAsia" w:ascii="宋体" w:hAnsi="宋体"/>
          <w:color w:val="auto"/>
          <w:szCs w:val="21"/>
          <w:highlight w:val="none"/>
          <w:lang w:val="zh-CN"/>
        </w:rPr>
        <w:t xml:space="preserve">优先采购节能产品、环境标志产品的，对相应产品的报价分别给予5%的价格扣除，用扣除后的价格参与评审。</w:t>
      </w:r>
      <w:r>
        <w:rPr>
          <w:rFonts w:hint="eastAsia" w:ascii="宋体" w:hAnsi="宋体"/>
          <w:bCs/>
          <w:color w:val="auto"/>
          <w:szCs w:val="21"/>
          <w:highlight w:val="none"/>
        </w:rPr>
        <w:t xml:space="preserve">若符合</w:t>
      </w:r>
      <w:r>
        <w:rPr>
          <w:rFonts w:hint="eastAsia" w:ascii="宋体" w:hAnsi="宋体"/>
          <w:bCs/>
          <w:color w:val="auto"/>
          <w:szCs w:val="21"/>
          <w:highlight w:val="none"/>
          <w:lang w:val="zh-CN"/>
        </w:rPr>
        <w:t xml:space="preserve">优先采购产品报价扣除</w:t>
      </w:r>
      <w:r>
        <w:rPr>
          <w:rFonts w:hint="eastAsia" w:ascii="宋体" w:hAnsi="宋体"/>
          <w:bCs/>
          <w:color w:val="auto"/>
          <w:szCs w:val="21"/>
          <w:highlight w:val="none"/>
        </w:rPr>
        <w:t xml:space="preserve">优惠的，供应商在</w:t>
      </w:r>
      <w:r>
        <w:rPr>
          <w:rFonts w:hint="eastAsia" w:ascii="宋体" w:hAnsi="宋体"/>
          <w:color w:val="auto"/>
          <w:szCs w:val="21"/>
          <w:highlight w:val="none"/>
        </w:rPr>
        <w:t xml:space="preserve">“优先采购节能产品、环境标志产品”</w:t>
      </w:r>
      <w:r>
        <w:rPr>
          <w:rFonts w:hint="eastAsia" w:ascii="宋体" w:hAnsi="宋体"/>
          <w:bCs/>
          <w:color w:val="auto"/>
          <w:szCs w:val="21"/>
          <w:highlight w:val="none"/>
        </w:rPr>
        <w:t xml:space="preserve">一栏中填入</w:t>
      </w:r>
      <w:r>
        <w:rPr>
          <w:rFonts w:hint="eastAsia" w:ascii="宋体" w:hAnsi="宋体"/>
          <w:color w:val="auto"/>
          <w:szCs w:val="21"/>
          <w:highlight w:val="none"/>
        </w:rPr>
        <w:t xml:space="preserve">节能产品、环境标志产品。上</w:t>
      </w:r>
      <w:r>
        <w:rPr>
          <w:rFonts w:hint="eastAsia" w:ascii="宋体" w:hAnsi="宋体"/>
          <w:color w:val="auto"/>
          <w:szCs w:val="21"/>
          <w:highlight w:val="none"/>
          <w:lang w:val="zh-CN"/>
        </w:rPr>
        <w:t xml:space="preserve">表所填“其中属于优先采购的节能、环境标志产品的价格合计”为未享受价格扣除前，</w:t>
      </w:r>
      <w:r>
        <w:rPr>
          <w:rFonts w:hint="eastAsia" w:ascii="宋体" w:hAnsi="宋体"/>
          <w:color w:val="auto"/>
          <w:szCs w:val="21"/>
          <w:highlight w:val="none"/>
        </w:rPr>
        <w:t xml:space="preserve">供应商</w:t>
      </w:r>
      <w:r>
        <w:rPr>
          <w:rFonts w:hint="eastAsia" w:ascii="宋体" w:hAnsi="宋体"/>
          <w:color w:val="auto"/>
          <w:szCs w:val="21"/>
          <w:highlight w:val="none"/>
          <w:lang w:val="zh-CN"/>
        </w:rPr>
        <w:t xml:space="preserve">所</w:t>
      </w:r>
      <w:r>
        <w:rPr>
          <w:rFonts w:hint="eastAsia" w:ascii="宋体" w:hAnsi="宋体"/>
          <w:color w:val="auto"/>
          <w:szCs w:val="21"/>
          <w:highlight w:val="none"/>
        </w:rPr>
        <w:t xml:space="preserve">报</w:t>
      </w:r>
      <w:r>
        <w:rPr>
          <w:rFonts w:hint="eastAsia" w:ascii="宋体" w:hAnsi="宋体"/>
          <w:color w:val="auto"/>
          <w:szCs w:val="21"/>
          <w:highlight w:val="none"/>
          <w:lang w:val="zh-CN"/>
        </w:rPr>
        <w:t xml:space="preserve">产品的价格合计，分项报价总和与此类产品价格合计不一致的，以分项报价为准；供应商自行填写的报价错误或不符合</w:t>
      </w:r>
      <w:r>
        <w:rPr>
          <w:rFonts w:hint="eastAsia" w:ascii="宋体" w:hAnsi="宋体"/>
          <w:bCs/>
          <w:color w:val="auto"/>
          <w:szCs w:val="21"/>
          <w:highlight w:val="none"/>
        </w:rPr>
        <w:t xml:space="preserve">政府采购优惠政策的，由询价小组按实际情况进行修正。</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若符合本项目</w:t>
      </w:r>
      <w:r>
        <w:rPr>
          <w:rFonts w:hint="eastAsia" w:ascii="宋体" w:hAnsi="宋体"/>
          <w:bCs/>
          <w:color w:val="auto"/>
          <w:szCs w:val="21"/>
          <w:highlight w:val="none"/>
          <w:lang w:val="zh-CN"/>
        </w:rPr>
        <w:t xml:space="preserve">小微企业报价扣除</w:t>
      </w:r>
      <w:r>
        <w:rPr>
          <w:rFonts w:hint="eastAsia" w:ascii="宋体" w:hAnsi="宋体"/>
          <w:bCs/>
          <w:color w:val="auto"/>
          <w:szCs w:val="21"/>
          <w:highlight w:val="none"/>
        </w:rPr>
        <w:t xml:space="preserve">优惠政策的，供应商在“产品类别”一栏中填入</w:t>
      </w:r>
      <w:r>
        <w:rPr>
          <w:rFonts w:hint="eastAsia" w:ascii="宋体" w:hAnsi="宋体"/>
          <w:bCs/>
          <w:color w:val="auto"/>
          <w:szCs w:val="21"/>
          <w:highlight w:val="none"/>
          <w:lang w:val="zh-CN"/>
        </w:rPr>
        <w:t xml:space="preserve">小微企业产品、残疾人福利性单位产品或监狱企业产品</w:t>
      </w:r>
      <w:r>
        <w:rPr>
          <w:rFonts w:hint="eastAsia" w:ascii="宋体" w:hAnsi="宋体"/>
          <w:color w:val="auto"/>
          <w:szCs w:val="21"/>
          <w:highlight w:val="none"/>
          <w:lang w:val="zh-CN"/>
        </w:rPr>
        <w:t xml:space="preserve">，</w:t>
      </w:r>
      <w:r>
        <w:rPr>
          <w:rFonts w:hint="eastAsia" w:ascii="宋体" w:hAnsi="宋体"/>
          <w:bCs/>
          <w:color w:val="auto"/>
          <w:szCs w:val="21"/>
          <w:highlight w:val="none"/>
          <w:lang w:val="zh-CN"/>
        </w:rPr>
        <w:t xml:space="preserve">价格扣除比例（如有）详见“报价邀请函”。</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4）若享受本项目政府采购相关优惠政策的，供应商必须按照本章“（四）报价折扣文件”要求提供相关证明材料，以提供的有效证明材料为准，否则不享受相关优惠。若不符合本项目政府采购优惠政策的，无需填写相关栏目。</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（5）若本项目含有政府采购强制采购产品的，供应商必须按照本章“（四）报价折扣文件”要求提供相关证明材料，否则报价无效，详见供应商须知相关要求。</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（6）供应商提供的产品的品牌型号应当与采购文件要求提交的相关证明材料中的品牌型号一致。其中，涉及</w:t>
      </w:r>
      <w:r>
        <w:rPr>
          <w:rFonts w:hint="eastAsia" w:ascii="宋体" w:hAnsi="宋体"/>
          <w:color w:val="auto"/>
          <w:szCs w:val="21"/>
          <w:highlight w:val="none"/>
          <w:lang w:val="zh-CN"/>
        </w:rPr>
        <w:t xml:space="preserve">强制采购、优先采购的，相关证明材料中产品依据的标准还应当与政府采购政策依据的标准一致。</w:t>
      </w:r>
      <w:r/>
    </w:p>
    <w:p>
      <w:pPr>
        <w:rPr>
          <w:rFonts w:ascii="黑体" w:hAnsi="宋体" w:eastAsia="黑体"/>
          <w:bCs/>
          <w:color w:val="auto"/>
          <w:sz w:val="24"/>
          <w:szCs w:val="24"/>
          <w:highlight w:val="none"/>
          <w:lang w:val="zh-CN"/>
        </w:rPr>
      </w:pPr>
      <w:r>
        <w:rPr>
          <w:rFonts w:ascii="宋体" w:hAnsi="宋体"/>
          <w:bCs/>
          <w:color w:val="auto"/>
          <w:szCs w:val="21"/>
          <w:highlight w:val="none"/>
        </w:rPr>
        <w:br w:type="page" w:clear="all"/>
      </w:r>
      <w:r>
        <w:rPr>
          <w:rFonts w:ascii="黑体" w:hAnsi="宋体" w:eastAsia="黑体"/>
          <w:bCs/>
          <w:color w:val="auto"/>
          <w:sz w:val="24"/>
          <w:szCs w:val="24"/>
          <w:highlight w:val="none"/>
        </w:rPr>
        <w:t xml:space="preserve">3</w:t>
      </w: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zh-CN"/>
        </w:rPr>
        <w:t xml:space="preserve">项目技术要求偏离表</w:t>
      </w:r>
      <w:r>
        <w:rPr>
          <w:rFonts w:hint="eastAsia" w:ascii="黑体" w:hAnsi="宋体" w:eastAsia="黑体"/>
          <w:bCs/>
          <w:color w:val="auto"/>
          <w:sz w:val="24"/>
          <w:szCs w:val="24"/>
          <w:highlight w:val="none"/>
        </w:rPr>
        <w:t xml:space="preserve">（格式）：</w:t>
      </w:r>
      <w:r/>
    </w:p>
    <w:p>
      <w:pPr>
        <w:jc w:val="center"/>
        <w:spacing w:before="156" w:after="156"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项目技术要求偏离表</w:t>
      </w:r>
      <w:r/>
    </w:p>
    <w:p>
      <w:pPr>
        <w:spacing w:after="156"/>
        <w:rPr>
          <w:rFonts w:ascii="宋体" w:hAnsi="宋体"/>
          <w:color w:val="auto"/>
          <w:sz w:val="24"/>
          <w:szCs w:val="24"/>
          <w:highlight w:val="none"/>
        </w:rPr>
      </w:pPr>
      <w:r>
        <w:rPr>
          <w:rFonts w:hint="eastAsia" w:ascii="宋体" w:hAnsi="宋体"/>
          <w:color w:val="auto"/>
          <w:sz w:val="24"/>
          <w:szCs w:val="24"/>
          <w:highlight w:val="none"/>
        </w:rPr>
        <w:t xml:space="preserve">  项目名称：</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w:t>
      </w:r>
      <w:r/>
    </w:p>
    <w:p>
      <w:pPr>
        <w:spacing w:after="156"/>
        <w:rPr>
          <w:rFonts w:ascii="宋体" w:hAnsi="宋体" w:eastAsia="宋体"/>
          <w:color w:val="auto"/>
          <w:sz w:val="24"/>
          <w:szCs w:val="21"/>
          <w:highlight w:val="none"/>
          <w:lang w:val="en-US" w:eastAsia="zh-CN"/>
        </w:rPr>
      </w:pPr>
      <w:r>
        <w:rPr>
          <w:rFonts w:hint="eastAsia" w:ascii="宋体" w:hAnsi="宋体"/>
          <w:color w:val="auto"/>
          <w:sz w:val="24"/>
          <w:szCs w:val="24"/>
          <w:highlight w:val="none"/>
        </w:rPr>
        <w:t xml:space="preserve">  项目编号：</w:t>
      </w:r>
      <w:r>
        <w:rPr>
          <w:rFonts w:hint="eastAsia" w:ascii="宋体" w:hAnsi="宋体"/>
          <w:color w:val="auto"/>
          <w:sz w:val="24"/>
          <w:szCs w:val="24"/>
          <w:highlight w:val="none"/>
          <w:lang w:val="en-US" w:eastAsia="zh-CN"/>
        </w:rPr>
        <w:t xml:space="preserve"> </w:t>
      </w:r>
      <w:r/>
    </w:p>
    <w:tbl>
      <w:tblPr>
        <w:tblStyle w:val="8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116"/>
        <w:gridCol w:w="2100"/>
        <w:gridCol w:w="2325"/>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rPr>
              <w:t xml:space="preserve">标的</w:t>
            </w:r>
            <w:r>
              <w:rPr>
                <w:rFonts w:hint="eastAsia" w:ascii="宋体" w:hAnsi="宋体"/>
                <w:color w:val="auto"/>
                <w:sz w:val="24"/>
                <w:szCs w:val="21"/>
                <w:highlight w:val="none"/>
                <w:lang w:val="zh-CN"/>
              </w:rPr>
              <w:t xml:space="preserve">名称</w:t>
            </w:r>
            <w:r/>
          </w:p>
        </w:tc>
        <w:tc>
          <w:tcPr>
            <w:tcW w:w="2116" w:type="dxa"/>
            <w:vAlign w:val="center"/>
            <w:textDirection w:val="lrTb"/>
            <w:noWrap w:val="false"/>
          </w:tcPr>
          <w:p>
            <w:pPr>
              <w:jc w:val="center"/>
              <w:spacing w:line="360" w:lineRule="auto"/>
              <w:tabs>
                <w:tab w:val="left" w:pos="255" w:leader="none"/>
              </w:tabs>
              <w:rPr>
                <w:rFonts w:ascii="宋体" w:hAnsi="宋体"/>
                <w:color w:val="auto"/>
                <w:sz w:val="24"/>
                <w:szCs w:val="21"/>
                <w:highlight w:val="none"/>
              </w:rPr>
            </w:pPr>
            <w:r>
              <w:rPr>
                <w:rFonts w:hint="eastAsia" w:ascii="宋体" w:hAnsi="宋体"/>
                <w:color w:val="auto"/>
                <w:sz w:val="24"/>
                <w:szCs w:val="21"/>
                <w:highlight w:val="none"/>
                <w:lang w:val="zh-CN"/>
              </w:rPr>
              <w:t xml:space="preserve">采购</w:t>
            </w:r>
            <w:r>
              <w:rPr>
                <w:rFonts w:hint="eastAsia" w:ascii="宋体" w:hAnsi="宋体"/>
                <w:color w:val="auto"/>
                <w:sz w:val="24"/>
                <w:szCs w:val="21"/>
                <w:highlight w:val="none"/>
              </w:rPr>
              <w:t xml:space="preserve">标的</w:t>
            </w:r>
            <w:r/>
          </w:p>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参数、技术规格</w:t>
            </w:r>
            <w:r/>
          </w:p>
        </w:tc>
        <w:tc>
          <w:tcPr>
            <w:tcW w:w="2100" w:type="dxa"/>
            <w:vAlign w:val="center"/>
            <w:textDirection w:val="lrTb"/>
            <w:noWrap w:val="false"/>
          </w:tcPr>
          <w:p>
            <w:pPr>
              <w:jc w:val="center"/>
              <w:spacing w:line="360" w:lineRule="auto"/>
              <w:tabs>
                <w:tab w:val="left" w:pos="255" w:leader="none"/>
              </w:tabs>
              <w:rPr>
                <w:rFonts w:ascii="宋体" w:hAnsi="宋体"/>
                <w:color w:val="auto"/>
                <w:sz w:val="24"/>
                <w:szCs w:val="21"/>
                <w:highlight w:val="none"/>
              </w:rPr>
            </w:pPr>
            <w:r>
              <w:rPr>
                <w:rFonts w:hint="eastAsia" w:ascii="宋体" w:hAnsi="宋体"/>
                <w:color w:val="auto"/>
                <w:sz w:val="24"/>
                <w:szCs w:val="21"/>
                <w:highlight w:val="none"/>
                <w:lang w:val="zh-CN"/>
              </w:rPr>
              <w:t xml:space="preserve">提供</w:t>
            </w:r>
            <w:r>
              <w:rPr>
                <w:rFonts w:hint="eastAsia" w:ascii="宋体" w:hAnsi="宋体"/>
                <w:color w:val="auto"/>
                <w:sz w:val="24"/>
                <w:szCs w:val="21"/>
                <w:highlight w:val="none"/>
              </w:rPr>
              <w:t xml:space="preserve">标的</w:t>
            </w:r>
            <w:r/>
          </w:p>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参数、技术规格</w:t>
            </w:r>
            <w:r/>
          </w:p>
        </w:tc>
        <w:tc>
          <w:tcPr>
            <w:tcW w:w="2325"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116"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100"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116"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100"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116"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100"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116"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100"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116"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100"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bl>
    <w:p>
      <w:pPr>
        <w:spacing w:line="580" w:lineRule="exact"/>
        <w:rPr>
          <w:rFonts w:ascii="宋体" w:hAnsi="宋体"/>
          <w:bCs/>
          <w:color w:val="auto"/>
          <w:sz w:val="24"/>
          <w:szCs w:val="24"/>
          <w:highlight w:val="none"/>
          <w:lang w:val="zh-CN"/>
        </w:rPr>
      </w:pPr>
      <w:r>
        <w:rPr>
          <w:rFonts w:ascii="宋体" w:hAnsi="宋体"/>
          <w:bCs/>
          <w:color w:val="auto"/>
          <w:sz w:val="24"/>
          <w:szCs w:val="24"/>
          <w:highlight w:val="none"/>
          <w:lang w:val="zh-CN"/>
        </w:rPr>
      </w:r>
      <w:r/>
    </w:p>
    <w:p>
      <w:pPr>
        <w:ind w:firstLine="480"/>
        <w:spacing w:line="580" w:lineRule="exact"/>
        <w:rPr>
          <w:rFonts w:ascii="宋体" w:hAnsi="宋体"/>
          <w:bCs/>
          <w:color w:val="auto"/>
          <w:sz w:val="24"/>
          <w:szCs w:val="24"/>
          <w:highlight w:val="none"/>
          <w:lang w:val="zh-CN"/>
        </w:rPr>
      </w:pPr>
      <w:r>
        <w:rPr>
          <w:rFonts w:ascii="宋体" w:hAnsi="宋体"/>
          <w:bCs/>
          <w:color w:val="auto"/>
          <w:sz w:val="24"/>
          <w:szCs w:val="24"/>
          <w:highlight w:val="none"/>
          <w:lang w:val="zh-CN"/>
        </w:rPr>
      </w:r>
      <w:r/>
    </w:p>
    <w:p>
      <w:pPr>
        <w:ind w:left="5460" w:hanging="5460"/>
        <w:jc w:val="cente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                              </w:t>
      </w:r>
      <w:r>
        <w:rPr>
          <w:rFonts w:ascii="宋体" w:hAnsi="宋体"/>
          <w:bCs/>
          <w:color w:val="auto"/>
          <w:sz w:val="24"/>
          <w:highlight w:val="none"/>
        </w:rPr>
        <w:t xml:space="preserve">供应商（电子签章）：</w:t>
      </w:r>
      <w:r/>
    </w:p>
    <w:p>
      <w:pPr>
        <w:ind w:left="420"/>
        <w:spacing w:line="360" w:lineRule="auto"/>
        <w:rPr>
          <w:rFonts w:ascii="宋体" w:hAnsi="宋体"/>
          <w:bCs/>
          <w:color w:val="auto"/>
          <w:szCs w:val="21"/>
          <w:highlight w:val="none"/>
          <w:lang w:val="zh-CN"/>
        </w:rPr>
      </w:pPr>
      <w:r>
        <w:rPr>
          <w:rFonts w:ascii="宋体" w:hAnsi="宋体"/>
          <w:bCs/>
          <w:color w:val="auto"/>
          <w:szCs w:val="21"/>
          <w:highlight w:val="none"/>
          <w:lang w:val="zh-CN"/>
        </w:rPr>
      </w:r>
      <w:r/>
    </w:p>
    <w:p>
      <w:pPr>
        <w:ind w:left="420"/>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注：</w:t>
      </w:r>
      <w:r/>
    </w:p>
    <w:p>
      <w:pPr>
        <w:ind w:left="420" w:firstLine="420"/>
        <w:jc w:val="left"/>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供应商应对照询价通知书第三章“项目技术要求和有关说明”的相关要求，将自身响应的偏离情况（与询价通知书要求不一致的地方）详细填入上表，并注明“正偏离/负偏离”；若未填写上表，视为完全响应。</w:t>
      </w:r>
      <w:r/>
    </w:p>
    <w:p>
      <w:pPr>
        <w:ind w:left="420" w:firstLine="42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（2）询价通知书第三章“项目技术要求和有关说明”中若有要求提供相关证明材料的必须提供，</w:t>
      </w:r>
      <w:r>
        <w:rPr>
          <w:rFonts w:hint="eastAsia" w:ascii="宋体" w:hAnsi="宋体"/>
          <w:bCs/>
          <w:color w:val="auto"/>
          <w:szCs w:val="21"/>
          <w:highlight w:val="none"/>
          <w:lang w:val="zh-CN"/>
        </w:rPr>
        <w:t xml:space="preserve">请自行添加</w:t>
      </w:r>
      <w:r>
        <w:rPr>
          <w:rFonts w:hint="eastAsia" w:ascii="宋体" w:hAnsi="宋体"/>
          <w:bCs/>
          <w:color w:val="auto"/>
          <w:szCs w:val="21"/>
          <w:highlight w:val="none"/>
        </w:rPr>
        <w:t xml:space="preserve">。</w:t>
      </w:r>
      <w:r/>
    </w:p>
    <w:p>
      <w:pPr>
        <w:ind w:left="420" w:firstLine="420"/>
        <w:spacing w:line="360" w:lineRule="auto"/>
        <w:rPr>
          <w:rFonts w:ascii="宋体" w:hAnsi="宋体"/>
          <w:bCs/>
          <w:color w:val="auto"/>
          <w:szCs w:val="21"/>
          <w:highlight w:val="none"/>
        </w:rPr>
      </w:pPr>
      <w:r>
        <w:rPr>
          <w:rFonts w:ascii="宋体" w:hAnsi="宋体"/>
          <w:bCs/>
          <w:color w:val="auto"/>
          <w:szCs w:val="21"/>
          <w:highlight w:val="none"/>
        </w:rPr>
      </w:r>
      <w:r/>
    </w:p>
    <w:p>
      <w:pPr>
        <w:spacing w:line="360" w:lineRule="auto"/>
        <w:rPr>
          <w:rFonts w:ascii="黑体" w:hAnsi="宋体" w:eastAsia="黑体"/>
          <w:bCs/>
          <w:color w:val="auto"/>
          <w:sz w:val="28"/>
          <w:szCs w:val="28"/>
          <w:highlight w:val="none"/>
        </w:rPr>
      </w:pPr>
      <w:r>
        <w:rPr>
          <w:rFonts w:ascii="宋体" w:hAnsi="宋体"/>
          <w:bCs/>
          <w:color w:val="auto"/>
          <w:szCs w:val="21"/>
          <w:highlight w:val="none"/>
        </w:rPr>
        <w:br w:type="page" w:clear="all"/>
      </w:r>
      <w:r>
        <w:rPr>
          <w:rFonts w:hint="eastAsia" w:ascii="黑体" w:hAnsi="宋体" w:eastAsia="黑体"/>
          <w:bCs/>
          <w:color w:val="auto"/>
          <w:sz w:val="28"/>
          <w:szCs w:val="28"/>
          <w:highlight w:val="none"/>
        </w:rPr>
        <w:t xml:space="preserve">（四）价格折扣文件</w:t>
      </w:r>
      <w:r/>
    </w:p>
    <w:p>
      <w:pPr>
        <w:jc w:val="center"/>
        <w:spacing w:after="156"/>
        <w:rPr>
          <w:rFonts w:ascii="宋体" w:hAnsi="宋体"/>
          <w:color w:val="auto"/>
          <w:sz w:val="24"/>
          <w:szCs w:val="24"/>
          <w:highlight w:val="none"/>
          <w:lang w:val="zh-CN"/>
        </w:rPr>
      </w:pPr>
      <w:r/>
      <w:bookmarkStart w:id="242" w:name="_Hlk151451525"/>
      <w:r>
        <w:rPr>
          <w:rFonts w:hint="eastAsia" w:ascii="黑体" w:hAnsi="宋体" w:eastAsia="黑体"/>
          <w:bCs/>
          <w:color w:val="auto"/>
          <w:sz w:val="28"/>
          <w:szCs w:val="28"/>
          <w:highlight w:val="none"/>
        </w:rPr>
        <w:t xml:space="preserve">企业报价折扣证明</w:t>
      </w:r>
      <w:r/>
    </w:p>
    <w:tbl>
      <w:tblPr>
        <w:tblStyle w:val="873"/>
        <w:tblW w:w="100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1"/>
        <w:gridCol w:w="1095"/>
        <w:gridCol w:w="1852"/>
        <w:gridCol w:w="3230"/>
        <w:gridCol w:w="3230"/>
      </w:tblGrid>
      <w:tr>
        <w:trPr>
          <w:jc w:val="center"/>
          <w:trHeight w:val="909"/>
        </w:trPr>
        <w:tc>
          <w:tcPr>
            <w:tcW w:w="611"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olor w:val="auto"/>
                <w:szCs w:val="21"/>
                <w:highlight w:val="none"/>
                <w:lang w:val="zh-CN"/>
              </w:rPr>
              <w:t xml:space="preserve">序号</w:t>
            </w:r>
            <w:r/>
          </w:p>
        </w:tc>
        <w:tc>
          <w:tcPr>
            <w:tcW w:w="109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企业（产品）性质</w:t>
            </w:r>
            <w:r/>
          </w:p>
        </w:tc>
        <w:tc>
          <w:tcPr>
            <w:tcW w:w="1852"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投标产品类别</w:t>
            </w:r>
            <w:r/>
          </w:p>
        </w:tc>
        <w:tc>
          <w:tcPr>
            <w:tcW w:w="323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须提交的证明材料</w:t>
            </w:r>
            <w:r/>
          </w:p>
        </w:tc>
        <w:tc>
          <w:tcPr>
            <w:tcW w:w="323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供应商（产品）类型声明</w:t>
            </w:r>
            <w:r/>
          </w:p>
        </w:tc>
      </w:tr>
      <w:tr>
        <w:trPr>
          <w:jc w:val="center"/>
          <w:trHeight w:val="1301"/>
        </w:trPr>
        <w:tc>
          <w:tcPr>
            <w:tcW w:w="611" w:type="dxa"/>
            <w:vAlign w:val="center"/>
            <w:vMerge w:val="restart"/>
            <w:textDirection w:val="lrTb"/>
            <w:noWrap w:val="false"/>
          </w:tcPr>
          <w:p>
            <w:pPr>
              <w:jc w:val="center"/>
              <w:spacing w:line="360" w:lineRule="auto"/>
              <w:rPr>
                <w:rFonts w:hint="eastAsia" w:ascii="宋体" w:hAnsi="宋体" w:cs="宋体"/>
                <w:bCs/>
                <w:color w:val="auto"/>
                <w:szCs w:val="21"/>
                <w:highlight w:val="none"/>
              </w:rPr>
            </w:pPr>
            <w:r>
              <w:rPr>
                <w:rFonts w:ascii="宋体" w:hAnsi="宋体" w:cs="宋体"/>
                <w:bCs/>
                <w:color w:val="auto"/>
                <w:szCs w:val="21"/>
                <w:highlight w:val="none"/>
              </w:rPr>
              <w:t xml:space="preserve">1</w:t>
            </w:r>
            <w:r/>
          </w:p>
        </w:tc>
        <w:tc>
          <w:tcPr>
            <w:tcW w:w="1095" w:type="dxa"/>
            <w:vAlign w:val="center"/>
            <w:vMerge w:val="restart"/>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节能</w:t>
            </w:r>
            <w:r/>
          </w:p>
        </w:tc>
        <w:tc>
          <w:tcPr>
            <w:tcW w:w="185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强制采购节能产品</w:t>
            </w:r>
            <w:r/>
          </w:p>
        </w:tc>
        <w:tc>
          <w:tcPr>
            <w:tcW w:w="3230"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由国家确定的认证机构出具的、处于有效期之内的节能产品认证证书</w:t>
            </w:r>
            <w:r/>
          </w:p>
        </w:tc>
        <w:tc>
          <w:tcPr>
            <w:tcW w:w="3230" w:type="dxa"/>
            <w:vAlign w:val="center"/>
            <w:textDirection w:val="lrTb"/>
            <w:noWrap w:val="false"/>
          </w:tcPr>
          <w:p>
            <w:pPr>
              <w:jc w:val="left"/>
              <w:spacing w:line="360" w:lineRule="auto"/>
              <w:rPr>
                <w:rFonts w:hint="eastAsia" w:ascii="宋体" w:hAnsi="宋体" w:cs="宋体"/>
                <w:color w:val="auto"/>
                <w:szCs w:val="21"/>
                <w:highlight w:val="none"/>
                <w:lang w:val="zh-CN"/>
              </w:rPr>
            </w:pPr>
            <w:r/>
            <w:bookmarkStart w:id="243" w:name="OLE_LINK67"/>
            <w:r>
              <w:rPr>
                <w:rFonts w:hint="eastAsia" w:ascii="宋体" w:hAnsi="宋体" w:cs="宋体"/>
                <w:color w:val="auto"/>
                <w:szCs w:val="21"/>
                <w:highlight w:val="none"/>
                <w:lang w:val="zh-CN"/>
              </w:rPr>
              <w:t xml:space="preserve">有</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没有</w:t>
            </w:r>
            <w:bookmarkEnd w:id="243"/>
            <w:r/>
            <w:r/>
          </w:p>
        </w:tc>
      </w:tr>
      <w:tr>
        <w:trPr>
          <w:jc w:val="center"/>
          <w:trHeight w:val="1301"/>
        </w:trPr>
        <w:tc>
          <w:tcPr>
            <w:tcW w:w="611" w:type="dxa"/>
            <w:vAlign w:val="center"/>
            <w:vMerge w:val="continue"/>
            <w:textDirection w:val="lrTb"/>
            <w:noWrap w:val="false"/>
          </w:tcPr>
          <w:p>
            <w:pPr>
              <w:jc w:val="left"/>
              <w:spacing w:line="360" w:lineRule="auto"/>
              <w:rPr>
                <w:color w:val="auto"/>
                <w:highlight w:val="none"/>
              </w:rPr>
            </w:pPr>
            <w:r>
              <w:rPr>
                <w:color w:val="auto"/>
                <w:highlight w:val="none"/>
              </w:rPr>
            </w:r>
            <w:r/>
          </w:p>
        </w:tc>
        <w:tc>
          <w:tcPr>
            <w:tcW w:w="1095" w:type="dxa"/>
            <w:vAlign w:val="center"/>
            <w:vMerge w:val="continue"/>
            <w:textDirection w:val="lrTb"/>
            <w:noWrap w:val="false"/>
          </w:tcPr>
          <w:p>
            <w:pPr>
              <w:jc w:val="left"/>
              <w:spacing w:line="360" w:lineRule="auto"/>
              <w:rPr>
                <w:color w:val="auto"/>
                <w:highlight w:val="none"/>
              </w:rPr>
            </w:pPr>
            <w:r>
              <w:rPr>
                <w:color w:val="auto"/>
                <w:highlight w:val="none"/>
              </w:rPr>
            </w:r>
            <w:r/>
          </w:p>
        </w:tc>
        <w:tc>
          <w:tcPr>
            <w:tcW w:w="185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优先采购节能产品</w:t>
            </w:r>
            <w:r/>
          </w:p>
        </w:tc>
        <w:tc>
          <w:tcPr>
            <w:tcW w:w="3230"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由国家确定的认证机构出具的、处于有效期之内的节能产品认证证书复印件</w:t>
            </w:r>
            <w:r/>
          </w:p>
        </w:tc>
        <w:tc>
          <w:tcPr>
            <w:tcW w:w="3230" w:type="dxa"/>
            <w:vAlign w:val="center"/>
            <w:textDirection w:val="lrTb"/>
            <w:noWrap w:val="false"/>
          </w:tcPr>
          <w:p>
            <w:pPr>
              <w:jc w:val="both"/>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有</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没有</w:t>
            </w:r>
            <w:r/>
          </w:p>
        </w:tc>
      </w:tr>
      <w:tr>
        <w:trPr>
          <w:jc w:val="center"/>
          <w:trHeight w:val="1301"/>
        </w:trPr>
        <w:tc>
          <w:tcPr>
            <w:shd w:val="clear" w:color="auto" w:fill="auto"/>
            <w:tcW w:w="611"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val="en-US" w:eastAsia="zh-CN" w:bidi="ar-SA"/>
              </w:rPr>
            </w:pPr>
            <w:r>
              <w:rPr>
                <w:rFonts w:ascii="宋体" w:hAnsi="宋体" w:cs="宋体"/>
                <w:bCs/>
                <w:color w:val="auto"/>
                <w:szCs w:val="21"/>
                <w:highlight w:val="none"/>
              </w:rPr>
              <w:t xml:space="preserve">2</w:t>
            </w:r>
            <w:r/>
          </w:p>
        </w:tc>
        <w:tc>
          <w:tcPr>
            <w:tcW w:w="1095" w:type="dxa"/>
            <w:vAlign w:val="center"/>
            <w:textDirection w:val="lrTb"/>
            <w:noWrap w:val="false"/>
          </w:tcPr>
          <w:p>
            <w:pPr>
              <w:jc w:val="left"/>
              <w:spacing w:line="360" w:lineRule="auto"/>
              <w:rPr>
                <w:rFonts w:hint="eastAsia" w:eastAsia="宋体"/>
                <w:color w:val="auto"/>
                <w:highlight w:val="none"/>
                <w:lang w:val="en-US" w:eastAsia="zh-CN"/>
              </w:rPr>
            </w:pPr>
            <w:r>
              <w:rPr>
                <w:rFonts w:hint="eastAsia"/>
                <w:color w:val="auto"/>
                <w:highlight w:val="none"/>
                <w:lang w:val="en-US" w:eastAsia="zh-CN"/>
              </w:rPr>
              <w:t xml:space="preserve">本国产品</w:t>
            </w:r>
            <w:r/>
          </w:p>
        </w:tc>
        <w:tc>
          <w:tcPr>
            <w:tcW w:w="185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货物</w:t>
            </w:r>
            <w:r>
              <w:rPr>
                <w:rFonts w:hint="eastAsia" w:ascii="宋体" w:hAnsi="宋体" w:cs="宋体"/>
                <w:color w:val="auto"/>
                <w:szCs w:val="21"/>
                <w:highlight w:val="none"/>
              </w:rPr>
              <w:t xml:space="preserve">在中国境内生产，即在中华人民共和国关境内实现从原材料、组件到产品的属性改变</w:t>
            </w:r>
            <w:r/>
          </w:p>
        </w:tc>
        <w:tc>
          <w:tcPr>
            <w:tcW w:w="3230" w:type="dxa"/>
            <w:vAlign w:val="center"/>
            <w:textDirection w:val="lrTb"/>
            <w:noWrap w:val="false"/>
          </w:tcPr>
          <w:p>
            <w:pPr>
              <w:jc w:val="left"/>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zh-CN"/>
              </w:rPr>
              <w:t xml:space="preserve">《关于符合本国产品标准的声明函》（样式见附件</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w:t>
            </w:r>
            <w:r/>
          </w:p>
        </w:tc>
        <w:tc>
          <w:tcPr>
            <w:tcW w:w="3230" w:type="dxa"/>
            <w:vAlign w:val="center"/>
            <w:textDirection w:val="lrTb"/>
            <w:noWrap w:val="false"/>
          </w:tcPr>
          <w:p>
            <w:pPr>
              <w:jc w:val="both"/>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有</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没有</w:t>
            </w:r>
            <w:r/>
          </w:p>
        </w:tc>
      </w:tr>
      <w:tr>
        <w:trPr>
          <w:jc w:val="center"/>
          <w:trHeight w:val="1301"/>
        </w:trPr>
        <w:tc>
          <w:tcPr>
            <w:shd w:val="clear" w:color="auto" w:fill="auto"/>
            <w:tcW w:w="611"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val="en-US" w:eastAsia="zh-CN" w:bidi="ar-SA"/>
              </w:rPr>
            </w:pPr>
            <w:r>
              <w:rPr>
                <w:rFonts w:ascii="宋体" w:hAnsi="宋体" w:cs="宋体"/>
                <w:color w:val="auto"/>
                <w:szCs w:val="21"/>
                <w:highlight w:val="none"/>
              </w:rPr>
              <w:t xml:space="preserve">3</w:t>
            </w:r>
            <w:r/>
          </w:p>
        </w:tc>
        <w:tc>
          <w:tcPr>
            <w:tcW w:w="1095"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信息安全</w:t>
            </w:r>
            <w:r/>
          </w:p>
        </w:tc>
        <w:tc>
          <w:tcPr>
            <w:tcW w:w="1852"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强制采购</w:t>
            </w:r>
            <w:r>
              <w:rPr>
                <w:rFonts w:hint="eastAsia" w:ascii="宋体" w:hAnsi="宋体" w:cs="宋体"/>
                <w:color w:val="auto"/>
                <w:szCs w:val="21"/>
                <w:highlight w:val="none"/>
                <w:lang w:val="zh-CN"/>
              </w:rPr>
              <w:t xml:space="preserve">信息安全产品</w:t>
            </w:r>
            <w:r/>
          </w:p>
        </w:tc>
        <w:tc>
          <w:tcPr>
            <w:tcW w:w="3230"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由具备资格的机构安全认证合格或者安全检测符合要求的证明材料</w:t>
            </w:r>
            <w:r/>
          </w:p>
        </w:tc>
        <w:tc>
          <w:tcPr>
            <w:tcW w:w="3230"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有</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没有</w:t>
            </w:r>
            <w:r/>
          </w:p>
        </w:tc>
      </w:tr>
      <w:tr>
        <w:trPr>
          <w:jc w:val="center"/>
          <w:trHeight w:val="909"/>
        </w:trPr>
        <w:tc>
          <w:tcPr>
            <w:shd w:val="clear" w:color="auto" w:fill="auto"/>
            <w:tcW w:w="611"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val="en-US" w:eastAsia="zh-CN" w:bidi="ar-SA"/>
              </w:rPr>
            </w:pPr>
            <w:r>
              <w:rPr>
                <w:rFonts w:ascii="宋体" w:hAnsi="宋体" w:cs="宋体"/>
                <w:bCs/>
                <w:color w:val="auto"/>
                <w:szCs w:val="21"/>
                <w:highlight w:val="none"/>
              </w:rPr>
              <w:t xml:space="preserve">4</w:t>
            </w:r>
            <w:r/>
          </w:p>
        </w:tc>
        <w:tc>
          <w:tcPr>
            <w:tcW w:w="1095"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小微型</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企业产品</w:t>
            </w:r>
            <w:r/>
          </w:p>
        </w:tc>
        <w:tc>
          <w:tcPr>
            <w:tcW w:w="1852"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货物由小微企业制造</w:t>
            </w:r>
            <w:r/>
          </w:p>
        </w:tc>
        <w:tc>
          <w:tcPr>
            <w:tcW w:w="3230" w:type="dxa"/>
            <w:vAlign w:val="center"/>
            <w:textDirection w:val="lrTb"/>
            <w:noWrap w:val="false"/>
          </w:tcPr>
          <w:p>
            <w:pPr>
              <w:jc w:val="left"/>
              <w:spacing w:line="360" w:lineRule="auto"/>
              <w:rPr>
                <w:rFonts w:hint="eastAsia" w:ascii="宋体" w:hAnsi="宋体" w:cs="宋体"/>
                <w:bCs/>
                <w:color w:val="auto"/>
                <w:szCs w:val="21"/>
                <w:highlight w:val="none"/>
              </w:rPr>
            </w:pPr>
            <w:r/>
            <w:bookmarkStart w:id="244" w:name="OLE_LINK72"/>
            <w:r>
              <w:rPr>
                <w:rFonts w:hint="eastAsia" w:ascii="宋体" w:hAnsi="宋体" w:cs="宋体"/>
                <w:bCs/>
                <w:color w:val="auto"/>
                <w:szCs w:val="21"/>
                <w:highlight w:val="none"/>
              </w:rPr>
              <w:t xml:space="preserve">《中小企业声明函》</w:t>
            </w:r>
            <w:bookmarkEnd w:id="244"/>
            <w:r/>
            <w:bookmarkStart w:id="245" w:name="OLE_LINK65"/>
            <w:r>
              <w:rPr>
                <w:rFonts w:hint="eastAsia" w:ascii="宋体" w:hAnsi="宋体" w:cs="宋体"/>
                <w:bCs/>
                <w:color w:val="auto"/>
                <w:szCs w:val="21"/>
                <w:highlight w:val="none"/>
              </w:rPr>
              <w:t xml:space="preserve">（格式见附件1）</w:t>
            </w:r>
            <w:bookmarkEnd w:id="245"/>
            <w:r/>
            <w:r/>
          </w:p>
        </w:tc>
        <w:tc>
          <w:tcPr>
            <w:tcW w:w="3230" w:type="dxa"/>
            <w:vAlign w:val="center"/>
            <w:textDirection w:val="lrTb"/>
            <w:noWrap w:val="false"/>
          </w:tcPr>
          <w:p>
            <w:pPr>
              <w:jc w:val="left"/>
              <w:spacing w:line="360" w:lineRule="auto"/>
              <w:rPr>
                <w:rFonts w:hint="eastAsia" w:ascii="宋体" w:hAnsi="宋体" w:cs="宋体"/>
                <w:bCs/>
                <w:color w:val="auto"/>
                <w:szCs w:val="21"/>
                <w:highlight w:val="none"/>
              </w:rPr>
            </w:pPr>
            <w:r/>
            <w:bookmarkStart w:id="246" w:name="OLE_LINK66"/>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bookmarkEnd w:id="246"/>
            <w:r/>
            <w:r/>
          </w:p>
        </w:tc>
      </w:tr>
      <w:tr>
        <w:trPr>
          <w:jc w:val="center"/>
          <w:trHeight w:val="909"/>
        </w:trPr>
        <w:tc>
          <w:tcPr>
            <w:tcW w:w="611" w:type="dxa"/>
            <w:vAlign w:val="center"/>
            <w:vMerge w:val="restart"/>
            <w:textDirection w:val="lrTb"/>
            <w:noWrap w:val="false"/>
          </w:tcPr>
          <w:p>
            <w:pPr>
              <w:jc w:val="center"/>
              <w:spacing w:line="360" w:lineRule="auto"/>
              <w:rPr>
                <w:rFonts w:hint="eastAsia" w:ascii="宋体" w:hAnsi="宋体" w:cs="宋体"/>
                <w:bCs/>
                <w:color w:val="auto"/>
                <w:szCs w:val="21"/>
                <w:highlight w:val="none"/>
              </w:rPr>
            </w:pPr>
            <w:r>
              <w:rPr>
                <w:rFonts w:ascii="宋体" w:hAnsi="宋体" w:cs="宋体"/>
                <w:bCs/>
                <w:color w:val="auto"/>
                <w:szCs w:val="21"/>
                <w:highlight w:val="none"/>
              </w:rPr>
              <w:t xml:space="preserve">5</w:t>
            </w:r>
            <w:r/>
          </w:p>
        </w:tc>
        <w:tc>
          <w:tcPr>
            <w:tcW w:w="1095" w:type="dxa"/>
            <w:vAlign w:val="center"/>
            <w:vMerge w:val="restart"/>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残疾人福利性单位</w:t>
            </w:r>
            <w:r/>
          </w:p>
        </w:tc>
        <w:tc>
          <w:tcPr>
            <w:tcW w:w="1852"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货物由残疾人福利性单位制造</w:t>
            </w:r>
            <w:r/>
          </w:p>
        </w:tc>
        <w:tc>
          <w:tcPr>
            <w:tcW w:w="3230" w:type="dxa"/>
            <w:vAlign w:val="center"/>
            <w:textDirection w:val="lrTb"/>
            <w:noWrap w:val="false"/>
          </w:tcPr>
          <w:p>
            <w:pPr>
              <w:jc w:val="left"/>
              <w:spacing w:line="360" w:lineRule="auto"/>
              <w:rPr>
                <w:rFonts w:hint="eastAsia" w:ascii="宋体" w:hAnsi="宋体" w:cs="宋体"/>
                <w:bCs/>
                <w:color w:val="auto"/>
                <w:szCs w:val="21"/>
                <w:highlight w:val="none"/>
              </w:rPr>
            </w:pPr>
            <w:r/>
            <w:bookmarkStart w:id="247" w:name="OLE_LINK73"/>
            <w:r>
              <w:rPr>
                <w:rFonts w:hint="eastAsia" w:ascii="宋体" w:hAnsi="宋体" w:cs="宋体"/>
                <w:bCs/>
                <w:color w:val="auto"/>
                <w:szCs w:val="21"/>
                <w:highlight w:val="none"/>
              </w:rPr>
              <w:t xml:space="preserve">《残疾人福利性单位声明函》</w:t>
            </w:r>
            <w:bookmarkEnd w:id="247"/>
            <w:r>
              <w:rPr>
                <w:rFonts w:hint="eastAsia" w:ascii="宋体" w:hAnsi="宋体" w:cs="宋体"/>
                <w:bCs/>
                <w:color w:val="auto"/>
                <w:szCs w:val="21"/>
                <w:highlight w:val="none"/>
              </w:rPr>
              <w:t xml:space="preserve">（格式见附件2）</w:t>
            </w:r>
            <w:r/>
          </w:p>
        </w:tc>
        <w:tc>
          <w:tcPr>
            <w:tcW w:w="3230" w:type="dxa"/>
            <w:vAlign w:val="center"/>
            <w:textDirection w:val="lrTb"/>
            <w:noWrap w:val="false"/>
          </w:tcPr>
          <w:p>
            <w:pPr>
              <w:jc w:val="left"/>
              <w:spacing w:line="360" w:lineRule="auto"/>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1301"/>
        </w:trPr>
        <w:tc>
          <w:tcPr>
            <w:shd w:val="clear" w:color="auto" w:fill="auto"/>
            <w:tcW w:w="611" w:type="dxa"/>
            <w:vAlign w:val="center"/>
            <w:vMerge w:val="continue"/>
            <w:textDirection w:val="lrTb"/>
            <w:noWrap w:val="false"/>
          </w:tcPr>
          <w:p>
            <w:pPr>
              <w:jc w:val="cente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r>
            <w:r/>
          </w:p>
        </w:tc>
        <w:tc>
          <w:tcPr>
            <w:tcW w:w="1095" w:type="dxa"/>
            <w:vAlign w:val="center"/>
            <w:vMerge w:val="continue"/>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852"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提供其他残疾人福利性单位制造的货物</w:t>
            </w:r>
            <w:r/>
          </w:p>
        </w:tc>
        <w:tc>
          <w:tcPr>
            <w:tcW w:w="3230" w:type="dxa"/>
            <w:vAlign w:val="center"/>
            <w:textDirection w:val="lrTb"/>
            <w:noWrap w:val="false"/>
          </w:tcPr>
          <w:p>
            <w:pPr>
              <w:jc w:val="left"/>
              <w:spacing w:line="360" w:lineRule="auto"/>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供应商《残疾人福利性单位声明函》（附件</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）及制造商《企业类型声明函》（附件</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w:t>
            </w:r>
            <w:r/>
          </w:p>
        </w:tc>
        <w:tc>
          <w:tcPr>
            <w:tcW w:w="3230"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1355"/>
        </w:trPr>
        <w:tc>
          <w:tcPr>
            <w:shd w:val="clear" w:color="auto" w:fill="auto"/>
            <w:tcW w:w="611"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Cs w:val="21"/>
                <w:highlight w:val="none"/>
                <w:lang w:val="en-US" w:eastAsia="zh-CN"/>
              </w:rPr>
              <w:t xml:space="preserve">6</w:t>
            </w:r>
            <w:r/>
          </w:p>
        </w:tc>
        <w:tc>
          <w:tcPr>
            <w:tcW w:w="1095"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监狱</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企业</w:t>
            </w:r>
            <w:r/>
          </w:p>
        </w:tc>
        <w:tc>
          <w:tcPr>
            <w:tcW w:w="1852"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货物由监狱企业制造</w:t>
            </w:r>
            <w:r/>
          </w:p>
        </w:tc>
        <w:tc>
          <w:tcPr>
            <w:tcW w:w="3230" w:type="dxa"/>
            <w:vAlign w:val="center"/>
            <w:textDirection w:val="lrTb"/>
            <w:noWrap w:val="false"/>
          </w:tcPr>
          <w:p>
            <w:pPr>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省级以上监狱管理局、戒毒管理局（含新疆生产建设兵团）出具的属于监狱企业的证明文件</w:t>
            </w:r>
            <w:r/>
          </w:p>
        </w:tc>
        <w:tc>
          <w:tcPr>
            <w:tcW w:w="3230" w:type="dxa"/>
            <w:vAlign w:val="center"/>
            <w:textDirection w:val="lrTb"/>
            <w:noWrap w:val="false"/>
          </w:tcPr>
          <w:p>
            <w:pPr>
              <w:jc w:val="left"/>
              <w:spacing w:line="360" w:lineRule="auto"/>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1381"/>
        </w:trPr>
        <w:tc>
          <w:tcPr>
            <w:tcW w:w="611" w:type="dxa"/>
            <w:vAlign w:val="center"/>
            <w:textDirection w:val="lrTb"/>
            <w:noWrap w:val="false"/>
          </w:tcPr>
          <w:p>
            <w:pPr>
              <w:jc w:val="center"/>
              <w:spacing w:line="360" w:lineRule="auto"/>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7</w:t>
            </w:r>
            <w:r/>
          </w:p>
        </w:tc>
        <w:tc>
          <w:tcPr>
            <w:tcW w:w="1095"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环保</w:t>
            </w:r>
            <w:r/>
          </w:p>
        </w:tc>
        <w:tc>
          <w:tcPr>
            <w:tcW w:w="1852"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优先采购环境标志产品</w:t>
            </w:r>
            <w:r/>
          </w:p>
        </w:tc>
        <w:tc>
          <w:tcPr>
            <w:tcW w:w="3230" w:type="dxa"/>
            <w:vAlign w:val="center"/>
            <w:textDirection w:val="lrTb"/>
            <w:noWrap w:val="false"/>
          </w:tcPr>
          <w:p>
            <w:pPr>
              <w:jc w:val="left"/>
              <w:spacing w:line="360" w:lineRule="auto"/>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由国家确定的认证机构出具的、处于有效期之内的环境标志产品认证证书复印件</w:t>
            </w:r>
            <w:r/>
          </w:p>
        </w:tc>
        <w:tc>
          <w:tcPr>
            <w:tcW w:w="3230" w:type="dxa"/>
            <w:vAlign w:val="center"/>
            <w:textDirection w:val="lrTb"/>
            <w:noWrap w:val="false"/>
          </w:tcPr>
          <w:p>
            <w:pPr>
              <w:jc w:val="both"/>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有</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没有</w:t>
            </w:r>
            <w:r/>
          </w:p>
        </w:tc>
      </w:tr>
    </w:tbl>
    <w:p>
      <w:pPr>
        <w:ind w:firstLine="420"/>
        <w:jc w:val="left"/>
        <w:spacing w:line="240" w:lineRule="atLeas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jc w:val="left"/>
        <w:spacing w:line="240" w:lineRule="atLeas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w:t>
      </w:r>
      <w:bookmarkStart w:id="248" w:name="OLE_LINK264"/>
      <w:r/>
      <w:r/>
    </w:p>
    <w:p>
      <w:pPr>
        <w:ind w:firstLine="420"/>
        <w:jc w:val="left"/>
        <w:spacing w:line="240" w:lineRule="atLeas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1、以上产品应当为符合政府采购政策相关规定的产品。</w:t>
      </w:r>
      <w:r/>
    </w:p>
    <w:p>
      <w:pPr>
        <w:ind w:firstLine="420"/>
        <w:jc w:val="left"/>
        <w:spacing w:line="240" w:lineRule="atLeas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2、投标人根据招标文件要求提供相关证明材料（如有），以提供的有效证明材料为准 。</w:t>
      </w:r>
      <w:bookmarkEnd w:id="248"/>
      <w:r/>
      <w:r/>
    </w:p>
    <w:p>
      <w:pPr>
        <w:ind w:firstLine="422"/>
        <w:jc w:val="left"/>
        <w:spacing w:line="240" w:lineRule="atLeas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3、如本项目含有强制采购产品，必须提供相关证明材料，否则投标无效。</w:t>
      </w:r>
      <w:r/>
    </w:p>
    <w:p>
      <w:pPr>
        <w:ind w:firstLine="420"/>
        <w:jc w:val="left"/>
        <w:spacing w:line="240" w:lineRule="atLeast"/>
        <w:rPr>
          <w:rFonts w:ascii="宋体" w:hAnsi="宋体" w:cs="宋体"/>
          <w:color w:val="auto"/>
          <w:szCs w:val="21"/>
          <w:highlight w:val="none"/>
          <w:lang w:val="zh-CN"/>
        </w:rPr>
      </w:pPr>
      <w:r>
        <w:rPr>
          <w:rFonts w:hint="eastAsia" w:ascii="宋体" w:hAnsi="宋体" w:cs="宋体"/>
          <w:color w:val="auto"/>
          <w:szCs w:val="21"/>
          <w:highlight w:val="none"/>
          <w:lang w:val="zh-CN"/>
        </w:rPr>
        <w:t xml:space="preserve">4、如本项目给予报价扣除优惠，须提供相关证明材料，否则不享受报价扣除优惠。</w:t>
      </w:r>
      <w:bookmarkEnd w:id="242"/>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20"/>
        <w:jc w:val="left"/>
        <w:spacing w:line="240" w:lineRule="atLeas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jc w:val="left"/>
        <w:spacing w:line="240" w:lineRule="atLeas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jc w:val="left"/>
        <w:spacing w:line="240" w:lineRule="atLeast"/>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rPr>
          <w:rFonts w:ascii="黑体" w:hAnsi="宋体" w:eastAsia="黑体"/>
          <w:bCs/>
          <w:color w:val="auto"/>
          <w:sz w:val="24"/>
          <w:szCs w:val="24"/>
          <w:highlight w:val="none"/>
        </w:rPr>
      </w:pPr>
      <w:r>
        <w:rPr>
          <w:rFonts w:ascii="宋体" w:hAnsi="宋体" w:cs="宋体"/>
          <w:b/>
          <w:bCs/>
          <w:color w:val="auto"/>
          <w:szCs w:val="21"/>
          <w:highlight w:val="none"/>
        </w:rPr>
        <w:br w:type="page" w:clear="all"/>
      </w:r>
      <w:r>
        <w:rPr>
          <w:rFonts w:hint="eastAsia" w:ascii="黑体" w:hAnsi="宋体" w:eastAsia="黑体"/>
          <w:bCs/>
          <w:color w:val="auto"/>
          <w:sz w:val="24"/>
          <w:szCs w:val="24"/>
          <w:highlight w:val="none"/>
        </w:rPr>
        <w:t xml:space="preserve">附件1：中小企业声明函（格式）：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中小企业声明函</w:t>
      </w:r>
      <w:r/>
    </w:p>
    <w:p>
      <w:pPr>
        <w:rPr>
          <w:color w:val="auto"/>
          <w:highlight w:val="none"/>
        </w:rPr>
      </w:pPr>
      <w:r>
        <w:rPr>
          <w:color w:val="auto"/>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2020</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46 号）的规定，本公司（联合体）参加</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（单位名称）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（项目名称）  </w:t>
      </w:r>
      <w:r>
        <w:rPr>
          <w:rFonts w:hint="eastAsia" w:ascii="宋体" w:hAnsi="宋体"/>
          <w:bCs/>
          <w:color w:val="auto"/>
          <w:sz w:val="24"/>
          <w:szCs w:val="24"/>
          <w:highlight w:val="none"/>
        </w:rPr>
        <w:t xml:space="preserve">采购活动</w:t>
      </w:r>
      <w:r>
        <w:rPr>
          <w:rFonts w:ascii="宋体" w:hAnsi="宋体"/>
          <w:bCs/>
          <w:color w:val="auto"/>
          <w:sz w:val="24"/>
          <w:szCs w:val="24"/>
          <w:highlight w:val="none"/>
        </w:rPr>
        <w:t xml:space="preserve">，提供的货物全部由符合政策要求的中小企业制造。相关企业（含联合体中的中小企业、签订分包意向协议的中小企业） 的具体情况如下：</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 ，属于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行业；制造商为（企业名称）</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，从业人员</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rPr>
        <w:t xml:space="preserve">人，营业收入为</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（中型企业、小型企业、微型企业）；</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 ，属于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行业；制造商为（企业名称）</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，从业人员</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rPr>
        <w:t xml:space="preserve">人，营业收入为</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rPr>
        <w:t xml:space="preserve">万元，资产总额为</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（中型企业、小型企业、微型企业）；</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pStyle w:val="971"/>
        <w:ind w:right="420" w:firstLine="645"/>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本企业对上述声明内容的真实性负责。如有虚假，将依法承担相应责任。</w:t>
      </w:r>
      <w:r/>
    </w:p>
    <w:p>
      <w:pPr>
        <w:spacing w:line="580" w:lineRule="exact"/>
        <w:rPr>
          <w:rFonts w:ascii="宋体"/>
          <w:bCs/>
          <w:color w:val="auto"/>
          <w:sz w:val="24"/>
          <w:szCs w:val="24"/>
          <w:highlight w:val="none"/>
        </w:rPr>
      </w:pPr>
      <w:r>
        <w:rPr>
          <w:rFonts w:ascii="宋体"/>
          <w:bCs/>
          <w:color w:val="auto"/>
          <w:sz w:val="24"/>
          <w:szCs w:val="24"/>
          <w:highlight w:val="none"/>
        </w:rPr>
      </w:r>
      <w:r/>
    </w:p>
    <w:p>
      <w:pPr>
        <w:ind w:firstLine="480"/>
        <w:jc w:val="left"/>
        <w:spacing w:line="580" w:lineRule="exact"/>
        <w:rPr>
          <w:rFonts w:ascii="宋体" w:hAnsi="宋体"/>
          <w:bCs/>
          <w:color w:val="auto"/>
          <w:sz w:val="24"/>
          <w:highlight w:val="none"/>
          <w:lang w:val="zh-CN"/>
        </w:rPr>
      </w:pPr>
      <w:r>
        <w:rPr>
          <w:rFonts w:hint="eastAsia" w:ascii="宋体" w:hAnsi="宋体"/>
          <w:bCs/>
          <w:color w:val="auto"/>
          <w:sz w:val="24"/>
          <w:highlight w:val="none"/>
        </w:rPr>
        <w:t xml:space="preserve">                                  </w:t>
      </w:r>
      <w:r>
        <w:rPr>
          <w:color w:val="auto"/>
          <w:sz w:val="24"/>
          <w:szCs w:val="24"/>
          <w:highlight w:val="none"/>
        </w:rPr>
        <w:t xml:space="preserve">供应商（电子签章）：</w:t>
      </w:r>
      <w:r/>
    </w:p>
    <w:p>
      <w:pPr>
        <w:ind w:firstLine="480"/>
        <w:jc w:val="left"/>
        <w:rPr>
          <w:rFonts w:ascii="宋体" w:hAnsi="宋体"/>
          <w:color w:val="auto"/>
          <w:sz w:val="24"/>
          <w:szCs w:val="21"/>
          <w:highlight w:val="none"/>
        </w:rPr>
      </w:pPr>
      <w:r>
        <w:rPr>
          <w:rFonts w:ascii="宋体" w:hAnsi="宋体"/>
          <w:color w:val="auto"/>
          <w:sz w:val="24"/>
          <w:szCs w:val="21"/>
          <w:highlight w:val="none"/>
        </w:rPr>
      </w:r>
      <w:r/>
    </w:p>
    <w:p>
      <w:pPr>
        <w:ind w:firstLine="480"/>
        <w:jc w:val="left"/>
        <w:rPr>
          <w:rFonts w:ascii="宋体" w:hAnsi="宋体"/>
          <w:color w:val="auto"/>
          <w:sz w:val="24"/>
          <w:szCs w:val="21"/>
          <w:highlight w:val="none"/>
        </w:rPr>
      </w:pPr>
      <w:r>
        <w:rPr>
          <w:rFonts w:ascii="宋体" w:hAnsi="宋体"/>
          <w:color w:val="auto"/>
          <w:sz w:val="24"/>
          <w:szCs w:val="21"/>
          <w:highlight w:val="none"/>
        </w:rPr>
      </w:r>
      <w:r/>
    </w:p>
    <w:p>
      <w:pPr>
        <w:ind w:firstLine="480"/>
        <w:jc w:val="left"/>
        <w:rPr>
          <w:rFonts w:ascii="宋体" w:hAnsi="宋体"/>
          <w:color w:val="auto"/>
          <w:sz w:val="24"/>
          <w:szCs w:val="21"/>
          <w:highlight w:val="none"/>
        </w:rPr>
      </w:pPr>
      <w:r>
        <w:rPr>
          <w:rFonts w:ascii="宋体" w:hAnsi="宋体"/>
          <w:color w:val="auto"/>
          <w:sz w:val="24"/>
          <w:szCs w:val="21"/>
          <w:highlight w:val="none"/>
        </w:rPr>
      </w:r>
      <w:r/>
    </w:p>
    <w:p>
      <w:pPr>
        <w:ind w:firstLine="480"/>
        <w:jc w:val="left"/>
        <w:rPr>
          <w:rFonts w:ascii="宋体" w:hAnsi="宋体"/>
          <w:color w:val="auto"/>
          <w:sz w:val="24"/>
          <w:szCs w:val="21"/>
          <w:highlight w:val="none"/>
        </w:rPr>
      </w:pPr>
      <w:r>
        <w:rPr>
          <w:rFonts w:ascii="宋体" w:hAnsi="宋体"/>
          <w:color w:val="auto"/>
          <w:sz w:val="24"/>
          <w:szCs w:val="21"/>
          <w:highlight w:val="none"/>
        </w:rPr>
      </w:r>
      <w:r/>
    </w:p>
    <w:p>
      <w:pPr>
        <w:ind w:left="5460" w:hanging="5460"/>
        <w:jc w:val="left"/>
        <w:spacing w:before="156" w:line="360" w:lineRule="auto"/>
        <w:rPr>
          <w:rFonts w:ascii="宋体" w:hAnsi="宋体"/>
          <w:color w:val="auto"/>
          <w:sz w:val="24"/>
          <w:szCs w:val="21"/>
          <w:highlight w:val="none"/>
        </w:rPr>
      </w:pPr>
      <w:r>
        <w:rPr>
          <w:rFonts w:hint="eastAsia" w:ascii="宋体" w:hAnsi="宋体"/>
          <w:color w:val="auto"/>
          <w:sz w:val="24"/>
          <w:szCs w:val="21"/>
          <w:highlight w:val="none"/>
        </w:rPr>
        <w:t xml:space="preserve">注：</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（1）供应商应准确完整填写相关内容，详见第二章供应商须知相关要求。</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）从业人员、营业收入、资产总额填报上一年度数据，无上一年度数据的新成立企业可不填报。</w:t>
      </w:r>
      <w:r/>
    </w:p>
    <w:p>
      <w:pPr>
        <w:jc w:val="left"/>
        <w:spacing w:line="360" w:lineRule="auto"/>
        <w:rPr>
          <w:rFonts w:ascii="黑体" w:hAnsi="宋体" w:eastAsia="黑体"/>
          <w:bCs/>
          <w:color w:val="auto"/>
          <w:sz w:val="24"/>
          <w:szCs w:val="24"/>
          <w:highlight w:val="none"/>
        </w:rPr>
      </w:pPr>
      <w:r>
        <w:rPr>
          <w:rFonts w:ascii="宋体" w:hAnsi="宋体"/>
          <w:color w:val="auto"/>
          <w:sz w:val="24"/>
          <w:szCs w:val="21"/>
          <w:highlight w:val="none"/>
        </w:rPr>
        <w:br w:type="page" w:clear="all"/>
      </w:r>
      <w:r>
        <w:rPr>
          <w:rFonts w:hint="eastAsia" w:ascii="黑体" w:hAnsi="宋体" w:eastAsia="黑体"/>
          <w:bCs/>
          <w:color w:val="auto"/>
          <w:sz w:val="24"/>
          <w:szCs w:val="24"/>
          <w:highlight w:val="none"/>
        </w:rPr>
        <w:t xml:space="preserve">附件2：残疾人福利性单位声明函（格式）：</w:t>
      </w:r>
      <w:r/>
    </w:p>
    <w:p>
      <w:pPr>
        <w:spacing w:line="360" w:lineRule="auto"/>
        <w:rPr>
          <w:rFonts w:ascii="宋体" w:hAnsi="宋体"/>
          <w:color w:val="auto"/>
          <w:sz w:val="28"/>
          <w:highlight w:val="none"/>
        </w:rPr>
      </w:pPr>
      <w:r>
        <w:rPr>
          <w:rFonts w:ascii="宋体" w:hAnsi="宋体"/>
          <w:color w:val="auto"/>
          <w:sz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w:t>
      </w:r>
      <w:r>
        <w:rPr>
          <w:rFonts w:ascii="宋体" w:hAnsi="宋体"/>
          <w:bCs/>
          <w:color w:val="auto"/>
          <w:sz w:val="24"/>
          <w:szCs w:val="24"/>
          <w:highlight w:val="none"/>
          <w:u w:val="single"/>
        </w:rPr>
        <w:tab/>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单位的</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hint="eastAsia" w:ascii="宋体" w:hAnsi="宋体"/>
          <w:bCs/>
          <w:color w:val="auto"/>
          <w:sz w:val="24"/>
          <w:szCs w:val="24"/>
          <w:highlight w:val="none"/>
        </w:rPr>
        <w:t xml:space="preserve">项目采购活动提供本单位制造的货物，或者提供其他残疾人福利性单位制造的货物（不包括使用非残疾人福利性单位注册商标的货物）。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highlight w:val="none"/>
        </w:rPr>
      </w:pPr>
      <w:r>
        <w:rPr>
          <w:rFonts w:hint="eastAsia" w:ascii="宋体" w:hAnsi="宋体"/>
          <w:bCs/>
          <w:color w:val="auto"/>
          <w:sz w:val="24"/>
          <w:highlight w:val="none"/>
        </w:rPr>
        <w:t xml:space="preserve">                                               </w:t>
      </w:r>
      <w:r>
        <w:rPr>
          <w:color w:val="auto"/>
          <w:sz w:val="24"/>
          <w:szCs w:val="24"/>
          <w:highlight w:val="none"/>
        </w:rPr>
        <w:t xml:space="preserve">供应商（电子签章）：</w:t>
      </w:r>
      <w:r>
        <w:rPr>
          <w:rFonts w:hint="eastAsia" w:ascii="宋体" w:hAnsi="宋体"/>
          <w:bCs/>
          <w:color w:val="auto"/>
          <w:sz w:val="24"/>
          <w:highlight w:val="none"/>
        </w:rPr>
        <w:t xml:space="preserve"> </w:t>
      </w:r>
      <w:r/>
    </w:p>
    <w:p>
      <w:pPr>
        <w:rPr>
          <w:rFonts w:ascii="宋体" w:hAnsi="宋体"/>
          <w:bCs/>
          <w:color w:val="auto"/>
          <w:sz w:val="24"/>
          <w:highlight w:val="none"/>
        </w:rPr>
      </w:pPr>
      <w:r>
        <w:rPr>
          <w:rFonts w:ascii="宋体" w:hAnsi="宋体"/>
          <w:bCs/>
          <w:color w:val="auto"/>
          <w:sz w:val="24"/>
          <w:highlight w:val="none"/>
        </w:rPr>
      </w:r>
      <w:r/>
    </w:p>
    <w:p>
      <w:pPr>
        <w:rPr>
          <w:rFonts w:ascii="宋体" w:hAnsi="宋体"/>
          <w:bCs/>
          <w:color w:val="000000"/>
          <w:sz w:val="24"/>
          <w:highlight w:val="none"/>
        </w:rPr>
      </w:pPr>
      <w:r>
        <w:rPr>
          <w:rFonts w:ascii="宋体" w:hAnsi="宋体"/>
          <w:bCs/>
          <w:color w:val="000000"/>
          <w:sz w:val="24"/>
          <w:highlight w:val="none"/>
        </w:rPr>
      </w:r>
      <w:r/>
    </w:p>
    <w:p>
      <w:pPr>
        <w:rPr>
          <w:rFonts w:ascii="宋体" w:hAnsi="宋体"/>
          <w:bCs/>
          <w:color w:val="000000"/>
          <w:sz w:val="24"/>
          <w:highlight w:val="none"/>
        </w:rPr>
      </w:pPr>
      <w:r>
        <w:rPr>
          <w:rFonts w:ascii="宋体" w:hAnsi="宋体"/>
          <w:bCs/>
          <w:color w:val="000000"/>
          <w:sz w:val="24"/>
          <w:highlight w:val="none"/>
        </w:rPr>
      </w:r>
      <w:r/>
    </w:p>
    <w:p>
      <w:pPr>
        <w:rPr>
          <w:rFonts w:ascii="宋体" w:hAnsi="宋体"/>
          <w:bCs/>
          <w:color w:val="000000"/>
          <w:sz w:val="24"/>
          <w:highlight w:val="none"/>
        </w:rPr>
      </w:pPr>
      <w:r>
        <w:rPr>
          <w:rFonts w:ascii="宋体" w:hAnsi="宋体"/>
          <w:bCs/>
          <w:color w:val="000000"/>
          <w:sz w:val="24"/>
          <w:highlight w:val="none"/>
        </w:rPr>
      </w:r>
      <w:r/>
    </w:p>
    <w:p>
      <w:pPr>
        <w:rPr>
          <w:rFonts w:ascii="宋体" w:hAnsi="宋体"/>
          <w:bCs/>
          <w:color w:val="000000"/>
          <w:sz w:val="24"/>
          <w:highlight w:val="none"/>
        </w:rPr>
      </w:pPr>
      <w:r>
        <w:rPr>
          <w:rFonts w:ascii="宋体" w:hAnsi="宋体"/>
          <w:bCs/>
          <w:color w:val="000000"/>
          <w:sz w:val="24"/>
          <w:highlight w:val="none"/>
        </w:rPr>
      </w:r>
      <w:r/>
    </w:p>
    <w:p>
      <w:pPr>
        <w:rPr>
          <w:rFonts w:ascii="宋体" w:hAnsi="宋体"/>
          <w:bCs/>
          <w:color w:val="000000"/>
          <w:sz w:val="24"/>
          <w:highlight w:val="none"/>
        </w:rPr>
      </w:pPr>
      <w:r>
        <w:rPr>
          <w:rFonts w:ascii="宋体" w:hAnsi="宋体"/>
          <w:bCs/>
          <w:color w:val="000000"/>
          <w:sz w:val="24"/>
          <w:highlight w:val="none"/>
        </w:rPr>
      </w:r>
      <w:r/>
    </w:p>
    <w:p>
      <w:pPr>
        <w:pStyle w:val="896"/>
        <w:rPr>
          <w:rFonts w:ascii="宋体" w:hAnsi="宋体"/>
          <w:bCs/>
          <w:color w:val="000000"/>
          <w:sz w:val="24"/>
          <w:highlight w:val="none"/>
        </w:rPr>
      </w:pPr>
      <w:r>
        <w:rPr>
          <w:rFonts w:ascii="宋体" w:hAnsi="宋体"/>
          <w:bCs/>
          <w:color w:val="000000"/>
          <w:sz w:val="24"/>
          <w:highlight w:val="none"/>
        </w:rPr>
      </w:r>
      <w:r/>
    </w:p>
    <w:p>
      <w:pPr>
        <w:pStyle w:val="896"/>
        <w:rPr>
          <w:rFonts w:ascii="宋体" w:hAnsi="宋体"/>
          <w:bCs/>
          <w:color w:val="000000"/>
          <w:sz w:val="24"/>
          <w:highlight w:val="none"/>
        </w:rPr>
      </w:pPr>
      <w:r>
        <w:rPr>
          <w:rFonts w:ascii="宋体" w:hAnsi="宋体"/>
          <w:bCs/>
          <w:color w:val="000000"/>
          <w:sz w:val="24"/>
          <w:highlight w:val="none"/>
        </w:rPr>
      </w:r>
      <w:r/>
    </w:p>
    <w:p>
      <w:pPr>
        <w:pStyle w:val="896"/>
        <w:rPr>
          <w:rFonts w:ascii="宋体" w:hAnsi="宋体"/>
          <w:bCs/>
          <w:color w:val="000000"/>
          <w:sz w:val="24"/>
          <w:highlight w:val="none"/>
        </w:rPr>
      </w:pPr>
      <w:r>
        <w:rPr>
          <w:rFonts w:ascii="宋体" w:hAnsi="宋体"/>
          <w:bCs/>
          <w:color w:val="000000"/>
          <w:sz w:val="24"/>
          <w:highlight w:val="none"/>
        </w:rPr>
      </w:r>
      <w:r/>
    </w:p>
    <w:p>
      <w:pPr>
        <w:pStyle w:val="896"/>
        <w:rPr>
          <w:rFonts w:ascii="宋体" w:hAnsi="宋体"/>
          <w:bCs/>
          <w:color w:val="000000"/>
          <w:sz w:val="24"/>
          <w:highlight w:val="none"/>
        </w:rPr>
      </w:pPr>
      <w:r>
        <w:rPr>
          <w:rFonts w:ascii="宋体" w:hAnsi="宋体"/>
          <w:bCs/>
          <w:color w:val="000000"/>
          <w:sz w:val="24"/>
          <w:highlight w:val="none"/>
        </w:rPr>
      </w:r>
      <w:r/>
    </w:p>
    <w:p>
      <w:pPr>
        <w:pStyle w:val="896"/>
        <w:rPr>
          <w:rFonts w:ascii="宋体" w:hAnsi="宋体"/>
          <w:bCs/>
          <w:color w:val="000000"/>
          <w:sz w:val="24"/>
          <w:highlight w:val="none"/>
        </w:rPr>
      </w:pPr>
      <w:r>
        <w:rPr>
          <w:rFonts w:ascii="宋体" w:hAnsi="宋体"/>
          <w:bCs/>
          <w:color w:val="000000"/>
          <w:sz w:val="24"/>
          <w:highlight w:val="none"/>
        </w:rPr>
      </w:r>
      <w:r/>
    </w:p>
    <w:p>
      <w:pPr>
        <w:pStyle w:val="896"/>
        <w:rPr>
          <w:rFonts w:ascii="宋体" w:hAnsi="宋体"/>
          <w:bCs/>
          <w:color w:val="000000"/>
          <w:sz w:val="24"/>
          <w:highlight w:val="none"/>
        </w:rPr>
      </w:pPr>
      <w:r>
        <w:rPr>
          <w:rFonts w:ascii="宋体" w:hAnsi="宋体"/>
          <w:bCs/>
          <w:color w:val="000000"/>
          <w:sz w:val="24"/>
          <w:highlight w:val="none"/>
        </w:rPr>
      </w:r>
      <w:r/>
    </w:p>
    <w:p>
      <w:pPr>
        <w:pStyle w:val="896"/>
        <w:rPr>
          <w:rFonts w:ascii="宋体" w:hAnsi="宋体"/>
          <w:bCs/>
          <w:color w:val="000000"/>
          <w:sz w:val="24"/>
          <w:highlight w:val="none"/>
        </w:rPr>
      </w:pPr>
      <w:r>
        <w:rPr>
          <w:rFonts w:ascii="宋体" w:hAnsi="宋体"/>
          <w:bCs/>
          <w:color w:val="000000"/>
          <w:sz w:val="24"/>
          <w:highlight w:val="none"/>
        </w:rPr>
      </w:r>
      <w:r/>
    </w:p>
    <w:p>
      <w:pPr>
        <w:pStyle w:val="896"/>
        <w:rPr>
          <w:rFonts w:ascii="宋体" w:hAnsi="宋体"/>
          <w:bCs/>
          <w:color w:val="000000"/>
          <w:sz w:val="24"/>
          <w:highlight w:val="none"/>
        </w:rPr>
      </w:pPr>
      <w:r>
        <w:rPr>
          <w:rFonts w:ascii="宋体" w:hAnsi="宋体"/>
          <w:bCs/>
          <w:color w:val="000000"/>
          <w:sz w:val="24"/>
          <w:highlight w:val="none"/>
        </w:rPr>
      </w:r>
      <w:r/>
    </w:p>
    <w:p>
      <w:pPr>
        <w:pStyle w:val="896"/>
        <w:rPr>
          <w:rFonts w:ascii="宋体" w:hAnsi="宋体"/>
          <w:bCs/>
          <w:color w:val="000000"/>
          <w:sz w:val="24"/>
          <w:highlight w:val="none"/>
        </w:rPr>
      </w:pPr>
      <w:r>
        <w:rPr>
          <w:rFonts w:ascii="宋体" w:hAnsi="宋体"/>
          <w:bCs/>
          <w:color w:val="000000"/>
          <w:sz w:val="24"/>
          <w:highlight w:val="none"/>
        </w:rPr>
      </w:r>
      <w:r/>
    </w:p>
    <w:p>
      <w:pPr>
        <w:pStyle w:val="896"/>
        <w:rPr>
          <w:rFonts w:ascii="宋体" w:hAnsi="宋体"/>
          <w:bCs/>
          <w:color w:val="000000"/>
          <w:sz w:val="24"/>
          <w:highlight w:val="none"/>
        </w:rPr>
      </w:pPr>
      <w:r>
        <w:rPr>
          <w:rFonts w:ascii="宋体" w:hAnsi="宋体"/>
          <w:bCs/>
          <w:color w:val="000000"/>
          <w:sz w:val="24"/>
          <w:highlight w:val="none"/>
        </w:rPr>
      </w:r>
      <w:r/>
    </w:p>
    <w:p>
      <w:pPr>
        <w:pStyle w:val="896"/>
        <w:rPr>
          <w:rFonts w:ascii="宋体" w:hAnsi="宋体"/>
          <w:bCs/>
          <w:color w:val="000000"/>
          <w:sz w:val="24"/>
          <w:highlight w:val="none"/>
        </w:rPr>
      </w:pPr>
      <w:r>
        <w:rPr>
          <w:rFonts w:ascii="宋体" w:hAnsi="宋体"/>
          <w:bCs/>
          <w:color w:val="000000"/>
          <w:sz w:val="24"/>
          <w:highlight w:val="none"/>
        </w:rPr>
      </w:r>
      <w:r/>
    </w:p>
    <w:p>
      <w:pPr>
        <w:ind w:firstLine="480"/>
        <w:jc w:val="left"/>
        <w:rPr>
          <w:rFonts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 xml:space="preserve">附件3：</w:t>
      </w:r>
      <w:bookmarkStart w:id="249" w:name="OLE_LINK206"/>
      <w:r>
        <w:rPr>
          <w:rFonts w:hint="eastAsia" w:ascii="黑体" w:hAnsi="宋体" w:eastAsia="黑体" w:cs="Times New Roman"/>
          <w:bCs/>
          <w:color w:val="auto"/>
          <w:sz w:val="24"/>
          <w:szCs w:val="24"/>
          <w:highlight w:val="none"/>
        </w:rPr>
        <w:t xml:space="preserve">制造商企业类型声明函</w:t>
      </w:r>
      <w:bookmarkEnd w:id="249"/>
      <w:r>
        <w:rPr>
          <w:rFonts w:hint="eastAsia" w:ascii="黑体" w:hAnsi="宋体" w:eastAsia="黑体" w:cs="Times New Roman"/>
          <w:bCs/>
          <w:color w:val="auto"/>
          <w:sz w:val="24"/>
          <w:szCs w:val="24"/>
          <w:highlight w:val="none"/>
        </w:rPr>
        <w:t xml:space="preserve">（</w:t>
      </w:r>
      <w:r>
        <w:rPr>
          <w:rFonts w:hint="eastAsia" w:ascii="黑体" w:hAnsi="宋体" w:eastAsia="黑体" w:cs="Times New Roman"/>
          <w:bCs/>
          <w:color w:val="auto"/>
          <w:sz w:val="24"/>
          <w:szCs w:val="24"/>
          <w:highlight w:val="none"/>
          <w:lang w:val="en-US" w:eastAsia="zh-CN"/>
        </w:rPr>
        <w:t xml:space="preserve">给定</w:t>
      </w:r>
      <w:r>
        <w:rPr>
          <w:rFonts w:hint="eastAsia" w:ascii="黑体" w:hAnsi="宋体" w:eastAsia="黑体" w:cs="Times New Roman"/>
          <w:bCs/>
          <w:color w:val="auto"/>
          <w:sz w:val="24"/>
          <w:szCs w:val="24"/>
          <w:highlight w:val="none"/>
        </w:rPr>
        <w:t xml:space="preserve">格式）：</w:t>
      </w:r>
      <w:r/>
    </w:p>
    <w:p>
      <w:pPr>
        <w:jc w:val="left"/>
        <w:rPr>
          <w:rFonts w:ascii="宋体" w:hAnsi="宋体" w:eastAsia="宋体" w:cs="Times New Roman"/>
          <w:color w:val="auto"/>
          <w:sz w:val="28"/>
          <w:szCs w:val="20"/>
          <w:highlight w:val="none"/>
        </w:rPr>
      </w:pPr>
      <w:r>
        <w:rPr>
          <w:rFonts w:ascii="宋体" w:hAnsi="宋体" w:eastAsia="宋体" w:cs="Times New Roman"/>
          <w:color w:val="auto"/>
          <w:sz w:val="28"/>
          <w:szCs w:val="20"/>
          <w:highlight w:val="none"/>
        </w:rPr>
      </w:r>
      <w:r/>
    </w:p>
    <w:p>
      <w:pPr>
        <w:jc w:val="center"/>
        <w:rPr>
          <w:rFonts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t xml:space="preserve">制造商企业类型声明函</w:t>
      </w:r>
      <w:r/>
    </w:p>
    <w:p>
      <w:pPr>
        <w:jc w:val="center"/>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本企业（单位）作为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单位的</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项目的设备制造商，参加政府采购活动。根据《政府采购促进中小企业发展暂行办法》（财库[2011]181号），《工业和信息化部、国家统计局、国家发展和改革委员会、财政部关于印发中小企业划型标准规定的通知》（工信部联企业[2011]300号）、《关于促进残疾人就业政府采购政策的通知》（财库〔2017〕141号）以及《财政部、司法部关于政府采购支持监狱企业发展有关问题的通知》（财库〔2014〕68号）的有关规定，作出如下声明：</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本企业为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（请填写：中型、小型、微型）企业。</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本单位为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（请填写：是、不是）残疾人福利性单位。</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本企业</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（请填写：是、不是）监狱企业。后附省级以上监狱管理局、戒毒管理局（含新疆生产建设兵团）出具的属于监狱企业的证明文件。</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本企业提供本企业制造的货物。</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本企业对上述声明的真实性负责。如有虚假，将依法承担相应责任。</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本声明函经制造商和</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共同盖章生效。</w:t>
      </w:r>
      <w:r/>
    </w:p>
    <w:p>
      <w:pPr>
        <w:spacing w:line="58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                                                 制造商（签章）：</w:t>
      </w:r>
      <w:r/>
    </w:p>
    <w:p>
      <w:pPr>
        <w:ind w:firstLine="480"/>
        <w:spacing w:line="276"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rPr>
        <w:t xml:space="preserve">                                       </w:t>
      </w:r>
      <w:r>
        <w:rPr>
          <w:rFonts w:hint="eastAsia" w:ascii="宋体" w:hAnsi="宋体" w:eastAsia="宋体" w:cs="Times New Roman"/>
          <w:bCs/>
          <w:color w:val="auto"/>
          <w:sz w:val="24"/>
          <w:szCs w:val="20"/>
          <w:highlight w:val="none"/>
          <w:lang w:val="zh-CN"/>
        </w:rPr>
        <w:t xml:space="preserve">投标人（签章）：</w:t>
      </w:r>
      <w:r/>
    </w:p>
    <w:p>
      <w:pPr>
        <w:jc w:val="center"/>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spacing w:line="360" w:lineRule="auto"/>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                                                      日　　　期：</w:t>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pStyle w:val="1005"/>
        <w:ind w:firstLine="0"/>
        <w:rPr>
          <w:rFonts w:hint="eastAsia" w:ascii="黑体" w:hAnsi="宋体" w:eastAsia="黑体"/>
          <w:bCs/>
          <w:color w:val="auto"/>
          <w:sz w:val="24"/>
          <w:szCs w:val="24"/>
          <w:highlight w:val="none"/>
          <w:lang w:val="en-US"/>
        </w:rPr>
      </w:pPr>
      <w:r>
        <w:rPr>
          <w:rFonts w:hint="eastAsia" w:ascii="黑体" w:hAnsi="宋体" w:eastAsia="黑体"/>
          <w:bCs/>
          <w:color w:val="auto"/>
          <w:sz w:val="24"/>
          <w:szCs w:val="24"/>
          <w:highlight w:val="none"/>
          <w:lang w:val="en-US"/>
        </w:rPr>
        <w:t xml:space="preserve">附件</w:t>
      </w:r>
      <w:r>
        <w:rPr>
          <w:rFonts w:hint="eastAsia" w:ascii="黑体" w:hAnsi="宋体" w:eastAsia="黑体"/>
          <w:bCs/>
          <w:color w:val="auto"/>
          <w:sz w:val="24"/>
          <w:szCs w:val="24"/>
          <w:highlight w:val="none"/>
          <w:lang w:val="en-US" w:eastAsia="zh-CN"/>
        </w:rPr>
        <w:t xml:space="preserve">4</w:t>
      </w:r>
      <w:r>
        <w:rPr>
          <w:rFonts w:hint="eastAsia" w:ascii="黑体" w:hAnsi="宋体" w:eastAsia="黑体"/>
          <w:bCs/>
          <w:color w:val="auto"/>
          <w:sz w:val="24"/>
          <w:szCs w:val="24"/>
          <w:highlight w:val="none"/>
          <w:lang w:val="en-US"/>
        </w:rPr>
        <w:t xml:space="preserve">:</w:t>
      </w:r>
      <w:r>
        <w:rPr>
          <w:rFonts w:hint="eastAsia" w:ascii="黑体" w:hAnsi="宋体" w:eastAsia="黑体"/>
          <w:bCs/>
          <w:color w:val="auto"/>
          <w:sz w:val="24"/>
          <w:szCs w:val="24"/>
          <w:highlight w:val="none"/>
        </w:rPr>
        <w:t xml:space="preserve">关于符合本国产品标准的声明函（</w:t>
      </w:r>
      <w:r>
        <w:rPr>
          <w:rFonts w:hint="eastAsia" w:ascii="黑体" w:hAnsi="宋体" w:eastAsia="黑体"/>
          <w:bCs/>
          <w:color w:val="auto"/>
          <w:sz w:val="24"/>
          <w:szCs w:val="24"/>
          <w:highlight w:val="none"/>
          <w:lang w:val="en-US" w:eastAsia="zh-CN"/>
        </w:rPr>
        <w:t xml:space="preserve">给定</w:t>
      </w:r>
      <w:r>
        <w:rPr>
          <w:rFonts w:hint="eastAsia" w:ascii="黑体" w:hAnsi="宋体" w:eastAsia="黑体"/>
          <w:bCs/>
          <w:color w:val="auto"/>
          <w:sz w:val="24"/>
          <w:szCs w:val="24"/>
          <w:highlight w:val="none"/>
        </w:rPr>
        <w:t xml:space="preserve">格式）</w:t>
      </w:r>
      <w:r>
        <w:rPr>
          <w:rFonts w:hint="eastAsia" w:ascii="黑体" w:hAnsi="宋体" w:eastAsia="黑体"/>
          <w:bCs/>
          <w:color w:val="auto"/>
          <w:sz w:val="24"/>
          <w:szCs w:val="24"/>
          <w:highlight w:val="none"/>
          <w:lang w:val="en-US"/>
        </w:rPr>
        <w:t xml:space="preserve">:</w:t>
      </w:r>
      <w:r/>
    </w:p>
    <w:p>
      <w:pPr>
        <w:pStyle w:val="1005"/>
        <w:rPr>
          <w:rFonts w:hint="eastAsia" w:ascii="黑体" w:hAnsi="宋体" w:eastAsia="黑体"/>
          <w:bCs/>
          <w:color w:val="auto"/>
          <w:sz w:val="24"/>
          <w:szCs w:val="24"/>
          <w:highlight w:val="none"/>
          <w:lang w:val="en-US"/>
        </w:rPr>
      </w:pPr>
      <w:r>
        <w:rPr>
          <w:rFonts w:hint="eastAsia" w:ascii="黑体" w:hAnsi="宋体" w:eastAsia="黑体"/>
          <w:bCs/>
          <w:color w:val="auto"/>
          <w:sz w:val="24"/>
          <w:szCs w:val="24"/>
          <w:highlight w:val="none"/>
          <w:lang w:val="en-US"/>
        </w:rPr>
      </w:r>
      <w:r/>
    </w:p>
    <w:p>
      <w:pPr>
        <w:pStyle w:val="1005"/>
        <w:ind w:firstLine="560"/>
        <w:jc w:val="center"/>
        <w:rPr>
          <w:color w:val="auto"/>
          <w:highlight w:val="none"/>
        </w:rPr>
      </w:pPr>
      <w:r>
        <w:rPr>
          <w:rFonts w:hint="eastAsia" w:ascii="黑体" w:eastAsia="黑体"/>
          <w:bCs/>
          <w:color w:val="auto"/>
          <w:sz w:val="28"/>
          <w:szCs w:val="28"/>
          <w:highlight w:val="none"/>
          <w:lang w:val="en-US"/>
        </w:rPr>
        <w:t xml:space="preserve">关于符合本国产品标准的声明函</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本公司(单位)郑重声明，根据《国务院办公厅关于在政府采购中实施本国产品标准及相关政策的通知》 (国办发〔2025〕34号)的规定，本公司(单位)提供的以下产品属于本国产品。具体情况如下:</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u w:val="single"/>
        </w:rPr>
        <w:t xml:space="preserve">(产品名称1)</w:t>
      </w:r>
      <w:r>
        <w:rPr>
          <w:rFonts w:hint="eastAsia" w:ascii="宋体" w:hAnsi="宋体"/>
          <w:bCs/>
          <w:color w:val="auto"/>
          <w:sz w:val="24"/>
          <w:szCs w:val="24"/>
          <w:highlight w:val="none"/>
        </w:rPr>
        <w:t xml:space="preserve">，生产厂为</w:t>
      </w:r>
      <w:r>
        <w:rPr>
          <w:rFonts w:hint="eastAsia" w:ascii="宋体" w:hAnsi="宋体"/>
          <w:bCs/>
          <w:color w:val="auto"/>
          <w:sz w:val="24"/>
          <w:szCs w:val="24"/>
          <w:highlight w:val="none"/>
          <w:u w:val="single"/>
        </w:rPr>
        <w:t xml:space="preserve">(厂名)</w:t>
      </w:r>
      <w:r>
        <w:rPr>
          <w:rFonts w:hint="eastAsia" w:ascii="宋体" w:hAnsi="宋体"/>
          <w:bCs/>
          <w:color w:val="auto"/>
          <w:sz w:val="24"/>
          <w:szCs w:val="24"/>
          <w:highlight w:val="none"/>
        </w:rPr>
        <w:t xml:space="preserve">，厂址为</w:t>
      </w:r>
      <w:r>
        <w:rPr>
          <w:rFonts w:hint="eastAsia" w:ascii="宋体" w:hAnsi="宋体"/>
          <w:bCs/>
          <w:color w:val="auto"/>
          <w:sz w:val="24"/>
          <w:szCs w:val="24"/>
          <w:highlight w:val="none"/>
          <w:u w:val="single"/>
        </w:rPr>
        <w:t xml:space="preserve">(生产厂址)</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(产品名称1)</w:t>
      </w:r>
      <w:r>
        <w:rPr>
          <w:rFonts w:hint="eastAsia" w:ascii="宋体" w:hAnsi="宋体"/>
          <w:bCs/>
          <w:color w:val="auto"/>
          <w:sz w:val="24"/>
          <w:szCs w:val="24"/>
          <w:highlight w:val="none"/>
        </w:rPr>
        <w:t xml:space="preserve">的中国境内生产的组件成本占比</w:t>
      </w:r>
      <w:r>
        <w:rPr>
          <w:rFonts w:hint="eastAsia" w:ascii="宋体" w:hAnsi="宋体"/>
          <w:bCs/>
          <w:color w:val="auto"/>
          <w:sz w:val="24"/>
          <w:szCs w:val="24"/>
          <w:highlight w:val="none"/>
          <w:u w:val="single"/>
        </w:rPr>
        <w:t xml:space="preserve">(规定比例)</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(产品名称1)</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(关键组件)</w:t>
      </w:r>
      <w:r>
        <w:rPr>
          <w:rFonts w:hint="eastAsia" w:ascii="宋体" w:hAnsi="宋体"/>
          <w:bCs/>
          <w:color w:val="auto"/>
          <w:sz w:val="24"/>
          <w:szCs w:val="24"/>
          <w:highlight w:val="none"/>
        </w:rPr>
        <w:t xml:space="preserve">在中国境内生产。</w:t>
      </w:r>
      <w:r>
        <w:rPr>
          <w:rFonts w:hint="eastAsia" w:ascii="宋体" w:hAnsi="宋体"/>
          <w:bCs/>
          <w:color w:val="auto"/>
          <w:sz w:val="24"/>
          <w:szCs w:val="24"/>
          <w:highlight w:val="none"/>
          <w:u w:val="single"/>
        </w:rPr>
        <w:t xml:space="preserve">(产品名称1)</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(关键工序)</w:t>
      </w:r>
      <w:r>
        <w:rPr>
          <w:rFonts w:hint="eastAsia" w:ascii="宋体" w:hAnsi="宋体"/>
          <w:bCs/>
          <w:color w:val="auto"/>
          <w:sz w:val="24"/>
          <w:szCs w:val="24"/>
          <w:highlight w:val="none"/>
        </w:rPr>
        <w:t xml:space="preserve">在中国境内完成。</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u w:val="single"/>
        </w:rPr>
        <w:t xml:space="preserve">(产品名称2)</w:t>
      </w:r>
      <w:r>
        <w:rPr>
          <w:rFonts w:hint="eastAsia" w:ascii="宋体" w:hAnsi="宋体"/>
          <w:bCs/>
          <w:color w:val="auto"/>
          <w:sz w:val="24"/>
          <w:szCs w:val="24"/>
          <w:highlight w:val="none"/>
        </w:rPr>
        <w:t xml:space="preserve">，生产厂为</w:t>
      </w:r>
      <w:r>
        <w:rPr>
          <w:rFonts w:hint="eastAsia" w:ascii="宋体" w:hAnsi="宋体"/>
          <w:bCs/>
          <w:color w:val="auto"/>
          <w:sz w:val="24"/>
          <w:szCs w:val="24"/>
          <w:highlight w:val="none"/>
          <w:u w:val="single"/>
        </w:rPr>
        <w:t xml:space="preserve">(厂名)</w:t>
      </w:r>
      <w:r>
        <w:rPr>
          <w:rFonts w:hint="eastAsia" w:ascii="宋体" w:hAnsi="宋体"/>
          <w:bCs/>
          <w:color w:val="auto"/>
          <w:sz w:val="24"/>
          <w:szCs w:val="24"/>
          <w:highlight w:val="none"/>
        </w:rPr>
        <w:t xml:space="preserve">，厂址为</w:t>
      </w:r>
      <w:r>
        <w:rPr>
          <w:rFonts w:hint="eastAsia" w:ascii="宋体" w:hAnsi="宋体"/>
          <w:bCs/>
          <w:color w:val="auto"/>
          <w:sz w:val="24"/>
          <w:szCs w:val="24"/>
          <w:highlight w:val="none"/>
          <w:u w:val="single"/>
        </w:rPr>
        <w:t xml:space="preserve">(生产厂址)</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(产品名称2</w:t>
      </w:r>
      <w:r>
        <w:rPr>
          <w:rFonts w:hint="eastAsia" w:ascii="宋体" w:hAnsi="宋体"/>
          <w:bCs/>
          <w:color w:val="auto"/>
          <w:sz w:val="24"/>
          <w:szCs w:val="24"/>
          <w:highlight w:val="none"/>
        </w:rPr>
        <w:t xml:space="preserve">)的中国境内生产的组件成本占比</w:t>
      </w:r>
      <w:r>
        <w:rPr>
          <w:rFonts w:hint="eastAsia" w:ascii="宋体" w:hAnsi="宋体"/>
          <w:bCs/>
          <w:color w:val="auto"/>
          <w:sz w:val="24"/>
          <w:szCs w:val="24"/>
          <w:highlight w:val="none"/>
          <w:u w:val="single"/>
        </w:rPr>
        <w:t xml:space="preserve">(规定比例)</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(产品名称2)</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(关键组件</w:t>
      </w:r>
      <w:r>
        <w:rPr>
          <w:rFonts w:hint="eastAsia" w:ascii="宋体" w:hAnsi="宋体"/>
          <w:bCs/>
          <w:color w:val="auto"/>
          <w:sz w:val="24"/>
          <w:szCs w:val="24"/>
          <w:highlight w:val="none"/>
        </w:rPr>
        <w:t xml:space="preserve">)在中国境内生产。</w:t>
      </w:r>
      <w:r>
        <w:rPr>
          <w:rFonts w:hint="eastAsia" w:ascii="宋体" w:hAnsi="宋体"/>
          <w:bCs/>
          <w:color w:val="auto"/>
          <w:sz w:val="24"/>
          <w:szCs w:val="24"/>
          <w:highlight w:val="none"/>
          <w:u w:val="single"/>
        </w:rPr>
        <w:t xml:space="preserve">(产品名称2)</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(关键工序)</w:t>
      </w:r>
      <w:r>
        <w:rPr>
          <w:rFonts w:hint="eastAsia" w:ascii="宋体" w:hAnsi="宋体"/>
          <w:bCs/>
          <w:color w:val="auto"/>
          <w:sz w:val="24"/>
          <w:szCs w:val="24"/>
          <w:highlight w:val="none"/>
        </w:rPr>
        <w:t xml:space="preserve">在中国境内完成。</w:t>
      </w:r>
      <w:r/>
    </w:p>
    <w:p>
      <w:pPr>
        <w:pStyle w:val="1005"/>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1005"/>
        <w:ind w:firstLine="1440"/>
        <w:rPr>
          <w:rFonts w:hint="eastAsia" w:ascii="宋体" w:hAnsi="宋体"/>
          <w:bCs/>
          <w:color w:val="auto"/>
          <w:sz w:val="24"/>
          <w:szCs w:val="24"/>
          <w:highlight w:val="none"/>
          <w:lang w:val="en-US"/>
        </w:rPr>
      </w:pPr>
      <w:r>
        <w:rPr>
          <w:rFonts w:hint="eastAsia" w:ascii="宋体" w:hAnsi="宋体"/>
          <w:bCs/>
          <w:color w:val="auto"/>
          <w:sz w:val="24"/>
          <w:szCs w:val="24"/>
          <w:highlight w:val="none"/>
          <w:lang w:val="en-US"/>
        </w:rPr>
        <w:t xml:space="preserve">......</w:t>
      </w:r>
      <w:r/>
    </w:p>
    <w:p>
      <w:pPr>
        <w:ind w:firstLine="580"/>
        <w:jc w:val="left"/>
        <w:widowControl/>
        <w:rPr>
          <w:color w:val="auto"/>
          <w:sz w:val="28"/>
          <w:szCs w:val="28"/>
          <w:highlight w:val="none"/>
        </w:rPr>
      </w:pPr>
      <w:r>
        <w:rPr>
          <w:rFonts w:hint="eastAsia" w:ascii="宋体" w:hAnsi="宋体" w:cs="宋体"/>
          <w:color w:val="auto"/>
          <w:sz w:val="28"/>
          <w:szCs w:val="28"/>
          <w:highlight w:val="none"/>
          <w:lang w:bidi="ar"/>
        </w:rPr>
        <w:t xml:space="preserve">本公司（单位）对上述声明内容的真实性负责。如有虚假，愿承担相应法律责任。</w:t>
      </w:r>
      <w:r/>
    </w:p>
    <w:p>
      <w:pPr>
        <w:ind w:firstLine="480"/>
        <w:jc w:val="left"/>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80"/>
        <w:jc w:val="left"/>
        <w:rPr>
          <w:rFonts w:ascii="宋体" w:hAnsi="宋体"/>
          <w:bCs/>
          <w:color w:val="auto"/>
          <w:sz w:val="24"/>
          <w:highlight w:val="none"/>
        </w:rPr>
      </w:pPr>
      <w:r>
        <w:rPr>
          <w:rFonts w:hint="eastAsia" w:ascii="宋体" w:hAnsi="宋体"/>
          <w:bCs/>
          <w:color w:val="auto"/>
          <w:sz w:val="24"/>
          <w:highlight w:val="none"/>
        </w:rPr>
        <w:t xml:space="preserve">投标人（电子签章）：</w:t>
      </w:r>
      <w:r/>
    </w:p>
    <w:p>
      <w:pPr>
        <w:ind w:firstLine="480"/>
        <w:jc w:val="left"/>
        <w:rPr>
          <w:rFonts w:hint="eastAsia" w:ascii="宋体" w:hAnsi="宋体"/>
          <w:bCs/>
          <w:color w:val="auto"/>
          <w:sz w:val="24"/>
          <w:highlight w:val="none"/>
          <w:lang w:val="zh-CN"/>
        </w:rPr>
      </w:pPr>
      <w:r>
        <w:rPr>
          <w:rFonts w:hint="eastAsia" w:ascii="宋体" w:hAnsi="宋体"/>
          <w:bCs/>
          <w:color w:val="auto"/>
          <w:sz w:val="24"/>
          <w:highlight w:val="none"/>
          <w:lang w:val="zh-CN"/>
        </w:rPr>
      </w:r>
      <w:r/>
    </w:p>
    <w:p>
      <w:pPr>
        <w:ind w:firstLine="480"/>
        <w:jc w:val="left"/>
        <w:rPr>
          <w:rFonts w:ascii="宋体" w:hAnsi="宋体"/>
          <w:color w:val="auto"/>
          <w:sz w:val="24"/>
          <w:szCs w:val="21"/>
          <w:highlight w:val="none"/>
        </w:rPr>
      </w:pPr>
      <w:r>
        <w:rPr>
          <w:rFonts w:ascii="宋体" w:hAnsi="宋体"/>
          <w:color w:val="auto"/>
          <w:sz w:val="24"/>
          <w:szCs w:val="21"/>
          <w:highlight w:val="none"/>
        </w:rPr>
      </w:r>
      <w:r/>
    </w:p>
    <w:p>
      <w:pPr>
        <w:ind w:firstLine="480"/>
        <w:jc w:val="left"/>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                                                日期：</w:t>
      </w:r>
      <w:r/>
    </w:p>
    <w:p>
      <w:pPr>
        <w:jc w:val="left"/>
        <w:spacing w:before="156" w:line="360" w:lineRule="auto"/>
        <w:rPr>
          <w:rFonts w:hint="eastAsia" w:ascii="宋体" w:hAnsi="宋体"/>
          <w:bCs/>
          <w:color w:val="auto"/>
          <w:szCs w:val="21"/>
          <w:highlight w:val="none"/>
        </w:rPr>
      </w:pPr>
      <w:r>
        <w:rPr>
          <w:rFonts w:hint="eastAsia" w:ascii="宋体" w:hAnsi="宋体"/>
          <w:color w:val="auto"/>
          <w:sz w:val="24"/>
          <w:szCs w:val="21"/>
          <w:highlight w:val="none"/>
        </w:rPr>
        <w:t xml:space="preserve">注：</w:t>
      </w:r>
      <w:r/>
    </w:p>
    <w:p>
      <w:pPr>
        <w:pStyle w:val="1005"/>
        <w:ind w:firstLine="420"/>
        <w:spacing w:line="360" w:lineRule="auto"/>
        <w:rPr>
          <w:rFonts w:hint="eastAsia" w:ascii="宋体" w:hAnsi="宋体"/>
          <w:bCs/>
          <w:color w:val="auto"/>
          <w:szCs w:val="21"/>
          <w:highlight w:val="none"/>
          <w:lang w:val="en-US"/>
        </w:rPr>
      </w:pPr>
      <w:r>
        <w:rPr>
          <w:rFonts w:ascii="宋体" w:hAnsi="宋体"/>
          <w:bCs/>
          <w:color w:val="auto"/>
          <w:szCs w:val="21"/>
          <w:highlight w:val="none"/>
          <w:lang w:val="en-US"/>
        </w:rPr>
        <w:t xml:space="preserve">1.产品如有型号，请在"产品名称"栏一并填写</w:t>
      </w:r>
      <w:r/>
    </w:p>
    <w:p>
      <w:pPr>
        <w:pStyle w:val="1005"/>
        <w:ind w:firstLine="420"/>
        <w:spacing w:line="360" w:lineRule="auto"/>
        <w:rPr>
          <w:rFonts w:hint="eastAsia" w:ascii="宋体" w:hAnsi="宋体"/>
          <w:bCs/>
          <w:color w:val="auto"/>
          <w:szCs w:val="21"/>
          <w:highlight w:val="none"/>
          <w:lang w:val="en-US"/>
        </w:rPr>
      </w:pPr>
      <w:r>
        <w:rPr>
          <w:rFonts w:ascii="宋体" w:hAnsi="宋体"/>
          <w:bCs/>
          <w:color w:val="auto"/>
          <w:szCs w:val="21"/>
          <w:highlight w:val="none"/>
          <w:lang w:val="en-US"/>
        </w:rPr>
        <w:t xml:space="preserve">2.生产厂名与厂址应与生产厂营业执照载明的相关信息保持一致。</w:t>
      </w:r>
      <w:r/>
    </w:p>
    <w:p>
      <w:pPr>
        <w:pStyle w:val="1005"/>
        <w:ind w:firstLine="420"/>
        <w:spacing w:line="360" w:lineRule="auto"/>
        <w:rPr>
          <w:rFonts w:hint="eastAsia" w:ascii="宋体" w:hAnsi="宋体"/>
          <w:bCs/>
          <w:color w:val="auto"/>
          <w:szCs w:val="21"/>
          <w:highlight w:val="none"/>
          <w:lang w:val="en-US"/>
        </w:rPr>
      </w:pPr>
      <w:r>
        <w:rPr>
          <w:rFonts w:ascii="宋体" w:hAnsi="宋体"/>
          <w:bCs/>
          <w:color w:val="auto"/>
          <w:szCs w:val="21"/>
          <w:highlight w:val="none"/>
          <w:lang w:val="en-US"/>
        </w:rPr>
        <w:t xml:space="preserve">3.该产品的中国境内生产的组件成本占比相关要求实施前，"规定比例"栏可不填，下同。</w:t>
      </w:r>
      <w:r/>
    </w:p>
    <w:p>
      <w:pPr>
        <w:pStyle w:val="1005"/>
        <w:ind w:firstLine="420"/>
        <w:spacing w:line="360" w:lineRule="auto"/>
        <w:rPr>
          <w:rFonts w:hint="eastAsia" w:ascii="宋体" w:hAnsi="宋体"/>
          <w:bCs/>
          <w:color w:val="auto"/>
          <w:szCs w:val="21"/>
          <w:highlight w:val="none"/>
          <w:lang w:val="en-US"/>
        </w:rPr>
      </w:pPr>
      <w:r>
        <w:rPr>
          <w:rFonts w:ascii="宋体" w:hAnsi="宋体"/>
          <w:bCs/>
          <w:color w:val="auto"/>
          <w:szCs w:val="21"/>
          <w:highlight w:val="none"/>
          <w:lang w:val="en-US"/>
        </w:rPr>
        <w:t xml:space="preserve">4.该产品的关键组件要求实施前，"关键组件"栏可不填，下同。</w:t>
      </w:r>
      <w:r/>
    </w:p>
    <w:p>
      <w:pPr>
        <w:pStyle w:val="1005"/>
        <w:ind w:firstLine="420"/>
        <w:spacing w:line="360" w:lineRule="auto"/>
        <w:rPr>
          <w:rFonts w:ascii="宋体" w:hAnsi="宋体"/>
          <w:bCs/>
          <w:color w:val="auto"/>
          <w:szCs w:val="21"/>
          <w:highlight w:val="none"/>
          <w:lang w:val="en-US"/>
        </w:rPr>
      </w:pPr>
      <w:r>
        <w:rPr>
          <w:rFonts w:ascii="宋体" w:hAnsi="宋体"/>
          <w:bCs/>
          <w:color w:val="auto"/>
          <w:szCs w:val="21"/>
          <w:highlight w:val="none"/>
          <w:lang w:val="en-US"/>
        </w:rPr>
        <w:t xml:space="preserve">5.该产品的关键工序要求实施前，"关键工序"栏可不填，下同。</w:t>
      </w:r>
      <w:r/>
    </w:p>
    <w:p>
      <w:pPr>
        <w:pStyle w:val="1005"/>
        <w:ind w:firstLine="420"/>
        <w:spacing w:line="360" w:lineRule="auto"/>
        <w:rPr>
          <w:rFonts w:hint="eastAsia" w:ascii="宋体" w:hAnsi="宋体"/>
          <w:bCs/>
          <w:color w:val="auto"/>
          <w:szCs w:val="21"/>
          <w:highlight w:val="none"/>
          <w:lang w:val="en-US"/>
        </w:rPr>
      </w:pPr>
      <w:r>
        <w:rPr>
          <w:rFonts w:hint="eastAsia" w:ascii="宋体" w:hAnsi="宋体"/>
          <w:color w:val="auto"/>
          <w:sz w:val="21"/>
          <w:szCs w:val="21"/>
          <w:highlight w:val="none"/>
          <w:lang w:val="en-US" w:eastAsia="zh-CN"/>
        </w:rPr>
        <w:t xml:space="preserve">6.中标供应商的《关于符合本国产品标准的声明函》将随中标公告进行公示。供应商按照本办法规定提供声明函内容不实的，属于提供虚假材料谋取中标、成交，依照《中华人民共和国政府采购法》等国家有关规定追究相应责任。</w:t>
      </w:r>
      <w:r/>
    </w:p>
    <w:p>
      <w:pPr>
        <w:pStyle w:val="896"/>
        <w:rPr>
          <w:rFonts w:ascii="宋体" w:hAnsi="宋体"/>
          <w:bCs/>
          <w:color w:val="000000"/>
          <w:sz w:val="24"/>
          <w:highlight w:val="none"/>
        </w:rPr>
      </w:pPr>
      <w:r>
        <w:rPr>
          <w:rFonts w:ascii="宋体" w:hAnsi="宋体"/>
          <w:bCs/>
          <w:color w:val="000000"/>
          <w:sz w:val="24"/>
          <w:highlight w:val="none"/>
        </w:rPr>
      </w:r>
      <w:r/>
    </w:p>
    <w:sectPr>
      <w:footerReference w:type="default" r:id="rId15"/>
      <w:footnotePr/>
      <w:endnotePr/>
      <w:type w:val="nextPage"/>
      <w:pgSz w:w="11905" w:h="16838" w:orient="portrait"/>
      <w:pgMar w:top="1134" w:right="1134" w:bottom="1134" w:left="1134"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楷体_GB2312">
    <w:panose1 w:val="02010609060101010101"/>
  </w:font>
  <w:font w:name="Symbol">
    <w:panose1 w:val="05050102010706020507"/>
  </w:font>
  <w:font w:name="Wingdings">
    <w:panose1 w:val="05000000000000000000"/>
  </w:font>
  <w:font w:name="Calibri">
    <w:panose1 w:val="020F0502020204030204"/>
  </w:font>
  <w:font w:name="仿宋_GB2312">
    <w:panose1 w:val="02010609060101010101"/>
  </w:font>
  <w:font w:name="黑体">
    <w:panose1 w:val="02010609060101010101"/>
  </w:font>
  <w:font w:name="Courier New">
    <w:panose1 w:val="02070309020205020404"/>
  </w:font>
  <w:font w:name="等线">
    <w:panose1 w:val="02010600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879" w:leader="none"/>
        <w:tab w:val="left" w:pos="6762" w:leader="none"/>
      </w:tabs>
    </w:pPr>
    <w:r>
      <w:rPr>
        <w:rFonts w:hint="eastAsia"/>
      </w:rPr>
      <w:tab/>
    </w:r>
    <w:r>
      <w:rPr>
        <w:rFonts w:hint="eastAsia"/>
      </w:rPr>
      <w:tab/>
    </w: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right"/>
      <w:rPr>
        <w:rFonts w:ascii="楷体_GB2312" w:eastAsia="楷体_GB2312"/>
        <w:sz w:val="24"/>
        <w:szCs w:val="24"/>
      </w:rPr>
    </w:pPr>
    <w:r>
      <w:rPr>
        <w:rFonts w:hint="eastAsia" w:ascii="楷体_GB2312" w:eastAsia="楷体_GB2312"/>
        <w:sz w:val="24"/>
        <w:szCs w:val="24"/>
      </w:rPr>
      <w:t xml:space="preserve">宜兴市政府采购中心</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879" w:leader="none"/>
        <w:tab w:val="left" w:pos="676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31"/>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31"/>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rPr>
        <w:rFonts w:hint="eastAsia"/>
      </w:rPr>
      <w:tab/>
    </w:r>
    <w:r>
      <w:rPr>
        <w:rFonts w:hint="eastAsia"/>
      </w:rPr>
      <w:tab/>
    </w:r>
    <w:r>
      <w:rPr>
        <w:rFonts w:hint="eastAsia"/>
      </w:rPr>
      <w:tab/>
    </w: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879" w:leader="none"/>
        <w:tab w:val="left" w:pos="676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31"/>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31"/>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rPr>
        <w:rFonts w:hint="eastAsia"/>
      </w:rPr>
      <w:tab/>
    </w:r>
    <w:r>
      <w:rPr>
        <w:rFonts w:hint="eastAsia"/>
      </w:rPr>
      <w:tab/>
    </w:r>
    <w:r>
      <w:rPr>
        <w:rFonts w:hint="eastAsia"/>
      </w:rPr>
      <w:tab/>
    </w:r>
    <w:r>
      <w:rPr>
        <w:rFonts w:hint="eastAsia"/>
      </w:rPr>
      <w:tab/>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879" w:leader="none"/>
        <w:tab w:val="left" w:pos="676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31"/>
                            <w:tabs>
                              <w:tab w:val="clear" w:pos="7143" w:leader="none"/>
                              <w:tab w:val="clear" w:pos="14287" w:leader="none"/>
                            </w:tabs>
                          </w:pPr>
                          <w:r>
                            <w:fldChar w:fldCharType="begin"/>
                          </w:r>
                          <w:r>
                            <w:instrText xml:space="preserve"> PAGE  \* MERGEFORMAT </w:instrText>
                          </w:r>
                          <w:r>
                            <w:fldChar w:fldCharType="separate"/>
                          </w:r>
                          <w:r>
                            <w:t xml:space="preserve">31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31"/>
                      <w:tabs>
                        <w:tab w:val="clear" w:pos="7143" w:leader="none"/>
                        <w:tab w:val="clear" w:pos="14287" w:leader="none"/>
                      </w:tabs>
                    </w:pPr>
                    <w:r>
                      <w:fldChar w:fldCharType="begin"/>
                    </w:r>
                    <w:r>
                      <w:instrText xml:space="preserve"> PAGE  \* MERGEFORMAT </w:instrText>
                    </w:r>
                    <w:r>
                      <w:fldChar w:fldCharType="separate"/>
                    </w:r>
                    <w:r>
                      <w:t xml:space="preserve">31</w:t>
                    </w:r>
                    <w:r>
                      <w:fldChar w:fldCharType="end"/>
                    </w:r>
                    <w:r/>
                  </w:p>
                  <w:p>
                    <w:r/>
                    <w:r/>
                  </w:p>
                </w:txbxContent>
              </v:textbox>
            </v:shape>
          </w:pict>
        </mc:Fallback>
      </mc:AlternateContent>
    </w:r>
    <w:r>
      <w:rPr>
        <w:rFonts w:hint="eastAsia"/>
      </w:rPr>
      <w:tab/>
    </w:r>
    <w:r>
      <w:rPr>
        <w:rFonts w:hint="eastAsia"/>
      </w:rPr>
      <w:tab/>
    </w:r>
    <w:r>
      <w:rPr>
        <w:rFonts w:hint="eastAsia"/>
      </w:rPr>
      <w:tab/>
    </w:r>
    <w:r>
      <w:rPr>
        <w:rFonts w:hint="eastAsia"/>
      </w:rPr>
      <w:tab/>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879" w:leader="none"/>
        <w:tab w:val="left" w:pos="676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31"/>
                            <w:tabs>
                              <w:tab w:val="clear" w:pos="7143" w:leader="none"/>
                              <w:tab w:val="clear" w:pos="14287" w:leader="none"/>
                            </w:tabs>
                          </w:pPr>
                          <w:r>
                            <w:fldChar w:fldCharType="begin"/>
                          </w:r>
                          <w:r>
                            <w:instrText xml:space="preserve"> PAGE  \* MERGEFORMAT </w:instrText>
                          </w:r>
                          <w:r>
                            <w:fldChar w:fldCharType="separate"/>
                          </w:r>
                          <w:r>
                            <w:t xml:space="preserve">31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31"/>
                      <w:tabs>
                        <w:tab w:val="clear" w:pos="7143" w:leader="none"/>
                        <w:tab w:val="clear" w:pos="14287" w:leader="none"/>
                      </w:tabs>
                    </w:pPr>
                    <w:r>
                      <w:fldChar w:fldCharType="begin"/>
                    </w:r>
                    <w:r>
                      <w:instrText xml:space="preserve"> PAGE  \* MERGEFORMAT </w:instrText>
                    </w:r>
                    <w:r>
                      <w:fldChar w:fldCharType="separate"/>
                    </w:r>
                    <w:r>
                      <w:t xml:space="preserve">31</w:t>
                    </w:r>
                    <w:r>
                      <w:fldChar w:fldCharType="end"/>
                    </w:r>
                    <w:r/>
                  </w:p>
                  <w:p>
                    <w:r/>
                    <w:r/>
                  </w:p>
                </w:txbxContent>
              </v:textbox>
            </v:shape>
          </w:pict>
        </mc:Fallback>
      </mc:AlternateContent>
    </w:r>
    <w:r>
      <w:rPr>
        <w:rFonts w:hint="eastAsia"/>
      </w:rPr>
      <w:tab/>
    </w:r>
    <w:r>
      <w:rPr>
        <w:rFonts w:hint="eastAsia"/>
      </w:rPr>
      <w:tab/>
    </w:r>
    <w:r>
      <w:rPr>
        <w:rFonts w:hint="eastAsia"/>
      </w:rPr>
      <w:tab/>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tabs>
          <w:tab w:val="left" w:pos="0" w:leader="none"/>
        </w:tabs>
      </w:pPr>
      <w:rPr>
        <w:rFonts w:ascii="宋体" w:hAnsi="宋体" w:eastAsia="宋体" w:cs="宋体"/>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space"/>
      <w:lvlText w:val="%1."/>
      <w:lvlJc w:val="left"/>
      <w:pPr>
        <w:ind w:left="0" w:firstLine="0"/>
        <w:tabs>
          <w:tab w:val="left" w:pos="0" w:leader="none"/>
        </w:tabs>
      </w:pPr>
      <w:rPr>
        <w:rFonts w:hint="eastAsia"/>
        <w:b w:val="0"/>
        <w:bCs/>
      </w:rPr>
    </w:lvl>
    <w:lvl w:ilvl="1">
      <w:start w:val="1"/>
      <w:numFmt w:val="lowerLetter"/>
      <w:isLgl w:val="false"/>
      <w:suff w:val="space"/>
      <w:lvlText w:val="%2)"/>
      <w:lvlJc w:val="left"/>
      <w:pPr>
        <w:ind w:left="880" w:hanging="440"/>
      </w:pPr>
    </w:lvl>
    <w:lvl w:ilvl="2">
      <w:start w:val="1"/>
      <w:numFmt w:val="lowerRoman"/>
      <w:isLgl w:val="false"/>
      <w:suff w:val="space"/>
      <w:lvlText w:val="%3."/>
      <w:lvlJc w:val="right"/>
      <w:pPr>
        <w:ind w:left="1320" w:hanging="440"/>
      </w:pPr>
    </w:lvl>
    <w:lvl w:ilvl="3">
      <w:start w:val="1"/>
      <w:numFmt w:val="decimal"/>
      <w:isLgl w:val="false"/>
      <w:suff w:val="space"/>
      <w:lvlText w:val="%4."/>
      <w:lvlJc w:val="left"/>
      <w:pPr>
        <w:ind w:left="1760" w:hanging="440"/>
      </w:pPr>
    </w:lvl>
    <w:lvl w:ilvl="4">
      <w:start w:val="1"/>
      <w:numFmt w:val="lowerLetter"/>
      <w:isLgl w:val="false"/>
      <w:suff w:val="space"/>
      <w:lvlText w:val="%5)"/>
      <w:lvlJc w:val="left"/>
      <w:pPr>
        <w:ind w:left="2200" w:hanging="440"/>
      </w:pPr>
    </w:lvl>
    <w:lvl w:ilvl="5">
      <w:start w:val="1"/>
      <w:numFmt w:val="lowerRoman"/>
      <w:isLgl w:val="false"/>
      <w:suff w:val="space"/>
      <w:lvlText w:val="%6."/>
      <w:lvlJc w:val="right"/>
      <w:pPr>
        <w:ind w:left="2640" w:hanging="440"/>
      </w:pPr>
    </w:lvl>
    <w:lvl w:ilvl="6">
      <w:start w:val="1"/>
      <w:numFmt w:val="decimal"/>
      <w:isLgl w:val="false"/>
      <w:suff w:val="space"/>
      <w:lvlText w:val="%7."/>
      <w:lvlJc w:val="left"/>
      <w:pPr>
        <w:ind w:left="3080" w:hanging="440"/>
      </w:pPr>
    </w:lvl>
    <w:lvl w:ilvl="7">
      <w:start w:val="1"/>
      <w:numFmt w:val="lowerLetter"/>
      <w:isLgl w:val="false"/>
      <w:suff w:val="space"/>
      <w:lvlText w:val="%8)"/>
      <w:lvlJc w:val="left"/>
      <w:pPr>
        <w:ind w:left="3520" w:hanging="440"/>
      </w:pPr>
    </w:lvl>
    <w:lvl w:ilvl="8">
      <w:start w:val="1"/>
      <w:numFmt w:val="lowerRoman"/>
      <w:isLgl w:val="false"/>
      <w:suff w:val="space"/>
      <w:lvlText w:val="%9."/>
      <w:lvlJc w:val="right"/>
      <w:pPr>
        <w:ind w:left="3960" w:hanging="440"/>
      </w:pPr>
    </w:lvl>
  </w:abstractNum>
  <w:abstractNum w:abstractNumId="5">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20"/>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7">
    <w:multiLevelType w:val="hybridMultilevel"/>
    <w:lvl w:ilvl="0">
      <w:start w:val="4"/>
      <w:numFmt w:val="chineseCounting"/>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20"/>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space"/>
      <w:lvlText w:val="%1."/>
      <w:lvlJc w:val="left"/>
      <w:pPr>
        <w:ind w:left="0" w:firstLine="0"/>
        <w:tabs>
          <w:tab w:val="left" w:pos="0" w:leader="none"/>
        </w:tabs>
      </w:pPr>
      <w:rPr>
        <w:rFonts w:hint="eastAsia"/>
        <w:b w:val="0"/>
        <w:bCs/>
      </w:rPr>
    </w:lvl>
    <w:lvl w:ilvl="1">
      <w:start w:val="1"/>
      <w:numFmt w:val="lowerLetter"/>
      <w:isLgl w:val="false"/>
      <w:suff w:val="space"/>
      <w:lvlText w:val="%2)"/>
      <w:lvlJc w:val="left"/>
      <w:pPr>
        <w:ind w:left="880" w:hanging="440"/>
      </w:pPr>
    </w:lvl>
    <w:lvl w:ilvl="2">
      <w:start w:val="1"/>
      <w:numFmt w:val="lowerRoman"/>
      <w:isLgl w:val="false"/>
      <w:suff w:val="space"/>
      <w:lvlText w:val="%3."/>
      <w:lvlJc w:val="right"/>
      <w:pPr>
        <w:ind w:left="1320" w:hanging="440"/>
      </w:pPr>
    </w:lvl>
    <w:lvl w:ilvl="3">
      <w:start w:val="1"/>
      <w:numFmt w:val="decimal"/>
      <w:isLgl w:val="false"/>
      <w:suff w:val="space"/>
      <w:lvlText w:val="%4."/>
      <w:lvlJc w:val="left"/>
      <w:pPr>
        <w:ind w:left="1760" w:hanging="440"/>
      </w:pPr>
    </w:lvl>
    <w:lvl w:ilvl="4">
      <w:start w:val="1"/>
      <w:numFmt w:val="lowerLetter"/>
      <w:isLgl w:val="false"/>
      <w:suff w:val="space"/>
      <w:lvlText w:val="%5)"/>
      <w:lvlJc w:val="left"/>
      <w:pPr>
        <w:ind w:left="2200" w:hanging="440"/>
      </w:pPr>
    </w:lvl>
    <w:lvl w:ilvl="5">
      <w:start w:val="1"/>
      <w:numFmt w:val="lowerRoman"/>
      <w:isLgl w:val="false"/>
      <w:suff w:val="space"/>
      <w:lvlText w:val="%6."/>
      <w:lvlJc w:val="right"/>
      <w:pPr>
        <w:ind w:left="2640" w:hanging="440"/>
      </w:pPr>
    </w:lvl>
    <w:lvl w:ilvl="6">
      <w:start w:val="1"/>
      <w:numFmt w:val="decimal"/>
      <w:isLgl w:val="false"/>
      <w:suff w:val="space"/>
      <w:lvlText w:val="%7."/>
      <w:lvlJc w:val="left"/>
      <w:pPr>
        <w:ind w:left="3080" w:hanging="440"/>
      </w:pPr>
    </w:lvl>
    <w:lvl w:ilvl="7">
      <w:start w:val="1"/>
      <w:numFmt w:val="lowerLetter"/>
      <w:isLgl w:val="false"/>
      <w:suff w:val="space"/>
      <w:lvlText w:val="%8)"/>
      <w:lvlJc w:val="left"/>
      <w:pPr>
        <w:ind w:left="3520" w:hanging="440"/>
      </w:pPr>
    </w:lvl>
    <w:lvl w:ilvl="8">
      <w:start w:val="1"/>
      <w:numFmt w:val="lowerRoman"/>
      <w:isLgl w:val="false"/>
      <w:suff w:val="space"/>
      <w:lvlText w:val="%9."/>
      <w:lvlJc w:val="right"/>
      <w:pPr>
        <w:ind w:left="3960" w:hanging="440"/>
      </w:pPr>
    </w:lvl>
  </w:abstractNum>
  <w:abstractNum w:abstractNumId="12">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8"/>
  </w:num>
  <w:num w:numId="7">
    <w:abstractNumId w:val="7"/>
  </w:num>
  <w:num w:numId="8">
    <w:abstractNumId w:val="9"/>
  </w:num>
  <w:num w:numId="9">
    <w:abstractNumId w:val="13"/>
  </w:num>
  <w:num w:numId="10">
    <w:abstractNumId w:val="6"/>
  </w:num>
  <w:num w:numId="11">
    <w:abstractNumId w:val="0"/>
  </w:num>
  <w:num w:numId="12">
    <w:abstractNumId w:val="10"/>
  </w:num>
  <w:num w:numId="13">
    <w:abstractNumId w:val="12"/>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2" w:default="1">
    <w:name w:val="Normal"/>
    <w:link w:val="990"/>
    <w:uiPriority w:val="0"/>
    <w:qFormat/>
    <w:pPr>
      <w:jc w:val="both"/>
      <w:widowControl w:val="off"/>
    </w:pPr>
    <w:rPr>
      <w:rFonts w:hint="default" w:ascii="Times New Roman" w:hAnsi="Times New Roman" w:eastAsia="宋体" w:cs="Times New Roman"/>
      <w:sz w:val="21"/>
      <w:lang w:val="en-US" w:eastAsia="zh-CN" w:bidi="ar-SA"/>
    </w:rPr>
  </w:style>
  <w:style w:type="paragraph" w:styleId="863">
    <w:name w:val="Heading 1"/>
    <w:basedOn w:val="862"/>
    <w:next w:val="862"/>
    <w:uiPriority w:val="9"/>
    <w:qFormat/>
    <w:pPr>
      <w:keepLines/>
      <w:keepNext/>
      <w:spacing w:before="480" w:after="200"/>
      <w:outlineLvl w:val="0"/>
    </w:pPr>
    <w:rPr>
      <w:rFonts w:ascii="Arial" w:hAnsi="Arial" w:eastAsia="Arial" w:cs="Arial"/>
      <w:sz w:val="40"/>
      <w:szCs w:val="40"/>
    </w:rPr>
  </w:style>
  <w:style w:type="paragraph" w:styleId="864">
    <w:name w:val="Heading 2"/>
    <w:basedOn w:val="862"/>
    <w:next w:val="862"/>
    <w:uiPriority w:val="9"/>
    <w:unhideWhenUsed/>
    <w:qFormat/>
    <w:pPr>
      <w:keepLines/>
      <w:keepNext/>
      <w:spacing w:before="360" w:after="200"/>
      <w:outlineLvl w:val="1"/>
    </w:pPr>
    <w:rPr>
      <w:rFonts w:ascii="Arial" w:hAnsi="Arial" w:eastAsia="Arial" w:cs="Arial"/>
      <w:sz w:val="34"/>
    </w:rPr>
  </w:style>
  <w:style w:type="paragraph" w:styleId="865">
    <w:name w:val="Heading 3"/>
    <w:basedOn w:val="862"/>
    <w:next w:val="862"/>
    <w:uiPriority w:val="9"/>
    <w:unhideWhenUsed/>
    <w:qFormat/>
    <w:pPr>
      <w:keepLines/>
      <w:keepNext/>
      <w:spacing w:before="320" w:after="200"/>
      <w:outlineLvl w:val="2"/>
    </w:pPr>
    <w:rPr>
      <w:rFonts w:ascii="Arial" w:hAnsi="Arial" w:eastAsia="Arial" w:cs="Arial"/>
      <w:sz w:val="30"/>
      <w:szCs w:val="30"/>
    </w:rPr>
  </w:style>
  <w:style w:type="paragraph" w:styleId="866">
    <w:name w:val="Heading 4"/>
    <w:basedOn w:val="862"/>
    <w:next w:val="862"/>
    <w:uiPriority w:val="9"/>
    <w:unhideWhenUsed/>
    <w:qFormat/>
    <w:pPr>
      <w:keepLines/>
      <w:keepNext/>
      <w:spacing w:before="320" w:after="200"/>
      <w:outlineLvl w:val="3"/>
    </w:pPr>
    <w:rPr>
      <w:rFonts w:ascii="Arial" w:hAnsi="Arial" w:eastAsia="Arial" w:cs="Arial"/>
      <w:b/>
      <w:bCs/>
      <w:sz w:val="26"/>
      <w:szCs w:val="26"/>
    </w:rPr>
  </w:style>
  <w:style w:type="paragraph" w:styleId="867">
    <w:name w:val="Heading 5"/>
    <w:basedOn w:val="862"/>
    <w:next w:val="862"/>
    <w:uiPriority w:val="9"/>
    <w:unhideWhenUsed/>
    <w:qFormat/>
    <w:pPr>
      <w:keepLines/>
      <w:keepNext/>
      <w:spacing w:before="320" w:after="200"/>
      <w:outlineLvl w:val="4"/>
    </w:pPr>
    <w:rPr>
      <w:rFonts w:ascii="Arial" w:hAnsi="Arial" w:eastAsia="Arial" w:cs="Arial"/>
      <w:b/>
      <w:bCs/>
      <w:sz w:val="24"/>
      <w:szCs w:val="24"/>
    </w:rPr>
  </w:style>
  <w:style w:type="paragraph" w:styleId="868">
    <w:name w:val="Heading 6"/>
    <w:basedOn w:val="862"/>
    <w:next w:val="862"/>
    <w:uiPriority w:val="9"/>
    <w:unhideWhenUsed/>
    <w:qFormat/>
    <w:pPr>
      <w:keepLines/>
      <w:keepNext/>
      <w:spacing w:before="320" w:after="200"/>
      <w:outlineLvl w:val="5"/>
    </w:pPr>
    <w:rPr>
      <w:rFonts w:ascii="Arial" w:hAnsi="Arial" w:eastAsia="Arial" w:cs="Arial"/>
      <w:b/>
      <w:bCs/>
      <w:sz w:val="22"/>
      <w:szCs w:val="22"/>
    </w:rPr>
  </w:style>
  <w:style w:type="paragraph" w:styleId="869">
    <w:name w:val="Heading 7"/>
    <w:basedOn w:val="862"/>
    <w:next w:val="862"/>
    <w:uiPriority w:val="9"/>
    <w:unhideWhenUsed/>
    <w:qFormat/>
    <w:pPr>
      <w:keepLines/>
      <w:keepNext/>
      <w:spacing w:before="320" w:after="200"/>
      <w:outlineLvl w:val="6"/>
    </w:pPr>
    <w:rPr>
      <w:rFonts w:ascii="Arial" w:hAnsi="Arial" w:eastAsia="Arial" w:cs="Arial"/>
      <w:b/>
      <w:bCs/>
      <w:i/>
      <w:iCs/>
      <w:sz w:val="22"/>
      <w:szCs w:val="22"/>
    </w:rPr>
  </w:style>
  <w:style w:type="paragraph" w:styleId="870">
    <w:name w:val="Heading 8"/>
    <w:basedOn w:val="862"/>
    <w:next w:val="862"/>
    <w:uiPriority w:val="9"/>
    <w:unhideWhenUsed/>
    <w:qFormat/>
    <w:pPr>
      <w:keepLines/>
      <w:keepNext/>
      <w:spacing w:before="320" w:after="200"/>
      <w:outlineLvl w:val="7"/>
    </w:pPr>
    <w:rPr>
      <w:rFonts w:ascii="Arial" w:hAnsi="Arial" w:eastAsia="Arial" w:cs="Arial"/>
      <w:i/>
      <w:iCs/>
      <w:sz w:val="22"/>
      <w:szCs w:val="22"/>
    </w:rPr>
  </w:style>
  <w:style w:type="paragraph" w:styleId="871">
    <w:name w:val="Heading 9"/>
    <w:basedOn w:val="862"/>
    <w:next w:val="862"/>
    <w:uiPriority w:val="9"/>
    <w:unhideWhenUsed/>
    <w:qFormat/>
    <w:pPr>
      <w:keepLines/>
      <w:keepNext/>
      <w:spacing w:before="320" w:after="200"/>
      <w:outlineLvl w:val="8"/>
    </w:pPr>
    <w:rPr>
      <w:rFonts w:ascii="Arial" w:hAnsi="Arial" w:eastAsia="Arial" w:cs="Arial"/>
      <w:i/>
      <w:iCs/>
      <w:sz w:val="21"/>
      <w:szCs w:val="21"/>
    </w:rPr>
  </w:style>
  <w:style w:type="character" w:styleId="872" w:default="1">
    <w:name w:val="Default Paragraph Font"/>
    <w:uiPriority w:val="1"/>
    <w:semiHidden/>
    <w:unhideWhenUsed/>
  </w:style>
  <w:style w:type="table" w:styleId="873" w:default="1">
    <w:name w:val="Normal Table"/>
    <w:uiPriority w:val="99"/>
    <w:semiHidden/>
    <w:unhideWhenUsed/>
    <w:qFormat/>
    <w:tblPr>
      <w:tblCellMar>
        <w:left w:w="108" w:type="dxa"/>
        <w:top w:w="0" w:type="dxa"/>
        <w:right w:w="108" w:type="dxa"/>
        <w:bottom w:w="0" w:type="dxa"/>
      </w:tblCellMar>
    </w:tblPr>
  </w:style>
  <w:style w:type="paragraph" w:styleId="874">
    <w:name w:val="toc 7"/>
    <w:basedOn w:val="862"/>
    <w:next w:val="862"/>
    <w:uiPriority w:val="39"/>
    <w:unhideWhenUsed/>
    <w:qFormat/>
    <w:pPr>
      <w:ind w:left="1701" w:right="0" w:firstLine="0"/>
      <w:spacing w:after="57"/>
    </w:pPr>
  </w:style>
  <w:style w:type="paragraph" w:styleId="875">
    <w:name w:val="Caption"/>
    <w:basedOn w:val="862"/>
    <w:next w:val="8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6">
    <w:name w:val="toc 5"/>
    <w:basedOn w:val="862"/>
    <w:next w:val="862"/>
    <w:uiPriority w:val="39"/>
    <w:unhideWhenUsed/>
    <w:qFormat/>
    <w:pPr>
      <w:ind w:left="1134" w:right="0" w:firstLine="0"/>
      <w:spacing w:after="57"/>
    </w:pPr>
  </w:style>
  <w:style w:type="paragraph" w:styleId="877">
    <w:name w:val="toc 3"/>
    <w:basedOn w:val="862"/>
    <w:next w:val="862"/>
    <w:uiPriority w:val="39"/>
    <w:unhideWhenUsed/>
    <w:qFormat/>
    <w:pPr>
      <w:ind w:left="567" w:right="0" w:firstLine="0"/>
      <w:spacing w:after="57"/>
    </w:pPr>
  </w:style>
  <w:style w:type="paragraph" w:styleId="878">
    <w:name w:val="toc 8"/>
    <w:basedOn w:val="862"/>
    <w:next w:val="862"/>
    <w:uiPriority w:val="39"/>
    <w:unhideWhenUsed/>
    <w:qFormat/>
    <w:pPr>
      <w:ind w:left="1984" w:right="0" w:firstLine="0"/>
      <w:spacing w:after="57"/>
    </w:pPr>
  </w:style>
  <w:style w:type="paragraph" w:styleId="879">
    <w:name w:val="endnote text"/>
    <w:basedOn w:val="862"/>
    <w:uiPriority w:val="99"/>
    <w:semiHidden/>
    <w:unhideWhenUsed/>
    <w:qFormat/>
    <w:pPr>
      <w:spacing w:after="0" w:line="240" w:lineRule="auto"/>
    </w:pPr>
    <w:rPr>
      <w:sz w:val="20"/>
    </w:rPr>
  </w:style>
  <w:style w:type="paragraph" w:styleId="880">
    <w:name w:val="Footer"/>
    <w:basedOn w:val="862"/>
    <w:uiPriority w:val="99"/>
    <w:unhideWhenUsed/>
    <w:qFormat/>
    <w:pPr>
      <w:spacing w:after="0" w:line="240" w:lineRule="auto"/>
      <w:tabs>
        <w:tab w:val="center" w:pos="7143" w:leader="none"/>
        <w:tab w:val="right" w:pos="14287" w:leader="none"/>
      </w:tabs>
    </w:pPr>
  </w:style>
  <w:style w:type="paragraph" w:styleId="881">
    <w:name w:val="Header"/>
    <w:basedOn w:val="862"/>
    <w:uiPriority w:val="99"/>
    <w:unhideWhenUsed/>
    <w:qFormat/>
    <w:pPr>
      <w:spacing w:after="0" w:line="240" w:lineRule="auto"/>
      <w:tabs>
        <w:tab w:val="center" w:pos="7143" w:leader="none"/>
        <w:tab w:val="right" w:pos="14287" w:leader="none"/>
      </w:tabs>
    </w:pPr>
  </w:style>
  <w:style w:type="paragraph" w:styleId="882">
    <w:name w:val="toc 1"/>
    <w:basedOn w:val="862"/>
    <w:next w:val="862"/>
    <w:uiPriority w:val="39"/>
    <w:unhideWhenUsed/>
    <w:qFormat/>
    <w:pPr>
      <w:ind w:left="0" w:right="0" w:firstLine="0"/>
      <w:spacing w:after="57"/>
    </w:pPr>
  </w:style>
  <w:style w:type="paragraph" w:styleId="883">
    <w:name w:val="toc 4"/>
    <w:basedOn w:val="862"/>
    <w:next w:val="862"/>
    <w:uiPriority w:val="39"/>
    <w:unhideWhenUsed/>
    <w:qFormat/>
    <w:pPr>
      <w:ind w:left="850" w:right="0" w:firstLine="0"/>
      <w:spacing w:after="57"/>
    </w:pPr>
  </w:style>
  <w:style w:type="paragraph" w:styleId="884">
    <w:name w:val="Subtitle"/>
    <w:basedOn w:val="862"/>
    <w:next w:val="862"/>
    <w:uiPriority w:val="11"/>
    <w:qFormat/>
    <w:pPr>
      <w:spacing w:before="200" w:after="200"/>
    </w:pPr>
    <w:rPr>
      <w:sz w:val="24"/>
      <w:szCs w:val="24"/>
    </w:rPr>
  </w:style>
  <w:style w:type="paragraph" w:styleId="885">
    <w:name w:val="footnote text"/>
    <w:basedOn w:val="862"/>
    <w:uiPriority w:val="99"/>
    <w:semiHidden/>
    <w:unhideWhenUsed/>
    <w:qFormat/>
    <w:pPr>
      <w:spacing w:after="40" w:line="240" w:lineRule="auto"/>
    </w:pPr>
    <w:rPr>
      <w:sz w:val="18"/>
    </w:rPr>
  </w:style>
  <w:style w:type="paragraph" w:styleId="886">
    <w:name w:val="toc 6"/>
    <w:basedOn w:val="862"/>
    <w:next w:val="862"/>
    <w:uiPriority w:val="39"/>
    <w:unhideWhenUsed/>
    <w:qFormat/>
    <w:pPr>
      <w:ind w:left="1417" w:right="0" w:firstLine="0"/>
      <w:spacing w:after="57"/>
    </w:pPr>
  </w:style>
  <w:style w:type="paragraph" w:styleId="887">
    <w:name w:val="table of figures"/>
    <w:basedOn w:val="862"/>
    <w:next w:val="862"/>
    <w:uiPriority w:val="99"/>
    <w:unhideWhenUsed/>
    <w:qFormat/>
    <w:pPr>
      <w:spacing w:after="0" w:afterAutospacing="0"/>
    </w:pPr>
  </w:style>
  <w:style w:type="paragraph" w:styleId="888">
    <w:name w:val="toc 2"/>
    <w:basedOn w:val="862"/>
    <w:next w:val="862"/>
    <w:uiPriority w:val="39"/>
    <w:unhideWhenUsed/>
    <w:qFormat/>
    <w:pPr>
      <w:ind w:left="283" w:right="0" w:firstLine="0"/>
      <w:spacing w:after="57"/>
    </w:pPr>
  </w:style>
  <w:style w:type="paragraph" w:styleId="889">
    <w:name w:val="toc 9"/>
    <w:basedOn w:val="862"/>
    <w:next w:val="862"/>
    <w:uiPriority w:val="39"/>
    <w:unhideWhenUsed/>
    <w:qFormat/>
    <w:pPr>
      <w:ind w:left="2268" w:right="0" w:firstLine="0"/>
      <w:spacing w:after="57"/>
    </w:pPr>
  </w:style>
  <w:style w:type="paragraph" w:styleId="890">
    <w:name w:val="Normal (Web)"/>
    <w:basedOn w:val="862"/>
    <w:uiPriority w:val="99"/>
    <w:semiHidden/>
    <w:unhideWhenUsed/>
    <w:pPr>
      <w:ind w:left="0" w:right="0"/>
      <w:jc w:val="left"/>
      <w:spacing w:before="0" w:beforeAutospacing="1" w:after="0" w:afterAutospacing="1"/>
    </w:pPr>
    <w:rPr>
      <w:sz w:val="24"/>
      <w:lang w:val="en-US" w:eastAsia="zh-CN" w:bidi="ar"/>
    </w:rPr>
  </w:style>
  <w:style w:type="paragraph" w:styleId="891">
    <w:name w:val="Title"/>
    <w:basedOn w:val="862"/>
    <w:next w:val="862"/>
    <w:uiPriority w:val="10"/>
    <w:qFormat/>
    <w:pPr>
      <w:contextualSpacing/>
      <w:spacing w:before="300" w:after="200"/>
    </w:pPr>
    <w:rPr>
      <w:sz w:val="48"/>
      <w:szCs w:val="48"/>
    </w:rPr>
  </w:style>
  <w:style w:type="table" w:styleId="89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3">
    <w:name w:val="endnote reference"/>
    <w:uiPriority w:val="99"/>
    <w:semiHidden/>
    <w:unhideWhenUsed/>
    <w:qFormat/>
    <w:rPr>
      <w:vertAlign w:val="superscript"/>
    </w:rPr>
  </w:style>
  <w:style w:type="character" w:styleId="894">
    <w:name w:val="Hyperlink"/>
    <w:uiPriority w:val="99"/>
    <w:unhideWhenUsed/>
    <w:qFormat/>
    <w:rPr>
      <w:color w:val="0000ff" w:themeColor="hyperlink"/>
      <w:u w:val="single"/>
      <w14:textFill>
        <w14:solidFill>
          <w14:schemeClr w14:val="hlink"/>
        </w14:solidFill>
      </w14:textFill>
    </w:rPr>
  </w:style>
  <w:style w:type="character" w:styleId="895">
    <w:name w:val="footnote reference"/>
    <w:uiPriority w:val="99"/>
    <w:unhideWhenUsed/>
    <w:qFormat/>
    <w:rPr>
      <w:vertAlign w:val="superscript"/>
    </w:rPr>
  </w:style>
  <w:style w:type="paragraph" w:styleId="896" w:customStyle="1">
    <w:name w:val="正文文本缩进1"/>
    <w:basedOn w:val="862"/>
    <w:uiPriority w:val="99"/>
    <w:unhideWhenUsed/>
    <w:qFormat/>
    <w:pPr>
      <w:ind w:left="420"/>
      <w:spacing w:after="120"/>
    </w:pPr>
  </w:style>
  <w:style w:type="paragraph" w:styleId="897" w:customStyle="1">
    <w:name w:val="列出段落1"/>
    <w:basedOn w:val="862"/>
    <w:uiPriority w:val="0"/>
    <w:qFormat/>
    <w:pPr>
      <w:ind w:firstLine="420"/>
    </w:pPr>
    <w:rPr>
      <w:szCs w:val="22"/>
    </w:rPr>
  </w:style>
  <w:style w:type="paragraph" w:styleId="898" w:customStyle="1">
    <w:name w:val="标题 111"/>
    <w:basedOn w:val="862"/>
    <w:next w:val="862"/>
    <w:link w:val="909"/>
    <w:uiPriority w:val="9"/>
    <w:qFormat/>
    <w:pPr>
      <w:keepLines/>
      <w:keepNext/>
      <w:spacing w:before="480" w:after="200"/>
      <w:outlineLvl w:val="0"/>
    </w:pPr>
    <w:rPr>
      <w:rFonts w:ascii="等线" w:hAnsi="等线" w:eastAsia="等线" w:cs="等线"/>
      <w:sz w:val="40"/>
      <w:szCs w:val="40"/>
    </w:rPr>
  </w:style>
  <w:style w:type="paragraph" w:styleId="899" w:customStyle="1">
    <w:name w:val="标题 211"/>
    <w:basedOn w:val="862"/>
    <w:next w:val="862"/>
    <w:link w:val="910"/>
    <w:uiPriority w:val="9"/>
    <w:unhideWhenUsed/>
    <w:qFormat/>
    <w:pPr>
      <w:keepLines/>
      <w:keepNext/>
      <w:spacing w:before="360" w:after="200"/>
      <w:outlineLvl w:val="1"/>
    </w:pPr>
    <w:rPr>
      <w:rFonts w:ascii="等线" w:hAnsi="等线" w:eastAsia="等线" w:cs="等线"/>
      <w:sz w:val="34"/>
    </w:rPr>
  </w:style>
  <w:style w:type="paragraph" w:styleId="900" w:customStyle="1">
    <w:name w:val="标题 311"/>
    <w:basedOn w:val="862"/>
    <w:next w:val="862"/>
    <w:link w:val="911"/>
    <w:uiPriority w:val="9"/>
    <w:unhideWhenUsed/>
    <w:qFormat/>
    <w:pPr>
      <w:keepLines/>
      <w:keepNext/>
      <w:spacing w:before="320" w:after="200"/>
      <w:outlineLvl w:val="2"/>
    </w:pPr>
    <w:rPr>
      <w:rFonts w:ascii="等线" w:hAnsi="等线" w:eastAsia="等线" w:cs="等线"/>
      <w:sz w:val="30"/>
      <w:szCs w:val="30"/>
    </w:rPr>
  </w:style>
  <w:style w:type="paragraph" w:styleId="901" w:customStyle="1">
    <w:name w:val="标题 411"/>
    <w:basedOn w:val="862"/>
    <w:next w:val="862"/>
    <w:link w:val="912"/>
    <w:uiPriority w:val="9"/>
    <w:unhideWhenUsed/>
    <w:qFormat/>
    <w:pPr>
      <w:keepLines/>
      <w:keepNext/>
      <w:spacing w:before="320" w:after="200"/>
      <w:outlineLvl w:val="3"/>
    </w:pPr>
    <w:rPr>
      <w:rFonts w:ascii="等线" w:hAnsi="等线" w:eastAsia="等线" w:cs="等线"/>
      <w:b/>
      <w:bCs/>
      <w:sz w:val="26"/>
      <w:szCs w:val="26"/>
    </w:rPr>
  </w:style>
  <w:style w:type="paragraph" w:styleId="902" w:customStyle="1">
    <w:name w:val="标题 511"/>
    <w:basedOn w:val="862"/>
    <w:next w:val="862"/>
    <w:link w:val="913"/>
    <w:uiPriority w:val="9"/>
    <w:unhideWhenUsed/>
    <w:qFormat/>
    <w:pPr>
      <w:keepLines/>
      <w:keepNext/>
      <w:spacing w:before="320" w:after="200"/>
      <w:outlineLvl w:val="4"/>
    </w:pPr>
    <w:rPr>
      <w:rFonts w:ascii="等线" w:hAnsi="等线" w:eastAsia="等线" w:cs="等线"/>
      <w:b/>
      <w:bCs/>
      <w:sz w:val="24"/>
      <w:szCs w:val="24"/>
    </w:rPr>
  </w:style>
  <w:style w:type="paragraph" w:styleId="903" w:customStyle="1">
    <w:name w:val="标题 611"/>
    <w:basedOn w:val="862"/>
    <w:next w:val="862"/>
    <w:link w:val="914"/>
    <w:uiPriority w:val="9"/>
    <w:unhideWhenUsed/>
    <w:qFormat/>
    <w:pPr>
      <w:keepLines/>
      <w:keepNext/>
      <w:spacing w:before="320" w:after="200"/>
      <w:outlineLvl w:val="5"/>
    </w:pPr>
    <w:rPr>
      <w:rFonts w:ascii="等线" w:hAnsi="等线" w:eastAsia="等线" w:cs="等线"/>
      <w:b/>
      <w:bCs/>
      <w:sz w:val="22"/>
      <w:szCs w:val="22"/>
    </w:rPr>
  </w:style>
  <w:style w:type="paragraph" w:styleId="904" w:customStyle="1">
    <w:name w:val="标题 711"/>
    <w:basedOn w:val="862"/>
    <w:next w:val="862"/>
    <w:link w:val="915"/>
    <w:uiPriority w:val="9"/>
    <w:unhideWhenUsed/>
    <w:qFormat/>
    <w:pPr>
      <w:keepLines/>
      <w:keepNext/>
      <w:spacing w:before="320" w:after="200"/>
      <w:outlineLvl w:val="6"/>
    </w:pPr>
    <w:rPr>
      <w:rFonts w:ascii="等线" w:hAnsi="等线" w:eastAsia="等线" w:cs="等线"/>
      <w:b/>
      <w:bCs/>
      <w:i/>
      <w:iCs/>
      <w:sz w:val="22"/>
      <w:szCs w:val="22"/>
    </w:rPr>
  </w:style>
  <w:style w:type="paragraph" w:styleId="905" w:customStyle="1">
    <w:name w:val="标题 811"/>
    <w:basedOn w:val="862"/>
    <w:next w:val="862"/>
    <w:link w:val="916"/>
    <w:uiPriority w:val="9"/>
    <w:unhideWhenUsed/>
    <w:qFormat/>
    <w:pPr>
      <w:keepLines/>
      <w:keepNext/>
      <w:spacing w:before="320" w:after="200"/>
      <w:outlineLvl w:val="7"/>
    </w:pPr>
    <w:rPr>
      <w:rFonts w:ascii="等线" w:hAnsi="等线" w:eastAsia="等线" w:cs="等线"/>
      <w:i/>
      <w:iCs/>
      <w:sz w:val="22"/>
      <w:szCs w:val="22"/>
    </w:rPr>
  </w:style>
  <w:style w:type="paragraph" w:styleId="906" w:customStyle="1">
    <w:name w:val="标题 911"/>
    <w:basedOn w:val="862"/>
    <w:next w:val="862"/>
    <w:link w:val="917"/>
    <w:uiPriority w:val="9"/>
    <w:unhideWhenUsed/>
    <w:qFormat/>
    <w:pPr>
      <w:keepLines/>
      <w:keepNext/>
      <w:spacing w:before="320" w:after="200"/>
      <w:outlineLvl w:val="8"/>
    </w:pPr>
    <w:rPr>
      <w:rFonts w:ascii="等线" w:hAnsi="等线" w:eastAsia="等线" w:cs="等线"/>
      <w:i/>
      <w:iCs/>
      <w:szCs w:val="21"/>
    </w:rPr>
  </w:style>
  <w:style w:type="character" w:styleId="907" w:customStyle="1">
    <w:name w:val="默认段落字体11"/>
    <w:link w:val="862"/>
    <w:uiPriority w:val="1"/>
    <w:unhideWhenUsed/>
    <w:qFormat/>
  </w:style>
  <w:style w:type="table" w:styleId="908" w:customStyle="1">
    <w:name w:val="普通表格11"/>
    <w:uiPriority w:val="99"/>
    <w:unhideWhenUsed/>
    <w:qFormat/>
    <w:tblPr/>
  </w:style>
  <w:style w:type="character" w:styleId="909" w:customStyle="1">
    <w:name w:val="标题 1 Char"/>
    <w:link w:val="898"/>
    <w:uiPriority w:val="9"/>
    <w:qFormat/>
    <w:rPr>
      <w:rFonts w:ascii="等线" w:hAnsi="等线" w:eastAsia="等线" w:cs="等线"/>
      <w:sz w:val="40"/>
      <w:szCs w:val="40"/>
    </w:rPr>
  </w:style>
  <w:style w:type="character" w:styleId="910" w:customStyle="1">
    <w:name w:val="标题 2 Char"/>
    <w:link w:val="899"/>
    <w:uiPriority w:val="9"/>
    <w:qFormat/>
    <w:rPr>
      <w:rFonts w:ascii="等线" w:hAnsi="等线" w:eastAsia="等线" w:cs="等线"/>
      <w:sz w:val="34"/>
    </w:rPr>
  </w:style>
  <w:style w:type="character" w:styleId="911" w:customStyle="1">
    <w:name w:val="标题 3 Char"/>
    <w:link w:val="900"/>
    <w:uiPriority w:val="9"/>
    <w:qFormat/>
    <w:rPr>
      <w:rFonts w:ascii="等线" w:hAnsi="等线" w:eastAsia="等线" w:cs="等线"/>
      <w:sz w:val="30"/>
      <w:szCs w:val="30"/>
    </w:rPr>
  </w:style>
  <w:style w:type="character" w:styleId="912" w:customStyle="1">
    <w:name w:val="标题 4 Char"/>
    <w:link w:val="901"/>
    <w:uiPriority w:val="9"/>
    <w:qFormat/>
    <w:rPr>
      <w:rFonts w:ascii="等线" w:hAnsi="等线" w:eastAsia="等线" w:cs="等线"/>
      <w:b/>
      <w:bCs/>
      <w:sz w:val="26"/>
      <w:szCs w:val="26"/>
    </w:rPr>
  </w:style>
  <w:style w:type="character" w:styleId="913" w:customStyle="1">
    <w:name w:val="标题 5 Char"/>
    <w:link w:val="902"/>
    <w:uiPriority w:val="9"/>
    <w:qFormat/>
    <w:rPr>
      <w:rFonts w:ascii="等线" w:hAnsi="等线" w:eastAsia="等线" w:cs="等线"/>
      <w:b/>
      <w:bCs/>
      <w:sz w:val="24"/>
      <w:szCs w:val="24"/>
    </w:rPr>
  </w:style>
  <w:style w:type="character" w:styleId="914" w:customStyle="1">
    <w:name w:val="标题 6 Char"/>
    <w:link w:val="903"/>
    <w:uiPriority w:val="9"/>
    <w:qFormat/>
    <w:rPr>
      <w:rFonts w:ascii="等线" w:hAnsi="等线" w:eastAsia="等线" w:cs="等线"/>
      <w:b/>
      <w:bCs/>
      <w:sz w:val="22"/>
      <w:szCs w:val="22"/>
    </w:rPr>
  </w:style>
  <w:style w:type="character" w:styleId="915" w:customStyle="1">
    <w:name w:val="标题 7 Char"/>
    <w:link w:val="904"/>
    <w:uiPriority w:val="9"/>
    <w:qFormat/>
    <w:rPr>
      <w:rFonts w:ascii="等线" w:hAnsi="等线" w:eastAsia="等线" w:cs="等线"/>
      <w:b/>
      <w:bCs/>
      <w:i/>
      <w:iCs/>
      <w:sz w:val="22"/>
      <w:szCs w:val="22"/>
    </w:rPr>
  </w:style>
  <w:style w:type="character" w:styleId="916" w:customStyle="1">
    <w:name w:val="标题 8 Char"/>
    <w:link w:val="905"/>
    <w:uiPriority w:val="9"/>
    <w:qFormat/>
    <w:rPr>
      <w:rFonts w:ascii="等线" w:hAnsi="等线" w:eastAsia="等线" w:cs="等线"/>
      <w:i/>
      <w:iCs/>
      <w:sz w:val="22"/>
      <w:szCs w:val="22"/>
    </w:rPr>
  </w:style>
  <w:style w:type="character" w:styleId="917" w:customStyle="1">
    <w:name w:val="标题 9 Char"/>
    <w:link w:val="906"/>
    <w:uiPriority w:val="9"/>
    <w:qFormat/>
    <w:rPr>
      <w:rFonts w:ascii="等线" w:hAnsi="等线" w:eastAsia="等线" w:cs="等线"/>
      <w:i/>
      <w:iCs/>
      <w:sz w:val="21"/>
      <w:szCs w:val="21"/>
    </w:rPr>
  </w:style>
  <w:style w:type="paragraph" w:styleId="918" w:customStyle="1">
    <w:name w:val="目录 71"/>
    <w:basedOn w:val="862"/>
    <w:next w:val="862"/>
    <w:uiPriority w:val="39"/>
    <w:unhideWhenUsed/>
    <w:qFormat/>
    <w:pPr>
      <w:ind w:left="1701"/>
      <w:spacing w:after="57"/>
    </w:pPr>
  </w:style>
  <w:style w:type="paragraph" w:styleId="919" w:customStyle="1">
    <w:name w:val="题注1"/>
    <w:basedOn w:val="862"/>
    <w:next w:val="862"/>
    <w:uiPriority w:val="35"/>
    <w:unhideWhenUsed/>
    <w:qFormat/>
    <w:pPr>
      <w:spacing w:line="276" w:lineRule="auto"/>
    </w:pPr>
    <w:rPr>
      <w:b/>
      <w:bCs/>
      <w:color w:val="4f81bd"/>
      <w:sz w:val="18"/>
      <w:szCs w:val="18"/>
    </w:rPr>
  </w:style>
  <w:style w:type="paragraph" w:styleId="920" w:customStyle="1">
    <w:name w:val="正文文本11"/>
    <w:basedOn w:val="862"/>
    <w:next w:val="921"/>
    <w:uiPriority w:val="0"/>
    <w:qFormat/>
    <w:rPr>
      <w:sz w:val="20"/>
    </w:rPr>
  </w:style>
  <w:style w:type="paragraph" w:styleId="921" w:customStyle="1">
    <w:name w:val="目录 211"/>
    <w:basedOn w:val="862"/>
    <w:next w:val="862"/>
    <w:uiPriority w:val="39"/>
    <w:unhideWhenUsed/>
    <w:qFormat/>
    <w:pPr>
      <w:ind w:left="283"/>
      <w:spacing w:after="57"/>
    </w:pPr>
  </w:style>
  <w:style w:type="paragraph" w:styleId="922" w:customStyle="1">
    <w:name w:val="列表 21"/>
    <w:basedOn w:val="862"/>
    <w:uiPriority w:val="0"/>
    <w:qFormat/>
    <w:pPr>
      <w:ind w:left="454"/>
      <w:spacing w:line="360" w:lineRule="auto"/>
    </w:pPr>
    <w:rPr>
      <w:sz w:val="24"/>
      <w:szCs w:val="24"/>
    </w:rPr>
  </w:style>
  <w:style w:type="paragraph" w:styleId="923" w:customStyle="1">
    <w:name w:val="索引 41"/>
    <w:basedOn w:val="862"/>
    <w:next w:val="862"/>
    <w:uiPriority w:val="99"/>
    <w:qFormat/>
    <w:pPr>
      <w:ind w:left="960" w:hanging="240"/>
      <w:jc w:val="left"/>
      <w:spacing w:line="360" w:lineRule="auto"/>
    </w:pPr>
    <w:rPr>
      <w:sz w:val="20"/>
    </w:rPr>
  </w:style>
  <w:style w:type="paragraph" w:styleId="924" w:customStyle="1">
    <w:name w:val="目录 51"/>
    <w:basedOn w:val="862"/>
    <w:next w:val="862"/>
    <w:uiPriority w:val="39"/>
    <w:unhideWhenUsed/>
    <w:qFormat/>
    <w:pPr>
      <w:ind w:left="1134"/>
      <w:spacing w:after="57"/>
    </w:pPr>
  </w:style>
  <w:style w:type="paragraph" w:styleId="925" w:customStyle="1">
    <w:name w:val="目录 31"/>
    <w:basedOn w:val="862"/>
    <w:next w:val="862"/>
    <w:uiPriority w:val="39"/>
    <w:unhideWhenUsed/>
    <w:qFormat/>
    <w:pPr>
      <w:ind w:left="567"/>
      <w:spacing w:after="57"/>
    </w:pPr>
  </w:style>
  <w:style w:type="paragraph" w:styleId="926" w:customStyle="1">
    <w:name w:val="目录 81"/>
    <w:basedOn w:val="862"/>
    <w:next w:val="862"/>
    <w:uiPriority w:val="39"/>
    <w:unhideWhenUsed/>
    <w:qFormat/>
    <w:pPr>
      <w:ind w:left="1984"/>
      <w:spacing w:after="57"/>
    </w:pPr>
  </w:style>
  <w:style w:type="paragraph" w:styleId="927" w:customStyle="1">
    <w:name w:val="尾注文本1"/>
    <w:basedOn w:val="862"/>
    <w:link w:val="928"/>
    <w:uiPriority w:val="99"/>
    <w:unhideWhenUsed/>
    <w:qFormat/>
    <w:rPr>
      <w:sz w:val="20"/>
    </w:rPr>
  </w:style>
  <w:style w:type="character" w:styleId="928" w:customStyle="1">
    <w:name w:val="尾注文本 Char"/>
    <w:link w:val="927"/>
    <w:uiPriority w:val="99"/>
    <w:qFormat/>
    <w:rPr>
      <w:sz w:val="20"/>
    </w:rPr>
  </w:style>
  <w:style w:type="paragraph" w:styleId="929" w:customStyle="1">
    <w:name w:val="批注框文本11"/>
    <w:basedOn w:val="862"/>
    <w:link w:val="930"/>
    <w:uiPriority w:val="99"/>
    <w:unhideWhenUsed/>
    <w:qFormat/>
    <w:rPr>
      <w:sz w:val="18"/>
      <w:szCs w:val="18"/>
    </w:rPr>
  </w:style>
  <w:style w:type="character" w:styleId="930" w:customStyle="1">
    <w:name w:val="批注框文本 Char"/>
    <w:basedOn w:val="907"/>
    <w:link w:val="929"/>
    <w:uiPriority w:val="99"/>
    <w:semiHidden/>
    <w:qFormat/>
    <w:rPr>
      <w:sz w:val="18"/>
      <w:szCs w:val="18"/>
    </w:rPr>
  </w:style>
  <w:style w:type="paragraph" w:styleId="931" w:customStyle="1">
    <w:name w:val="页脚11"/>
    <w:basedOn w:val="862"/>
    <w:link w:val="932"/>
    <w:uiPriority w:val="99"/>
    <w:unhideWhenUsed/>
    <w:qFormat/>
    <w:pPr>
      <w:tabs>
        <w:tab w:val="center" w:pos="7143" w:leader="none"/>
        <w:tab w:val="right" w:pos="14287" w:leader="none"/>
      </w:tabs>
    </w:pPr>
  </w:style>
  <w:style w:type="character" w:styleId="932" w:customStyle="1">
    <w:name w:val="页脚 Char"/>
    <w:link w:val="931"/>
    <w:uiPriority w:val="99"/>
    <w:qFormat/>
  </w:style>
  <w:style w:type="paragraph" w:styleId="933" w:customStyle="1">
    <w:name w:val="页眉11"/>
    <w:basedOn w:val="862"/>
    <w:link w:val="934"/>
    <w:uiPriority w:val="99"/>
    <w:unhideWhenUsed/>
    <w:qFormat/>
    <w:pPr>
      <w:tabs>
        <w:tab w:val="center" w:pos="7143" w:leader="none"/>
        <w:tab w:val="right" w:pos="14287" w:leader="none"/>
      </w:tabs>
    </w:pPr>
  </w:style>
  <w:style w:type="character" w:styleId="934" w:customStyle="1">
    <w:name w:val="页眉 Char"/>
    <w:link w:val="933"/>
    <w:uiPriority w:val="99"/>
    <w:qFormat/>
  </w:style>
  <w:style w:type="paragraph" w:styleId="935" w:customStyle="1">
    <w:name w:val="目录 111"/>
    <w:basedOn w:val="862"/>
    <w:next w:val="862"/>
    <w:uiPriority w:val="39"/>
    <w:unhideWhenUsed/>
    <w:qFormat/>
    <w:pPr>
      <w:spacing w:after="57"/>
    </w:pPr>
  </w:style>
  <w:style w:type="paragraph" w:styleId="936" w:customStyle="1">
    <w:name w:val="目录 41"/>
    <w:basedOn w:val="862"/>
    <w:next w:val="862"/>
    <w:uiPriority w:val="39"/>
    <w:unhideWhenUsed/>
    <w:qFormat/>
    <w:pPr>
      <w:ind w:left="850"/>
      <w:spacing w:after="57"/>
    </w:pPr>
  </w:style>
  <w:style w:type="paragraph" w:styleId="937" w:customStyle="1">
    <w:name w:val="副标题1"/>
    <w:basedOn w:val="862"/>
    <w:next w:val="862"/>
    <w:link w:val="938"/>
    <w:uiPriority w:val="11"/>
    <w:qFormat/>
    <w:pPr>
      <w:spacing w:before="200" w:after="200"/>
    </w:pPr>
    <w:rPr>
      <w:sz w:val="24"/>
      <w:szCs w:val="24"/>
    </w:rPr>
  </w:style>
  <w:style w:type="character" w:styleId="938" w:customStyle="1">
    <w:name w:val="副标题 Char"/>
    <w:link w:val="937"/>
    <w:uiPriority w:val="11"/>
    <w:qFormat/>
    <w:rPr>
      <w:sz w:val="24"/>
      <w:szCs w:val="24"/>
    </w:rPr>
  </w:style>
  <w:style w:type="paragraph" w:styleId="939" w:customStyle="1">
    <w:name w:val="脚注文本1"/>
    <w:basedOn w:val="862"/>
    <w:link w:val="940"/>
    <w:uiPriority w:val="99"/>
    <w:unhideWhenUsed/>
    <w:qFormat/>
    <w:pPr>
      <w:spacing w:after="40"/>
    </w:pPr>
    <w:rPr>
      <w:sz w:val="18"/>
    </w:rPr>
  </w:style>
  <w:style w:type="character" w:styleId="940" w:customStyle="1">
    <w:name w:val="脚注文本 Char"/>
    <w:link w:val="939"/>
    <w:uiPriority w:val="99"/>
    <w:qFormat/>
    <w:rPr>
      <w:sz w:val="18"/>
    </w:rPr>
  </w:style>
  <w:style w:type="paragraph" w:styleId="941" w:customStyle="1">
    <w:name w:val="目录 61"/>
    <w:basedOn w:val="862"/>
    <w:next w:val="862"/>
    <w:uiPriority w:val="39"/>
    <w:unhideWhenUsed/>
    <w:qFormat/>
    <w:pPr>
      <w:ind w:left="1417"/>
      <w:spacing w:after="57"/>
    </w:pPr>
  </w:style>
  <w:style w:type="paragraph" w:styleId="942" w:customStyle="1">
    <w:name w:val="正文文本缩进 311"/>
    <w:basedOn w:val="862"/>
    <w:uiPriority w:val="0"/>
    <w:qFormat/>
    <w:pPr>
      <w:ind w:left="420"/>
      <w:jc w:val="left"/>
      <w:spacing w:after="120"/>
      <w:widowControl/>
    </w:pPr>
    <w:rPr>
      <w:sz w:val="16"/>
      <w:szCs w:val="16"/>
    </w:rPr>
  </w:style>
  <w:style w:type="paragraph" w:styleId="943" w:customStyle="1">
    <w:name w:val="图表目录1"/>
    <w:basedOn w:val="862"/>
    <w:next w:val="862"/>
    <w:uiPriority w:val="99"/>
    <w:unhideWhenUsed/>
    <w:qFormat/>
  </w:style>
  <w:style w:type="paragraph" w:styleId="944" w:customStyle="1">
    <w:name w:val="目录 91"/>
    <w:basedOn w:val="862"/>
    <w:next w:val="862"/>
    <w:uiPriority w:val="39"/>
    <w:unhideWhenUsed/>
    <w:qFormat/>
    <w:pPr>
      <w:ind w:left="2268"/>
      <w:spacing w:after="57"/>
    </w:pPr>
  </w:style>
  <w:style w:type="paragraph" w:styleId="945" w:customStyle="1">
    <w:name w:val="标题1"/>
    <w:basedOn w:val="862"/>
    <w:next w:val="862"/>
    <w:link w:val="946"/>
    <w:uiPriority w:val="10"/>
    <w:qFormat/>
    <w:pPr>
      <w:contextualSpacing/>
      <w:spacing w:before="300" w:after="200"/>
    </w:pPr>
    <w:rPr>
      <w:sz w:val="48"/>
      <w:szCs w:val="48"/>
    </w:rPr>
  </w:style>
  <w:style w:type="character" w:styleId="946" w:customStyle="1">
    <w:name w:val="标题 Char"/>
    <w:link w:val="945"/>
    <w:uiPriority w:val="10"/>
    <w:qFormat/>
    <w:rPr>
      <w:sz w:val="48"/>
      <w:szCs w:val="48"/>
    </w:rPr>
  </w:style>
  <w:style w:type="table" w:styleId="947" w:customStyle="1">
    <w:name w:val="网格型11"/>
    <w:uiPriority w:val="59"/>
    <w:qFormat/>
    <w:tblPr/>
  </w:style>
  <w:style w:type="character" w:styleId="948" w:customStyle="1">
    <w:name w:val="尾注引用1"/>
    <w:link w:val="862"/>
    <w:uiPriority w:val="99"/>
    <w:unhideWhenUsed/>
    <w:qFormat/>
    <w:rPr>
      <w:vertAlign w:val="superscript"/>
    </w:rPr>
  </w:style>
  <w:style w:type="character" w:styleId="949" w:customStyle="1">
    <w:name w:val="超链接11"/>
    <w:link w:val="862"/>
    <w:uiPriority w:val="99"/>
    <w:unhideWhenUsed/>
    <w:qFormat/>
    <w:rPr>
      <w:color w:val="0000ff"/>
      <w:u w:val="single"/>
    </w:rPr>
  </w:style>
  <w:style w:type="character" w:styleId="950" w:customStyle="1">
    <w:name w:val="脚注引用1"/>
    <w:link w:val="862"/>
    <w:uiPriority w:val="99"/>
    <w:unhideWhenUsed/>
    <w:qFormat/>
    <w:rPr>
      <w:vertAlign w:val="superscript"/>
    </w:rPr>
  </w:style>
  <w:style w:type="character" w:styleId="951" w:customStyle="1">
    <w:name w:val="Caption Char"/>
    <w:link w:val="862"/>
    <w:uiPriority w:val="99"/>
    <w:qFormat/>
  </w:style>
  <w:style w:type="character" w:styleId="952" w:customStyle="1">
    <w:name w:val="Title Char"/>
    <w:basedOn w:val="907"/>
    <w:link w:val="862"/>
    <w:uiPriority w:val="10"/>
    <w:qFormat/>
    <w:rPr>
      <w:sz w:val="48"/>
      <w:szCs w:val="48"/>
    </w:rPr>
  </w:style>
  <w:style w:type="character" w:styleId="953" w:customStyle="1">
    <w:name w:val="引用 Char"/>
    <w:link w:val="954"/>
    <w:uiPriority w:val="29"/>
    <w:qFormat/>
    <w:rPr>
      <w:i/>
    </w:rPr>
  </w:style>
  <w:style w:type="paragraph" w:styleId="954">
    <w:name w:val="Quote"/>
    <w:basedOn w:val="862"/>
    <w:next w:val="862"/>
    <w:link w:val="953"/>
    <w:uiPriority w:val="29"/>
    <w:qFormat/>
    <w:pPr>
      <w:ind w:left="720" w:right="720"/>
    </w:pPr>
    <w:rPr>
      <w:i/>
    </w:rPr>
  </w:style>
  <w:style w:type="character" w:styleId="955" w:customStyle="1">
    <w:name w:val="Quote Char"/>
    <w:link w:val="862"/>
    <w:uiPriority w:val="29"/>
    <w:qFormat/>
    <w:rPr>
      <w:i/>
    </w:rPr>
  </w:style>
  <w:style w:type="character" w:styleId="956" w:customStyle="1">
    <w:name w:val="超链接1"/>
    <w:link w:val="862"/>
    <w:uiPriority w:val="99"/>
    <w:unhideWhenUsed/>
    <w:qFormat/>
    <w:rPr>
      <w:color w:val="0563c1"/>
      <w:u w:val="single"/>
    </w:rPr>
  </w:style>
  <w:style w:type="character" w:styleId="957" w:customStyle="1">
    <w:name w:val="Heading 1 Char"/>
    <w:basedOn w:val="907"/>
    <w:link w:val="862"/>
    <w:uiPriority w:val="9"/>
    <w:qFormat/>
    <w:rPr>
      <w:rFonts w:ascii="Arial" w:hAnsi="Arial" w:eastAsia="Arial" w:cs="Arial"/>
      <w:sz w:val="40"/>
      <w:szCs w:val="40"/>
    </w:rPr>
  </w:style>
  <w:style w:type="character" w:styleId="958" w:customStyle="1">
    <w:name w:val="纯文本1 Char"/>
    <w:link w:val="959"/>
    <w:uiPriority w:val="0"/>
    <w:qFormat/>
    <w:rPr>
      <w:rFonts w:ascii="宋体" w:hAnsi="Courier New" w:eastAsia="宋体" w:cs="Times New Roman"/>
      <w:szCs w:val="22"/>
    </w:rPr>
  </w:style>
  <w:style w:type="paragraph" w:styleId="959" w:customStyle="1">
    <w:name w:val="纯文本1"/>
    <w:basedOn w:val="862"/>
    <w:link w:val="958"/>
    <w:uiPriority w:val="0"/>
    <w:qFormat/>
    <w:rPr>
      <w:rFonts w:ascii="宋体" w:hAnsi="Courier New"/>
      <w:szCs w:val="22"/>
    </w:rPr>
  </w:style>
  <w:style w:type="character" w:styleId="960" w:customStyle="1">
    <w:name w:val="Footnote Text Char"/>
    <w:link w:val="862"/>
    <w:uiPriority w:val="99"/>
    <w:qFormat/>
    <w:rPr>
      <w:sz w:val="18"/>
    </w:rPr>
  </w:style>
  <w:style w:type="character" w:styleId="961" w:customStyle="1">
    <w:name w:val="Heading 7 Char"/>
    <w:basedOn w:val="907"/>
    <w:link w:val="862"/>
    <w:uiPriority w:val="9"/>
    <w:qFormat/>
    <w:rPr>
      <w:rFonts w:ascii="Arial" w:hAnsi="Arial" w:eastAsia="Arial" w:cs="Arial"/>
      <w:b/>
      <w:bCs/>
      <w:i/>
      <w:iCs/>
      <w:sz w:val="22"/>
      <w:szCs w:val="22"/>
    </w:rPr>
  </w:style>
  <w:style w:type="character" w:styleId="962" w:customStyle="1">
    <w:name w:val="目录 11 Char"/>
    <w:link w:val="963"/>
    <w:uiPriority w:val="39"/>
    <w:qFormat/>
  </w:style>
  <w:style w:type="paragraph" w:styleId="963" w:customStyle="1">
    <w:name w:val="目录 11"/>
    <w:basedOn w:val="862"/>
    <w:next w:val="862"/>
    <w:link w:val="962"/>
    <w:uiPriority w:val="39"/>
    <w:qFormat/>
  </w:style>
  <w:style w:type="character" w:styleId="964" w:customStyle="1">
    <w:name w:val="已访问的超链接1"/>
    <w:link w:val="862"/>
    <w:uiPriority w:val="0"/>
    <w:qFormat/>
    <w:rPr>
      <w:color w:val="000000"/>
      <w:u w:val="none"/>
    </w:rPr>
  </w:style>
  <w:style w:type="character" w:styleId="965" w:customStyle="1">
    <w:name w:val="标题 2 字符"/>
    <w:link w:val="966"/>
    <w:uiPriority w:val="0"/>
    <w:qFormat/>
    <w:rPr>
      <w:rFonts w:ascii="Arial" w:hAnsi="Arial" w:eastAsia="黑体"/>
      <w:b/>
      <w:sz w:val="32"/>
    </w:rPr>
  </w:style>
  <w:style w:type="paragraph" w:styleId="966" w:customStyle="1">
    <w:name w:val="标题 21"/>
    <w:basedOn w:val="862"/>
    <w:next w:val="862"/>
    <w:link w:val="965"/>
    <w:uiPriority w:val="0"/>
    <w:qFormat/>
    <w:pPr>
      <w:keepLines/>
      <w:keepNext/>
      <w:spacing w:before="260" w:after="260" w:line="413" w:lineRule="auto"/>
      <w:outlineLvl w:val="1"/>
    </w:pPr>
    <w:rPr>
      <w:rFonts w:ascii="Arial" w:hAnsi="Arial" w:eastAsia="黑体"/>
      <w:b/>
      <w:sz w:val="32"/>
    </w:rPr>
  </w:style>
  <w:style w:type="character" w:styleId="967" w:customStyle="1">
    <w:name w:val="页码1"/>
    <w:link w:val="862"/>
    <w:uiPriority w:val="0"/>
    <w:qFormat/>
  </w:style>
  <w:style w:type="character" w:styleId="968" w:customStyle="1">
    <w:name w:val="Header Char"/>
    <w:basedOn w:val="907"/>
    <w:link w:val="862"/>
    <w:uiPriority w:val="99"/>
    <w:qFormat/>
  </w:style>
  <w:style w:type="character" w:styleId="969" w:customStyle="1">
    <w:name w:val="默认段落字体1"/>
    <w:link w:val="862"/>
    <w:uiPriority w:val="0"/>
    <w:qFormat/>
  </w:style>
  <w:style w:type="character" w:styleId="970" w:customStyle="1">
    <w:name w:val="正文文本 字符"/>
    <w:link w:val="971"/>
    <w:uiPriority w:val="0"/>
    <w:qFormat/>
  </w:style>
  <w:style w:type="paragraph" w:styleId="971" w:customStyle="1">
    <w:name w:val="正文文本1"/>
    <w:basedOn w:val="862"/>
    <w:next w:val="972"/>
    <w:link w:val="970"/>
    <w:uiPriority w:val="0"/>
    <w:qFormat/>
    <w:rPr>
      <w:sz w:val="20"/>
    </w:rPr>
  </w:style>
  <w:style w:type="paragraph" w:styleId="972" w:customStyle="1">
    <w:name w:val="正文首行缩进1"/>
    <w:basedOn w:val="971"/>
    <w:uiPriority w:val="0"/>
    <w:qFormat/>
    <w:pPr>
      <w:ind w:firstLine="420"/>
      <w:spacing w:after="120"/>
      <w:tabs>
        <w:tab w:val="left" w:pos="2020" w:leader="none"/>
        <w:tab w:val="center" w:pos="4535" w:leader="none"/>
      </w:tabs>
    </w:pPr>
    <w:rPr>
      <w:sz w:val="21"/>
    </w:rPr>
  </w:style>
  <w:style w:type="character" w:styleId="973" w:customStyle="1">
    <w:name w:val="Subtitle Char"/>
    <w:basedOn w:val="907"/>
    <w:link w:val="862"/>
    <w:uiPriority w:val="11"/>
    <w:qFormat/>
    <w:rPr>
      <w:sz w:val="24"/>
      <w:szCs w:val="24"/>
    </w:rPr>
  </w:style>
  <w:style w:type="character" w:styleId="974" w:customStyle="1">
    <w:name w:val="正文文本 2 字符"/>
    <w:link w:val="975"/>
    <w:uiPriority w:val="0"/>
    <w:qFormat/>
  </w:style>
  <w:style w:type="paragraph" w:styleId="975" w:customStyle="1">
    <w:name w:val="正文文本 21"/>
    <w:basedOn w:val="862"/>
    <w:link w:val="974"/>
    <w:uiPriority w:val="0"/>
    <w:qFormat/>
    <w:pPr>
      <w:spacing w:after="120" w:line="480" w:lineRule="auto"/>
    </w:pPr>
    <w:rPr>
      <w:sz w:val="20"/>
    </w:rPr>
  </w:style>
  <w:style w:type="character" w:styleId="976" w:customStyle="1">
    <w:name w:val="Heading 3 Char"/>
    <w:basedOn w:val="907"/>
    <w:link w:val="862"/>
    <w:uiPriority w:val="9"/>
    <w:qFormat/>
    <w:rPr>
      <w:rFonts w:ascii="Arial" w:hAnsi="Arial" w:eastAsia="Arial" w:cs="Arial"/>
      <w:sz w:val="30"/>
      <w:szCs w:val="30"/>
    </w:rPr>
  </w:style>
  <w:style w:type="character" w:styleId="977" w:customStyle="1">
    <w:name w:val="Endnote Text Char"/>
    <w:link w:val="862"/>
    <w:uiPriority w:val="99"/>
    <w:qFormat/>
    <w:rPr>
      <w:sz w:val="20"/>
    </w:rPr>
  </w:style>
  <w:style w:type="character" w:styleId="978" w:customStyle="1">
    <w:name w:val="明显引用 Char"/>
    <w:link w:val="979"/>
    <w:uiPriority w:val="30"/>
    <w:qFormat/>
    <w:rPr>
      <w:i/>
    </w:rPr>
  </w:style>
  <w:style w:type="paragraph" w:styleId="979">
    <w:name w:val="Intense Quote"/>
    <w:basedOn w:val="862"/>
    <w:next w:val="862"/>
    <w:link w:val="9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0" w:customStyle="1">
    <w:name w:val="Heading 6 Char"/>
    <w:basedOn w:val="907"/>
    <w:link w:val="862"/>
    <w:uiPriority w:val="9"/>
    <w:qFormat/>
    <w:rPr>
      <w:rFonts w:ascii="Arial" w:hAnsi="Arial" w:eastAsia="Arial" w:cs="Arial"/>
      <w:b/>
      <w:bCs/>
      <w:sz w:val="22"/>
      <w:szCs w:val="22"/>
    </w:rPr>
  </w:style>
  <w:style w:type="character" w:styleId="981" w:customStyle="1">
    <w:name w:val="页脚 字符"/>
    <w:link w:val="982"/>
    <w:uiPriority w:val="99"/>
    <w:qFormat/>
    <w:rPr>
      <w:sz w:val="18"/>
    </w:rPr>
  </w:style>
  <w:style w:type="paragraph" w:styleId="982" w:customStyle="1">
    <w:name w:val="页脚1"/>
    <w:basedOn w:val="862"/>
    <w:link w:val="981"/>
    <w:uiPriority w:val="99"/>
    <w:qFormat/>
    <w:pPr>
      <w:jc w:val="left"/>
      <w:tabs>
        <w:tab w:val="center" w:pos="4153" w:leader="none"/>
        <w:tab w:val="right" w:pos="8306" w:leader="none"/>
      </w:tabs>
    </w:pPr>
    <w:rPr>
      <w:sz w:val="18"/>
    </w:rPr>
  </w:style>
  <w:style w:type="character" w:styleId="983" w:customStyle="1">
    <w:name w:val="Heading 9 Char"/>
    <w:basedOn w:val="907"/>
    <w:link w:val="862"/>
    <w:uiPriority w:val="9"/>
    <w:qFormat/>
    <w:rPr>
      <w:rFonts w:ascii="Arial" w:hAnsi="Arial" w:eastAsia="Arial" w:cs="Arial"/>
      <w:i/>
      <w:iCs/>
      <w:sz w:val="21"/>
      <w:szCs w:val="21"/>
    </w:rPr>
  </w:style>
  <w:style w:type="character" w:styleId="984" w:customStyle="1">
    <w:name w:val="Heading 2 Char"/>
    <w:basedOn w:val="907"/>
    <w:link w:val="862"/>
    <w:uiPriority w:val="9"/>
    <w:qFormat/>
    <w:rPr>
      <w:rFonts w:ascii="Arial" w:hAnsi="Arial" w:eastAsia="Arial" w:cs="Arial"/>
      <w:sz w:val="34"/>
    </w:rPr>
  </w:style>
  <w:style w:type="character" w:styleId="985" w:customStyle="1">
    <w:name w:val="Heading 4 Char"/>
    <w:basedOn w:val="907"/>
    <w:link w:val="862"/>
    <w:uiPriority w:val="9"/>
    <w:qFormat/>
    <w:rPr>
      <w:rFonts w:ascii="Arial" w:hAnsi="Arial" w:eastAsia="Arial" w:cs="Arial"/>
      <w:b/>
      <w:bCs/>
      <w:sz w:val="26"/>
      <w:szCs w:val="26"/>
    </w:rPr>
  </w:style>
  <w:style w:type="character" w:styleId="986" w:customStyle="1">
    <w:name w:val="Footer Char"/>
    <w:link w:val="862"/>
    <w:uiPriority w:val="99"/>
    <w:qFormat/>
  </w:style>
  <w:style w:type="character" w:styleId="987" w:customStyle="1">
    <w:name w:val="Heading 8 Char"/>
    <w:basedOn w:val="907"/>
    <w:link w:val="862"/>
    <w:uiPriority w:val="9"/>
    <w:qFormat/>
    <w:rPr>
      <w:rFonts w:ascii="Arial" w:hAnsi="Arial" w:eastAsia="Arial" w:cs="Arial"/>
      <w:i/>
      <w:iCs/>
      <w:sz w:val="22"/>
      <w:szCs w:val="22"/>
    </w:rPr>
  </w:style>
  <w:style w:type="character" w:styleId="988" w:customStyle="1">
    <w:name w:val="Intense Quote Char"/>
    <w:link w:val="862"/>
    <w:uiPriority w:val="30"/>
    <w:qFormat/>
    <w:rPr>
      <w:i/>
    </w:rPr>
  </w:style>
  <w:style w:type="character" w:styleId="989" w:customStyle="1">
    <w:name w:val="Heading 5 Char"/>
    <w:basedOn w:val="907"/>
    <w:link w:val="862"/>
    <w:uiPriority w:val="9"/>
    <w:qFormat/>
    <w:rPr>
      <w:rFonts w:ascii="Arial" w:hAnsi="Arial" w:eastAsia="Arial" w:cs="Arial"/>
      <w:b/>
      <w:bCs/>
      <w:sz w:val="24"/>
      <w:szCs w:val="24"/>
    </w:rPr>
  </w:style>
  <w:style w:type="character" w:styleId="990" w:customStyle="1">
    <w:name w:val="批注引用1"/>
    <w:link w:val="862"/>
    <w:uiPriority w:val="0"/>
    <w:semiHidden/>
    <w:qFormat/>
    <w:rPr>
      <w:sz w:val="21"/>
      <w:szCs w:val="21"/>
    </w:rPr>
  </w:style>
  <w:style w:type="paragraph" w:styleId="991" w:customStyle="1">
    <w:name w:val="正文文本缩进 31"/>
    <w:basedOn w:val="862"/>
    <w:uiPriority w:val="0"/>
    <w:qFormat/>
    <w:pPr>
      <w:ind w:left="420"/>
      <w:jc w:val="left"/>
      <w:spacing w:after="120"/>
      <w:widowControl/>
    </w:pPr>
    <w:rPr>
      <w:sz w:val="16"/>
      <w:szCs w:val="16"/>
    </w:rPr>
  </w:style>
  <w:style w:type="paragraph" w:styleId="992" w:customStyle="1">
    <w:name w:val="标题 11"/>
    <w:basedOn w:val="862"/>
    <w:next w:val="862"/>
    <w:uiPriority w:val="0"/>
    <w:qFormat/>
    <w:pPr>
      <w:keepLines/>
      <w:keepNext/>
      <w:spacing w:before="340" w:after="330" w:line="576" w:lineRule="auto"/>
      <w:outlineLvl w:val="0"/>
    </w:pPr>
    <w:rPr>
      <w:b/>
      <w:sz w:val="44"/>
    </w:rPr>
  </w:style>
  <w:style w:type="paragraph" w:styleId="993" w:customStyle="1">
    <w:name w:val="Default Paragraph Font Para Char"/>
    <w:basedOn w:val="862"/>
    <w:uiPriority w:val="0"/>
    <w:qFormat/>
    <w:pPr>
      <w:jc w:val="left"/>
      <w:spacing w:after="160" w:line="240" w:lineRule="exact"/>
      <w:widowControl/>
    </w:pPr>
  </w:style>
  <w:style w:type="paragraph" w:styleId="994" w:customStyle="1">
    <w:name w:val="批注主题1"/>
    <w:basedOn w:val="995"/>
    <w:next w:val="995"/>
    <w:uiPriority w:val="0"/>
    <w:semiHidden/>
    <w:qFormat/>
    <w:rPr>
      <w:b/>
      <w:bCs/>
    </w:rPr>
  </w:style>
  <w:style w:type="paragraph" w:styleId="995" w:customStyle="1">
    <w:name w:val="批注文字1"/>
    <w:basedOn w:val="862"/>
    <w:uiPriority w:val="0"/>
    <w:qFormat/>
    <w:pPr>
      <w:jc w:val="left"/>
    </w:pPr>
  </w:style>
  <w:style w:type="paragraph" w:styleId="996" w:customStyle="1">
    <w:name w:val="普通文字"/>
    <w:basedOn w:val="862"/>
    <w:next w:val="862"/>
    <w:uiPriority w:val="0"/>
    <w:qFormat/>
    <w:rPr>
      <w:rFonts w:ascii="宋体"/>
      <w:sz w:val="24"/>
    </w:rPr>
  </w:style>
  <w:style w:type="paragraph" w:styleId="997" w:customStyle="1">
    <w:name w:val="标题 61"/>
    <w:basedOn w:val="862"/>
    <w:next w:val="862"/>
    <w:uiPriority w:val="0"/>
    <w:qFormat/>
    <w:pPr>
      <w:keepLines/>
      <w:keepNext/>
      <w:spacing w:before="240" w:after="64" w:line="317" w:lineRule="auto"/>
      <w:outlineLvl w:val="5"/>
    </w:pPr>
    <w:rPr>
      <w:rFonts w:ascii="Arial" w:hAnsi="Arial" w:eastAsia="黑体"/>
      <w:b/>
      <w:sz w:val="24"/>
    </w:rPr>
  </w:style>
  <w:style w:type="paragraph" w:styleId="998" w:customStyle="1">
    <w:name w:val="TOC Heading"/>
    <w:uiPriority w:val="39"/>
    <w:unhideWhenUsed/>
    <w:qFormat/>
    <w:rPr>
      <w:rFonts w:hint="default" w:ascii="Times New Roman" w:hAnsi="Times New Roman" w:eastAsia="宋体" w:cs="Times New Roman"/>
    </w:rPr>
  </w:style>
  <w:style w:type="paragraph" w:styleId="999" w:customStyle="1">
    <w:name w:val="标题 91"/>
    <w:basedOn w:val="862"/>
    <w:next w:val="862"/>
    <w:uiPriority w:val="0"/>
    <w:qFormat/>
    <w:pPr>
      <w:keepLines/>
      <w:keepNext/>
      <w:spacing w:before="240" w:after="64" w:line="317" w:lineRule="auto"/>
      <w:outlineLvl w:val="8"/>
    </w:pPr>
    <w:rPr>
      <w:rFonts w:ascii="Arial" w:hAnsi="Arial" w:eastAsia="黑体"/>
    </w:rPr>
  </w:style>
  <w:style w:type="paragraph" w:styleId="1000" w:customStyle="1">
    <w:name w:val="Default"/>
    <w:uiPriority w:val="99"/>
    <w:qFormat/>
    <w:pPr>
      <w:widowControl w:val="off"/>
    </w:pPr>
    <w:rPr>
      <w:rFonts w:hint="default" w:ascii="Calibri" w:hAnsi="Calibri" w:eastAsia="宋体" w:cs="Times New Roman"/>
      <w:color w:val="000000"/>
      <w:sz w:val="24"/>
      <w:szCs w:val="24"/>
      <w:lang w:val="en-US" w:eastAsia="zh-CN" w:bidi="ar-SA"/>
    </w:rPr>
  </w:style>
  <w:style w:type="paragraph" w:styleId="1001" w:customStyle="1">
    <w:name w:val="正文缩进1"/>
    <w:basedOn w:val="862"/>
    <w:uiPriority w:val="0"/>
    <w:qFormat/>
    <w:pPr>
      <w:ind w:firstLine="420"/>
      <w:jc w:val="left"/>
    </w:pPr>
    <w:rPr>
      <w:rFonts w:ascii="宋体" w:hAnsi="Calibri"/>
      <w:sz w:val="24"/>
      <w:szCs w:val="22"/>
    </w:rPr>
  </w:style>
  <w:style w:type="paragraph" w:styleId="1002" w:customStyle="1">
    <w:name w:val="普通(网站)1"/>
    <w:basedOn w:val="862"/>
    <w:uiPriority w:val="99"/>
    <w:qFormat/>
    <w:pPr>
      <w:jc w:val="left"/>
      <w:spacing w:before="100" w:beforeAutospacing="1" w:after="100" w:afterAutospacing="1"/>
    </w:pPr>
    <w:rPr>
      <w:sz w:val="24"/>
    </w:rPr>
  </w:style>
  <w:style w:type="paragraph" w:styleId="1003" w:customStyle="1">
    <w:name w:val="标题 81"/>
    <w:basedOn w:val="862"/>
    <w:next w:val="862"/>
    <w:uiPriority w:val="0"/>
    <w:qFormat/>
    <w:pPr>
      <w:keepLines/>
      <w:keepNext/>
      <w:spacing w:before="240" w:after="64" w:line="317" w:lineRule="auto"/>
      <w:outlineLvl w:val="7"/>
    </w:pPr>
    <w:rPr>
      <w:rFonts w:ascii="Arial" w:hAnsi="Arial" w:eastAsia="黑体"/>
      <w:sz w:val="24"/>
    </w:rPr>
  </w:style>
  <w:style w:type="paragraph" w:styleId="1004" w:customStyle="1">
    <w:name w:val="标题 51"/>
    <w:basedOn w:val="862"/>
    <w:next w:val="862"/>
    <w:uiPriority w:val="0"/>
    <w:qFormat/>
    <w:pPr>
      <w:keepLines/>
      <w:keepNext/>
      <w:spacing w:before="280" w:after="290" w:line="372" w:lineRule="auto"/>
      <w:outlineLvl w:val="4"/>
    </w:pPr>
    <w:rPr>
      <w:b/>
      <w:sz w:val="28"/>
    </w:rPr>
  </w:style>
  <w:style w:type="paragraph" w:styleId="1005" w:customStyle="1">
    <w:name w:val="首行缩进"/>
    <w:basedOn w:val="862"/>
    <w:uiPriority w:val="0"/>
    <w:qFormat/>
    <w:pPr>
      <w:ind w:firstLine="480"/>
    </w:pPr>
    <w:rPr>
      <w:lang w:val="zh-CN"/>
    </w:rPr>
  </w:style>
  <w:style w:type="paragraph" w:styleId="1006" w:customStyle="1">
    <w:name w:val="列表段落"/>
    <w:basedOn w:val="862"/>
    <w:uiPriority w:val="0"/>
    <w:qFormat/>
    <w:pPr>
      <w:ind w:firstLine="420"/>
    </w:pPr>
  </w:style>
  <w:style w:type="paragraph" w:styleId="1007" w:customStyle="1">
    <w:name w:val="页眉1"/>
    <w:basedOn w:val="862"/>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1008">
    <w:name w:val="List Paragraph"/>
    <w:basedOn w:val="862"/>
    <w:uiPriority w:val="34"/>
    <w:qFormat/>
    <w:pPr>
      <w:contextualSpacing/>
      <w:ind w:left="720"/>
    </w:pPr>
  </w:style>
  <w:style w:type="paragraph" w:styleId="1009"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0" w:customStyle="1">
    <w:name w:val="标题 41"/>
    <w:basedOn w:val="862"/>
    <w:next w:val="862"/>
    <w:uiPriority w:val="0"/>
    <w:qFormat/>
    <w:pPr>
      <w:keepLines/>
      <w:keepNext/>
      <w:spacing w:before="280" w:after="290" w:line="372" w:lineRule="auto"/>
      <w:outlineLvl w:val="3"/>
    </w:pPr>
    <w:rPr>
      <w:rFonts w:ascii="Arial" w:hAnsi="Arial" w:eastAsia="黑体"/>
      <w:b/>
      <w:sz w:val="28"/>
    </w:rPr>
  </w:style>
  <w:style w:type="paragraph" w:styleId="1011" w:customStyle="1">
    <w:name w:val="标题 71"/>
    <w:basedOn w:val="862"/>
    <w:next w:val="862"/>
    <w:uiPriority w:val="0"/>
    <w:qFormat/>
    <w:pPr>
      <w:keepLines/>
      <w:keepNext/>
      <w:spacing w:before="240" w:after="64" w:line="317" w:lineRule="auto"/>
      <w:outlineLvl w:val="6"/>
    </w:pPr>
    <w:rPr>
      <w:b/>
      <w:sz w:val="24"/>
    </w:rPr>
  </w:style>
  <w:style w:type="paragraph" w:styleId="1012" w:customStyle="1">
    <w:name w:val="索引 11"/>
    <w:basedOn w:val="862"/>
    <w:next w:val="862"/>
    <w:uiPriority w:val="0"/>
    <w:qFormat/>
    <w:pPr>
      <w:spacing w:line="360" w:lineRule="auto"/>
    </w:pPr>
    <w:rPr>
      <w:rFonts w:ascii="仿宋_GB2312" w:eastAsia="仿宋_GB2312"/>
      <w:sz w:val="24"/>
    </w:rPr>
  </w:style>
  <w:style w:type="paragraph" w:styleId="1013" w:customStyle="1">
    <w:name w:val="正文 缩进"/>
    <w:basedOn w:val="862"/>
    <w:uiPriority w:val="0"/>
    <w:qFormat/>
    <w:pPr>
      <w:ind w:firstLine="454"/>
      <w:jc w:val="left"/>
      <w:spacing w:before="156" w:line="300" w:lineRule="auto"/>
    </w:pPr>
    <w:rPr>
      <w:sz w:val="24"/>
    </w:rPr>
  </w:style>
  <w:style w:type="paragraph" w:styleId="1014" w:customStyle="1">
    <w:name w:val="标题 31"/>
    <w:basedOn w:val="862"/>
    <w:next w:val="862"/>
    <w:uiPriority w:val="0"/>
    <w:qFormat/>
    <w:pPr>
      <w:keepLines/>
      <w:keepNext/>
      <w:spacing w:before="260" w:after="260" w:line="413" w:lineRule="auto"/>
      <w:outlineLvl w:val="2"/>
    </w:pPr>
    <w:rPr>
      <w:b/>
      <w:sz w:val="32"/>
    </w:rPr>
  </w:style>
  <w:style w:type="paragraph" w:styleId="1015" w:customStyle="1">
    <w:name w:val="纯文本11"/>
    <w:basedOn w:val="862"/>
    <w:uiPriority w:val="0"/>
    <w:qFormat/>
    <w:rPr>
      <w:rFonts w:ascii="宋体" w:hAnsi="Courier New"/>
    </w:rPr>
  </w:style>
  <w:style w:type="paragraph" w:styleId="1016" w:customStyle="1">
    <w:name w:val="批注框文本1"/>
    <w:basedOn w:val="862"/>
    <w:uiPriority w:val="0"/>
    <w:semiHidden/>
    <w:qFormat/>
    <w:rPr>
      <w:sz w:val="18"/>
      <w:szCs w:val="18"/>
    </w:rPr>
  </w:style>
  <w:style w:type="paragraph" w:styleId="1017" w:customStyle="1">
    <w:name w:val="_Style 3"/>
    <w:next w:val="942"/>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018">
    <w:name w:val="No Spacing"/>
    <w:uiPriority w:val="1"/>
    <w:qFormat/>
    <w:rPr>
      <w:rFonts w:hint="default" w:ascii="Times New Roman" w:hAnsi="Times New Roman" w:eastAsia="宋体" w:cs="Times New Roman"/>
      <w:lang w:val="en-US" w:eastAsia="zh-CN" w:bidi="ar-SA"/>
    </w:rPr>
  </w:style>
  <w:style w:type="paragraph" w:styleId="1019" w:customStyle="1">
    <w:name w:val="TOC 标题1"/>
    <w:uiPriority w:val="39"/>
    <w:unhideWhenUsed/>
    <w:qFormat/>
    <w:rPr>
      <w:rFonts w:hint="default" w:ascii="Times New Roman" w:hAnsi="Times New Roman" w:eastAsia="宋体" w:cs="Times New Roman"/>
      <w:lang w:val="en-US" w:eastAsia="zh-CN" w:bidi="ar-SA"/>
    </w:rPr>
  </w:style>
  <w:style w:type="paragraph" w:styleId="1020" w:customStyle="1">
    <w:name w:val="目录 21"/>
    <w:basedOn w:val="862"/>
    <w:next w:val="862"/>
    <w:uiPriority w:val="0"/>
    <w:qFormat/>
    <w:pPr>
      <w:ind w:left="420"/>
    </w:pPr>
  </w:style>
  <w:style w:type="table" w:styleId="1021" w:customStyle="1">
    <w:name w:val="Grid Table 5 Dark"/>
    <w:uiPriority w:val="99"/>
    <w:qFormat/>
    <w:tblPr/>
  </w:style>
  <w:style w:type="table" w:styleId="1022" w:customStyle="1">
    <w:name w:val="List Table 3 - Accent 5"/>
    <w:uiPriority w:val="99"/>
    <w:qFormat/>
    <w:tblPr/>
  </w:style>
  <w:style w:type="table" w:styleId="1023" w:customStyle="1">
    <w:name w:val="List Table 7 Colorful"/>
    <w:uiPriority w:val="99"/>
    <w:qFormat/>
    <w:tblPr/>
  </w:style>
  <w:style w:type="table" w:styleId="1024" w:customStyle="1">
    <w:name w:val="Plain Table 2"/>
    <w:uiPriority w:val="59"/>
    <w:qFormat/>
    <w:tblPr/>
  </w:style>
  <w:style w:type="table" w:styleId="1025" w:customStyle="1">
    <w:name w:val="Grid Table 6 Colorful - Accent 1"/>
    <w:uiPriority w:val="99"/>
    <w:qFormat/>
    <w:tblPr/>
  </w:style>
  <w:style w:type="table" w:styleId="1026" w:customStyle="1">
    <w:name w:val="List Table 3 - Accent 4"/>
    <w:uiPriority w:val="99"/>
    <w:qFormat/>
    <w:tblPr/>
  </w:style>
  <w:style w:type="table" w:styleId="1027" w:customStyle="1">
    <w:name w:val="List Table 1 Light - Accent 5"/>
    <w:uiPriority w:val="99"/>
    <w:qFormat/>
    <w:tblPr/>
  </w:style>
  <w:style w:type="table" w:styleId="1028" w:customStyle="1">
    <w:name w:val="Table Grid Light"/>
    <w:uiPriority w:val="59"/>
    <w:qFormat/>
    <w:tblPr/>
  </w:style>
  <w:style w:type="table" w:styleId="1029" w:customStyle="1">
    <w:name w:val="Grid Table 6 Colorful"/>
    <w:uiPriority w:val="99"/>
    <w:qFormat/>
    <w:tblPr/>
  </w:style>
  <w:style w:type="table" w:styleId="1030" w:customStyle="1">
    <w:name w:val="Bordered"/>
    <w:uiPriority w:val="99"/>
    <w:qFormat/>
    <w:tblPr/>
  </w:style>
  <w:style w:type="table" w:styleId="1031" w:customStyle="1">
    <w:name w:val="Plain Table 1"/>
    <w:uiPriority w:val="59"/>
    <w:qFormat/>
    <w:tblPr/>
  </w:style>
  <w:style w:type="table" w:styleId="1032" w:customStyle="1">
    <w:name w:val="List Table 7 Colorful - Accent 1"/>
    <w:uiPriority w:val="99"/>
    <w:qFormat/>
    <w:tblPr/>
  </w:style>
  <w:style w:type="table" w:styleId="1033" w:customStyle="1">
    <w:name w:val="List Table 2"/>
    <w:uiPriority w:val="99"/>
    <w:qFormat/>
    <w:tblPr/>
  </w:style>
  <w:style w:type="table" w:styleId="1034" w:customStyle="1">
    <w:name w:val="List Table 6 Colorful - Accent 1"/>
    <w:uiPriority w:val="99"/>
    <w:qFormat/>
    <w:tblPr/>
  </w:style>
  <w:style w:type="table" w:styleId="1035" w:customStyle="1">
    <w:name w:val="Bordered &amp; Lined - Accent 5"/>
    <w:uiPriority w:val="99"/>
    <w:qFormat/>
    <w:rPr>
      <w:color w:val="404040"/>
    </w:rPr>
    <w:tblPr/>
  </w:style>
  <w:style w:type="table" w:styleId="1036" w:customStyle="1">
    <w:name w:val="List Table 1 Light - Accent 4"/>
    <w:uiPriority w:val="99"/>
    <w:qFormat/>
    <w:tblPr/>
  </w:style>
  <w:style w:type="table" w:styleId="1037" w:customStyle="1">
    <w:name w:val="Plain Table 3"/>
    <w:uiPriority w:val="99"/>
    <w:qFormat/>
    <w:tblPr/>
  </w:style>
  <w:style w:type="table" w:styleId="1038" w:customStyle="1">
    <w:name w:val="Plain Table 4"/>
    <w:uiPriority w:val="99"/>
    <w:qFormat/>
    <w:tblPr/>
  </w:style>
  <w:style w:type="table" w:styleId="1039" w:customStyle="1">
    <w:name w:val="Bordered - Accent 5"/>
    <w:uiPriority w:val="99"/>
    <w:qFormat/>
    <w:tblPr/>
  </w:style>
  <w:style w:type="table" w:styleId="1040" w:customStyle="1">
    <w:name w:val="Plain Table 5"/>
    <w:uiPriority w:val="99"/>
    <w:qFormat/>
    <w:tblPr/>
  </w:style>
  <w:style w:type="table" w:styleId="1041" w:customStyle="1">
    <w:name w:val="List Table 2 - Accent 5"/>
    <w:uiPriority w:val="99"/>
    <w:qFormat/>
    <w:tblPr/>
  </w:style>
  <w:style w:type="table" w:styleId="1042" w:customStyle="1">
    <w:name w:val="Grid Table 5 Dark - Accent 5"/>
    <w:uiPriority w:val="99"/>
    <w:qFormat/>
    <w:tblPr/>
  </w:style>
  <w:style w:type="table" w:styleId="1043" w:customStyle="1">
    <w:name w:val="Grid Table 3 - Accent 3"/>
    <w:uiPriority w:val="99"/>
    <w:qFormat/>
    <w:tblPr/>
  </w:style>
  <w:style w:type="table" w:styleId="1044" w:customStyle="1">
    <w:name w:val="List Table 6 Colorful - Accent 2"/>
    <w:uiPriority w:val="99"/>
    <w:qFormat/>
    <w:tblPr/>
  </w:style>
  <w:style w:type="table" w:styleId="1045" w:customStyle="1">
    <w:name w:val="List Table 6 Colorful - Accent 6"/>
    <w:uiPriority w:val="99"/>
    <w:qFormat/>
    <w:tblPr/>
  </w:style>
  <w:style w:type="table" w:styleId="1046" w:customStyle="1">
    <w:name w:val="Bordered - Accent 2"/>
    <w:uiPriority w:val="99"/>
    <w:qFormat/>
    <w:tblPr/>
  </w:style>
  <w:style w:type="table" w:styleId="1047" w:customStyle="1">
    <w:name w:val="Grid Table 1 Light"/>
    <w:uiPriority w:val="99"/>
    <w:qFormat/>
    <w:tblPr/>
  </w:style>
  <w:style w:type="table" w:styleId="1048" w:customStyle="1">
    <w:name w:val="Lined - Accent 5"/>
    <w:uiPriority w:val="99"/>
    <w:qFormat/>
    <w:rPr>
      <w:color w:val="404040"/>
    </w:rPr>
    <w:tblPr/>
  </w:style>
  <w:style w:type="table" w:styleId="1049" w:customStyle="1">
    <w:name w:val="List Table 2 - Accent 2"/>
    <w:uiPriority w:val="99"/>
    <w:qFormat/>
    <w:tblPr/>
  </w:style>
  <w:style w:type="table" w:styleId="1050" w:customStyle="1">
    <w:name w:val="Bordered - Accent 6"/>
    <w:uiPriority w:val="99"/>
    <w:qFormat/>
    <w:tblPr/>
  </w:style>
  <w:style w:type="table" w:styleId="1051" w:customStyle="1">
    <w:name w:val="List Table 3 - Accent 3"/>
    <w:uiPriority w:val="99"/>
    <w:qFormat/>
    <w:tblPr/>
  </w:style>
  <w:style w:type="table" w:styleId="1052" w:customStyle="1">
    <w:name w:val="Grid Table 3 - Accent 5"/>
    <w:uiPriority w:val="99"/>
    <w:qFormat/>
    <w:tblPr/>
  </w:style>
  <w:style w:type="table" w:styleId="1053" w:customStyle="1">
    <w:name w:val="Grid Table 1 Light - Accent 1"/>
    <w:uiPriority w:val="99"/>
    <w:qFormat/>
    <w:tblPr/>
  </w:style>
  <w:style w:type="table" w:styleId="1054" w:customStyle="1">
    <w:name w:val="Grid Table 7 Colorful - Accent 4"/>
    <w:uiPriority w:val="99"/>
    <w:qFormat/>
    <w:tblPr/>
  </w:style>
  <w:style w:type="table" w:styleId="1055" w:customStyle="1">
    <w:name w:val="Grid Table 3 - Accent 4"/>
    <w:uiPriority w:val="99"/>
    <w:qFormat/>
    <w:tblPr/>
  </w:style>
  <w:style w:type="table" w:styleId="1056" w:customStyle="1">
    <w:name w:val="List Table 2 - Accent 6"/>
    <w:uiPriority w:val="99"/>
    <w:qFormat/>
    <w:tblPr/>
  </w:style>
  <w:style w:type="table" w:styleId="1057" w:customStyle="1">
    <w:name w:val="Grid Table 5 Dark - Accent 6"/>
    <w:uiPriority w:val="99"/>
    <w:qFormat/>
    <w:tblPr/>
  </w:style>
  <w:style w:type="table" w:styleId="1058" w:customStyle="1">
    <w:name w:val="Grid Table 3 - Accent 6"/>
    <w:uiPriority w:val="99"/>
    <w:qFormat/>
    <w:tblPr/>
  </w:style>
  <w:style w:type="table" w:styleId="1059" w:customStyle="1">
    <w:name w:val="Grid Table 1 Light - Accent 2"/>
    <w:uiPriority w:val="99"/>
    <w:qFormat/>
    <w:tblPr/>
  </w:style>
  <w:style w:type="table" w:styleId="1060" w:customStyle="1">
    <w:name w:val="List Table 5 Dark - Accent 2"/>
    <w:uiPriority w:val="99"/>
    <w:qFormat/>
    <w:tblPr/>
  </w:style>
  <w:style w:type="table" w:styleId="1061" w:customStyle="1">
    <w:name w:val="Grid Table 4 - Accent 5"/>
    <w:uiPriority w:val="59"/>
    <w:qFormat/>
    <w:tblPr/>
  </w:style>
  <w:style w:type="table" w:styleId="1062" w:customStyle="1">
    <w:name w:val="Grid Table 5 Dark - Accent 2"/>
    <w:uiPriority w:val="99"/>
    <w:qFormat/>
    <w:tblPr/>
  </w:style>
  <w:style w:type="table" w:styleId="1063" w:customStyle="1">
    <w:name w:val="List Table 7 Colorful - Accent 2"/>
    <w:uiPriority w:val="99"/>
    <w:qFormat/>
    <w:tblPr/>
  </w:style>
  <w:style w:type="table" w:styleId="1064" w:customStyle="1">
    <w:name w:val="Grid Table 4"/>
    <w:uiPriority w:val="59"/>
    <w:qFormat/>
    <w:tblPr/>
  </w:style>
  <w:style w:type="table" w:styleId="1065" w:customStyle="1">
    <w:name w:val="Grid Table 1 Light - Accent 3"/>
    <w:uiPriority w:val="99"/>
    <w:qFormat/>
    <w:tblPr/>
  </w:style>
  <w:style w:type="table" w:styleId="1066" w:customStyle="1">
    <w:name w:val="Grid Table 7 Colorful - Accent 5"/>
    <w:uiPriority w:val="99"/>
    <w:qFormat/>
    <w:tblPr/>
  </w:style>
  <w:style w:type="table" w:styleId="1067" w:customStyle="1">
    <w:name w:val="List Table 5 Dark - Accent 6"/>
    <w:uiPriority w:val="99"/>
    <w:qFormat/>
    <w:tblPr/>
  </w:style>
  <w:style w:type="table" w:styleId="1068" w:customStyle="1">
    <w:name w:val="普通表格1"/>
    <w:uiPriority w:val="0"/>
    <w:semiHidden/>
    <w:qFormat/>
    <w:tblPr/>
  </w:style>
  <w:style w:type="table" w:styleId="1069" w:customStyle="1">
    <w:name w:val="List Table 3 - Accent 6"/>
    <w:uiPriority w:val="99"/>
    <w:qFormat/>
    <w:tblPr/>
  </w:style>
  <w:style w:type="table" w:styleId="1070" w:customStyle="1">
    <w:name w:val="Bordered - Accent 3"/>
    <w:uiPriority w:val="99"/>
    <w:qFormat/>
    <w:tblPr/>
  </w:style>
  <w:style w:type="table" w:styleId="1071" w:customStyle="1">
    <w:name w:val="Grid Table 1 Light - Accent 4"/>
    <w:uiPriority w:val="99"/>
    <w:qFormat/>
    <w:tblPr/>
  </w:style>
  <w:style w:type="table" w:styleId="1072" w:customStyle="1">
    <w:name w:val="Lined - Accent 6"/>
    <w:uiPriority w:val="99"/>
    <w:qFormat/>
    <w:rPr>
      <w:color w:val="404040"/>
    </w:rPr>
    <w:tblPr/>
  </w:style>
  <w:style w:type="table" w:styleId="1073" w:customStyle="1">
    <w:name w:val="Grid Table 4 - Accent 1"/>
    <w:uiPriority w:val="59"/>
    <w:qFormat/>
    <w:tblPr/>
  </w:style>
  <w:style w:type="table" w:styleId="1074" w:customStyle="1">
    <w:name w:val="List Table 6 Colorful - Accent 3"/>
    <w:uiPriority w:val="99"/>
    <w:qFormat/>
    <w:tblPr/>
  </w:style>
  <w:style w:type="table" w:styleId="1075" w:customStyle="1">
    <w:name w:val="Grid Table 6 Colorful - Accent 2"/>
    <w:uiPriority w:val="99"/>
    <w:qFormat/>
    <w:tblPr/>
  </w:style>
  <w:style w:type="table" w:styleId="1076" w:customStyle="1">
    <w:name w:val="Grid Table 4 - Accent 2"/>
    <w:uiPriority w:val="59"/>
    <w:qFormat/>
    <w:tblPr/>
  </w:style>
  <w:style w:type="table" w:styleId="1077" w:customStyle="1">
    <w:name w:val="Grid Table 1 Light - Accent 5"/>
    <w:uiPriority w:val="99"/>
    <w:qFormat/>
    <w:tblPr/>
  </w:style>
  <w:style w:type="table" w:styleId="1078" w:customStyle="1">
    <w:name w:val="List Table 5 Dark - Accent 3"/>
    <w:uiPriority w:val="99"/>
    <w:qFormat/>
    <w:tblPr/>
  </w:style>
  <w:style w:type="table" w:styleId="1079" w:customStyle="1">
    <w:name w:val="List Table 2 - Accent 3"/>
    <w:uiPriority w:val="99"/>
    <w:qFormat/>
    <w:tblPr/>
  </w:style>
  <w:style w:type="table" w:styleId="1080" w:customStyle="1">
    <w:name w:val="List Table 3"/>
    <w:uiPriority w:val="99"/>
    <w:qFormat/>
    <w:tblPr/>
  </w:style>
  <w:style w:type="table" w:styleId="1081" w:customStyle="1">
    <w:name w:val="List Table 7 Colorful - Accent 3"/>
    <w:uiPriority w:val="99"/>
    <w:qFormat/>
    <w:tblPr/>
  </w:style>
  <w:style w:type="table" w:styleId="1082" w:customStyle="1">
    <w:name w:val="List Table 6 Colorful"/>
    <w:uiPriority w:val="99"/>
    <w:qFormat/>
    <w:tblPr/>
  </w:style>
  <w:style w:type="table" w:styleId="1083" w:customStyle="1">
    <w:name w:val="Grid Table 1 Light - Accent 6"/>
    <w:uiPriority w:val="99"/>
    <w:qFormat/>
    <w:tblPr/>
  </w:style>
  <w:style w:type="table" w:styleId="1084" w:customStyle="1">
    <w:name w:val="Grid Table 7 Colorful - Accent 6"/>
    <w:uiPriority w:val="99"/>
    <w:qFormat/>
    <w:tblPr/>
  </w:style>
  <w:style w:type="table" w:styleId="1085" w:customStyle="1">
    <w:name w:val="Grid Table 4 - Accent 6"/>
    <w:uiPriority w:val="59"/>
    <w:qFormat/>
    <w:tblPr/>
  </w:style>
  <w:style w:type="table" w:styleId="1086" w:customStyle="1">
    <w:name w:val="Grid Table 5 Dark- Accent 1"/>
    <w:uiPriority w:val="99"/>
    <w:qFormat/>
    <w:tblPr/>
  </w:style>
  <w:style w:type="table" w:styleId="1087" w:customStyle="1">
    <w:name w:val="Bordered &amp; Lined - Accent"/>
    <w:uiPriority w:val="99"/>
    <w:qFormat/>
    <w:rPr>
      <w:color w:val="404040"/>
    </w:rPr>
    <w:tblPr/>
  </w:style>
  <w:style w:type="table" w:styleId="1088" w:customStyle="1">
    <w:name w:val="Bordered - Accent 4"/>
    <w:uiPriority w:val="99"/>
    <w:qFormat/>
    <w:tblPr/>
  </w:style>
  <w:style w:type="table" w:styleId="1089" w:customStyle="1">
    <w:name w:val="Grid Table 2"/>
    <w:uiPriority w:val="99"/>
    <w:qFormat/>
    <w:tblPr/>
  </w:style>
  <w:style w:type="table" w:styleId="1090" w:customStyle="1">
    <w:name w:val="List Table 4"/>
    <w:uiPriority w:val="99"/>
    <w:qFormat/>
    <w:tblPr/>
  </w:style>
  <w:style w:type="table" w:styleId="1091" w:customStyle="1">
    <w:name w:val="List Table 2 - Accent 4"/>
    <w:uiPriority w:val="99"/>
    <w:qFormat/>
    <w:tblPr/>
  </w:style>
  <w:style w:type="table" w:styleId="1092" w:customStyle="1">
    <w:name w:val="Grid Table 2 - Accent 1"/>
    <w:uiPriority w:val="99"/>
    <w:qFormat/>
    <w:tblPr/>
  </w:style>
  <w:style w:type="table" w:styleId="1093" w:customStyle="1">
    <w:name w:val="List Table 1 Light"/>
    <w:uiPriority w:val="99"/>
    <w:qFormat/>
    <w:tblPr/>
  </w:style>
  <w:style w:type="table" w:styleId="1094" w:customStyle="1">
    <w:name w:val="Lined - Accent 2"/>
    <w:uiPriority w:val="99"/>
    <w:qFormat/>
    <w:rPr>
      <w:color w:val="404040"/>
    </w:rPr>
    <w:tblPr/>
  </w:style>
  <w:style w:type="table" w:styleId="1095" w:customStyle="1">
    <w:name w:val="Grid Table 2 - Accent 2"/>
    <w:uiPriority w:val="99"/>
    <w:qFormat/>
    <w:tblPr/>
  </w:style>
  <w:style w:type="table" w:styleId="1096" w:customStyle="1">
    <w:name w:val="Grid Table 6 Colorful - Accent 3"/>
    <w:uiPriority w:val="99"/>
    <w:qFormat/>
    <w:tblPr/>
  </w:style>
  <w:style w:type="table" w:styleId="1097" w:customStyle="1">
    <w:name w:val="Grid Table 5 Dark - Accent 3"/>
    <w:uiPriority w:val="99"/>
    <w:qFormat/>
    <w:tblPr/>
  </w:style>
  <w:style w:type="table" w:styleId="1098" w:customStyle="1">
    <w:name w:val="Grid Table 2 - Accent 3"/>
    <w:uiPriority w:val="99"/>
    <w:qFormat/>
    <w:tblPr/>
  </w:style>
  <w:style w:type="table" w:styleId="1099" w:customStyle="1">
    <w:name w:val="Bordered &amp; Lined - Accent 1"/>
    <w:uiPriority w:val="99"/>
    <w:qFormat/>
    <w:rPr>
      <w:color w:val="404040"/>
    </w:rPr>
    <w:tblPr/>
  </w:style>
  <w:style w:type="table" w:styleId="1100" w:customStyle="1">
    <w:name w:val="List Table 4 - Accent 6"/>
    <w:uiPriority w:val="99"/>
    <w:qFormat/>
    <w:tblPr/>
  </w:style>
  <w:style w:type="table" w:styleId="1101" w:customStyle="1">
    <w:name w:val="Grid Table 2 - Accent 4"/>
    <w:uiPriority w:val="99"/>
    <w:qFormat/>
    <w:tblPr/>
  </w:style>
  <w:style w:type="table" w:styleId="1102" w:customStyle="1">
    <w:name w:val="List Table 7 Colorful - Accent 4"/>
    <w:uiPriority w:val="99"/>
    <w:qFormat/>
    <w:tblPr/>
  </w:style>
  <w:style w:type="table" w:styleId="1103" w:customStyle="1">
    <w:name w:val="网格型1"/>
    <w:basedOn w:val="1068"/>
    <w:uiPriority w:val="0"/>
    <w:qFormat/>
    <w:pPr>
      <w:jc w:val="both"/>
      <w:widowControl w:val="off"/>
    </w:pPr>
    <w:tblPr/>
  </w:style>
  <w:style w:type="table" w:styleId="1104" w:customStyle="1">
    <w:name w:val="Grid Table 4 - Accent 3"/>
    <w:uiPriority w:val="59"/>
    <w:qFormat/>
    <w:tblPr/>
  </w:style>
  <w:style w:type="table" w:styleId="1105" w:customStyle="1">
    <w:name w:val="Grid Table 7 Colorful - Accent 2"/>
    <w:uiPriority w:val="99"/>
    <w:qFormat/>
    <w:tblPr/>
  </w:style>
  <w:style w:type="table" w:styleId="1106" w:customStyle="1">
    <w:name w:val="Grid Table 2 - Accent 5"/>
    <w:uiPriority w:val="99"/>
    <w:qFormat/>
    <w:tblPr/>
  </w:style>
  <w:style w:type="table" w:styleId="1107" w:customStyle="1">
    <w:name w:val="List Table 6 Colorful - Accent 4"/>
    <w:uiPriority w:val="99"/>
    <w:qFormat/>
    <w:tblPr/>
  </w:style>
  <w:style w:type="table" w:styleId="1108" w:customStyle="1">
    <w:name w:val="List Table 5 Dark - Accent 4"/>
    <w:uiPriority w:val="99"/>
    <w:qFormat/>
    <w:tblPr/>
  </w:style>
  <w:style w:type="table" w:styleId="1109" w:customStyle="1">
    <w:name w:val="Lined - Accent 3"/>
    <w:uiPriority w:val="99"/>
    <w:qFormat/>
    <w:rPr>
      <w:color w:val="404040"/>
    </w:rPr>
    <w:tblPr/>
  </w:style>
  <w:style w:type="table" w:styleId="1110" w:customStyle="1">
    <w:name w:val="Grid Table 2 - Accent 6"/>
    <w:uiPriority w:val="99"/>
    <w:qFormat/>
    <w:tblPr/>
  </w:style>
  <w:style w:type="table" w:styleId="1111" w:customStyle="1">
    <w:name w:val="List Table 5 Dark"/>
    <w:uiPriority w:val="99"/>
    <w:qFormat/>
    <w:tblPr/>
  </w:style>
  <w:style w:type="table" w:styleId="1112" w:customStyle="1">
    <w:name w:val="Bordered - Accent 1"/>
    <w:uiPriority w:val="99"/>
    <w:qFormat/>
    <w:tblPr/>
  </w:style>
  <w:style w:type="table" w:styleId="1113" w:customStyle="1">
    <w:name w:val="List Table 3 - Accent 1"/>
    <w:uiPriority w:val="99"/>
    <w:qFormat/>
    <w:tblPr/>
  </w:style>
  <w:style w:type="table" w:styleId="1114" w:customStyle="1">
    <w:name w:val="Grid Table 3"/>
    <w:uiPriority w:val="99"/>
    <w:qFormat/>
    <w:tblPr/>
  </w:style>
  <w:style w:type="table" w:styleId="1115" w:customStyle="1">
    <w:name w:val="Grid Table 5 Dark- Accent 4"/>
    <w:uiPriority w:val="99"/>
    <w:qFormat/>
    <w:tblPr/>
  </w:style>
  <w:style w:type="table" w:styleId="1116" w:customStyle="1">
    <w:name w:val="List Table 2 - Accent 1"/>
    <w:uiPriority w:val="99"/>
    <w:qFormat/>
    <w:tblPr/>
  </w:style>
  <w:style w:type="table" w:styleId="1117" w:customStyle="1">
    <w:name w:val="Grid Table 7 Colorful - Accent 3"/>
    <w:uiPriority w:val="99"/>
    <w:qFormat/>
    <w:tblPr/>
  </w:style>
  <w:style w:type="table" w:styleId="1118" w:customStyle="1">
    <w:name w:val="Grid Table 3 - Accent 1"/>
    <w:uiPriority w:val="99"/>
    <w:qFormat/>
    <w:tblPr/>
  </w:style>
  <w:style w:type="table" w:styleId="1119" w:customStyle="1">
    <w:name w:val="Lined - Accent 4"/>
    <w:uiPriority w:val="99"/>
    <w:qFormat/>
    <w:rPr>
      <w:color w:val="404040"/>
    </w:rPr>
    <w:tblPr/>
  </w:style>
  <w:style w:type="table" w:styleId="1120" w:customStyle="1">
    <w:name w:val="Grid Table 4 - Accent 4"/>
    <w:uiPriority w:val="59"/>
    <w:qFormat/>
    <w:tblPr/>
  </w:style>
  <w:style w:type="table" w:styleId="1121" w:customStyle="1">
    <w:name w:val="List Table 3 - Accent 2"/>
    <w:uiPriority w:val="99"/>
    <w:qFormat/>
    <w:tblPr/>
  </w:style>
  <w:style w:type="table" w:styleId="1122" w:customStyle="1">
    <w:name w:val="Grid Table 3 - Accent 2"/>
    <w:uiPriority w:val="99"/>
    <w:qFormat/>
    <w:tblPr/>
  </w:style>
  <w:style w:type="table" w:styleId="1123" w:customStyle="1">
    <w:name w:val="List Table 5 Dark - Accent 1"/>
    <w:uiPriority w:val="99"/>
    <w:qFormat/>
    <w:tblPr/>
  </w:style>
  <w:style w:type="table" w:styleId="1124" w:customStyle="1">
    <w:name w:val="List Table 5 Dark - Accent 5"/>
    <w:uiPriority w:val="99"/>
    <w:qFormat/>
    <w:tblPr/>
  </w:style>
  <w:style w:type="table" w:styleId="1125" w:customStyle="1">
    <w:name w:val="List Table 6 Colorful - Accent 5"/>
    <w:uiPriority w:val="99"/>
    <w:qFormat/>
    <w:tblPr/>
  </w:style>
  <w:style w:type="table" w:styleId="1126" w:customStyle="1">
    <w:name w:val="List Table 1 Light - Accent 1"/>
    <w:uiPriority w:val="99"/>
    <w:qFormat/>
    <w:tblPr/>
  </w:style>
  <w:style w:type="table" w:styleId="1127" w:customStyle="1">
    <w:name w:val="List Table 4 - Accent 1"/>
    <w:uiPriority w:val="99"/>
    <w:qFormat/>
    <w:tblPr/>
  </w:style>
  <w:style w:type="table" w:styleId="1128" w:customStyle="1">
    <w:name w:val="Bordered &amp; Lined - Accent 2"/>
    <w:uiPriority w:val="99"/>
    <w:qFormat/>
    <w:rPr>
      <w:color w:val="404040"/>
    </w:rPr>
    <w:tblPr/>
  </w:style>
  <w:style w:type="table" w:styleId="1129" w:customStyle="1">
    <w:name w:val="Grid Table 6 Colorful - Accent 4"/>
    <w:uiPriority w:val="99"/>
    <w:qFormat/>
    <w:tblPr/>
  </w:style>
  <w:style w:type="table" w:styleId="1130" w:customStyle="1">
    <w:name w:val="List Table 1 Light - Accent 2"/>
    <w:uiPriority w:val="99"/>
    <w:qFormat/>
    <w:tblPr/>
  </w:style>
  <w:style w:type="table" w:styleId="1131" w:customStyle="1">
    <w:name w:val="List Table 7 Colorful - Accent 5"/>
    <w:uiPriority w:val="99"/>
    <w:qFormat/>
    <w:tblPr/>
  </w:style>
  <w:style w:type="table" w:styleId="1132" w:customStyle="1">
    <w:name w:val="Bordered &amp; Lined - Accent 3"/>
    <w:uiPriority w:val="99"/>
    <w:qFormat/>
    <w:rPr>
      <w:color w:val="404040"/>
    </w:rPr>
    <w:tblPr/>
  </w:style>
  <w:style w:type="table" w:styleId="1133" w:customStyle="1">
    <w:name w:val="List Table 4 - Accent 2"/>
    <w:uiPriority w:val="99"/>
    <w:qFormat/>
    <w:tblPr/>
  </w:style>
  <w:style w:type="table" w:styleId="1134" w:customStyle="1">
    <w:name w:val="List Table 1 Light - Accent 3"/>
    <w:uiPriority w:val="99"/>
    <w:qFormat/>
    <w:tblPr/>
  </w:style>
  <w:style w:type="table" w:styleId="1135" w:customStyle="1">
    <w:name w:val="Grid Table 6 Colorful - Accent 5"/>
    <w:uiPriority w:val="99"/>
    <w:qFormat/>
    <w:tblPr/>
  </w:style>
  <w:style w:type="table" w:styleId="1136" w:customStyle="1">
    <w:name w:val="Bordered &amp; Lined - Accent 4"/>
    <w:uiPriority w:val="99"/>
    <w:qFormat/>
    <w:rPr>
      <w:color w:val="404040"/>
    </w:rPr>
    <w:tblPr/>
  </w:style>
  <w:style w:type="table" w:styleId="1137" w:customStyle="1">
    <w:name w:val="List Table 7 Colorful - Accent 6"/>
    <w:uiPriority w:val="99"/>
    <w:qFormat/>
    <w:tblPr/>
  </w:style>
  <w:style w:type="table" w:styleId="1138" w:customStyle="1">
    <w:name w:val="List Table 4 - Accent 3"/>
    <w:uiPriority w:val="99"/>
    <w:qFormat/>
    <w:tblPr/>
  </w:style>
  <w:style w:type="table" w:styleId="1139" w:customStyle="1">
    <w:name w:val="Grid Table 6 Colorful - Accent 6"/>
    <w:uiPriority w:val="99"/>
    <w:qFormat/>
    <w:tblPr/>
  </w:style>
  <w:style w:type="table" w:styleId="1140" w:customStyle="1">
    <w:name w:val="Lined - Accent"/>
    <w:uiPriority w:val="99"/>
    <w:qFormat/>
    <w:rPr>
      <w:color w:val="404040"/>
    </w:rPr>
    <w:tblPr/>
  </w:style>
  <w:style w:type="table" w:styleId="1141" w:customStyle="1">
    <w:name w:val="List Table 4 - Accent 4"/>
    <w:uiPriority w:val="99"/>
    <w:qFormat/>
    <w:tblPr/>
  </w:style>
  <w:style w:type="table" w:styleId="1142" w:customStyle="1">
    <w:name w:val="Grid Table 7 Colorful"/>
    <w:uiPriority w:val="99"/>
    <w:qFormat/>
    <w:tblPr/>
  </w:style>
  <w:style w:type="table" w:styleId="1143" w:customStyle="1">
    <w:name w:val="Lined - Accent 1"/>
    <w:uiPriority w:val="99"/>
    <w:qFormat/>
    <w:rPr>
      <w:color w:val="404040"/>
    </w:rPr>
    <w:tblPr/>
  </w:style>
  <w:style w:type="table" w:styleId="1144" w:customStyle="1">
    <w:name w:val="List Table 4 - Accent 5"/>
    <w:uiPriority w:val="99"/>
    <w:qFormat/>
    <w:tblPr/>
  </w:style>
  <w:style w:type="table" w:styleId="1145" w:customStyle="1">
    <w:name w:val="Grid Table 7 Colorful - Accent 1"/>
    <w:uiPriority w:val="99"/>
    <w:qFormat/>
    <w:tblPr/>
  </w:style>
  <w:style w:type="table" w:styleId="1146" w:customStyle="1">
    <w:name w:val="Bordered &amp; Lined - Accent 6"/>
    <w:uiPriority w:val="99"/>
    <w:qFormat/>
    <w:rPr>
      <w:color w:val="404040"/>
    </w:rPr>
    <w:tblPr/>
  </w:style>
  <w:style w:type="table" w:styleId="1147" w:customStyle="1">
    <w:name w:val="List Table 1 Light - Accent 6"/>
    <w:uiPriority w:val="99"/>
    <w:qFormat/>
    <w:tblPr/>
  </w:style>
  <w:style w:type="numbering" w:styleId="11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dc:title>
  <dc:creator>Admi</dc:creator>
  <cp:lastModifiedBy>薛璐</cp:lastModifiedBy>
  <cp:revision>11</cp:revision>
  <dcterms:created xsi:type="dcterms:W3CDTF">2015-07-01T10:07:00Z</dcterms:created>
  <dcterms:modified xsi:type="dcterms:W3CDTF">2026-08-13T01:21:46Z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eyJoZGlkIjoiZTlmYzgwMTAwMjhlNzcyM2FkM2VkNjY2NmNlN2M1YzkiLCJ1c2VySWQiOiI2MzYyOTQxNjcifQ==</vt:lpwstr>
  </property>
  <property fmtid="{D5CDD505-2E9C-101B-9397-08002B2CF9AE}" pid="3" name="KSOProductBuildVer">
    <vt:lpwstr>2052-12.1.0.26895</vt:lpwstr>
  </property>
  <property fmtid="{D5CDD505-2E9C-101B-9397-08002B2CF9AE}" pid="4" name="ICV">
    <vt:lpwstr>E273EBD19C464E388EC6E521A3192C63_13</vt:lpwstr>
  </property>
</Properties>
</file>