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ind w:firstLine="0"/>
        <w:rPr>
          <w:rFonts w:hint="eastAsia" w:eastAsia="黑体"/>
          <w:b/>
          <w:bCs/>
          <w:color w:val="000000" w:themeColor="text1"/>
          <w:sz w:val="84"/>
          <w:highlight w:val="none"/>
          <w:shd w:val="clear" w:color="ffffff" w:fill="d9d9d9"/>
          <w14:textFill>
            <w14:solidFill>
              <w14:schemeClr w14:val="tx1"/>
            </w14:solidFill>
          </w14:textFill>
        </w:rPr>
      </w:pPr>
      <w:r>
        <w:rPr>
          <w:rFonts w:hint="eastAsia" w:eastAsia="黑体"/>
          <w:b/>
          <w:bCs/>
          <w:color w:val="000000" w:themeColor="text1"/>
          <w:sz w:val="84"/>
          <w:highlight w:val="none"/>
          <w:shd w:val="clear" w:color="ffffff" w:fill="d9d9d9"/>
          <w14:textFill>
            <w14:solidFill>
              <w14:schemeClr w14:val="tx1"/>
            </w14:solidFill>
          </w14:textFill>
        </w:rPr>
      </w:r>
      <w:r/>
    </w:p>
    <w:p>
      <w:pPr>
        <w:pStyle w:val="897"/>
        <w:ind w:firstLine="0"/>
        <w:jc w:val="center"/>
        <w:rPr>
          <w:rFonts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 开 招 标 文 件</w:t>
      </w:r>
      <w:r/>
    </w:p>
    <w:p>
      <w:pPr>
        <w:pStyle w:val="897"/>
        <w:ind w:firstLine="0"/>
        <w:jc w:val="center"/>
        <w:rPr>
          <w:rFonts w:ascii="黑体" w:hAnsi="华文中宋" w:eastAsia="黑体"/>
          <w:bCs/>
          <w:color w:val="000000" w:themeColor="text1"/>
          <w:spacing w:val="20"/>
          <w:sz w:val="52"/>
          <w:szCs w:val="52"/>
          <w:highlight w:val="none"/>
          <w14:textFill>
            <w14:solidFill>
              <w14:schemeClr w14:val="tx1"/>
            </w14:solidFill>
          </w14:textFill>
        </w:rPr>
      </w:pPr>
      <w:r>
        <w:rPr>
          <w:rFonts w:ascii="黑体" w:hAnsi="华文中宋" w:eastAsia="黑体"/>
          <w:bCs/>
          <w:color w:val="000000" w:themeColor="text1"/>
          <w:spacing w:val="20"/>
          <w:sz w:val="52"/>
          <w:szCs w:val="52"/>
          <w:highlight w:val="none"/>
          <w14:textFill>
            <w14:solidFill>
              <w14:schemeClr w14:val="tx1"/>
            </w14:solidFill>
          </w14:textFill>
        </w:rPr>
      </w:r>
      <w:r/>
    </w:p>
    <w:p>
      <w:pPr>
        <w:pStyle w:val="897"/>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897"/>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897"/>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920"/>
        <w:jc w:val="left"/>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JSZC-320200-WXJY-G2026-0005</w:t>
      </w:r>
      <w:r/>
    </w:p>
    <w:p>
      <w:pPr>
        <w:ind w:firstLine="1920"/>
        <w:jc w:val="left"/>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r>
        <w:rPr>
          <w:rFonts w:hint="eastAsia" w:ascii="黑体" w:hAnsi="华文中宋" w:eastAsia="黑体"/>
          <w:bCs/>
          <w:sz w:val="32"/>
          <w:szCs w:val="32"/>
          <w:highlight w:val="none"/>
          <w:lang w:eastAsia="zh-CN"/>
        </w:rPr>
        <w:t xml:space="preserve">无锡市江南中学风洞实验室设备采购项目</w:t>
      </w:r>
      <w:r/>
    </w:p>
    <w:p>
      <w:pPr>
        <w:ind w:firstLine="1920"/>
        <w:jc w:val="left"/>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w:t>
      </w:r>
      <w:r>
        <w:rPr>
          <w:rFonts w:hint="eastAsia" w:ascii="黑体" w:hAnsi="华文中宋" w:eastAsia="黑体"/>
          <w:bCs/>
          <w:sz w:val="32"/>
          <w:szCs w:val="32"/>
          <w:highlight w:val="none"/>
          <w:lang w:eastAsia="zh-CN"/>
        </w:rPr>
        <w:t xml:space="preserve">无锡市江南中学</w:t>
      </w:r>
      <w:r/>
    </w:p>
    <w:p>
      <w:pPr>
        <w:jc w:val="center"/>
        <w:rPr>
          <w:rFonts w:ascii="黑体" w:hAnsi="华文中宋" w:eastAsia="黑体"/>
          <w:bCs/>
          <w:color w:val="000000" w:themeColor="text1"/>
          <w:sz w:val="30"/>
          <w:szCs w:val="30"/>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r>
      <w:r/>
    </w:p>
    <w:p>
      <w:pPr>
        <w:pStyle w:val="897"/>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897"/>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897"/>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897"/>
        <w:ind w:firstLine="0"/>
        <w:jc w:val="center"/>
        <w:spacing w:before="0" w:after="0"/>
        <w:rPr>
          <w:rFonts w:hint="eastAsia" w:ascii="宋体" w:hAnsi="宋体" w:eastAsia="黑体"/>
          <w:color w:val="000000" w:themeColor="text1"/>
          <w:sz w:val="32"/>
          <w:szCs w:val="32"/>
          <w:highlight w:val="none"/>
          <w:shd w:val="clear" w:color="ffffff" w:fill="d9d9d9"/>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无锡市教育信息化和综合服务中心</w:t>
      </w:r>
      <w:r/>
    </w:p>
    <w:p>
      <w:pPr>
        <w:pStyle w:val="897"/>
        <w:ind w:firstLine="0"/>
        <w:jc w:val="center"/>
        <w:rPr>
          <w:rFonts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二〇二六年</w:t>
      </w:r>
      <w:r>
        <w:rPr>
          <w:rFonts w:hint="eastAsia" w:ascii="黑体" w:hAnsi="华文中宋" w:eastAsia="黑体"/>
          <w:bCs/>
          <w:sz w:val="32"/>
          <w:szCs w:val="32"/>
          <w:highlight w:val="none"/>
          <w:lang w:val="en-US" w:eastAsia="zh-CN"/>
        </w:rPr>
        <w:t xml:space="preserve">七</w:t>
      </w:r>
      <w:r>
        <w:rPr>
          <w:rFonts w:hint="eastAsia" w:ascii="黑体" w:hAnsi="华文中宋" w:eastAsia="黑体"/>
          <w:bCs/>
          <w:sz w:val="32"/>
          <w:szCs w:val="32"/>
          <w:highlight w:val="none"/>
        </w:rPr>
        <w:t xml:space="preserve">月</w:t>
      </w:r>
      <w:r/>
    </w:p>
    <w:p>
      <w:pPr>
        <w:pStyle w:val="897"/>
        <w:ind w:firstLine="0"/>
        <w:jc w:val="center"/>
        <w:rPr>
          <w:rFonts w:hint="eastAsia" w:ascii="黑体" w:hAnsi="黑体" w:eastAsia="黑体"/>
          <w:color w:val="000000" w:themeColor="text1"/>
          <w:sz w:val="36"/>
          <w:szCs w:val="36"/>
          <w:highlight w:val="none"/>
          <w14:textFill>
            <w14:solidFill>
              <w14:schemeClr w14:val="tx1"/>
            </w14:solidFill>
          </w14:textFill>
        </w:rPr>
      </w:pPr>
      <w:r/>
      <w:bookmarkStart w:id="0" w:name="_Toc120614210"/>
      <w:r/>
      <w:bookmarkStart w:id="1" w:name="_Toc20823272"/>
      <w:r/>
      <w:bookmarkStart w:id="2" w:name="_Toc513029200"/>
      <w:r/>
      <w:bookmarkStart w:id="3" w:name="_Toc523127445"/>
      <w:r/>
      <w:bookmarkStart w:id="4" w:name="_Toc16938516"/>
      <w:r/>
      <w:bookmarkStart w:id="5" w:name="_Toc479757206"/>
      <w:r>
        <w:rPr>
          <w:rFonts w:ascii="黑体" w:hAnsi="华文中宋" w:eastAsia="黑体"/>
          <w:bCs/>
          <w:color w:val="000000" w:themeColor="text1"/>
          <w:sz w:val="44"/>
          <w:szCs w:val="44"/>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总  目  录</w:t>
      </w:r>
      <w:r/>
    </w:p>
    <w:p>
      <w:pPr>
        <w:jc w:val="center"/>
        <w:spacing w:line="480" w:lineRule="auto"/>
        <w:rPr>
          <w:rFonts w:hint="eastAsia" w:ascii="黑体" w:hAnsi="Arial" w:eastAsia="黑体"/>
          <w:color w:val="000000" w:themeColor="text1"/>
          <w:sz w:val="44"/>
          <w:highlight w:val="none"/>
          <w14:textFill>
            <w14:solidFill>
              <w14:schemeClr w14:val="tx1"/>
            </w14:solidFill>
          </w14:textFill>
        </w:rPr>
        <w:outlineLvl w:val="0"/>
      </w:pPr>
      <w:r>
        <w:rPr>
          <w:rFonts w:hint="eastAsia" w:ascii="黑体" w:hAnsi="Arial" w:eastAsia="黑体"/>
          <w:color w:val="000000" w:themeColor="text1"/>
          <w:sz w:val="44"/>
          <w:highlight w:val="none"/>
          <w14:textFill>
            <w14:solidFill>
              <w14:schemeClr w14:val="tx1"/>
            </w14:solidFill>
          </w14:textFill>
        </w:rPr>
      </w:r>
      <w:r/>
    </w:p>
    <w:p>
      <w:pPr>
        <w:numPr>
          <w:ilvl w:val="0"/>
          <w:numId w:val="2"/>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w:t>
      </w:r>
      <w:r>
        <w:rPr>
          <w:rFonts w:hint="eastAsia" w:ascii="宋体" w:hAnsi="宋体"/>
          <w:sz w:val="30"/>
          <w:szCs w:val="30"/>
          <w:highlight w:val="none"/>
        </w:rPr>
        <w:t xml:space="preserve">（</w:t>
      </w:r>
      <w:r>
        <w:rPr>
          <w:rFonts w:hint="eastAsia" w:ascii="宋体" w:hAnsi="宋体"/>
          <w:sz w:val="30"/>
          <w:szCs w:val="30"/>
          <w:highlight w:val="none"/>
          <w:lang w:val="en-US" w:eastAsia="zh-CN"/>
        </w:rPr>
        <w:t xml:space="preserve">3</w:t>
      </w:r>
      <w:r>
        <w:rPr>
          <w:rFonts w:hint="eastAsia" w:ascii="宋体" w:hAnsi="宋体"/>
          <w:sz w:val="30"/>
          <w:szCs w:val="30"/>
          <w:highlight w:val="none"/>
        </w:rPr>
        <w:t xml:space="preserve">）</w:t>
      </w:r>
      <w:r/>
    </w:p>
    <w:p>
      <w:pPr>
        <w:numPr>
          <w:ilvl w:val="0"/>
          <w:numId w:val="2"/>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w:t>
      </w:r>
      <w:r>
        <w:rPr>
          <w:rFonts w:hint="eastAsia" w:ascii="宋体" w:hAnsi="宋体"/>
          <w:sz w:val="30"/>
          <w:szCs w:val="30"/>
          <w:highlight w:val="none"/>
        </w:rPr>
        <w:t xml:space="preserve">（</w:t>
      </w:r>
      <w:r>
        <w:rPr>
          <w:rFonts w:hint="eastAsia" w:ascii="宋体" w:hAnsi="宋体"/>
          <w:sz w:val="30"/>
          <w:szCs w:val="30"/>
          <w:highlight w:val="none"/>
          <w:lang w:val="en-US" w:eastAsia="zh-CN"/>
        </w:rPr>
        <w:t xml:space="preserve">7</w:t>
      </w:r>
      <w:r>
        <w:rPr>
          <w:rFonts w:hint="eastAsia" w:ascii="宋体" w:hAnsi="宋体"/>
          <w:sz w:val="30"/>
          <w:szCs w:val="30"/>
          <w:highlight w:val="none"/>
        </w:rPr>
        <w:t xml:space="preserve">）</w:t>
      </w:r>
      <w:r/>
    </w:p>
    <w:p>
      <w:pPr>
        <w:numPr>
          <w:ilvl w:val="0"/>
          <w:numId w:val="2"/>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w:t>
      </w:r>
      <w:r>
        <w:rPr>
          <w:rFonts w:hint="eastAsia" w:ascii="宋体" w:hAnsi="宋体"/>
          <w:sz w:val="30"/>
          <w:szCs w:val="30"/>
          <w:highlight w:val="none"/>
        </w:rPr>
        <w:t xml:space="preserve">（</w:t>
      </w:r>
      <w:r>
        <w:rPr>
          <w:rFonts w:hint="eastAsia" w:ascii="宋体" w:hAnsi="宋体"/>
          <w:sz w:val="30"/>
          <w:szCs w:val="30"/>
          <w:highlight w:val="none"/>
          <w:lang w:val="en-US" w:eastAsia="zh-CN"/>
        </w:rPr>
        <w:t xml:space="preserve">22</w:t>
      </w:r>
      <w:r>
        <w:rPr>
          <w:rFonts w:hint="eastAsia" w:ascii="宋体" w:hAnsi="宋体"/>
          <w:sz w:val="30"/>
          <w:szCs w:val="30"/>
          <w:highlight w:val="none"/>
        </w:rPr>
        <w:t xml:space="preserve">）</w:t>
      </w:r>
      <w:r/>
    </w:p>
    <w:p>
      <w:pPr>
        <w:numPr>
          <w:ilvl w:val="0"/>
          <w:numId w:val="2"/>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w:t>
      </w:r>
      <w:r>
        <w:rPr>
          <w:rFonts w:hint="eastAsia" w:ascii="宋体" w:hAnsi="宋体"/>
          <w:sz w:val="30"/>
          <w:szCs w:val="30"/>
          <w:highlight w:val="none"/>
        </w:rPr>
        <w:t xml:space="preserve">（25）</w:t>
      </w:r>
      <w:r/>
    </w:p>
    <w:p>
      <w:pPr>
        <w:numPr>
          <w:ilvl w:val="0"/>
          <w:numId w:val="2"/>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w:t>
      </w:r>
      <w:r>
        <w:rPr>
          <w:rFonts w:hint="eastAsia" w:ascii="宋体" w:hAnsi="宋体"/>
          <w:sz w:val="30"/>
          <w:szCs w:val="30"/>
          <w:highlight w:val="none"/>
        </w:rPr>
        <w:t xml:space="preserve">（55</w:t>
      </w:r>
      <w:r>
        <w:rPr>
          <w:rFonts w:hint="eastAsia" w:ascii="宋体" w:hAnsi="宋体"/>
          <w:sz w:val="30"/>
          <w:szCs w:val="30"/>
          <w:highlight w:val="none"/>
        </w:rPr>
        <w:t xml:space="preserve">）</w:t>
      </w:r>
      <w:r/>
    </w:p>
    <w:p>
      <w:pPr>
        <w:numPr>
          <w:ilvl w:val="0"/>
          <w:numId w:val="2"/>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w:t>
      </w:r>
      <w:r>
        <w:rPr>
          <w:rFonts w:hint="eastAsia" w:ascii="宋体" w:hAnsi="宋体"/>
          <w:sz w:val="30"/>
          <w:szCs w:val="30"/>
          <w:highlight w:val="none"/>
        </w:rPr>
        <w:t xml:space="preserve">（</w:t>
      </w:r>
      <w:r>
        <w:rPr>
          <w:rFonts w:hint="eastAsia" w:ascii="宋体" w:hAnsi="宋体"/>
          <w:sz w:val="30"/>
          <w:szCs w:val="30"/>
          <w:highlight w:val="none"/>
          <w:lang w:val="en-US" w:eastAsia="zh-CN"/>
        </w:rPr>
        <w:t xml:space="preserve">61</w:t>
      </w:r>
      <w:r>
        <w:rPr>
          <w:rFonts w:hint="eastAsia" w:ascii="宋体" w:hAnsi="宋体"/>
          <w:sz w:val="30"/>
          <w:szCs w:val="30"/>
          <w:highlight w:val="none"/>
        </w:rPr>
        <w:t xml:space="preserve">）</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r/>
    </w:p>
    <w:p>
      <w:pPr>
        <w:ind w:firstLine="480"/>
        <w:spacing w:line="500" w:lineRule="exact"/>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sz w:val="24"/>
          <w:szCs w:val="24"/>
          <w:highlight w:val="none"/>
          <w:lang w:eastAsia="zh-CN"/>
        </w:rPr>
        <w:t xml:space="preserve">无锡市江南中学</w:t>
      </w:r>
      <w:r>
        <w:rPr>
          <w:rFonts w:hint="eastAsia" w:ascii="宋体" w:hAnsi="宋体"/>
          <w:color w:val="000000" w:themeColor="text1"/>
          <w:sz w:val="24"/>
          <w:szCs w:val="24"/>
          <w:highlight w:val="none"/>
          <w14:textFill>
            <w14:solidFill>
              <w14:schemeClr w14:val="tx1"/>
            </w14:solidFill>
          </w14:textFill>
        </w:rPr>
        <w:t xml:space="preserve">的委托，</w:t>
      </w:r>
      <w:r>
        <w:rPr>
          <w:rFonts w:hint="eastAsia" w:ascii="宋体" w:hAnsi="宋体"/>
          <w:color w:val="000000" w:themeColor="text1"/>
          <w:sz w:val="24"/>
          <w:szCs w:val="24"/>
          <w:highlight w:val="none"/>
          <w:lang w:eastAsia="zh-CN"/>
          <w14:textFill>
            <w14:solidFill>
              <w14:schemeClr w14:val="tx1"/>
            </w14:solidFill>
          </w14:textFill>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就</w:t>
      </w:r>
      <w:r>
        <w:rPr>
          <w:rFonts w:hint="eastAsia" w:ascii="宋体" w:hAnsi="宋体"/>
          <w:sz w:val="24"/>
          <w:szCs w:val="24"/>
          <w:highlight w:val="none"/>
          <w:lang w:eastAsia="zh-CN"/>
        </w:rPr>
        <w:t xml:space="preserve">无锡市江南中学风洞实验室设备采购项目</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JSZC-320200-WXJY-G2026-0005</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lang w:eastAsia="zh-CN"/>
        </w:rPr>
        <w:t xml:space="preserve">无锡市江南中学风洞实验室设备采购项目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下载的方式依法获取招标文件，并于提交投标文件截止时间</w:t>
      </w:r>
      <w:r>
        <w:rPr>
          <w:rFonts w:hint="eastAsia" w:ascii="宋体" w:hAnsi="宋体"/>
          <w:bCs/>
          <w:color w:val="000000" w:themeColor="text1"/>
          <w:sz w:val="24"/>
          <w:szCs w:val="24"/>
          <w:highlight w:val="none"/>
          <w14:textFill>
            <w14:solidFill>
              <w14:schemeClr w14:val="tx1"/>
            </w14:solidFill>
          </w14:textFill>
        </w:rPr>
        <w:t xml:space="preserve">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898"/>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6" w:name="_Toc38985263"/>
      <w:r/>
      <w:bookmarkStart w:id="7" w:name="_Toc35393790"/>
      <w:r/>
      <w:bookmarkStart w:id="8" w:name="_Toc28359002"/>
      <w:r/>
      <w:bookmarkStart w:id="9" w:name="_Toc28359079"/>
      <w:r/>
      <w:bookmarkStart w:id="10" w:name="_Toc35393621"/>
      <w:r/>
      <w:bookmarkStart w:id="11" w:name="_Hlk24379207"/>
      <w:r>
        <w:rPr>
          <w:rFonts w:hint="eastAsia"/>
          <w:color w:val="000000" w:themeColor="text1"/>
          <w:sz w:val="30"/>
          <w:szCs w:val="30"/>
          <w:highlight w:val="none"/>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JSZC-320200-WXJY-G2026-0005</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r>
        <w:rPr>
          <w:rFonts w:hint="eastAsia" w:ascii="宋体" w:hAnsi="宋体"/>
          <w:sz w:val="24"/>
          <w:szCs w:val="24"/>
          <w:highlight w:val="none"/>
          <w:lang w:eastAsia="zh-CN"/>
        </w:rPr>
        <w:t xml:space="preserve">无锡市江南中学风洞实验室设备采购项目</w:t>
      </w:r>
      <w:bookmarkEnd w:id="11"/>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3.项目预算金额：</w:t>
      </w:r>
      <w:r>
        <w:rPr>
          <w:rFonts w:hint="eastAsia" w:ascii="宋体" w:hAnsi="宋体"/>
          <w:color w:val="000000" w:themeColor="text1"/>
          <w:sz w:val="24"/>
          <w:szCs w:val="24"/>
          <w:highlight w:val="none"/>
          <w:lang w:val="en-US" w:eastAsia="zh-CN"/>
          <w14:textFill>
            <w14:solidFill>
              <w14:schemeClr w14:val="tx1"/>
            </w14:solidFill>
          </w14:textFill>
        </w:rPr>
        <w:t xml:space="preserve">121</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4.项目最高限价：</w:t>
      </w:r>
      <w:r>
        <w:rPr>
          <w:rFonts w:hint="eastAsia" w:ascii="宋体" w:hAnsi="宋体"/>
          <w:color w:val="000000" w:themeColor="text1"/>
          <w:sz w:val="24"/>
          <w:szCs w:val="24"/>
          <w:highlight w:val="none"/>
          <w:lang w:val="en-US" w:eastAsia="zh-CN"/>
          <w14:textFill>
            <w14:solidFill>
              <w14:schemeClr w14:val="tx1"/>
            </w14:solidFill>
          </w14:textFill>
        </w:rPr>
        <w:t xml:space="preserve">121</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5.采购方式：公开招标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8.本项目不接受联合体投标。</w:t>
      </w:r>
      <w:r/>
    </w:p>
    <w:p>
      <w:pPr>
        <w:pStyle w:val="898"/>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2" w:name="_Toc38985264"/>
      <w:r/>
      <w:bookmarkStart w:id="13" w:name="_Toc28359080"/>
      <w:r/>
      <w:bookmarkStart w:id="14" w:name="_Toc28359003"/>
      <w:r/>
      <w:bookmarkStart w:id="15" w:name="_Toc35393791"/>
      <w:r/>
      <w:bookmarkStart w:id="16" w:name="_Toc35393622"/>
      <w:r>
        <w:rPr>
          <w:rFonts w:hint="eastAsia"/>
          <w:color w:val="000000" w:themeColor="text1"/>
          <w:sz w:val="30"/>
          <w:szCs w:val="30"/>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none"/>
          <w14:textFill>
            <w14:solidFill>
              <w14:schemeClr w14:val="tx1"/>
            </w14:solidFill>
          </w14:textFill>
        </w:rPr>
      </w:pPr>
      <w:r/>
      <w:bookmarkStart w:id="17" w:name="_Toc38985265"/>
      <w:r/>
      <w:bookmarkStart w:id="18" w:name="_Toc35393623"/>
      <w:r/>
      <w:bookmarkStart w:id="19" w:name="_Toc28359081"/>
      <w:r/>
      <w:bookmarkStart w:id="20" w:name="_Toc28359004"/>
      <w:r/>
      <w:bookmarkStart w:id="21" w:name="_Toc35393792"/>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2.1中小企业政策：</w:t>
      </w:r>
      <w:r>
        <w:rPr>
          <w:rFonts w:hint="eastAsia" w:ascii="宋体" w:hAnsi="宋体"/>
          <w:color w:val="000000" w:themeColor="text1"/>
          <w:sz w:val="24"/>
          <w:szCs w:val="24"/>
          <w:highlight w:val="none"/>
          <w:lang w:val="en-US" w:eastAsia="zh-CN"/>
          <w14:textFill>
            <w14:solidFill>
              <w14:schemeClr w14:val="tx1"/>
            </w14:solidFill>
          </w14:textFill>
        </w:rPr>
        <w:t xml:space="preserve">本项目非专门面向中小企业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3.本项目的特定资格要求：</w:t>
      </w:r>
      <w:r>
        <w:rPr>
          <w:rFonts w:hint="eastAsia" w:ascii="宋体" w:hAnsi="宋体"/>
          <w:color w:val="000000"/>
          <w:sz w:val="24"/>
          <w:szCs w:val="24"/>
          <w:highlight w:val="none"/>
          <w:lang w:val="en-US" w:eastAsia="zh-CN"/>
        </w:rPr>
        <w:t xml:space="preserve">无</w:t>
      </w:r>
      <w:r/>
    </w:p>
    <w:p>
      <w:pPr>
        <w:pStyle w:val="898"/>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000000" w:themeColor="text1"/>
          <w:sz w:val="24"/>
          <w:szCs w:val="24"/>
          <w:highlight w:val="none"/>
          <w14:textFill>
            <w14:solidFill>
              <w14:schemeClr w14:val="tx1"/>
            </w14:solidFill>
          </w14:textFill>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本招标文件有效获取期限以本项目招标公告中规定的获取招标文件时间为准。</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p>
    <w:p>
      <w:pPr>
        <w:ind w:firstLine="540"/>
        <w:spacing w:line="500" w:lineRule="exact"/>
        <w:rPr>
          <w:rStyle w:val="900"/>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“江苏省政府采购（苏采云）平台”（http://jszfcg.jsczt.cn/）获取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898"/>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四、提交投标文件</w:t>
      </w:r>
      <w:bookmarkEnd w:id="22"/>
      <w:r/>
      <w:bookmarkEnd w:id="23"/>
      <w:r>
        <w:rPr>
          <w:rFonts w:hint="eastAsia"/>
          <w:color w:val="000000" w:themeColor="text1"/>
          <w:sz w:val="30"/>
          <w:szCs w:val="30"/>
          <w:highlight w:val="none"/>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bCs/>
          <w:color w:val="auto"/>
          <w:sz w:val="24"/>
          <w:szCs w:val="24"/>
          <w:highlight w:val="none"/>
        </w:rPr>
        <w:t xml:space="preserve">2026年</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14</w:t>
      </w:r>
      <w:r>
        <w:rPr>
          <w:rFonts w:hint="eastAsia" w:ascii="宋体" w:hAnsi="宋体"/>
          <w:bCs/>
          <w:color w:val="000000" w:themeColor="text1"/>
          <w:sz w:val="24"/>
          <w:szCs w:val="24"/>
          <w:highlight w:val="none"/>
          <w14:textFill>
            <w14:solidFill>
              <w14:schemeClr w14:val="tx1"/>
            </w14:solidFill>
          </w14:textFill>
        </w:rPr>
        <w:t xml:space="preserve">日09点30分（北京时间）</w:t>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898"/>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27" w:name="_Toc28359007"/>
      <w:r/>
      <w:bookmarkStart w:id="28" w:name="_Toc35393625"/>
      <w:r/>
      <w:bookmarkStart w:id="29" w:name="_Toc28359084"/>
      <w:r/>
      <w:bookmarkStart w:id="30" w:name="_Toc38985267"/>
      <w:r/>
      <w:bookmarkStart w:id="31" w:name="_Toc35393794"/>
      <w:r>
        <w:rPr>
          <w:rFonts w:hint="eastAsia"/>
          <w:color w:val="000000" w:themeColor="text1"/>
          <w:sz w:val="30"/>
          <w:szCs w:val="30"/>
          <w:highlight w:val="none"/>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bookmarkStart w:id="32" w:name="_Toc35393795"/>
      <w:r/>
      <w:bookmarkStart w:id="33" w:name="_Toc35393626"/>
      <w:r/>
      <w:bookmarkStart w:id="34" w:name="_Toc38985268"/>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898"/>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898"/>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35" w:name="_Toc28359085"/>
      <w:r/>
      <w:bookmarkStart w:id="36" w:name="_Toc35393796"/>
      <w:r/>
      <w:bookmarkStart w:id="37" w:name="_Toc28359008"/>
      <w:r/>
      <w:bookmarkStart w:id="38" w:name="_Toc38985269"/>
      <w:r/>
      <w:bookmarkStart w:id="39" w:name="_Toc35393627"/>
      <w:r>
        <w:rPr>
          <w:rFonts w:hint="eastAsia"/>
          <w:color w:val="000000" w:themeColor="text1"/>
          <w:sz w:val="30"/>
          <w:szCs w:val="30"/>
          <w:highlight w:val="none"/>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sz w:val="24"/>
          <w:szCs w:val="24"/>
          <w:highlight w:val="none"/>
          <w:lang w:eastAsia="zh-CN"/>
        </w:rPr>
        <w:t xml:space="preserve">无锡市江南中学</w:t>
      </w:r>
      <w:r/>
    </w:p>
    <w:p>
      <w:pPr>
        <w:ind w:firstLine="480"/>
        <w:spacing w:line="500" w:lineRule="exact"/>
        <w:rPr>
          <w:rFonts w:hint="default" w:ascii="宋体" w:hAnsi="宋体" w:cs="宋体"/>
          <w:color w:val="000000" w:themeColor="text1"/>
          <w:sz w:val="24"/>
          <w:szCs w:val="24"/>
          <w:highlight w:val="none"/>
          <w:lang w:val="en-US"/>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w:t>
      </w:r>
      <w:r>
        <w:rPr>
          <w:rFonts w:hint="eastAsia" w:ascii="宋体" w:hAnsi="宋体" w:cs="宋体"/>
          <w:sz w:val="24"/>
          <w:szCs w:val="24"/>
          <w:highlight w:val="none"/>
          <w:lang w:eastAsia="zh-CN"/>
        </w:rPr>
        <w:t xml:space="preserve">无锡市</w:t>
      </w:r>
      <w:r>
        <w:rPr>
          <w:rFonts w:hint="eastAsia" w:ascii="宋体" w:hAnsi="宋体" w:cs="宋体"/>
          <w:sz w:val="24"/>
          <w:szCs w:val="24"/>
          <w:highlight w:val="none"/>
          <w:lang w:val="en-US" w:eastAsia="zh-CN"/>
        </w:rPr>
        <w:t xml:space="preserve">阳光直街18号</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none"/>
          <w14:textFill>
            <w14:solidFill>
              <w14:schemeClr w14:val="tx1"/>
            </w14:solidFill>
          </w14:textFill>
        </w:rPr>
        <w:t xml:space="preserve">见“项目联系方式”</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无锡市教育信息化和综合服务中心</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w:t>
      </w:r>
      <w:r>
        <w:rPr>
          <w:rFonts w:hint="eastAsia" w:ascii="宋体" w:hAnsi="宋体" w:cs="宋体"/>
          <w:sz w:val="24"/>
          <w:szCs w:val="24"/>
          <w:highlight w:val="none"/>
        </w:rPr>
        <w:t xml:space="preserve">学前街2</w:t>
      </w:r>
      <w:r>
        <w:rPr>
          <w:rFonts w:ascii="宋体" w:hAnsi="宋体" w:cs="宋体"/>
          <w:sz w:val="24"/>
          <w:szCs w:val="24"/>
          <w:highlight w:val="none"/>
        </w:rPr>
        <w:t xml:space="preserve">7</w:t>
      </w:r>
      <w:r>
        <w:rPr>
          <w:rFonts w:hint="eastAsia" w:ascii="宋体" w:hAnsi="宋体" w:cs="宋体"/>
          <w:sz w:val="24"/>
          <w:szCs w:val="24"/>
          <w:highlight w:val="none"/>
        </w:rPr>
        <w:t xml:space="preserve">号4</w:t>
      </w:r>
      <w:r>
        <w:rPr>
          <w:rFonts w:hint="eastAsia" w:ascii="宋体" w:hAnsi="宋体" w:cs="宋体"/>
          <w:color w:val="000000" w:themeColor="text1"/>
          <w:sz w:val="24"/>
          <w:szCs w:val="24"/>
          <w:highlight w:val="none"/>
          <w14:textFill>
            <w14:solidFill>
              <w14:schemeClr w14:val="tx1"/>
            </w14:solidFill>
          </w14:textFill>
        </w:rPr>
        <w:t xml:space="preserve">楼</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采购人项目咨询联系人：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周晓辉</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电话：0510-82850233</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采购人质疑受理联系人：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周晓辉</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电话：0510-82850233</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sz w:val="24"/>
          <w:szCs w:val="24"/>
          <w:highlight w:val="none"/>
          <w:lang w:eastAsia="zh-CN"/>
        </w:rPr>
        <w:t xml:space="preserve">无锡市教育信息化和综合服务中心</w:t>
      </w:r>
      <w:r>
        <w:rPr>
          <w:rFonts w:hint="eastAsia" w:ascii="宋体" w:hAnsi="宋体" w:cs="宋体"/>
          <w:color w:val="000000" w:themeColor="text1"/>
          <w:sz w:val="24"/>
          <w:szCs w:val="24"/>
          <w:highlight w:val="none"/>
          <w14:textFill>
            <w14:solidFill>
              <w14:schemeClr w14:val="tx1"/>
            </w14:solidFill>
          </w14:textFill>
        </w:rPr>
        <w:t xml:space="preserve">项目联系人：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陈旻晔</w:t>
      </w:r>
      <w:r>
        <w:rPr>
          <w:rFonts w:hint="eastAsia" w:ascii="宋体" w:hAnsi="宋体" w:cs="宋体"/>
          <w:color w:val="000000" w:themeColor="text1"/>
          <w:sz w:val="24"/>
          <w:szCs w:val="24"/>
          <w:highlight w:val="none"/>
          <w14:textFill>
            <w14:solidFill>
              <w14:schemeClr w14:val="tx1"/>
            </w14:solidFill>
          </w14:textFill>
        </w:rPr>
        <w:t xml:space="preserve">；电话：0510-</w:t>
      </w:r>
      <w:r>
        <w:rPr>
          <w:rFonts w:ascii="宋体" w:hAnsi="宋体" w:cs="宋体"/>
          <w:sz w:val="24"/>
          <w:szCs w:val="24"/>
          <w:highlight w:val="none"/>
        </w:rPr>
        <w:t xml:space="preserve">82730672</w:t>
      </w:r>
      <w:r/>
    </w:p>
    <w:p>
      <w:pPr>
        <w:pStyle w:val="898"/>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）访问“无锡政府采购网”点击“江苏省政府采购（苏采云）平台”</w:t>
      </w:r>
      <w:r>
        <w:rPr>
          <w:rFonts w:ascii="宋体" w:hAnsi="宋体"/>
          <w:bCs/>
          <w:color w:val="000000" w:themeColor="text1"/>
          <w:sz w:val="24"/>
          <w:szCs w:val="24"/>
          <w:highlight w:val="none"/>
          <w14:textFill>
            <w14:solidFill>
              <w14:schemeClr w14:val="tx1"/>
            </w14:solidFill>
          </w14:textFill>
        </w:rPr>
        <w:t xml:space="preserve">（以下简称</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中填写资质信息并提交。也可以直接通过</w:t>
      </w:r>
      <w:r>
        <w:rPr>
          <w:rFonts w:ascii="宋体" w:hAnsi="宋体"/>
          <w:color w:val="000000" w:themeColor="text1"/>
          <w:sz w:val="24"/>
          <w:szCs w:val="24"/>
          <w:highlight w:val="none"/>
          <w14:textFill>
            <w14:solidFill>
              <w14:schemeClr w14:val="tx1"/>
            </w14:solidFill>
          </w14:textFill>
        </w:rPr>
        <w:t xml:space="preserve">http://jszfcg.jsczt.cn/</w:t>
      </w:r>
      <w:r>
        <w:rPr>
          <w:rFonts w:hint="eastAsia" w:ascii="宋体" w:hAnsi="宋体"/>
          <w:color w:val="000000" w:themeColor="text1"/>
          <w:sz w:val="24"/>
          <w:szCs w:val="24"/>
          <w:highlight w:val="none"/>
          <w14:textFill>
            <w14:solidFill>
              <w14:schemeClr w14:val="tx1"/>
            </w14:solidFill>
          </w14:textFill>
        </w:rPr>
        <w:t xml:space="preserve">进入界面。</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）办理</w:t>
      </w:r>
      <w:r>
        <w:rPr>
          <w:rFonts w:hint="eastAsia" w:ascii="宋体" w:hAnsi="宋体"/>
          <w:color w:val="000000" w:themeColor="text1"/>
          <w:sz w:val="24"/>
          <w:szCs w:val="24"/>
          <w:highlight w:val="none"/>
          <w14:textFill>
            <w14:solidFill>
              <w14:schemeClr w14:val="tx1"/>
            </w14:solidFill>
          </w14:textFill>
        </w:rPr>
        <w:t xml:space="preserve">“意源”CA数字证书和“方正”电子签章</w:t>
      </w:r>
      <w:r>
        <w:rPr>
          <w:rFonts w:ascii="宋体" w:hAnsi="宋体"/>
          <w:color w:val="000000" w:themeColor="text1"/>
          <w:sz w:val="24"/>
          <w:szCs w:val="24"/>
          <w:highlight w:val="none"/>
          <w14:textFill>
            <w14:solidFill>
              <w14:schemeClr w14:val="tx1"/>
            </w14:solidFill>
          </w14:textFill>
        </w:rPr>
        <w:t xml:space="preserve">（办理地址：</w:t>
      </w:r>
      <w:r>
        <w:rPr>
          <w:rFonts w:hint="eastAsia" w:ascii="宋体" w:hAnsi="宋体"/>
          <w:color w:val="000000" w:themeColor="text1"/>
          <w:sz w:val="24"/>
          <w:szCs w:val="24"/>
          <w:highlight w:val="none"/>
          <w14:textFill>
            <w14:solidFill>
              <w14:schemeClr w14:val="tx1"/>
            </w14:solidFill>
          </w14:textFill>
        </w:rPr>
        <w:t xml:space="preserve">无锡市滨湖区观山路</w:t>
      </w:r>
      <w:r>
        <w:rPr>
          <w:rFonts w:ascii="宋体" w:hAnsi="宋体"/>
          <w:color w:val="000000" w:themeColor="text1"/>
          <w:sz w:val="24"/>
          <w:szCs w:val="24"/>
          <w:highlight w:val="none"/>
          <w14:textFill>
            <w14:solidFill>
              <w14:schemeClr w14:val="tx1"/>
            </w14:solidFill>
          </w14:textFill>
        </w:rPr>
        <w:t xml:space="preserve">199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号楼一楼</w:t>
      </w:r>
      <w:r>
        <w:rPr>
          <w:rFonts w:ascii="宋体" w:hAnsi="宋体"/>
          <w:color w:val="000000" w:themeColor="text1"/>
          <w:sz w:val="24"/>
          <w:szCs w:val="24"/>
          <w:highlight w:val="non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技术服务电话：</w:t>
      </w:r>
      <w:r>
        <w:rPr>
          <w:rFonts w:hint="eastAsia" w:ascii="宋体" w:hAnsi="宋体"/>
          <w:color w:val="000000" w:themeColor="text1"/>
          <w:sz w:val="24"/>
          <w:szCs w:val="24"/>
          <w:highlight w:val="none"/>
          <w14:textFill>
            <w14:solidFill>
              <w14:schemeClr w14:val="tx1"/>
            </w14:solidFill>
          </w14:textFill>
        </w:rPr>
        <w:t xml:space="preserve">0510-81827781</w:t>
      </w:r>
      <w:r>
        <w:rPr>
          <w:rFonts w:ascii="宋体" w:hAnsi="宋体"/>
          <w:color w:val="000000" w:themeColor="text1"/>
          <w:sz w:val="24"/>
          <w:szCs w:val="24"/>
          <w:highlight w:val="none"/>
          <w14:textFill>
            <w14:solidFill>
              <w14:schemeClr w14:val="tx1"/>
            </w14:solidFill>
          </w14:textFill>
        </w:rPr>
        <w:t xml:space="preserve">（服务时间：工作日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完成</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账号注册</w:t>
      </w:r>
      <w:r>
        <w:rPr>
          <w:rFonts w:ascii="宋体" w:hAnsi="宋体"/>
          <w:color w:val="000000" w:themeColor="text1"/>
          <w:sz w:val="24"/>
          <w:szCs w:val="24"/>
          <w:highlight w:val="none"/>
          <w14:textFill>
            <w14:solidFill>
              <w14:schemeClr w14:val="tx1"/>
            </w14:solidFill>
          </w14:textFill>
        </w:rPr>
        <w:t xml:space="preserve">的供应商方可</w:t>
      </w:r>
      <w:r>
        <w:rPr>
          <w:rFonts w:hint="eastAsia"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中进行CA绑定。登录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《操作手册》</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下载地址：无锡市政府采购网——资料下载——</w:t>
      </w:r>
      <w:r>
        <w:rPr>
          <w:rFonts w:hint="eastAsia" w:ascii="宋体" w:hAnsi="宋体"/>
          <w:color w:val="000000" w:themeColor="text1"/>
          <w:sz w:val="24"/>
          <w:szCs w:val="24"/>
          <w:highlight w:val="none"/>
          <w14:textFill>
            <w14:solidFill>
              <w14:schemeClr w14:val="tx1"/>
            </w14:solidFill>
          </w14:textFill>
        </w:rPr>
        <w:t xml:space="preserve">苏采云——</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HYPERLINK "http://cz.wuxi.gov.cn/doc/2023/10/11/4080287.shtml" \t "_blank" \o "\“苏采云\”系统供应商操作手册"</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供应商可在项目</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公告附件中查看</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文件，如确定参加本次</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活动，必须在</w:t>
      </w:r>
      <w:r>
        <w:rPr>
          <w:rFonts w:hint="eastAsia" w:ascii="宋体" w:hAnsi="宋体"/>
          <w:bCs/>
          <w:color w:val="000000" w:themeColor="text1"/>
          <w:sz w:val="24"/>
          <w:szCs w:val="24"/>
          <w:highlight w:val="none"/>
          <w14:textFill>
            <w14:solidFill>
              <w14:schemeClr w14:val="tx1"/>
            </w14:solidFill>
          </w14:textFill>
        </w:rPr>
        <w:t xml:space="preserve">招标文件提供期限</w:t>
      </w:r>
      <w:r>
        <w:rPr>
          <w:rFonts w:ascii="宋体" w:hAnsi="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14:textFill>
            <w14:solidFill>
              <w14:schemeClr w14:val="tx1"/>
            </w14:solidFill>
          </w14:textFill>
        </w:rPr>
        <w:t xml:space="preserve">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中下载文件（“项目参与”——“</w:t>
      </w:r>
      <w:r>
        <w:rPr>
          <w:rFonts w:hint="eastAsia" w:ascii="宋体" w:hAnsi="宋体"/>
          <w:color w:val="000000" w:themeColor="text1"/>
          <w:sz w:val="24"/>
          <w:szCs w:val="24"/>
          <w:highlight w:val="none"/>
          <w14:textFill>
            <w14:solidFill>
              <w14:schemeClr w14:val="tx1"/>
            </w14:solidFill>
          </w14:textFill>
        </w:rPr>
        <w:t xml:space="preserve">采购项目参与</w:t>
      </w:r>
      <w:r>
        <w:rPr>
          <w:rFonts w:ascii="宋体" w:hAnsi="宋体"/>
          <w:color w:val="000000" w:themeColor="text1"/>
          <w:sz w:val="24"/>
          <w:szCs w:val="24"/>
          <w:highlight w:val="none"/>
          <w14:textFill>
            <w14:solidFill>
              <w14:schemeClr w14:val="tx1"/>
            </w14:solidFill>
          </w14:textFill>
        </w:rPr>
        <w:t xml:space="preserve">”找到需要获取</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下载文件</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），完成项目</w:t>
      </w:r>
      <w:r>
        <w:rPr>
          <w:rFonts w:hint="eastAsia" w:ascii="宋体" w:hAnsi="宋体"/>
          <w:color w:val="000000" w:themeColor="text1"/>
          <w:sz w:val="24"/>
          <w:szCs w:val="24"/>
          <w:highlight w:val="none"/>
          <w14:textFill>
            <w14:solidFill>
              <w14:schemeClr w14:val="tx1"/>
            </w14:solidFill>
          </w14:textFill>
        </w:rPr>
        <w:t xml:space="preserve">参与</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下载的</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（后缀名为“.kedt”）</w:t>
      </w:r>
      <w:r>
        <w:rPr>
          <w:rFonts w:ascii="宋体" w:hAnsi="宋体"/>
          <w:color w:val="000000" w:themeColor="text1"/>
          <w:sz w:val="24"/>
          <w:szCs w:val="24"/>
          <w:highlight w:val="non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14:textFill>
            <w14:solidFill>
              <w14:schemeClr w14:val="tx1"/>
            </w14:solidFill>
          </w14:textFill>
        </w:rPr>
        <w:t xml:space="preserve">编制</w:t>
      </w:r>
      <w:r>
        <w:rPr>
          <w:rFonts w:ascii="宋体" w:hAnsi="宋体"/>
          <w:color w:val="000000" w:themeColor="text1"/>
          <w:sz w:val="24"/>
          <w:szCs w:val="24"/>
          <w:highlight w:val="none"/>
          <w14:textFill>
            <w14:solidFill>
              <w14:schemeClr w14:val="tx1"/>
            </w14:solidFill>
          </w14:textFill>
        </w:rPr>
        <w:t xml:space="preserve">并加密</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（使用“CA数字证书”），</w:t>
      </w:r>
      <w:r>
        <w:rPr>
          <w:rFonts w:ascii="宋体" w:hAnsi="宋体"/>
          <w:color w:val="000000" w:themeColor="text1"/>
          <w:sz w:val="24"/>
          <w:szCs w:val="24"/>
          <w:highlight w:val="none"/>
          <w14:textFill>
            <w14:solidFill>
              <w14:schemeClr w14:val="tx1"/>
            </w14:solidFill>
          </w14:textFill>
        </w:rPr>
        <w:t xml:space="preserve">导出加密的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上传该加密的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文件，对</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w:t>
      </w:r>
      <w:r>
        <w:rPr>
          <w:rFonts w:hint="eastAsia" w:ascii="宋体" w:hAnsi="宋体"/>
          <w:bCs/>
          <w:color w:val="000000" w:themeColor="text1"/>
          <w:sz w:val="24"/>
          <w:szCs w:val="24"/>
          <w:highlight w:val="none"/>
          <w:lang w:eastAsia="zh-CN"/>
          <w14:textFill>
            <w14:solidFill>
              <w14:schemeClr w14:val="tx1"/>
            </w14:solidFill>
          </w14:textFill>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shd w:val="clear" w:color="ffffff" w:fill="d9d9d9"/>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20823274"/>
      <w:r/>
      <w:bookmarkStart w:id="46" w:name="_Toc513029202"/>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898"/>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47" w:name="_Toc513029203"/>
      <w:r/>
      <w:bookmarkStart w:id="48" w:name="_Toc120614214"/>
      <w:r/>
      <w:bookmarkStart w:id="49" w:name="_Toc20823275"/>
      <w:r/>
      <w:bookmarkStart w:id="50" w:name="_Toc16938519"/>
      <w:r>
        <w:rPr>
          <w:rFonts w:hint="eastAsia"/>
          <w:color w:val="000000" w:themeColor="text1"/>
          <w:sz w:val="30"/>
          <w:szCs w:val="30"/>
          <w:highlight w:val="none"/>
          <w14:textFill>
            <w14:solidFill>
              <w14:schemeClr w14:val="tx1"/>
            </w14:solidFill>
          </w14:textFill>
        </w:rPr>
        <w:t xml:space="preserve">一、总则</w:t>
      </w:r>
      <w:bookmarkEnd w:id="47"/>
      <w:r/>
      <w:bookmarkEnd w:id="48"/>
      <w:r/>
      <w:bookmarkEnd w:id="49"/>
      <w:r/>
      <w:bookmarkEnd w:id="50"/>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color w:val="000000" w:themeColor="text1"/>
          <w:highlight w:val="none"/>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5" w:name="_Toc16938521"/>
      <w:r/>
      <w:bookmarkStart w:id="56" w:name="_Toc513029205"/>
      <w:r/>
      <w:bookmarkStart w:id="57" w:name="_Toc20823277"/>
      <w:r>
        <w:rPr>
          <w:rFonts w:hint="eastAsia" w:ascii="宋体" w:hAnsi="宋体" w:eastAsia="宋体"/>
          <w:bCs w:val="0"/>
          <w:color w:val="000000" w:themeColor="text1"/>
          <w:highlight w:val="none"/>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none"/>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8" w:name="_Toc16938522"/>
      <w:r/>
      <w:bookmarkStart w:id="59" w:name="_Toc20823278"/>
      <w:r/>
      <w:bookmarkStart w:id="60" w:name="_Toc513029206"/>
      <w:r>
        <w:rPr>
          <w:rFonts w:hint="eastAsia" w:ascii="宋体" w:hAnsi="宋体" w:eastAsia="宋体"/>
          <w:bCs w:val="0"/>
          <w:color w:val="000000" w:themeColor="text1"/>
          <w:highlight w:val="none"/>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3.1本次招标及由此产生的合同受中华人民共和国法律的制约和保护。</w:t>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61" w:name="_Toc462564067"/>
      <w:r/>
      <w:bookmarkStart w:id="62" w:name="_Toc16938523"/>
      <w:r/>
      <w:bookmarkStart w:id="63" w:name="_Toc20823279"/>
      <w:r/>
      <w:bookmarkStart w:id="64" w:name="_Toc513029207"/>
      <w:r>
        <w:rPr>
          <w:rFonts w:hint="eastAsia" w:ascii="宋体" w:hAnsi="宋体" w:eastAsia="宋体"/>
          <w:bCs w:val="0"/>
          <w:color w:val="000000" w:themeColor="text1"/>
          <w:highlight w:val="none"/>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投标人应自行承担所有与参加投标有关的费用，无论投标过程中的做法和结果如何，</w:t>
      </w:r>
      <w:r>
        <w:rPr>
          <w:rFonts w:hint="eastAsia" w:ascii="宋体" w:hAnsi="宋体"/>
          <w:color w:val="000000" w:themeColor="text1"/>
          <w:sz w:val="24"/>
          <w:highlight w:val="none"/>
          <w:lang w:eastAsia="zh-CN"/>
          <w14:textFill>
            <w14:solidFill>
              <w14:schemeClr w14:val="tx1"/>
            </w14:solidFill>
          </w14:textFill>
        </w:rPr>
        <w:t xml:space="preserve">无锡市教育信息化和综合服务中心</w:t>
      </w:r>
      <w:r>
        <w:rPr>
          <w:rFonts w:hint="eastAsia" w:ascii="宋体" w:hAnsi="宋体"/>
          <w:color w:val="000000" w:themeColor="text1"/>
          <w:sz w:val="24"/>
          <w:highlight w:val="none"/>
          <w14:textFill>
            <w14:solidFill>
              <w14:schemeClr w14:val="tx1"/>
            </w14:solidFill>
          </w14:textFill>
        </w:rPr>
        <w:t xml:space="preserve">在任何情况下均无义务和责任承担这些费用。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4.2本次招标标书工本费、中标服务费、招标文件均免费。</w:t>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投标人一旦参加本项目采购活动，即被认为接受了本招标文件的规定和约束。</w:t>
      </w:r>
      <w:r/>
    </w:p>
    <w:p>
      <w:pPr>
        <w:pStyle w:val="898"/>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65" w:name="_Toc120614215"/>
      <w:r/>
      <w:bookmarkStart w:id="66" w:name="_Toc513029209"/>
      <w:r/>
      <w:bookmarkStart w:id="67" w:name="_Toc16938525"/>
      <w:r/>
      <w:bookmarkStart w:id="68" w:name="_Toc20823281"/>
      <w:r>
        <w:rPr>
          <w:rFonts w:hint="eastAsia"/>
          <w:color w:val="000000" w:themeColor="text1"/>
          <w:sz w:val="30"/>
          <w:szCs w:val="30"/>
          <w:highlight w:val="none"/>
          <w14:textFill>
            <w14:solidFill>
              <w14:schemeClr w14:val="tx1"/>
            </w14:solidFill>
          </w14:textFill>
        </w:rPr>
        <w:t xml:space="preserve">二、招标文件</w:t>
      </w:r>
      <w:bookmarkEnd w:id="65"/>
      <w:r/>
      <w:bookmarkEnd w:id="66"/>
      <w:r/>
      <w:bookmarkEnd w:id="67"/>
      <w:r/>
      <w:bookmarkEnd w:id="68"/>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69" w:name="_Toc20823282"/>
      <w:r/>
      <w:bookmarkStart w:id="70" w:name="_Toc513029210"/>
      <w:r/>
      <w:bookmarkStart w:id="71" w:name="_Toc16938526"/>
      <w:r>
        <w:rPr>
          <w:rFonts w:hint="eastAsia" w:ascii="宋体" w:hAnsi="宋体" w:eastAsia="宋体"/>
          <w:bCs w:val="0"/>
          <w:color w:val="000000" w:themeColor="text1"/>
          <w:highlight w:val="none"/>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6.1</w:t>
      </w:r>
      <w:r>
        <w:rPr>
          <w:rFonts w:hint="eastAsia" w:ascii="宋体" w:hAnsi="宋体"/>
          <w:color w:val="000000" w:themeColor="text1"/>
          <w:sz w:val="24"/>
          <w:highlight w:val="non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w:t>
      </w:r>
      <w:r/>
    </w:p>
    <w:p>
      <w:pPr>
        <w:ind w:firstLine="480"/>
        <w:spacing w:line="500" w:lineRule="exact"/>
        <w:rPr>
          <w:rFonts w:hint="eastAsia"/>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请仔细检查招标文件是否齐全，如有缺漏请立即与</w:t>
      </w:r>
      <w:r>
        <w:rPr>
          <w:rFonts w:hint="eastAsia" w:ascii="宋体" w:hAnsi="宋体"/>
          <w:sz w:val="24"/>
          <w:highlight w:val="none"/>
          <w:lang w:eastAsia="zh-CN"/>
        </w:rPr>
        <w:t xml:space="preserve">无锡市教育信息化和综合服务中心</w:t>
      </w:r>
      <w:r>
        <w:rPr>
          <w:rFonts w:hint="eastAsia" w:ascii="宋体" w:hAnsi="宋体"/>
          <w:color w:val="000000" w:themeColor="text1"/>
          <w:sz w:val="24"/>
          <w:highlight w:val="none"/>
          <w14:textFill>
            <w14:solidFill>
              <w14:schemeClr w14:val="tx1"/>
            </w14:solidFill>
          </w14:textFill>
        </w:rPr>
        <w:t xml:space="preserve">联系解决。</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72" w:name="_Toc16938527"/>
      <w:r/>
      <w:bookmarkStart w:id="73" w:name="_Toc20823283"/>
      <w:r/>
      <w:bookmarkStart w:id="74" w:name="_Toc513029211"/>
      <w:r/>
      <w:bookmarkStart w:id="75" w:name="_Toc462564070"/>
      <w:r>
        <w:rPr>
          <w:rFonts w:hint="eastAsia" w:ascii="宋体" w:hAnsi="宋体" w:eastAsia="宋体"/>
          <w:bCs w:val="0"/>
          <w:color w:val="000000" w:themeColor="text1"/>
          <w:highlight w:val="none"/>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sz w:val="24"/>
          <w:highlight w:val="none"/>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以书面形式提出。</w:t>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76" w:name="_Toc20823284"/>
      <w:r/>
      <w:bookmarkStart w:id="77" w:name="_Toc462564071"/>
      <w:r/>
      <w:bookmarkStart w:id="78" w:name="_Toc513029212"/>
      <w:r/>
      <w:bookmarkStart w:id="79" w:name="_Toc16938528"/>
      <w:r>
        <w:rPr>
          <w:rFonts w:hint="eastAsia" w:ascii="宋体" w:hAnsi="宋体" w:eastAsia="宋体"/>
          <w:bCs w:val="0"/>
          <w:color w:val="000000" w:themeColor="text1"/>
          <w:highlight w:val="none"/>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w:t>
      </w:r>
      <w:r>
        <w:rPr>
          <w:rFonts w:hint="eastAsia" w:ascii="宋体" w:hAnsi="宋体"/>
          <w:bCs/>
          <w:sz w:val="24"/>
          <w:szCs w:val="24"/>
          <w:highlight w:val="none"/>
          <w:lang w:eastAsia="zh-CN"/>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w:t>
      </w:r>
      <w:r>
        <w:rPr>
          <w:rFonts w:hint="eastAsia" w:ascii="宋体" w:hAnsi="宋体"/>
          <w:bCs/>
          <w:color w:val="000000" w:themeColor="text1"/>
          <w:sz w:val="24"/>
          <w:szCs w:val="24"/>
          <w:highlight w:val="none"/>
          <w14:textFill>
            <w14:solidFill>
              <w14:schemeClr w14:val="tx1"/>
            </w14:solidFill>
          </w14:textFill>
        </w:rPr>
        <w:t xml:space="preserve">如需对招标文件进行澄清或修改，</w:t>
      </w:r>
      <w:r>
        <w:rPr>
          <w:rFonts w:hint="eastAsia" w:ascii="宋体" w:hAnsi="宋体"/>
          <w:bCs/>
          <w:sz w:val="24"/>
          <w:szCs w:val="24"/>
          <w:highlight w:val="none"/>
          <w:lang w:eastAsia="zh-CN"/>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或未</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898"/>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80" w:name="_Toc16938529"/>
      <w:r/>
      <w:bookmarkStart w:id="81" w:name="_Toc20823285"/>
      <w:r/>
      <w:bookmarkStart w:id="82" w:name="_Toc462564072"/>
      <w:r/>
      <w:bookmarkStart w:id="83" w:name="_Toc120614216"/>
      <w:r/>
      <w:bookmarkStart w:id="84" w:name="_Toc513029213"/>
      <w:r>
        <w:rPr>
          <w:rFonts w:hint="eastAsia"/>
          <w:color w:val="000000" w:themeColor="text1"/>
          <w:sz w:val="30"/>
          <w:szCs w:val="30"/>
          <w:highlight w:val="none"/>
          <w14:textFill>
            <w14:solidFill>
              <w14:schemeClr w14:val="tx1"/>
            </w14:solidFill>
          </w14:textFill>
        </w:rPr>
        <w:t xml:space="preserve">三、投标文件的编制</w:t>
      </w:r>
      <w:bookmarkEnd w:id="80"/>
      <w:r/>
      <w:bookmarkEnd w:id="81"/>
      <w:r/>
      <w:bookmarkEnd w:id="82"/>
      <w:r/>
      <w:bookmarkEnd w:id="83"/>
      <w:r/>
      <w:bookmarkEnd w:id="84"/>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85" w:name="_Toc513029214"/>
      <w:r/>
      <w:bookmarkStart w:id="86" w:name="_Toc20823286"/>
      <w:r/>
      <w:bookmarkStart w:id="87" w:name="_Toc462564073"/>
      <w:r/>
      <w:bookmarkStart w:id="88" w:name="_Toc16938530"/>
      <w:r>
        <w:rPr>
          <w:rFonts w:hint="eastAsia" w:ascii="宋体" w:hAnsi="宋体" w:eastAsia="宋体"/>
          <w:bCs w:val="0"/>
          <w:color w:val="000000" w:themeColor="text1"/>
          <w:highlight w:val="none"/>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9.1</w:t>
      </w:r>
      <w:r>
        <w:rPr>
          <w:rFonts w:hint="eastAsia" w:ascii="宋体" w:hAnsi="宋体"/>
          <w:color w:val="000000" w:themeColor="text1"/>
          <w:sz w:val="24"/>
          <w:highlight w:val="none"/>
          <w14:textFill>
            <w14:solidFill>
              <w14:schemeClr w14:val="tx1"/>
            </w14:solidFill>
          </w14:textFill>
        </w:rPr>
        <w:t xml:space="preserve">投标人提交的投标文件以及投标人与</w:t>
      </w:r>
      <w:r>
        <w:rPr>
          <w:rFonts w:hint="eastAsia" w:ascii="宋体" w:hAnsi="宋体"/>
          <w:sz w:val="24"/>
          <w:highlight w:val="none"/>
          <w:lang w:eastAsia="zh-CN"/>
        </w:rPr>
        <w:t xml:space="preserve">无锡市教育信息化和综合服务中心</w:t>
      </w:r>
      <w:r>
        <w:rPr>
          <w:rFonts w:hint="eastAsia" w:ascii="宋体" w:hAnsi="宋体"/>
          <w:color w:val="000000" w:themeColor="text1"/>
          <w:sz w:val="24"/>
          <w:highlight w:val="none"/>
          <w14:textFill>
            <w14:solidFill>
              <w14:schemeClr w14:val="tx1"/>
            </w14:solidFill>
          </w14:textFill>
        </w:rPr>
        <w:t xml:space="preserve">就有关投标的所有来往通知、函件和文件均应使用</w:t>
      </w:r>
      <w:r>
        <w:rPr>
          <w:rFonts w:hint="eastAsia" w:ascii="宋体" w:hAnsi="宋体"/>
          <w:bCs/>
          <w:color w:val="000000" w:themeColor="text1"/>
          <w:sz w:val="24"/>
          <w:highlight w:val="none"/>
          <w14:textFill>
            <w14:solidFill>
              <w14:schemeClr w14:val="tx1"/>
            </w14:solidFill>
          </w14:textFill>
        </w:rPr>
        <w:t xml:space="preserve">简体中文</w:t>
      </w:r>
      <w:r>
        <w:rPr>
          <w:rFonts w:hint="eastAsia" w:ascii="宋体" w:hAnsi="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color w:val="000000" w:themeColor="text1"/>
          <w:sz w:val="24"/>
          <w:highlight w:val="non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9.2</w:t>
      </w:r>
      <w:r>
        <w:rPr>
          <w:rFonts w:hint="eastAsia" w:ascii="宋体" w:hAnsi="宋体"/>
          <w:color w:val="000000" w:themeColor="text1"/>
          <w:sz w:val="24"/>
          <w:highlight w:val="none"/>
          <w14:textFill>
            <w14:solidFill>
              <w14:schemeClr w14:val="tx1"/>
            </w14:solidFill>
          </w14:textFill>
        </w:rPr>
        <w:t xml:space="preserve">除技术性能另有规定外，投标文件所使用的度量衡单位，均须采用国家法定计量单位。</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w:t>
      </w:r>
      <w:r>
        <w:rPr>
          <w:rFonts w:hint="eastAsia" w:ascii="宋体" w:hAnsi="宋体"/>
          <w:bCs/>
          <w:color w:val="auto"/>
          <w:sz w:val="24"/>
          <w:szCs w:val="24"/>
          <w:highlight w:val="none"/>
          <w:lang w:eastAsia="zh-CN"/>
        </w:rPr>
        <w:t xml:space="preserve">页面</w:t>
      </w:r>
      <w:r>
        <w:rPr>
          <w:rFonts w:hint="eastAsia" w:ascii="宋体" w:hAnsi="宋体"/>
          <w:bCs/>
          <w:color w:val="auto"/>
          <w:sz w:val="24"/>
          <w:szCs w:val="24"/>
          <w:highlight w:val="none"/>
        </w:rPr>
        <w:t xml:space="preserve">，在评审过程中，评审专家如因在相对应页面找不到该相关联的文件，由此产生的后果由投标人自行承担。</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9.7投标费用自理。</w:t>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89" w:name="_Toc462564074"/>
      <w:r/>
      <w:bookmarkStart w:id="90" w:name="_Toc513029215"/>
      <w:r/>
      <w:bookmarkStart w:id="91" w:name="_Toc20823287"/>
      <w:r/>
      <w:bookmarkStart w:id="92" w:name="_Toc16938531"/>
      <w:r>
        <w:rPr>
          <w:rFonts w:hint="eastAsia" w:ascii="宋体" w:hAnsi="宋体" w:eastAsia="宋体"/>
          <w:bCs w:val="0"/>
          <w:color w:val="000000" w:themeColor="text1"/>
          <w:highlight w:val="none"/>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10.3如标书制作工具中格式和内容与招标文件不一致的，请以招标文件为准。</w:t>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93" w:name="_Hlt26954838"/>
      <w:r/>
      <w:bookmarkEnd w:id="93"/>
      <w:r/>
      <w:bookmarkStart w:id="94" w:name="_Hlt26668975"/>
      <w:r/>
      <w:bookmarkEnd w:id="94"/>
      <w:r/>
      <w:bookmarkStart w:id="95" w:name="_Hlt26670360"/>
      <w:r/>
      <w:bookmarkEnd w:id="95"/>
      <w:r/>
      <w:bookmarkStart w:id="96" w:name="_Toc14577357"/>
      <w:r/>
      <w:bookmarkStart w:id="97" w:name="_Toc513029219"/>
      <w:r/>
      <w:bookmarkStart w:id="98" w:name="_Toc49090509"/>
      <w:r/>
      <w:bookmarkStart w:id="99" w:name="_Toc49090507"/>
      <w:r/>
      <w:bookmarkStart w:id="100" w:name="_Toc14577354"/>
      <w:r/>
      <w:bookmarkStart w:id="101" w:name="_Toc513029216"/>
      <w:r>
        <w:rPr>
          <w:rFonts w:hint="eastAsia" w:ascii="宋体" w:hAnsi="宋体" w:eastAsia="宋体"/>
          <w:bCs w:val="0"/>
          <w:color w:val="000000" w:themeColor="text1"/>
          <w:highlight w:val="none"/>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bookmarkStart w:id="102" w:name="_Toc49090508"/>
      <w:r/>
      <w:bookmarkStart w:id="103" w:name="_Toc14577355"/>
      <w:r>
        <w:rPr>
          <w:rFonts w:hint="eastAsia" w:ascii="宋体" w:hAnsi="宋体"/>
          <w:bCs/>
          <w:color w:val="000000" w:themeColor="text1"/>
          <w:sz w:val="24"/>
          <w:highlight w:val="none"/>
          <w14:textFill>
            <w14:solidFill>
              <w14:schemeClr w14:val="tx1"/>
            </w14:solidFill>
          </w14:textFill>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04" w:name="_Toc14577359"/>
      <w:r/>
      <w:bookmarkStart w:id="105" w:name="_Toc49090510"/>
      <w:r>
        <w:rPr>
          <w:rFonts w:hint="eastAsia" w:ascii="宋体" w:hAnsi="宋体" w:eastAsia="宋体"/>
          <w:bCs w:val="0"/>
          <w:color w:val="000000" w:themeColor="text1"/>
          <w:highlight w:val="none"/>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12.1</w:t>
      </w:r>
      <w:r>
        <w:rPr>
          <w:rFonts w:hint="eastAsia" w:ascii="宋体" w:hAnsi="宋体"/>
          <w:color w:val="000000" w:themeColor="text1"/>
          <w:sz w:val="24"/>
          <w:highlight w:val="none"/>
          <w14:textFill>
            <w14:solidFill>
              <w14:schemeClr w14:val="tx1"/>
            </w14:solidFill>
          </w14:textFill>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901"/>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none"/>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13.1</w:t>
      </w:r>
      <w:r>
        <w:rPr>
          <w:rFonts w:hint="eastAsia" w:ascii="宋体" w:hAnsi="宋体"/>
          <w:color w:val="000000" w:themeColor="text1"/>
          <w:sz w:val="24"/>
          <w:highlight w:val="non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non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none"/>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13.2</w:t>
      </w:r>
      <w:r>
        <w:rPr>
          <w:rFonts w:hint="eastAsia" w:ascii="宋体" w:hAnsi="宋体"/>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 xml:space="preserve">招标文件中另有规定的按规定执行。</w:t>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08" w:name="_Hlt26954846"/>
      <w:r/>
      <w:bookmarkEnd w:id="108"/>
      <w:r/>
      <w:bookmarkStart w:id="109" w:name="_Hlt26954848"/>
      <w:r/>
      <w:bookmarkEnd w:id="109"/>
      <w:r/>
      <w:bookmarkStart w:id="110" w:name="_Hlt26670403"/>
      <w:r/>
      <w:bookmarkEnd w:id="110"/>
      <w:r/>
      <w:bookmarkStart w:id="111" w:name="_Hlt26954731"/>
      <w:r/>
      <w:bookmarkEnd w:id="111"/>
      <w:r/>
      <w:bookmarkStart w:id="112" w:name="_Hlt26670486"/>
      <w:r/>
      <w:bookmarkEnd w:id="112"/>
      <w:r/>
      <w:bookmarkStart w:id="113" w:name="_Hlt26954842"/>
      <w:r/>
      <w:bookmarkEnd w:id="113"/>
      <w:r/>
      <w:bookmarkStart w:id="114" w:name="_Hlt26954844"/>
      <w:r/>
      <w:bookmarkEnd w:id="114"/>
      <w:r/>
      <w:bookmarkStart w:id="115" w:name="_Hlt26670482"/>
      <w:r/>
      <w:bookmarkEnd w:id="115"/>
      <w:r/>
      <w:bookmarkStart w:id="116" w:name="_Hlt26668983"/>
      <w:r/>
      <w:bookmarkEnd w:id="116"/>
      <w:r/>
      <w:bookmarkStart w:id="117" w:name="_Hlt26670425"/>
      <w:r/>
      <w:bookmarkEnd w:id="117"/>
      <w:r>
        <w:rPr>
          <w:rFonts w:hint="eastAsia" w:ascii="宋体" w:hAnsi="宋体" w:eastAsia="宋体"/>
          <w:bCs w:val="0"/>
          <w:color w:val="000000" w:themeColor="text1"/>
          <w:highlight w:val="none"/>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none"/>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 xml:space="preserve">14</w:t>
      </w:r>
      <w:r>
        <w:rPr>
          <w:rFonts w:hint="eastAsia" w:ascii="宋体" w:hAnsi="Arial" w:cs="宋体"/>
          <w:color w:val="000000" w:themeColor="text1"/>
          <w:sz w:val="24"/>
          <w:highlight w:val="none"/>
          <w:lang w:val="zh-CN"/>
          <w14:textFill>
            <w14:solidFill>
              <w14:schemeClr w14:val="tx1"/>
            </w14:solidFill>
          </w14:textFill>
        </w:rPr>
        <w:t xml:space="preserve">.</w:t>
      </w:r>
      <w:r>
        <w:rPr>
          <w:rFonts w:hint="eastAsia" w:ascii="宋体" w:hAnsi="Arial" w:cs="宋体"/>
          <w:color w:val="000000" w:themeColor="text1"/>
          <w:sz w:val="24"/>
          <w:highlight w:val="none"/>
          <w14:textFill>
            <w14:solidFill>
              <w14:schemeClr w14:val="tx1"/>
            </w14:solidFill>
          </w14:textFill>
        </w:rPr>
        <w:t xml:space="preserve">1</w:t>
      </w:r>
      <w:r>
        <w:rPr>
          <w:rFonts w:hint="eastAsia" w:ascii="宋体" w:hAnsi="Arial" w:cs="宋体"/>
          <w:color w:val="000000" w:themeColor="text1"/>
          <w:sz w:val="24"/>
          <w:highlight w:val="none"/>
          <w:lang w:val="zh-CN"/>
          <w14:textFill>
            <w14:solidFill>
              <w14:schemeClr w14:val="tx1"/>
            </w14:solidFill>
          </w14:textFill>
        </w:rPr>
        <w:t xml:space="preserve">投标人可在投标文件中提供认为需要的其他技术文件或说明。</w:t>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ascii="宋体" w:hAnsi="宋体" w:eastAsia="宋体"/>
          <w:bCs w:val="0"/>
          <w:color w:val="000000" w:themeColor="text1"/>
          <w:highlight w:val="none"/>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w:t>
      </w:r>
      <w:r>
        <w:rPr>
          <w:rFonts w:hint="eastAsia" w:ascii="宋体" w:hAnsi="宋体"/>
          <w:bCs/>
          <w:color w:val="000000" w:themeColor="text1"/>
          <w:sz w:val="24"/>
          <w:highlight w:val="none"/>
          <w14:textFill>
            <w14:solidFill>
              <w14:schemeClr w14:val="tx1"/>
            </w14:solidFill>
          </w14:textFill>
        </w:rPr>
        <w:t xml:space="preserve">投标有效期为招标文件规定的开标之日后</w:t>
      </w:r>
      <w:r>
        <w:rPr>
          <w:rFonts w:hint="eastAsia" w:ascii="宋体" w:hAnsi="宋体"/>
          <w:color w:val="000000" w:themeColor="text1"/>
          <w:sz w:val="24"/>
          <w:highlight w:val="none"/>
          <w14:textFill>
            <w14:solidFill>
              <w14:schemeClr w14:val="tx1"/>
            </w14:solidFill>
          </w14:textFill>
        </w:rPr>
        <w:t xml:space="preserve">九十（90）天</w:t>
      </w:r>
      <w:r>
        <w:rPr>
          <w:rFonts w:hint="eastAsia" w:ascii="宋体" w:hAnsi="宋体"/>
          <w:bCs/>
          <w:color w:val="000000" w:themeColor="text1"/>
          <w:sz w:val="24"/>
          <w:highlight w:val="none"/>
          <w14:textFill>
            <w14:solidFill>
              <w14:schemeClr w14:val="tx1"/>
            </w14:solidFill>
          </w14:textFill>
        </w:rPr>
        <w:t xml:space="preserve">。投标有效期比规定短的将被视为未实质性响应招标</w:t>
      </w:r>
      <w:r>
        <w:rPr>
          <w:rFonts w:ascii="宋体" w:hAnsi="宋体"/>
          <w:bCs/>
          <w:color w:val="000000" w:themeColor="text1"/>
          <w:sz w:val="24"/>
          <w:highlight w:val="none"/>
          <w14:textFill>
            <w14:solidFill>
              <w14:schemeClr w14:val="tx1"/>
            </w14:solidFill>
          </w14:textFill>
        </w:rPr>
        <w:t xml:space="preserve">文件</w:t>
      </w:r>
      <w:r>
        <w:rPr>
          <w:rFonts w:hint="eastAsia" w:ascii="宋体" w:hAnsi="宋体"/>
          <w:bCs/>
          <w:color w:val="000000" w:themeColor="text1"/>
          <w:sz w:val="24"/>
          <w:highlight w:val="none"/>
          <w14:textFill>
            <w14:solidFill>
              <w14:schemeClr w14:val="tx1"/>
            </w14:solidFill>
          </w14:textFill>
        </w:rPr>
        <w:t xml:space="preserve">而予以拒绝。</w:t>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w:t>
      </w:r>
      <w:r>
        <w:rPr>
          <w:rFonts w:hint="eastAsia" w:ascii="宋体" w:hAnsi="宋体"/>
          <w:bCs/>
          <w:color w:val="000000" w:themeColor="text1"/>
          <w:sz w:val="24"/>
          <w:highlight w:val="none"/>
          <w14:textFill>
            <w14:solidFill>
              <w14:schemeClr w14:val="tx1"/>
            </w14:solidFill>
          </w14:textFill>
        </w:rPr>
        <w:t xml:space="preserve">在特殊情况下，</w:t>
      </w:r>
      <w:r>
        <w:rPr>
          <w:rFonts w:hint="eastAsia" w:ascii="宋体" w:hAnsi="宋体"/>
          <w:bCs/>
          <w:sz w:val="24"/>
          <w:highlight w:val="none"/>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bCs/>
          <w:sz w:val="24"/>
          <w:highlight w:val="none"/>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的这一要求而放弃投标</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 xml:space="preserve">。</w:t>
      </w:r>
      <w:r/>
    </w:p>
    <w:p>
      <w:pPr>
        <w:pStyle w:val="898"/>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23" w:name="_Hlt26954852"/>
      <w:r/>
      <w:bookmarkEnd w:id="123"/>
      <w:r/>
      <w:bookmarkStart w:id="124" w:name="_Hlt26954739"/>
      <w:r/>
      <w:bookmarkEnd w:id="124"/>
      <w:r/>
      <w:bookmarkStart w:id="125" w:name="_Toc16938540"/>
      <w:r/>
      <w:bookmarkStart w:id="126" w:name="_Toc20823296"/>
      <w:r/>
      <w:bookmarkStart w:id="127" w:name="_Toc513029224"/>
      <w:r/>
      <w:bookmarkStart w:id="128" w:name="_Toc120614217"/>
      <w:r>
        <w:rPr>
          <w:rFonts w:hint="eastAsia"/>
          <w:color w:val="000000" w:themeColor="text1"/>
          <w:sz w:val="30"/>
          <w:szCs w:val="30"/>
          <w:highlight w:val="none"/>
          <w14:textFill>
            <w14:solidFill>
              <w14:schemeClr w14:val="tx1"/>
            </w14:solidFill>
          </w14:textFill>
        </w:rPr>
        <w:t xml:space="preserve">四、投标文件的递交</w:t>
      </w:r>
      <w:bookmarkEnd w:id="125"/>
      <w:r/>
      <w:bookmarkEnd w:id="126"/>
      <w:r/>
      <w:bookmarkEnd w:id="127"/>
      <w:r/>
      <w:bookmarkEnd w:id="128"/>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29" w:name="_Toc513029225"/>
      <w:r/>
      <w:bookmarkStart w:id="130" w:name="_Toc20823297"/>
      <w:r/>
      <w:bookmarkStart w:id="131" w:name="_Toc16938541"/>
      <w:r/>
      <w:bookmarkStart w:id="132" w:name="_Toc462564084"/>
      <w:r>
        <w:rPr>
          <w:rFonts w:hint="eastAsia" w:ascii="宋体" w:hAnsi="宋体" w:eastAsia="宋体"/>
          <w:bCs w:val="0"/>
          <w:color w:val="000000" w:themeColor="text1"/>
          <w:highlight w:val="none"/>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none"/>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w:t>
      </w:r>
      <w:r>
        <w:rPr>
          <w:rFonts w:hint="eastAsia" w:ascii="宋体" w:hAnsi="宋体"/>
          <w:bCs/>
          <w:color w:val="000000" w:themeColor="text1"/>
          <w:sz w:val="24"/>
          <w:highlight w:val="none"/>
          <w14:textFill>
            <w14:solidFill>
              <w14:schemeClr w14:val="tx1"/>
            </w14:solidFill>
          </w14:textFill>
        </w:rPr>
        <w:t xml:space="preserve">电子投标文件的递交</w:t>
      </w:r>
      <w:r/>
    </w:p>
    <w:p>
      <w:pPr>
        <w:pStyle w:val="902"/>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投标人应当按照《操作手册》规定，在投标截止时间前</w:t>
      </w:r>
      <w:r>
        <w:rPr>
          <w:rFonts w:ascii="宋体" w:hAnsi="宋体"/>
          <w:bCs/>
          <w:color w:val="000000" w:themeColor="text1"/>
          <w:sz w:val="24"/>
          <w:highlight w:val="none"/>
          <w14:textFill>
            <w14:solidFill>
              <w14:schemeClr w14:val="tx1"/>
            </w14:solidFill>
          </w14:textFill>
        </w:rPr>
        <w:t xml:space="preserve">制作</w:t>
      </w:r>
      <w:r>
        <w:rPr>
          <w:rFonts w:hint="eastAsia" w:ascii="宋体" w:hAnsi="宋体"/>
          <w:bCs/>
          <w:color w:val="000000" w:themeColor="text1"/>
          <w:sz w:val="24"/>
          <w:highlight w:val="none"/>
          <w14:textFill>
            <w14:solidFill>
              <w14:schemeClr w14:val="tx1"/>
            </w14:solidFill>
          </w14:textFill>
        </w:rPr>
        <w:t xml:space="preserve">并上传电子投标文件。</w:t>
      </w:r>
      <w:bookmarkStart w:id="133" w:name="_Toc20823298"/>
      <w:r/>
      <w:bookmarkStart w:id="134" w:name="_Toc513029226"/>
      <w:r/>
      <w:bookmarkStart w:id="135" w:name="_Toc16938542"/>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none"/>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18.1</w:t>
      </w:r>
      <w:r>
        <w:rPr>
          <w:rFonts w:hint="eastAsia" w:ascii="宋体" w:hAnsi="宋体"/>
          <w:bCs/>
          <w:color w:val="000000" w:themeColor="text1"/>
          <w:sz w:val="24"/>
          <w:highlight w:val="non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18.2</w:t>
      </w:r>
      <w:r>
        <w:rPr>
          <w:rFonts w:hint="eastAsia" w:ascii="宋体" w:hAnsi="宋体"/>
          <w:bCs/>
          <w:sz w:val="24"/>
          <w:highlight w:val="none"/>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可以按照规定，通过更正公告修改投标截止时间，投标人的所有权利和义务以及投标人受制的截止时间均应以延长后新的截止时间为准。</w:t>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36" w:name="_Toc513029227"/>
      <w:r/>
      <w:bookmarkStart w:id="137" w:name="_Toc16938543"/>
      <w:r/>
      <w:bookmarkStart w:id="138" w:name="_Toc20823299"/>
      <w:r>
        <w:rPr>
          <w:rFonts w:hint="eastAsia" w:ascii="宋体" w:hAnsi="宋体" w:eastAsia="宋体"/>
          <w:bCs w:val="0"/>
          <w:color w:val="000000" w:themeColor="text1"/>
          <w:highlight w:val="none"/>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none"/>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19.1</w:t>
      </w:r>
      <w:r>
        <w:rPr>
          <w:rFonts w:hint="eastAsia" w:ascii="宋体" w:hAnsi="宋体"/>
          <w:bCs/>
          <w:sz w:val="24"/>
          <w:highlight w:val="none"/>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拒绝接收在其规定的投标截止时间后上传的任何投标文件。</w:t>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39" w:name="_Toc20823300"/>
      <w:r/>
      <w:bookmarkStart w:id="140" w:name="_Toc513029228"/>
      <w:r/>
      <w:bookmarkStart w:id="141" w:name="_Toc16938544"/>
      <w:r>
        <w:rPr>
          <w:rFonts w:hint="eastAsia" w:ascii="宋体" w:hAnsi="宋体" w:eastAsia="宋体"/>
          <w:bCs w:val="0"/>
          <w:color w:val="000000" w:themeColor="text1"/>
          <w:highlight w:val="none"/>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20.3</w:t>
      </w:r>
      <w:r>
        <w:rPr>
          <w:rFonts w:hint="eastAsia" w:ascii="宋体" w:hAnsi="宋体"/>
          <w:bCs/>
          <w:color w:val="000000" w:themeColor="text1"/>
          <w:sz w:val="24"/>
          <w:highlight w:val="none"/>
          <w14:textFill>
            <w14:solidFill>
              <w14:schemeClr w14:val="tx1"/>
            </w14:solidFill>
          </w14:textFill>
        </w:rPr>
        <w:t xml:space="preserve">在投标截止时间至招标文件中规定的投标有效期满之间的这段时间内，投标人不得撤回其投标。</w:t>
      </w:r>
      <w:r/>
    </w:p>
    <w:p>
      <w:pPr>
        <w:pStyle w:val="898"/>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42" w:name="_Toc513029229"/>
      <w:r/>
      <w:bookmarkStart w:id="143" w:name="_Toc20823301"/>
      <w:r/>
      <w:bookmarkStart w:id="144" w:name="_Toc16938545"/>
      <w:r/>
      <w:bookmarkStart w:id="145" w:name="_Toc120614218"/>
      <w:r>
        <w:rPr>
          <w:rFonts w:hint="eastAsia"/>
          <w:color w:val="000000" w:themeColor="text1"/>
          <w:sz w:val="30"/>
          <w:szCs w:val="30"/>
          <w:highlight w:val="none"/>
          <w14:textFill>
            <w14:solidFill>
              <w14:schemeClr w14:val="tx1"/>
            </w14:solidFill>
          </w14:textFill>
        </w:rPr>
        <w:t xml:space="preserve">五、开标与评标</w:t>
      </w:r>
      <w:bookmarkEnd w:id="142"/>
      <w:r/>
      <w:bookmarkEnd w:id="143"/>
      <w:r/>
      <w:bookmarkEnd w:id="144"/>
      <w:r/>
      <w:bookmarkEnd w:id="145"/>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46" w:name="_Toc20823302"/>
      <w:r/>
      <w:bookmarkStart w:id="147" w:name="_Toc513029230"/>
      <w:r/>
      <w:bookmarkStart w:id="148" w:name="_Toc16938546"/>
      <w:r>
        <w:rPr>
          <w:rFonts w:hint="eastAsia" w:ascii="宋体" w:hAnsi="宋体" w:eastAsia="宋体"/>
          <w:bCs w:val="0"/>
          <w:color w:val="000000" w:themeColor="text1"/>
          <w:highlight w:val="none"/>
          <w14:textFill>
            <w14:solidFill>
              <w14:schemeClr w14:val="tx1"/>
            </w14:solidFill>
          </w14:textFill>
        </w:rPr>
        <w:t xml:space="preserve">21.开标</w:t>
      </w:r>
      <w:bookmarkEnd w:id="146"/>
      <w:r/>
      <w:bookmarkEnd w:id="147"/>
      <w:r/>
      <w:bookmarkEnd w:id="148"/>
      <w:r/>
      <w:r/>
    </w:p>
    <w:p>
      <w:pPr>
        <w:ind w:firstLine="480"/>
        <w:spacing w:line="500" w:lineRule="exact"/>
        <w:rPr>
          <w:rFonts w:hint="eastAsia"/>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w:t>
      </w:r>
      <w:r>
        <w:rPr>
          <w:rFonts w:hint="eastAsia" w:ascii="宋体" w:hAnsi="宋体"/>
          <w:bCs/>
          <w:sz w:val="24"/>
          <w:highlight w:val="none"/>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21.2开标仪式由</w:t>
      </w:r>
      <w:r>
        <w:rPr>
          <w:rFonts w:hint="eastAsia" w:ascii="宋体" w:hAnsi="宋体"/>
          <w:sz w:val="24"/>
          <w:highlight w:val="none"/>
          <w:lang w:eastAsia="zh-CN"/>
        </w:rPr>
        <w:t xml:space="preserve">无锡市教育信息化和综合服务中心</w:t>
      </w:r>
      <w:r>
        <w:rPr>
          <w:rFonts w:hint="eastAsia" w:ascii="宋体" w:hAnsi="宋体"/>
          <w:color w:val="000000" w:themeColor="text1"/>
          <w:sz w:val="24"/>
          <w:highlight w:val="none"/>
          <w14:textFill>
            <w14:solidFill>
              <w14:schemeClr w14:val="tx1"/>
            </w14:solidFill>
          </w14:textFill>
        </w:rPr>
        <w:t xml:space="preserve">组织。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将自动对</w:t>
      </w:r>
      <w:r>
        <w:rPr>
          <w:rFonts w:ascii="宋体" w:hAnsi="宋体"/>
          <w:color w:val="000000" w:themeColor="text1"/>
          <w:sz w:val="24"/>
          <w:highlight w:val="none"/>
          <w14:textFill>
            <w14:solidFill>
              <w14:schemeClr w14:val="tx1"/>
            </w14:solidFill>
          </w14:textFill>
        </w:rPr>
        <w:t xml:space="preserve">项目进行开标，并</w:t>
      </w:r>
      <w:r>
        <w:rPr>
          <w:rFonts w:hint="eastAsia" w:ascii="宋体" w:hAnsi="宋体"/>
          <w:color w:val="000000" w:themeColor="text1"/>
          <w:sz w:val="24"/>
          <w:highlight w:val="none"/>
          <w14:textFill>
            <w14:solidFill>
              <w14:schemeClr w14:val="tx1"/>
            </w14:solidFill>
          </w14:textFill>
        </w:rPr>
        <w:t xml:space="preserve">宣布各</w:t>
      </w:r>
      <w:r>
        <w:rPr>
          <w:rFonts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中《开标记录表》宣布后5分钟内未提出的，视同认可开标结果。</w:t>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49" w:name="_Toc16938547"/>
      <w:r/>
      <w:bookmarkStart w:id="150" w:name="_Toc20823303"/>
      <w:r/>
      <w:bookmarkStart w:id="151" w:name="_Toc513029231"/>
      <w:r>
        <w:rPr>
          <w:rFonts w:hint="eastAsia" w:ascii="宋体" w:hAnsi="宋体" w:eastAsia="宋体"/>
          <w:bCs w:val="0"/>
          <w:color w:val="000000" w:themeColor="text1"/>
          <w:highlight w:val="none"/>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22.1开标后，</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将立即组织评标委员会（以下简称评委会）进行评标。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22.3评委会独立工作，负责对招标</w:t>
      </w:r>
      <w:r>
        <w:rPr>
          <w:rFonts w:hint="eastAsia" w:ascii="宋体" w:hAnsi="宋体"/>
          <w:color w:val="000000" w:themeColor="text1"/>
          <w:sz w:val="24"/>
          <w:highlight w:val="none"/>
          <w14:textFill>
            <w14:solidFill>
              <w14:schemeClr w14:val="tx1"/>
            </w14:solidFill>
          </w14:textFill>
        </w:rPr>
        <w:t xml:space="preserve">文件进行审核，确认其不存在歧视性、排他性等不合理条款后，开始</w:t>
      </w:r>
      <w:r>
        <w:rPr>
          <w:rFonts w:hint="eastAsia" w:ascii="宋体" w:hAnsi="宋体"/>
          <w:color w:val="000000" w:themeColor="text1"/>
          <w:sz w:val="24"/>
          <w:szCs w:val="24"/>
          <w:highlight w:val="none"/>
          <w14:textFill>
            <w14:solidFill>
              <w14:schemeClr w14:val="tx1"/>
            </w14:solidFill>
          </w14:textFill>
        </w:rPr>
        <w:t xml:space="preserve">负责评审所有投标文件并确定中标候选人。</w:t>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w:t>
      </w:r>
      <w:r>
        <w:rPr>
          <w:rFonts w:hint="eastAsia" w:ascii="宋体" w:hAnsi="宋体"/>
          <w:bCs/>
          <w:color w:val="000000" w:themeColor="text1"/>
          <w:sz w:val="24"/>
          <w:highlight w:val="none"/>
          <w14:textFill>
            <w14:solidFill>
              <w14:schemeClr w14:val="tx1"/>
            </w14:solidFill>
          </w14:textFill>
        </w:rPr>
        <w:t xml:space="preserve">凡是与审查、澄清、评价和比较投标的有关资料以及授标建议等，采购人、评委、</w:t>
      </w:r>
      <w:r>
        <w:rPr>
          <w:rFonts w:hint="eastAsia" w:ascii="宋体" w:hAnsi="宋体"/>
          <w:bCs/>
          <w:sz w:val="24"/>
          <w:highlight w:val="none"/>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均不得向投标人或与评标无关的其他人员透露。</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查看自己的评审得分及排序情况。</w:t>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52" w:name="_Toc20823304"/>
      <w:r/>
      <w:bookmarkStart w:id="153" w:name="_Toc16938548"/>
      <w:r/>
      <w:bookmarkStart w:id="154" w:name="_Toc513029232"/>
      <w:r>
        <w:rPr>
          <w:rFonts w:hint="eastAsia" w:ascii="宋体" w:hAnsi="宋体" w:eastAsia="宋体"/>
          <w:bCs w:val="0"/>
          <w:color w:val="000000" w:themeColor="text1"/>
          <w:highlight w:val="none"/>
          <w14:textFill>
            <w14:solidFill>
              <w14:schemeClr w14:val="tx1"/>
            </w14:solidFill>
          </w14:textFill>
        </w:rPr>
        <w:t xml:space="preserve">24.投标文件的澄清</w:t>
      </w:r>
      <w:bookmarkEnd w:id="152"/>
      <w:r/>
      <w:bookmarkEnd w:id="153"/>
      <w:r/>
      <w:bookmarkEnd w:id="154"/>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24.3接到评委会澄清、说明和补正要求的投标人如未按规定及时做出澄清、说明和补正，其风险由投标人自行承担。</w:t>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55" w:name="_Toc16938549"/>
      <w:r/>
      <w:bookmarkStart w:id="156" w:name="_Toc513029233"/>
      <w:r/>
      <w:bookmarkStart w:id="157" w:name="_Toc20823305"/>
      <w:r>
        <w:rPr>
          <w:rFonts w:hint="eastAsia" w:ascii="宋体" w:hAnsi="宋体" w:eastAsia="宋体"/>
          <w:bCs w:val="0"/>
          <w:color w:val="000000" w:themeColor="text1"/>
          <w:highlight w:val="none"/>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w:t>
      </w:r>
      <w:r>
        <w:rPr>
          <w:rFonts w:hint="eastAsia" w:ascii="宋体" w:hAnsi="宋体"/>
          <w:bCs/>
          <w:color w:val="000000" w:themeColor="text1"/>
          <w:sz w:val="24"/>
          <w:highlight w:val="non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25.1.1资格审查：依据法律法规和招标文件的规定，由采购人</w:t>
      </w:r>
      <w:r>
        <w:rPr>
          <w:rFonts w:hint="eastAsia" w:ascii="宋体" w:hAnsi="宋体"/>
          <w:bCs/>
          <w:sz w:val="24"/>
          <w:highlight w:val="none"/>
        </w:rPr>
        <w:t xml:space="preserve">或采购代理机构</w:t>
      </w:r>
      <w:r>
        <w:rPr>
          <w:rFonts w:hint="eastAsia" w:ascii="宋体" w:hAnsi="宋体"/>
          <w:bCs/>
          <w:color w:val="000000" w:themeColor="text1"/>
          <w:sz w:val="24"/>
          <w:highlight w:val="none"/>
          <w14:textFill>
            <w14:solidFill>
              <w14:schemeClr w14:val="tx1"/>
            </w14:solidFill>
          </w14:textFill>
        </w:rPr>
        <w:t xml:space="preserve">对投标文件中的资格证明文件进行审查。</w:t>
      </w:r>
      <w:r/>
    </w:p>
    <w:p>
      <w:pPr>
        <w:ind w:firstLine="480"/>
        <w:spacing w:line="5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w:t>
      </w:r>
      <w:r>
        <w:rPr>
          <w:rFonts w:hint="eastAsia" w:ascii="宋体" w:hAnsi="宋体"/>
          <w:bCs/>
          <w:sz w:val="24"/>
          <w:highlight w:val="none"/>
        </w:rPr>
        <w:t xml:space="preserve">或采购代理机构</w:t>
      </w:r>
      <w:r>
        <w:rPr>
          <w:rFonts w:hint="eastAsia" w:ascii="宋体" w:hAnsi="宋体" w:cs="宋体"/>
          <w:bCs/>
          <w:color w:val="000000" w:themeColor="text1"/>
          <w:sz w:val="24"/>
          <w:highlight w:val="none"/>
          <w14:textFill>
            <w14:solidFill>
              <w14:schemeClr w14:val="tx1"/>
            </w14:solidFill>
          </w14:textFill>
        </w:rPr>
        <w:t xml:space="preserve">在进行资格审查的同时，将</w:t>
      </w:r>
      <w:r>
        <w:rPr>
          <w:rFonts w:hint="eastAsia" w:ascii="宋体" w:hAnsi="宋体" w:cs="宋体"/>
          <w:bCs/>
          <w:color w:val="000000" w:themeColor="text1"/>
          <w:sz w:val="24"/>
          <w:szCs w:val="24"/>
          <w:highlight w:val="none"/>
          <w14:textFill>
            <w14:solidFill>
              <w14:schemeClr w14:val="tx1"/>
            </w14:solidFill>
          </w14:textFill>
        </w:rPr>
        <w:t xml:space="preserve">通过“信用中国”网站（</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HYPERLINK "http://www.creditchina.gov.cn"</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non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中告知未通过资格审查或符合性审查的原因，</w:t>
      </w:r>
      <w:r>
        <w:rPr>
          <w:rFonts w:ascii="宋体" w:hAnsi="宋体"/>
          <w:bCs/>
          <w:color w:val="000000" w:themeColor="text1"/>
          <w:sz w:val="24"/>
          <w:highlight w:val="non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none"/>
          <w14:textFill>
            <w14:solidFill>
              <w14:schemeClr w14:val="tx1"/>
            </w14:solidFill>
          </w14:textFill>
        </w:rPr>
        <w:t xml:space="preserve">符合性</w:t>
      </w:r>
      <w:r>
        <w:rPr>
          <w:rFonts w:ascii="宋体" w:hAnsi="宋体"/>
          <w:bCs/>
          <w:color w:val="000000" w:themeColor="text1"/>
          <w:sz w:val="24"/>
          <w:highlight w:val="non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w:t>
      </w:r>
      <w:r>
        <w:rPr>
          <w:rFonts w:hint="eastAsia" w:ascii="宋体" w:hAnsi="宋体"/>
          <w:sz w:val="24"/>
          <w:highlight w:val="none"/>
          <w:lang w:eastAsia="zh-CN"/>
        </w:rPr>
        <w:t xml:space="preserve">无锡市教育信息化和综合服务中心</w:t>
      </w:r>
      <w:r>
        <w:rPr>
          <w:rFonts w:hint="eastAsia" w:ascii="宋体" w:hAnsi="宋体"/>
          <w:color w:val="000000" w:themeColor="text1"/>
          <w:sz w:val="24"/>
          <w:highlight w:val="none"/>
          <w14:textFill>
            <w14:solidFill>
              <w14:schemeClr w14:val="tx1"/>
            </w14:solidFill>
          </w14:textFill>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告知</w:t>
      </w:r>
      <w:r>
        <w:rPr>
          <w:rFonts w:ascii="宋体" w:hAnsi="宋体"/>
          <w:bCs/>
          <w:color w:val="000000" w:themeColor="text1"/>
          <w:sz w:val="24"/>
          <w:highlight w:val="none"/>
          <w14:textFill>
            <w14:solidFill>
              <w14:schemeClr w14:val="tx1"/>
            </w14:solidFill>
          </w14:textFill>
        </w:rPr>
        <w:t xml:space="preserve">投标人，</w:t>
      </w:r>
      <w:r>
        <w:rPr>
          <w:rFonts w:hint="eastAsia" w:ascii="宋体" w:hAnsi="宋体"/>
          <w:bCs/>
          <w:color w:val="000000" w:themeColor="text1"/>
          <w:sz w:val="24"/>
          <w:highlight w:val="none"/>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highlight w:val="none"/>
          <w14:textFill>
            <w14:solidFill>
              <w14:schemeClr w14:val="tx1"/>
            </w14:solidFill>
          </w14:textFill>
        </w:rPr>
      </w:pPr>
      <w:r/>
      <w:bookmarkStart w:id="158" w:name="_Toc20823306"/>
      <w:r/>
      <w:bookmarkStart w:id="159" w:name="_Toc16938550"/>
      <w:r/>
      <w:bookmarkStart w:id="160" w:name="_Toc513029234"/>
      <w:r>
        <w:rPr>
          <w:rFonts w:hint="eastAsia" w:ascii="宋体" w:hAnsi="宋体"/>
          <w:color w:val="000000" w:themeColor="text1"/>
          <w:sz w:val="24"/>
          <w:highlight w:val="none"/>
          <w14:textFill>
            <w14:solidFill>
              <w14:schemeClr w14:val="tx1"/>
            </w14:solidFill>
          </w14:textFill>
        </w:rPr>
        <w:t xml:space="preserve">25.6投标人在开、评标全过程中应保持通信畅通，及时登录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查阅</w:t>
      </w:r>
      <w:r>
        <w:rPr>
          <w:rFonts w:ascii="宋体" w:hAnsi="宋体"/>
          <w:color w:val="000000" w:themeColor="text1"/>
          <w:sz w:val="24"/>
          <w:highlight w:val="none"/>
          <w14:textFill>
            <w14:solidFill>
              <w14:schemeClr w14:val="tx1"/>
            </w14:solidFill>
          </w14:textFill>
        </w:rPr>
        <w:t xml:space="preserve">、答复相关</w:t>
      </w:r>
      <w:r>
        <w:rPr>
          <w:rFonts w:hint="eastAsia" w:ascii="宋体" w:hAnsi="宋体"/>
          <w:color w:val="000000" w:themeColor="text1"/>
          <w:sz w:val="24"/>
          <w:highlight w:val="none"/>
          <w14:textFill>
            <w14:solidFill>
              <w14:schemeClr w14:val="tx1"/>
            </w14:solidFill>
          </w14:textFill>
        </w:rPr>
        <w:t xml:space="preserve">信息</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并安排专人随时接受与代理机构及评标委员会的相关询问。</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25.7异常低价投标（响应）审查</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相关法律法规对供应商报价有规定的，从其规定。</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none"/>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bookmarkStart w:id="161" w:name="_Toc16938551"/>
      <w:r/>
      <w:bookmarkStart w:id="162" w:name="_Toc20823307"/>
      <w:r/>
      <w:bookmarkStart w:id="163" w:name="_Toc513029235"/>
      <w:r>
        <w:rPr>
          <w:rFonts w:hint="eastAsia" w:ascii="宋体" w:hAnsi="宋体"/>
          <w:bCs/>
          <w:color w:val="000000" w:themeColor="text1"/>
          <w:sz w:val="24"/>
          <w:highlight w:val="non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26.1.3</w:t>
      </w:r>
      <w:r>
        <w:rPr>
          <w:rFonts w:hint="eastAsia" w:ascii="宋体" w:hAnsi="宋体"/>
          <w:bCs/>
          <w:color w:val="000000" w:themeColor="text1"/>
          <w:sz w:val="24"/>
          <w:highlight w:val="non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26.1.4</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26.1.7</w:t>
      </w:r>
      <w:r>
        <w:rPr>
          <w:rFonts w:hint="eastAsia" w:ascii="宋体" w:hAnsi="宋体"/>
          <w:bCs/>
          <w:color w:val="000000" w:themeColor="text1"/>
          <w:sz w:val="24"/>
          <w:highlight w:val="none"/>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26.1.8投标人被“信用中国”网站（</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 HYPERLINK "http://www.creditchina.gov.cn" </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 xml:space="preserve">或查询“信用中国”网站、</w:t>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bCs/>
          <w:color w:val="000000" w:themeColor="text1"/>
          <w:sz w:val="24"/>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26.1.10</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26.1.15</w:t>
      </w:r>
      <w:r>
        <w:rPr>
          <w:rFonts w:hint="eastAsia" w:ascii="宋体" w:hAnsi="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26.1.16</w:t>
      </w:r>
      <w:r>
        <w:rPr>
          <w:rFonts w:hint="eastAsia" w:ascii="宋体" w:hAnsi="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26.1.20</w:t>
      </w: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26.1.21</w:t>
      </w: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26.1.22评标委员会</w:t>
      </w:r>
      <w:r>
        <w:rPr>
          <w:rFonts w:hint="eastAsia" w:ascii="宋体" w:hAnsi="宋体"/>
          <w:color w:val="000000" w:themeColor="text1"/>
          <w:sz w:val="24"/>
          <w:highlight w:val="none"/>
          <w14:textFill>
            <w14:solidFill>
              <w14:schemeClr w14:val="tx1"/>
            </w14:solidFill>
          </w14:textFill>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26.1.25其他法律法规及本招标文件规定的属于无效投标的情形。</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26.2.3因重大变故，采购任务取消的。</w:t>
      </w:r>
      <w:r/>
    </w:p>
    <w:p>
      <w:pPr>
        <w:ind w:left="479"/>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26.2.5 因</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highlight w:val="none"/>
          <w14:textFill>
            <w14:solidFill>
              <w14:schemeClr w14:val="tx1"/>
            </w14:solidFill>
          </w14:textFill>
        </w:rPr>
        <w:t xml:space="preserve">故障原因造成开标不成功</w:t>
      </w:r>
      <w:r>
        <w:rPr>
          <w:rFonts w:hint="eastAsia" w:ascii="宋体" w:hAnsi="宋体"/>
          <w:bCs/>
          <w:color w:val="000000" w:themeColor="text1"/>
          <w:sz w:val="24"/>
          <w:highlight w:val="non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898"/>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64" w:name="_Toc120614219"/>
      <w:r>
        <w:rPr>
          <w:rFonts w:hint="eastAsia"/>
          <w:color w:val="000000" w:themeColor="text1"/>
          <w:sz w:val="30"/>
          <w:szCs w:val="30"/>
          <w:highlight w:val="none"/>
          <w14:textFill>
            <w14:solidFill>
              <w14:schemeClr w14:val="tx1"/>
            </w14:solidFill>
          </w14:textFill>
        </w:rPr>
        <w:t xml:space="preserve">六、</w:t>
      </w:r>
      <w:bookmarkEnd w:id="161"/>
      <w:r/>
      <w:bookmarkEnd w:id="162"/>
      <w:r/>
      <w:bookmarkEnd w:id="163"/>
      <w:r>
        <w:rPr>
          <w:rFonts w:hint="eastAsia"/>
          <w:color w:val="000000" w:themeColor="text1"/>
          <w:sz w:val="30"/>
          <w:szCs w:val="30"/>
          <w:highlight w:val="none"/>
          <w14:textFill>
            <w14:solidFill>
              <w14:schemeClr w14:val="tx1"/>
            </w14:solidFill>
          </w14:textFill>
        </w:rPr>
        <w:t xml:space="preserve">定标</w:t>
      </w:r>
      <w:bookmarkEnd w:id="164"/>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65" w:name="_Toc513029238"/>
      <w:r/>
      <w:bookmarkStart w:id="166" w:name="_Toc20823310"/>
      <w:r/>
      <w:bookmarkStart w:id="167" w:name="_Toc16938554"/>
      <w:r>
        <w:rPr>
          <w:rFonts w:hint="eastAsia" w:ascii="宋体" w:hAnsi="宋体" w:eastAsia="宋体"/>
          <w:bCs w:val="0"/>
          <w:color w:val="000000" w:themeColor="text1"/>
          <w:highlight w:val="none"/>
          <w14:textFill>
            <w14:solidFill>
              <w14:schemeClr w14:val="tx1"/>
            </w14:solidFill>
          </w14:textFill>
        </w:rPr>
        <w:t xml:space="preserve">27</w:t>
      </w:r>
      <w:bookmarkEnd w:id="165"/>
      <w:r>
        <w:rPr>
          <w:rFonts w:hint="eastAsia" w:ascii="宋体" w:hAnsi="宋体" w:eastAsia="宋体"/>
          <w:bCs w:val="0"/>
          <w:color w:val="000000" w:themeColor="text1"/>
          <w:highlight w:val="none"/>
          <w:lang w:eastAsia="zh-CN"/>
          <w14:textFill>
            <w14:solidFill>
              <w14:schemeClr w14:val="tx1"/>
            </w14:solidFill>
          </w14:textFill>
        </w:rPr>
        <w:t xml:space="preserve">.</w:t>
      </w:r>
      <w:r>
        <w:rPr>
          <w:rFonts w:hint="eastAsia" w:ascii="宋体" w:hAnsi="宋体" w:eastAsia="宋体"/>
          <w:bCs w:val="0"/>
          <w:color w:val="000000" w:themeColor="text1"/>
          <w:highlight w:val="none"/>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none"/>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27.2采购人应根据评委会推荐的中标候选人名单中按排名先后顺序确定</w:t>
      </w:r>
      <w:r>
        <w:rPr>
          <w:rFonts w:hint="eastAsia" w:ascii="宋体" w:hAnsi="宋体"/>
          <w:bCs/>
          <w:sz w:val="24"/>
          <w:highlight w:val="none"/>
        </w:rPr>
        <w:t xml:space="preserve">第一名</w:t>
      </w:r>
      <w:r>
        <w:rPr>
          <w:rFonts w:hint="eastAsia" w:ascii="宋体" w:hAnsi="宋体"/>
          <w:bCs/>
          <w:color w:val="000000" w:themeColor="text1"/>
          <w:sz w:val="24"/>
          <w:highlight w:val="none"/>
          <w14:textFill>
            <w14:solidFill>
              <w14:schemeClr w14:val="tx1"/>
            </w14:solidFill>
          </w14:textFill>
        </w:rPr>
        <w:t xml:space="preserve">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将在“江苏政府采购网”发布中标公告，公告期限为1个工作日。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行贿或者提供其他不正当利益的。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68" w:name="_Toc200451960"/>
      <w:r>
        <w:rPr>
          <w:rFonts w:hint="eastAsia" w:ascii="宋体" w:hAnsi="宋体"/>
          <w:color w:val="000000" w:themeColor="text1"/>
          <w:sz w:val="24"/>
          <w:szCs w:val="24"/>
          <w:highlight w:val="none"/>
          <w14:textFill>
            <w14:solidFill>
              <w14:schemeClr w14:val="tx1"/>
            </w14:solidFill>
          </w14:textFill>
        </w:rPr>
        <w:t xml:space="preserve">27.4.6</w:t>
      </w:r>
      <w:r>
        <w:rPr>
          <w:rFonts w:hint="eastAsia" w:ascii="宋体" w:hAnsi="宋体"/>
          <w:bCs/>
          <w:color w:val="000000" w:themeColor="text1"/>
          <w:sz w:val="24"/>
          <w:szCs w:val="24"/>
          <w:highlight w:val="non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27.4.7</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28.1 提出质疑的供应商应当是参与所</w:t>
      </w:r>
      <w:r>
        <w:rPr>
          <w:rFonts w:hint="eastAsia" w:ascii="宋体" w:hAnsi="宋体"/>
          <w:color w:val="000000" w:themeColor="text1"/>
          <w:sz w:val="24"/>
          <w:szCs w:val="24"/>
          <w:highlight w:val="none"/>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28.2供应商认为采购文件、采购过程和采购结果使自己的权益受到损害的，可以在知道或应知其权益受到损害之日起七个工作日内，以书面形式根据下述28.4条款的规定向采购人</w:t>
      </w:r>
      <w:r>
        <w:rPr>
          <w:rFonts w:hint="eastAsia" w:ascii="宋体" w:hAnsi="宋体"/>
          <w:sz w:val="24"/>
          <w:szCs w:val="24"/>
          <w:highlight w:val="none"/>
        </w:rPr>
        <w:t xml:space="preserve">、</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28.2.1</w:t>
      </w:r>
      <w:r>
        <w:rPr>
          <w:rFonts w:ascii="宋体" w:hAnsi="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28.2.2</w:t>
      </w:r>
      <w:r>
        <w:rPr>
          <w:rFonts w:ascii="宋体" w:hAnsi="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28.2.3</w:t>
      </w:r>
      <w:r>
        <w:rPr>
          <w:rFonts w:ascii="宋体" w:hAnsi="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28.3</w:t>
      </w:r>
      <w:r>
        <w:rPr>
          <w:rFonts w:hint="eastAsia" w:asci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提出，由</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负责答复。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只接收以纸质原件形式送达的质疑，质疑供应商可通过面交或邮寄方式送达（采购人和</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不接受未填写快递运单的快件）。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联系人、联系方式、通信地址见招标文件第一章。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28.6供应商提出书面质疑必须有理、有据，</w:t>
      </w:r>
      <w:r>
        <w:rPr>
          <w:rFonts w:hint="eastAsia" w:ascii="宋体" w:hAnsi="宋体"/>
          <w:bCs/>
          <w:color w:val="000000" w:themeColor="text1"/>
          <w:sz w:val="24"/>
          <w:highlight w:val="non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 xml:space="preserve">一经查实，</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29.l中标结果确定后，</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将向中标人发出中标通知书。请中标人在中标结果公告届满之日起30日内，使用CA数字证书登录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898"/>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69" w:name="_Toc120614220"/>
      <w:r/>
      <w:bookmarkStart w:id="170" w:name="_Toc513029236"/>
      <w:r/>
      <w:bookmarkStart w:id="171" w:name="_Toc20823308"/>
      <w:r/>
      <w:bookmarkStart w:id="172" w:name="_Toc16938552"/>
      <w:r>
        <w:rPr>
          <w:rFonts w:hint="eastAsia"/>
          <w:color w:val="000000" w:themeColor="text1"/>
          <w:sz w:val="30"/>
          <w:szCs w:val="30"/>
          <w:highlight w:val="none"/>
          <w14:textFill>
            <w14:solidFill>
              <w14:schemeClr w14:val="tx1"/>
            </w14:solidFill>
          </w14:textFill>
        </w:rPr>
        <w:t xml:space="preserve">七、授予合同</w:t>
      </w:r>
      <w:bookmarkEnd w:id="169"/>
      <w:r/>
      <w:bookmarkEnd w:id="170"/>
      <w:r/>
      <w:bookmarkEnd w:id="171"/>
      <w:r/>
      <w:bookmarkEnd w:id="172"/>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73" w:name="_Toc513029237"/>
      <w:r/>
      <w:bookmarkStart w:id="174" w:name="_Toc20823309"/>
      <w:r/>
      <w:bookmarkStart w:id="175" w:name="_Toc16938553"/>
      <w:r>
        <w:rPr>
          <w:rFonts w:hint="eastAsia" w:ascii="宋体" w:hAnsi="宋体" w:eastAsia="宋体"/>
          <w:bCs w:val="0"/>
          <w:color w:val="000000" w:themeColor="text1"/>
          <w:highlight w:val="none"/>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30.2中标人非因不可抗力未履行招、投标文件和合同规定的义务，一经查实，</w:t>
      </w:r>
      <w:r>
        <w:rPr>
          <w:rFonts w:hint="eastAsia" w:ascii="宋体" w:hAnsi="宋体"/>
          <w:sz w:val="24"/>
          <w:szCs w:val="24"/>
          <w:highlight w:val="none"/>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将根据具体情况提请政府采购管理部门作出相应处理。</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01"/>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bookmarkStart w:id="176" w:name="_Toc479757207"/>
      <w:r/>
      <w:bookmarkStart w:id="177" w:name="_Toc513029242"/>
      <w:r/>
      <w:bookmarkStart w:id="178" w:name="_Toc20823314"/>
      <w:r/>
      <w:bookmarkStart w:id="179" w:name="_Toc16938558"/>
      <w:r/>
      <w:bookmarkStart w:id="180" w:name="_Toc120614221"/>
      <w:r>
        <w:rPr>
          <w:rFonts w:ascii="宋体" w:hAnsi="宋体"/>
          <w:bCs/>
          <w:color w:val="000000" w:themeColor="text1"/>
          <w:sz w:val="24"/>
          <w:highlight w:val="none"/>
          <w:shd w:val="clear" w:color="ffffff" w:fill="d9d9d9"/>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第三章  合同</w:t>
      </w:r>
      <w:bookmarkEnd w:id="176"/>
      <w:r/>
      <w:bookmarkEnd w:id="177"/>
      <w:r/>
      <w:bookmarkEnd w:id="178"/>
      <w:r/>
      <w:bookmarkEnd w:id="179"/>
      <w:r/>
      <w:bookmarkEnd w:id="180"/>
      <w:r>
        <w:rPr>
          <w:rFonts w:hint="eastAsia" w:ascii="黑体" w:hAnsi="黑体" w:eastAsia="黑体"/>
          <w:color w:val="000000" w:themeColor="text1"/>
          <w:sz w:val="36"/>
          <w:szCs w:val="36"/>
          <w:highlight w:val="none"/>
          <w14:textFill>
            <w14:solidFill>
              <w14:schemeClr w14:val="tx1"/>
            </w14:solidFill>
          </w14:textFill>
        </w:rPr>
        <w:t xml:space="preserve">文本</w:t>
      </w:r>
      <w:r/>
    </w:p>
    <w:p>
      <w:pPr>
        <w:ind w:firstLine="480"/>
        <w:spacing w:line="400" w:lineRule="exact"/>
        <w:rPr>
          <w:rFonts w:hint="eastAsia" w:ascii="宋体" w:hAnsi="宋体"/>
          <w:bCs/>
          <w:color w:val="000000" w:themeColor="text1"/>
          <w:sz w:val="24"/>
          <w:highlight w:val="none"/>
          <w14:textFill>
            <w14:solidFill>
              <w14:schemeClr w14:val="tx1"/>
            </w14:solidFill>
          </w14:textFill>
        </w:rPr>
      </w:pPr>
      <w:r/>
      <w:bookmarkStart w:id="181" w:name="_Toc16938559"/>
      <w:r/>
      <w:bookmarkStart w:id="182" w:name="_Toc513029243"/>
      <w:r/>
      <w:bookmarkStart w:id="183" w:name="_Toc20823315"/>
      <w:r>
        <w:rPr>
          <w:rFonts w:hint="eastAsia" w:ascii="宋体" w:hAnsi="宋体"/>
          <w:bCs/>
          <w:color w:val="000000" w:themeColor="text1"/>
          <w:sz w:val="24"/>
          <w:highlight w:val="none"/>
          <w14:textFill>
            <w14:solidFill>
              <w14:schemeClr w14:val="tx1"/>
            </w14:solidFill>
          </w14:textFill>
        </w:rPr>
        <w:t xml:space="preserve">以下为中标后签订本项目合同的通用条款，中标人不得提出实质性的修改。</w:t>
      </w:r>
      <w:r/>
    </w:p>
    <w:p>
      <w:pPr>
        <w:jc w:val="center"/>
        <w:spacing w:line="400" w:lineRule="exact"/>
        <w:rPr>
          <w:rFonts w:ascii="宋体" w:hAnsi="宋体"/>
          <w:b/>
          <w:bCs/>
          <w:color w:val="000000" w:themeColor="text1"/>
          <w:sz w:val="30"/>
          <w:szCs w:val="20"/>
          <w:highlight w:val="none"/>
          <w14:textFill>
            <w14:solidFill>
              <w14:schemeClr w14:val="tx1"/>
            </w14:solidFill>
          </w14:textFill>
        </w:rPr>
        <w:outlineLvl w:val="0"/>
      </w:pPr>
      <w:r>
        <w:rPr>
          <w:rFonts w:hint="eastAsia" w:ascii="宋体" w:hAnsi="宋体"/>
          <w:b/>
          <w:color w:val="000000" w:themeColor="text1"/>
          <w:sz w:val="30"/>
          <w:highlight w:val="none"/>
          <w14:textFill>
            <w14:solidFill>
              <w14:schemeClr w14:val="tx1"/>
            </w14:solidFill>
          </w14:textFill>
        </w:rPr>
        <w:t xml:space="preserve">江苏省政府采购合同</w:t>
      </w:r>
      <w:r/>
    </w:p>
    <w:p>
      <w:pPr>
        <w:pStyle w:val="903"/>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项目名称：                                       项目编号：</w:t>
      </w:r>
      <w:r/>
    </w:p>
    <w:p>
      <w:pPr>
        <w:pStyle w:val="903"/>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甲方：（买方、需方、采购人）_________</w:t>
      </w:r>
      <w:r/>
    </w:p>
    <w:p>
      <w:pPr>
        <w:pStyle w:val="903"/>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乙方：（卖方、供方、供应商）_________</w:t>
      </w:r>
      <w:r/>
    </w:p>
    <w:p>
      <w:pPr>
        <w:pStyle w:val="903"/>
        <w:ind w:firstLine="480"/>
        <w:spacing w:line="400" w:lineRule="exact"/>
        <w:rPr>
          <w:rFonts w:hAnsi="宋体"/>
          <w:b/>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甲、乙双方根据</w:t>
      </w:r>
      <w:r>
        <w:rPr>
          <w:rFonts w:hint="eastAsia" w:hAnsi="宋体"/>
          <w:color w:val="000000" w:themeColor="text1"/>
          <w:sz w:val="24"/>
          <w:szCs w:val="24"/>
          <w:highlight w:val="none"/>
          <w:lang w:val="en-US" w:eastAsia="zh-CN"/>
          <w14:textFill>
            <w14:solidFill>
              <w14:schemeClr w14:val="tx1"/>
            </w14:solidFill>
          </w14:textFill>
        </w:rPr>
        <w:t xml:space="preserve">无锡市教育信息化和综合服务中心</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项目公开招标的结果，签署本合同。</w:t>
      </w:r>
      <w:r/>
    </w:p>
    <w:p>
      <w:pPr>
        <w:pStyle w:val="903"/>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一、</w:t>
      </w:r>
      <w:r>
        <w:rPr>
          <w:rFonts w:hint="eastAsia" w:hAnsi="宋体"/>
          <w:b/>
          <w:color w:val="000000" w:themeColor="text1"/>
          <w:sz w:val="24"/>
          <w:szCs w:val="24"/>
          <w:highlight w:val="none"/>
          <w14:textFill>
            <w14:solidFill>
              <w14:schemeClr w14:val="tx1"/>
            </w14:solidFill>
          </w14:textFill>
        </w:rPr>
        <w:t xml:space="preserve">合同</w:t>
      </w:r>
      <w:r>
        <w:rPr>
          <w:rFonts w:hAnsi="宋体"/>
          <w:b/>
          <w:color w:val="000000" w:themeColor="text1"/>
          <w:sz w:val="24"/>
          <w:szCs w:val="24"/>
          <w:highlight w:val="none"/>
          <w14:textFill>
            <w14:solidFill>
              <w14:schemeClr w14:val="tx1"/>
            </w14:solidFill>
          </w14:textFill>
        </w:rPr>
        <w:t xml:space="preserve">内容</w:t>
      </w:r>
      <w:r/>
    </w:p>
    <w:p>
      <w:pPr>
        <w:pStyle w:val="903"/>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1.1 </w:t>
      </w:r>
      <w:r>
        <w:rPr>
          <w:rFonts w:hint="eastAsia" w:hAnsi="宋体"/>
          <w:color w:val="000000" w:themeColor="text1"/>
          <w:sz w:val="24"/>
          <w:szCs w:val="24"/>
          <w:highlight w:val="none"/>
          <w14:textFill>
            <w14:solidFill>
              <w14:schemeClr w14:val="tx1"/>
            </w14:solidFill>
          </w14:textFill>
        </w:rPr>
        <w:t xml:space="preserve">标的</w:t>
      </w:r>
      <w:r>
        <w:rPr>
          <w:rFonts w:hAnsi="宋体"/>
          <w:color w:val="000000" w:themeColor="text1"/>
          <w:sz w:val="24"/>
          <w:szCs w:val="24"/>
          <w:highlight w:val="none"/>
          <w14:textFill>
            <w14:solidFill>
              <w14:schemeClr w14:val="tx1"/>
            </w14:solidFill>
          </w14:textFill>
        </w:rPr>
        <w:t xml:space="preserve">名称：</w:t>
      </w:r>
      <w:r/>
    </w:p>
    <w:p>
      <w:pPr>
        <w:pStyle w:val="903"/>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1.2</w:t>
      </w:r>
      <w:r>
        <w:rPr>
          <w:rFonts w:hint="eastAsia" w:hAnsi="宋体"/>
          <w:color w:val="000000" w:themeColor="text1"/>
          <w:sz w:val="24"/>
          <w:szCs w:val="24"/>
          <w:highlight w:val="none"/>
          <w14:textFill>
            <w14:solidFill>
              <w14:schemeClr w14:val="tx1"/>
            </w14:solidFill>
          </w14:textFill>
        </w:rPr>
        <w:t xml:space="preserve">标的质量：</w:t>
      </w:r>
      <w:r/>
    </w:p>
    <w:p>
      <w:pPr>
        <w:pStyle w:val="90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1.3 标的数量（规模）：</w:t>
      </w:r>
      <w:r/>
    </w:p>
    <w:p>
      <w:pPr>
        <w:pStyle w:val="90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1.4 履行时间（期限）：</w:t>
      </w:r>
      <w:r/>
    </w:p>
    <w:p>
      <w:pPr>
        <w:pStyle w:val="903"/>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1.5 履行地点：</w:t>
      </w:r>
      <w:r/>
    </w:p>
    <w:p>
      <w:pPr>
        <w:ind w:firstLine="480"/>
        <w:spacing w:line="400" w:lineRule="exact"/>
        <w:rPr>
          <w:rFonts w:hint="eastAsia" w:ascii="宋体" w:hAnsi="宋体" w:cs="Courier New"/>
          <w:sz w:val="24"/>
          <w:szCs w:val="24"/>
          <w:highlight w:val="none"/>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1.6</w:t>
      </w:r>
      <w:r>
        <w:rPr>
          <w:rFonts w:hint="eastAsia" w:hAnsi="宋体"/>
          <w:color w:val="000000" w:themeColor="text1"/>
          <w:sz w:val="24"/>
          <w:szCs w:val="24"/>
          <w:highlight w:val="none"/>
          <w14:textFill>
            <w14:solidFill>
              <w14:schemeClr w14:val="tx1"/>
            </w14:solidFill>
          </w14:textFill>
        </w:rPr>
        <w:t xml:space="preserve">履行</w:t>
      </w:r>
      <w:r>
        <w:rPr>
          <w:rFonts w:hint="eastAsia" w:ascii="宋体" w:hAnsi="宋体" w:cs="Courier New"/>
          <w:sz w:val="24"/>
          <w:szCs w:val="24"/>
          <w:highlight w:val="none"/>
        </w:rPr>
        <w:t xml:space="preserve">方式：</w:t>
      </w:r>
      <w:r/>
    </w:p>
    <w:p>
      <w:pPr>
        <w:pStyle w:val="903"/>
        <w:ind w:firstLine="480"/>
        <w:spacing w:line="400" w:lineRule="exact"/>
        <w:rPr>
          <w:rFonts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 xml:space="preserve">1.7 包装</w:t>
      </w:r>
      <w:r>
        <w:rPr>
          <w:rFonts w:hint="eastAsia" w:hAnsi="宋体"/>
          <w:color w:val="000000" w:themeColor="text1"/>
          <w:sz w:val="24"/>
          <w:szCs w:val="24"/>
          <w:highlight w:val="none"/>
          <w14:textFill>
            <w14:solidFill>
              <w14:schemeClr w14:val="tx1"/>
            </w14:solidFill>
          </w14:textFill>
        </w:rPr>
        <w:t xml:space="preserve">方式：</w:t>
      </w:r>
      <w:r/>
    </w:p>
    <w:p>
      <w:pPr>
        <w:pStyle w:val="903"/>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二、合同金额</w:t>
      </w:r>
      <w:r/>
    </w:p>
    <w:p>
      <w:pPr>
        <w:pStyle w:val="903"/>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2.1 本合同金额为（大写）： ____________</w:t>
      </w:r>
      <w:r>
        <w:rPr>
          <w:rFonts w:hint="eastAsia" w:hAnsi="宋体"/>
          <w:color w:val="000000" w:themeColor="text1"/>
          <w:sz w:val="24"/>
          <w:szCs w:val="24"/>
          <w:highlight w:val="none"/>
          <w14:textFill>
            <w14:solidFill>
              <w14:schemeClr w14:val="tx1"/>
            </w14:solidFill>
          </w14:textFill>
        </w:rPr>
        <w:t xml:space="preserve">圆</w:t>
      </w:r>
      <w:r>
        <w:rPr>
          <w:rFonts w:hAnsi="宋体"/>
          <w:color w:val="000000" w:themeColor="text1"/>
          <w:sz w:val="24"/>
          <w:szCs w:val="24"/>
          <w:highlight w:val="none"/>
          <w14:textFill>
            <w14:solidFill>
              <w14:schemeClr w14:val="tx1"/>
            </w14:solidFill>
          </w14:textFill>
        </w:rPr>
        <w:t xml:space="preserve">（______元）人民币</w:t>
      </w:r>
      <w:r>
        <w:rPr>
          <w:rFonts w:hint="eastAsia" w:hAnsi="宋体"/>
          <w:color w:val="000000" w:themeColor="text1"/>
          <w:sz w:val="24"/>
          <w:szCs w:val="24"/>
          <w:highlight w:val="none"/>
          <w14:textFill>
            <w14:solidFill>
              <w14:schemeClr w14:val="tx1"/>
            </w14:solidFill>
          </w14:textFill>
        </w:rPr>
        <w:t xml:space="preserve">或其他币种</w:t>
      </w:r>
      <w:r>
        <w:rPr>
          <w:rFonts w:hAnsi="宋体"/>
          <w:color w:val="000000" w:themeColor="text1"/>
          <w:sz w:val="24"/>
          <w:szCs w:val="24"/>
          <w:highlight w:val="none"/>
          <w14:textFill>
            <w14:solidFill>
              <w14:schemeClr w14:val="tx1"/>
            </w14:solidFill>
          </w14:textFill>
        </w:rPr>
        <w:t xml:space="preserve">。</w:t>
      </w:r>
      <w:r/>
    </w:p>
    <w:p>
      <w:pPr>
        <w:pStyle w:val="903"/>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三、技术资料</w:t>
      </w:r>
      <w:r/>
    </w:p>
    <w:p>
      <w:pPr>
        <w:pStyle w:val="903"/>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3.1乙方应按招标文件规定的时间向甲方提供</w:t>
      </w:r>
      <w:r>
        <w:rPr>
          <w:rFonts w:ascii="宋体" w:hAnsi="宋体" w:cs="Courier New"/>
          <w:sz w:val="24"/>
          <w:szCs w:val="24"/>
          <w:highlight w:val="none"/>
        </w:rPr>
        <w:t xml:space="preserve">使用货物</w:t>
      </w:r>
      <w:r>
        <w:rPr>
          <w:rFonts w:hint="eastAsia" w:hAnsi="宋体"/>
          <w:color w:val="000000" w:themeColor="text1"/>
          <w:sz w:val="24"/>
          <w:szCs w:val="24"/>
          <w:highlight w:val="none"/>
          <w14:textFill>
            <w14:solidFill>
              <w14:schemeClr w14:val="tx1"/>
            </w14:solidFill>
          </w14:textFill>
        </w:rPr>
        <w:t xml:space="preserve">（包含与</w:t>
      </w:r>
      <w:r>
        <w:rPr>
          <w:rFonts w:hint="eastAsia" w:ascii="宋体" w:hAnsi="宋体" w:cs="Courier New"/>
          <w:sz w:val="24"/>
          <w:szCs w:val="24"/>
          <w:highlight w:val="none"/>
        </w:rPr>
        <w:t xml:space="preserve">货物</w:t>
      </w:r>
      <w:r>
        <w:rPr>
          <w:rFonts w:hint="eastAsia" w:hAnsi="宋体"/>
          <w:color w:val="000000" w:themeColor="text1"/>
          <w:sz w:val="24"/>
          <w:szCs w:val="24"/>
          <w:highlight w:val="none"/>
          <w14:textFill>
            <w14:solidFill>
              <w14:schemeClr w14:val="tx1"/>
            </w14:solidFill>
          </w14:textFill>
        </w:rPr>
        <w:t xml:space="preserve">相关的</w:t>
      </w:r>
      <w:r>
        <w:rPr>
          <w:rFonts w:hint="eastAsia" w:ascii="宋体" w:hAnsi="宋体" w:cs="Courier New"/>
          <w:sz w:val="24"/>
          <w:szCs w:val="24"/>
          <w:highlight w:val="none"/>
        </w:rPr>
        <w:t xml:space="preserve">服务</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的有关技术资料。</w:t>
      </w:r>
      <w:r/>
    </w:p>
    <w:p>
      <w:pPr>
        <w:pStyle w:val="903"/>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03"/>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四、知识产权</w:t>
      </w:r>
      <w:r/>
    </w:p>
    <w:p>
      <w:pPr>
        <w:pStyle w:val="903"/>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4.1乙</w:t>
      </w:r>
      <w:r>
        <w:rPr>
          <w:rFonts w:hint="eastAsia" w:hAnsi="宋体"/>
          <w:color w:val="000000" w:themeColor="text1"/>
          <w:sz w:val="24"/>
          <w:szCs w:val="24"/>
          <w:highlight w:val="none"/>
          <w14:textFill>
            <w14:solidFill>
              <w14:schemeClr w14:val="tx1"/>
            </w14:solidFill>
          </w14:textFill>
        </w:rPr>
        <w:t xml:space="preserve">方应保证甲方在使用、接受本合同</w:t>
      </w:r>
      <w:r>
        <w:rPr>
          <w:rFonts w:hint="eastAsia" w:ascii="宋体" w:hAnsi="宋体"/>
          <w:sz w:val="24"/>
          <w:highlight w:val="none"/>
        </w:rPr>
        <w:t xml:space="preserve">货物</w:t>
      </w:r>
      <w:r>
        <w:rPr>
          <w:rFonts w:hint="eastAsia" w:hAnsi="宋体"/>
          <w:color w:val="000000" w:themeColor="text1"/>
          <w:sz w:val="24"/>
          <w:szCs w:val="24"/>
          <w:highlight w:val="none"/>
          <w14:textFill>
            <w14:solidFill>
              <w14:schemeClr w14:val="tx1"/>
            </w14:solidFill>
          </w14:textFill>
        </w:rPr>
        <w:t xml:space="preserve">（包含与</w:t>
      </w:r>
      <w:r>
        <w:rPr>
          <w:rFonts w:hint="eastAsia" w:hAnsi="宋体"/>
          <w:sz w:val="24"/>
          <w:szCs w:val="24"/>
          <w:highlight w:val="none"/>
        </w:rPr>
        <w:t xml:space="preserve">货物</w:t>
      </w:r>
      <w:r>
        <w:rPr>
          <w:rFonts w:hint="eastAsia" w:hAnsi="宋体"/>
          <w:color w:val="000000" w:themeColor="text1"/>
          <w:sz w:val="24"/>
          <w:szCs w:val="24"/>
          <w:highlight w:val="none"/>
          <w14:textFill>
            <w14:solidFill>
              <w14:schemeClr w14:val="tx1"/>
            </w14:solidFill>
          </w14:textFill>
        </w:rPr>
        <w:t xml:space="preserve">相关的</w:t>
      </w:r>
      <w:r>
        <w:rPr>
          <w:rFonts w:hint="eastAsia" w:hAnsi="宋体"/>
          <w:sz w:val="24"/>
          <w:szCs w:val="24"/>
          <w:highlight w:val="none"/>
        </w:rPr>
        <w:t xml:space="preserve">服务</w:t>
      </w:r>
      <w:r>
        <w:rPr>
          <w:rFonts w:hint="eastAsia" w:hAnsi="宋体"/>
          <w:color w:val="000000" w:themeColor="text1"/>
          <w:sz w:val="24"/>
          <w:szCs w:val="24"/>
          <w:highlight w:val="none"/>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pStyle w:val="903"/>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pStyle w:val="903"/>
        <w:ind w:firstLine="482"/>
        <w:spacing w:line="400" w:lineRule="exact"/>
        <w:rPr>
          <w:rFonts w:hAnsi="宋体"/>
          <w:color w:val="000000" w:themeColor="text1"/>
          <w:sz w:val="24"/>
          <w:szCs w:val="24"/>
          <w:highlight w:val="none"/>
          <w:u w:val="singl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五、产权担保</w:t>
      </w:r>
      <w:r/>
    </w:p>
    <w:p>
      <w:pPr>
        <w:pStyle w:val="903"/>
        <w:ind w:firstLine="480"/>
        <w:spacing w:line="400" w:lineRule="exact"/>
        <w:rPr>
          <w:rFonts w:hAnsi="宋体"/>
          <w:color w:val="000000" w:themeColor="text1"/>
          <w:sz w:val="24"/>
          <w:szCs w:val="24"/>
          <w:highlight w:val="none"/>
          <w:u w:val="singl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5.1 乙方保证所交付的</w:t>
      </w:r>
      <w:r>
        <w:rPr>
          <w:rFonts w:ascii="宋体" w:hAnsi="宋体" w:cs="Courier New"/>
          <w:sz w:val="24"/>
          <w:szCs w:val="24"/>
          <w:highlight w:val="none"/>
        </w:rPr>
        <w:t xml:space="preserve">货物</w:t>
      </w:r>
      <w:r>
        <w:rPr>
          <w:rFonts w:hint="eastAsia" w:hAnsi="宋体"/>
          <w:color w:val="000000" w:themeColor="text1"/>
          <w:sz w:val="24"/>
          <w:szCs w:val="24"/>
          <w:highlight w:val="none"/>
          <w14:textFill>
            <w14:solidFill>
              <w14:schemeClr w14:val="tx1"/>
            </w14:solidFill>
          </w14:textFill>
        </w:rPr>
        <w:t xml:space="preserve">（包含与</w:t>
      </w:r>
      <w:r>
        <w:rPr>
          <w:rFonts w:hint="eastAsia" w:ascii="宋体" w:hAnsi="宋体" w:cs="Courier New"/>
          <w:sz w:val="24"/>
          <w:szCs w:val="24"/>
          <w:highlight w:val="none"/>
        </w:rPr>
        <w:t xml:space="preserve">货物</w:t>
      </w:r>
      <w:r>
        <w:rPr>
          <w:rFonts w:hint="eastAsia" w:hAnsi="宋体"/>
          <w:color w:val="000000" w:themeColor="text1"/>
          <w:sz w:val="24"/>
          <w:szCs w:val="24"/>
          <w:highlight w:val="none"/>
          <w14:textFill>
            <w14:solidFill>
              <w14:schemeClr w14:val="tx1"/>
            </w14:solidFill>
          </w14:textFill>
        </w:rPr>
        <w:t xml:space="preserve">相关的</w:t>
      </w:r>
      <w:r>
        <w:rPr>
          <w:rFonts w:hint="eastAsia" w:ascii="宋体" w:hAnsi="宋体" w:cs="Courier New"/>
          <w:sz w:val="24"/>
          <w:szCs w:val="24"/>
          <w:highlight w:val="none"/>
        </w:rPr>
        <w:t xml:space="preserve">服务</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的所有权完全属于乙方且无任何抵押、查封等产权瑕疵。</w:t>
      </w:r>
      <w:r/>
    </w:p>
    <w:p>
      <w:pPr>
        <w:pStyle w:val="903"/>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六、履约保证金</w:t>
      </w:r>
      <w:r/>
    </w:p>
    <w:p>
      <w:pPr>
        <w:pStyle w:val="903"/>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6.1 乙方交纳人民币__元作为本合同的履约保证金。</w:t>
      </w:r>
      <w:r>
        <w:rPr>
          <w:rFonts w:hint="eastAsia" w:hAnsi="宋体"/>
          <w:color w:val="000000" w:themeColor="text1"/>
          <w:sz w:val="24"/>
          <w:szCs w:val="24"/>
          <w:highlight w:val="none"/>
          <w14:textFill>
            <w14:solidFill>
              <w14:schemeClr w14:val="tx1"/>
            </w14:solidFill>
          </w14:textFill>
        </w:rPr>
        <w:t xml:space="preserve">（不得超过合同金额的10%）</w:t>
      </w:r>
      <w:r/>
    </w:p>
    <w:p>
      <w:pPr>
        <w:pStyle w:val="90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6.2合同履行结束后，甲方应及时退还交纳的履约保证金。</w:t>
      </w:r>
      <w:r/>
    </w:p>
    <w:p>
      <w:pPr>
        <w:pStyle w:val="90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6.2.1履约保证金退还方式：</w:t>
      </w:r>
      <w:r/>
    </w:p>
    <w:p>
      <w:pPr>
        <w:pStyle w:val="90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6.2.2履约保证金退还时间：</w:t>
      </w:r>
      <w:r/>
    </w:p>
    <w:p>
      <w:pPr>
        <w:pStyle w:val="90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6.2.3履约保证金退还条件：</w:t>
      </w:r>
      <w:r/>
    </w:p>
    <w:p>
      <w:pPr>
        <w:pStyle w:val="903"/>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6.2.4履约保证金不予退还的情形：</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乙方如有转包或未经甲方同意的分包行为，甲方有权解除合同。</w:t>
      </w:r>
      <w:r/>
    </w:p>
    <w:p>
      <w:pPr>
        <w:pStyle w:val="903"/>
        <w:ind w:firstLine="482"/>
        <w:spacing w:line="400" w:lineRule="exact"/>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八</w:t>
      </w:r>
      <w:r>
        <w:rPr>
          <w:rFonts w:hAnsi="宋体"/>
          <w:b/>
          <w:color w:val="000000" w:themeColor="text1"/>
          <w:sz w:val="24"/>
          <w:szCs w:val="24"/>
          <w:highlight w:val="none"/>
          <w14:textFill>
            <w14:solidFill>
              <w14:schemeClr w14:val="tx1"/>
            </w14:solidFill>
          </w14:textFill>
        </w:rPr>
        <w:t xml:space="preserve">、</w:t>
      </w:r>
      <w:r>
        <w:rPr>
          <w:rFonts w:hint="eastAsia" w:hAnsi="宋体"/>
          <w:b/>
          <w:color w:val="000000" w:themeColor="text1"/>
          <w:sz w:val="24"/>
          <w:szCs w:val="24"/>
          <w:highlight w:val="none"/>
          <w14:textFill>
            <w14:solidFill>
              <w14:schemeClr w14:val="tx1"/>
            </w14:solidFill>
          </w14:textFill>
        </w:rPr>
        <w:t xml:space="preserve">合同款项</w:t>
      </w:r>
      <w:r>
        <w:rPr>
          <w:rFonts w:hAnsi="宋体"/>
          <w:b/>
          <w:color w:val="000000" w:themeColor="text1"/>
          <w:sz w:val="24"/>
          <w:szCs w:val="24"/>
          <w:highlight w:val="none"/>
          <w14:textFill>
            <w14:solidFill>
              <w14:schemeClr w14:val="tx1"/>
            </w14:solidFill>
          </w14:textFill>
        </w:rPr>
        <w:t xml:space="preserve">支付</w:t>
      </w:r>
      <w:r/>
    </w:p>
    <w:p>
      <w:pPr>
        <w:pStyle w:val="903"/>
        <w:ind w:firstLine="480"/>
        <w:spacing w:line="400" w:lineRule="exact"/>
        <w:rPr>
          <w:rFonts w:hint="eastAsia"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8</w:t>
      </w:r>
      <w:r>
        <w:rPr>
          <w:rFonts w:hAnsi="宋体"/>
          <w:bCs/>
          <w:color w:val="000000" w:themeColor="text1"/>
          <w:sz w:val="24"/>
          <w:szCs w:val="24"/>
          <w:highlight w:val="none"/>
          <w14:textFill>
            <w14:solidFill>
              <w14:schemeClr w14:val="tx1"/>
            </w14:solidFill>
          </w14:textFill>
        </w:rPr>
        <w:t xml:space="preserve">.1</w:t>
      </w:r>
      <w:r>
        <w:rPr>
          <w:rFonts w:hint="eastAsia" w:hAnsi="宋体"/>
          <w:bCs/>
          <w:color w:val="000000" w:themeColor="text1"/>
          <w:sz w:val="24"/>
          <w:szCs w:val="24"/>
          <w:highlight w:val="none"/>
          <w14:textFill>
            <w14:solidFill>
              <w14:schemeClr w14:val="tx1"/>
            </w14:solidFill>
          </w14:textFill>
        </w:rPr>
        <w:t xml:space="preserve">合同款项的支付方式及进度安排</w:t>
      </w:r>
      <w:r/>
    </w:p>
    <w:p>
      <w:pPr>
        <w:pStyle w:val="90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8.1.1</w:t>
      </w:r>
      <w:r>
        <w:rPr>
          <w:rFonts w:hint="eastAsia" w:hAnsi="宋体" w:cs="Courier New"/>
          <w:bCs/>
          <w:color w:val="000000" w:themeColor="text1"/>
          <w:sz w:val="24"/>
          <w:szCs w:val="24"/>
          <w:highlight w:val="none"/>
          <w14:textFill>
            <w14:solidFill>
              <w14:schemeClr w14:val="tx1"/>
            </w14:solidFill>
          </w14:textFill>
        </w:rPr>
        <w:t xml:space="preserve">预付款支付时间：</w:t>
      </w:r>
      <w:r>
        <w:rPr>
          <w:rFonts w:hint="eastAsia" w:hAnsi="宋体" w:cs="Courier New"/>
          <w:bCs/>
          <w:color w:val="000000" w:themeColor="text1"/>
          <w:sz w:val="24"/>
          <w:szCs w:val="24"/>
          <w:highlight w:val="none"/>
          <w:u w:val="single"/>
          <w14:textFill>
            <w14:solidFill>
              <w14:schemeClr w14:val="tx1"/>
            </w14:solidFill>
          </w14:textFill>
        </w:rPr>
        <w:t xml:space="preserve">               </w:t>
      </w:r>
      <w:r>
        <w:rPr>
          <w:rFonts w:hint="eastAsia" w:hAnsi="宋体" w:cs="Courier New"/>
          <w:bCs/>
          <w:color w:val="000000" w:themeColor="text1"/>
          <w:sz w:val="24"/>
          <w:szCs w:val="24"/>
          <w:highlight w:val="none"/>
          <w14:textFill>
            <w14:solidFill>
              <w14:schemeClr w14:val="tx1"/>
            </w14:solidFill>
          </w14:textFill>
        </w:rPr>
        <w:t xml:space="preserve">，预付款支付比例：</w:t>
      </w:r>
      <w:r>
        <w:rPr>
          <w:rFonts w:hint="eastAsia" w:hAnsi="宋体" w:cs="Courier New"/>
          <w:bCs/>
          <w:color w:val="000000" w:themeColor="text1"/>
          <w:sz w:val="24"/>
          <w:szCs w:val="24"/>
          <w:highlight w:val="none"/>
          <w:u w:val="single"/>
          <w14:textFill>
            <w14:solidFill>
              <w14:schemeClr w14:val="tx1"/>
            </w14:solidFill>
          </w14:textFill>
        </w:rPr>
        <w:t xml:space="preserve">         </w:t>
      </w:r>
      <w:r>
        <w:rPr>
          <w:rFonts w:hint="eastAsia" w:hAnsi="宋体" w:cs="Courier New"/>
          <w:bCs/>
          <w:color w:val="000000" w:themeColor="text1"/>
          <w:sz w:val="24"/>
          <w:szCs w:val="24"/>
          <w:highlight w:val="none"/>
          <w14:textFill>
            <w14:solidFill>
              <w14:schemeClr w14:val="tx1"/>
            </w14:solidFill>
          </w14:textFill>
        </w:rPr>
        <w:t xml:space="preserve">。</w:t>
      </w:r>
      <w:r/>
    </w:p>
    <w:p>
      <w:pPr>
        <w:pStyle w:val="90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8.1.2</w:t>
      </w:r>
      <w:r>
        <w:rPr>
          <w:rFonts w:hint="eastAsia" w:hAnsi="宋体" w:cs="Courier New"/>
          <w:bCs/>
          <w:color w:val="000000" w:themeColor="text1"/>
          <w:sz w:val="24"/>
          <w:szCs w:val="24"/>
          <w:highlight w:val="none"/>
          <w14:textFill>
            <w14:solidFill>
              <w14:schemeClr w14:val="tx1"/>
            </w14:solidFill>
          </w14:textFill>
        </w:rPr>
        <w:t xml:space="preserve">尾款支付时间：</w:t>
      </w:r>
      <w:r>
        <w:rPr>
          <w:rFonts w:hint="eastAsia" w:hAnsi="宋体" w:cs="Courier New"/>
          <w:bCs/>
          <w:color w:val="000000" w:themeColor="text1"/>
          <w:sz w:val="24"/>
          <w:szCs w:val="24"/>
          <w:highlight w:val="none"/>
          <w:u w:val="single"/>
          <w:lang w:val="en-US" w:eastAsia="zh-CN"/>
          <w14:textFill>
            <w14:solidFill>
              <w14:schemeClr w14:val="tx1"/>
            </w14:solidFill>
          </w14:textFill>
        </w:rPr>
        <w:t xml:space="preserve">     </w:t>
      </w:r>
      <w:r>
        <w:rPr>
          <w:rFonts w:hint="eastAsia" w:hAnsi="宋体" w:cs="Courier New"/>
          <w:bCs/>
          <w:color w:val="000000" w:themeColor="text1"/>
          <w:sz w:val="24"/>
          <w:szCs w:val="24"/>
          <w:highlight w:val="none"/>
          <w:u w:val="single"/>
          <w14:textFill>
            <w14:solidFill>
              <w14:schemeClr w14:val="tx1"/>
            </w14:solidFill>
          </w14:textFill>
        </w:rPr>
        <w:t xml:space="preserve"> </w:t>
      </w:r>
      <w:r>
        <w:rPr>
          <w:rFonts w:hint="eastAsia" w:hAnsi="宋体" w:cs="Courier New"/>
          <w:bCs/>
          <w:color w:val="000000" w:themeColor="text1"/>
          <w:sz w:val="24"/>
          <w:szCs w:val="24"/>
          <w:highlight w:val="none"/>
          <w14:textFill>
            <w14:solidFill>
              <w14:schemeClr w14:val="tx1"/>
            </w14:solidFill>
          </w14:textFill>
        </w:rPr>
        <w:t xml:space="preserve">。</w:t>
      </w:r>
      <w:r/>
    </w:p>
    <w:p>
      <w:pPr>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注：（1）根据《关于做好政府采购支持企业发展有关事项的通知》（苏采购</w:t>
      </w:r>
      <w:r>
        <w:rPr>
          <w:rFonts w:hint="eastAsia" w:ascii="宋体" w:hAnsi="宋体" w:cs="Courier New"/>
          <w:bCs/>
          <w:color w:val="000000" w:themeColor="text1"/>
          <w:sz w:val="24"/>
          <w:szCs w:val="24"/>
          <w:highlight w:val="none"/>
          <w14:textFill>
            <w14:solidFill>
              <w14:schemeClr w14:val="tx1"/>
            </w14:solidFill>
          </w14:textFill>
        </w:rPr>
        <w:t xml:space="preserve">〔2020〕52</w:t>
      </w:r>
      <w:r>
        <w:rPr>
          <w:rFonts w:hint="eastAsia" w:ascii="宋体" w:hAnsi="宋体"/>
          <w:bCs/>
          <w:color w:val="000000" w:themeColor="text1"/>
          <w:sz w:val="24"/>
          <w:szCs w:val="24"/>
          <w:highlight w:val="none"/>
          <w14:textFill>
            <w14:solidFill>
              <w14:schemeClr w14:val="tx1"/>
            </w14:solidFill>
          </w14:textFill>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2</w:t>
      </w:r>
      <w:r>
        <w:rPr>
          <w:rFonts w:ascii="宋体" w:hAnsi="宋体" w:cs="Courier New"/>
          <w:bCs/>
          <w:color w:val="000000" w:themeColor="text1"/>
          <w:sz w:val="24"/>
          <w:szCs w:val="24"/>
          <w:highlight w:val="none"/>
          <w14:textFill>
            <w14:solidFill>
              <w14:schemeClr w14:val="tx1"/>
            </w14:solidFill>
          </w14:textFill>
        </w:rPr>
        <w:t xml:space="preserve">）根据《</w:t>
      </w:r>
      <w:r>
        <w:rPr>
          <w:rFonts w:hint="eastAsia" w:ascii="宋体" w:hAnsi="宋体" w:cs="Courier New"/>
          <w:bCs/>
          <w:color w:val="000000" w:themeColor="text1"/>
          <w:sz w:val="24"/>
          <w:szCs w:val="24"/>
          <w:highlight w:val="none"/>
          <w14:textFill>
            <w14:solidFill>
              <w14:schemeClr w14:val="tx1"/>
            </w14:solidFill>
          </w14:textFill>
        </w:rPr>
        <w:t xml:space="preserve">关于进一步提高政府采购透明度和采购效率相关事项的通知</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财办库〔2023〕243号</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规定，对于满足合同约定支付条件的，采购人原则上应当自收到发票后1</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5</w:t>
      </w:r>
      <w:r>
        <w:rPr>
          <w:rFonts w:hint="eastAsia" w:ascii="宋体" w:hAnsi="宋体" w:cs="Courier New"/>
          <w:bCs/>
          <w:color w:val="000000" w:themeColor="text1"/>
          <w:sz w:val="24"/>
          <w:szCs w:val="24"/>
          <w:highlight w:val="none"/>
          <w14:textFill>
            <w14:solidFill>
              <w14:schemeClr w14:val="tx1"/>
            </w14:solidFill>
          </w14:textFill>
        </w:rPr>
        <w:t xml:space="preserve">个工作日内将资金支付到合同约定的供应商账户，鼓励采购人完善内部流程，自收到发票后</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7</w:t>
      </w:r>
      <w:r>
        <w:rPr>
          <w:rFonts w:hint="eastAsia" w:ascii="宋体" w:hAnsi="宋体" w:cs="Courier New"/>
          <w:bCs/>
          <w:color w:val="000000" w:themeColor="text1"/>
          <w:sz w:val="24"/>
          <w:szCs w:val="24"/>
          <w:highlight w:val="none"/>
          <w14:textFill>
            <w14:solidFill>
              <w14:schemeClr w14:val="tx1"/>
            </w14:solidFill>
          </w14:textFill>
        </w:rPr>
        <w:t xml:space="preserve">个工作日内完成资金支付事宜。</w:t>
      </w:r>
      <w:r/>
    </w:p>
    <w:p>
      <w:pPr>
        <w:ind w:firstLine="480"/>
        <w:spacing w:line="400" w:lineRule="exact"/>
        <w:rPr>
          <w:rFonts w:hint="eastAsia" w:hAnsi="宋体"/>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（3）</w:t>
      </w:r>
      <w:r>
        <w:rPr>
          <w:rFonts w:hint="eastAsia" w:ascii="宋体"/>
          <w:bCs/>
          <w:color w:val="000000" w:themeColor="text1"/>
          <w:sz w:val="24"/>
          <w:szCs w:val="24"/>
          <w:highlight w:val="none"/>
          <w14:textFill>
            <w14:solidFill>
              <w14:schemeClr w14:val="tx1"/>
            </w14:solidFill>
          </w14:textFill>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本合同执行中相关的一切税费均由乙方负担。</w:t>
      </w:r>
      <w:r/>
    </w:p>
    <w:p>
      <w:pPr>
        <w:ind w:firstLine="482"/>
        <w:spacing w:line="400" w:lineRule="exact"/>
        <w:rPr>
          <w:rFonts w:hint="eastAsia" w:ascii="宋体" w:hAnsi="宋体" w:cs="Courier New"/>
          <w:sz w:val="24"/>
          <w:szCs w:val="24"/>
          <w:highlight w:val="none"/>
        </w:rPr>
      </w:pPr>
      <w:r>
        <w:rPr>
          <w:rFonts w:hAnsi="宋体"/>
          <w:b/>
          <w:color w:val="000000" w:themeColor="text1"/>
          <w:sz w:val="24"/>
          <w:szCs w:val="24"/>
          <w:highlight w:val="none"/>
          <w14:textFill>
            <w14:solidFill>
              <w14:schemeClr w14:val="tx1"/>
            </w14:solidFill>
          </w14:textFill>
        </w:rPr>
        <w:t xml:space="preserve">十、</w:t>
      </w:r>
      <w:r>
        <w:rPr>
          <w:rFonts w:ascii="宋体" w:hAnsi="宋体" w:cs="Courier New"/>
          <w:b/>
          <w:sz w:val="24"/>
          <w:szCs w:val="24"/>
          <w:highlight w:val="none"/>
        </w:rPr>
        <w:t xml:space="preserve">质量</w:t>
      </w:r>
      <w:r>
        <w:rPr>
          <w:rFonts w:hint="eastAsia" w:ascii="宋体" w:hAnsi="宋体" w:cs="Courier New"/>
          <w:b/>
          <w:sz w:val="24"/>
          <w:szCs w:val="24"/>
          <w:highlight w:val="none"/>
        </w:rPr>
        <w:t xml:space="preserve">保修范围和保修期</w:t>
      </w:r>
      <w:r>
        <w:rPr>
          <w:rFonts w:ascii="宋体" w:hAnsi="宋体" w:cs="Courier New"/>
          <w:b/>
          <w:sz w:val="24"/>
          <w:szCs w:val="24"/>
          <w:highlight w:val="none"/>
        </w:rPr>
        <w:t xml:space="preserve">及售后服务</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0</w:t>
      </w:r>
      <w:r>
        <w:rPr>
          <w:rFonts w:ascii="宋体" w:hAnsi="宋体" w:cs="Courier New"/>
          <w:sz w:val="24"/>
          <w:szCs w:val="24"/>
          <w:highlight w:val="none"/>
        </w:rPr>
        <w:t xml:space="preserve">.1 乙方应按招标文件规定的货物性能、技术要求、质量标准向甲方提供未经使用的全新产品。</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0</w:t>
      </w:r>
      <w:r>
        <w:rPr>
          <w:rFonts w:ascii="宋体" w:hAnsi="宋体" w:cs="Courier New"/>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⑴更换：由乙方承担所发生的全部费用。</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⑵贬值处理：由甲乙双方合议定价。</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0</w:t>
      </w:r>
      <w:r>
        <w:rPr>
          <w:rFonts w:ascii="宋体" w:hAnsi="宋体" w:cs="Courier New"/>
          <w:sz w:val="24"/>
          <w:szCs w:val="24"/>
          <w:highlight w:val="none"/>
        </w:rPr>
        <w:t xml:space="preserve">.3 如在使用过程中发生质量问题，乙方在接到甲方通知后在_________小时内到达甲方现场。</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0</w:t>
      </w:r>
      <w:r>
        <w:rPr>
          <w:rFonts w:ascii="宋体" w:hAnsi="宋体" w:cs="Courier New"/>
          <w:sz w:val="24"/>
          <w:szCs w:val="24"/>
          <w:highlight w:val="none"/>
        </w:rPr>
        <w:t xml:space="preserve">.4 在质保期内，乙方应对货物出现的质量及安全问题负责处理解决并承担一切费用。</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0</w:t>
      </w:r>
      <w:r>
        <w:rPr>
          <w:rFonts w:ascii="宋体" w:hAnsi="宋体" w:cs="Courier New"/>
          <w:sz w:val="24"/>
          <w:szCs w:val="24"/>
          <w:highlight w:val="none"/>
        </w:rPr>
        <w:t xml:space="preserve">.5</w:t>
      </w:r>
      <w:r>
        <w:rPr>
          <w:rFonts w:hint="eastAsia" w:ascii="宋体" w:hAnsi="宋体" w:cs="Courier New"/>
          <w:sz w:val="24"/>
          <w:szCs w:val="24"/>
          <w:highlight w:val="none"/>
        </w:rPr>
        <w:t xml:space="preserve">上述</w:t>
      </w:r>
      <w:r>
        <w:rPr>
          <w:rFonts w:ascii="宋体" w:hAnsi="宋体" w:cs="Courier New"/>
          <w:sz w:val="24"/>
          <w:szCs w:val="24"/>
          <w:highlight w:val="none"/>
        </w:rPr>
        <w:t xml:space="preserve">货物免费保修期为</w:t>
      </w:r>
      <w:r>
        <w:rPr>
          <w:rFonts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 </w:t>
      </w:r>
      <w:r>
        <w:rPr>
          <w:rFonts w:ascii="宋体" w:hAnsi="宋体" w:cs="Courier New"/>
          <w:sz w:val="24"/>
          <w:szCs w:val="24"/>
          <w:highlight w:val="none"/>
          <w:u w:val="single"/>
        </w:rPr>
        <w:t xml:space="preserve"> </w:t>
      </w:r>
      <w:r>
        <w:rPr>
          <w:rFonts w:ascii="宋体" w:hAnsi="宋体" w:cs="Courier New"/>
          <w:sz w:val="24"/>
          <w:szCs w:val="24"/>
          <w:highlight w:val="none"/>
        </w:rPr>
        <w:t xml:space="preserve">年（自交货验收合格之日起计），因人为因素出现的故障不在免费保修范围内。</w:t>
      </w:r>
      <w:r/>
    </w:p>
    <w:p>
      <w:pPr>
        <w:pStyle w:val="903"/>
        <w:ind w:firstLine="482"/>
        <w:spacing w:line="400" w:lineRule="exact"/>
        <w:rPr>
          <w:rFonts w:hAnsi="宋体"/>
          <w:b/>
          <w:color w:val="000000" w:themeColor="text1"/>
          <w:sz w:val="24"/>
          <w:szCs w:val="24"/>
          <w:highlight w:val="none"/>
          <w14:textFill>
            <w14:solidFill>
              <w14:schemeClr w14:val="tx1"/>
            </w14:solidFill>
          </w14:textFill>
        </w:rPr>
      </w:pPr>
      <w:r>
        <w:rPr>
          <w:rFonts w:ascii="宋体" w:hAnsi="宋体" w:cs="Courier New"/>
          <w:b/>
          <w:sz w:val="24"/>
          <w:szCs w:val="24"/>
          <w:highlight w:val="none"/>
        </w:rPr>
        <w:t xml:space="preserve">十</w:t>
      </w:r>
      <w:r>
        <w:rPr>
          <w:rFonts w:hint="eastAsia" w:ascii="宋体" w:hAnsi="宋体" w:cs="Courier New"/>
          <w:b/>
          <w:sz w:val="24"/>
          <w:szCs w:val="24"/>
          <w:highlight w:val="none"/>
        </w:rPr>
        <w:t xml:space="preserve">一</w:t>
      </w:r>
      <w:r>
        <w:rPr>
          <w:rFonts w:ascii="宋体" w:hAnsi="宋体" w:cs="Courier New"/>
          <w:b/>
          <w:sz w:val="24"/>
          <w:szCs w:val="24"/>
          <w:highlight w:val="none"/>
        </w:rPr>
        <w:t xml:space="preserve">、</w:t>
      </w:r>
      <w:r>
        <w:rPr>
          <w:rFonts w:hint="eastAsia" w:hAnsi="宋体"/>
          <w:b/>
          <w:color w:val="000000" w:themeColor="text1"/>
          <w:sz w:val="24"/>
          <w:szCs w:val="24"/>
          <w:highlight w:val="none"/>
          <w14:textFill>
            <w14:solidFill>
              <w14:schemeClr w14:val="tx1"/>
            </w14:solidFill>
          </w14:textFill>
        </w:rPr>
        <w:t xml:space="preserve">项目</w:t>
      </w:r>
      <w:r>
        <w:rPr>
          <w:rFonts w:hAnsi="宋体"/>
          <w:b/>
          <w:color w:val="000000" w:themeColor="text1"/>
          <w:sz w:val="24"/>
          <w:szCs w:val="24"/>
          <w:highlight w:val="none"/>
          <w14:textFill>
            <w14:solidFill>
              <w14:schemeClr w14:val="tx1"/>
            </w14:solidFill>
          </w14:textFill>
        </w:rPr>
        <w:t xml:space="preserve">验收</w:t>
      </w:r>
      <w:r/>
    </w:p>
    <w:p>
      <w:pPr>
        <w:pStyle w:val="90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 xml:space="preserve">11</w:t>
      </w:r>
      <w:r>
        <w:rPr>
          <w:rFonts w:hint="eastAsia" w:hAnsi="宋体"/>
          <w:color w:val="000000" w:themeColor="text1"/>
          <w:sz w:val="24"/>
          <w:szCs w:val="24"/>
          <w:highlight w:val="none"/>
          <w14:textFill>
            <w14:solidFill>
              <w14:schemeClr w14:val="tx1"/>
            </w14:solidFill>
          </w14:textFill>
        </w:rPr>
        <w:t xml:space="preserve">.1 甲方依法组织履约验收工作。</w:t>
      </w:r>
      <w:r/>
    </w:p>
    <w:p>
      <w:pPr>
        <w:pStyle w:val="90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 xml:space="preserve">11</w:t>
      </w:r>
      <w:r>
        <w:rPr>
          <w:rFonts w:hint="eastAsia" w:hAnsi="宋体"/>
          <w:color w:val="000000" w:themeColor="text1"/>
          <w:sz w:val="24"/>
          <w:szCs w:val="24"/>
          <w:highlight w:val="none"/>
          <w14:textFill>
            <w14:solidFill>
              <w14:schemeClr w14:val="tx1"/>
            </w14:solidFill>
          </w14:textFill>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0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 xml:space="preserve">11</w:t>
      </w:r>
      <w:r>
        <w:rPr>
          <w:rFonts w:hint="eastAsia" w:hAnsi="宋体"/>
          <w:color w:val="000000" w:themeColor="text1"/>
          <w:sz w:val="24"/>
          <w:szCs w:val="24"/>
          <w:highlight w:val="none"/>
          <w14:textFill>
            <w14:solidFill>
              <w14:schemeClr w14:val="tx1"/>
            </w14:solidFill>
          </w14:textFill>
        </w:rPr>
        <w:t xml:space="preserve">.3 对于实际使用人和甲方分离的项目，甲方邀请实际使用人参与验收。</w:t>
      </w:r>
      <w:r/>
    </w:p>
    <w:p>
      <w:pPr>
        <w:pStyle w:val="90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 xml:space="preserve">11</w:t>
      </w:r>
      <w:r>
        <w:rPr>
          <w:rFonts w:hint="eastAsia" w:hAnsi="宋体"/>
          <w:color w:val="000000" w:themeColor="text1"/>
          <w:sz w:val="24"/>
          <w:szCs w:val="24"/>
          <w:highlight w:val="none"/>
          <w14:textFill>
            <w14:solidFill>
              <w14:schemeClr w14:val="tx1"/>
            </w14:solidFill>
          </w14:textFill>
        </w:rPr>
        <w:t xml:space="preserve">.4 如有必要，甲方邀请参加本项目的其他供应商或第三方专业机构及专家参与验收，相关意见将作为验收书的参考资料。</w:t>
      </w:r>
      <w:r/>
    </w:p>
    <w:p>
      <w:pPr>
        <w:pStyle w:val="90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 xml:space="preserve">11</w:t>
      </w:r>
      <w:r>
        <w:rPr>
          <w:rFonts w:hint="eastAsia" w:hAnsi="宋体"/>
          <w:color w:val="000000" w:themeColor="text1"/>
          <w:sz w:val="24"/>
          <w:szCs w:val="24"/>
          <w:highlight w:val="none"/>
          <w14:textFill>
            <w14:solidFill>
              <w14:schemeClr w14:val="tx1"/>
            </w14:solidFill>
          </w14:textFill>
        </w:rPr>
        <w:t xml:space="preserve">.5 甲方成立验收小组，按照采购合同的约定对乙方的履约情况进行验收。验收</w:t>
      </w:r>
      <w:r>
        <w:rPr>
          <w:rFonts w:hint="eastAsia" w:ascii="宋体" w:hAnsi="宋体" w:cs="Courier New"/>
          <w:sz w:val="24"/>
          <w:szCs w:val="24"/>
          <w:highlight w:val="none"/>
        </w:rPr>
        <w:t xml:space="preserve">时间、验收标准见招标文件验收内容。验收</w:t>
      </w:r>
      <w:r>
        <w:rPr>
          <w:rFonts w:hint="eastAsia" w:hAnsi="宋体"/>
          <w:color w:val="000000" w:themeColor="text1"/>
          <w:sz w:val="24"/>
          <w:szCs w:val="24"/>
          <w:highlight w:val="none"/>
          <w14:textFill>
            <w14:solidFill>
              <w14:schemeClr w14:val="tx1"/>
            </w14:solidFill>
          </w14:textFill>
        </w:rPr>
        <w:t xml:space="preserve">时</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甲方按照采购合同的约定对每一项技术、</w:t>
      </w:r>
      <w:r>
        <w:rPr>
          <w:rFonts w:hint="eastAsia" w:ascii="宋体" w:hAnsi="宋体" w:cs="Courier New"/>
          <w:sz w:val="24"/>
          <w:szCs w:val="24"/>
          <w:highlight w:val="none"/>
        </w:rPr>
        <w:t xml:space="preserve">商务要求</w:t>
      </w:r>
      <w:r>
        <w:rPr>
          <w:rFonts w:hint="eastAsia" w:hAnsi="宋体"/>
          <w:color w:val="000000" w:themeColor="text1"/>
          <w:sz w:val="24"/>
          <w:szCs w:val="24"/>
          <w:highlight w:val="none"/>
          <w14:textFill>
            <w14:solidFill>
              <w14:schemeClr w14:val="tx1"/>
            </w14:solidFill>
          </w14:textFill>
        </w:rPr>
        <w:t xml:space="preserve">的履约情况进行确认。验收结束后</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验收小组出具验收书</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列明各项标准的验收情况及项目总体评价</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由验收双方共同签署。验收结果与采购合同约定的资金支付及履约保证金返还条件挂钩。履约验收的各项资料存档备查。</w:t>
      </w:r>
      <w:r/>
    </w:p>
    <w:p>
      <w:pPr>
        <w:pStyle w:val="903"/>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highlight w:val="none"/>
        </w:rPr>
        <w:t xml:space="preserve">11</w:t>
      </w:r>
      <w:r>
        <w:rPr>
          <w:rFonts w:hint="eastAsia" w:hAnsi="宋体"/>
          <w:color w:val="000000" w:themeColor="text1"/>
          <w:sz w:val="24"/>
          <w:szCs w:val="24"/>
          <w:highlight w:val="none"/>
          <w14:textFill>
            <w14:solidFill>
              <w14:schemeClr w14:val="tx1"/>
            </w14:solidFill>
          </w14:textFill>
        </w:rPr>
        <w:t xml:space="preserve">.6 验收合格的项目</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甲方将及时报告本级财政部门。</w:t>
      </w:r>
      <w:r/>
    </w:p>
    <w:p>
      <w:pPr>
        <w:ind w:firstLine="482"/>
        <w:spacing w:line="400" w:lineRule="exact"/>
        <w:rPr>
          <w:rFonts w:hint="eastAsia" w:ascii="宋体" w:hAnsi="宋体" w:cs="Courier New"/>
          <w:b/>
          <w:sz w:val="24"/>
          <w:szCs w:val="24"/>
          <w:highlight w:val="none"/>
        </w:rPr>
      </w:pPr>
      <w:r>
        <w:rPr>
          <w:rFonts w:hAnsi="宋体"/>
          <w:b/>
          <w:color w:val="000000" w:themeColor="text1"/>
          <w:sz w:val="24"/>
          <w:szCs w:val="24"/>
          <w:highlight w:val="none"/>
          <w14:textFill>
            <w14:solidFill>
              <w14:schemeClr w14:val="tx1"/>
            </w14:solidFill>
          </w14:textFill>
        </w:rPr>
        <w:t xml:space="preserve">十</w:t>
      </w:r>
      <w:r>
        <w:rPr>
          <w:rFonts w:hint="eastAsia" w:ascii="宋体" w:hAnsi="宋体" w:cs="Courier New"/>
          <w:b/>
          <w:sz w:val="24"/>
          <w:szCs w:val="24"/>
          <w:highlight w:val="none"/>
        </w:rPr>
        <w:t xml:space="preserve">二</w:t>
      </w:r>
      <w:r>
        <w:rPr>
          <w:rFonts w:ascii="宋体" w:hAnsi="宋体" w:cs="Courier New"/>
          <w:b/>
          <w:sz w:val="24"/>
          <w:szCs w:val="24"/>
          <w:highlight w:val="none"/>
        </w:rPr>
        <w:t xml:space="preserve">、货物</w:t>
      </w:r>
      <w:r>
        <w:rPr>
          <w:rFonts w:hint="eastAsia" w:ascii="宋体" w:hAnsi="宋体" w:cs="Courier New"/>
          <w:b/>
          <w:sz w:val="24"/>
          <w:szCs w:val="24"/>
          <w:highlight w:val="none"/>
        </w:rPr>
        <w:t xml:space="preserve">的</w:t>
      </w:r>
      <w:r>
        <w:rPr>
          <w:rFonts w:ascii="宋体" w:hAnsi="宋体" w:cs="Courier New"/>
          <w:b/>
          <w:sz w:val="24"/>
          <w:szCs w:val="24"/>
          <w:highlight w:val="none"/>
        </w:rPr>
        <w:t xml:space="preserve">包装、发运及运输</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sz w:val="24"/>
          <w:szCs w:val="24"/>
          <w:highlight w:val="none"/>
        </w:rPr>
        <w:t xml:space="preserve">乙方对货物的包装应符合《商品包装政府采购需求标准（试行）</w:t>
      </w:r>
      <w:r>
        <w:rPr>
          <w:rFonts w:hint="eastAsia" w:ascii="宋体" w:hAnsi="宋体"/>
          <w:sz w:val="24"/>
          <w:szCs w:val="24"/>
          <w:highlight w:val="none"/>
          <w:lang w:eastAsia="zh-CN"/>
        </w:rPr>
        <w:t xml:space="preserve">》和</w:t>
      </w:r>
      <w:r>
        <w:rPr>
          <w:rFonts w:hint="eastAsia" w:ascii="宋体" w:hAnsi="宋体"/>
          <w:sz w:val="24"/>
          <w:szCs w:val="24"/>
          <w:highlight w:val="none"/>
        </w:rPr>
        <w:t xml:space="preserve">《快递包装政府采购需求标准（试行）》的规定。</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.2 使用说明书、质量检验证明书、随配附件和工具以及清单一并附于货物内。</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.3 乙方在货物发运手续办理完毕后24小时内或货到甲方48小时前通知甲方，以准备接货。</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.4 货物在交付甲方前发生的风险均由乙方负责。</w:t>
      </w:r>
      <w:r/>
    </w:p>
    <w:p>
      <w:pPr>
        <w:ind w:firstLine="480"/>
        <w:spacing w:line="400" w:lineRule="exact"/>
        <w:rPr>
          <w:rFonts w:hint="eastAsia"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.5 货物在规定的交付期限内由乙方送达甲方指定的地点视为交付，乙方同时需通知甲方货物已送达。</w:t>
      </w:r>
      <w:r/>
    </w:p>
    <w:p>
      <w:pPr>
        <w:pStyle w:val="903"/>
        <w:ind w:firstLine="482"/>
        <w:spacing w:line="400" w:lineRule="exact"/>
        <w:rPr>
          <w:rFonts w:hAnsi="宋体"/>
          <w:b/>
          <w:color w:val="000000" w:themeColor="text1"/>
          <w:sz w:val="24"/>
          <w:szCs w:val="24"/>
          <w:highlight w:val="none"/>
          <w14:textFill>
            <w14:solidFill>
              <w14:schemeClr w14:val="tx1"/>
            </w14:solidFill>
          </w14:textFill>
        </w:rPr>
      </w:pPr>
      <w:r>
        <w:rPr>
          <w:rFonts w:ascii="宋体" w:hAnsi="宋体" w:cs="Courier New"/>
          <w:b/>
          <w:sz w:val="24"/>
          <w:szCs w:val="24"/>
          <w:highlight w:val="none"/>
        </w:rPr>
        <w:t xml:space="preserve">十</w:t>
      </w:r>
      <w:r>
        <w:rPr>
          <w:rFonts w:hint="eastAsia" w:ascii="宋体" w:hAnsi="宋体" w:cs="Courier New"/>
          <w:b/>
          <w:sz w:val="24"/>
          <w:szCs w:val="24"/>
          <w:highlight w:val="none"/>
        </w:rPr>
        <w:t xml:space="preserve">三</w:t>
      </w:r>
      <w:r>
        <w:rPr>
          <w:rFonts w:hAnsi="宋体"/>
          <w:b/>
          <w:color w:val="000000" w:themeColor="text1"/>
          <w:sz w:val="24"/>
          <w:szCs w:val="24"/>
          <w:highlight w:val="none"/>
          <w14:textFill>
            <w14:solidFill>
              <w14:schemeClr w14:val="tx1"/>
            </w14:solidFill>
          </w14:textFill>
        </w:rPr>
        <w:t xml:space="preserve">、违约责任</w:t>
      </w:r>
      <w:r/>
    </w:p>
    <w:p>
      <w:pPr>
        <w:pStyle w:val="903"/>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3</w:t>
      </w:r>
      <w:r>
        <w:rPr>
          <w:rFonts w:hAnsi="宋体"/>
          <w:color w:val="000000" w:themeColor="text1"/>
          <w:sz w:val="24"/>
          <w:szCs w:val="24"/>
          <w:highlight w:val="none"/>
          <w14:textFill>
            <w14:solidFill>
              <w14:schemeClr w14:val="tx1"/>
            </w14:solidFill>
          </w14:textFill>
        </w:rPr>
        <w:t xml:space="preserve">.1 甲方无正当理由</w:t>
      </w:r>
      <w:r>
        <w:rPr>
          <w:rFonts w:ascii="宋体" w:hAnsi="宋体" w:cs="Courier New"/>
          <w:sz w:val="24"/>
          <w:szCs w:val="24"/>
          <w:highlight w:val="none"/>
        </w:rPr>
        <w:t xml:space="preserve">拒收货物</w:t>
      </w:r>
      <w:r>
        <w:rPr>
          <w:rFonts w:hAnsi="宋体"/>
          <w:color w:val="000000" w:themeColor="text1"/>
          <w:sz w:val="24"/>
          <w:szCs w:val="24"/>
          <w:highlight w:val="none"/>
          <w14:textFill>
            <w14:solidFill>
              <w14:schemeClr w14:val="tx1"/>
            </w14:solidFill>
          </w14:textFill>
        </w:rPr>
        <w:t xml:space="preserve">的，甲方向乙方偿付</w:t>
      </w:r>
      <w:r>
        <w:rPr>
          <w:rFonts w:ascii="宋体" w:hAnsi="宋体" w:cs="Courier New"/>
          <w:sz w:val="24"/>
          <w:szCs w:val="24"/>
          <w:highlight w:val="none"/>
        </w:rPr>
        <w:t xml:space="preserve">拒收货款</w:t>
      </w:r>
      <w:r>
        <w:rPr>
          <w:rFonts w:hAnsi="宋体"/>
          <w:color w:val="000000" w:themeColor="text1"/>
          <w:sz w:val="24"/>
          <w:szCs w:val="24"/>
          <w:highlight w:val="none"/>
          <w14:textFill>
            <w14:solidFill>
              <w14:schemeClr w14:val="tx1"/>
            </w14:solidFill>
          </w14:textFill>
        </w:rPr>
        <w:t xml:space="preserve">总值</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的违约金。</w:t>
      </w:r>
      <w:r/>
    </w:p>
    <w:p>
      <w:pPr>
        <w:pStyle w:val="903"/>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3</w:t>
      </w:r>
      <w:r>
        <w:rPr>
          <w:rFonts w:hAnsi="宋体"/>
          <w:color w:val="000000" w:themeColor="text1"/>
          <w:sz w:val="24"/>
          <w:szCs w:val="24"/>
          <w:highlight w:val="none"/>
          <w14:textFill>
            <w14:solidFill>
              <w14:schemeClr w14:val="tx1"/>
            </w14:solidFill>
          </w14:textFill>
        </w:rPr>
        <w:t xml:space="preserve">.2 甲方无故逾期验收和办理</w:t>
      </w:r>
      <w:r>
        <w:rPr>
          <w:rFonts w:ascii="宋体" w:hAnsi="宋体" w:cs="Courier New"/>
          <w:sz w:val="24"/>
          <w:szCs w:val="24"/>
          <w:highlight w:val="none"/>
        </w:rPr>
        <w:t xml:space="preserve">货款</w:t>
      </w:r>
      <w:r>
        <w:rPr>
          <w:rFonts w:hAnsi="宋体"/>
          <w:color w:val="000000" w:themeColor="text1"/>
          <w:sz w:val="24"/>
          <w:szCs w:val="24"/>
          <w:highlight w:val="none"/>
          <w14:textFill>
            <w14:solidFill>
              <w14:schemeClr w14:val="tx1"/>
            </w14:solidFill>
          </w14:textFill>
        </w:rPr>
        <w:t xml:space="preserve">支付手续的</w:t>
      </w:r>
      <w:r>
        <w:rPr>
          <w:rFonts w:hint="eastAsia" w:hAnsi="宋体"/>
          <w:color w:val="000000" w:themeColor="text1"/>
          <w:sz w:val="24"/>
          <w:szCs w:val="24"/>
          <w:highlight w:val="none"/>
          <w:lang w:eastAsia="zh-CN"/>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甲方应按逾期付款总额</w:t>
      </w:r>
      <w:r>
        <w:rPr>
          <w:rFonts w:ascii="宋体" w:hAnsi="宋体" w:cs="Courier New"/>
          <w:sz w:val="24"/>
          <w:szCs w:val="24"/>
          <w:highlight w:val="none"/>
        </w:rPr>
        <w:t xml:space="preserve">每日</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向乙方支付违约金。</w:t>
      </w:r>
      <w:r/>
    </w:p>
    <w:p>
      <w:pPr>
        <w:pStyle w:val="903"/>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3</w:t>
      </w:r>
      <w:r>
        <w:rPr>
          <w:rFonts w:hAnsi="宋体"/>
          <w:color w:val="000000" w:themeColor="text1"/>
          <w:sz w:val="24"/>
          <w:szCs w:val="24"/>
          <w:highlight w:val="none"/>
          <w14:textFill>
            <w14:solidFill>
              <w14:schemeClr w14:val="tx1"/>
            </w14:solidFill>
          </w14:textFill>
        </w:rPr>
        <w:t xml:space="preserve">.3 乙方逾期</w:t>
      </w:r>
      <w:r>
        <w:rPr>
          <w:rFonts w:ascii="宋体" w:hAnsi="宋体" w:cs="Courier New"/>
          <w:sz w:val="24"/>
          <w:szCs w:val="24"/>
          <w:highlight w:val="none"/>
        </w:rPr>
        <w:t xml:space="preserve">交付货物</w:t>
      </w:r>
      <w:r>
        <w:rPr>
          <w:rFonts w:hAnsi="宋体"/>
          <w:color w:val="000000" w:themeColor="text1"/>
          <w:sz w:val="24"/>
          <w:szCs w:val="24"/>
          <w:highlight w:val="none"/>
          <w14:textFill>
            <w14:solidFill>
              <w14:schemeClr w14:val="tx1"/>
            </w14:solidFill>
          </w14:textFill>
        </w:rPr>
        <w:t xml:space="preserve">的，乙方应按逾期</w:t>
      </w:r>
      <w:r>
        <w:rPr>
          <w:rFonts w:ascii="宋体" w:hAnsi="宋体" w:cs="Courier New"/>
          <w:sz w:val="24"/>
          <w:szCs w:val="24"/>
          <w:highlight w:val="none"/>
        </w:rPr>
        <w:t xml:space="preserve">交货</w:t>
      </w:r>
      <w:r>
        <w:rPr>
          <w:rFonts w:hAnsi="宋体"/>
          <w:color w:val="000000" w:themeColor="text1"/>
          <w:sz w:val="24"/>
          <w:szCs w:val="24"/>
          <w:highlight w:val="none"/>
          <w14:textFill>
            <w14:solidFill>
              <w14:schemeClr w14:val="tx1"/>
            </w14:solidFill>
          </w14:textFill>
        </w:rPr>
        <w:t xml:space="preserve">总额每日千分之六向甲方支付违约金，由甲方从待付</w:t>
      </w:r>
      <w:r>
        <w:rPr>
          <w:rFonts w:ascii="宋体" w:hAnsi="宋体" w:cs="Courier New"/>
          <w:sz w:val="24"/>
          <w:szCs w:val="24"/>
          <w:highlight w:val="none"/>
        </w:rPr>
        <w:t xml:space="preserve">货款</w:t>
      </w:r>
      <w:r>
        <w:rPr>
          <w:rFonts w:hAnsi="宋体"/>
          <w:color w:val="000000" w:themeColor="text1"/>
          <w:sz w:val="24"/>
          <w:szCs w:val="24"/>
          <w:highlight w:val="none"/>
          <w14:textFill>
            <w14:solidFill>
              <w14:schemeClr w14:val="tx1"/>
            </w14:solidFill>
          </w14:textFill>
        </w:rPr>
        <w:t xml:space="preserve">中扣除。逾期超过约定日期10个工作日不能</w:t>
      </w:r>
      <w:r>
        <w:rPr>
          <w:rFonts w:ascii="宋体" w:hAnsi="宋体" w:cs="Courier New"/>
          <w:sz w:val="24"/>
          <w:szCs w:val="24"/>
          <w:highlight w:val="none"/>
        </w:rPr>
        <w:t xml:space="preserve">交货</w:t>
      </w:r>
      <w:r>
        <w:rPr>
          <w:rFonts w:hAnsi="宋体"/>
          <w:color w:val="000000" w:themeColor="text1"/>
          <w:sz w:val="24"/>
          <w:szCs w:val="24"/>
          <w:highlight w:val="none"/>
          <w14:textFill>
            <w14:solidFill>
              <w14:schemeClr w14:val="tx1"/>
            </w14:solidFill>
          </w14:textFill>
        </w:rPr>
        <w:t xml:space="preserve">的，甲方可解除本合同。乙方因逾期</w:t>
      </w:r>
      <w:r>
        <w:rPr>
          <w:rFonts w:ascii="宋体" w:hAnsi="宋体" w:cs="Courier New"/>
          <w:sz w:val="24"/>
          <w:szCs w:val="24"/>
          <w:highlight w:val="none"/>
        </w:rPr>
        <w:t xml:space="preserve">交货</w:t>
      </w:r>
      <w:r>
        <w:rPr>
          <w:rFonts w:hAnsi="宋体"/>
          <w:color w:val="000000" w:themeColor="text1"/>
          <w:sz w:val="24"/>
          <w:szCs w:val="24"/>
          <w:highlight w:val="none"/>
          <w14:textFill>
            <w14:solidFill>
              <w14:schemeClr w14:val="tx1"/>
            </w14:solidFill>
          </w14:textFill>
        </w:rPr>
        <w:t xml:space="preserve">或因其他违约行为导致甲方解除合同的，乙方应向甲方支付合同</w:t>
      </w:r>
      <w:r>
        <w:rPr>
          <w:rFonts w:ascii="宋体" w:hAnsi="宋体" w:cs="Courier New"/>
          <w:sz w:val="24"/>
          <w:szCs w:val="24"/>
          <w:highlight w:val="none"/>
        </w:rPr>
        <w:t xml:space="preserve">总值</w:t>
      </w:r>
      <w:r>
        <w:rPr>
          <w:rFonts w:hint="eastAsia" w:ascii="宋体" w:hAnsi="宋体" w:cs="Courier New"/>
          <w:sz w:val="24"/>
          <w:szCs w:val="24"/>
          <w:highlight w:val="none"/>
          <w:u w:val="single"/>
        </w:rPr>
        <w:t xml:space="preserve">    </w:t>
      </w:r>
      <w:r>
        <w:rPr>
          <w:rFonts w:hAnsi="宋体"/>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pStyle w:val="903"/>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3</w:t>
      </w:r>
      <w:r>
        <w:rPr>
          <w:rFonts w:hAnsi="宋体"/>
          <w:color w:val="000000" w:themeColor="text1"/>
          <w:sz w:val="24"/>
          <w:szCs w:val="24"/>
          <w:highlight w:val="none"/>
          <w14:textFill>
            <w14:solidFill>
              <w14:schemeClr w14:val="tx1"/>
            </w14:solidFill>
          </w14:textFill>
        </w:rPr>
        <w:t xml:space="preserve">.4 乙方</w:t>
      </w:r>
      <w:r>
        <w:rPr>
          <w:rFonts w:hint="eastAsia" w:hAnsi="宋体"/>
          <w:color w:val="000000" w:themeColor="text1"/>
          <w:sz w:val="24"/>
          <w:szCs w:val="24"/>
          <w:highlight w:val="none"/>
          <w14:textFill>
            <w14:solidFill>
              <w14:schemeClr w14:val="tx1"/>
            </w14:solidFill>
          </w14:textFill>
        </w:rPr>
        <w:t xml:space="preserve">所</w:t>
      </w:r>
      <w:r>
        <w:rPr>
          <w:rFonts w:ascii="宋体" w:hAnsi="宋体" w:cs="Courier New"/>
          <w:sz w:val="24"/>
          <w:szCs w:val="24"/>
          <w:highlight w:val="none"/>
        </w:rPr>
        <w:t xml:space="preserve">交的货物品种、型号、规格、技术参数、质量</w:t>
      </w:r>
      <w:r>
        <w:rPr>
          <w:rFonts w:hAnsi="宋体"/>
          <w:color w:val="000000" w:themeColor="text1"/>
          <w:sz w:val="24"/>
          <w:szCs w:val="24"/>
          <w:highlight w:val="none"/>
          <w14:textFill>
            <w14:solidFill>
              <w14:schemeClr w14:val="tx1"/>
            </w14:solidFill>
          </w14:textFill>
        </w:rPr>
        <w:t xml:space="preserve">不符合合同规定及招标文件规定标准的，甲方有权</w:t>
      </w:r>
      <w:r>
        <w:rPr>
          <w:rFonts w:ascii="宋体" w:hAnsi="宋体" w:cs="Courier New"/>
          <w:sz w:val="24"/>
          <w:szCs w:val="24"/>
          <w:highlight w:val="none"/>
        </w:rPr>
        <w:t xml:space="preserve">拒收该货物，乙方愿意更换货物但逾期交货的，按乙方逾期交货处理。乙方</w:t>
      </w:r>
      <w:r>
        <w:rPr>
          <w:rFonts w:hint="eastAsia" w:hAnsi="宋体"/>
          <w:color w:val="000000" w:themeColor="text1"/>
          <w:sz w:val="24"/>
          <w:szCs w:val="24"/>
          <w:highlight w:val="none"/>
          <w14:textFill>
            <w14:solidFill>
              <w14:schemeClr w14:val="tx1"/>
            </w14:solidFill>
          </w14:textFill>
        </w:rPr>
        <w:t xml:space="preserve">拒绝</w:t>
      </w:r>
      <w:r>
        <w:rPr>
          <w:rFonts w:hAnsi="宋体"/>
          <w:color w:val="000000" w:themeColor="text1"/>
          <w:sz w:val="24"/>
          <w:szCs w:val="24"/>
          <w:highlight w:val="none"/>
          <w14:textFill>
            <w14:solidFill>
              <w14:schemeClr w14:val="tx1"/>
            </w14:solidFill>
          </w14:textFill>
        </w:rPr>
        <w:t xml:space="preserve">可单方面解除合同。</w:t>
      </w:r>
      <w:r/>
    </w:p>
    <w:p>
      <w:pPr>
        <w:pStyle w:val="903"/>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ascii="宋体" w:hAnsi="宋体" w:cs="Courier New"/>
          <w:b/>
          <w:sz w:val="24"/>
          <w:szCs w:val="24"/>
          <w:highlight w:val="none"/>
        </w:rPr>
        <w:t xml:space="preserve">四</w:t>
      </w:r>
      <w:r>
        <w:rPr>
          <w:rFonts w:hAnsi="宋体"/>
          <w:b/>
          <w:color w:val="000000" w:themeColor="text1"/>
          <w:sz w:val="24"/>
          <w:szCs w:val="24"/>
          <w:highlight w:val="none"/>
          <w14:textFill>
            <w14:solidFill>
              <w14:schemeClr w14:val="tx1"/>
            </w14:solidFill>
          </w14:textFill>
        </w:rPr>
        <w:t xml:space="preserve">、不可抗力事件处理</w:t>
      </w:r>
      <w:r/>
    </w:p>
    <w:p>
      <w:pPr>
        <w:pStyle w:val="903"/>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4</w:t>
      </w:r>
      <w:r>
        <w:rPr>
          <w:rFonts w:hAnsi="宋体"/>
          <w:color w:val="000000" w:themeColor="text1"/>
          <w:sz w:val="24"/>
          <w:szCs w:val="24"/>
          <w:highlight w:val="none"/>
          <w14:textFill>
            <w14:solidFill>
              <w14:schemeClr w14:val="tx1"/>
            </w14:solidFill>
          </w14:textFill>
        </w:rPr>
        <w:t xml:space="preserve">.1 在合同有效期内，任何一方因不可抗力事件导致不能履行合同，则合同履行期可延长，其延长期与不可抗力影响</w:t>
      </w:r>
      <w:r>
        <w:rPr>
          <w:rFonts w:hint="eastAsia" w:hAnsi="宋体"/>
          <w:color w:val="000000" w:themeColor="text1"/>
          <w:sz w:val="24"/>
          <w:szCs w:val="24"/>
          <w:highlight w:val="non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期相同。</w:t>
      </w:r>
      <w:r/>
    </w:p>
    <w:p>
      <w:pPr>
        <w:pStyle w:val="903"/>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4</w:t>
      </w:r>
      <w:r>
        <w:rPr>
          <w:rFonts w:hAnsi="宋体"/>
          <w:color w:val="000000" w:themeColor="text1"/>
          <w:sz w:val="24"/>
          <w:szCs w:val="24"/>
          <w:highlight w:val="none"/>
          <w14:textFill>
            <w14:solidFill>
              <w14:schemeClr w14:val="tx1"/>
            </w14:solidFill>
          </w14:textFill>
        </w:rPr>
        <w:t xml:space="preserve">.2 不可抗力事件发生后，应立即通知对方，并寄送有关权威机构出具的证明。</w:t>
      </w:r>
      <w:r/>
    </w:p>
    <w:p>
      <w:pPr>
        <w:pStyle w:val="903"/>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4</w:t>
      </w:r>
      <w:r>
        <w:rPr>
          <w:rFonts w:hAnsi="宋体"/>
          <w:color w:val="000000" w:themeColor="text1"/>
          <w:sz w:val="24"/>
          <w:szCs w:val="24"/>
          <w:highlight w:val="none"/>
          <w14:textFill>
            <w14:solidFill>
              <w14:schemeClr w14:val="tx1"/>
            </w14:solidFill>
          </w14:textFill>
        </w:rPr>
        <w:t xml:space="preserve">.3 不可抗力事件延续120天以上，双方应通过友好协商，确定是否继续履行合同。</w:t>
      </w:r>
      <w:r/>
    </w:p>
    <w:p>
      <w:pPr>
        <w:pStyle w:val="903"/>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ascii="宋体" w:hAnsi="宋体" w:cs="Courier New"/>
          <w:b/>
          <w:sz w:val="24"/>
          <w:szCs w:val="24"/>
          <w:highlight w:val="none"/>
        </w:rPr>
        <w:t xml:space="preserve">五</w:t>
      </w:r>
      <w:r>
        <w:rPr>
          <w:rFonts w:hAnsi="宋体"/>
          <w:b/>
          <w:color w:val="000000" w:themeColor="text1"/>
          <w:sz w:val="24"/>
          <w:szCs w:val="24"/>
          <w:highlight w:val="none"/>
          <w14:textFill>
            <w14:solidFill>
              <w14:schemeClr w14:val="tx1"/>
            </w14:solidFill>
          </w14:textFill>
        </w:rPr>
        <w:t xml:space="preserve">、</w:t>
      </w:r>
      <w:r>
        <w:rPr>
          <w:rFonts w:hint="eastAsia" w:hAnsi="宋体"/>
          <w:b/>
          <w:color w:val="000000" w:themeColor="text1"/>
          <w:sz w:val="24"/>
          <w:szCs w:val="24"/>
          <w:highlight w:val="none"/>
          <w14:textFill>
            <w14:solidFill>
              <w14:schemeClr w14:val="tx1"/>
            </w14:solidFill>
          </w14:textFill>
        </w:rPr>
        <w:t xml:space="preserve">解决争议的方法</w:t>
      </w:r>
      <w:r/>
    </w:p>
    <w:p>
      <w:pPr>
        <w:pStyle w:val="903"/>
        <w:ind w:firstLine="480"/>
        <w:spacing w:line="400" w:lineRule="exact"/>
        <w:rPr>
          <w:rFonts w:hint="eastAsia" w:hAnsi="宋体"/>
          <w:color w:val="000000" w:themeColor="text1"/>
          <w:sz w:val="24"/>
          <w:szCs w:val="24"/>
          <w:highlight w:val="none"/>
          <w14:textFill>
            <w14:solidFill>
              <w14:schemeClr w14:val="tx1"/>
            </w14:solidFill>
          </w14:textFill>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5</w:t>
      </w:r>
      <w:r>
        <w:rPr>
          <w:rFonts w:hint="eastAsia"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甲乙</w:t>
      </w:r>
      <w:r>
        <w:rPr>
          <w:rFonts w:hint="eastAsia" w:hAnsi="宋体"/>
          <w:color w:val="000000" w:themeColor="text1"/>
          <w:sz w:val="24"/>
          <w:szCs w:val="24"/>
          <w:highlight w:val="none"/>
          <w14:textFill>
            <w14:solidFill>
              <w14:schemeClr w14:val="tx1"/>
            </w14:solidFill>
          </w14:textFill>
        </w:rPr>
        <w:t xml:space="preserve">双方在签订、履行合同中所发生的一切争议，应通过友好协商解决。如协商不成，由甲方住所地人民法院管辖。</w:t>
      </w:r>
      <w:r/>
    </w:p>
    <w:p>
      <w:pPr>
        <w:pStyle w:val="903"/>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ascii="宋体" w:hAnsi="宋体" w:cs="Courier New"/>
          <w:b/>
          <w:sz w:val="24"/>
          <w:szCs w:val="24"/>
          <w:highlight w:val="none"/>
        </w:rPr>
        <w:t xml:space="preserve">六</w:t>
      </w:r>
      <w:r>
        <w:rPr>
          <w:rFonts w:hAnsi="宋体"/>
          <w:b/>
          <w:color w:val="000000" w:themeColor="text1"/>
          <w:sz w:val="24"/>
          <w:szCs w:val="24"/>
          <w:highlight w:val="none"/>
          <w14:textFill>
            <w14:solidFill>
              <w14:schemeClr w14:val="tx1"/>
            </w14:solidFill>
          </w14:textFill>
        </w:rPr>
        <w:t xml:space="preserve">、合同生效及其他</w:t>
      </w:r>
      <w:r/>
    </w:p>
    <w:p>
      <w:pPr>
        <w:pStyle w:val="903"/>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6</w:t>
      </w:r>
      <w:r>
        <w:rPr>
          <w:rFonts w:hAnsi="宋体"/>
          <w:color w:val="000000" w:themeColor="text1"/>
          <w:sz w:val="24"/>
          <w:szCs w:val="24"/>
          <w:highlight w:val="none"/>
          <w14:textFill>
            <w14:solidFill>
              <w14:schemeClr w14:val="tx1"/>
            </w14:solidFill>
          </w14:textFill>
        </w:rPr>
        <w:t xml:space="preserve">.1 合同经双方法定代表人或授权委托代</w:t>
      </w:r>
      <w:r>
        <w:rPr>
          <w:rFonts w:hint="eastAsia" w:hAnsi="宋体"/>
          <w:color w:val="000000" w:themeColor="text1"/>
          <w:sz w:val="24"/>
          <w:szCs w:val="24"/>
          <w:highlight w:val="none"/>
          <w14:textFill>
            <w14:solidFill>
              <w14:schemeClr w14:val="tx1"/>
            </w14:solidFill>
          </w14:textFill>
        </w:rPr>
        <w:t xml:space="preserve">表</w:t>
      </w:r>
      <w:r>
        <w:rPr>
          <w:rFonts w:hAnsi="宋体"/>
          <w:color w:val="000000" w:themeColor="text1"/>
          <w:sz w:val="24"/>
          <w:szCs w:val="24"/>
          <w:highlight w:val="none"/>
          <w14:textFill>
            <w14:solidFill>
              <w14:schemeClr w14:val="tx1"/>
            </w14:solidFill>
          </w14:textFill>
        </w:rPr>
        <w:t xml:space="preserve">人签字并加盖单位公章后生效。</w:t>
      </w:r>
      <w:r/>
    </w:p>
    <w:p>
      <w:pPr>
        <w:pStyle w:val="903"/>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6</w:t>
      </w:r>
      <w:r>
        <w:rPr>
          <w:rFonts w:hAnsi="宋体"/>
          <w:color w:val="000000" w:themeColor="text1"/>
          <w:sz w:val="24"/>
          <w:szCs w:val="24"/>
          <w:highlight w:val="none"/>
          <w14:textFill>
            <w14:solidFill>
              <w14:schemeClr w14:val="tx1"/>
            </w14:solidFill>
          </w14:textFill>
        </w:rPr>
        <w:t xml:space="preserve">.2本合同未尽事宜，遵照</w:t>
      </w:r>
      <w:r>
        <w:rPr>
          <w:rFonts w:hint="eastAsia" w:hAnsi="宋体"/>
          <w:color w:val="000000" w:themeColor="text1"/>
          <w:sz w:val="24"/>
          <w:szCs w:val="24"/>
          <w:highlight w:val="none"/>
          <w14:textFill>
            <w14:solidFill>
              <w14:schemeClr w14:val="tx1"/>
            </w14:solidFill>
          </w14:textFill>
        </w:rPr>
        <w:t xml:space="preserve">《中华人民共和国民法典》《中华人民共和国政府采购法》等</w:t>
      </w:r>
      <w:r>
        <w:rPr>
          <w:rFonts w:hAnsi="宋体"/>
          <w:color w:val="000000" w:themeColor="text1"/>
          <w:sz w:val="24"/>
          <w:szCs w:val="24"/>
          <w:highlight w:val="none"/>
          <w14:textFill>
            <w14:solidFill>
              <w14:schemeClr w14:val="tx1"/>
            </w14:solidFill>
          </w14:textFill>
        </w:rPr>
        <w:t xml:space="preserve">有关条文执行。</w:t>
      </w:r>
      <w:r/>
    </w:p>
    <w:p>
      <w:pPr>
        <w:pStyle w:val="903"/>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highlight w:val="none"/>
        </w:rPr>
        <w:t xml:space="preserve">6</w:t>
      </w:r>
      <w:r>
        <w:rPr>
          <w:rFonts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3</w:t>
      </w:r>
      <w:r>
        <w:rPr>
          <w:rFonts w:hAnsi="宋体"/>
          <w:color w:val="000000" w:themeColor="text1"/>
          <w:sz w:val="24"/>
          <w:szCs w:val="24"/>
          <w:highlight w:val="none"/>
          <w14:textFill>
            <w14:solidFill>
              <w14:schemeClr w14:val="tx1"/>
            </w14:solidFill>
          </w14:textFill>
        </w:rPr>
        <w:t xml:space="preserve"> 本合同正本一式</w:t>
      </w:r>
      <w:r>
        <w:rPr>
          <w:rFonts w:hint="eastAsia" w:hAnsi="宋体"/>
          <w:color w:val="000000" w:themeColor="text1"/>
          <w:sz w:val="24"/>
          <w:szCs w:val="24"/>
          <w:highlight w:val="none"/>
          <w14:textFill>
            <w14:solidFill>
              <w14:schemeClr w14:val="tx1"/>
            </w14:solidFill>
          </w14:textFill>
        </w:rPr>
        <w:t xml:space="preserve">两</w:t>
      </w:r>
      <w:r>
        <w:rPr>
          <w:rFonts w:hAnsi="宋体"/>
          <w:color w:val="000000" w:themeColor="text1"/>
          <w:sz w:val="24"/>
          <w:szCs w:val="24"/>
          <w:highlight w:val="none"/>
          <w14:textFill>
            <w14:solidFill>
              <w14:schemeClr w14:val="tx1"/>
            </w14:solidFill>
          </w14:textFill>
        </w:rPr>
        <w:t xml:space="preserve">份，具有同等法律效力，甲</w:t>
      </w:r>
      <w:r>
        <w:rPr>
          <w:rFonts w:hint="eastAsia" w:hAnsi="宋体"/>
          <w:color w:val="000000" w:themeColor="text1"/>
          <w:sz w:val="24"/>
          <w:szCs w:val="24"/>
          <w:highlight w:val="none"/>
          <w14:textFill>
            <w14:solidFill>
              <w14:schemeClr w14:val="tx1"/>
            </w14:solidFill>
          </w14:textFill>
        </w:rPr>
        <w:t xml:space="preserve">方、</w:t>
      </w:r>
      <w:r>
        <w:rPr>
          <w:rFonts w:hAnsi="宋体"/>
          <w:color w:val="000000" w:themeColor="text1"/>
          <w:sz w:val="24"/>
          <w:szCs w:val="24"/>
          <w:highlight w:val="none"/>
          <w14:textFill>
            <w14:solidFill>
              <w14:schemeClr w14:val="tx1"/>
            </w14:solidFill>
          </w14:textFill>
        </w:rPr>
        <w:t xml:space="preserve">乙方各执一份。</w:t>
      </w:r>
      <w:r/>
    </w:p>
    <w:p>
      <w:pPr>
        <w:pStyle w:val="903"/>
        <w:ind w:left="480" w:hanging="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甲方：                        乙方： </w:t>
      </w:r>
      <w:r/>
    </w:p>
    <w:p>
      <w:pPr>
        <w:pStyle w:val="903"/>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地址：                       </w:t>
      </w:r>
      <w:r>
        <w:rPr>
          <w:rFonts w:hint="eastAsia" w:hAnsi="宋体"/>
          <w:color w:val="000000" w:themeColor="text1"/>
          <w:sz w:val="24"/>
          <w:szCs w:val="24"/>
          <w:highlight w:val="non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地址： </w:t>
      </w:r>
      <w:r/>
    </w:p>
    <w:p>
      <w:pPr>
        <w:pStyle w:val="903"/>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法定代表人</w:t>
      </w:r>
      <w:r>
        <w:rPr>
          <w:rFonts w:hint="eastAsia" w:hAnsi="宋体"/>
          <w:color w:val="000000" w:themeColor="text1"/>
          <w:sz w:val="24"/>
          <w:szCs w:val="24"/>
          <w:highlight w:val="none"/>
          <w14:textFill>
            <w14:solidFill>
              <w14:schemeClr w14:val="tx1"/>
            </w14:solidFill>
          </w14:textFill>
        </w:rPr>
        <w:t xml:space="preserve">或授权代表</w:t>
      </w:r>
      <w:r>
        <w:rPr>
          <w:rFonts w:hAnsi="宋体"/>
          <w:color w:val="000000" w:themeColor="text1"/>
          <w:sz w:val="24"/>
          <w:szCs w:val="24"/>
          <w:highlight w:val="none"/>
          <w14:textFill>
            <w14:solidFill>
              <w14:schemeClr w14:val="tx1"/>
            </w14:solidFill>
          </w14:textFill>
        </w:rPr>
        <w:t xml:space="preserve">：        法定代表人</w:t>
      </w:r>
      <w:r>
        <w:rPr>
          <w:rFonts w:hint="eastAsia" w:hAnsi="宋体"/>
          <w:color w:val="000000" w:themeColor="text1"/>
          <w:sz w:val="24"/>
          <w:szCs w:val="24"/>
          <w:highlight w:val="none"/>
          <w14:textFill>
            <w14:solidFill>
              <w14:schemeClr w14:val="tx1"/>
            </w14:solidFill>
          </w14:textFill>
        </w:rPr>
        <w:t xml:space="preserve">或授权代表</w:t>
      </w:r>
      <w:r>
        <w:rPr>
          <w:rFonts w:hAnsi="宋体"/>
          <w:color w:val="000000" w:themeColor="text1"/>
          <w:sz w:val="24"/>
          <w:szCs w:val="24"/>
          <w:highlight w:val="none"/>
          <w14:textFill>
            <w14:solidFill>
              <w14:schemeClr w14:val="tx1"/>
            </w14:solidFill>
          </w14:textFill>
        </w:rPr>
        <w:t xml:space="preserve">：</w:t>
      </w:r>
      <w:r/>
    </w:p>
    <w:p>
      <w:pPr>
        <w:pStyle w:val="903"/>
        <w:ind w:firstLine="240"/>
        <w:spacing w:line="400" w:lineRule="exact"/>
        <w:rPr>
          <w:rFonts w:hint="eastAsia"/>
          <w:color w:val="000000" w:themeColor="text1"/>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联系电话：                    联系电话：          </w:t>
      </w:r>
      <w:r/>
    </w:p>
    <w:p>
      <w:pPr>
        <w:ind w:firstLine="480"/>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签订日期：      年  </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月  </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日</w:t>
      </w:r>
      <w:r/>
    </w:p>
    <w:p>
      <w:pPr>
        <w:ind w:firstLine="480"/>
        <w:spacing w:line="400" w:lineRule="exact"/>
        <w:rPr>
          <w:rFonts w:hint="eastAsia" w:ascii="宋体" w:hAnsi="宋体"/>
          <w:bCs/>
          <w:sz w:val="24"/>
          <w:szCs w:val="24"/>
          <w:highlight w:val="none"/>
        </w:rPr>
      </w:pPr>
      <w:r>
        <w:rPr>
          <w:rFonts w:hint="eastAsia" w:ascii="宋体" w:hAnsi="宋体"/>
          <w:bCs/>
          <w:sz w:val="24"/>
          <w:szCs w:val="24"/>
          <w:highlight w:val="none"/>
        </w:rPr>
      </w:r>
      <w:r/>
    </w:p>
    <w:p>
      <w:pPr>
        <w:jc w:val="left"/>
        <w:spacing w:line="400" w:lineRule="exact"/>
        <w:rPr>
          <w:rFonts w:ascii="黑体" w:eastAsia="黑体"/>
          <w:bCs/>
          <w:sz w:val="36"/>
          <w:szCs w:val="36"/>
          <w:highlight w:val="none"/>
        </w:rPr>
        <w:outlineLvl w:val="0"/>
      </w:pPr>
      <w:r>
        <w:rPr>
          <w:color w:val="000000" w:themeColor="text1"/>
          <w:sz w:val="24"/>
          <w:szCs w:val="24"/>
          <w:highlight w:val="none"/>
          <w14:textFill>
            <w14:solidFill>
              <w14:schemeClr w14:val="tx1"/>
            </w14:solidFill>
          </w14:textFill>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62564139"/>
      <w:r/>
      <w:bookmarkStart w:id="190" w:name="_Toc479757211"/>
      <w:r/>
      <w:r/>
    </w:p>
    <w:p>
      <w:pPr>
        <w:ind w:firstLine="720"/>
        <w:jc w:val="center"/>
        <w:spacing w:line="288" w:lineRule="auto"/>
        <w:rPr>
          <w:rFonts w:hint="eastAsia" w:hAnsi="宋体"/>
          <w:sz w:val="36"/>
          <w:szCs w:val="36"/>
          <w:highlight w:val="none"/>
        </w:rPr>
      </w:pPr>
      <w:r>
        <w:rPr>
          <w:rFonts w:hint="eastAsia" w:ascii="黑体" w:hAnsi="黑体" w:eastAsia="黑体"/>
          <w:color w:val="000000" w:themeColor="text1"/>
          <w:sz w:val="36"/>
          <w:szCs w:val="36"/>
          <w:highlight w:val="none"/>
          <w14:textFill>
            <w14:solidFill>
              <w14:schemeClr w14:val="tx1"/>
            </w14:solidFill>
          </w14:textFill>
        </w:rPr>
        <w:t xml:space="preserve">第</w:t>
      </w:r>
      <w:bookmarkEnd w:id="185"/>
      <w:r>
        <w:rPr>
          <w:rFonts w:hint="eastAsia" w:ascii="黑体" w:hAnsi="黑体" w:eastAsia="黑体"/>
          <w:color w:val="000000" w:themeColor="text1"/>
          <w:sz w:val="36"/>
          <w:szCs w:val="36"/>
          <w:highlight w:val="none"/>
          <w14:textFill>
            <w14:solidFill>
              <w14:schemeClr w14:val="tx1"/>
            </w14:solidFill>
          </w14:textFill>
        </w:rPr>
        <w:t xml:space="preserve">四章 采购需求</w:t>
      </w:r>
      <w:bookmarkEnd w:id="186"/>
      <w:r/>
      <w:bookmarkEnd w:id="187"/>
      <w:r/>
      <w:bookmarkEnd w:id="188"/>
      <w:r/>
      <w:r/>
    </w:p>
    <w:p>
      <w:pPr>
        <w:ind w:firstLine="480"/>
        <w:jc w:val="left"/>
        <w:spacing w:line="360" w:lineRule="auto"/>
        <w:rPr>
          <w:rFonts w:ascii="宋体" w:hAnsi="宋体"/>
          <w:color w:val="000000"/>
          <w:sz w:val="24"/>
          <w:szCs w:val="24"/>
          <w:highlight w:val="none"/>
        </w:rPr>
      </w:pPr>
      <w:r/>
      <w:bookmarkStart w:id="191" w:name="_Toc49090575"/>
      <w:r/>
      <w:bookmarkStart w:id="192" w:name="_Toc26554093"/>
      <w:r>
        <w:rPr>
          <w:rFonts w:hint="eastAsia" w:ascii="宋体" w:hAnsi="宋体"/>
          <w:color w:val="000000"/>
          <w:sz w:val="24"/>
          <w:szCs w:val="24"/>
          <w:highlight w:val="none"/>
        </w:rPr>
        <w:t xml:space="preserve">投标人所投内容必须满足以下要求，不得有负偏离。</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本项目标的物所属行业：</w:t>
      </w:r>
      <w:r>
        <w:rPr>
          <w:rFonts w:hint="eastAsia" w:ascii="宋体" w:hAnsi="宋体"/>
          <w:bCs/>
          <w:color w:val="000000"/>
          <w:sz w:val="24"/>
          <w:szCs w:val="24"/>
          <w:highlight w:val="none"/>
          <w:lang w:val="en-US" w:eastAsia="zh-CN"/>
        </w:rPr>
        <w:t xml:space="preserve">工业</w:t>
      </w:r>
      <w:r/>
    </w:p>
    <w:p>
      <w:pPr>
        <w:ind w:firstLine="48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rPr>
          <w:rFonts w:hint="eastAsia" w:ascii="宋体" w:hAnsi="宋体"/>
          <w:bCs/>
          <w:color w:val="000000"/>
          <w:sz w:val="24"/>
          <w:szCs w:val="24"/>
          <w:highlight w:val="none"/>
        </w:rPr>
        <w:t xml:space="preserve">核心产品：</w:t>
      </w:r>
      <w:r>
        <w:rPr>
          <w:rFonts w:hint="eastAsia" w:ascii="宋体" w:hAnsi="宋体" w:eastAsia="宋体" w:cs="宋体"/>
          <w:bCs/>
          <w:color w:val="auto"/>
          <w:sz w:val="24"/>
          <w:highlight w:val="none"/>
          <w:lang w:val="en-US" w:eastAsia="zh-CN"/>
        </w:rPr>
        <w:t xml:space="preserve">风洞设备</w:t>
      </w:r>
      <w:r/>
    </w:p>
    <w:p>
      <w:pPr>
        <w:ind w:firstLine="482"/>
        <w:jc w:val="left"/>
        <w:spacing w:line="360" w:lineRule="auto"/>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本项目属性：</w:t>
      </w:r>
      <w:r>
        <w:rPr>
          <w:rFonts w:hint="eastAsia" w:ascii="宋体" w:hAnsi="宋体"/>
          <w:b w:val="0"/>
          <w:bCs/>
          <w:color w:val="auto"/>
          <w:sz w:val="24"/>
          <w:szCs w:val="24"/>
          <w:highlight w:val="none"/>
          <w:lang w:val="en-US" w:eastAsia="zh-CN"/>
        </w:rPr>
        <w:t xml:space="preserve">货物</w:t>
      </w:r>
      <w:r>
        <w:rPr>
          <w:rFonts w:hint="eastAsia" w:ascii="宋体" w:hAnsi="宋体"/>
          <w:b w:val="0"/>
          <w:bCs/>
          <w:color w:val="auto"/>
          <w:sz w:val="24"/>
          <w:szCs w:val="24"/>
          <w:highlight w:val="none"/>
        </w:rPr>
        <w:t xml:space="preserve">类项目</w:t>
      </w:r>
      <w:r/>
    </w:p>
    <w:p>
      <w:pPr>
        <w:numPr>
          <w:ilvl w:val="0"/>
          <w:numId w:val="3"/>
        </w:numPr>
        <w:ind w:firstLine="602"/>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 项目技术要求</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一</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项目概况</w:t>
      </w:r>
      <w:r/>
    </w:p>
    <w:p>
      <w:pPr>
        <w:ind w:firstLine="560"/>
        <w:spacing w:line="360" w:lineRule="auto"/>
        <w:rPr>
          <w:rFonts w:hint="eastAsia" w:ascii="宋体" w:hAnsi="宋体" w:cs="宋体"/>
          <w:sz w:val="24"/>
          <w:szCs w:val="24"/>
          <w:highlight w:val="none"/>
          <w:lang w:val="en-US" w:eastAsia="zh-CN"/>
        </w:rPr>
      </w:pPr>
      <w:r>
        <w:rPr>
          <w:rFonts w:hint="eastAsia" w:ascii="宋体" w:hAnsi="宋体"/>
          <w:color w:val="000000"/>
          <w:sz w:val="24"/>
          <w:szCs w:val="24"/>
          <w:highlight w:val="none"/>
        </w:rPr>
        <w:t xml:space="preserve"> </w:t>
      </w:r>
      <w:r>
        <w:rPr>
          <w:rFonts w:hint="eastAsia" w:ascii="宋体" w:hAnsi="宋体" w:cs="宋体"/>
          <w:sz w:val="24"/>
          <w:szCs w:val="24"/>
          <w:highlight w:val="none"/>
          <w:lang w:val="en-US" w:eastAsia="zh-CN"/>
        </w:rPr>
        <w:t xml:space="preserve">本项目</w:t>
      </w:r>
      <w:r>
        <w:rPr>
          <w:rFonts w:hint="eastAsia" w:ascii="宋体" w:hAnsi="宋体" w:eastAsia="宋体" w:cs="宋体"/>
          <w:bCs/>
          <w:color w:val="auto"/>
          <w:sz w:val="24"/>
          <w:highlight w:val="none"/>
          <w:lang w:val="en-US" w:eastAsia="zh-CN"/>
        </w:rPr>
        <w:t xml:space="preserve">无锡市江南中学阳光校区风洞实验室相关设备采购，完成1间实验室的设备采购。本项目核心产品为风洞设备。具体清单详见</w:t>
      </w:r>
      <w:r>
        <w:rPr>
          <w:rFonts w:hint="eastAsia" w:ascii="宋体" w:hAnsi="宋体" w:cs="宋体"/>
          <w:bCs/>
          <w:color w:val="auto"/>
          <w:sz w:val="24"/>
          <w:highlight w:val="none"/>
          <w:lang w:val="en-US" w:eastAsia="zh-CN"/>
        </w:rPr>
        <w:t xml:space="preserve">设备采购</w:t>
      </w:r>
      <w:r>
        <w:rPr>
          <w:rFonts w:hint="eastAsia" w:ascii="宋体" w:hAnsi="宋体" w:eastAsia="宋体" w:cs="宋体"/>
          <w:bCs/>
          <w:color w:val="auto"/>
          <w:sz w:val="24"/>
          <w:highlight w:val="none"/>
          <w:lang w:val="en-US" w:eastAsia="zh-CN"/>
        </w:rPr>
        <w:t xml:space="preserve">清单。</w:t>
      </w:r>
      <w:r/>
    </w:p>
    <w:p>
      <w:pPr>
        <w:ind w:firstLine="480"/>
        <w:jc w:val="left"/>
        <w:spacing w:line="360" w:lineRule="auto"/>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（二）项目建设内容及要求：</w:t>
      </w:r>
      <w:r/>
    </w:p>
    <w:p>
      <w:pPr>
        <w:ind w:firstLine="480"/>
        <w:jc w:val="left"/>
        <w:spacing w:line="360" w:lineRule="auto"/>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1.设备采购清单</w:t>
      </w:r>
      <w:r/>
    </w:p>
    <w:tbl>
      <w:tblPr>
        <w:tblStyle w:val="893"/>
        <w:tblW w:w="101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715"/>
        <w:gridCol w:w="1305"/>
        <w:gridCol w:w="1035"/>
        <w:gridCol w:w="3288"/>
        <w:gridCol w:w="1488"/>
        <w:gridCol w:w="2274"/>
      </w:tblGrid>
      <w:tr>
        <w:trPr>
          <w:jc w:val="center"/>
          <w:trHeight w:val="800"/>
        </w:trPr>
        <w:tc>
          <w:tcPr>
            <w:gridSpan w:val="6"/>
            <w:shd w:val="clear" w:color="auto" w:fill="ffffff" w:themeFill="background1"/>
            <w:tcBorders>
              <w:top w:val="single" w:color="000000" w:sz="4" w:space="0"/>
              <w:left w:val="single" w:color="000000" w:sz="4" w:space="0"/>
              <w:bottom w:val="single" w:color="000000" w:sz="4" w:space="0"/>
              <w:right w:val="single" w:color="000000" w:sz="4" w:space="0"/>
            </w:tcBorders>
            <w:tcW w:w="1010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无锡市江南中学风洞实验室设备采购项目清单</w:t>
            </w:r>
            <w:r/>
          </w:p>
        </w:tc>
      </w:tr>
      <w:tr>
        <w:trPr>
          <w:jc w:val="center"/>
          <w:trHeight w:val="8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楼层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类别</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r>
      <w:tr>
        <w:trPr>
          <w:jc w:val="center"/>
          <w:trHeight w:val="5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风洞实验室设备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bl>
    <w:p>
      <w:pPr>
        <w:pStyle w:val="896"/>
        <w:rPr>
          <w:rFonts w:hint="eastAsia"/>
          <w:highlight w:val="none"/>
          <w:lang w:val="en-US" w:eastAsia="zh-CN"/>
        </w:rPr>
      </w:pPr>
      <w:r>
        <w:rPr>
          <w:rFonts w:hint="eastAsia"/>
          <w:highlight w:val="none"/>
          <w:lang w:val="en-US" w:eastAsia="zh-CN"/>
        </w:rPr>
      </w:r>
      <w:r/>
    </w:p>
    <w:p>
      <w:pPr>
        <w:numPr>
          <w:ilvl w:val="0"/>
          <w:numId w:val="0"/>
        </w:numPr>
        <w:ind w:firstLine="480"/>
        <w:jc w:val="left"/>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rPr>
        <w:t xml:space="preserve">实验室设备参数要求</w:t>
      </w:r>
      <w:r/>
    </w:p>
    <w:tbl>
      <w:tblPr>
        <w:tblStyle w:val="893"/>
        <w:tblpPr w:horzAnchor="page" w:tblpXSpec="center" w:vertAnchor="text" w:tblpY="306" w:leftFromText="180" w:topFromText="0" w:rightFromText="180" w:bottomFromText="0"/>
        <w:tblW w:w="52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19"/>
        <w:gridCol w:w="864"/>
        <w:gridCol w:w="4961"/>
        <w:gridCol w:w="513"/>
        <w:gridCol w:w="543"/>
        <w:gridCol w:w="2289"/>
      </w:tblGrid>
      <w:tr>
        <w:trPr>
          <w:jc w:val="center"/>
          <w:trHeight w:val="360"/>
        </w:trPr>
        <w:tc>
          <w:tcPr>
            <w:shd w:val="clear" w:color="auto" w:fill="auto"/>
            <w:tcW w:w="218"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W w:w="450"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W w:w="2586"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规格型号或技术参数</w:t>
            </w:r>
            <w:r/>
          </w:p>
        </w:tc>
        <w:tc>
          <w:tcPr>
            <w:shd w:val="clear" w:color="auto" w:fill="auto"/>
            <w:tcW w:w="267"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W w:w="283"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W w:w="1193"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参考图片</w:t>
            </w:r>
            <w:r/>
          </w:p>
        </w:tc>
      </w:tr>
      <w:tr>
        <w:trPr>
          <w:jc w:val="center"/>
          <w:trHeight w:val="360"/>
        </w:trPr>
        <w:tc>
          <w:tcPr>
            <w:gridSpan w:val="6"/>
            <w:shd w:val="clear" w:color="auto" w:fill="auto"/>
            <w:tcW w:w="5000"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default" w:ascii="宋体" w:hAnsi="宋体" w:eastAsia="宋体" w:cs="宋体"/>
                <w:b/>
                <w:bCs/>
                <w:i w:val="0"/>
                <w:iCs w:val="0"/>
                <w:color w:val="auto"/>
                <w:sz w:val="24"/>
                <w:szCs w:val="24"/>
                <w:highlight w:val="none"/>
                <w:u w:val="none"/>
                <w:lang w:val="en-US"/>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风洞实验室设备</w:t>
            </w:r>
            <w:r/>
          </w:p>
        </w:tc>
      </w:tr>
      <w:tr>
        <w:trPr>
          <w:jc w:val="center"/>
          <w:trHeight w:val="360"/>
        </w:trPr>
        <w:tc>
          <w:tcPr>
            <w:gridSpan w:val="6"/>
            <w:shd w:val="clear" w:color="auto" w:fill="auto"/>
            <w:tcW w:w="5000"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一、</w:t>
            </w:r>
            <w:r>
              <w:rPr>
                <w:rFonts w:hint="eastAsia" w:ascii="宋体" w:hAnsi="宋体" w:eastAsia="宋体" w:cs="宋体"/>
                <w:b/>
                <w:bCs/>
                <w:i w:val="0"/>
                <w:iCs w:val="0"/>
                <w:color w:val="auto"/>
                <w:sz w:val="24"/>
                <w:szCs w:val="24"/>
                <w:highlight w:val="none"/>
                <w:u w:val="none"/>
                <w:lang w:val="en-US" w:eastAsia="zh-CN" w:bidi="ar"/>
              </w:rPr>
              <w:t xml:space="preserve">风洞</w:t>
            </w:r>
            <w:r>
              <w:rPr>
                <w:rFonts w:hint="eastAsia" w:ascii="宋体" w:hAnsi="宋体" w:cs="宋体"/>
                <w:b/>
                <w:bCs/>
                <w:i w:val="0"/>
                <w:iCs w:val="0"/>
                <w:color w:val="auto"/>
                <w:sz w:val="24"/>
                <w:szCs w:val="24"/>
                <w:highlight w:val="none"/>
                <w:u w:val="none"/>
                <w:lang w:val="en-US" w:eastAsia="zh-CN" w:bidi="ar"/>
              </w:rPr>
              <w:t xml:space="preserve">设备</w:t>
            </w:r>
            <w:r/>
          </w:p>
        </w:tc>
      </w:tr>
      <w:tr>
        <w:trPr>
          <w:jc w:val="center"/>
          <w:trHeight w:val="988"/>
        </w:trPr>
        <w:tc>
          <w:tcPr>
            <w:shd w:val="clear" w:color="auto" w:fill="auto"/>
            <w:tcW w:w="218"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450" w:type="pct"/>
            <w:vAlign w:val="center"/>
            <w:textDirection w:val="lrTb"/>
            <w:noWrap w:val="false"/>
          </w:tcPr>
          <w:p>
            <w:pP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直流风洞结构</w:t>
            </w:r>
            <w:r/>
          </w:p>
        </w:tc>
        <w:tc>
          <w:tcPr>
            <w:shd w:val="clear" w:color="auto" w:fill="auto"/>
            <w:tcW w:w="2586" w:type="pct"/>
            <w:vAlign w:val="center"/>
            <w:textDirection w:val="lrTb"/>
            <w:noWrap w:val="false"/>
          </w:tcPr>
          <w:p>
            <w:pPr>
              <w:numPr>
                <w:ilvl w:val="0"/>
                <w:numId w:val="4"/>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风洞洞体采用钢制结构，具体包括稳定段、收缩段、试验段、动力段等部段；</w:t>
            </w:r>
            <w:r/>
          </w:p>
          <w:p>
            <w:pPr>
              <w:numPr>
                <w:ilvl w:val="1"/>
                <w:numId w:val="4"/>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风洞结构尺寸不小于：13.2m(L)×</w:t>
            </w:r>
            <w:r>
              <w:rPr>
                <w:rFonts w:hint="eastAsia" w:ascii="宋体" w:hAnsi="宋体" w:cs="宋体"/>
                <w:i w:val="0"/>
                <w:iCs w:val="0"/>
                <w:color w:val="auto"/>
                <w:sz w:val="24"/>
                <w:szCs w:val="24"/>
                <w:highlight w:val="none"/>
                <w:u w:val="none"/>
                <w:lang w:val="en-US" w:eastAsia="zh-CN" w:bidi="ar"/>
              </w:rPr>
              <w:t xml:space="preserve">2.2</w:t>
            </w:r>
            <w:r>
              <w:rPr>
                <w:rFonts w:hint="eastAsia" w:ascii="宋体" w:hAnsi="宋体" w:eastAsia="宋体" w:cs="宋体"/>
                <w:i w:val="0"/>
                <w:iCs w:val="0"/>
                <w:color w:val="auto"/>
                <w:sz w:val="24"/>
                <w:szCs w:val="24"/>
                <w:highlight w:val="none"/>
                <w:u w:val="none"/>
                <w:lang w:val="en-US" w:eastAsia="zh-CN" w:bidi="ar"/>
              </w:rPr>
              <w:t xml:space="preserve">m(W)×2.</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m(H</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w:t>
            </w:r>
            <w:r/>
          </w:p>
          <w:p>
            <w:pPr>
              <w:numPr>
                <w:ilvl w:val="1"/>
                <w:numId w:val="4"/>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试验段尺寸：1m(W)×1m(H</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w:t>
            </w:r>
            <w:r/>
          </w:p>
          <w:p>
            <w:pPr>
              <w:numPr>
                <w:ilvl w:val="1"/>
                <w:numId w:val="4"/>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试验段风速范围：</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0.2～30</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m/s；</w:t>
            </w:r>
            <w:r/>
          </w:p>
          <w:p>
            <w:pPr>
              <w:numPr>
                <w:ilvl w:val="1"/>
                <w:numId w:val="4"/>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color w:val="auto"/>
                <w:szCs w:val="21"/>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试验段流场均匀性 ≤1.5%</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气流均匀区域80%以上）；</w:t>
            </w:r>
            <w:r/>
          </w:p>
          <w:p>
            <w:pPr>
              <w:numPr>
                <w:ilvl w:val="1"/>
                <w:numId w:val="4"/>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color w:val="auto"/>
                <w:szCs w:val="21"/>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试验段流场稳定性 ≤1.0%；</w:t>
            </w:r>
            <w:r/>
          </w:p>
          <w:p>
            <w:pPr>
              <w:numPr>
                <w:ilvl w:val="1"/>
                <w:numId w:val="4"/>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湍流度 ≤1.0%；</w:t>
            </w:r>
            <w:r/>
          </w:p>
          <w:p>
            <w:pPr>
              <w:numPr>
                <w:ilvl w:val="1"/>
                <w:numId w:val="4"/>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气流偏角 △α≤1.0º、△β≤1.0º；</w:t>
            </w:r>
            <w:r/>
          </w:p>
          <w:p>
            <w:pPr>
              <w:numPr>
                <w:ilvl w:val="1"/>
                <w:numId w:val="4"/>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洞体结构</w:t>
            </w:r>
            <w:r>
              <w:rPr>
                <w:rFonts w:hint="eastAsia" w:ascii="宋体" w:hAnsi="宋体" w:eastAsia="宋体" w:cs="宋体"/>
                <w:color w:val="auto"/>
                <w:sz w:val="24"/>
                <w:szCs w:val="24"/>
                <w:highlight w:val="none"/>
              </w:rPr>
              <w:t xml:space="preserve">表面</w:t>
            </w:r>
            <w:r>
              <w:rPr>
                <w:rFonts w:hint="eastAsia" w:ascii="宋体" w:hAnsi="宋体" w:eastAsia="宋体" w:cs="宋体"/>
                <w:color w:val="auto"/>
                <w:sz w:val="24"/>
                <w:szCs w:val="24"/>
                <w:highlight w:val="none"/>
                <w:lang w:val="en-US" w:eastAsia="zh-CN"/>
              </w:rPr>
              <w:t xml:space="preserve">防腐</w:t>
            </w:r>
            <w:r>
              <w:rPr>
                <w:rFonts w:hint="eastAsia" w:ascii="宋体" w:hAnsi="宋体" w:eastAsia="宋体" w:cs="宋体"/>
                <w:color w:val="auto"/>
                <w:sz w:val="24"/>
                <w:szCs w:val="24"/>
                <w:highlight w:val="none"/>
              </w:rPr>
              <w:t xml:space="preserve">防护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结构喷塑/烤漆</w:t>
            </w:r>
            <w:r>
              <w:rPr>
                <w:rFonts w:hint="eastAsia" w:ascii="宋体" w:hAnsi="宋体" w:eastAsia="宋体" w:cs="宋体"/>
                <w:color w:val="auto"/>
                <w:sz w:val="24"/>
                <w:szCs w:val="24"/>
                <w:highlight w:val="none"/>
                <w:lang w:eastAsia="zh-CN"/>
              </w:rPr>
              <w:t xml:space="preserve">，避免腐蚀；</w:t>
            </w:r>
            <w:r/>
          </w:p>
          <w:p>
            <w:pPr>
              <w:numPr>
                <w:ilvl w:val="1"/>
                <w:numId w:val="4"/>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rPr>
              <w:t xml:space="preserve">消声装置是阻性+抗性相结合的复合型消声结构，兼顾中高频消声与低频消声；（1）降噪量：不小于10dB(A</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，（2）吸声材料防火等级：不燃 A 级；</w:t>
            </w:r>
            <w:r/>
          </w:p>
          <w:p>
            <w:pPr>
              <w:numPr>
                <w:ilvl w:val="1"/>
                <w:numId w:val="4"/>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钢制结构，采用6mm以上钢板，加筋加固，支架采用80*60，100*100mm以上方管型材；</w:t>
            </w:r>
            <w:r/>
          </w:p>
          <w:p>
            <w:pPr>
              <w:numPr>
                <w:ilvl w:val="1"/>
                <w:numId w:val="4"/>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结构安装</w:t>
            </w:r>
            <w:r/>
          </w:p>
          <w:p>
            <w:pPr>
              <w:pStyle w:val="889"/>
              <w:numPr>
                <w:ilvl w:val="2"/>
                <w:numId w:val="4"/>
              </w:numPr>
              <w:ind w:left="0" w:firstLine="0"/>
              <w:keepLines/>
              <w:keepNext/>
              <w:pageBreakBefore w:val="0"/>
              <w:spacing w:before="0" w:after="0" w:line="360" w:lineRule="auto"/>
              <w:shd w:val="clear" w:color="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总体组装要求：</w:t>
            </w:r>
            <w:r/>
          </w:p>
          <w:p>
            <w:pPr>
              <w:numPr>
                <w:ilvl w:val="0"/>
                <w:numId w:val="0"/>
              </w:numPr>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①整体结构刚性足、不变形、无共振，风机运行时无明显抖动、异响；</w:t>
            </w:r>
            <w:r/>
          </w:p>
          <w:p>
            <w:pPr>
              <w:numPr>
                <w:ilvl w:val="0"/>
                <w:numId w:val="0"/>
              </w:numPr>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②各部件装配横平竖直，风场出口平面度误差小；③组装完成后必须进行空载试运行、风速标定、安全联锁测试；</w:t>
            </w:r>
            <w:r/>
          </w:p>
          <w:p>
            <w:pPr>
              <w:pStyle w:val="889"/>
              <w:numPr>
                <w:ilvl w:val="2"/>
                <w:numId w:val="4"/>
              </w:numPr>
              <w:ind w:left="0" w:firstLine="0"/>
              <w:keepLines/>
              <w:keepNext/>
              <w:pageBreakBefore w:val="0"/>
              <w:spacing w:before="0" w:after="0" w:line="360" w:lineRule="auto"/>
              <w:shd w:val="clear" w:color="auto"/>
              <w:widowControl w:val="off"/>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结构件组装要求：</w:t>
            </w:r>
            <w:r/>
          </w:p>
          <w:p>
            <w:pPr>
              <w:numPr>
                <w:ilvl w:val="0"/>
                <w:numId w:val="0"/>
              </w:numPr>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①框架组装：a、采用钢结构框架，对接平整、无翘边；b、同轴度误差小；</w:t>
            </w:r>
            <w:r/>
          </w:p>
          <w:p>
            <w:pPr>
              <w:pStyle w:val="889"/>
              <w:numPr>
                <w:ilvl w:val="2"/>
                <w:numId w:val="4"/>
              </w:numPr>
              <w:ind w:left="0" w:firstLine="0"/>
              <w:keepLines/>
              <w:keepNext/>
              <w:pageBreakBefore w:val="0"/>
              <w:spacing w:before="0" w:after="0" w:line="360" w:lineRule="auto"/>
              <w:shd w:val="clear" w:color="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设备系统的联机校准；</w:t>
            </w:r>
            <w:r/>
          </w:p>
        </w:tc>
        <w:tc>
          <w:tcPr>
            <w:shd w:val="clear" w:color="auto" w:fill="auto"/>
            <w:tcW w:w="267"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283"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193" w:type="pct"/>
            <w:vAlign w:val="center"/>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r>
            <w:r/>
          </w:p>
        </w:tc>
      </w:tr>
      <w:tr>
        <w:trPr>
          <w:jc w:val="center"/>
          <w:trHeight w:val="624"/>
        </w:trPr>
        <w:tc>
          <w:tcPr>
            <w:shd w:val="clear" w:color="auto" w:fill="auto"/>
            <w:tcW w:w="218" w:type="pct"/>
            <w:vAlign w:val="center"/>
            <w:vMerge w:val="restart"/>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450" w:type="pct"/>
            <w:vAlign w:val="center"/>
            <w:vMerge w:val="restart"/>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b w:val="0"/>
                <w:bCs w:val="0"/>
                <w:i w:val="0"/>
                <w:iCs w:val="0"/>
                <w:color w:val="auto"/>
                <w:sz w:val="24"/>
                <w:szCs w:val="24"/>
                <w:highlight w:val="none"/>
                <w:u w:val="none"/>
                <w:lang w:val="en-US" w:eastAsia="zh-CN" w:bidi="ar"/>
              </w:rPr>
            </w:pPr>
            <w:r>
              <w:rPr>
                <w:rFonts w:hint="eastAsia" w:ascii="宋体" w:hAnsi="宋体" w:eastAsia="宋体" w:cs="宋体"/>
                <w:b w:val="0"/>
                <w:bCs w:val="0"/>
                <w:i w:val="0"/>
                <w:iCs w:val="0"/>
                <w:color w:val="auto"/>
                <w:sz w:val="24"/>
                <w:szCs w:val="24"/>
                <w:highlight w:val="none"/>
                <w:u w:val="none"/>
                <w:lang w:val="en-US" w:eastAsia="zh-CN" w:bidi="ar"/>
              </w:rPr>
              <w:t xml:space="preserve">直流风洞动力驱动系统</w:t>
            </w:r>
            <w:r/>
          </w:p>
          <w:p>
            <w:pPr>
              <w:jc w:val="center"/>
              <w:keepLines w:val="0"/>
              <w:keepNext w:val="0"/>
              <w:pageBreakBefore w:val="0"/>
              <w:spacing w:line="360" w:lineRule="auto"/>
              <w:shd w:val="clear" w:color="auto"/>
              <w:tabs>
                <w:tab w:val="left" w:pos="0" w:leader="none"/>
              </w:tabs>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586" w:type="pct"/>
            <w:vAlign w:val="center"/>
            <w:vMerge w:val="restart"/>
            <w:textDirection w:val="lrTb"/>
            <w:noWrap w:val="false"/>
          </w:tcPr>
          <w:p>
            <w:pPr>
              <w:numPr>
                <w:ilvl w:val="0"/>
                <w:numId w:val="5"/>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轴流风机30-35m</w:t>
            </w:r>
            <w:r>
              <w:rPr>
                <w:rFonts w:hint="eastAsia" w:ascii="宋体" w:hAnsi="宋体" w:eastAsia="宋体" w:cs="宋体"/>
                <w:b w:val="0"/>
                <w:bCs w:val="0"/>
                <w:color w:val="auto"/>
                <w:sz w:val="24"/>
                <w:szCs w:val="24"/>
                <w:highlight w:val="none"/>
                <w:vertAlign w:val="superscript"/>
                <w:lang w:val="en-US" w:eastAsia="zh-CN"/>
              </w:rPr>
              <w:t xml:space="preserve">3</w:t>
            </w:r>
            <w:r>
              <w:rPr>
                <w:rFonts w:hint="eastAsia" w:ascii="宋体" w:hAnsi="宋体" w:eastAsia="宋体" w:cs="宋体"/>
                <w:b w:val="0"/>
                <w:bCs w:val="0"/>
                <w:color w:val="auto"/>
                <w:sz w:val="24"/>
                <w:szCs w:val="24"/>
                <w:highlight w:val="none"/>
                <w:lang w:val="en-US" w:eastAsia="zh-CN"/>
              </w:rPr>
              <w:t xml:space="preserve">/s，45</w:t>
            </w:r>
            <w:r>
              <w:rPr>
                <w:rFonts w:hint="eastAsia" w:ascii="宋体" w:hAnsi="宋体" w:cs="宋体"/>
                <w:b w:val="0"/>
                <w:bCs w:val="0"/>
                <w:color w:val="auto"/>
                <w:sz w:val="24"/>
                <w:szCs w:val="24"/>
                <w:highlight w:val="none"/>
                <w:lang w:val="en-US" w:eastAsia="zh-CN"/>
              </w:rPr>
              <w:t xml:space="preserve">kW</w:t>
            </w:r>
            <w:r>
              <w:rPr>
                <w:rFonts w:hint="eastAsia" w:ascii="宋体" w:hAnsi="宋体" w:eastAsia="宋体" w:cs="宋体"/>
                <w:b w:val="0"/>
                <w:bCs w:val="0"/>
                <w:color w:val="auto"/>
                <w:sz w:val="24"/>
                <w:szCs w:val="24"/>
                <w:highlight w:val="none"/>
                <w:lang w:val="en-US" w:eastAsia="zh-CN"/>
              </w:rPr>
              <w:t xml:space="preserve">（含</w:t>
            </w:r>
            <w:r>
              <w:rPr>
                <w:rFonts w:hint="eastAsia" w:ascii="宋体" w:hAnsi="宋体" w:eastAsia="宋体" w:cs="宋体"/>
                <w:b w:val="0"/>
                <w:bCs w:val="0"/>
                <w:color w:val="auto"/>
                <w:sz w:val="24"/>
                <w:szCs w:val="24"/>
                <w:highlight w:val="none"/>
              </w:rPr>
              <w:t xml:space="preserve">风扇叶片</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轮毂</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轴承、轴承座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整流罩，冷却风机，</w:t>
            </w:r>
            <w:r>
              <w:rPr>
                <w:rFonts w:hint="eastAsia" w:ascii="宋体" w:hAnsi="宋体" w:eastAsia="宋体" w:cs="宋体"/>
                <w:b w:val="0"/>
                <w:bCs w:val="0"/>
                <w:color w:val="auto"/>
                <w:sz w:val="24"/>
                <w:szCs w:val="24"/>
                <w:highlight w:val="none"/>
              </w:rPr>
              <w:t xml:space="preserve">电机</w:t>
            </w:r>
            <w:r>
              <w:rPr>
                <w:rFonts w:hint="eastAsia" w:ascii="宋体" w:hAnsi="宋体" w:eastAsia="宋体" w:cs="宋体"/>
                <w:b w:val="0"/>
                <w:bCs w:val="0"/>
                <w:color w:val="auto"/>
                <w:sz w:val="24"/>
                <w:szCs w:val="24"/>
                <w:highlight w:val="none"/>
                <w:lang w:val="en-US" w:eastAsia="zh-CN"/>
              </w:rPr>
              <w:t xml:space="preserve">，软连接，支架等）</w:t>
            </w:r>
            <w:r/>
          </w:p>
          <w:p>
            <w:pPr>
              <w:numPr>
                <w:ilvl w:val="1"/>
                <w:numId w:val="5"/>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风机型式：轴流风机；</w:t>
            </w:r>
            <w:r/>
          </w:p>
          <w:p>
            <w:pPr>
              <w:numPr>
                <w:ilvl w:val="1"/>
                <w:numId w:val="5"/>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风量：</w:t>
            </w:r>
            <w:r>
              <w:rPr>
                <w:rFonts w:hint="eastAsia" w:ascii="宋体" w:hAnsi="宋体" w:eastAsia="宋体" w:cs="宋体"/>
                <w:b w:val="0"/>
                <w:bCs w:val="0"/>
                <w:color w:val="auto"/>
                <w:sz w:val="24"/>
                <w:szCs w:val="24"/>
                <w:highlight w:val="none"/>
                <w:lang w:val="en-US" w:eastAsia="zh-CN"/>
              </w:rPr>
              <w:t xml:space="preserve">30-35m</w:t>
            </w:r>
            <w:r>
              <w:rPr>
                <w:rFonts w:hint="eastAsia" w:ascii="宋体" w:hAnsi="宋体" w:eastAsia="宋体" w:cs="宋体"/>
                <w:b w:val="0"/>
                <w:bCs w:val="0"/>
                <w:color w:val="auto"/>
                <w:sz w:val="24"/>
                <w:szCs w:val="24"/>
                <w:highlight w:val="none"/>
                <w:vertAlign w:val="superscript"/>
                <w:lang w:val="en-US" w:eastAsia="zh-CN"/>
              </w:rPr>
              <w:t xml:space="preserve">3</w:t>
            </w:r>
            <w:r>
              <w:rPr>
                <w:rFonts w:hint="eastAsia" w:ascii="宋体" w:hAnsi="宋体" w:eastAsia="宋体" w:cs="宋体"/>
                <w:b w:val="0"/>
                <w:bCs w:val="0"/>
                <w:color w:val="auto"/>
                <w:sz w:val="24"/>
                <w:szCs w:val="24"/>
                <w:highlight w:val="none"/>
                <w:lang w:val="en-US" w:eastAsia="zh-CN"/>
              </w:rPr>
              <w:t xml:space="preserve">/s</w:t>
            </w:r>
            <w:r>
              <w:rPr>
                <w:rFonts w:hint="eastAsia" w:ascii="宋体" w:hAnsi="宋体" w:eastAsia="宋体" w:cs="宋体"/>
                <w:b w:val="0"/>
                <w:bCs w:val="0"/>
                <w:i w:val="0"/>
                <w:iCs w:val="0"/>
                <w:color w:val="auto"/>
                <w:sz w:val="24"/>
                <w:szCs w:val="24"/>
                <w:highlight w:val="none"/>
                <w:u w:val="none"/>
                <w:lang w:val="en-US" w:eastAsia="zh-CN" w:bidi="ar"/>
              </w:rPr>
              <w:t xml:space="preserve">；</w:t>
            </w:r>
            <w:r/>
          </w:p>
          <w:p>
            <w:pPr>
              <w:numPr>
                <w:ilvl w:val="1"/>
                <w:numId w:val="5"/>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电机功率：45KW以上；</w:t>
            </w:r>
            <w:r/>
          </w:p>
          <w:p>
            <w:pPr>
              <w:numPr>
                <w:ilvl w:val="1"/>
                <w:numId w:val="5"/>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工作电压：三相AC 380V；</w:t>
            </w:r>
            <w:r/>
          </w:p>
          <w:p>
            <w:pPr>
              <w:numPr>
                <w:ilvl w:val="1"/>
                <w:numId w:val="5"/>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防护等级：IP54</w:t>
            </w:r>
            <w:r>
              <w:rPr>
                <w:rFonts w:hint="eastAsia" w:ascii="宋体" w:hAnsi="宋体" w:eastAsia="宋体" w:cs="宋体"/>
                <w:b w:val="0"/>
                <w:bCs w:val="0"/>
                <w:color w:val="auto"/>
                <w:sz w:val="24"/>
                <w:szCs w:val="24"/>
                <w:highlight w:val="none"/>
                <w:lang w:val="en-US" w:eastAsia="zh-CN"/>
              </w:rPr>
              <w:t xml:space="preserve">及以上</w:t>
            </w:r>
            <w:r>
              <w:rPr>
                <w:rFonts w:hint="eastAsia" w:ascii="宋体" w:hAnsi="宋体" w:eastAsia="宋体" w:cs="宋体"/>
                <w:b w:val="0"/>
                <w:bCs w:val="0"/>
                <w:i w:val="0"/>
                <w:iCs w:val="0"/>
                <w:color w:val="auto"/>
                <w:sz w:val="24"/>
                <w:szCs w:val="24"/>
                <w:highlight w:val="none"/>
                <w:u w:val="none"/>
                <w:lang w:val="en-US" w:eastAsia="zh-CN" w:bidi="ar"/>
              </w:rPr>
              <w:t xml:space="preserve">；</w:t>
            </w:r>
            <w:r/>
          </w:p>
          <w:p>
            <w:pPr>
              <w:numPr>
                <w:ilvl w:val="1"/>
                <w:numId w:val="5"/>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噪声</w:t>
            </w:r>
            <w:r>
              <w:rPr>
                <w:rFonts w:hint="eastAsia" w:ascii="宋体" w:hAnsi="宋体" w:eastAsia="宋体" w:cs="宋体"/>
                <w:b w:val="0"/>
                <w:bCs w:val="0"/>
                <w:i w:val="0"/>
                <w:iCs w:val="0"/>
                <w:color w:val="auto"/>
                <w:sz w:val="24"/>
                <w:szCs w:val="24"/>
                <w:highlight w:val="none"/>
                <w:u w:val="none"/>
                <w:lang w:val="en-US" w:eastAsia="zh-CN" w:bidi="ar"/>
              </w:rPr>
              <w:t xml:space="preserve">：95dB以下；</w:t>
            </w:r>
            <w:r/>
          </w:p>
          <w:p>
            <w:pPr>
              <w:numPr>
                <w:ilvl w:val="1"/>
                <w:numId w:val="5"/>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工作环境：-20℃～60℃；</w:t>
            </w:r>
            <w:r/>
          </w:p>
          <w:p>
            <w:pPr>
              <w:numPr>
                <w:ilvl w:val="1"/>
                <w:numId w:val="5"/>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配套</w:t>
            </w:r>
            <w:r>
              <w:rPr>
                <w:rFonts w:hint="eastAsia" w:ascii="宋体" w:hAnsi="宋体" w:eastAsia="宋体" w:cs="宋体"/>
                <w:b w:val="0"/>
                <w:bCs w:val="0"/>
                <w:i w:val="0"/>
                <w:iCs w:val="0"/>
                <w:color w:val="auto"/>
                <w:sz w:val="24"/>
                <w:szCs w:val="24"/>
                <w:highlight w:val="none"/>
                <w:u w:val="none"/>
                <w:lang w:val="en-US" w:eastAsia="zh-CN" w:bidi="ar"/>
              </w:rPr>
              <w:t xml:space="preserve">传动轴，材质：高强度合金结构钢，表面处理：调质、淬火、精磨，连接形式：法兰/联轴器联接，工作温度：-20℃～80℃，承载：满足额定扭矩与冲击载荷；</w:t>
            </w:r>
            <w:r/>
          </w:p>
          <w:p>
            <w:pPr>
              <w:numPr>
                <w:ilvl w:val="1"/>
                <w:numId w:val="5"/>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配套风扇叶片：材质：铝合金/玻璃钢，叶片数量8～10 片；</w:t>
            </w:r>
            <w:r/>
          </w:p>
          <w:p>
            <w:pPr>
              <w:numPr>
                <w:ilvl w:val="1"/>
                <w:numId w:val="5"/>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配套轴承：支撑风扇转轴，减小转动摩擦，保证运转平稳、同轴度与使用寿命；密封防尘、防水溅；</w:t>
            </w:r>
            <w:r/>
          </w:p>
          <w:p>
            <w:pPr>
              <w:numPr>
                <w:ilvl w:val="1"/>
                <w:numId w:val="5"/>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配套轴承座：固定安装轴承，支撑转轴并定位；密封形式：防尘密封；工作温度：-20℃～80℃；</w:t>
            </w:r>
            <w:r/>
          </w:p>
          <w:p>
            <w:pPr>
              <w:numPr>
                <w:ilvl w:val="1"/>
                <w:numId w:val="5"/>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配套整流罩：材质：碳钢；降噪、稳流、防扰流；防护：防腐、防锈、抗振动；</w:t>
            </w:r>
            <w:r/>
          </w:p>
          <w:p>
            <w:pPr>
              <w:numPr>
                <w:ilvl w:val="1"/>
                <w:numId w:val="5"/>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冷却风机1台：匹配电机散热要求；防护等级：IP54及以上；工作温度：-20℃～60℃；</w:t>
            </w:r>
            <w:r/>
          </w:p>
          <w:p>
            <w:pPr>
              <w:numPr>
                <w:ilvl w:val="1"/>
                <w:numId w:val="5"/>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电机1台：变频调速电机；功率45</w:t>
            </w:r>
            <w:r>
              <w:rPr>
                <w:rFonts w:hint="eastAsia" w:ascii="宋体" w:hAnsi="宋体" w:cs="宋体"/>
                <w:b w:val="0"/>
                <w:bCs w:val="0"/>
                <w:color w:val="auto"/>
                <w:sz w:val="24"/>
                <w:szCs w:val="24"/>
                <w:highlight w:val="none"/>
                <w:lang w:val="en-US" w:eastAsia="zh-CN"/>
              </w:rPr>
              <w:t xml:space="preserve">kW</w:t>
            </w:r>
            <w:r>
              <w:rPr>
                <w:rFonts w:hint="eastAsia" w:ascii="宋体" w:hAnsi="宋体" w:eastAsia="宋体" w:cs="宋体"/>
                <w:b w:val="0"/>
                <w:bCs w:val="0"/>
                <w:color w:val="auto"/>
                <w:sz w:val="24"/>
                <w:szCs w:val="24"/>
                <w:highlight w:val="none"/>
                <w:lang w:val="en-US" w:eastAsia="zh-CN"/>
              </w:rPr>
              <w:t xml:space="preserve">以上；额定电压AC380V；调速范围：0～额定转速变频可调；绝缘等级：F级；防护等级：IP55及以上；工作环境：-20℃～40℃；</w:t>
            </w:r>
            <w:r/>
          </w:p>
          <w:p>
            <w:pPr>
              <w:numPr>
                <w:ilvl w:val="0"/>
                <w:numId w:val="5"/>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lang w:val="en-US" w:eastAsia="zh-CN"/>
              </w:rPr>
              <w:t xml:space="preserve">控制柜1台（含调速器，控制器，电气元件，滤波器，仪表等）</w:t>
            </w:r>
            <w:r/>
          </w:p>
          <w:p>
            <w:pPr>
              <w:numPr>
                <w:ilvl w:val="1"/>
                <w:numId w:val="5"/>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控制柜实现风机调速、启停控制与保护，尺寸：不小于800×2000×600 mm，输入电压：AC 380V 三相五线，控制方式：无级调速、自动稳速，保护功能：过流、过载、过压、欠压、缺相、短路保护，通讯接口：支持 RS485、Modbus等，防护等级：IP54及以上，工作环境：-20℃～60℃；</w:t>
            </w:r>
            <w:r/>
          </w:p>
          <w:p>
            <w:pPr>
              <w:numPr>
                <w:ilvl w:val="1"/>
                <w:numId w:val="5"/>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调速器1台，功率45</w:t>
            </w:r>
            <w:r>
              <w:rPr>
                <w:rFonts w:hint="eastAsia" w:ascii="宋体" w:hAnsi="宋体" w:cs="宋体"/>
                <w:b w:val="0"/>
                <w:bCs w:val="0"/>
                <w:color w:val="auto"/>
                <w:sz w:val="24"/>
                <w:szCs w:val="24"/>
                <w:highlight w:val="none"/>
                <w:lang w:val="en-US" w:eastAsia="zh-CN"/>
              </w:rPr>
              <w:t xml:space="preserve">kW</w:t>
            </w:r>
            <w:r>
              <w:rPr>
                <w:rFonts w:hint="eastAsia" w:ascii="宋体" w:hAnsi="宋体" w:eastAsia="宋体" w:cs="宋体"/>
                <w:b w:val="0"/>
                <w:bCs w:val="0"/>
                <w:color w:val="auto"/>
                <w:sz w:val="24"/>
                <w:szCs w:val="24"/>
                <w:highlight w:val="none"/>
                <w:lang w:val="en-US" w:eastAsia="zh-CN"/>
              </w:rPr>
              <w:t xml:space="preserve">以上，控制方式：变频调节，输入电压：AC 380V，连续可调，控制信号：模拟量/数字量/软件控制，保护功能：过流、过载、过压、欠压、过热保护，通讯接口：RS485 / Modbus；</w:t>
            </w:r>
            <w:r/>
          </w:p>
          <w:p>
            <w:pPr>
              <w:numPr>
                <w:ilvl w:val="1"/>
                <w:numId w:val="5"/>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控制器1台，工作电压：DC 24V / AC 220V，接口：RS485、以太网，通讯协议：Modbus/TCP/IP，采样周期：≤10ms，控制模式：手动/自动/远程联控，工作环境：-10℃～55℃，防护等级：IP20及以上；</w:t>
            </w:r>
            <w:r/>
          </w:p>
          <w:p>
            <w:pPr>
              <w:numPr>
                <w:ilvl w:val="1"/>
                <w:numId w:val="5"/>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电气元件4件，实现电路控制、保护、信号转换与联锁，保障电控系统安全可靠运行，额定电压：AC 220V/380V，DC 24V，额定电流：按回路配置，功能：过载、短路、缺相、漏电保护，符合</w:t>
            </w:r>
            <w:r>
              <w:rPr>
                <w:rFonts w:hint="eastAsia" w:ascii="宋体" w:hAnsi="宋体" w:cs="宋体"/>
                <w:b w:val="0"/>
                <w:bCs w:val="0"/>
                <w:color w:val="auto"/>
                <w:sz w:val="24"/>
                <w:szCs w:val="24"/>
                <w:highlight w:val="none"/>
                <w:lang w:val="en-US" w:eastAsia="zh-CN"/>
              </w:rPr>
              <w:t xml:space="preserve">国家标准</w:t>
            </w:r>
            <w:r>
              <w:rPr>
                <w:rFonts w:hint="eastAsia" w:ascii="宋体" w:hAnsi="宋体" w:eastAsia="宋体" w:cs="宋体"/>
                <w:b w:val="0"/>
                <w:bCs w:val="0"/>
                <w:color w:val="auto"/>
                <w:sz w:val="24"/>
                <w:szCs w:val="24"/>
                <w:highlight w:val="none"/>
                <w:lang w:val="en-US" w:eastAsia="zh-CN"/>
              </w:rPr>
              <w:t xml:space="preserve">，工作环境：-10℃～55℃；</w:t>
            </w:r>
            <w:r/>
          </w:p>
          <w:p>
            <w:pPr>
              <w:numPr>
                <w:ilvl w:val="1"/>
                <w:numId w:val="5"/>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滤波器1台，抑制电路谐波与电磁干扰，保证电控系统稳定运行，45</w:t>
            </w:r>
            <w:r>
              <w:rPr>
                <w:rFonts w:hint="eastAsia" w:ascii="宋体" w:hAnsi="宋体" w:cs="宋体"/>
                <w:b w:val="0"/>
                <w:bCs w:val="0"/>
                <w:color w:val="auto"/>
                <w:sz w:val="24"/>
                <w:szCs w:val="24"/>
                <w:highlight w:val="none"/>
                <w:lang w:val="en-US" w:eastAsia="zh-CN"/>
              </w:rPr>
              <w:t xml:space="preserve">kW</w:t>
            </w:r>
            <w:r>
              <w:rPr>
                <w:rFonts w:hint="eastAsia" w:ascii="宋体" w:hAnsi="宋体" w:eastAsia="宋体" w:cs="宋体"/>
                <w:b w:val="0"/>
                <w:bCs w:val="0"/>
                <w:color w:val="auto"/>
                <w:sz w:val="24"/>
                <w:szCs w:val="24"/>
                <w:highlight w:val="none"/>
                <w:lang w:val="en-US" w:eastAsia="zh-CN"/>
              </w:rPr>
              <w:t xml:space="preserve">以上，额定电压：AC 380V，工作频率：50/60Hz，防护等级：IP20及以上，工作温度：-10℃～60℃；</w:t>
            </w:r>
            <w:r/>
          </w:p>
          <w:p>
            <w:pPr>
              <w:numPr>
                <w:ilvl w:val="1"/>
                <w:numId w:val="5"/>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lang w:val="en-US" w:eastAsia="zh-CN"/>
              </w:rPr>
              <w:t xml:space="preserve">显示仪表3台，监测电压、电流、频率、风速、温度等运行参数，便于实时监控与操作，精度等级：≤±0.5%，数字显示，信号输出：4～20mA / RS485，工作电压：AC 220V / DC 24V，工作环境：-10℃～60℃；</w:t>
            </w:r>
            <w:r/>
          </w:p>
          <w:p>
            <w:pPr>
              <w:numPr>
                <w:ilvl w:val="1"/>
                <w:numId w:val="5"/>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lang w:val="en-US" w:eastAsia="zh-CN"/>
              </w:rPr>
              <w:t xml:space="preserve">安装调试</w:t>
            </w:r>
            <w:r/>
          </w:p>
          <w:p>
            <w:pPr>
              <w:pStyle w:val="889"/>
              <w:numPr>
                <w:ilvl w:val="2"/>
                <w:numId w:val="5"/>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风机安装：a、风机安装方向一致，间距均匀，无倾斜错位；b、风机与支架间加减震垫，降低振动传导；c、风机固定牢固，运行无松动、无刮擦异响；</w:t>
            </w:r>
            <w:r/>
          </w:p>
          <w:p>
            <w:pPr>
              <w:pStyle w:val="889"/>
              <w:numPr>
                <w:ilvl w:val="2"/>
                <w:numId w:val="5"/>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风机防护网与外罩：a、防护网安装牢固，无尖锐边缘，防撞击、防卷入；b、外罩接缝均匀，外观整洁，无明显毛刺、焊渣；</w:t>
            </w:r>
            <w:r/>
          </w:p>
          <w:p>
            <w:pPr>
              <w:pStyle w:val="889"/>
              <w:numPr>
                <w:ilvl w:val="2"/>
                <w:numId w:val="5"/>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风机调试：a、风机转向正确；b、运行噪声正常，无刮擦、共振、异常抖动；</w:t>
            </w:r>
            <w:r/>
          </w:p>
          <w:p>
            <w:pPr>
              <w:pStyle w:val="889"/>
              <w:numPr>
                <w:ilvl w:val="2"/>
                <w:numId w:val="5"/>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故障报警功能有效：过流、过载、通讯异常等可触发报警；</w:t>
            </w:r>
            <w:r/>
          </w:p>
          <w:p>
            <w:pPr>
              <w:pStyle w:val="889"/>
              <w:numPr>
                <w:ilvl w:val="2"/>
                <w:numId w:val="5"/>
              </w:numPr>
              <w:ind w:left="0" w:firstLine="0"/>
              <w:keepLines/>
              <w:keepNext/>
              <w:pageBreakBefore w:val="0"/>
              <w:spacing w:before="0" w:after="0" w:line="360" w:lineRule="auto"/>
              <w:shd w:val="clear" w:color="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 w:val="0"/>
                <w:bCs/>
                <w:sz w:val="24"/>
                <w:szCs w:val="24"/>
                <w:highlight w:val="none"/>
                <w:lang w:val="en-US" w:eastAsia="zh-CN"/>
              </w:rPr>
              <w:t xml:space="preserve">设备系统的联机校准；</w:t>
            </w:r>
            <w:r/>
          </w:p>
        </w:tc>
        <w:tc>
          <w:tcPr>
            <w:shd w:val="clear" w:color="auto" w:fill="auto"/>
            <w:tcW w:w="267" w:type="pct"/>
            <w:vAlign w:val="center"/>
            <w:vMerge w:val="restart"/>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283" w:type="pct"/>
            <w:vAlign w:val="center"/>
            <w:vMerge w:val="restart"/>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193" w:type="pct"/>
            <w:vAlign w:val="center"/>
            <w:vMerge w:val="restart"/>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p>
            <w:pPr>
              <w:jc w:val="center"/>
              <w:keepLines w:val="0"/>
              <w:keepNext w:val="0"/>
              <w:pageBreakBefore w:val="0"/>
              <w:spacing w:line="360" w:lineRule="auto"/>
              <w:shd w:val="clear" w:color="auto"/>
              <w:tabs>
                <w:tab w:val="left" w:pos="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p>
            <w:pPr>
              <w:jc w:val="center"/>
              <w:keepLines w:val="0"/>
              <w:keepNext w:val="0"/>
              <w:pageBreakBefore w:val="0"/>
              <w:spacing w:line="360" w:lineRule="auto"/>
              <w:shd w:val="clear" w:color="auto"/>
              <w:tabs>
                <w:tab w:val="left" w:pos="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p>
            <w:pPr>
              <w:jc w:val="center"/>
              <w:keepLines w:val="0"/>
              <w:keepNext w:val="0"/>
              <w:pageBreakBefore w:val="0"/>
              <w:spacing w:line="360" w:lineRule="auto"/>
              <w:shd w:val="clear" w:color="auto"/>
              <w:tabs>
                <w:tab w:val="left" w:pos="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p>
            <w:pPr>
              <w:jc w:val="center"/>
              <w:keepLines w:val="0"/>
              <w:keepNext w:val="0"/>
              <w:pageBreakBefore w:val="0"/>
              <w:spacing w:line="360" w:lineRule="auto"/>
              <w:shd w:val="clear" w:color="auto"/>
              <w:tabs>
                <w:tab w:val="left" w:pos="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p>
            <w:pPr>
              <w:jc w:val="center"/>
              <w:keepLines w:val="0"/>
              <w:keepNext w:val="0"/>
              <w:pageBreakBefore w:val="0"/>
              <w:spacing w:line="360" w:lineRule="auto"/>
              <w:shd w:val="clear" w:color="auto"/>
              <w:tabs>
                <w:tab w:val="left" w:pos="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p>
            <w:pPr>
              <w:jc w:val="center"/>
              <w:keepLines w:val="0"/>
              <w:keepNext w:val="0"/>
              <w:pageBreakBefore w:val="0"/>
              <w:spacing w:line="360" w:lineRule="auto"/>
              <w:shd w:val="clear" w:color="auto"/>
              <w:tabs>
                <w:tab w:val="left" w:pos="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mc:AlternateContent>
                <mc:Choice Requires="wpg">
                  <w:drawing>
                    <wp:inline xmlns:wp="http://schemas.openxmlformats.org/drawingml/2006/wordprocessingDrawing" distT="0" distB="0" distL="0" distR="0">
                      <wp:extent cx="1489710" cy="1117600"/>
                      <wp:effectExtent l="0" t="0" r="15240" b="6350"/>
                      <wp:docPr id="1" name="图片 2" descr="1b9c4e39578a163e8e30fa7ca9c92e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b9c4e39578a163e8e30fa7ca9c92e3c"/>
                              <pic:cNvPicPr>
                                <a:picLocks noChangeAspect="1"/>
                              </pic:cNvPicPr>
                              <pic:nvPr/>
                            </pic:nvPicPr>
                            <pic:blipFill>
                              <a:blip r:embed="rId13"/>
                              <a:stretch/>
                            </pic:blipFill>
                            <pic:spPr bwMode="auto">
                              <a:xfrm>
                                <a:off x="0" y="0"/>
                                <a:ext cx="1489710" cy="1117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7.3pt;height:88.0pt;mso-wrap-distance-left:0.0pt;mso-wrap-distance-top:0.0pt;mso-wrap-distance-right:0.0pt;mso-wrap-distance-bottom:0.0pt;" stroked="false">
                      <v:path textboxrect="0,0,0,0"/>
                      <v:imagedata r:id="rId13" o:title=""/>
                    </v:shape>
                  </w:pict>
                </mc:Fallback>
              </mc:AlternateContent>
            </w:r>
            <w:r/>
          </w:p>
          <w:p>
            <w:pPr>
              <w:numPr>
                <w:ilvl w:val="0"/>
                <w:numId w:val="6"/>
              </w:numPr>
              <w:jc w:val="center"/>
              <w:keepLines w:val="0"/>
              <w:keepNext w:val="0"/>
              <w:pageBreakBefore w:val="0"/>
              <w:spacing w:line="360" w:lineRule="auto"/>
              <w:shd w:val="clear" w:color="auto"/>
              <w:tabs>
                <w:tab w:val="left" w:pos="0" w:leader="none"/>
                <w:tab w:val="clear" w:pos="312"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风机照片</w:t>
            </w:r>
            <w:r/>
          </w:p>
          <w:p>
            <w:pPr>
              <w:numPr>
                <w:ilvl w:val="0"/>
                <w:numId w:val="0"/>
              </w:numPr>
              <w:jc w:val="both"/>
              <w:keepLines w:val="0"/>
              <w:keepNext w:val="0"/>
              <w:pageBreakBefore w:val="0"/>
              <w:spacing w:line="360" w:lineRule="auto"/>
              <w:shd w:val="clear" w:color="auto"/>
              <w:tabs>
                <w:tab w:val="left" w:pos="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mc:AlternateContent>
                <mc:Choice Requires="wpg">
                  <w:drawing>
                    <wp:inline xmlns:wp="http://schemas.openxmlformats.org/drawingml/2006/wordprocessingDrawing" distT="0" distB="0" distL="0" distR="0">
                      <wp:extent cx="1440180" cy="1080135"/>
                      <wp:effectExtent l="0" t="0" r="7620" b="5715"/>
                      <wp:docPr id="2" name="图片 8" descr="7bf6618733dfa27373b81ad95abdaa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7bf6618733dfa27373b81ad95abdaae4"/>
                              <pic:cNvPicPr>
                                <a:picLocks noChangeAspect="1"/>
                              </pic:cNvPicPr>
                              <pic:nvPr/>
                            </pic:nvPicPr>
                            <pic:blipFill>
                              <a:blip r:embed="rId14"/>
                              <a:stretch/>
                            </pic:blipFill>
                            <pic:spPr bwMode="auto">
                              <a:xfrm>
                                <a:off x="0" y="0"/>
                                <a:ext cx="1440180" cy="10801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3.4pt;height:85.0pt;mso-wrap-distance-left:0.0pt;mso-wrap-distance-top:0.0pt;mso-wrap-distance-right:0.0pt;mso-wrap-distance-bottom:0.0pt;" stroked="false">
                      <v:path textboxrect="0,0,0,0"/>
                      <v:imagedata r:id="rId14" o:title=""/>
                    </v:shape>
                  </w:pict>
                </mc:Fallback>
              </mc:AlternateContent>
            </w:r>
            <w:r/>
          </w:p>
          <w:p>
            <w:pPr>
              <w:numPr>
                <w:ilvl w:val="0"/>
                <w:numId w:val="6"/>
              </w:numPr>
              <w:jc w:val="center"/>
              <w:keepLines w:val="0"/>
              <w:keepNext w:val="0"/>
              <w:pageBreakBefore w:val="0"/>
              <w:spacing w:line="360" w:lineRule="auto"/>
              <w:shd w:val="clear" w:color="auto"/>
              <w:tabs>
                <w:tab w:val="left" w:pos="0" w:leader="none"/>
                <w:tab w:val="clear" w:pos="312"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 控制柜照片</w:t>
            </w:r>
            <w:r/>
          </w:p>
        </w:tc>
      </w:tr>
      <w:tr>
        <w:trPr>
          <w:jc w:val="center"/>
          <w:trHeight w:val="968"/>
        </w:trPr>
        <w:tc>
          <w:tcPr>
            <w:shd w:val="clear" w:color="auto" w:fill="auto"/>
            <w:tcW w:w="218"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450" w:type="pct"/>
            <w:vAlign w:val="center"/>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lang w:val="en-US" w:eastAsia="zh-CN" w:bidi="ar"/>
              </w:rPr>
              <w:t xml:space="preserve">风洞测量控制系统</w:t>
            </w:r>
            <w:r/>
          </w:p>
        </w:tc>
        <w:tc>
          <w:tcPr>
            <w:shd w:val="clear" w:color="auto" w:fill="auto"/>
            <w:tcW w:w="2586" w:type="pct"/>
            <w:vAlign w:val="center"/>
            <w:textDirection w:val="lrTb"/>
            <w:noWrap w:val="false"/>
          </w:tcPr>
          <w:p>
            <w:pPr>
              <w:numPr>
                <w:ilvl w:val="0"/>
                <w:numId w:val="8"/>
              </w:numPr>
              <w:ind w:left="0" w:firstLine="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控制台，</w:t>
            </w:r>
            <w:r>
              <w:rPr>
                <w:rFonts w:hint="eastAsia" w:ascii="宋体" w:hAnsi="宋体" w:eastAsia="宋体" w:cs="宋体"/>
                <w:i w:val="0"/>
                <w:iCs w:val="0"/>
                <w:color w:val="auto"/>
                <w:sz w:val="24"/>
                <w:szCs w:val="24"/>
                <w:highlight w:val="none"/>
                <w:u w:val="none"/>
                <w:lang w:val="en-US" w:eastAsia="zh-CN" w:bidi="ar"/>
              </w:rPr>
              <w:t xml:space="preserve">工业控制工作站</w:t>
            </w:r>
            <w:r>
              <w:rPr>
                <w:rFonts w:hint="eastAsia" w:ascii="宋体" w:hAnsi="宋体" w:eastAsia="宋体" w:cs="宋体"/>
                <w:color w:val="auto"/>
                <w:sz w:val="24"/>
                <w:szCs w:val="24"/>
                <w:highlight w:val="none"/>
                <w:lang w:val="en-US" w:eastAsia="zh-CN"/>
              </w:rPr>
              <w:t xml:space="preserve">，采集模块，数字量模块，通讯模块，微压计，温湿度传感器，气压计等；</w:t>
            </w:r>
            <w:r/>
          </w:p>
          <w:p>
            <w:pPr>
              <w:numPr>
                <w:ilvl w:val="1"/>
                <w:numId w:val="8"/>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控制台1台，尺寸不小于1400mm（L）* 600mm（W）*750mm（H），结构：钢木结构， 通讯接口：以太网、RS485，工作电压：AC 220V，防护等级：IP20</w:t>
            </w:r>
            <w:r>
              <w:rPr>
                <w:rFonts w:hint="eastAsia" w:ascii="宋体" w:hAnsi="宋体" w:eastAsia="宋体" w:cs="宋体"/>
                <w:b w:val="0"/>
                <w:bCs w:val="0"/>
                <w:color w:val="auto"/>
                <w:sz w:val="24"/>
                <w:szCs w:val="24"/>
                <w:highlight w:val="none"/>
                <w:lang w:val="en-US" w:eastAsia="zh-CN"/>
              </w:rPr>
              <w:t xml:space="preserve">及以上</w:t>
            </w:r>
            <w:r>
              <w:rPr>
                <w:rFonts w:hint="eastAsia" w:ascii="宋体" w:hAnsi="宋体" w:eastAsia="宋体" w:cs="宋体"/>
                <w:i w:val="0"/>
                <w:iCs w:val="0"/>
                <w:color w:val="auto"/>
                <w:sz w:val="24"/>
                <w:szCs w:val="24"/>
                <w:highlight w:val="none"/>
                <w:u w:val="none"/>
                <w:lang w:val="en-US" w:eastAsia="zh-CN" w:bidi="ar"/>
              </w:rPr>
              <w:t xml:space="preserve">，工作环境：-10℃～50℃，功能：手动/自动切换、故障报警、参数调节，配置工业控制工作站、液晶显示器和座椅；</w:t>
            </w:r>
            <w:r/>
          </w:p>
          <w:p>
            <w:pPr>
              <w:numPr>
                <w:ilvl w:val="1"/>
                <w:numId w:val="8"/>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工业控制工作站1台：多核处理器≥12核（i5 及以上）内存：≥8GB，可扩展，硬盘：≥256GB SSD，抗震耐用，接口：多串口（RS232/485）、USB3.0、网口、GPIO、显示接口，扩展：支持 PCI/PCIe 插槽，可接采集卡、运动控制卡，供电：DC 24V 或 AC 220V 宽压输入，工作温度：-10℃～60℃，散热：无风扇/低噪风扇散热，防尘抗震，防护等级：IP20 以上，适合工业现场长期运行；</w:t>
            </w:r>
            <w:r/>
          </w:p>
          <w:p>
            <w:pPr>
              <w:numPr>
                <w:ilvl w:val="1"/>
                <w:numId w:val="8"/>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液晶显示器1台，尺寸不小于27英寸，分辨率不小于1920*1080，电源19V DC1.31A，接口：D-Sub/HDMI；</w:t>
            </w:r>
            <w:r/>
          </w:p>
          <w:p>
            <w:pPr>
              <w:numPr>
                <w:ilvl w:val="1"/>
                <w:numId w:val="8"/>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采集模块1台，分辨率16 位，通道：8路差分，可独立设置量程，高共模电压：200Vdc，通讯协议：ASCII 命令，Modbus 协议，输入类型：V，mA，输入量程：0～5V, 0～10V, 0～20mA, 4～20mA，隔离电压：3000VDC，过压保护：±60V，采样速率：10/100 Hz；</w:t>
            </w:r>
            <w:r/>
          </w:p>
          <w:p>
            <w:pPr>
              <w:numPr>
                <w:ilvl w:val="1"/>
                <w:numId w:val="8"/>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数字量模块1台 供电：24VDC（18～30V），功耗：单模块≤5W，隔离：通道/系统/电源三隔离，输出通道：8/16路，分辨率：16 bit及以上；</w:t>
            </w:r>
            <w:r/>
          </w:p>
          <w:p>
            <w:pPr>
              <w:numPr>
                <w:ilvl w:val="1"/>
                <w:numId w:val="8"/>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通讯模块1台 工作电源：DC 24V（18～30V）功耗：≤3W，模块工作温度 -20℃～+70℃，满足工业 EMC 抗干扰要求，可实现主机、控制柜系统之间稳定数据交互；</w:t>
            </w:r>
            <w:r/>
          </w:p>
          <w:p>
            <w:pPr>
              <w:numPr>
                <w:ilvl w:val="1"/>
                <w:numId w:val="8"/>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color w:val="auto"/>
                <w:szCs w:val="21"/>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微压计1台  量程：0～1000Pa；精度：±0.05%FS；输出：4～20mA；</w:t>
            </w:r>
            <w:r/>
          </w:p>
          <w:p>
            <w:pPr>
              <w:numPr>
                <w:ilvl w:val="1"/>
                <w:numId w:val="8"/>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color w:val="auto"/>
                <w:szCs w:val="21"/>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温湿度传感器1支，温度范围：-20～60℃，精度±0.</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℃；湿度范围：0～95% RH，精度：±</w:t>
            </w:r>
            <w:r>
              <w:rPr>
                <w:rFonts w:hint="eastAsia" w:ascii="宋体" w:hAnsi="宋体" w:cs="宋体"/>
                <w:i w:val="0"/>
                <w:iCs w:val="0"/>
                <w:color w:val="auto"/>
                <w:sz w:val="24"/>
                <w:szCs w:val="24"/>
                <w:highlight w:val="none"/>
                <w:u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%RH；</w:t>
            </w:r>
            <w:r/>
          </w:p>
          <w:p>
            <w:pPr>
              <w:numPr>
                <w:ilvl w:val="1"/>
                <w:numId w:val="8"/>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color w:val="auto"/>
                <w:szCs w:val="21"/>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气压计1台  量程</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0～1100 hPa；输出接口</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4～20 mA；精度±0.5%FS；</w:t>
            </w:r>
            <w:r/>
          </w:p>
          <w:p>
            <w:pPr>
              <w:numPr>
                <w:ilvl w:val="1"/>
                <w:numId w:val="8"/>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Style w:val="913"/>
                <w:rFonts w:hint="eastAsia" w:ascii="宋体" w:hAnsi="宋体" w:eastAsia="宋体" w:cs="宋体"/>
                <w:color w:val="auto"/>
                <w:sz w:val="24"/>
                <w:szCs w:val="24"/>
                <w:highlight w:val="none"/>
                <w:lang w:val="en-US" w:eastAsia="zh-CN" w:bidi="ar"/>
              </w:rPr>
              <w:t xml:space="preserve">电源及附件系统配置</w:t>
            </w:r>
            <w:r>
              <w:rPr>
                <w:rStyle w:val="914"/>
                <w:rFonts w:hint="eastAsia" w:ascii="宋体" w:hAnsi="宋体" w:eastAsia="宋体" w:cs="宋体"/>
                <w:color w:val="auto"/>
                <w:sz w:val="24"/>
                <w:szCs w:val="24"/>
                <w:highlight w:val="none"/>
                <w:lang w:val="en-US" w:eastAsia="zh-CN" w:bidi="ar"/>
              </w:rPr>
              <w:t xml:space="preserve">主配电柜、双路冗余24VDC开关电源</w:t>
            </w:r>
            <w:r>
              <w:rPr>
                <w:rStyle w:val="913"/>
                <w:rFonts w:hint="eastAsia" w:ascii="宋体" w:hAnsi="宋体" w:eastAsia="宋体" w:cs="宋体"/>
                <w:color w:val="auto"/>
                <w:sz w:val="24"/>
                <w:szCs w:val="24"/>
                <w:highlight w:val="none"/>
                <w:lang w:val="en-US" w:eastAsia="zh-CN" w:bidi="ar"/>
              </w:rPr>
              <w:t xml:space="preserve">，具备完善的短路、过载、过压、欠压、漏电、缺相保护功能；动力、控制及信号电缆采用</w:t>
            </w:r>
            <w:r>
              <w:rPr>
                <w:rStyle w:val="914"/>
                <w:rFonts w:hint="eastAsia" w:ascii="宋体" w:hAnsi="宋体" w:eastAsia="宋体" w:cs="宋体"/>
                <w:color w:val="auto"/>
                <w:sz w:val="24"/>
                <w:szCs w:val="24"/>
                <w:highlight w:val="none"/>
                <w:lang w:val="en-US" w:eastAsia="zh-CN" w:bidi="ar"/>
              </w:rPr>
              <w:t xml:space="preserve">屏蔽阻燃线缆</w:t>
            </w:r>
            <w:r>
              <w:rPr>
                <w:rStyle w:val="913"/>
                <w:rFonts w:hint="eastAsia" w:ascii="宋体" w:hAnsi="宋体" w:eastAsia="宋体" w:cs="宋体"/>
                <w:color w:val="auto"/>
                <w:sz w:val="24"/>
                <w:szCs w:val="24"/>
                <w:highlight w:val="none"/>
                <w:lang w:val="en-US" w:eastAsia="zh-CN" w:bidi="ar"/>
              </w:rPr>
              <w:t xml:space="preserve">，配套 DIN 导轨、阻燃接线端子、防雷浪涌保护器、理线及标识附件</w:t>
            </w:r>
            <w:r>
              <w:rPr>
                <w:rStyle w:val="913"/>
                <w:rFonts w:hint="eastAsia" w:ascii="宋体" w:hAnsi="宋体" w:cs="宋体"/>
                <w:color w:val="auto"/>
                <w:sz w:val="24"/>
                <w:szCs w:val="24"/>
                <w:highlight w:val="none"/>
                <w:lang w:val="en-US" w:eastAsia="zh-CN" w:bidi="ar"/>
              </w:rPr>
              <w:t xml:space="preserve">，</w:t>
            </w:r>
            <w:r>
              <w:rPr>
                <w:rStyle w:val="913"/>
                <w:rFonts w:hint="eastAsia" w:ascii="宋体" w:hAnsi="宋体" w:eastAsia="宋体" w:cs="宋体"/>
                <w:color w:val="auto"/>
                <w:sz w:val="24"/>
                <w:szCs w:val="24"/>
                <w:highlight w:val="none"/>
                <w:lang w:val="en-US" w:eastAsia="zh-CN" w:bidi="ar"/>
              </w:rPr>
              <w:t xml:space="preserve">整体满足工业级抗振动、抗干扰要求；</w:t>
            </w:r>
            <w:r/>
          </w:p>
          <w:p>
            <w:pPr>
              <w:numPr>
                <w:ilvl w:val="0"/>
                <w:numId w:val="8"/>
              </w:numPr>
              <w:ind w:left="0" w:firstLine="0"/>
              <w:jc w:val="left"/>
              <w:keepLines w:val="0"/>
              <w:keepNext w:val="0"/>
              <w:pageBreakBefore w:val="0"/>
              <w:spacing w:line="360" w:lineRule="auto"/>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rPr>
              <w:t xml:space="preserve">六分量天平1台：</w:t>
            </w:r>
            <w:r>
              <w:rPr>
                <w:rFonts w:hint="eastAsia" w:ascii="宋体" w:hAnsi="宋体" w:eastAsia="宋体" w:cs="宋体"/>
                <w:i w:val="0"/>
                <w:iCs w:val="0"/>
                <w:color w:val="auto"/>
                <w:sz w:val="24"/>
                <w:szCs w:val="24"/>
                <w:highlight w:val="none"/>
                <w:u w:val="none"/>
                <w:lang w:val="en-US" w:eastAsia="zh-CN" w:bidi="ar"/>
              </w:rPr>
              <w:t xml:space="preserve">多轴力/力矩传感器系统测量全部六个力和力矩；系统包括一个传感器，高柔性屏蔽电缆，数据采集系统，总线通讯；</w:t>
            </w:r>
            <w:r/>
          </w:p>
          <w:p>
            <w:pPr>
              <w:numPr>
                <w:ilvl w:val="0"/>
                <w:numId w:val="0"/>
              </w:numPr>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量程范围：±200N；</w:t>
            </w:r>
            <w:r/>
          </w:p>
          <w:p>
            <w:pPr>
              <w:numPr>
                <w:ilvl w:val="0"/>
                <w:numId w:val="0"/>
              </w:numPr>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精度等级：1%FS；</w:t>
            </w:r>
            <w:r/>
          </w:p>
          <w:p>
            <w:pPr>
              <w:numPr>
                <w:ilvl w:val="0"/>
                <w:numId w:val="0"/>
              </w:numPr>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线性误差：0.2%FS；</w:t>
            </w:r>
            <w:r/>
          </w:p>
          <w:p>
            <w:pPr>
              <w:numPr>
                <w:ilvl w:val="0"/>
                <w:numId w:val="0"/>
              </w:numPr>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输出型号：4～20mA/RS485；</w:t>
            </w:r>
            <w:r/>
          </w:p>
          <w:p>
            <w:pPr>
              <w:numPr>
                <w:ilvl w:val="0"/>
                <w:numId w:val="8"/>
              </w:numPr>
              <w:ind w:left="0" w:firstLine="0"/>
              <w:jc w:val="left"/>
              <w:keepLines w:val="0"/>
              <w:keepNext w:val="0"/>
              <w:pageBreakBefore w:val="0"/>
              <w:spacing w:line="360" w:lineRule="auto"/>
              <w:shd w:val="clear" w:color="auto"/>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bCs/>
                <w:color w:val="auto"/>
                <w:szCs w:val="21"/>
                <w:highlight w:val="none"/>
              </w:rPr>
              <w:t xml:space="preserve">▲</w:t>
            </w:r>
            <w:r>
              <w:rPr>
                <w:rFonts w:hint="eastAsia" w:ascii="宋体" w:hAnsi="宋体" w:eastAsia="宋体" w:cs="宋体"/>
                <w:color w:val="auto"/>
                <w:sz w:val="24"/>
                <w:szCs w:val="24"/>
                <w:highlight w:val="none"/>
                <w:lang w:val="en-US" w:eastAsia="zh-CN"/>
              </w:rPr>
              <w:t xml:space="preserve">皮托管1支：</w:t>
            </w:r>
            <w:r>
              <w:rPr>
                <w:rStyle w:val="915"/>
                <w:rFonts w:hint="eastAsia" w:ascii="宋体" w:hAnsi="宋体" w:eastAsia="宋体" w:cs="宋体"/>
                <w:color w:val="auto"/>
                <w:sz w:val="24"/>
                <w:szCs w:val="24"/>
                <w:highlight w:val="none"/>
                <w:lang w:val="en-US" w:eastAsia="zh-CN" w:bidi="ar"/>
              </w:rPr>
              <w:t xml:space="preserve">皮托管6*300mm，顶端为椭圆形，前端为全压输入口，侧面的小孔为静压输入口，皮托管材质使用不锈钢，量程：0～60 m/s，</w:t>
            </w:r>
            <w:r>
              <w:rPr>
                <w:rStyle w:val="916"/>
                <w:rFonts w:hint="eastAsia" w:ascii="宋体" w:hAnsi="宋体" w:eastAsia="宋体" w:cs="宋体"/>
                <w:b w:val="0"/>
                <w:bCs w:val="0"/>
                <w:color w:val="auto"/>
                <w:sz w:val="24"/>
                <w:szCs w:val="24"/>
                <w:highlight w:val="none"/>
                <w:lang w:val="en-US" w:eastAsia="zh-CN" w:bidi="ar"/>
              </w:rPr>
              <w:t xml:space="preserve">校准系数：0.997-1.003；</w:t>
            </w:r>
            <w:r/>
          </w:p>
          <w:p>
            <w:pPr>
              <w:numPr>
                <w:ilvl w:val="0"/>
                <w:numId w:val="8"/>
              </w:numPr>
              <w:ind w:left="0" w:firstLine="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数据采集卡1块</w:t>
            </w:r>
            <w:r/>
          </w:p>
          <w:p>
            <w:pPr>
              <w:numPr>
                <w:ilvl w:val="1"/>
                <w:numId w:val="8"/>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模拟输入通道：16通道；</w:t>
            </w:r>
            <w:r/>
          </w:p>
          <w:p>
            <w:pPr>
              <w:numPr>
                <w:ilvl w:val="1"/>
                <w:numId w:val="8"/>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总采样率：10 kHz（可单通道/多通道分配）；</w:t>
            </w:r>
            <w:r/>
          </w:p>
          <w:p>
            <w:pPr>
              <w:numPr>
                <w:ilvl w:val="1"/>
                <w:numId w:val="8"/>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输入类型：单端/差分可选；</w:t>
            </w:r>
            <w:r/>
          </w:p>
          <w:p>
            <w:pPr>
              <w:numPr>
                <w:ilvl w:val="1"/>
                <w:numId w:val="8"/>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输入量程：±10V、±5V、±1V、0～10V 可配置；</w:t>
            </w:r>
            <w:r/>
          </w:p>
          <w:p>
            <w:pPr>
              <w:numPr>
                <w:ilvl w:val="1"/>
                <w:numId w:val="8"/>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分辨率：16位；</w:t>
            </w:r>
            <w:r/>
          </w:p>
          <w:p>
            <w:pPr>
              <w:numPr>
                <w:ilvl w:val="1"/>
                <w:numId w:val="8"/>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接口：USB/Ethernet/PCIe（可选）；</w:t>
            </w:r>
            <w:r/>
          </w:p>
          <w:p>
            <w:pPr>
              <w:numPr>
                <w:ilvl w:val="1"/>
                <w:numId w:val="8"/>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通讯协议：支持 Modbus、TCP/IP及上位机二次开发；</w:t>
            </w:r>
            <w:r/>
          </w:p>
          <w:p>
            <w:pPr>
              <w:numPr>
                <w:ilvl w:val="1"/>
                <w:numId w:val="8"/>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供电：DC 24V 或 USB 供电；</w:t>
            </w:r>
            <w:r/>
          </w:p>
          <w:p>
            <w:pPr>
              <w:numPr>
                <w:ilvl w:val="1"/>
                <w:numId w:val="8"/>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工作温度：-10℃～55℃；</w:t>
            </w:r>
            <w:r/>
          </w:p>
          <w:p>
            <w:pPr>
              <w:numPr>
                <w:ilvl w:val="1"/>
                <w:numId w:val="8"/>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支持功能：实时采集、数据存储、校准、触发采集；</w:t>
            </w:r>
            <w:r/>
          </w:p>
          <w:p>
            <w:pPr>
              <w:numPr>
                <w:ilvl w:val="1"/>
                <w:numId w:val="8"/>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配套：提供驱动程序及上位机采集软件；</w:t>
            </w:r>
            <w:r/>
          </w:p>
          <w:p>
            <w:pPr>
              <w:numPr>
                <w:ilvl w:val="0"/>
                <w:numId w:val="8"/>
              </w:numPr>
              <w:ind w:left="0" w:firstLine="0"/>
              <w:jc w:val="left"/>
              <w:keepLines w:val="0"/>
              <w:keepNext w:val="0"/>
              <w:pageBreakBefore w:val="0"/>
              <w:spacing w:line="360" w:lineRule="auto"/>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color w:val="auto"/>
                <w:szCs w:val="21"/>
                <w:highlight w:val="none"/>
              </w:rPr>
              <w:t xml:space="preserve">▲</w:t>
            </w:r>
            <w:r>
              <w:rPr>
                <w:rFonts w:hint="eastAsia" w:ascii="宋体" w:hAnsi="宋体" w:eastAsia="宋体" w:cs="宋体"/>
                <w:color w:val="auto"/>
                <w:sz w:val="24"/>
                <w:szCs w:val="24"/>
                <w:highlight w:val="none"/>
                <w:lang w:val="en-US" w:eastAsia="zh-CN"/>
              </w:rPr>
              <w:t xml:space="preserve">模型支撑装置：1套，角度</w:t>
            </w:r>
            <w:r>
              <w:rPr>
                <w:rFonts w:hint="eastAsia" w:ascii="宋体" w:hAnsi="宋体" w:eastAsia="宋体" w:cs="宋体"/>
                <w:i w:val="0"/>
                <w:iCs w:val="0"/>
                <w:color w:val="auto"/>
                <w:sz w:val="24"/>
                <w:szCs w:val="24"/>
                <w:highlight w:val="none"/>
                <w:u w:val="none"/>
                <w:lang w:val="en-US" w:eastAsia="zh-CN" w:bidi="ar"/>
              </w:rPr>
              <w:t xml:space="preserve">机构，电动调节；</w:t>
            </w:r>
            <w:r>
              <w:rPr>
                <w:rFonts w:hint="eastAsia" w:ascii="宋体" w:hAnsi="宋体" w:eastAsia="宋体" w:cs="宋体"/>
                <w:color w:val="auto"/>
                <w:sz w:val="24"/>
                <w:szCs w:val="24"/>
                <w:highlight w:val="none"/>
                <w:lang w:val="en-US" w:eastAsia="zh-CN"/>
              </w:rPr>
              <w:t xml:space="preserve">调节范围：±30°，精度：±0.1°；</w:t>
            </w:r>
            <w:r>
              <w:rPr>
                <w:rFonts w:hint="eastAsia" w:ascii="宋体" w:hAnsi="宋体" w:eastAsia="宋体" w:cs="宋体"/>
                <w:i w:val="0"/>
                <w:iCs w:val="0"/>
                <w:color w:val="auto"/>
                <w:sz w:val="24"/>
                <w:szCs w:val="24"/>
                <w:highlight w:val="none"/>
                <w:u w:val="none"/>
                <w:lang w:val="en-US" w:eastAsia="zh-CN" w:bidi="ar"/>
              </w:rPr>
              <w:t xml:space="preserve">材质：铝合金/不锈钢/碳钢；</w:t>
            </w:r>
            <w:r/>
          </w:p>
          <w:p>
            <w:pPr>
              <w:numPr>
                <w:ilvl w:val="0"/>
                <w:numId w:val="8"/>
              </w:numPr>
              <w:ind w:left="0" w:firstLine="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控制软件：基于C/C++开发，实现风洞控制软件具有数据采集、显示曲线波形、数据处理、数据库存储、风速控制、模型姿态角度控制、风洞测量控制等功能；</w:t>
            </w:r>
            <w:r/>
          </w:p>
          <w:p>
            <w:pPr>
              <w:numPr>
                <w:ilvl w:val="0"/>
                <w:numId w:val="8"/>
              </w:numPr>
              <w:ind w:left="0" w:firstLine="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安全系统</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急停+过载保护</w:t>
            </w:r>
            <w:r>
              <w:rPr>
                <w:rFonts w:hint="eastAsia" w:ascii="宋体" w:hAnsi="宋体" w:cs="宋体"/>
                <w:color w:val="auto"/>
                <w:sz w:val="24"/>
                <w:szCs w:val="24"/>
                <w:highlight w:val="none"/>
                <w:lang w:val="en-US" w:eastAsia="zh-CN"/>
              </w:rPr>
              <w:t xml:space="preserve">）</w:t>
            </w:r>
            <w:r/>
          </w:p>
          <w:p>
            <w:pPr>
              <w:numPr>
                <w:ilvl w:val="1"/>
                <w:numId w:val="8"/>
              </w:numPr>
              <w:ind w:left="0" w:firstLine="0"/>
              <w:jc w:val="left"/>
              <w:keepLines w:val="0"/>
              <w:keepNext w:val="0"/>
              <w:pageBreakBefore w:val="0"/>
              <w:spacing w:line="360" w:lineRule="auto"/>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急停要求：</w:t>
            </w:r>
            <w:r/>
          </w:p>
          <w:p>
            <w:pPr>
              <w:pStyle w:val="889"/>
              <w:numPr>
                <w:ilvl w:val="2"/>
                <w:numId w:val="8"/>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风洞整体设备需设置不少于2处独立急停触发点；</w:t>
            </w:r>
            <w:r/>
          </w:p>
          <w:p>
            <w:pPr>
              <w:pStyle w:val="889"/>
              <w:numPr>
                <w:ilvl w:val="2"/>
                <w:numId w:val="8"/>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支持紧急情况下远程急停联动；</w:t>
            </w:r>
            <w:r/>
          </w:p>
          <w:p>
            <w:pPr>
              <w:pStyle w:val="889"/>
              <w:numPr>
                <w:ilvl w:val="2"/>
                <w:numId w:val="8"/>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急停指令触发后，系统响应时间应小于100ms，立即切断风洞整体设备的动力电源、控制电源，停止设备运行，禁止任何设备继续启动或调速；</w:t>
            </w:r>
            <w:r/>
          </w:p>
          <w:p>
            <w:pPr>
              <w:numPr>
                <w:ilvl w:val="1"/>
                <w:numId w:val="8"/>
              </w:numPr>
              <w:ind w:left="0" w:firstLine="0"/>
              <w:jc w:val="left"/>
              <w:keepLines w:val="0"/>
              <w:keepNext w:val="0"/>
              <w:pageBreakBefore w:val="0"/>
              <w:spacing w:line="360" w:lineRule="auto"/>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过载保护要求：</w:t>
            </w:r>
            <w:r/>
          </w:p>
          <w:p>
            <w:pPr>
              <w:pStyle w:val="889"/>
              <w:numPr>
                <w:ilvl w:val="2"/>
                <w:numId w:val="8"/>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过载检测范围：覆盖风洞整体设备所有关键部件；</w:t>
            </w:r>
            <w:r/>
          </w:p>
          <w:p>
            <w:pPr>
              <w:pStyle w:val="889"/>
              <w:numPr>
                <w:ilvl w:val="2"/>
                <w:numId w:val="8"/>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过载保护触发后，对应设备及关联控制回路处于锁定状态，需排查过载原因，排除故障后，手动复位保护装置，风洞整体系统自检通过后方可恢复运行；</w:t>
            </w:r>
            <w:r/>
          </w:p>
          <w:p>
            <w:pPr>
              <w:numPr>
                <w:ilvl w:val="0"/>
                <w:numId w:val="8"/>
              </w:numPr>
              <w:ind w:left="0" w:firstLine="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安装调试</w:t>
            </w:r>
            <w:r/>
          </w:p>
          <w:p>
            <w:pPr>
              <w:numPr>
                <w:ilvl w:val="1"/>
                <w:numId w:val="8"/>
              </w:numPr>
              <w:ind w:left="0" w:firstLine="0"/>
              <w:jc w:val="left"/>
              <w:keepLines w:val="0"/>
              <w:keepNext w:val="0"/>
              <w:pageBreakBefore w:val="0"/>
              <w:spacing w:line="360" w:lineRule="auto"/>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气与控制柜组装要求：a、柜内布线整齐，动力线与信号线分开走线，避免干扰；电气接线规范、标识清晰，强弱电分离，走线整齐固定；b、接地可靠，接地电阻符合规范，防雷、防静电；c、急停按钮、安全门联锁接线正确，动作可靠；</w:t>
            </w:r>
            <w:r/>
          </w:p>
          <w:p>
            <w:pPr>
              <w:numPr>
                <w:ilvl w:val="1"/>
                <w:numId w:val="8"/>
              </w:numPr>
              <w:ind w:left="0" w:firstLine="0"/>
              <w:jc w:val="left"/>
              <w:keepLines w:val="0"/>
              <w:keepNext w:val="0"/>
              <w:pageBreakBefore w:val="0"/>
              <w:spacing w:line="360" w:lineRule="auto"/>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电气调试：a、各风机可单独启停、单独调速，控制响应正常；b、急停按下后全系统立即停机，复位后方可重启；</w:t>
            </w:r>
            <w:r/>
          </w:p>
          <w:p>
            <w:pPr>
              <w:numPr>
                <w:ilvl w:val="1"/>
                <w:numId w:val="8"/>
              </w:numPr>
              <w:ind w:left="0" w:firstLine="0"/>
              <w:jc w:val="left"/>
              <w:keepLines w:val="0"/>
              <w:keepNext w:val="0"/>
              <w:pageBreakBefore w:val="0"/>
              <w:spacing w:line="360" w:lineRule="auto"/>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故障报警功能有效：过流、过载、通讯异常等可触发报警；</w:t>
            </w:r>
            <w:r/>
          </w:p>
          <w:p>
            <w:pPr>
              <w:numPr>
                <w:ilvl w:val="1"/>
                <w:numId w:val="8"/>
              </w:numPr>
              <w:ind w:left="0" w:firstLine="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设备系统的联机校准；</w:t>
            </w:r>
            <w:r/>
          </w:p>
        </w:tc>
        <w:tc>
          <w:tcPr>
            <w:shd w:val="clear" w:color="auto" w:fill="auto"/>
            <w:tcW w:w="267"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283"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193" w:type="pct"/>
            <w:vAlign w:val="center"/>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465580" cy="1948815"/>
                      <wp:effectExtent l="0" t="0" r="1270" b="13335"/>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r/>
                            </pic:nvPicPr>
                            <pic:blipFill>
                              <a:blip r:embed="rId15"/>
                              <a:stretch/>
                            </pic:blipFill>
                            <pic:spPr bwMode="auto">
                              <a:xfrm>
                                <a:off x="0" y="0"/>
                                <a:ext cx="1465580" cy="1948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5.4pt;height:153.4pt;mso-wrap-distance-left:0.0pt;mso-wrap-distance-top:0.0pt;mso-wrap-distance-right:0.0pt;mso-wrap-distance-bottom:0.0pt;" stroked="f">
                      <v:path textboxrect="0,0,0,0"/>
                      <v:imagedata r:id="rId15" o:title=""/>
                    </v:shape>
                  </w:pict>
                </mc:Fallback>
              </mc:AlternateContent>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1.6微压计</w:t>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469390" cy="1191895"/>
                      <wp:effectExtent l="0" t="0" r="16510" b="8255"/>
                      <wp:docPr id="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r/>
                            </pic:nvPicPr>
                            <pic:blipFill>
                              <a:blip r:embed="rId16"/>
                              <a:stretch/>
                            </pic:blipFill>
                            <pic:spPr bwMode="auto">
                              <a:xfrm>
                                <a:off x="0" y="0"/>
                                <a:ext cx="1469390" cy="1191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5.7pt;height:93.8pt;mso-wrap-distance-left:0.0pt;mso-wrap-distance-top:0.0pt;mso-wrap-distance-right:0.0pt;mso-wrap-distance-bottom:0.0pt;" stroked="f">
                      <v:path textboxrect="0,0,0,0"/>
                      <v:imagedata r:id="rId16" o:title=""/>
                    </v:shape>
                  </w:pict>
                </mc:Fallback>
              </mc:AlternateContent>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1.7温湿度传感器</w:t>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keepLines w:val="0"/>
              <w:keepNext w:val="0"/>
              <w:pageBreakBefore w:val="0"/>
              <w:spacing w:line="360" w:lineRule="auto"/>
              <w:shd w:val="clear" w:color="auto"/>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428750" cy="1428750"/>
                      <wp:effectExtent l="0" t="0" r="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7"/>
                              <a:stretch/>
                            </pic:blipFill>
                            <pic:spPr bwMode="auto">
                              <a:xfrm>
                                <a:off x="0" y="0"/>
                                <a:ext cx="1428750" cy="1428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2.5pt;height:112.5pt;mso-wrap-distance-left:0.0pt;mso-wrap-distance-top:0.0pt;mso-wrap-distance-right:0.0pt;mso-wrap-distance-bottom:0.0pt;" stroked="f">
                      <v:path textboxrect="0,0,0,0"/>
                      <v:imagedata r:id="rId17" o:title=""/>
                    </v:shape>
                  </w:pict>
                </mc:Fallback>
              </mc:AlternateContent>
            </w:r>
            <w:r/>
          </w:p>
          <w:p>
            <w:pPr>
              <w:numPr>
                <w:ilvl w:val="0"/>
                <w:numId w:val="0"/>
              </w:numPr>
              <w:ind w:firstLine="241"/>
              <w:jc w:val="both"/>
              <w:keepLines w:val="0"/>
              <w:keepNext w:val="0"/>
              <w:pageBreakBefore w:val="0"/>
              <w:spacing w:line="360" w:lineRule="auto"/>
              <w:shd w:val="clear" w:color="auto"/>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2.六分量天平</w:t>
            </w:r>
            <w:r/>
          </w:p>
          <w:p>
            <w:pPr>
              <w:numPr>
                <w:ilvl w:val="0"/>
                <w:numId w:val="0"/>
              </w:numPr>
              <w:jc w:val="center"/>
              <w:keepLines w:val="0"/>
              <w:keepNext w:val="0"/>
              <w:pageBreakBefore w:val="0"/>
              <w:spacing w:line="360" w:lineRule="auto"/>
              <w:shd w:val="clear" w:color="auto"/>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443355" cy="1443355"/>
                      <wp:effectExtent l="0" t="0" r="4445" b="4445"/>
                      <wp:docPr id="6"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3"/>
                              <pic:cNvPicPr>
                                <a:picLocks noChangeAspect="1"/>
                              </pic:cNvPicPr>
                              <pic:nvPr/>
                            </pic:nvPicPr>
                            <pic:blipFill>
                              <a:blip r:embed="rId18"/>
                              <a:stretch/>
                            </pic:blipFill>
                            <pic:spPr bwMode="auto">
                              <a:xfrm>
                                <a:off x="0" y="0"/>
                                <a:ext cx="1443355" cy="1443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3.6pt;height:113.6pt;mso-wrap-distance-left:0.0pt;mso-wrap-distance-top:0.0pt;mso-wrap-distance-right:0.0pt;mso-wrap-distance-bottom:0.0pt;" stroked="f">
                      <v:path textboxrect="0,0,0,0"/>
                      <v:imagedata r:id="rId18" o:title=""/>
                    </v:shape>
                  </w:pict>
                </mc:Fallback>
              </mc:AlternateContent>
            </w:r>
            <w:r/>
          </w:p>
          <w:p>
            <w:pPr>
              <w:numPr>
                <w:ilvl w:val="0"/>
                <w:numId w:val="0"/>
              </w:numPr>
              <w:jc w:val="center"/>
              <w:keepLines w:val="0"/>
              <w:keepNext w:val="0"/>
              <w:pageBreakBefore w:val="0"/>
              <w:spacing w:line="360" w:lineRule="auto"/>
              <w:shd w:val="clear" w:color="auto"/>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3.皮托管</w:t>
            </w:r>
            <w:r/>
          </w:p>
          <w:p>
            <w:pPr>
              <w:numPr>
                <w:ilvl w:val="0"/>
                <w:numId w:val="0"/>
              </w:num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438910" cy="1438910"/>
                      <wp:effectExtent l="0" t="0" r="8890" b="8890"/>
                      <wp:docPr id="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0"/>
                              <pic:cNvPicPr>
                                <a:picLocks noChangeAspect="1"/>
                              </pic:cNvPicPr>
                              <pic:nvPr/>
                            </pic:nvPicPr>
                            <pic:blipFill>
                              <a:blip r:embed="rId19"/>
                              <a:stretch/>
                            </pic:blipFill>
                            <pic:spPr bwMode="auto">
                              <a:xfrm>
                                <a:off x="0" y="0"/>
                                <a:ext cx="1438910" cy="1438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3.3pt;height:113.3pt;mso-wrap-distance-left:0.0pt;mso-wrap-distance-top:0.0pt;mso-wrap-distance-right:0.0pt;mso-wrap-distance-bottom:0.0pt;" stroked="f">
                      <v:path textboxrect="0,0,0,0"/>
                      <v:imagedata r:id="rId19" o:title=""/>
                    </v:shape>
                  </w:pict>
                </mc:Fallback>
              </mc:AlternateContent>
            </w:r>
            <w:r/>
          </w:p>
          <w:p>
            <w:pPr>
              <w:numPr>
                <w:ilvl w:val="0"/>
                <w:numId w:val="0"/>
              </w:numPr>
              <w:jc w:val="center"/>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4.采集卡</w:t>
            </w:r>
            <w:r/>
          </w:p>
          <w:p>
            <w:pPr>
              <w:numPr>
                <w:ilvl w:val="0"/>
                <w:numId w:val="0"/>
              </w:numPr>
              <w:jc w:val="center"/>
              <w:keepLines w:val="0"/>
              <w:keepNext w:val="0"/>
              <w:pageBreakBefore w:val="0"/>
              <w:spacing w:line="360" w:lineRule="auto"/>
              <w:shd w:val="clear" w:color="auto"/>
              <w:widowControl w:val="off"/>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val="0"/>
              <w:spacing w:line="360" w:lineRule="auto"/>
              <w:shd w:val="clear" w:color="auto"/>
              <w:widowControl w:val="off"/>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val="0"/>
              <w:spacing w:line="360" w:lineRule="auto"/>
              <w:shd w:val="clear" w:color="auto"/>
              <w:widowControl w:val="off"/>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val="0"/>
              <w:spacing w:line="360" w:lineRule="auto"/>
              <w:shd w:val="clear" w:color="auto"/>
              <w:widowControl w:val="off"/>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val="0"/>
              <w:spacing w:line="360" w:lineRule="auto"/>
              <w:shd w:val="clear" w:color="auto"/>
              <w:widowControl w:val="off"/>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val="0"/>
              <w:spacing w:line="360" w:lineRule="auto"/>
              <w:shd w:val="clear" w:color="auto"/>
              <w:widowControl w:val="off"/>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val="0"/>
              <w:spacing w:line="360" w:lineRule="auto"/>
              <w:shd w:val="clear" w:color="auto"/>
              <w:widowControl w:val="off"/>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val="0"/>
              <w:spacing w:line="360" w:lineRule="auto"/>
              <w:shd w:val="clear" w:color="auto"/>
              <w:widowControl w:val="off"/>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val="0"/>
              <w:spacing w:line="360" w:lineRule="auto"/>
              <w:shd w:val="clear" w:color="auto"/>
              <w:widowControl w:val="off"/>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val="0"/>
              <w:spacing w:line="360" w:lineRule="auto"/>
              <w:shd w:val="clear" w:color="auto"/>
              <w:widowControl w:val="off"/>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val="0"/>
              <w:spacing w:line="360" w:lineRule="auto"/>
              <w:shd w:val="clear" w:color="auto"/>
              <w:widowControl w:val="off"/>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val="0"/>
              <w:spacing w:line="360" w:lineRule="auto"/>
              <w:shd w:val="clear" w:color="auto"/>
              <w:widowControl w:val="off"/>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val="0"/>
              <w:spacing w:line="360" w:lineRule="auto"/>
              <w:shd w:val="clear" w:color="auto"/>
              <w:widowControl w:val="off"/>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val="0"/>
              <w:spacing w:line="360" w:lineRule="auto"/>
              <w:shd w:val="clear" w:color="auto"/>
              <w:widowControl w:val="off"/>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val="0"/>
              <w:spacing w:line="360" w:lineRule="auto"/>
              <w:shd w:val="clear" w:color="auto"/>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val="0"/>
              <w:spacing w:line="360" w:lineRule="auto"/>
              <w:shd w:val="clear" w:color="auto"/>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r>
      <w:tr>
        <w:trPr>
          <w:jc w:val="center"/>
          <w:trHeight w:val="420"/>
        </w:trPr>
        <w:tc>
          <w:tcPr>
            <w:gridSpan w:val="6"/>
            <w:shd w:val="clear" w:color="auto" w:fill="auto"/>
            <w:tcW w:w="5000" w:type="pct"/>
            <w:vAlign w:val="center"/>
            <w:textDirection w:val="lrTb"/>
            <w:noWrap w:val="false"/>
          </w:tcPr>
          <w:p>
            <w:pPr>
              <w:ind w:left="0" w:firstLine="0"/>
              <w:jc w:val="center"/>
              <w:keepLines w:val="0"/>
              <w:keepNext w:val="0"/>
              <w:pageBreakBefore w:val="0"/>
              <w:spacing w:line="360" w:lineRule="auto"/>
              <w:shd w:val="clear" w:color="auto"/>
              <w:widowControl/>
              <w:tabs>
                <w:tab w:val="left" w:pos="0" w:leader="none"/>
              </w:tabs>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二、</w:t>
            </w:r>
            <w:r>
              <w:rPr>
                <w:rFonts w:hint="eastAsia" w:ascii="宋体" w:hAnsi="宋体" w:eastAsia="宋体" w:cs="宋体"/>
                <w:b/>
                <w:bCs/>
                <w:i w:val="0"/>
                <w:iCs w:val="0"/>
                <w:color w:val="auto"/>
                <w:sz w:val="24"/>
                <w:szCs w:val="24"/>
                <w:highlight w:val="none"/>
                <w:u w:val="none"/>
                <w:lang w:val="en-US" w:eastAsia="zh-CN" w:bidi="ar"/>
              </w:rPr>
              <w:t xml:space="preserve">无人机测试风墙</w:t>
            </w:r>
            <w:r/>
          </w:p>
        </w:tc>
      </w:tr>
      <w:tr>
        <w:trPr>
          <w:jc w:val="center"/>
          <w:trHeight w:val="90"/>
        </w:trPr>
        <w:tc>
          <w:tcPr>
            <w:shd w:val="clear" w:color="auto" w:fill="auto"/>
            <w:tcW w:w="218"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W w:w="450" w:type="pct"/>
            <w:vAlign w:val="center"/>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无人机测试风墙</w:t>
            </w:r>
            <w:r/>
          </w:p>
        </w:tc>
        <w:tc>
          <w:tcPr>
            <w:shd w:val="clear" w:color="auto" w:fill="auto"/>
            <w:tcW w:w="2586" w:type="pct"/>
            <w:vAlign w:val="center"/>
            <w:textDirection w:val="lrTb"/>
            <w:noWrap w:val="false"/>
          </w:tcPr>
          <w:p>
            <w:pPr>
              <w:numPr>
                <w:ilvl w:val="0"/>
                <w:numId w:val="9"/>
              </w:numPr>
              <w:ind w:left="0" w:firstLine="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无人机测试风墙主要由无人机测试风墙结构、无人机测试风墙控制系统、无人机室内测试防护场等组成。能够模拟多种复杂气流的风场环境，为无人机的研发提供了强有力的技术支持。在无人机测试中，风机阵列产生无人机测试用的定常风（持续风）、非定常风、阵风、切向风等；</w:t>
            </w:r>
            <w:r/>
          </w:p>
          <w:p>
            <w:pPr>
              <w:numPr>
                <w:ilvl w:val="0"/>
                <w:numId w:val="9"/>
              </w:numPr>
              <w:ind w:left="0" w:firstLine="0"/>
              <w:jc w:val="left"/>
              <w:keepLines w:val="0"/>
              <w:keepNext w:val="0"/>
              <w:pageBreakBefore w:val="0"/>
              <w:spacing w:line="360" w:lineRule="auto"/>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color w:val="auto"/>
                <w:sz w:val="24"/>
                <w:szCs w:val="24"/>
                <w:highlight w:val="none"/>
                <w:lang w:val="en-US" w:eastAsia="zh-CN"/>
              </w:rPr>
              <w:t xml:space="preserve">无人机测试风墙结构</w:t>
            </w:r>
            <w:r>
              <w:rPr>
                <w:rFonts w:hint="eastAsia" w:ascii="宋体" w:hAnsi="宋体" w:eastAsia="宋体" w:cs="宋体"/>
                <w:color w:val="auto"/>
                <w:sz w:val="24"/>
                <w:szCs w:val="24"/>
                <w:highlight w:val="none"/>
                <w:lang w:val="en-US" w:eastAsia="zh-CN"/>
              </w:rPr>
              <w:t xml:space="preserve">部分由阵列式风扇模块、框架结构、支撑底座等构成，主要用于无人机抗风测试、飞行器研发、空气动力学实验等场景；</w:t>
            </w:r>
            <w:r/>
          </w:p>
          <w:p>
            <w:pPr>
              <w:numPr>
                <w:ilvl w:val="1"/>
                <w:numId w:val="9"/>
              </w:numPr>
              <w:ind w:left="0" w:firstLine="0"/>
              <w:jc w:val="left"/>
              <w:keepLines w:val="0"/>
              <w:keepNext w:val="0"/>
              <w:pageBreakBefore w:val="0"/>
              <w:spacing w:line="360" w:lineRule="auto"/>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color w:val="auto"/>
                <w:szCs w:val="21"/>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风墙结构可出风尺寸：宽度≥1500mm，高度≥1500mm；</w:t>
            </w:r>
            <w:r/>
          </w:p>
          <w:p>
            <w:pPr>
              <w:numPr>
                <w:ilvl w:val="1"/>
                <w:numId w:val="9"/>
              </w:numPr>
              <w:ind w:left="0" w:firstLine="0"/>
              <w:jc w:val="left"/>
              <w:keepLines w:val="0"/>
              <w:keepNext w:val="0"/>
              <w:pageBreakBefore w:val="0"/>
              <w:spacing w:line="360" w:lineRule="auto"/>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每个独立模块可单独调速；</w:t>
            </w:r>
            <w:r/>
          </w:p>
          <w:p>
            <w:pPr>
              <w:numPr>
                <w:ilvl w:val="1"/>
                <w:numId w:val="9"/>
              </w:numPr>
              <w:ind w:left="0" w:firstLine="0"/>
              <w:jc w:val="left"/>
              <w:keepLines w:val="0"/>
              <w:keepNext w:val="0"/>
              <w:pageBreakBefore w:val="0"/>
              <w:spacing w:line="360" w:lineRule="auto"/>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支持 36-50VDC宽幅直流供电；</w:t>
            </w:r>
            <w:r/>
          </w:p>
          <w:p>
            <w:pPr>
              <w:numPr>
                <w:ilvl w:val="1"/>
                <w:numId w:val="9"/>
              </w:numPr>
              <w:ind w:left="0" w:firstLine="0"/>
              <w:jc w:val="left"/>
              <w:keepLines w:val="0"/>
              <w:keepNext w:val="0"/>
              <w:pageBreakBefore w:val="0"/>
              <w:spacing w:line="360" w:lineRule="auto"/>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矩阵风扇模块不少于310个；</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风扇模块尺寸不小于80mm*80mm；</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风扇模块供电要求：36-50VDC；</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 w:val="0"/>
                <w:bCs/>
                <w:sz w:val="24"/>
                <w:szCs w:val="24"/>
                <w:highlight w:val="none"/>
                <w:lang w:val="en-US" w:eastAsia="zh-CN"/>
              </w:rPr>
              <w:t xml:space="preserve">风扇模块</w:t>
            </w:r>
            <w:r>
              <w:rPr>
                <w:rFonts w:hint="eastAsia" w:ascii="宋体" w:hAnsi="宋体" w:eastAsia="宋体" w:cs="宋体"/>
                <w:b w:val="0"/>
                <w:bCs/>
                <w:sz w:val="24"/>
                <w:szCs w:val="24"/>
                <w:highlight w:val="none"/>
                <w:lang w:val="en-US" w:eastAsia="zh-CN"/>
              </w:rPr>
              <w:tab/>
            </w:r>
            <w:r>
              <w:rPr>
                <w:rFonts w:hint="eastAsia" w:ascii="宋体" w:hAnsi="宋体" w:eastAsia="宋体" w:cs="宋体"/>
                <w:b w:val="0"/>
                <w:bCs/>
                <w:sz w:val="24"/>
                <w:szCs w:val="24"/>
                <w:highlight w:val="none"/>
                <w:lang w:val="en-US" w:eastAsia="zh-CN"/>
              </w:rPr>
              <w:t xml:space="preserve">叶轮材质要求：铝合金/热塑性塑料；</w:t>
            </w:r>
            <w:r>
              <w:rPr>
                <w:rFonts w:hint="eastAsia" w:ascii="宋体" w:hAnsi="宋体" w:eastAsia="宋体" w:cs="宋体"/>
                <w:i w:val="0"/>
                <w:iCs w:val="0"/>
                <w:color w:val="auto"/>
                <w:sz w:val="24"/>
                <w:szCs w:val="24"/>
                <w:highlight w:val="none"/>
                <w:u w:val="none"/>
                <w:lang w:val="en-US" w:eastAsia="zh-CN" w:bidi="ar"/>
              </w:rPr>
              <w:t xml:space="preserve">机壳材质：不锈钢/铝/热塑性塑料；符合教育场景低噪要求；</w:t>
            </w:r>
            <w:r/>
          </w:p>
          <w:p>
            <w:pPr>
              <w:numPr>
                <w:ilvl w:val="1"/>
                <w:numId w:val="9"/>
              </w:numPr>
              <w:ind w:left="0" w:firstLine="0"/>
              <w:jc w:val="left"/>
              <w:keepLines w:val="0"/>
              <w:keepNext w:val="0"/>
              <w:pageBreakBefore w:val="0"/>
              <w:spacing w:line="360" w:lineRule="auto"/>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可实现单台风扇独立调速与集群协同控制；</w:t>
            </w:r>
            <w:r/>
          </w:p>
          <w:p>
            <w:pPr>
              <w:numPr>
                <w:ilvl w:val="1"/>
                <w:numId w:val="9"/>
              </w:numPr>
              <w:ind w:left="0" w:firstLine="0"/>
              <w:jc w:val="left"/>
              <w:keepLines w:val="0"/>
              <w:keepNext w:val="0"/>
              <w:pageBreakBefore w:val="0"/>
              <w:spacing w:line="360" w:lineRule="auto"/>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color w:val="auto"/>
                <w:szCs w:val="21"/>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风速调节范围0-15m/s；</w:t>
            </w:r>
            <w:r/>
          </w:p>
          <w:p>
            <w:pPr>
              <w:numPr>
                <w:ilvl w:val="1"/>
                <w:numId w:val="9"/>
              </w:numPr>
              <w:ind w:left="0" w:firstLine="0"/>
              <w:jc w:val="left"/>
              <w:keepLines w:val="0"/>
              <w:keepNext w:val="0"/>
              <w:pageBreakBefore w:val="0"/>
              <w:spacing w:line="360" w:lineRule="auto"/>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color w:val="auto"/>
                <w:szCs w:val="21"/>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风墙配角度调节结构，改变风墙仰角10-90°，电动调节；</w:t>
            </w:r>
            <w:r/>
          </w:p>
          <w:p>
            <w:pPr>
              <w:numPr>
                <w:ilvl w:val="1"/>
                <w:numId w:val="9"/>
              </w:numPr>
              <w:ind w:left="0" w:firstLine="0"/>
              <w:jc w:val="left"/>
              <w:keepLines w:val="0"/>
              <w:keepNext w:val="0"/>
              <w:pageBreakBefore w:val="0"/>
              <w:spacing w:line="360" w:lineRule="auto"/>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风墙框架结构、支撑底座等材质：铝合金/不锈钢/碳钢；</w:t>
            </w:r>
            <w:r/>
          </w:p>
          <w:p>
            <w:pPr>
              <w:numPr>
                <w:ilvl w:val="0"/>
                <w:numId w:val="9"/>
              </w:numPr>
              <w:ind w:left="0" w:firstLine="0"/>
              <w:jc w:val="left"/>
              <w:keepLines w:val="0"/>
              <w:keepNext w:val="0"/>
              <w:pageBreakBefore w:val="0"/>
              <w:spacing w:line="360" w:lineRule="auto"/>
              <w:shd w:val="clear" w:color="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无人机测试风墙控制与调速系统</w:t>
            </w:r>
            <w:r/>
          </w:p>
          <w:p>
            <w:pPr>
              <w:numPr>
                <w:ilvl w:val="0"/>
                <w:numId w:val="0"/>
              </w:numPr>
              <w:ind w:firstLine="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无人机测试风墙</w:t>
            </w:r>
            <w:r>
              <w:rPr>
                <w:rFonts w:hint="eastAsia" w:ascii="宋体" w:hAnsi="宋体" w:eastAsia="宋体" w:cs="宋体"/>
                <w:color w:val="auto"/>
                <w:sz w:val="24"/>
                <w:szCs w:val="24"/>
                <w:highlight w:val="none"/>
                <w:lang w:val="en-US" w:eastAsia="zh-CN"/>
              </w:rPr>
              <w:t xml:space="preserve">供电系统、风墙控制系统配套测量仪器风速仪等组成；</w:t>
            </w:r>
            <w:r/>
          </w:p>
          <w:p>
            <w:pPr>
              <w:numPr>
                <w:ilvl w:val="1"/>
                <w:numId w:val="9"/>
              </w:numPr>
              <w:ind w:left="0" w:firstLine="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
                <w:bCs/>
                <w:color w:val="auto"/>
                <w:sz w:val="24"/>
                <w:szCs w:val="24"/>
                <w:highlight w:val="none"/>
                <w:lang w:val="en-US" w:eastAsia="zh-CN"/>
              </w:rPr>
              <w:t xml:space="preserve">供电</w:t>
            </w:r>
            <w:r>
              <w:rPr>
                <w:rFonts w:hint="eastAsia" w:ascii="宋体" w:hAnsi="宋体" w:eastAsia="宋体" w:cs="宋体"/>
                <w:b/>
                <w:bCs/>
                <w:color w:val="auto"/>
                <w:sz w:val="24"/>
                <w:szCs w:val="24"/>
                <w:highlight w:val="none"/>
              </w:rPr>
              <w:t xml:space="preserve">系统</w:t>
            </w:r>
            <w:r>
              <w:rPr>
                <w:rFonts w:hint="eastAsia" w:ascii="宋体" w:hAnsi="宋体" w:eastAsia="宋体" w:cs="宋体"/>
                <w:b/>
                <w:bCs/>
                <w:color w:val="auto"/>
                <w:sz w:val="24"/>
                <w:szCs w:val="24"/>
                <w:highlight w:val="none"/>
                <w:lang w:eastAsia="zh-CN"/>
              </w:rPr>
              <w:t xml:space="preserve">：</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进线采用三相380V交流供电；</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配套大功率电源模块不低于60KVA；</w:t>
            </w:r>
            <w:r/>
          </w:p>
          <w:p>
            <w:pPr>
              <w:pStyle w:val="889"/>
              <w:numPr>
                <w:ilvl w:val="2"/>
                <w:numId w:val="9"/>
              </w:numPr>
              <w:ind w:left="0" w:firstLine="0"/>
              <w:keepLines/>
              <w:keepNext/>
              <w:pageBreakBefore w:val="0"/>
              <w:spacing w:before="0" w:after="0" w:line="360" w:lineRule="auto"/>
              <w:shd w:val="clear" w:color="auto"/>
              <w:widowControl w:val="off"/>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交流转直流电源控制，1套，系统配套专用大功率三相交流转直流智能电源管控单元，针对整机风墙负载进行定制化优化设计，可将输入三相 AC380V工业市电，高效整流稳压为 36-50VDC 宽幅可调纯净直流输出，与全部阵列风扇模组供电参数完全兼容。</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具备过压、过流、短路、过热、漏电保护功能；</w:t>
            </w:r>
            <w:r/>
          </w:p>
          <w:p>
            <w:pPr>
              <w:numPr>
                <w:ilvl w:val="1"/>
                <w:numId w:val="9"/>
              </w:numPr>
              <w:ind w:left="0" w:firstLine="0"/>
              <w:jc w:val="left"/>
              <w:keepLines w:val="0"/>
              <w:keepNext w:val="0"/>
              <w:pageBreakBefore w:val="0"/>
              <w:spacing w:line="360" w:lineRule="auto"/>
              <w:shd w:val="clear" w:color="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无人机风墙控制系统</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控制台1个，尺寸不小于1400mm（L）*600mm（W）*750mm（H），结构：钢木结构，通讯接口：以太网、RS485，工作电压：AC 220V，防护等级：IP20及以上，工作环境：-10℃～50℃，功能：手动/自动切换、故障报警、参数调节，配座椅；</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工业控制工作站：多核处理器（i5 及以上）内存：≥16GB，可扩展，硬盘：≥500GB SSD，抗震耐用，接口：多串口（RS232/485）、USB3.0，扩展：支持 PCI/PCIe 插槽，供电：AC 220V ，工作温度：-10℃～60℃，散热：低噪风扇散热，防尘抗震，防护等级：IP20 以上，适合工业现场长期运行；</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液晶显示器1台，尺寸不小于27英寸，分辨率不小于1920*1080，电源19V DC1.31A，接口：D-Sub/HDMI；</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系统支持恒定固定风速精准控制，可实现全阵列风机同步调速、稳定输出目标风速；</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控制软件，操作界面简洁直观，支持教学实操模式与专业测试模式切换，可实时显示风速、设备运行状态等核心参数，具备测试参数存储、一键调用功能；</w:t>
            </w:r>
            <w:r/>
          </w:p>
          <w:p>
            <w:pPr>
              <w:numPr>
                <w:ilvl w:val="1"/>
                <w:numId w:val="9"/>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color w:val="auto"/>
                <w:sz w:val="24"/>
                <w:szCs w:val="24"/>
                <w:highlight w:val="none"/>
                <w:lang w:val="en-US" w:eastAsia="zh-CN"/>
              </w:rPr>
              <w:t xml:space="preserve">风墙控制柜</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控制柜1台，实现风机调速、启停控制与保护，尺寸：不小于800×2000×600 mm，输入电压：AC 380V 三相五线，控制方式：无级调速、自动稳速，保护功能：过流、过载、过压、欠压、缺相、短路保护，通讯接口：支持 RS485、Modbus及上位机联动，防护等级：IP54及以上，工作环境：-10℃～40℃；</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调速器1台，功率45</w:t>
            </w:r>
            <w:r>
              <w:rPr>
                <w:rFonts w:hint="eastAsia" w:ascii="宋体" w:hAnsi="宋体" w:cs="宋体"/>
                <w:b w:val="0"/>
                <w:bCs/>
                <w:sz w:val="24"/>
                <w:szCs w:val="24"/>
                <w:highlight w:val="none"/>
                <w:lang w:val="en-US" w:eastAsia="zh-CN"/>
              </w:rPr>
              <w:t xml:space="preserve">kW</w:t>
            </w:r>
            <w:r>
              <w:rPr>
                <w:rFonts w:hint="eastAsia" w:ascii="宋体" w:hAnsi="宋体" w:eastAsia="宋体" w:cs="宋体"/>
                <w:b w:val="0"/>
                <w:bCs/>
                <w:sz w:val="24"/>
                <w:szCs w:val="24"/>
                <w:highlight w:val="none"/>
                <w:lang w:val="en-US" w:eastAsia="zh-CN"/>
              </w:rPr>
              <w:t xml:space="preserve">以上，通道数310以上，控制方式：PWM调节，输入电压：AC 380V，控制信号：模拟量/数字量/上位机控制，保护功能：过流、过载、过压、欠压、过热保护，通讯接口：RS485 / Modbus；</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控制器1台，工作电压：DC 24V / AC 220V，接口：RS485、以太网，通讯协议：Modbus、TCP/IP，采样周期：≤10ms，控制模式：手动/自动/远程联控，工作环境：-10℃～55℃，防护等级：IP20及以上；</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电气元件4件，实现电路控制、保护、信号转换与联锁，保障电控系统安全可靠运行，额定电压：AC 220V/380V，DC 24V，额定电流：按回路配置，功能：过载、短路、缺相、漏电保护，绝缘性能：符合GB标准，工作环境：-10℃～55℃，防护等级：IP20～IP50；</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显示仪表3台，监测电压、电流、风速等运行参数，便于实时监控与操作，测量类型：电量参数/风速/温度，精度等级：≤±0.5%，显示方式：数字显示，信号输出：4～20mA / RS485，工作电压：AC 220V / DC 24V，工作环境：-10℃～55℃；</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附件若干，辅助设备安装、连接、防护与检修，完善系统配套功能，包含：线缆、线槽、接线端子、扎带、标识、紧固件、密封件等，材质：阻燃、绝缘、防锈，工作环境：-10℃～60℃，防护等级：IP20及以上，符合相关电气/机械安全标准；</w:t>
            </w:r>
            <w:r/>
          </w:p>
          <w:p>
            <w:pPr>
              <w:numPr>
                <w:ilvl w:val="1"/>
                <w:numId w:val="9"/>
              </w:numPr>
              <w:ind w:left="0" w:firstLine="0"/>
              <w:jc w:val="left"/>
              <w:keepLines w:val="0"/>
              <w:keepNext w:val="0"/>
              <w:pageBreakBefore w:val="0"/>
              <w:spacing w:line="360" w:lineRule="auto"/>
              <w:shd w:val="clear" w:color="auto"/>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配套测量仪器：风速仪4</w:t>
            </w:r>
            <w:r>
              <w:rPr>
                <w:rFonts w:hint="eastAsia" w:ascii="宋体" w:hAnsi="宋体" w:eastAsia="宋体" w:cs="宋体"/>
                <w:color w:val="auto"/>
                <w:sz w:val="24"/>
                <w:szCs w:val="24"/>
                <w:highlight w:val="none"/>
                <w:lang w:val="en-US" w:eastAsia="zh-CN"/>
              </w:rPr>
              <w:t xml:space="preserve">台，</w:t>
            </w:r>
            <w:r>
              <w:rPr>
                <w:rFonts w:hint="eastAsia" w:ascii="宋体" w:hAnsi="宋体" w:eastAsia="宋体" w:cs="宋体"/>
                <w:b w:val="0"/>
                <w:bCs w:val="0"/>
                <w:color w:val="auto"/>
                <w:sz w:val="24"/>
                <w:szCs w:val="24"/>
                <w:highlight w:val="none"/>
                <w:lang w:val="en-US" w:eastAsia="zh-CN"/>
              </w:rPr>
              <w:t xml:space="preserve">风速量程0.1</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30m/s；精度误差：不大于读数的±3.0%；响应时间：≤0.3s；</w:t>
            </w:r>
            <w:r/>
          </w:p>
          <w:p>
            <w:pPr>
              <w:numPr>
                <w:ilvl w:val="0"/>
                <w:numId w:val="9"/>
              </w:numPr>
              <w:ind w:left="0" w:firstLine="0"/>
              <w:jc w:val="left"/>
              <w:keepLines w:val="0"/>
              <w:keepNext w:val="0"/>
              <w:pageBreakBefore w:val="0"/>
              <w:spacing w:line="360" w:lineRule="auto"/>
              <w:shd w:val="clear" w:color="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无人机风墙人机室内测试防护场</w:t>
            </w:r>
            <w:r/>
          </w:p>
          <w:p>
            <w:pPr>
              <w:numPr>
                <w:ilvl w:val="0"/>
                <w:numId w:val="0"/>
              </w:numPr>
              <w:ind w:firstLine="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是一个半封闭（可视网）、安全可控、可精准测量的室内空间，专为无人机研发、性能验证、飞控测试设计；</w:t>
            </w:r>
            <w:r/>
          </w:p>
          <w:p>
            <w:pPr>
              <w:numPr>
                <w:ilvl w:val="1"/>
                <w:numId w:val="9"/>
              </w:numPr>
              <w:ind w:left="0" w:firstLine="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安全屏障：高强度防护网，杜绝无人机失控坠机、飞散伤人或损坏设备；</w:t>
            </w:r>
            <w:r/>
          </w:p>
          <w:p>
            <w:pPr>
              <w:numPr>
                <w:ilvl w:val="1"/>
                <w:numId w:val="9"/>
              </w:numPr>
              <w:ind w:left="0" w:firstLine="0"/>
              <w:jc w:val="left"/>
              <w:keepLines w:val="0"/>
              <w:keepNext w:val="0"/>
              <w:pageBreakBefore w:val="0"/>
              <w:spacing w:line="360" w:lineRule="auto"/>
              <w:shd w:val="clear" w:color="auto"/>
              <w:widowControl/>
              <w:rPr>
                <w:rFonts w:hint="eastAsia" w:ascii="宋体" w:hAnsi="宋体" w:eastAsia="宋体" w:cs="宋体"/>
                <w:color w:val="auto"/>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标准组成：</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基础安全防护系统；</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防护网笼；</w:t>
            </w:r>
            <w:r/>
          </w:p>
          <w:p>
            <w:pPr>
              <w:numPr>
                <w:ilvl w:val="0"/>
                <w:numId w:val="0"/>
              </w:numPr>
              <w:ind w:firstLine="0"/>
              <w:jc w:val="left"/>
              <w:keepLines w:val="0"/>
              <w:keepNext w:val="0"/>
              <w:pageBreakBefore w:val="0"/>
              <w:spacing w:line="360" w:lineRule="auto"/>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①框架：铝合金/钢结构，耐压抗冲击；</w:t>
            </w:r>
            <w:r/>
          </w:p>
          <w:p>
            <w:pPr>
              <w:numPr>
                <w:ilvl w:val="0"/>
                <w:numId w:val="0"/>
              </w:numPr>
              <w:ind w:firstLine="0"/>
              <w:jc w:val="left"/>
              <w:keepLines w:val="0"/>
              <w:keepNext w:val="0"/>
              <w:pageBreakBefore w:val="0"/>
              <w:spacing w:line="360" w:lineRule="auto"/>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②尺寸：不小于2×2.5m；</w:t>
            </w:r>
            <w:r/>
          </w:p>
          <w:p>
            <w:pPr>
              <w:numPr>
                <w:ilvl w:val="0"/>
                <w:numId w:val="9"/>
              </w:numPr>
              <w:ind w:left="0" w:firstLine="0"/>
              <w:jc w:val="left"/>
              <w:keepLines w:val="0"/>
              <w:keepNext w:val="0"/>
              <w:pageBreakBefore w:val="0"/>
              <w:spacing w:line="360" w:lineRule="auto"/>
              <w:shd w:val="clear" w:color="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安全系统</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急停+过载保护</w:t>
            </w:r>
            <w:r>
              <w:rPr>
                <w:rFonts w:hint="eastAsia" w:ascii="宋体" w:hAnsi="宋体" w:cs="宋体"/>
                <w:b/>
                <w:bCs/>
                <w:color w:val="auto"/>
                <w:sz w:val="24"/>
                <w:szCs w:val="24"/>
                <w:highlight w:val="none"/>
                <w:lang w:val="en-US" w:eastAsia="zh-CN"/>
              </w:rPr>
              <w:t xml:space="preserve">）</w:t>
            </w:r>
            <w:r/>
          </w:p>
          <w:p>
            <w:pPr>
              <w:numPr>
                <w:ilvl w:val="1"/>
                <w:numId w:val="9"/>
              </w:numPr>
              <w:ind w:left="0" w:firstLine="0"/>
              <w:jc w:val="left"/>
              <w:keepLines w:val="0"/>
              <w:keepNext w:val="0"/>
              <w:pageBreakBefore w:val="0"/>
              <w:spacing w:line="360" w:lineRule="auto"/>
              <w:shd w:val="clear" w:color="auto"/>
              <w:widowControl/>
              <w:rPr>
                <w:rFonts w:hint="eastAsia" w:ascii="宋体" w:hAnsi="宋体" w:eastAsia="宋体" w:cs="宋体"/>
                <w:b w:val="0"/>
                <w:bCs/>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急停要求：</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无人机风墙整体设备需设置不少于1处独立急停触发点；</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支持紧急情况下远程急停联动；</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急停指令触发后，系统响应时间应小于100ms，立即切断风墙整体设备的动力电源、控制电源，停止设备运行，禁止任何设备继续启动或调速；</w:t>
            </w:r>
            <w:r/>
          </w:p>
          <w:p>
            <w:pPr>
              <w:numPr>
                <w:ilvl w:val="1"/>
                <w:numId w:val="9"/>
              </w:numPr>
              <w:ind w:left="0" w:firstLine="0"/>
              <w:jc w:val="left"/>
              <w:keepLines w:val="0"/>
              <w:keepNext w:val="0"/>
              <w:pageBreakBefore w:val="0"/>
              <w:spacing w:line="360" w:lineRule="auto"/>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过载保护要求：</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过载检测范围：覆盖风洞整体设备所有关键部件；</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过载保护触发后，对应设备及关联控制回路处于锁定状态，需排查过载原因，排除故障后，手动复位保护装置，无人机风墙整体系统自检通过后方可恢复运行；</w:t>
            </w:r>
            <w:r/>
          </w:p>
          <w:p>
            <w:pPr>
              <w:numPr>
                <w:ilvl w:val="0"/>
                <w:numId w:val="9"/>
              </w:numPr>
              <w:ind w:left="0" w:firstLine="0"/>
              <w:jc w:val="left"/>
              <w:keepLines w:val="0"/>
              <w:keepNext w:val="0"/>
              <w:pageBreakBefore w:val="0"/>
              <w:spacing w:line="360" w:lineRule="auto"/>
              <w:shd w:val="clear" w:color="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color w:val="auto"/>
                <w:sz w:val="24"/>
                <w:szCs w:val="24"/>
                <w:highlight w:val="none"/>
                <w:lang w:val="en-US" w:eastAsia="zh-CN"/>
              </w:rPr>
              <w:t xml:space="preserve">无人机风墙安装调试</w:t>
            </w:r>
            <w:r/>
          </w:p>
          <w:p>
            <w:pPr>
              <w:numPr>
                <w:ilvl w:val="1"/>
                <w:numId w:val="9"/>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总体组装要求：</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整体结构刚性足、不变形、无共振，风扇模块运行时无明显抖动、异响；</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组装完成后必须进行空载试运行、风速标定、安全联锁测试；</w:t>
            </w:r>
            <w:r/>
          </w:p>
          <w:p>
            <w:pPr>
              <w:numPr>
                <w:ilvl w:val="1"/>
                <w:numId w:val="9"/>
              </w:numPr>
              <w:ind w:left="0" w:firstLine="0"/>
              <w:jc w:val="left"/>
              <w:keepLines w:val="0"/>
              <w:keepNext w:val="0"/>
              <w:pageBreakBefore w:val="0"/>
              <w:spacing w:line="360" w:lineRule="auto"/>
              <w:shd w:val="clear" w:color="auto"/>
              <w:widowControl/>
              <w:tabs>
                <w:tab w:val="left" w:pos="0" w:leader="none"/>
              </w:tabs>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结构件组装要求：</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框架组装：采用铝合金结构框架，对接平整、无翘边；</w:t>
            </w:r>
            <w:r/>
          </w:p>
          <w:p>
            <w:pPr>
              <w:pStyle w:val="889"/>
              <w:numPr>
                <w:ilvl w:val="2"/>
                <w:numId w:val="9"/>
              </w:numPr>
              <w:ind w:left="0" w:firstLine="0"/>
              <w:keepLines/>
              <w:keepNext/>
              <w:pageBreakBefore w:val="0"/>
              <w:spacing w:before="0" w:after="0" w:line="360" w:lineRule="auto"/>
              <w:shd w:val="clear" w:color="auto"/>
              <w:widowControl w:val="off"/>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风扇模块安装：风扇模块固定牢固，运行无松动、无刮擦异响；</w:t>
            </w:r>
            <w:r/>
          </w:p>
          <w:p>
            <w:pPr>
              <w:numPr>
                <w:ilvl w:val="1"/>
                <w:numId w:val="9"/>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电气与控制柜组装要求</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柜内布线整齐，动力线与信号线分开走线，避免干扰；电气接线规范、标识清晰，强弱电分离，走线整齐固定；</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接地可靠，接地电阻符合规范，防雷、防静电；</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急停按钮、安全门联锁接线正确，动作可靠；</w:t>
            </w:r>
            <w:r/>
          </w:p>
          <w:p>
            <w:pPr>
              <w:pStyle w:val="889"/>
              <w:numPr>
                <w:ilvl w:val="2"/>
                <w:numId w:val="9"/>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故障报警功能有效：过流、过载、通讯异常等可触发报警；</w:t>
            </w:r>
            <w:r/>
          </w:p>
          <w:p>
            <w:pPr>
              <w:numPr>
                <w:ilvl w:val="1"/>
                <w:numId w:val="9"/>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设备系统的联机校准；</w:t>
            </w:r>
            <w:r/>
          </w:p>
        </w:tc>
        <w:tc>
          <w:tcPr>
            <w:shd w:val="clear" w:color="auto" w:fill="auto"/>
            <w:tcW w:w="267"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283"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193" w:type="pct"/>
            <w:vAlign w:val="center"/>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mc:AlternateContent>
                <mc:Choice Requires="wpg">
                  <w:drawing>
                    <wp:inline xmlns:wp="http://schemas.openxmlformats.org/drawingml/2006/wordprocessingDrawing" distT="0" distB="0" distL="0" distR="0">
                      <wp:extent cx="1453515" cy="1453515"/>
                      <wp:effectExtent l="0" t="0" r="13335" b="13335"/>
                      <wp:docPr id="8" name="图片 1" descr="0760e6ec9af846d0949c14b4b512e9b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760e6ec9af846d0949c14b4b512e9b5"/>
                              <pic:cNvPicPr>
                                <a:picLocks noChangeAspect="1"/>
                              </pic:cNvPicPr>
                              <pic:nvPr/>
                            </pic:nvPicPr>
                            <pic:blipFill>
                              <a:blip r:embed="rId20"/>
                              <a:stretch/>
                            </pic:blipFill>
                            <pic:spPr bwMode="auto">
                              <a:xfrm>
                                <a:off x="0" y="0"/>
                                <a:ext cx="1453515" cy="14535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14.4pt;height:114.4pt;mso-wrap-distance-left:0.0pt;mso-wrap-distance-top:0.0pt;mso-wrap-distance-right:0.0pt;mso-wrap-distance-bottom:0.0pt;" stroked="false">
                      <v:path textboxrect="0,0,0,0"/>
                      <v:imagedata r:id="rId20" o:title=""/>
                    </v:shape>
                  </w:pict>
                </mc:Fallback>
              </mc:AlternateContent>
            </w:r>
            <w:r/>
          </w:p>
          <w:p>
            <w:pPr>
              <w:jc w:val="center"/>
              <w:keepLines w:val="0"/>
              <w:keepNext w:val="0"/>
              <w:pageBreakBefore w:val="0"/>
              <w:spacing w:line="360" w:lineRule="auto"/>
              <w:shd w:val="clear" w:color="auto"/>
              <w:tabs>
                <w:tab w:val="left" w:pos="0" w:leader="none"/>
              </w:tabs>
              <w:rPr>
                <w:rFonts w:hint="eastAsia" w:eastAsia="宋体"/>
                <w:highlight w:val="none"/>
                <w:lang w:eastAsia="zh-CN"/>
              </w:rPr>
            </w:pPr>
            <w:r>
              <w:rPr>
                <w:rFonts w:hint="eastAsia" w:eastAsia="宋体"/>
                <w:highlight w:val="none"/>
                <w:lang w:eastAsia="zh-CN"/>
              </w:rPr>
            </w:r>
            <w:r/>
          </w:p>
          <w:p>
            <w:pPr>
              <w:jc w:val="center"/>
              <w:keepLines w:val="0"/>
              <w:keepNext w:val="0"/>
              <w:pageBreakBefore w:val="0"/>
              <w:spacing w:line="360" w:lineRule="auto"/>
              <w:shd w:val="clear" w:color="auto"/>
              <w:tabs>
                <w:tab w:val="left" w:pos="0" w:leader="none"/>
              </w:tabs>
              <w:rPr>
                <w:rFonts w:hint="eastAsia" w:ascii="宋体" w:hAnsi="宋体" w:eastAsia="宋体" w:cs="宋体"/>
                <w:i w:val="0"/>
                <w:iCs w:val="0"/>
                <w:color w:val="auto"/>
                <w:sz w:val="24"/>
                <w:szCs w:val="24"/>
                <w:highlight w:val="none"/>
                <w:u w:val="none"/>
                <w:lang w:eastAsia="zh-CN"/>
              </w:rPr>
            </w:pPr>
            <w:r>
              <w:rPr>
                <w:rFonts w:hint="eastAsia" w:eastAsia="宋体"/>
                <w:highlight w:val="none"/>
                <w:lang w:eastAsia="zh-CN"/>
              </w:rPr>
              <mc:AlternateContent>
                <mc:Choice Requires="wpg">
                  <w:drawing>
                    <wp:inline xmlns:wp="http://schemas.openxmlformats.org/drawingml/2006/wordprocessingDrawing" distT="0" distB="0" distL="0" distR="0">
                      <wp:extent cx="1238250" cy="1219200"/>
                      <wp:effectExtent l="0" t="0" r="0" b="0"/>
                      <wp:docPr id="9" name="图片 1" descr="无锡江南-未命名 3-20260123-12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无锡江南-未命名 3-20260123-123435"/>
                              <pic:cNvPicPr>
                                <a:picLocks noChangeAspect="1"/>
                              </pic:cNvPicPr>
                              <pic:nvPr/>
                            </pic:nvPicPr>
                            <pic:blipFill>
                              <a:blip r:embed="rId21"/>
                              <a:srcRect l="0" t="9438" r="48218" b="0"/>
                              <a:stretch/>
                            </pic:blipFill>
                            <pic:spPr bwMode="auto">
                              <a:xfrm>
                                <a:off x="0" y="0"/>
                                <a:ext cx="1238250" cy="1219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7.5pt;height:96.0pt;mso-wrap-distance-left:0.0pt;mso-wrap-distance-top:0.0pt;mso-wrap-distance-right:0.0pt;mso-wrap-distance-bottom:0.0pt;" stroked="f">
                      <v:path textboxrect="0,0,0,0"/>
                      <v:imagedata r:id="rId21" o:title=""/>
                    </v:shape>
                  </w:pict>
                </mc:Fallback>
              </mc:AlternateContent>
            </w:r>
            <w:r/>
          </w:p>
        </w:tc>
      </w:tr>
      <w:tr>
        <w:trPr>
          <w:jc w:val="center"/>
          <w:trHeight w:val="380"/>
        </w:trPr>
        <w:tc>
          <w:tcPr>
            <w:gridSpan w:val="6"/>
            <w:shd w:val="clear" w:color="auto" w:fill="auto"/>
            <w:tcW w:w="5000" w:type="pct"/>
            <w:vAlign w:val="center"/>
            <w:textDirection w:val="lrTb"/>
            <w:noWrap w:val="false"/>
          </w:tcPr>
          <w:p>
            <w:pPr>
              <w:ind w:left="0" w:firstLine="0"/>
              <w:jc w:val="center"/>
              <w:keepLines w:val="0"/>
              <w:keepNext w:val="0"/>
              <w:pageBreakBefore w:val="0"/>
              <w:spacing w:line="360" w:lineRule="auto"/>
              <w:shd w:val="clear" w:color="auto"/>
              <w:widowControl/>
              <w:tabs>
                <w:tab w:val="left" w:pos="0" w:leader="none"/>
              </w:tabs>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三、</w:t>
            </w:r>
            <w:r>
              <w:rPr>
                <w:rFonts w:hint="eastAsia" w:ascii="宋体" w:hAnsi="宋体" w:eastAsia="宋体" w:cs="宋体"/>
                <w:b/>
                <w:bCs/>
                <w:i w:val="0"/>
                <w:iCs w:val="0"/>
                <w:color w:val="auto"/>
                <w:sz w:val="24"/>
                <w:szCs w:val="24"/>
                <w:highlight w:val="none"/>
                <w:u w:val="none"/>
                <w:lang w:val="en-US" w:eastAsia="zh-CN" w:bidi="ar"/>
              </w:rPr>
              <w:t xml:space="preserve">辅助测试配置</w:t>
            </w:r>
            <w:r/>
          </w:p>
        </w:tc>
      </w:tr>
      <w:tr>
        <w:trPr>
          <w:jc w:val="center"/>
          <w:trHeight w:val="363"/>
        </w:trPr>
        <w:tc>
          <w:tcPr>
            <w:shd w:val="clear" w:color="auto" w:fill="auto"/>
            <w:tcW w:w="218" w:type="pct"/>
            <w:vAlign w:val="center"/>
            <w:vMerge w:val="restart"/>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W w:w="450" w:type="pct"/>
            <w:vAlign w:val="center"/>
            <w:vMerge w:val="restart"/>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辅助测试配置</w:t>
            </w:r>
            <w:r/>
          </w:p>
        </w:tc>
        <w:tc>
          <w:tcPr>
            <w:shd w:val="clear" w:color="auto" w:fill="auto"/>
            <w:tcW w:w="2586" w:type="pct"/>
            <w:vAlign w:val="center"/>
            <w:textDirection w:val="lrTb"/>
            <w:noWrap w:val="false"/>
          </w:tcPr>
          <w:p>
            <w:pPr>
              <w:numPr>
                <w:ilvl w:val="0"/>
                <w:numId w:val="10"/>
              </w:numPr>
              <w:ind w:left="425" w:hanging="425"/>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高速相机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1920×1080,100fps</w:t>
            </w:r>
            <w:r>
              <w:rPr>
                <w:rFonts w:hint="eastAsia" w:ascii="宋体" w:hAnsi="宋体" w:cs="宋体"/>
                <w:i w:val="0"/>
                <w:iCs w:val="0"/>
                <w:color w:val="auto"/>
                <w:sz w:val="24"/>
                <w:szCs w:val="24"/>
                <w:highlight w:val="none"/>
                <w:u w:val="none"/>
                <w:lang w:val="en-US" w:eastAsia="zh-CN" w:bidi="ar"/>
              </w:rPr>
              <w:t xml:space="preserve">）</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相机</w:t>
            </w:r>
            <w:r/>
          </w:p>
          <w:p>
            <w:pPr>
              <w:pStyle w:val="889"/>
              <w:numPr>
                <w:ilvl w:val="2"/>
                <w:numId w:val="10"/>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分辨率：≥1920×1080，全分辨率模式下帧率≥100fps，支持帧率可调，满足高速动态过程观测记录；</w:t>
            </w:r>
            <w:r/>
          </w:p>
          <w:p>
            <w:pPr>
              <w:pStyle w:val="889"/>
              <w:numPr>
                <w:ilvl w:val="2"/>
                <w:numId w:val="10"/>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采用全局曝光 CMOS 传感器，成像无拖影，像元尺寸适中，画面清晰稳定；</w:t>
            </w:r>
            <w:r/>
          </w:p>
          <w:p>
            <w:pPr>
              <w:pStyle w:val="889"/>
              <w:numPr>
                <w:ilvl w:val="2"/>
                <w:numId w:val="10"/>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外观尺寸不大于30mm×30mm；</w:t>
            </w:r>
            <w:r/>
          </w:p>
          <w:p>
            <w:pPr>
              <w:pStyle w:val="889"/>
              <w:numPr>
                <w:ilvl w:val="2"/>
                <w:numId w:val="10"/>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采用高速 USB3.0 数据接口，传输稳定可靠，支持通用视觉传输协议；</w:t>
            </w:r>
            <w:r/>
          </w:p>
          <w:p>
            <w:pPr>
              <w:pStyle w:val="889"/>
              <w:numPr>
                <w:ilvl w:val="2"/>
                <w:numId w:val="10"/>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图像数字化精度≥10bit，支持增益、曝光时间连续可调，满足不同光照教学场景；</w:t>
            </w:r>
            <w:r/>
          </w:p>
          <w:p>
            <w:pPr>
              <w:pStyle w:val="889"/>
              <w:numPr>
                <w:ilvl w:val="2"/>
                <w:numId w:val="10"/>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支持外部触发、软触发及连续采集模式，具备图像裁剪、合并等实用功能；</w:t>
            </w:r>
            <w:r/>
          </w:p>
          <w:p>
            <w:pPr>
              <w:pStyle w:val="889"/>
              <w:numPr>
                <w:ilvl w:val="2"/>
                <w:numId w:val="10"/>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结构紧凑小巧，金属外壳抗干扰强，便于实验台安装与固定使用；</w:t>
            </w:r>
            <w:r/>
          </w:p>
          <w:p>
            <w:pPr>
              <w:pStyle w:val="889"/>
              <w:numPr>
                <w:ilvl w:val="2"/>
                <w:numId w:val="10"/>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配套提供教学用图像采集与演示软件组件，接口匹配、操作简便，满足课堂动态现象可视化教学需求；</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镜头</w:t>
            </w:r>
            <w:r/>
          </w:p>
          <w:p>
            <w:pPr>
              <w:pStyle w:val="889"/>
              <w:numPr>
                <w:ilvl w:val="2"/>
                <w:numId w:val="10"/>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适配1/1.8"靶面尺寸，最高支持600万像素高清成像，可完美匹配2.4μm像元尺寸的工业及高速相机传感器，保障成像清晰度与兼容性；</w:t>
            </w:r>
            <w:r/>
          </w:p>
          <w:p>
            <w:pPr>
              <w:pStyle w:val="889"/>
              <w:numPr>
                <w:ilvl w:val="2"/>
                <w:numId w:val="10"/>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光学设计要求：采用16mm定焦光学设计，焦距公差控制在±5%；视场角需达到32.53°（对角线）×25.81°（水平）×17.53°（垂直），观测范围均衡，满足多场景观测需求；</w:t>
            </w:r>
            <w:r/>
          </w:p>
          <w:p>
            <w:pPr>
              <w:pStyle w:val="889"/>
              <w:numPr>
                <w:ilvl w:val="2"/>
                <w:numId w:val="10"/>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光圈性能要求：光圈范围为F2.8-F16，支持连续可调；采用大光圈设计，可有效提升低光照环境下的成像亮度与信噪比，确保复杂光照条件下的成像质量；</w:t>
            </w:r>
            <w:r/>
          </w:p>
          <w:p>
            <w:pPr>
              <w:pStyle w:val="889"/>
              <w:numPr>
                <w:ilvl w:val="2"/>
                <w:numId w:val="10"/>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畸变控制要求：具备超低光学畸变特性，全视场光学畸变率≤±0.1%，成像边缘无明显形变，可满足高精度测量与精准观测的核心需求；</w:t>
            </w:r>
            <w:r/>
          </w:p>
          <w:p>
            <w:pPr>
              <w:pStyle w:val="889"/>
              <w:numPr>
                <w:ilvl w:val="2"/>
                <w:numId w:val="10"/>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接口兼容性要求：采用行业标准C口接口，法兰距为17.526mm，公差控制在±0.2mm，兼容性强，可直接适配绝大多数主流工业相机与高速相机，无需额外转接配件；</w:t>
            </w:r>
            <w:r/>
          </w:p>
          <w:p>
            <w:pPr>
              <w:pStyle w:val="889"/>
              <w:numPr>
                <w:ilvl w:val="2"/>
                <w:numId w:val="10"/>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结构与集成要求：采用小型化紧凑结构，光学总长45mm，公差±0.2mm；不含螺纹外形尺寸为Φ33.0×31.9mm，重量仅56g，便于实验台安装及轻量化系统集成；</w:t>
            </w:r>
            <w:r/>
          </w:p>
          <w:p>
            <w:pPr>
              <w:pStyle w:val="889"/>
              <w:numPr>
                <w:ilvl w:val="2"/>
                <w:numId w:val="10"/>
              </w:numPr>
              <w:ind w:left="0" w:firstLine="0"/>
              <w:keepLines/>
              <w:keepNext/>
              <w:pageBreakBefore w:val="0"/>
              <w:spacing w:before="0" w:after="0" w:line="360" w:lineRule="auto"/>
              <w:shd w:val="clear" w:color="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b w:val="0"/>
                <w:bCs/>
                <w:sz w:val="24"/>
                <w:szCs w:val="24"/>
                <w:highlight w:val="none"/>
                <w:lang w:val="en-US" w:eastAsia="zh-CN"/>
              </w:rPr>
              <w:t xml:space="preserve"> 功能拓展要求：镜头前螺纹规格为M27×0.5，可兼容各类滤光片、遮光罩、偏振片等光学附件，具备较强的功能拓展性，满足不同场景的个性化使用需求；</w:t>
            </w:r>
            <w:r/>
          </w:p>
        </w:tc>
        <w:tc>
          <w:tcPr>
            <w:shd w:val="clear" w:color="auto" w:fill="auto"/>
            <w:tcW w:w="267"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283"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193" w:type="pct"/>
            <w:vAlign w:val="center"/>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448435" cy="1054735"/>
                      <wp:effectExtent l="0" t="0" r="18415" b="12065"/>
                      <wp:docPr id="10"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9"/>
                              <pic:cNvPicPr>
                                <a:picLocks noChangeAspect="1"/>
                              </pic:cNvPicPr>
                              <pic:nvPr/>
                            </pic:nvPicPr>
                            <pic:blipFill>
                              <a:blip r:embed="rId22"/>
                              <a:stretch/>
                            </pic:blipFill>
                            <pic:spPr bwMode="auto">
                              <a:xfrm>
                                <a:off x="0" y="0"/>
                                <a:ext cx="1448435" cy="10547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14.0pt;height:83.0pt;mso-wrap-distance-left:0.0pt;mso-wrap-distance-top:0.0pt;mso-wrap-distance-right:0.0pt;mso-wrap-distance-bottom:0.0pt;" stroked="f" strokeweight="0.75pt">
                      <v:path textboxrect="0,0,0,0"/>
                      <v:imagedata r:id="rId22" o:title=""/>
                    </v:shape>
                  </w:pict>
                </mc:Fallback>
              </mc:AlternateContent>
            </w:r>
            <w:r/>
          </w:p>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rPr>
            </w:pPr>
            <w:r>
              <w:rPr>
                <w:highlight w:val="none"/>
              </w:rPr>
              <mc:AlternateContent>
                <mc:Choice Requires="wpg">
                  <w:drawing>
                    <wp:inline xmlns:wp="http://schemas.openxmlformats.org/drawingml/2006/wordprocessingDrawing" distT="0" distB="0" distL="0" distR="0">
                      <wp:extent cx="1440815" cy="1550670"/>
                      <wp:effectExtent l="0" t="0" r="6985" b="1143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r/>
                            </pic:nvPicPr>
                            <pic:blipFill>
                              <a:blip r:embed="rId23"/>
                              <a:stretch/>
                            </pic:blipFill>
                            <pic:spPr bwMode="auto">
                              <a:xfrm>
                                <a:off x="0" y="0"/>
                                <a:ext cx="1440815" cy="15506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13.4pt;height:122.1pt;mso-wrap-distance-left:0.0pt;mso-wrap-distance-top:0.0pt;mso-wrap-distance-right:0.0pt;mso-wrap-distance-bottom:0.0pt;" stroked="f">
                      <v:path textboxrect="0,0,0,0"/>
                      <v:imagedata r:id="rId23" o:title=""/>
                    </v:shape>
                  </w:pict>
                </mc:Fallback>
              </mc:AlternateContent>
            </w:r>
            <w:r/>
          </w:p>
        </w:tc>
      </w:tr>
      <w:tr>
        <w:trPr>
          <w:jc w:val="center"/>
          <w:trHeight w:val="560"/>
        </w:trPr>
        <w:tc>
          <w:tcPr>
            <w:shd w:val="clear" w:color="auto" w:fill="auto"/>
            <w:tcW w:w="218" w:type="pct"/>
            <w:vAlign w:val="center"/>
            <w:vMerge w:val="continue"/>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450" w:type="pct"/>
            <w:vAlign w:val="center"/>
            <w:vMerge w:val="continue"/>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586" w:type="pct"/>
            <w:vAlign w:val="center"/>
            <w:textDirection w:val="lrTb"/>
            <w:noWrap w:val="false"/>
          </w:tcPr>
          <w:p>
            <w:pPr>
              <w:numPr>
                <w:ilvl w:val="0"/>
                <w:numId w:val="10"/>
              </w:numPr>
              <w:ind w:left="425" w:hanging="425"/>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color w:val="auto"/>
                <w:szCs w:val="21"/>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校准装置</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风速仪1台，风速测量范围：0.1～30m/s，满足教学实验校准需求；</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精度：读数3%或±0.0</w:t>
            </w:r>
            <w:r>
              <w:rPr>
                <w:rFonts w:hint="eastAsia" w:ascii="宋体" w:hAnsi="宋体" w:cs="宋体"/>
                <w:i w:val="0"/>
                <w:iCs w:val="0"/>
                <w:color w:val="auto"/>
                <w:sz w:val="24"/>
                <w:szCs w:val="24"/>
                <w:highlight w:val="none"/>
                <w:u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m/s；</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shd w:val="clear" w:color="auto"/>
                <w:lang w:val="en-US" w:eastAsia="zh-CN" w:bidi="ar"/>
              </w:rPr>
              <w:t xml:space="preserve">移测架：安装在试验段中，外形尺寸不小于1000mm×980mm×800mm；在30m/s风速下摆动≤2mm,X轴行程≥800mm、</w:t>
            </w:r>
            <w:r>
              <w:rPr>
                <w:rFonts w:hint="eastAsia" w:ascii="宋体" w:hAnsi="宋体" w:eastAsia="宋体" w:cs="宋体"/>
                <w:i w:val="0"/>
                <w:iCs w:val="0"/>
                <w:color w:val="auto"/>
                <w:sz w:val="24"/>
                <w:szCs w:val="24"/>
                <w:highlight w:val="none"/>
                <w:u w:val="none"/>
                <w:lang w:val="en-US" w:eastAsia="zh-CN" w:bidi="ar"/>
              </w:rPr>
              <w:t xml:space="preserve">Y轴行程≥500mm、Z轴行程≥500mm，定位精度0.5mm，电动控制，通过风洞控制软件自动控制；</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配备可伸缩检测探头，抗干扰性强，长期运行稳定性好，适配不同实验环境；</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支持风洞试验段多点校准，定位便捷，安装固定灵活，可根据实验需求调整检测位置；</w:t>
            </w:r>
            <w:r/>
          </w:p>
        </w:tc>
        <w:tc>
          <w:tcPr>
            <w:shd w:val="clear" w:color="auto" w:fill="auto"/>
            <w:tcW w:w="267"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283"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193" w:type="pct"/>
            <w:vAlign w:val="center"/>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1080"/>
        </w:trPr>
        <w:tc>
          <w:tcPr>
            <w:shd w:val="clear" w:color="auto" w:fill="auto"/>
            <w:tcW w:w="218" w:type="pct"/>
            <w:vAlign w:val="center"/>
            <w:vMerge w:val="continue"/>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450" w:type="pct"/>
            <w:vAlign w:val="center"/>
            <w:vMerge w:val="continue"/>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586" w:type="pct"/>
            <w:vAlign w:val="center"/>
            <w:textDirection w:val="lrTb"/>
            <w:noWrap w:val="false"/>
          </w:tcPr>
          <w:p>
            <w:pPr>
              <w:numPr>
                <w:ilvl w:val="0"/>
                <w:numId w:val="10"/>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飞机，汽车，圆柱，球/半球，平板等常规测试模型</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包含（1）飞机模型1件，材质：锌合金/铝，尺寸不小于长350×宽280×高310mm；（2）汽车模型1件，材质：锌合金/铝，尺寸不小于长250×宽105×高70mm；（3）圆柱模型1件，材质：不锈钢/铝合金，尺寸不小于直径80mm，高度不小于300mm；（4）球体/半球体模型1件，材质：不锈钢/铝合金，尺寸不小于直径80mm；（5）平板模型1件，材质：不锈钢/铝，尺寸不小于直径80mm等标准教学实验模型，种类齐全，满足基础测试教学使用；</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模型表面光滑无毛刺、无变形，气动外形规整，适合烟雾示踪与流场显示实验；</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具备统一标准安装接口，可在风洞试验段内快速装夹及定位；</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尺寸适配教学型风洞截面，比例适中，不产生明显堵塞效应，不干扰主流流场；</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材质轻质高强，抗气流冲击不变形，耐磕碰、适合课堂反复拆装使用；</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外观统一、色泽均匀，便于高速成像与流场可视化对比观测；</w:t>
            </w:r>
            <w:r/>
          </w:p>
        </w:tc>
        <w:tc>
          <w:tcPr>
            <w:shd w:val="clear" w:color="auto" w:fill="auto"/>
            <w:tcW w:w="267"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283"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193" w:type="pct"/>
            <w:vAlign w:val="center"/>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005"/>
        </w:trPr>
        <w:tc>
          <w:tcPr>
            <w:shd w:val="clear" w:color="auto" w:fill="auto"/>
            <w:tcW w:w="218" w:type="pct"/>
            <w:vAlign w:val="center"/>
            <w:vMerge w:val="continue"/>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rPr>
            </w:r>
            <w:r/>
          </w:p>
        </w:tc>
        <w:tc>
          <w:tcPr>
            <w:shd w:val="clear" w:color="auto" w:fill="auto"/>
            <w:tcW w:w="450" w:type="pct"/>
            <w:vAlign w:val="center"/>
            <w:vMerge w:val="continue"/>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586" w:type="pct"/>
            <w:vAlign w:val="center"/>
            <w:textDirection w:val="lrTb"/>
            <w:noWrap w:val="false"/>
          </w:tcPr>
          <w:p>
            <w:pPr>
              <w:numPr>
                <w:ilvl w:val="0"/>
                <w:numId w:val="10"/>
              </w:numPr>
              <w:ind w:left="425" w:hanging="425"/>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烟雾发生器，喷管等</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烟雾发生器，喷管2套（非标定制）；</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供电：AC 220V/50Hz，适配国内市电，具备完善电气保护；</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额定功率：≥2400W，采用一体化恒温加热结构，出烟稳定无滴液；</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预热时间：≤12 分钟，具备预热完成提示功能；</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最大耗油量：≥240 mL/min，发烟强度可连续无级调节；</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油箱容量：≥5.8L，最大出烟状态下连续工作时间≥20分钟；油箱配置补油口，方便学生后续自行加油；</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耗材：兼容市面通用水性烟油，烟雾无刺激性异味、残留少；</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控制方式：支持手动、DMX512、定时控制，可选配原厂同品牌无线遥控；</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整机净重：≤22kg，金属机身（材质：铝合金/碳钢），结构紧凑可靠；</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具备油位监测、过热保护等功能，适合长期稳定运行；</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配套提供教学用气流均化组件与稳压缓冲装置，接口匹配、密封可靠，满足流场可视化测试需求；</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default" w:eastAsiaTheme="minorEastAsia"/>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喷管主体采用304不锈钢，喷管长度1m。材质本身不与烟雾发生化学反应，不产生有害气体，不影响烟雾纯度及风洞设备、无人机性能；</w:t>
            </w:r>
            <w:r/>
          </w:p>
        </w:tc>
        <w:tc>
          <w:tcPr>
            <w:shd w:val="clear" w:color="auto" w:fill="auto"/>
            <w:tcW w:w="267"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台</w:t>
            </w:r>
            <w:r/>
          </w:p>
        </w:tc>
        <w:tc>
          <w:tcPr>
            <w:shd w:val="clear" w:color="auto" w:fill="auto"/>
            <w:tcW w:w="283"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193" w:type="pct"/>
            <w:vAlign w:val="center"/>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445895" cy="826770"/>
                      <wp:effectExtent l="0" t="0" r="1905" b="11430"/>
                      <wp:docPr id="1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24"/>
                              <a:stretch/>
                            </pic:blipFill>
                            <pic:spPr bwMode="auto">
                              <a:xfrm>
                                <a:off x="0" y="0"/>
                                <a:ext cx="1445895" cy="8267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13.8pt;height:65.1pt;mso-wrap-distance-left:0.0pt;mso-wrap-distance-top:0.0pt;mso-wrap-distance-right:0.0pt;mso-wrap-distance-bottom:0.0pt;" stroked="f" strokeweight="0.75pt">
                      <v:path textboxrect="0,0,0,0"/>
                      <v:imagedata r:id="rId24" o:title=""/>
                    </v:shape>
                  </w:pict>
                </mc:Fallback>
              </mc:AlternateContent>
            </w:r>
            <w:r/>
          </w:p>
          <w:p>
            <w:pPr>
              <w:jc w:val="center"/>
              <w:keepLines w:val="0"/>
              <w:keepNext w:val="0"/>
              <w:pageBreakBefore w:val="0"/>
              <w:spacing w:line="360" w:lineRule="auto"/>
              <w:shd w:val="clear" w:color="auto"/>
              <w:tabs>
                <w:tab w:val="left" w:pos="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烟雾发生器</w:t>
            </w:r>
            <w:r/>
          </w:p>
        </w:tc>
      </w:tr>
      <w:tr>
        <w:trPr>
          <w:jc w:val="center"/>
          <w:trHeight w:val="2517"/>
        </w:trPr>
        <w:tc>
          <w:tcPr>
            <w:shd w:val="clear" w:color="auto" w:fill="auto"/>
            <w:tcW w:w="218" w:type="pct"/>
            <w:vAlign w:val="center"/>
            <w:vMerge w:val="continue"/>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rPr>
            </w:r>
            <w:r/>
          </w:p>
        </w:tc>
        <w:tc>
          <w:tcPr>
            <w:shd w:val="clear" w:color="auto" w:fill="auto"/>
            <w:tcW w:w="450" w:type="pct"/>
            <w:vAlign w:val="center"/>
            <w:vMerge w:val="continue"/>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586" w:type="pct"/>
            <w:vAlign w:val="center"/>
            <w:textDirection w:val="lrTb"/>
            <w:noWrap w:val="false"/>
          </w:tcPr>
          <w:p>
            <w:pPr>
              <w:numPr>
                <w:ilvl w:val="0"/>
                <w:numId w:val="10"/>
              </w:numPr>
              <w:ind w:left="425" w:hanging="425"/>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计算机工作站</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计算机工作站1台，采用新一代处理器，≥12核，内置 AI 加速引擎，支持企业级远程管理功能；</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搭配专业工作站级芯片组，支持最新高速总线，整机稳定性与扩展性优异；</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内存≥32GB DDR5，支持高频率运行，最大可扩至 128GB，兼顾性能与可靠性；</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配置 512GB 高速固态 + 2TB 大容量机械硬盘，支持多盘位扩展与磁盘阵列；</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搭载≥16GB 显存专业图形显卡，通过主流专业软件认证，适配设计与仿真需求；</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前置多功能接口丰富，后置含高清视频输出与千兆网口，支持多屏联动输出；</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采用高效独立散热架构，高负载下</w:t>
            </w:r>
            <w:r>
              <w:rPr>
                <w:rFonts w:hint="eastAsia" w:ascii="宋体" w:hAnsi="宋体" w:cs="宋体"/>
                <w:i w:val="0"/>
                <w:iCs w:val="0"/>
                <w:color w:val="auto"/>
                <w:sz w:val="24"/>
                <w:szCs w:val="24"/>
                <w:highlight w:val="none"/>
                <w:u w:val="none"/>
                <w:lang w:val="en-US" w:eastAsia="zh-CN" w:bidi="ar"/>
              </w:rPr>
              <w:t xml:space="preserve">噪声</w:t>
            </w:r>
            <w:r>
              <w:rPr>
                <w:rFonts w:hint="eastAsia" w:ascii="宋体" w:hAnsi="宋体" w:eastAsia="宋体" w:cs="宋体"/>
                <w:i w:val="0"/>
                <w:iCs w:val="0"/>
                <w:color w:val="auto"/>
                <w:sz w:val="24"/>
                <w:szCs w:val="24"/>
                <w:highlight w:val="none"/>
                <w:u w:val="none"/>
                <w:lang w:val="en-US" w:eastAsia="zh-CN" w:bidi="ar"/>
              </w:rPr>
              <w:t xml:space="preserve">低，可长期连续稳定运行；</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标配 500W 及以上高效率电源，机身紧凑轻量化，整机售后保障完善；</w:t>
            </w:r>
            <w:r/>
          </w:p>
          <w:p>
            <w:pPr>
              <w:numPr>
                <w:ilvl w:val="1"/>
                <w:numId w:val="10"/>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液晶显示器1台，尺寸不小于27英寸，分辨率不小于1920*1080，电源19V DC1.31A，接口：D-Sub/HDMI；</w:t>
            </w:r>
            <w:r/>
          </w:p>
        </w:tc>
        <w:tc>
          <w:tcPr>
            <w:shd w:val="clear" w:color="auto" w:fill="auto"/>
            <w:tcW w:w="267"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283"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193" w:type="pct"/>
            <w:vAlign w:val="center"/>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428750" cy="1046480"/>
                      <wp:effectExtent l="0" t="0" r="0" b="1270"/>
                      <wp:docPr id="13"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0"/>
                              <pic:cNvPicPr>
                                <a:picLocks noChangeAspect="1"/>
                              </pic:cNvPicPr>
                              <pic:nvPr/>
                            </pic:nvPicPr>
                            <pic:blipFill>
                              <a:blip r:embed="rId25"/>
                              <a:stretch/>
                            </pic:blipFill>
                            <pic:spPr bwMode="auto">
                              <a:xfrm>
                                <a:off x="0" y="0"/>
                                <a:ext cx="1428750" cy="10464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12.5pt;height:82.4pt;mso-wrap-distance-left:0.0pt;mso-wrap-distance-top:0.0pt;mso-wrap-distance-right:0.0pt;mso-wrap-distance-bottom:0.0pt;" stroked="f" strokeweight="0.75pt">
                      <v:path textboxrect="0,0,0,0"/>
                      <v:imagedata r:id="rId25" o:title=""/>
                    </v:shape>
                  </w:pict>
                </mc:Fallback>
              </mc:AlternateContent>
            </w:r>
            <w:r/>
          </w:p>
        </w:tc>
      </w:tr>
      <w:tr>
        <w:trPr>
          <w:jc w:val="center"/>
          <w:trHeight w:val="440"/>
        </w:trPr>
        <w:tc>
          <w:tcPr>
            <w:gridSpan w:val="6"/>
            <w:shd w:val="clear" w:color="auto" w:fill="auto"/>
            <w:tcW w:w="5000" w:type="pct"/>
            <w:vAlign w:val="center"/>
            <w:textDirection w:val="lrTb"/>
            <w:noWrap w:val="false"/>
          </w:tcPr>
          <w:p>
            <w:pPr>
              <w:ind w:left="0" w:firstLine="0"/>
              <w:jc w:val="center"/>
              <w:keepLines w:val="0"/>
              <w:keepNext w:val="0"/>
              <w:pageBreakBefore w:val="0"/>
              <w:spacing w:line="360" w:lineRule="auto"/>
              <w:shd w:val="clear" w:color="auto"/>
              <w:widowControl/>
              <w:tabs>
                <w:tab w:val="left" w:pos="0" w:leader="none"/>
              </w:tabs>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四、</w:t>
            </w:r>
            <w:r>
              <w:rPr>
                <w:rFonts w:hint="eastAsia" w:ascii="宋体" w:hAnsi="宋体" w:eastAsia="宋体" w:cs="宋体"/>
                <w:b/>
                <w:bCs/>
                <w:i w:val="0"/>
                <w:iCs w:val="0"/>
                <w:color w:val="auto"/>
                <w:sz w:val="24"/>
                <w:szCs w:val="24"/>
                <w:highlight w:val="none"/>
                <w:u w:val="none"/>
                <w:lang w:val="en-US" w:eastAsia="zh-CN" w:bidi="ar"/>
              </w:rPr>
              <w:t xml:space="preserve">控制台组合</w:t>
            </w:r>
            <w:r/>
          </w:p>
        </w:tc>
      </w:tr>
      <w:tr>
        <w:trPr>
          <w:jc w:val="center"/>
          <w:trHeight w:val="699"/>
        </w:trPr>
        <w:tc>
          <w:tcPr>
            <w:shd w:val="clear" w:color="auto" w:fill="auto"/>
            <w:tcW w:w="218"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W w:w="450" w:type="pct"/>
            <w:vAlign w:val="center"/>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控制台组合</w:t>
            </w:r>
            <w:r/>
          </w:p>
        </w:tc>
        <w:tc>
          <w:tcPr>
            <w:shd w:val="clear" w:color="auto" w:fill="auto"/>
            <w:tcW w:w="2586" w:type="pct"/>
            <w:vAlign w:val="center"/>
            <w:textDirection w:val="lrTb"/>
            <w:noWrap w:val="false"/>
          </w:tcPr>
          <w:p>
            <w:pPr>
              <w:numPr>
                <w:ilvl w:val="0"/>
                <w:numId w:val="11"/>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控制台组合组件</w:t>
            </w:r>
            <w:r/>
          </w:p>
          <w:p>
            <w:pPr>
              <w:numPr>
                <w:ilvl w:val="1"/>
                <w:numId w:val="11"/>
              </w:numPr>
              <w:ind w:left="0" w:firstLine="0"/>
              <w:jc w:val="left"/>
              <w:keepLines w:val="0"/>
              <w:keepNext w:val="0"/>
              <w:pageBreakBefore w:val="0"/>
              <w:spacing w:line="360" w:lineRule="auto"/>
              <w:shd w:val="clear" w:color="auto"/>
              <w:widowControl/>
              <w:tabs>
                <w:tab w:val="left" w:pos="0" w:leader="none"/>
                <w:tab w:val="clear" w:pos="420" w:leader="none"/>
              </w:tabs>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学生操作台</w:t>
            </w:r>
            <w:r/>
          </w:p>
          <w:p>
            <w:pPr>
              <w:pStyle w:val="889"/>
              <w:numPr>
                <w:ilvl w:val="2"/>
                <w:numId w:val="11"/>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人员容纳：须满足不少于6名学生</w:t>
            </w:r>
            <w:r>
              <w:rPr>
                <w:rFonts w:hint="eastAsia" w:ascii="宋体" w:hAnsi="宋体" w:eastAsia="宋体" w:cs="宋体"/>
                <w:b w:val="0"/>
                <w:bCs/>
                <w:sz w:val="24"/>
                <w:szCs w:val="24"/>
                <w:highlight w:val="none"/>
                <w:lang w:val="en-US" w:eastAsia="zh-CN"/>
              </w:rPr>
              <w:t xml:space="preserve">同时独立实操学习，不得缩减操作位数量，保障学生独立无干扰操作空间；</w:t>
            </w:r>
            <w:r/>
          </w:p>
          <w:p>
            <w:pPr>
              <w:pStyle w:val="889"/>
              <w:numPr>
                <w:ilvl w:val="2"/>
                <w:numId w:val="11"/>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操作空间：</w:t>
            </w:r>
            <w:r>
              <w:rPr>
                <w:rFonts w:hint="eastAsia" w:ascii="宋体" w:hAnsi="宋体" w:eastAsia="宋体" w:cs="宋体"/>
                <w:b w:val="0"/>
                <w:bCs/>
                <w:color w:val="auto"/>
                <w:sz w:val="24"/>
                <w:szCs w:val="24"/>
                <w:highlight w:val="none"/>
                <w:lang w:val="en-US" w:eastAsia="zh-CN"/>
              </w:rPr>
              <w:t xml:space="preserve">每台长度≥1.8米×1.2米，每位学生有独立操作专属区域</w:t>
            </w:r>
            <w:r>
              <w:rPr>
                <w:rFonts w:hint="eastAsia" w:ascii="宋体" w:hAnsi="宋体" w:eastAsia="宋体" w:cs="宋体"/>
                <w:b w:val="0"/>
                <w:bCs/>
                <w:sz w:val="24"/>
                <w:szCs w:val="24"/>
                <w:highlight w:val="none"/>
                <w:lang w:val="en-US" w:eastAsia="zh-CN"/>
              </w:rPr>
              <w:t xml:space="preserve">（含桌面操作、就座活动空间），配备两个直流插座，两个交流插座一块强磁板，净尺寸不得小于600mm×600mm，适配初中生使用需求；</w:t>
            </w:r>
            <w:r/>
          </w:p>
          <w:p>
            <w:pPr>
              <w:pStyle w:val="889"/>
              <w:numPr>
                <w:ilvl w:val="2"/>
                <w:numId w:val="11"/>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带电动升降功能：调节范围不小于30cm</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40cm；</w:t>
            </w:r>
            <w:r/>
          </w:p>
          <w:p>
            <w:pPr>
              <w:pStyle w:val="889"/>
              <w:numPr>
                <w:ilvl w:val="2"/>
                <w:numId w:val="11"/>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储物要求：每个操作位须配套专属独立储物抽屉，带静音导轨、防脱落装置，满足学生物品、工具、资料收纳需求；</w:t>
            </w:r>
            <w:r/>
          </w:p>
          <w:p>
            <w:pPr>
              <w:pStyle w:val="889"/>
              <w:numPr>
                <w:ilvl w:val="2"/>
                <w:numId w:val="11"/>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供电配置：操作台须合理布局 3C 认证市电电源接口，具备阻燃、防漏电、过载保护功能，布线规范无外露，满足初中教学实操用电需求，无安全隐患；两面都需配置：220V交流插座、24V直流插座和强磁板；</w:t>
            </w:r>
            <w:r/>
          </w:p>
          <w:p>
            <w:pPr>
              <w:pStyle w:val="889"/>
              <w:numPr>
                <w:ilvl w:val="2"/>
                <w:numId w:val="11"/>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坐具配套：每个操作位须配套学生专用操作凳，总共配42把，结构稳固、防滑耐用、适配初中生身形，无尖锐棱角，符合学校家具安全环保标准；</w:t>
            </w:r>
            <w:r/>
          </w:p>
          <w:p>
            <w:pPr>
              <w:pStyle w:val="889"/>
              <w:numPr>
                <w:ilvl w:val="2"/>
                <w:numId w:val="11"/>
              </w:numPr>
              <w:ind w:left="0" w:firstLine="0"/>
              <w:keepLines/>
              <w:keepNext/>
              <w:pageBreakBefore w:val="0"/>
              <w:spacing w:before="0" w:after="0" w:line="360" w:lineRule="auto"/>
              <w:shd w:val="clear" w:color="auto"/>
              <w:widowControl w:val="off"/>
              <w:rPr>
                <w:rFonts w:hint="eastAsia" w:ascii="宋体" w:hAnsi="宋体" w:eastAsia="宋体" w:cs="宋体"/>
                <w:i w:val="0"/>
                <w:iCs w:val="0"/>
                <w:color w:val="auto"/>
                <w:szCs w:val="24"/>
                <w:highlight w:val="none"/>
                <w:u w:val="none"/>
              </w:rPr>
            </w:pPr>
            <w:r>
              <w:rPr>
                <w:rFonts w:hint="eastAsia" w:ascii="宋体" w:hAnsi="宋体" w:eastAsia="宋体" w:cs="宋体"/>
                <w:b w:val="0"/>
                <w:bCs/>
                <w:color w:val="auto"/>
                <w:sz w:val="24"/>
                <w:szCs w:val="24"/>
                <w:highlight w:val="none"/>
              </w:rPr>
              <w:t xml:space="preserve">台面：优质实木，环保清漆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防火涂层，耐磨防刮</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复合结构</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每面不少于4组控制电源</w:t>
            </w:r>
            <w:r>
              <w:rPr>
                <w:rFonts w:hint="eastAsia" w:ascii="宋体" w:hAnsi="宋体" w:eastAsia="宋体" w:cs="宋体"/>
                <w:b w:val="0"/>
                <w:bCs/>
                <w:color w:val="auto"/>
                <w:sz w:val="24"/>
                <w:szCs w:val="24"/>
                <w:highlight w:val="none"/>
                <w:lang w:eastAsia="zh-CN"/>
              </w:rPr>
              <w:t xml:space="preserve">）</w:t>
            </w:r>
            <w:r/>
          </w:p>
          <w:p>
            <w:pPr>
              <w:pStyle w:val="889"/>
              <w:numPr>
                <w:ilvl w:val="2"/>
                <w:numId w:val="11"/>
              </w:numPr>
              <w:ind w:left="0" w:firstLine="0"/>
              <w:keepLines/>
              <w:keepNext/>
              <w:pageBreakBefore w:val="0"/>
              <w:spacing w:before="0" w:after="0" w:line="360" w:lineRule="auto"/>
              <w:shd w:val="clear" w:color="auto"/>
              <w:widowControl w:val="off"/>
              <w:rPr>
                <w:rFonts w:hint="eastAsia"/>
                <w:highlight w:val="none"/>
                <w:lang w:val="en-US" w:eastAsia="zh-CN"/>
              </w:rPr>
            </w:pPr>
            <w:r>
              <w:rPr>
                <w:rFonts w:hint="eastAsia" w:ascii="宋体" w:hAnsi="宋体" w:eastAsia="宋体" w:cs="宋体"/>
                <w:b w:val="0"/>
                <w:bCs/>
                <w:sz w:val="24"/>
                <w:szCs w:val="24"/>
                <w:highlight w:val="none"/>
              </w:rPr>
              <w:t xml:space="preserve">人体工程学设计</w:t>
            </w:r>
            <w:r>
              <w:rPr>
                <w:rFonts w:hint="eastAsia" w:ascii="宋体" w:hAnsi="宋体" w:eastAsia="宋体" w:cs="宋体"/>
                <w:b w:val="0"/>
                <w:bCs/>
                <w:sz w:val="24"/>
                <w:szCs w:val="24"/>
                <w:highlight w:val="none"/>
                <w:lang w:eastAsia="zh-CN"/>
              </w:rPr>
              <w:t xml:space="preserve">；</w:t>
            </w:r>
            <w:r/>
          </w:p>
        </w:tc>
        <w:tc>
          <w:tcPr>
            <w:shd w:val="clear" w:color="auto" w:fill="auto"/>
            <w:tcW w:w="267"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台</w:t>
            </w:r>
            <w:r/>
          </w:p>
        </w:tc>
        <w:tc>
          <w:tcPr>
            <w:shd w:val="clear" w:color="auto" w:fill="auto"/>
            <w:tcW w:w="283"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6</w:t>
            </w:r>
            <w:r/>
          </w:p>
        </w:tc>
        <w:tc>
          <w:tcPr>
            <w:shd w:val="clear" w:color="auto" w:fill="auto"/>
            <w:tcW w:w="1193" w:type="pct"/>
            <w:vAlign w:val="center"/>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mc:AlternateContent>
                <mc:Choice Requires="wpg">
                  <w:drawing>
                    <wp:inline xmlns:wp="http://schemas.openxmlformats.org/drawingml/2006/wordprocessingDrawing" distT="0" distB="0" distL="0" distR="0">
                      <wp:extent cx="1439545" cy="809625"/>
                      <wp:effectExtent l="0" t="0" r="8255" b="9525"/>
                      <wp:docPr id="14" name="图片 12" descr="课桌.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课桌.137"/>
                              <pic:cNvPicPr>
                                <a:picLocks noChangeAspect="1"/>
                              </pic:cNvPicPr>
                              <pic:nvPr/>
                            </pic:nvPicPr>
                            <pic:blipFill>
                              <a:blip r:embed="rId26"/>
                              <a:stretch/>
                            </pic:blipFill>
                            <pic:spPr bwMode="auto">
                              <a:xfrm>
                                <a:off x="0" y="0"/>
                                <a:ext cx="1439545" cy="809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13.3pt;height:63.8pt;mso-wrap-distance-left:0.0pt;mso-wrap-distance-top:0.0pt;mso-wrap-distance-right:0.0pt;mso-wrap-distance-bottom:0.0pt;" stroked="false">
                      <v:path textboxrect="0,0,0,0"/>
                      <v:imagedata r:id="rId26" o:title=""/>
                    </v:shape>
                  </w:pict>
                </mc:Fallback>
              </mc:AlternateContent>
            </w:r>
            <w:r/>
          </w:p>
          <w:p>
            <w:pPr>
              <w:numPr>
                <w:ilvl w:val="0"/>
                <w:numId w:val="12"/>
              </w:numPr>
              <w:ind w:left="425" w:hanging="425"/>
              <w:jc w:val="center"/>
              <w:keepLines w:val="0"/>
              <w:keepNext w:val="0"/>
              <w:pageBreakBefore w:val="0"/>
              <w:spacing w:line="360" w:lineRule="auto"/>
              <w:shd w:val="clear" w:color="auto"/>
              <w:tabs>
                <w:tab w:val="left" w:pos="0" w:leader="none"/>
              </w:tabs>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学生操作台</w:t>
            </w:r>
            <w:r/>
          </w:p>
          <w:p>
            <w:pPr>
              <w:numPr>
                <w:ilvl w:val="0"/>
                <w:numId w:val="0"/>
              </w:numPr>
              <w:jc w:val="center"/>
              <w:keepLines w:val="0"/>
              <w:keepNext w:val="0"/>
              <w:pageBreakBefore w:val="0"/>
              <w:spacing w:line="360" w:lineRule="auto"/>
              <w:shd w:val="clear" w:color="auto"/>
              <w:tabs>
                <w:tab w:val="left" w:pos="0" w:leader="none"/>
              </w:tabs>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r>
            <w:r/>
          </w:p>
          <w:p>
            <w:pPr>
              <w:numPr>
                <w:ilvl w:val="0"/>
                <w:numId w:val="0"/>
              </w:numPr>
              <w:jc w:val="center"/>
              <w:keepLines w:val="0"/>
              <w:keepNext w:val="0"/>
              <w:pageBreakBefore w:val="0"/>
              <w:spacing w:line="360" w:lineRule="auto"/>
              <w:shd w:val="clear" w:color="auto"/>
              <w:tabs>
                <w:tab w:val="left" w:pos="0" w:leader="none"/>
              </w:tabs>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r>
            <w:r/>
          </w:p>
          <w:p>
            <w:pPr>
              <w:numPr>
                <w:ilvl w:val="0"/>
                <w:numId w:val="0"/>
              </w:numPr>
              <w:jc w:val="both"/>
              <w:keepLines w:val="0"/>
              <w:keepNext w:val="0"/>
              <w:pageBreakBefore w:val="0"/>
              <w:spacing w:line="360" w:lineRule="auto"/>
              <w:shd w:val="clear" w:color="auto"/>
              <w:tabs>
                <w:tab w:val="left" w:pos="0" w:leader="none"/>
              </w:tabs>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r>
            <w:r/>
          </w:p>
        </w:tc>
      </w:tr>
      <w:tr>
        <w:trPr>
          <w:jc w:val="center"/>
          <w:trHeight w:val="699"/>
        </w:trPr>
        <w:tc>
          <w:tcPr>
            <w:shd w:val="clear" w:color="auto" w:fill="auto"/>
            <w:tcW w:w="218"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450" w:type="pct"/>
            <w:vAlign w:val="center"/>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2586" w:type="pct"/>
            <w:vAlign w:val="center"/>
            <w:textDirection w:val="lrTb"/>
            <w:noWrap w:val="false"/>
          </w:tcPr>
          <w:p>
            <w:pPr>
              <w:pStyle w:val="888"/>
              <w:numPr>
                <w:ilvl w:val="1"/>
                <w:numId w:val="11"/>
              </w:numPr>
              <w:ind w:left="0" w:firstLine="0"/>
              <w:shd w:val="clear" w:color="auto"/>
              <w:rPr>
                <w:rFonts w:hint="eastAsia"/>
                <w:b w:val="0"/>
                <w:bCs w:val="0"/>
                <w:color w:val="auto"/>
                <w:highlight w:val="none"/>
              </w:rPr>
            </w:pPr>
            <w:r>
              <w:rPr>
                <w:rFonts w:hint="eastAsia"/>
                <w:b w:val="0"/>
                <w:bCs w:val="0"/>
                <w:color w:val="auto"/>
                <w:highlight w:val="none"/>
                <w:lang w:val="en-US" w:eastAsia="zh-CN"/>
              </w:rPr>
              <w:t xml:space="preserve">教师讲台</w:t>
            </w:r>
            <w:r/>
          </w:p>
          <w:p>
            <w:pPr>
              <w:pStyle w:val="889"/>
              <w:numPr>
                <w:ilvl w:val="2"/>
                <w:numId w:val="11"/>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讲台1台，材质：三聚氰胺板、钢木结合；</w:t>
            </w:r>
            <w:r/>
          </w:p>
          <w:p>
            <w:pPr>
              <w:pStyle w:val="889"/>
              <w:numPr>
                <w:ilvl w:val="2"/>
                <w:numId w:val="11"/>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讲台尺寸：不小于1400mm（L）*700mm（W）* 750mm（H）；</w:t>
            </w:r>
            <w:r/>
          </w:p>
          <w:p>
            <w:pPr>
              <w:pStyle w:val="889"/>
              <w:numPr>
                <w:ilvl w:val="2"/>
                <w:numId w:val="11"/>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智能升降调节：调节范围30cm</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40cm；</w:t>
            </w:r>
            <w:r/>
          </w:p>
          <w:p>
            <w:pPr>
              <w:pStyle w:val="889"/>
              <w:numPr>
                <w:ilvl w:val="2"/>
                <w:numId w:val="11"/>
              </w:numPr>
              <w:ind w:left="0" w:firstLine="0"/>
              <w:keepLines/>
              <w:keepNext/>
              <w:pageBreakBefore w:val="0"/>
              <w:spacing w:before="0" w:after="0" w:line="360" w:lineRule="auto"/>
              <w:shd w:val="clear" w:color="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带有交流电源、直流电源和强磁板；每个不少于2组；</w:t>
            </w:r>
            <w:r/>
          </w:p>
        </w:tc>
        <w:tc>
          <w:tcPr>
            <w:shd w:val="clear" w:color="auto" w:fill="auto"/>
            <w:tcW w:w="267"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台</w:t>
            </w:r>
            <w:r/>
          </w:p>
        </w:tc>
        <w:tc>
          <w:tcPr>
            <w:shd w:val="clear" w:color="auto" w:fill="auto"/>
            <w:tcW w:w="283"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193" w:type="pct"/>
            <w:vAlign w:val="center"/>
            <w:textDirection w:val="lrTb"/>
            <w:noWrap w:val="false"/>
          </w:tcPr>
          <w:p>
            <w:pPr>
              <w:numPr>
                <w:ilvl w:val="0"/>
                <w:numId w:val="0"/>
              </w:numPr>
              <w:jc w:val="center"/>
              <w:keepLines w:val="0"/>
              <w:keepNext w:val="0"/>
              <w:pageBreakBefore w:val="0"/>
              <w:spacing w:line="360" w:lineRule="auto"/>
              <w:shd w:val="clear" w:color="auto"/>
              <w:tabs>
                <w:tab w:val="left" w:pos="0" w:leader="none"/>
              </w:tabs>
              <w:rPr>
                <w:rFonts w:hint="default" w:ascii="宋体" w:hAnsi="宋体" w:eastAsia="宋体" w:cs="宋体"/>
                <w:i w:val="0"/>
                <w:iCs w:val="0"/>
                <w:color w:val="auto"/>
                <w:sz w:val="24"/>
                <w:szCs w:val="24"/>
                <w:highlight w:val="none"/>
                <w:u w:val="none"/>
                <w:lang w:val="en-US" w:eastAsia="zh-CN"/>
              </w:rPr>
            </w:pPr>
            <w:r>
              <w:rPr>
                <w:highlight w:val="none"/>
              </w:rPr>
              <mc:AlternateContent>
                <mc:Choice Requires="wpg">
                  <w:drawing>
                    <wp:inline xmlns:wp="http://schemas.openxmlformats.org/drawingml/2006/wordprocessingDrawing" distT="0" distB="0" distL="0" distR="0">
                      <wp:extent cx="1439545" cy="1637665"/>
                      <wp:effectExtent l="0" t="0" r="8255" b="635"/>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r/>
                            </pic:nvPicPr>
                            <pic:blipFill>
                              <a:blip r:embed="rId27"/>
                              <a:stretch/>
                            </pic:blipFill>
                            <pic:spPr bwMode="auto">
                              <a:xfrm>
                                <a:off x="0" y="0"/>
                                <a:ext cx="1439545" cy="1637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13.3pt;height:128.9pt;mso-wrap-distance-left:0.0pt;mso-wrap-distance-top:0.0pt;mso-wrap-distance-right:0.0pt;mso-wrap-distance-bottom:0.0pt;" stroked="f">
                      <v:path textboxrect="0,0,0,0"/>
                      <v:imagedata r:id="rId27" o:title=""/>
                    </v:shape>
                  </w:pict>
                </mc:Fallback>
              </mc:AlternateContent>
            </w:r>
            <w:r/>
          </w:p>
          <w:p>
            <w:pPr>
              <w:numPr>
                <w:ilvl w:val="0"/>
                <w:numId w:val="12"/>
              </w:numPr>
              <w:ind w:left="425" w:hanging="425"/>
              <w:jc w:val="center"/>
              <w:keepLines w:val="0"/>
              <w:keepNext w:val="0"/>
              <w:pageBreakBefore w:val="0"/>
              <w:spacing w:line="360" w:lineRule="auto"/>
              <w:shd w:val="clear" w:color="auto"/>
              <w:tabs>
                <w:tab w:val="left" w:pos="0" w:leader="none"/>
              </w:tabs>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教师讲台</w:t>
            </w:r>
            <w:r/>
          </w:p>
          <w:p>
            <w:pPr>
              <w:numPr>
                <w:ilvl w:val="0"/>
                <w:numId w:val="0"/>
              </w:numPr>
              <w:jc w:val="both"/>
              <w:keepLines w:val="0"/>
              <w:keepNext w:val="0"/>
              <w:pageBreakBefore w:val="0"/>
              <w:spacing w:line="360" w:lineRule="auto"/>
              <w:shd w:val="clear" w:color="auto"/>
              <w:tabs>
                <w:tab w:val="left" w:pos="0" w:leader="none"/>
              </w:tabs>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r>
            <w:r/>
          </w:p>
        </w:tc>
      </w:tr>
      <w:tr>
        <w:trPr>
          <w:jc w:val="center"/>
          <w:trHeight w:val="699"/>
        </w:trPr>
        <w:tc>
          <w:tcPr>
            <w:shd w:val="clear" w:color="auto" w:fill="auto"/>
            <w:tcW w:w="218"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450" w:type="pct"/>
            <w:vAlign w:val="center"/>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W w:w="2586" w:type="pct"/>
            <w:vAlign w:val="center"/>
            <w:textDirection w:val="lrTb"/>
            <w:noWrap w:val="false"/>
          </w:tcPr>
          <w:p>
            <w:pPr>
              <w:pStyle w:val="888"/>
              <w:numPr>
                <w:ilvl w:val="1"/>
                <w:numId w:val="11"/>
              </w:numPr>
              <w:ind w:left="0" w:firstLine="0"/>
              <w:shd w:val="clear" w:color="auto"/>
              <w:rPr>
                <w:rFonts w:hint="default"/>
                <w:b w:val="0"/>
                <w:bCs w:val="0"/>
                <w:color w:val="auto"/>
                <w:highlight w:val="none"/>
                <w:lang w:val="en-US"/>
              </w:rPr>
            </w:pPr>
            <w:r>
              <w:rPr>
                <w:rFonts w:hint="eastAsia"/>
                <w:b w:val="0"/>
                <w:bCs w:val="0"/>
                <w:color w:val="auto"/>
                <w:highlight w:val="none"/>
                <w:lang w:val="en-US" w:eastAsia="zh-CN"/>
              </w:rPr>
              <w:t xml:space="preserve">操作台</w:t>
            </w:r>
            <w:r/>
          </w:p>
          <w:p>
            <w:pPr>
              <w:pStyle w:val="889"/>
              <w:numPr>
                <w:ilvl w:val="2"/>
                <w:numId w:val="0"/>
              </w:numPr>
              <w:keepLines/>
              <w:keepNext/>
              <w:pageBreakBefore w:val="0"/>
              <w:spacing w:before="0" w:after="0" w:line="360" w:lineRule="auto"/>
              <w:shd w:val="clear" w:color="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控制台1台，尺寸不小于1400mm（L）* 600mm（W）*750mm（H），结构：钢木结构，通讯接口：以太网、RS485，工作电压：AC 220V，防护等级：IP20及以上，工作环境：-10℃～50℃，功能：手动/自动切换、故障报警、参数调节，配座椅；</w:t>
            </w:r>
            <w:r/>
          </w:p>
        </w:tc>
        <w:tc>
          <w:tcPr>
            <w:shd w:val="clear" w:color="auto" w:fill="auto"/>
            <w:tcW w:w="267"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台</w:t>
            </w:r>
            <w:r/>
          </w:p>
        </w:tc>
        <w:tc>
          <w:tcPr>
            <w:shd w:val="clear" w:color="auto" w:fill="auto"/>
            <w:tcW w:w="283"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193" w:type="pct"/>
            <w:vAlign w:val="center"/>
            <w:textDirection w:val="lrTb"/>
            <w:noWrap w:val="false"/>
          </w:tcPr>
          <w:p>
            <w:pPr>
              <w:numPr>
                <w:ilvl w:val="0"/>
                <w:numId w:val="0"/>
              </w:numPr>
              <w:jc w:val="both"/>
              <w:keepLines w:val="0"/>
              <w:keepNext w:val="0"/>
              <w:pageBreakBefore w:val="0"/>
              <w:spacing w:line="360" w:lineRule="auto"/>
              <w:shd w:val="clear" w:color="auto"/>
              <w:tabs>
                <w:tab w:val="left" w:pos="0" w:leader="none"/>
              </w:tabs>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r>
            <w:r/>
          </w:p>
        </w:tc>
      </w:tr>
      <w:tr>
        <w:trPr>
          <w:jc w:val="center"/>
          <w:trHeight w:val="440"/>
        </w:trPr>
        <w:tc>
          <w:tcPr>
            <w:gridSpan w:val="6"/>
            <w:shd w:val="clear" w:color="auto" w:fill="auto"/>
            <w:tcW w:w="5000" w:type="pct"/>
            <w:vAlign w:val="center"/>
            <w:textDirection w:val="lrTb"/>
            <w:noWrap w:val="false"/>
          </w:tcPr>
          <w:p>
            <w:pPr>
              <w:ind w:left="0" w:firstLine="0"/>
              <w:jc w:val="center"/>
              <w:keepLines w:val="0"/>
              <w:keepNext w:val="0"/>
              <w:pageBreakBefore w:val="0"/>
              <w:spacing w:line="360" w:lineRule="auto"/>
              <w:shd w:val="clear" w:color="auto"/>
              <w:widowControl/>
              <w:tabs>
                <w:tab w:val="left" w:pos="0" w:leader="none"/>
              </w:tabs>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五、</w:t>
            </w:r>
            <w:r>
              <w:rPr>
                <w:rFonts w:hint="eastAsia" w:ascii="宋体" w:hAnsi="宋体" w:eastAsia="宋体" w:cs="宋体"/>
                <w:b/>
                <w:bCs/>
                <w:i w:val="0"/>
                <w:iCs w:val="0"/>
                <w:color w:val="auto"/>
                <w:sz w:val="24"/>
                <w:szCs w:val="24"/>
                <w:highlight w:val="none"/>
                <w:u w:val="none"/>
                <w:lang w:val="en-US" w:eastAsia="zh-CN" w:bidi="ar"/>
              </w:rPr>
              <w:t xml:space="preserve">无人机整机</w:t>
            </w:r>
            <w:r/>
          </w:p>
        </w:tc>
      </w:tr>
      <w:tr>
        <w:trPr>
          <w:jc w:val="center"/>
          <w:trHeight w:val="2082"/>
        </w:trPr>
        <w:tc>
          <w:tcPr>
            <w:shd w:val="clear" w:color="auto" w:fill="auto"/>
            <w:tcW w:w="218" w:type="pct"/>
            <w:vAlign w:val="center"/>
            <w:vMerge w:val="restart"/>
            <w:textDirection w:val="lrTb"/>
            <w:noWrap w:val="false"/>
          </w:tcPr>
          <w:p>
            <w:pPr>
              <w:jc w:val="center"/>
              <w:keepLines w:val="0"/>
              <w:keepNext w:val="0"/>
              <w:pageBreakBefore w:val="0"/>
              <w:spacing w:line="360" w:lineRule="auto"/>
              <w:shd w:val="clear" w:color="auto"/>
              <w:widowControl/>
              <w:tabs>
                <w:tab w:val="left" w:pos="0" w:leader="none"/>
              </w:tabs>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W w:w="450" w:type="pct"/>
            <w:vAlign w:val="center"/>
            <w:vMerge w:val="restart"/>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b/>
                <w:bCs/>
                <w:i w:val="0"/>
                <w:iCs w:val="0"/>
                <w:color w:val="auto"/>
                <w:sz w:val="24"/>
                <w:szCs w:val="24"/>
                <w:highlight w:val="none"/>
                <w:u w:val="none"/>
                <w:shd w:val="clear" w:color="auto"/>
                <w:lang w:val="en-US" w:eastAsia="zh-CN" w:bidi="ar"/>
              </w:rPr>
            </w:pPr>
            <w:r>
              <w:rPr>
                <w:rFonts w:hint="eastAsia" w:ascii="宋体" w:hAnsi="宋体" w:eastAsia="宋体" w:cs="宋体"/>
                <w:b/>
                <w:bCs/>
                <w:i w:val="0"/>
                <w:iCs w:val="0"/>
                <w:color w:val="auto"/>
                <w:sz w:val="24"/>
                <w:szCs w:val="24"/>
                <w:highlight w:val="none"/>
                <w:u w:val="none"/>
                <w:shd w:val="clear" w:color="auto"/>
                <w:lang w:val="en-US" w:eastAsia="zh-CN" w:bidi="ar"/>
              </w:rPr>
              <w:t xml:space="preserve">无人机整机</w:t>
            </w:r>
            <w:r/>
          </w:p>
        </w:tc>
        <w:tc>
          <w:tcPr>
            <w:shd w:val="clear" w:color="auto" w:fill="auto"/>
            <w:tcW w:w="2586" w:type="pct"/>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val="0"/>
                <w:bCs/>
                <w:color w:val="auto"/>
                <w:sz w:val="24"/>
                <w:szCs w:val="24"/>
                <w:highlight w:val="none"/>
                <w:lang w:val="en-US" w:eastAsia="zh-CN" w:bidi="ar-SA"/>
              </w:rPr>
              <w:t xml:space="preserve">1.四旋翼类型无人机整机</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1.1.整机基础规格</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1.1.1.产品名称：碳纤维F450装箱快拆版；</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1.1.2.轴距：≤450mm；</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1.1.3.外形尺寸：≥370*370*250mm；</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1.1.4.整机重量：≤约850g；</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1.1.5.主体材质：碳纤维；</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1.1.6.桨叶尺寸：9450；</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1.2.载重与飞行性能</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1.2.1.最大载重：≥400G；</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1.2.2.最大飞行速度：≥60km/h（无风环境、自稳模式下）；</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1.2.3.遥控距离：≥1km（平原空旷无干扰场地）；</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1.2.4.飞行模式：自稳、定点、定高、返航；</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1.3.动力与供电配置</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1.3.1.电池型号：3S 5200MAH；</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1.3.2.飞控型号：PIX2.4.8开源飞控；</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1.3.3.GPS模块：进口M8N高精度GPS；</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1.3.4.中心板设计：PCB预埋电路式，免焊接，预焊XT30、XT60电源插头，内置5V供电模块，预留扩展供电位；</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1.3.5.动力配置：4组电机+4组内置机臂管电调；</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1.4.收纳包装规格</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1.4.1.航空箱尺寸：620*470*180mm；</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1.4.2.箱体特点：加厚航空铝箱，防水防尘、便携收纳，配套全套拆装工具；</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1.5.配套配件清单</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1.5.1.工具类：5.5套筒、多规格螺丝刀（1.5/2.0/2.5/3.0）、直/弯头镊子、电机钳子、扳手；</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1.5.2.电子配件：测电器、R12F接收机、A400数显设备；</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1.5.3.结构零件：机臂管4根、脚架竖杆2根、脚架横杆2根、三通2个、海绵脚垫4个、堵头4个、顶板1块、电池板1块、铝柱8个、全套固定螺丝、固定座2个、GPS支架1个；</w:t>
            </w:r>
            <w:r>
              <w:rPr>
                <w:rFonts w:hint="eastAsia" w:ascii="宋体" w:hAnsi="宋体" w:eastAsia="宋体" w:cs="宋体"/>
                <w:b w:val="0"/>
                <w:bCs/>
                <w:color w:val="auto"/>
                <w:sz w:val="24"/>
                <w:szCs w:val="24"/>
                <w:highlight w:val="none"/>
                <w:lang w:val="en-US" w:eastAsia="zh-CN" w:bidi="ar-SA"/>
              </w:rPr>
              <w:br/>
            </w:r>
            <w:r>
              <w:rPr>
                <w:rFonts w:hint="eastAsia" w:ascii="宋体" w:hAnsi="宋体" w:eastAsia="宋体" w:cs="宋体"/>
                <w:b w:val="0"/>
                <w:bCs/>
                <w:color w:val="auto"/>
                <w:sz w:val="24"/>
                <w:szCs w:val="24"/>
                <w:highlight w:val="none"/>
                <w:lang w:val="en-US" w:eastAsia="zh-CN" w:bidi="ar-SA"/>
              </w:rPr>
              <w:t xml:space="preserve">1.5.4.其他：全套备用桨叶、完整装机五金套件、定制防护配件；</w:t>
            </w:r>
            <w:r/>
          </w:p>
        </w:tc>
        <w:tc>
          <w:tcPr>
            <w:shd w:val="clear" w:color="auto" w:fill="auto"/>
            <w:tcW w:w="267"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283"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193" w:type="pct"/>
            <w:vAlign w:val="center"/>
            <w:textDirection w:val="lrTb"/>
            <w:noWrap w:val="false"/>
          </w:tcPr>
          <w:p>
            <w:pPr>
              <w:jc w:val="center"/>
              <w:keepLines w:val="0"/>
              <w:keepNext w:val="0"/>
              <w:pageBreakBefore w:val="0"/>
              <w:spacing w:line="360" w:lineRule="auto"/>
              <w:shd w:val="clear" w:color="auto"/>
              <w:tabs>
                <w:tab w:val="left" w:pos="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mc:AlternateContent>
                <mc:Choice Requires="wpg">
                  <w:drawing>
                    <wp:inline xmlns:wp="http://schemas.openxmlformats.org/drawingml/2006/wordprocessingDrawing" distT="0" distB="0" distL="0" distR="0">
                      <wp:extent cx="1219200" cy="1646555"/>
                      <wp:effectExtent l="0" t="0" r="0" b="10795"/>
                      <wp:docPr id="16" name="图片 17" descr="120dadacfa0002f20ba583b0b1ab74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120dadacfa0002f20ba583b0b1ab74de"/>
                              <pic:cNvPicPr>
                                <a:picLocks noChangeAspect="1"/>
                              </pic:cNvPicPr>
                              <pic:nvPr/>
                            </pic:nvPicPr>
                            <pic:blipFill>
                              <a:blip r:embed="rId28"/>
                              <a:srcRect l="0" t="0" r="13200" b="12072"/>
                              <a:stretch/>
                            </pic:blipFill>
                            <pic:spPr bwMode="auto">
                              <a:xfrm>
                                <a:off x="0" y="0"/>
                                <a:ext cx="1219200" cy="16465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6.0pt;height:129.7pt;mso-wrap-distance-left:0.0pt;mso-wrap-distance-top:0.0pt;mso-wrap-distance-right:0.0pt;mso-wrap-distance-bottom:0.0pt;" stroked="false">
                      <v:path textboxrect="0,0,0,0"/>
                      <v:imagedata r:id="rId28" o:title=""/>
                    </v:shape>
                  </w:pict>
                </mc:Fallback>
              </mc:AlternateContent>
            </w:r>
            <w:r/>
          </w:p>
        </w:tc>
      </w:tr>
      <w:tr>
        <w:trPr>
          <w:jc w:val="center"/>
          <w:trHeight w:val="4731"/>
        </w:trPr>
        <w:tc>
          <w:tcPr>
            <w:shd w:val="clear" w:color="auto" w:fill="auto"/>
            <w:tcW w:w="218" w:type="pct"/>
            <w:vAlign w:val="center"/>
            <w:vMerge w:val="continue"/>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450" w:type="pct"/>
            <w:vAlign w:val="center"/>
            <w:vMerge w:val="continue"/>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b/>
                <w:bCs/>
                <w:i w:val="0"/>
                <w:iCs w:val="0"/>
                <w:color w:val="auto"/>
                <w:sz w:val="24"/>
                <w:szCs w:val="24"/>
                <w:highlight w:val="none"/>
                <w:u w:val="none"/>
                <w:shd w:val="clear" w:color="auto"/>
                <w:lang w:val="en-US" w:eastAsia="zh-CN" w:bidi="ar"/>
              </w:rPr>
            </w:pPr>
            <w:r>
              <w:rPr>
                <w:rFonts w:hint="eastAsia" w:ascii="宋体" w:hAnsi="宋体" w:eastAsia="宋体" w:cs="宋体"/>
                <w:b/>
                <w:bCs/>
                <w:i w:val="0"/>
                <w:iCs w:val="0"/>
                <w:color w:val="auto"/>
                <w:sz w:val="24"/>
                <w:szCs w:val="24"/>
                <w:highlight w:val="none"/>
                <w:u w:val="none"/>
                <w:shd w:val="clear" w:color="auto"/>
                <w:lang w:val="en-US" w:eastAsia="zh-CN" w:bidi="ar"/>
              </w:rPr>
            </w:r>
            <w:r/>
          </w:p>
        </w:tc>
        <w:tc>
          <w:tcPr>
            <w:shd w:val="clear" w:color="auto" w:fill="auto"/>
            <w:tcW w:w="2586" w:type="pct"/>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2.无人机整机</w:t>
            </w:r>
            <w:r>
              <w:rPr>
                <w:rStyle w:val="917"/>
                <w:highlight w:val="none"/>
                <w:lang w:val="en-US" w:eastAsia="zh-CN" w:bidi="ar"/>
              </w:rPr>
              <w:br/>
            </w:r>
            <w:r>
              <w:rPr>
                <w:rStyle w:val="917"/>
                <w:highlight w:val="none"/>
                <w:lang w:val="en-US" w:eastAsia="zh-CN" w:bidi="ar"/>
              </w:rPr>
              <w:t xml:space="preserve">2.1.整机重量 &lt; 249g（≤250g），轻量化免备案设计，支持掌上起降与便携携带，机身结构紧凑；</w:t>
            </w:r>
            <w:r>
              <w:rPr>
                <w:rStyle w:val="917"/>
                <w:highlight w:val="none"/>
                <w:lang w:val="en-US" w:eastAsia="zh-CN" w:bidi="ar"/>
              </w:rPr>
              <w:br/>
            </w:r>
            <w:r>
              <w:rPr>
                <w:rStyle w:val="917"/>
                <w:highlight w:val="none"/>
                <w:lang w:val="en-US" w:eastAsia="zh-CN" w:bidi="ar"/>
              </w:rPr>
              <w:t xml:space="preserve">2.2.具备稳定悬停、自动返航功能，适配室内外基础场景安全飞行；</w:t>
            </w:r>
            <w:r>
              <w:rPr>
                <w:rStyle w:val="917"/>
                <w:highlight w:val="none"/>
                <w:lang w:val="en-US" w:eastAsia="zh-CN" w:bidi="ar"/>
              </w:rPr>
              <w:br/>
            </w:r>
            <w:r>
              <w:rPr>
                <w:rStyle w:val="917"/>
                <w:highlight w:val="none"/>
                <w:lang w:val="en-US" w:eastAsia="zh-CN" w:bidi="ar"/>
              </w:rPr>
              <w:t xml:space="preserve">2.3.最长飞行时间≥31分钟，最大抗风等级 5 级，悬停精度垂直≤±0.1m、水平≤±0.1m；</w:t>
            </w:r>
            <w:r>
              <w:rPr>
                <w:rStyle w:val="917"/>
                <w:highlight w:val="none"/>
                <w:lang w:val="en-US" w:eastAsia="zh-CN" w:bidi="ar"/>
              </w:rPr>
              <w:br/>
            </w:r>
            <w:r>
              <w:rPr>
                <w:rStyle w:val="917"/>
                <w:highlight w:val="none"/>
                <w:lang w:val="en-US" w:eastAsia="zh-CN" w:bidi="ar"/>
              </w:rPr>
              <w:t xml:space="preserve">2.4.搭载 1/2.3 英寸 CMOS 影像传感器，支持 4K/30fps 高清视频拍摄，配备4倍数字变焦；</w:t>
            </w:r>
            <w:r>
              <w:rPr>
                <w:rStyle w:val="917"/>
                <w:highlight w:val="none"/>
                <w:lang w:val="en-US" w:eastAsia="zh-CN" w:bidi="ar"/>
              </w:rPr>
              <w:br/>
            </w:r>
            <w:r>
              <w:rPr>
                <w:rStyle w:val="917"/>
                <w:highlight w:val="none"/>
                <w:lang w:val="en-US" w:eastAsia="zh-CN" w:bidi="ar"/>
              </w:rPr>
              <w:t xml:space="preserve">2.5.搭载DJI O2高清数字图传，最远图传距离10公里（720p/30fps），支持存储卡扩展，可快速导出高清影像素材；</w:t>
            </w:r>
            <w:r>
              <w:rPr>
                <w:rStyle w:val="917"/>
                <w:highlight w:val="none"/>
                <w:lang w:val="en-US" w:eastAsia="zh-CN" w:bidi="ar"/>
              </w:rPr>
              <w:br/>
            </w:r>
            <w:r>
              <w:rPr>
                <w:rStyle w:val="917"/>
                <w:highlight w:val="none"/>
                <w:lang w:val="en-US" w:eastAsia="zh-CN" w:bidi="ar"/>
              </w:rPr>
              <w:t xml:space="preserve">2.6.支持一键短片、全景拍照、新手教学等智能拍摄与辅助飞行功能，操作简单易上手；</w:t>
            </w:r>
            <w:r>
              <w:rPr>
                <w:rStyle w:val="917"/>
                <w:highlight w:val="none"/>
                <w:lang w:val="en-US" w:eastAsia="zh-CN" w:bidi="ar"/>
              </w:rPr>
              <w:br/>
            </w:r>
            <w:r>
              <w:rPr>
                <w:rStyle w:val="917"/>
                <w:highlight w:val="none"/>
                <w:lang w:val="en-US" w:eastAsia="zh-CN" w:bidi="ar"/>
              </w:rPr>
              <w:t xml:space="preserve">2.7.最大起飞海拔≥4000m，标配智能电池，支持多电循环使用；产品为成熟量产机型，提供完整售后与本地化技术支持，配件供应稳定；</w:t>
            </w:r>
            <w:r/>
          </w:p>
        </w:tc>
        <w:tc>
          <w:tcPr>
            <w:shd w:val="clear" w:color="auto" w:fill="auto"/>
            <w:tcW w:w="267"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283"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193" w:type="pct"/>
            <w:vAlign w:val="center"/>
            <w:textDirection w:val="lrTb"/>
            <w:noWrap w:val="false"/>
          </w:tcPr>
          <w:p>
            <w:pPr>
              <w:jc w:val="center"/>
              <w:keepLines w:val="0"/>
              <w:keepNext w:val="0"/>
              <w:pageBreakBefore w:val="0"/>
              <w:spacing w:line="360" w:lineRule="auto"/>
              <w:shd w:val="clear" w:color="auto"/>
              <w:tabs>
                <w:tab w:val="left" w:pos="0" w:leader="none"/>
              </w:tabs>
              <w:rPr>
                <w:rFonts w:hint="default" w:ascii="宋体" w:hAnsi="宋体" w:eastAsia="宋体" w:cs="宋体"/>
                <w:color w:val="auto"/>
                <w:sz w:val="24"/>
                <w:szCs w:val="24"/>
                <w:highlight w:val="none"/>
                <w:lang w:val="en-US" w:eastAsia="zh-CN"/>
              </w:rPr>
            </w:pPr>
            <w:r>
              <w:rPr>
                <w:highlight w:val="none"/>
              </w:rPr>
              <mc:AlternateContent>
                <mc:Choice Requires="wpg">
                  <w:drawing>
                    <wp:inline xmlns:wp="http://schemas.openxmlformats.org/drawingml/2006/wordprocessingDrawing" distT="0" distB="0" distL="0" distR="0">
                      <wp:extent cx="1439545" cy="756920"/>
                      <wp:effectExtent l="0" t="0" r="8255" b="5080"/>
                      <wp:docPr id="1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
                              <pic:cNvPicPr>
                                <a:picLocks noChangeAspect="1"/>
                              </pic:cNvPicPr>
                              <pic:nvPr/>
                            </pic:nvPicPr>
                            <pic:blipFill>
                              <a:blip r:embed="rId29"/>
                              <a:stretch/>
                            </pic:blipFill>
                            <pic:spPr bwMode="auto">
                              <a:xfrm>
                                <a:off x="0" y="0"/>
                                <a:ext cx="1439545" cy="756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13.3pt;height:59.6pt;mso-wrap-distance-left:0.0pt;mso-wrap-distance-top:0.0pt;mso-wrap-distance-right:0.0pt;mso-wrap-distance-bottom:0.0pt;" stroked="f">
                      <v:path textboxrect="0,0,0,0"/>
                      <v:imagedata r:id="rId29" o:title=""/>
                    </v:shape>
                  </w:pict>
                </mc:Fallback>
              </mc:AlternateContent>
            </w:r>
            <w:r/>
          </w:p>
        </w:tc>
      </w:tr>
      <w:tr>
        <w:trPr>
          <w:jc w:val="center"/>
          <w:trHeight w:val="1652"/>
        </w:trPr>
        <w:tc>
          <w:tcPr>
            <w:shd w:val="clear" w:color="auto" w:fill="auto"/>
            <w:tcW w:w="218" w:type="pct"/>
            <w:vAlign w:val="center"/>
            <w:vMerge w:val="continue"/>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W w:w="450" w:type="pct"/>
            <w:vAlign w:val="center"/>
            <w:vMerge w:val="continue"/>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b/>
                <w:bCs/>
                <w:i w:val="0"/>
                <w:iCs w:val="0"/>
                <w:color w:val="auto"/>
                <w:sz w:val="24"/>
                <w:szCs w:val="24"/>
                <w:highlight w:val="none"/>
                <w:u w:val="none"/>
                <w:shd w:val="clear" w:color="auto"/>
                <w:lang w:val="en-US" w:eastAsia="zh-CN" w:bidi="ar"/>
              </w:rPr>
            </w:pPr>
            <w:r>
              <w:rPr>
                <w:rFonts w:hint="eastAsia" w:ascii="宋体" w:hAnsi="宋体" w:eastAsia="宋体" w:cs="宋体"/>
                <w:b/>
                <w:bCs/>
                <w:i w:val="0"/>
                <w:iCs w:val="0"/>
                <w:color w:val="auto"/>
                <w:sz w:val="24"/>
                <w:szCs w:val="24"/>
                <w:highlight w:val="none"/>
                <w:u w:val="none"/>
                <w:shd w:val="clear" w:color="auto"/>
                <w:lang w:val="en-US" w:eastAsia="zh-CN" w:bidi="ar"/>
              </w:rPr>
            </w:r>
            <w:r/>
          </w:p>
        </w:tc>
        <w:tc>
          <w:tcPr>
            <w:shd w:val="clear" w:color="auto" w:fill="auto"/>
            <w:tcW w:w="2586" w:type="pct"/>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3.无人机穿越机  </w:t>
            </w:r>
            <w:r>
              <w:rPr>
                <w:rStyle w:val="917"/>
                <w:color w:val="auto"/>
                <w:highlight w:val="none"/>
                <w:lang w:val="en-US" w:eastAsia="zh-CN" w:bidi="ar"/>
              </w:rPr>
              <w:br/>
            </w:r>
            <w:r>
              <w:rPr>
                <w:rStyle w:val="917"/>
                <w:color w:val="auto"/>
                <w:highlight w:val="none"/>
                <w:lang w:val="en-US" w:eastAsia="zh-CN" w:bidi="ar"/>
              </w:rPr>
              <w:t xml:space="preserve">3.1.机身采用高韧材质打造，搭配全防护机身与一体化桨保设计，抗冲击抗摔性能优异，可有效降低碰撞带来的损坏风险，保障飞行安全；机身结构紧凑，便携易收纳，支持掌上起降；</w:t>
            </w:r>
            <w:r>
              <w:rPr>
                <w:rStyle w:val="917"/>
                <w:color w:val="auto"/>
                <w:highlight w:val="none"/>
                <w:lang w:val="en-US" w:eastAsia="zh-CN" w:bidi="ar"/>
              </w:rPr>
              <w:br/>
            </w:r>
            <w:r>
              <w:rPr>
                <w:rStyle w:val="917"/>
                <w:color w:val="auto"/>
                <w:highlight w:val="none"/>
                <w:lang w:val="en-US" w:eastAsia="zh-CN" w:bidi="ar"/>
              </w:rPr>
              <w:t xml:space="preserve">3.2.搭载高性能无刷电机，动力输出强劲稳定，支持 360° 翻滚特技飞行动作，可玩性强；配备多档位速度切换功能，可适配新手练习、进阶飞行等不同使用场景；</w:t>
            </w:r>
            <w:r>
              <w:rPr>
                <w:rStyle w:val="917"/>
                <w:color w:val="auto"/>
                <w:highlight w:val="none"/>
                <w:lang w:val="en-US" w:eastAsia="zh-CN" w:bidi="ar"/>
              </w:rPr>
              <w:br/>
            </w:r>
            <w:r>
              <w:rPr>
                <w:rStyle w:val="917"/>
                <w:color w:val="auto"/>
                <w:highlight w:val="none"/>
                <w:lang w:val="en-US" w:eastAsia="zh-CN" w:bidi="ar"/>
              </w:rPr>
              <w:t xml:space="preserve">3.3.采用光流定位增稳悬停技术，飞行过程中可自动保持稳定高度与精准位置，悬停精度优异，支持一键起降功能，操作简单易上手，新手也能轻松操控；</w:t>
            </w:r>
            <w:r>
              <w:rPr>
                <w:rStyle w:val="917"/>
                <w:color w:val="auto"/>
                <w:highlight w:val="none"/>
                <w:lang w:val="en-US" w:eastAsia="zh-CN" w:bidi="ar"/>
              </w:rPr>
              <w:br/>
            </w:r>
            <w:r>
              <w:rPr>
                <w:rStyle w:val="917"/>
                <w:color w:val="auto"/>
                <w:highlight w:val="none"/>
                <w:lang w:val="en-US" w:eastAsia="zh-CN" w:bidi="ar"/>
              </w:rPr>
              <w:t xml:space="preserve">3.4.搭载 1800mAh 大容量智能锂电池，持久续航，单电最长飞行时间可达12—15分钟，支持多电循环更换使用，满足长时间飞行拍摄需求；</w:t>
            </w:r>
            <w:r>
              <w:rPr>
                <w:rStyle w:val="917"/>
                <w:color w:val="auto"/>
                <w:highlight w:val="none"/>
                <w:lang w:val="en-US" w:eastAsia="zh-CN" w:bidi="ar"/>
              </w:rPr>
              <w:br/>
            </w:r>
            <w:r>
              <w:rPr>
                <w:rStyle w:val="917"/>
                <w:color w:val="auto"/>
                <w:highlight w:val="none"/>
                <w:lang w:val="en-US" w:eastAsia="zh-CN" w:bidi="ar"/>
              </w:rPr>
              <w:t xml:space="preserve">3.5.配备航拍级高清遥控摄像头，支持双摄像头自由切换，可实现白天黑夜全场景高清画面拍摄，轻松记录飞行美景；机身配备 LED 高亮夜航灯，昼夜飞行均可清晰识别机身位置，提升夜间飞行安全性；</w:t>
            </w:r>
            <w:r>
              <w:rPr>
                <w:rStyle w:val="917"/>
                <w:color w:val="auto"/>
                <w:highlight w:val="none"/>
                <w:lang w:val="en-US" w:eastAsia="zh-CN" w:bidi="ar"/>
              </w:rPr>
              <w:br/>
            </w:r>
            <w:r>
              <w:rPr>
                <w:rStyle w:val="917"/>
                <w:color w:val="auto"/>
                <w:highlight w:val="none"/>
                <w:lang w:val="en-US" w:eastAsia="zh-CN" w:bidi="ar"/>
              </w:rPr>
              <w:t xml:space="preserve">3.6.搭载低延迟实时图像传输系统，可实时接收镜头拍摄画面，真实还原现场场景；支持VR图传与 VR 实时画面观看，可带来沉浸式的飞行拍摄体验；</w:t>
            </w:r>
            <w:r>
              <w:rPr>
                <w:rStyle w:val="917"/>
                <w:color w:val="auto"/>
                <w:highlight w:val="none"/>
                <w:lang w:val="en-US" w:eastAsia="zh-CN" w:bidi="ar"/>
              </w:rPr>
              <w:br/>
            </w:r>
            <w:r>
              <w:rPr>
                <w:rStyle w:val="917"/>
                <w:color w:val="auto"/>
                <w:highlight w:val="none"/>
                <w:lang w:val="en-US" w:eastAsia="zh-CN" w:bidi="ar"/>
              </w:rPr>
              <w:t xml:space="preserve">3.7.配备专用双摇杆遥控器，可实现更稳定、更远距离的信号连接，大幅提升飞行的可靠性与操控精确性；产品为成熟量产机型，配件供应稳定，提供完善的售后保障与技术支持；</w:t>
            </w:r>
            <w:r/>
          </w:p>
        </w:tc>
        <w:tc>
          <w:tcPr>
            <w:shd w:val="clear" w:color="auto" w:fill="auto"/>
            <w:tcW w:w="267"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283"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193" w:type="pct"/>
            <w:vAlign w:val="center"/>
            <w:textDirection w:val="lrTb"/>
            <w:noWrap w:val="false"/>
          </w:tcPr>
          <w:p>
            <w:pPr>
              <w:jc w:val="center"/>
              <w:keepLines w:val="0"/>
              <w:keepNext w:val="0"/>
              <w:pageBreakBefore w:val="0"/>
              <w:spacing w:line="360" w:lineRule="auto"/>
              <w:shd w:val="clear" w:color="auto"/>
              <w:tabs>
                <w:tab w:val="left" w:pos="0" w:leader="none"/>
              </w:tabs>
              <w:rPr>
                <w:rFonts w:hint="default" w:ascii="宋体" w:hAnsi="宋体" w:eastAsia="宋体" w:cs="宋体"/>
                <w:color w:val="auto"/>
                <w:sz w:val="24"/>
                <w:szCs w:val="24"/>
                <w:highlight w:val="none"/>
                <w:lang w:val="en-US" w:eastAsia="zh-CN"/>
              </w:rPr>
            </w:pPr>
            <w:r>
              <w:rPr>
                <w:highlight w:val="none"/>
              </w:rPr>
              <mc:AlternateContent>
                <mc:Choice Requires="wpg">
                  <w:drawing>
                    <wp:inline xmlns:wp="http://schemas.openxmlformats.org/drawingml/2006/wordprocessingDrawing" distT="0" distB="0" distL="0" distR="0">
                      <wp:extent cx="1440815" cy="1047750"/>
                      <wp:effectExtent l="0" t="0" r="6985" b="0"/>
                      <wp:docPr id="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pic:cNvPicPr>
                                <a:picLocks noChangeAspect="1"/>
                              </pic:cNvPicPr>
                              <pic:nvPr/>
                            </pic:nvPicPr>
                            <pic:blipFill>
                              <a:blip r:embed="rId30"/>
                              <a:stretch/>
                            </pic:blipFill>
                            <pic:spPr bwMode="auto">
                              <a:xfrm>
                                <a:off x="0" y="0"/>
                                <a:ext cx="1440815" cy="1047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13.4pt;height:82.5pt;mso-wrap-distance-left:0.0pt;mso-wrap-distance-top:0.0pt;mso-wrap-distance-right:0.0pt;mso-wrap-distance-bottom:0.0pt;" stroked="f">
                      <v:path textboxrect="0,0,0,0"/>
                      <v:imagedata r:id="rId30" o:title=""/>
                    </v:shape>
                  </w:pict>
                </mc:Fallback>
              </mc:AlternateContent>
            </w:r>
            <w:r/>
          </w:p>
        </w:tc>
      </w:tr>
      <w:tr>
        <w:trPr>
          <w:jc w:val="center"/>
          <w:trHeight w:val="400"/>
        </w:trPr>
        <w:tc>
          <w:tcPr>
            <w:gridSpan w:val="6"/>
            <w:shd w:val="clear" w:color="auto" w:fill="auto"/>
            <w:tcW w:w="5000" w:type="pct"/>
            <w:vAlign w:val="center"/>
            <w:textDirection w:val="lrTb"/>
            <w:noWrap w:val="false"/>
          </w:tcPr>
          <w:p>
            <w:pPr>
              <w:ind w:left="0" w:firstLine="0"/>
              <w:jc w:val="center"/>
              <w:keepLines w:val="0"/>
              <w:keepNext w:val="0"/>
              <w:pageBreakBefore w:val="0"/>
              <w:spacing w:line="360" w:lineRule="auto"/>
              <w:shd w:val="clear" w:color="auto"/>
              <w:widowControl/>
              <w:tabs>
                <w:tab w:val="left" w:pos="0" w:leader="none"/>
              </w:tabs>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六、</w:t>
            </w:r>
            <w:r>
              <w:rPr>
                <w:rFonts w:hint="eastAsia" w:ascii="宋体" w:hAnsi="宋体" w:eastAsia="宋体" w:cs="宋体"/>
                <w:b/>
                <w:bCs/>
                <w:i w:val="0"/>
                <w:iCs w:val="0"/>
                <w:color w:val="auto"/>
                <w:sz w:val="24"/>
                <w:szCs w:val="24"/>
                <w:highlight w:val="none"/>
                <w:u w:val="none"/>
                <w:lang w:val="en-US" w:eastAsia="zh-CN" w:bidi="ar"/>
              </w:rPr>
              <w:t xml:space="preserve">四足机器人</w:t>
            </w:r>
            <w:r/>
          </w:p>
        </w:tc>
      </w:tr>
      <w:tr>
        <w:trPr>
          <w:jc w:val="center"/>
          <w:trHeight w:val="1379"/>
        </w:trPr>
        <w:tc>
          <w:tcPr>
            <w:shd w:val="clear" w:color="auto" w:fill="auto"/>
            <w:tcW w:w="218"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w:t>
            </w:r>
            <w:r/>
          </w:p>
        </w:tc>
        <w:tc>
          <w:tcPr>
            <w:shd w:val="clear" w:color="auto" w:fill="auto"/>
            <w:tcW w:w="450" w:type="pct"/>
            <w:vAlign w:val="center"/>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shd w:val="clear" w:color="auto"/>
                <w:lang w:val="en-US" w:eastAsia="zh-CN" w:bidi="ar"/>
              </w:rPr>
              <w:t xml:space="preserve">四足机器人</w:t>
            </w:r>
            <w:r/>
          </w:p>
        </w:tc>
        <w:tc>
          <w:tcPr>
            <w:shd w:val="clear" w:color="auto" w:fill="auto"/>
            <w:tcW w:w="2586" w:type="pct"/>
            <w:vAlign w:val="center"/>
            <w:textDirection w:val="lrTb"/>
            <w:noWrap w:val="false"/>
          </w:tcPr>
          <w:p>
            <w:pPr>
              <w:numPr>
                <w:ilvl w:val="0"/>
                <w:numId w:val="0"/>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rPr>
              <w:suppressLineNumbers w:val="0"/>
            </w:pPr>
            <w:r>
              <w:rPr>
                <w:rFonts w:hint="default" w:ascii="宋体" w:hAnsi="宋体" w:eastAsia="宋体" w:cs="宋体"/>
                <w:i w:val="0"/>
                <w:iCs w:val="0"/>
                <w:color w:val="auto"/>
                <w:sz w:val="24"/>
                <w:szCs w:val="24"/>
                <w:highlight w:val="none"/>
                <w:lang w:val="en-US" w:eastAsia="zh-CN" w:bidi="ar-SA"/>
              </w:rPr>
              <w:t xml:space="preserve">1.</w:t>
            </w:r>
            <w:r>
              <w:rPr>
                <w:rFonts w:hint="eastAsia" w:ascii="宋体" w:hAnsi="宋体" w:eastAsia="宋体" w:cs="宋体"/>
                <w:i w:val="0"/>
                <w:iCs w:val="0"/>
                <w:color w:val="auto"/>
                <w:sz w:val="24"/>
                <w:szCs w:val="24"/>
                <w:highlight w:val="none"/>
                <w:lang w:val="en-US" w:eastAsia="zh-CN" w:bidi="ar-SA"/>
              </w:rPr>
              <w:t xml:space="preserve">▲</w:t>
            </w:r>
            <w:r>
              <w:rPr>
                <w:rFonts w:hint="eastAsia" w:ascii="宋体" w:hAnsi="宋体" w:eastAsia="宋体" w:cs="宋体"/>
                <w:i w:val="0"/>
                <w:iCs w:val="0"/>
                <w:color w:val="auto"/>
                <w:sz w:val="24"/>
                <w:szCs w:val="24"/>
                <w:highlight w:val="none"/>
                <w:u w:val="none"/>
                <w:lang w:val="en-US" w:eastAsia="zh-CN" w:bidi="ar"/>
              </w:rPr>
              <w:t xml:space="preserve">四足机器人</w:t>
            </w:r>
            <w:r/>
          </w:p>
          <w:p>
            <w:pPr>
              <w:numPr>
                <w:ilvl w:val="1"/>
                <w:numId w:val="0"/>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lang w:val="en-US" w:eastAsia="zh-CN" w:bidi="ar"/>
              </w:rPr>
              <w:t xml:space="preserve">1.1.</w:t>
            </w:r>
            <w:r>
              <w:rPr>
                <w:rFonts w:hint="eastAsia" w:ascii="宋体" w:hAnsi="宋体" w:eastAsia="宋体" w:cs="宋体"/>
                <w:i w:val="0"/>
                <w:iCs w:val="0"/>
                <w:color w:val="auto"/>
                <w:sz w:val="24"/>
                <w:szCs w:val="24"/>
                <w:highlight w:val="none"/>
                <w:u w:val="none"/>
                <w:lang w:val="en-US" w:eastAsia="zh-CN" w:bidi="ar"/>
              </w:rPr>
              <w:t xml:space="preserve">产品尺寸：≤80cm×40cm×50cm ；</w:t>
            </w:r>
            <w:r/>
          </w:p>
          <w:p>
            <w:pPr>
              <w:numPr>
                <w:ilvl w:val="1"/>
                <w:numId w:val="0"/>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lang w:val="en-US" w:eastAsia="zh-CN" w:bidi="ar"/>
              </w:rPr>
              <w:t xml:space="preserve">1.2.</w:t>
            </w:r>
            <w:r>
              <w:rPr>
                <w:rFonts w:hint="eastAsia" w:ascii="宋体" w:hAnsi="宋体" w:eastAsia="宋体" w:cs="宋体"/>
                <w:i w:val="0"/>
                <w:iCs w:val="0"/>
                <w:color w:val="auto"/>
                <w:sz w:val="24"/>
                <w:szCs w:val="24"/>
                <w:highlight w:val="none"/>
                <w:u w:val="none"/>
                <w:lang w:val="en-US" w:eastAsia="zh-CN" w:bidi="ar"/>
              </w:rPr>
              <w:t xml:space="preserve">整机重量：≤30kg（含电池）；</w:t>
            </w:r>
            <w:r/>
          </w:p>
          <w:p>
            <w:pPr>
              <w:numPr>
                <w:ilvl w:val="1"/>
                <w:numId w:val="0"/>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lang w:val="en-US" w:eastAsia="zh-CN" w:bidi="ar"/>
              </w:rPr>
              <w:t xml:space="preserve">1.3.</w:t>
            </w:r>
            <w:r>
              <w:rPr>
                <w:rFonts w:hint="eastAsia" w:ascii="宋体" w:hAnsi="宋体" w:eastAsia="宋体" w:cs="宋体"/>
                <w:i w:val="0"/>
                <w:iCs w:val="0"/>
                <w:color w:val="auto"/>
                <w:sz w:val="24"/>
                <w:szCs w:val="24"/>
                <w:highlight w:val="none"/>
                <w:u w:val="none"/>
                <w:lang w:val="en-US" w:eastAsia="zh-CN" w:bidi="ar"/>
              </w:rPr>
              <w:t xml:space="preserve">负载能力：≥7kg；</w:t>
            </w:r>
            <w:r/>
          </w:p>
          <w:p>
            <w:pPr>
              <w:numPr>
                <w:ilvl w:val="1"/>
                <w:numId w:val="0"/>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lang w:val="en-US" w:eastAsia="zh-CN" w:bidi="ar"/>
              </w:rPr>
              <w:t xml:space="preserve">1.4.</w:t>
            </w:r>
            <w:r>
              <w:rPr>
                <w:rFonts w:hint="eastAsia" w:ascii="宋体" w:hAnsi="宋体" w:eastAsia="宋体" w:cs="宋体"/>
                <w:i w:val="0"/>
                <w:iCs w:val="0"/>
                <w:color w:val="auto"/>
                <w:sz w:val="24"/>
                <w:szCs w:val="24"/>
                <w:highlight w:val="none"/>
                <w:u w:val="none"/>
                <w:lang w:val="en-US" w:eastAsia="zh-CN" w:bidi="ar"/>
              </w:rPr>
              <w:t xml:space="preserve">有效负载续航时间</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≥2h；</w:t>
            </w:r>
            <w:r/>
          </w:p>
          <w:p>
            <w:pPr>
              <w:numPr>
                <w:ilvl w:val="1"/>
                <w:numId w:val="0"/>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lang w:val="en-US" w:eastAsia="zh-CN" w:bidi="ar"/>
              </w:rPr>
              <w:t xml:space="preserve">1.5.</w:t>
            </w:r>
            <w:r>
              <w:rPr>
                <w:rFonts w:hint="eastAsia" w:ascii="宋体" w:hAnsi="宋体" w:eastAsia="宋体" w:cs="宋体"/>
                <w:i w:val="0"/>
                <w:iCs w:val="0"/>
                <w:color w:val="auto"/>
                <w:sz w:val="24"/>
                <w:szCs w:val="24"/>
                <w:highlight w:val="none"/>
                <w:u w:val="none"/>
                <w:lang w:val="en-US" w:eastAsia="zh-CN" w:bidi="ar"/>
              </w:rPr>
              <w:t xml:space="preserve">最大速度：≥3m/s；</w:t>
            </w:r>
            <w:r/>
          </w:p>
          <w:p>
            <w:pPr>
              <w:numPr>
                <w:ilvl w:val="1"/>
                <w:numId w:val="0"/>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lang w:val="en-US" w:eastAsia="zh-CN" w:bidi="ar"/>
              </w:rPr>
              <w:t xml:space="preserve">1.6.</w:t>
            </w:r>
            <w:r>
              <w:rPr>
                <w:rFonts w:hint="eastAsia" w:ascii="宋体" w:hAnsi="宋体" w:eastAsia="宋体" w:cs="宋体"/>
                <w:i w:val="0"/>
                <w:iCs w:val="0"/>
                <w:color w:val="auto"/>
                <w:sz w:val="24"/>
                <w:szCs w:val="24"/>
                <w:highlight w:val="none"/>
                <w:u w:val="none"/>
                <w:lang w:val="en-US" w:eastAsia="zh-CN" w:bidi="ar"/>
              </w:rPr>
              <w:t xml:space="preserve">最大攀爬斜坡角度：≥30°；</w:t>
            </w:r>
            <w:r/>
          </w:p>
          <w:p>
            <w:pPr>
              <w:numPr>
                <w:ilvl w:val="1"/>
                <w:numId w:val="0"/>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lang w:val="en-US" w:eastAsia="zh-CN" w:bidi="ar"/>
              </w:rPr>
              <w:t xml:space="preserve">1.7.</w:t>
            </w:r>
            <w:r>
              <w:rPr>
                <w:rFonts w:hint="eastAsia" w:ascii="宋体" w:hAnsi="宋体" w:eastAsia="宋体" w:cs="宋体"/>
                <w:i w:val="0"/>
                <w:iCs w:val="0"/>
                <w:color w:val="auto"/>
                <w:sz w:val="24"/>
                <w:szCs w:val="24"/>
                <w:highlight w:val="none"/>
                <w:u w:val="none"/>
                <w:lang w:val="en-US" w:eastAsia="zh-CN" w:bidi="ar"/>
              </w:rPr>
              <w:t xml:space="preserve">最大攀爬落差高度：≥15cm ；</w:t>
            </w:r>
            <w:r/>
          </w:p>
          <w:p>
            <w:pPr>
              <w:numPr>
                <w:ilvl w:val="1"/>
                <w:numId w:val="0"/>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lang w:val="en-US" w:eastAsia="zh-CN" w:bidi="ar"/>
              </w:rPr>
              <w:t xml:space="preserve">1.8.</w:t>
            </w:r>
            <w:r>
              <w:rPr>
                <w:rFonts w:hint="eastAsia" w:ascii="宋体" w:hAnsi="宋体" w:eastAsia="宋体" w:cs="宋体"/>
                <w:i w:val="0"/>
                <w:iCs w:val="0"/>
                <w:color w:val="auto"/>
                <w:sz w:val="24"/>
                <w:szCs w:val="24"/>
                <w:highlight w:val="none"/>
                <w:u w:val="none"/>
                <w:lang w:val="en-US" w:eastAsia="zh-CN" w:bidi="ar"/>
              </w:rPr>
              <w:t xml:space="preserve">通讯接口：支持Ethernet、</w:t>
            </w:r>
            <w:r>
              <w:rPr>
                <w:rFonts w:hint="eastAsia" w:ascii="宋体" w:hAnsi="宋体" w:cs="宋体"/>
                <w:i w:val="0"/>
                <w:iCs w:val="0"/>
                <w:color w:val="auto"/>
                <w:sz w:val="24"/>
                <w:szCs w:val="24"/>
                <w:highlight w:val="none"/>
                <w:u w:val="none"/>
                <w:lang w:val="en-US" w:eastAsia="zh-CN" w:bidi="ar"/>
              </w:rPr>
              <w:t xml:space="preserve">Wi-Fi</w:t>
            </w:r>
            <w:r>
              <w:rPr>
                <w:rFonts w:hint="eastAsia" w:ascii="宋体" w:hAnsi="宋体" w:eastAsia="宋体" w:cs="宋体"/>
                <w:i w:val="0"/>
                <w:iCs w:val="0"/>
                <w:color w:val="auto"/>
                <w:sz w:val="24"/>
                <w:szCs w:val="24"/>
                <w:highlight w:val="none"/>
                <w:u w:val="none"/>
                <w:lang w:val="en-US" w:eastAsia="zh-CN" w:bidi="ar"/>
              </w:rPr>
              <w:t xml:space="preserve">；</w:t>
            </w:r>
            <w:r/>
          </w:p>
          <w:p>
            <w:pPr>
              <w:numPr>
                <w:ilvl w:val="1"/>
                <w:numId w:val="0"/>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rPr>
              <w:suppressLineNumbers w:val="0"/>
            </w:pPr>
            <w:r>
              <w:rPr>
                <w:rFonts w:hint="default" w:ascii="宋体" w:hAnsi="宋体" w:eastAsia="宋体" w:cs="宋体"/>
                <w:i w:val="0"/>
                <w:iCs w:val="0"/>
                <w:color w:val="auto"/>
                <w:sz w:val="24"/>
                <w:szCs w:val="24"/>
                <w:highlight w:val="none"/>
                <w:lang w:val="en-US" w:eastAsia="zh-CN" w:bidi="ar-SA"/>
              </w:rPr>
              <w:t xml:space="preserve">1.9.</w:t>
            </w:r>
            <w:r>
              <w:rPr>
                <w:rFonts w:hint="eastAsia" w:ascii="宋体" w:hAnsi="宋体" w:eastAsia="宋体" w:cs="宋体"/>
                <w:i w:val="0"/>
                <w:iCs w:val="0"/>
                <w:color w:val="auto"/>
                <w:sz w:val="24"/>
                <w:szCs w:val="24"/>
                <w:highlight w:val="none"/>
                <w:u w:val="none"/>
                <w:lang w:val="en-US" w:eastAsia="zh-CN" w:bidi="ar"/>
              </w:rPr>
              <w:t xml:space="preserve">功能：支持避障、多种复杂动作，具备支持图形化编程；</w:t>
            </w:r>
            <w:r/>
          </w:p>
        </w:tc>
        <w:tc>
          <w:tcPr>
            <w:shd w:val="clear" w:color="auto" w:fill="auto"/>
            <w:tcW w:w="267"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283"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193" w:type="pct"/>
            <w:vAlign w:val="center"/>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442720" cy="827405"/>
                      <wp:effectExtent l="0" t="0" r="5080" b="10795"/>
                      <wp:docPr id="19"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0"/>
                              <pic:cNvPicPr>
                                <a:picLocks noChangeAspect="1"/>
                              </pic:cNvPicPr>
                              <pic:nvPr/>
                            </pic:nvPicPr>
                            <pic:blipFill>
                              <a:blip r:embed="rId31"/>
                              <a:stretch/>
                            </pic:blipFill>
                            <pic:spPr bwMode="auto">
                              <a:xfrm>
                                <a:off x="0" y="0"/>
                                <a:ext cx="1442720" cy="8274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13.6pt;height:65.1pt;mso-wrap-distance-left:0.0pt;mso-wrap-distance-top:0.0pt;mso-wrap-distance-right:0.0pt;mso-wrap-distance-bottom:0.0pt;" stroked="f">
                      <v:path textboxrect="0,0,0,0"/>
                      <v:imagedata r:id="rId31" o:title=""/>
                    </v:shape>
                  </w:pict>
                </mc:Fallback>
              </mc:AlternateContent>
            </w:r>
            <w:r/>
          </w:p>
        </w:tc>
      </w:tr>
      <w:tr>
        <w:trPr>
          <w:jc w:val="center"/>
          <w:trHeight w:val="90"/>
        </w:trPr>
        <w:tc>
          <w:tcPr>
            <w:gridSpan w:val="6"/>
            <w:shd w:val="clear" w:color="auto" w:fill="auto"/>
            <w:tcW w:w="5000" w:type="pct"/>
            <w:vAlign w:val="center"/>
            <w:textDirection w:val="lrTb"/>
            <w:noWrap w:val="false"/>
          </w:tcPr>
          <w:p>
            <w:pPr>
              <w:ind w:left="0" w:firstLine="0"/>
              <w:jc w:val="center"/>
              <w:keepLines w:val="0"/>
              <w:keepNext w:val="0"/>
              <w:pageBreakBefore w:val="0"/>
              <w:spacing w:line="360" w:lineRule="auto"/>
              <w:shd w:val="clear" w:color="auto"/>
              <w:widowControl/>
              <w:tabs>
                <w:tab w:val="left" w:pos="0" w:leader="none"/>
              </w:tabs>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七、</w:t>
            </w:r>
            <w:r>
              <w:rPr>
                <w:rFonts w:hint="eastAsia" w:ascii="宋体" w:hAnsi="宋体" w:eastAsia="宋体" w:cs="宋体"/>
                <w:b/>
                <w:bCs/>
                <w:i w:val="0"/>
                <w:iCs w:val="0"/>
                <w:color w:val="auto"/>
                <w:sz w:val="24"/>
                <w:szCs w:val="24"/>
                <w:highlight w:val="none"/>
                <w:u w:val="none"/>
                <w:lang w:val="en-US" w:eastAsia="zh-CN" w:bidi="ar"/>
              </w:rPr>
              <w:t xml:space="preserve">常用工具</w:t>
            </w:r>
            <w:r/>
          </w:p>
        </w:tc>
      </w:tr>
      <w:tr>
        <w:trPr>
          <w:jc w:val="center"/>
          <w:trHeight w:val="650"/>
        </w:trPr>
        <w:tc>
          <w:tcPr>
            <w:shd w:val="clear" w:color="auto" w:fill="auto"/>
            <w:tcW w:w="218"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W w:w="450" w:type="pct"/>
            <w:vAlign w:val="center"/>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常用工具</w:t>
            </w:r>
            <w:r/>
          </w:p>
        </w:tc>
        <w:tc>
          <w:tcPr>
            <w:shd w:val="clear" w:color="auto" w:fill="auto"/>
            <w:tcW w:w="2586" w:type="pct"/>
            <w:vAlign w:val="center"/>
            <w:textDirection w:val="lrTb"/>
            <w:noWrap w:val="false"/>
          </w:tcPr>
          <w:p>
            <w:pPr>
              <w:numPr>
                <w:ilvl w:val="0"/>
                <w:numId w:val="0"/>
              </w:numPr>
              <w:ind w:left="0" w:firstLine="0"/>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rPr>
              <w:suppressLineNumbers w:val="0"/>
            </w:pPr>
            <w:r>
              <w:rPr>
                <w:rFonts w:hint="default" w:ascii="宋体" w:hAnsi="宋体" w:eastAsia="宋体" w:cs="宋体"/>
                <w:i w:val="0"/>
                <w:iCs w:val="0"/>
                <w:color w:val="auto"/>
                <w:sz w:val="24"/>
                <w:szCs w:val="24"/>
                <w:highlight w:val="none"/>
                <w:lang w:val="en-US" w:eastAsia="zh-CN" w:bidi="ar-SA"/>
              </w:rPr>
              <w:t xml:space="preserve">1.</w:t>
            </w:r>
            <w:r>
              <w:rPr>
                <w:rFonts w:hint="eastAsia" w:ascii="宋体" w:hAnsi="宋体" w:eastAsia="宋体" w:cs="宋体"/>
                <w:i w:val="0"/>
                <w:iCs w:val="0"/>
                <w:color w:val="auto"/>
                <w:sz w:val="24"/>
                <w:szCs w:val="24"/>
                <w:highlight w:val="none"/>
                <w:u w:val="none"/>
                <w:lang w:val="en-US" w:eastAsia="zh-CN" w:bidi="ar"/>
              </w:rPr>
              <w:t xml:space="preserve">无人机拆装工具套装、扳手等工具套装 </w:t>
            </w:r>
            <w:r/>
          </w:p>
          <w:p>
            <w:pPr>
              <w:numPr>
                <w:ilvl w:val="0"/>
                <w:numId w:val="0"/>
              </w:numPr>
              <w:jc w:val="left"/>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1.1.核心配置精密螺丝批套装，批头规格全覆盖：含十字、一字、内六角、常规扳手等全品类常规及异型规格，完整适配无人机机身框架、机臂、云台相机、飞控主板、电调模块、GPS 模块、电池仓、电机、桨夹等全部位精密螺丝，无适配遗漏； </w:t>
            </w:r>
            <w:r/>
          </w:p>
        </w:tc>
        <w:tc>
          <w:tcPr>
            <w:shd w:val="clear" w:color="auto" w:fill="auto"/>
            <w:tcW w:w="267"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283" w:type="pct"/>
            <w:vAlign w:val="center"/>
            <w:textDirection w:val="lrTb"/>
            <w:noWrap w:val="false"/>
          </w:tcPr>
          <w:p>
            <w:pPr>
              <w:jc w:val="center"/>
              <w:keepLines w:val="0"/>
              <w:keepNext w:val="0"/>
              <w:pageBreakBefore w:val="0"/>
              <w:spacing w:line="360" w:lineRule="auto"/>
              <w:shd w:val="clear" w:color="auto"/>
              <w:widowControl/>
              <w:tabs>
                <w:tab w:val="left" w:pos="0" w:leader="none"/>
              </w:tabs>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1193" w:type="pct"/>
            <w:vAlign w:val="center"/>
            <w:textDirection w:val="lrTb"/>
            <w:noWrap w:val="false"/>
          </w:tcPr>
          <w:p>
            <w:pPr>
              <w:jc w:val="center"/>
              <w:keepLines w:val="0"/>
              <w:keepNext w:val="0"/>
              <w:pageBreakBefore w:val="0"/>
              <w:spacing w:line="360" w:lineRule="auto"/>
              <w:shd w:val="clear" w:color="auto"/>
              <w:tabs>
                <w:tab w:val="left" w:pos="0" w:leader="none"/>
              </w:tabs>
              <w:rPr>
                <w:rFonts w:hint="eastAsia" w:ascii="宋体" w:hAnsi="宋体" w:eastAsia="宋体" w:cs="宋体"/>
                <w:color w:val="auto"/>
                <w:sz w:val="24"/>
                <w:szCs w:val="24"/>
                <w:highlight w:val="none"/>
              </w:rPr>
            </w:pPr>
            <w:r>
              <w:rPr>
                <w:highlight w:val="none"/>
              </w:rPr>
              <mc:AlternateContent>
                <mc:Choice Requires="wpg">
                  <w:drawing>
                    <wp:inline xmlns:wp="http://schemas.openxmlformats.org/drawingml/2006/wordprocessingDrawing" distT="0" distB="0" distL="0" distR="0">
                      <wp:extent cx="1441450" cy="1234440"/>
                      <wp:effectExtent l="0" t="0" r="6350" b="3810"/>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32"/>
                              <a:stretch/>
                            </pic:blipFill>
                            <pic:spPr bwMode="auto">
                              <a:xfrm>
                                <a:off x="0" y="0"/>
                                <a:ext cx="1441449" cy="1234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13.5pt;height:97.2pt;mso-wrap-distance-left:0.0pt;mso-wrap-distance-top:0.0pt;mso-wrap-distance-right:0.0pt;mso-wrap-distance-bottom:0.0pt;" stroked="f">
                      <v:path textboxrect="0,0,0,0"/>
                      <v:imagedata r:id="rId32" o:title=""/>
                    </v:shape>
                  </w:pict>
                </mc:Fallback>
              </mc:AlternateContent>
            </w:r>
            <w:r/>
          </w:p>
          <w:p>
            <w:pPr>
              <w:numPr>
                <w:ilvl w:val="0"/>
                <w:numId w:val="0"/>
              </w:numPr>
              <w:jc w:val="both"/>
              <w:keepLines w:val="0"/>
              <w:keepNext w:val="0"/>
              <w:pageBreakBefore w:val="0"/>
              <w:spacing w:line="360" w:lineRule="auto"/>
              <w:shd w:val="clear" w:color="auto"/>
              <w:tabs>
                <w:tab w:val="left" w:pos="0" w:leader="none"/>
              </w:tabs>
              <w:rPr>
                <w:rFonts w:hint="eastAsia" w:asciiTheme="minorHAnsi" w:hAnsiTheme="minorHAnsi" w:eastAsiaTheme="minorEastAsia" w:cstheme="minorBidi"/>
                <w:sz w:val="21"/>
                <w:szCs w:val="24"/>
                <w:highlight w:val="none"/>
                <w:lang w:val="en-US" w:eastAsia="zh-CN" w:bidi="ar-SA"/>
              </w:rPr>
            </w:pPr>
            <w:r>
              <w:rPr>
                <w:rFonts w:hint="eastAsia" w:asciiTheme="minorHAnsi" w:hAnsiTheme="minorHAnsi" w:eastAsiaTheme="minorEastAsia" w:cstheme="minorBidi"/>
                <w:sz w:val="21"/>
                <w:szCs w:val="24"/>
                <w:highlight w:val="none"/>
                <w:lang w:val="en-US" w:eastAsia="zh-CN" w:bidi="ar-SA"/>
              </w:rPr>
            </w:r>
            <w:r/>
          </w:p>
        </w:tc>
      </w:tr>
    </w:tbl>
    <w:p>
      <w:pPr>
        <w:pStyle w:val="896"/>
        <w:rPr>
          <w:rFonts w:hint="default"/>
          <w:highlight w:val="none"/>
          <w:lang w:val="en-US" w:eastAsia="zh-CN"/>
        </w:rPr>
      </w:pPr>
      <w:r>
        <w:rPr>
          <w:rFonts w:hint="default"/>
          <w:highlight w:val="none"/>
          <w:lang w:val="en-US" w:eastAsia="zh-CN"/>
        </w:rPr>
      </w:r>
      <w:r/>
    </w:p>
    <w:p>
      <w:pPr>
        <w:rPr>
          <w:rFonts w:hint="eastAsia" w:ascii="宋体" w:hAnsi="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br w:type="page" w:clear="all"/>
      </w:r>
      <w:r/>
    </w:p>
    <w:p>
      <w:pPr>
        <w:pStyle w:val="896"/>
        <w:numPr>
          <w:ilvl w:val="0"/>
          <w:numId w:val="0"/>
        </w:numPr>
        <w:ind w:left="0" w:firstLine="72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w:t>
      </w:r>
      <w:r>
        <w:rPr>
          <w:rFonts w:hint="default"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其他说明：</w:t>
      </w:r>
      <w:r/>
    </w:p>
    <w:p>
      <w:pPr>
        <w:pStyle w:val="896"/>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（1）本项目中所有产品均须符合国家环保等相关标准。</w:t>
      </w:r>
      <w:r/>
    </w:p>
    <w:p>
      <w:pPr>
        <w:ind w:firstLine="480"/>
        <w:keepLines w:val="0"/>
        <w:keepNext w:val="0"/>
        <w:pageBreakBefore w:val="0"/>
        <w:spacing w:line="360" w:lineRule="auto"/>
        <w:shd w:val="clear" w:color="auto"/>
        <w:widowControl w:val="off"/>
        <w:tabs>
          <w:tab w:val="left" w:pos="0" w:leader="none"/>
          <w:tab w:val="left" w:pos="945" w:leader="none"/>
        </w:tabs>
        <w:rPr>
          <w:rFonts w:hint="eastAsia" w:eastAsia="宋体"/>
          <w:highlight w:val="none"/>
          <w:lang w:eastAsia="zh-CN"/>
        </w:rPr>
      </w:pPr>
      <w:r>
        <w:rPr>
          <w:rFonts w:hint="eastAsia" w:ascii="宋体" w:hAnsi="宋体" w:eastAsia="宋体" w:cs="宋体"/>
          <w:bCs/>
          <w:color w:val="auto"/>
          <w:sz w:val="24"/>
          <w:szCs w:val="24"/>
          <w:highlight w:val="none"/>
          <w:lang w:val="en-US" w:eastAsia="zh-CN" w:bidi="ar-SA"/>
        </w:rPr>
        <w:t xml:space="preserve">（2）清单中所列图片样式仅为示意，投标</w:t>
      </w:r>
      <w:r>
        <w:rPr>
          <w:rFonts w:hint="eastAsia" w:ascii="宋体" w:hAnsi="宋体" w:cs="宋体"/>
          <w:bCs/>
          <w:color w:val="auto"/>
          <w:sz w:val="24"/>
          <w:szCs w:val="24"/>
          <w:highlight w:val="none"/>
          <w:lang w:val="en-US" w:eastAsia="zh-CN" w:bidi="ar-SA"/>
        </w:rPr>
        <w:t xml:space="preserve">人</w:t>
      </w:r>
      <w:r>
        <w:rPr>
          <w:rFonts w:hint="eastAsia" w:ascii="宋体" w:hAnsi="宋体" w:eastAsia="宋体" w:cs="宋体"/>
          <w:bCs/>
          <w:color w:val="auto"/>
          <w:sz w:val="24"/>
          <w:szCs w:val="24"/>
          <w:highlight w:val="none"/>
          <w:lang w:val="en-US" w:eastAsia="zh-CN" w:bidi="ar-SA"/>
        </w:rPr>
        <w:t xml:space="preserve">需严格依照清单规定的规格、材质与工艺要求组织生产；定制家具需依据</w:t>
      </w:r>
      <w:r>
        <w:rPr>
          <w:rFonts w:hint="eastAsia" w:ascii="宋体" w:hAnsi="宋体" w:cs="宋体"/>
          <w:bCs/>
          <w:color w:val="auto"/>
          <w:sz w:val="24"/>
          <w:szCs w:val="24"/>
          <w:highlight w:val="none"/>
          <w:lang w:val="en-US" w:eastAsia="zh-CN" w:bidi="ar-SA"/>
        </w:rPr>
        <w:t xml:space="preserve">采购人</w:t>
      </w:r>
      <w:r>
        <w:rPr>
          <w:rFonts w:hint="eastAsia" w:ascii="宋体" w:hAnsi="宋体" w:eastAsia="宋体" w:cs="宋体"/>
          <w:bCs/>
          <w:color w:val="auto"/>
          <w:sz w:val="24"/>
          <w:szCs w:val="24"/>
          <w:highlight w:val="none"/>
          <w:lang w:val="en-US" w:eastAsia="zh-CN" w:bidi="ar-SA"/>
        </w:rPr>
        <w:t xml:space="preserve">提供的实际场地尺寸或已确认的方案进行加工，材质与工艺标准保持不变。当规格偏差处于10%以内时，中标价格不</w:t>
      </w:r>
      <w:r>
        <w:rPr>
          <w:rFonts w:hint="eastAsia" w:ascii="宋体" w:hAnsi="宋体" w:cs="宋体"/>
          <w:bCs/>
          <w:color w:val="auto"/>
          <w:sz w:val="24"/>
          <w:szCs w:val="24"/>
          <w:highlight w:val="none"/>
          <w:lang w:val="en-US" w:eastAsia="zh-CN" w:bidi="ar-SA"/>
        </w:rPr>
        <w:t xml:space="preserve">作</w:t>
      </w:r>
      <w:r>
        <w:rPr>
          <w:rFonts w:hint="eastAsia" w:ascii="宋体" w:hAnsi="宋体" w:eastAsia="宋体" w:cs="宋体"/>
          <w:bCs/>
          <w:color w:val="auto"/>
          <w:sz w:val="24"/>
          <w:szCs w:val="24"/>
          <w:highlight w:val="none"/>
          <w:lang w:val="en-US" w:eastAsia="zh-CN" w:bidi="ar-SA"/>
        </w:rPr>
        <w:t xml:space="preserve">调整，投标人投标阶段需将该因素纳入报价考量。</w:t>
      </w:r>
      <w:r/>
    </w:p>
    <w:p>
      <w:pPr>
        <w:ind w:firstLine="480"/>
        <w:keepLines w:val="0"/>
        <w:keepNext w:val="0"/>
        <w:pageBreakBefore w:val="0"/>
        <w:spacing w:line="360" w:lineRule="auto"/>
        <w:shd w:val="clear" w:color="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（3）质量要求：所投产品均应出自原厂，不得私自添加或更改，保证所有产品及</w:t>
      </w:r>
      <w:r>
        <w:rPr>
          <w:rFonts w:hint="eastAsia" w:ascii="宋体" w:hAnsi="宋体" w:eastAsia="宋体" w:cs="宋体"/>
          <w:bCs/>
          <w:color w:val="auto"/>
          <w:sz w:val="24"/>
          <w:szCs w:val="24"/>
          <w:highlight w:val="none"/>
        </w:rPr>
        <w:t xml:space="preserve">部件均是全新的纯正部品，不得以废、旧材料制作，产品必须符合行业设计及采购人的品质、环保要求。在正式供货前应与采购人协商好所有</w:t>
      </w:r>
      <w:r>
        <w:rPr>
          <w:rFonts w:hint="eastAsia" w:ascii="宋体" w:hAnsi="宋体" w:eastAsia="宋体" w:cs="宋体"/>
          <w:bCs/>
          <w:color w:val="auto"/>
          <w:sz w:val="24"/>
          <w:szCs w:val="24"/>
          <w:highlight w:val="none"/>
          <w:lang w:val="en-US" w:eastAsia="zh-CN"/>
        </w:rPr>
        <w:t xml:space="preserve">产品</w:t>
      </w:r>
      <w:r>
        <w:rPr>
          <w:rFonts w:hint="eastAsia" w:ascii="宋体" w:hAnsi="宋体" w:eastAsia="宋体" w:cs="宋体"/>
          <w:bCs/>
          <w:color w:val="auto"/>
          <w:sz w:val="24"/>
          <w:szCs w:val="24"/>
          <w:highlight w:val="none"/>
        </w:rPr>
        <w:t xml:space="preserve">的规格及方案，交货时所有</w:t>
      </w:r>
      <w:r>
        <w:rPr>
          <w:rFonts w:hint="eastAsia" w:ascii="宋体" w:hAnsi="宋体" w:eastAsia="宋体" w:cs="宋体"/>
          <w:bCs/>
          <w:color w:val="auto"/>
          <w:sz w:val="24"/>
          <w:szCs w:val="24"/>
          <w:highlight w:val="none"/>
          <w:lang w:val="en-US" w:eastAsia="zh-CN"/>
        </w:rPr>
        <w:t xml:space="preserve">产品</w:t>
      </w:r>
      <w:r>
        <w:rPr>
          <w:rFonts w:hint="eastAsia" w:ascii="宋体" w:hAnsi="宋体" w:eastAsia="宋体" w:cs="宋体"/>
          <w:bCs/>
          <w:color w:val="auto"/>
          <w:sz w:val="24"/>
          <w:szCs w:val="24"/>
          <w:highlight w:val="none"/>
        </w:rPr>
        <w:t xml:space="preserve">应货物完好，物品配件齐全，否则视为不合格产品；采购人将对中标人正式供货</w:t>
      </w:r>
      <w:r>
        <w:rPr>
          <w:rFonts w:hint="eastAsia" w:ascii="宋体" w:hAnsi="宋体" w:cs="宋体"/>
          <w:bCs/>
          <w:color w:val="auto"/>
          <w:sz w:val="24"/>
          <w:szCs w:val="24"/>
          <w:highlight w:val="none"/>
          <w:lang w:eastAsia="zh-CN"/>
        </w:rPr>
        <w:t xml:space="preserve">产品</w:t>
      </w:r>
      <w:r>
        <w:rPr>
          <w:rFonts w:hint="eastAsia" w:ascii="宋体" w:hAnsi="宋体" w:eastAsia="宋体" w:cs="宋体"/>
          <w:bCs/>
          <w:color w:val="auto"/>
          <w:sz w:val="24"/>
          <w:szCs w:val="24"/>
          <w:highlight w:val="none"/>
        </w:rPr>
        <w:t xml:space="preserve">随机抽取一件进行破坏性检测，被抽样检测</w:t>
      </w:r>
      <w:r>
        <w:rPr>
          <w:rFonts w:hint="eastAsia" w:ascii="宋体" w:hAnsi="宋体" w:eastAsia="宋体" w:cs="宋体"/>
          <w:bCs/>
          <w:color w:val="auto"/>
          <w:sz w:val="24"/>
          <w:szCs w:val="24"/>
          <w:highlight w:val="none"/>
          <w:lang w:val="en-US" w:eastAsia="zh-CN"/>
        </w:rPr>
        <w:t xml:space="preserve">产品</w:t>
      </w:r>
      <w:r>
        <w:rPr>
          <w:rFonts w:hint="eastAsia" w:ascii="宋体" w:hAnsi="宋体" w:eastAsia="宋体" w:cs="宋体"/>
          <w:bCs/>
          <w:color w:val="auto"/>
          <w:sz w:val="24"/>
          <w:szCs w:val="24"/>
          <w:highlight w:val="none"/>
        </w:rPr>
        <w:t xml:space="preserve">中甲醛和苯等有害物质含量不符合采购方要求或国家标准的、参数和材质不符合招标文件要求的，视为不合格产品，采购人有权拒绝接收所有</w:t>
      </w:r>
      <w:r>
        <w:rPr>
          <w:rFonts w:hint="eastAsia" w:ascii="宋体" w:hAnsi="宋体" w:eastAsia="宋体" w:cs="宋体"/>
          <w:bCs/>
          <w:color w:val="auto"/>
          <w:sz w:val="24"/>
          <w:szCs w:val="24"/>
          <w:highlight w:val="none"/>
          <w:lang w:val="en-US" w:eastAsia="zh-CN"/>
        </w:rPr>
        <w:t xml:space="preserve">产品</w:t>
      </w:r>
      <w:r>
        <w:rPr>
          <w:rFonts w:hint="eastAsia" w:ascii="宋体" w:hAnsi="宋体" w:eastAsia="宋体" w:cs="宋体"/>
          <w:bCs/>
          <w:color w:val="auto"/>
          <w:sz w:val="24"/>
          <w:szCs w:val="24"/>
          <w:highlight w:val="none"/>
        </w:rPr>
        <w:t xml:space="preserve">，并要求中标人按合同规定赔偿采购人损失（破坏性检测的货物，检测费用以及重新安装费用由中标人支付）。</w:t>
      </w:r>
      <w:r/>
    </w:p>
    <w:p>
      <w:pPr>
        <w:ind w:firstLine="480"/>
        <w:spacing w:line="360" w:lineRule="auto"/>
        <w:shd w:val="clear" w:color="auto"/>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质量标准：符合国家验收合格标准。质量违约金：未达到一次性验收合格标准，承包人须支付合同价款的5%给采购人作为质量违约金。</w:t>
      </w:r>
      <w:r/>
    </w:p>
    <w:p>
      <w:pPr>
        <w:ind w:firstLine="480"/>
        <w:spacing w:line="360" w:lineRule="auto"/>
        <w:shd w:val="clear" w:color="auto"/>
        <w:tabs>
          <w:tab w:val="left" w:pos="0"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教学软件免费升级。</w:t>
      </w:r>
      <w:r/>
    </w:p>
    <w:p>
      <w:pPr>
        <w:ind w:firstLine="480"/>
        <w:spacing w:line="360" w:lineRule="auto"/>
        <w:shd w:val="clear" w:color="auto"/>
        <w:tabs>
          <w:tab w:val="left" w:pos="0"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0"/>
        <w:spacing w:line="360" w:lineRule="auto"/>
        <w:shd w:val="clear" w:color="auto"/>
        <w:tabs>
          <w:tab w:val="left" w:pos="0"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0"/>
        <w:spacing w:line="360" w:lineRule="auto"/>
        <w:shd w:val="clear" w:color="auto"/>
        <w:tabs>
          <w:tab w:val="left" w:pos="0"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0"/>
        <w:spacing w:line="360" w:lineRule="auto"/>
        <w:shd w:val="clear" w:color="auto"/>
        <w:tabs>
          <w:tab w:val="left" w:pos="0"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0"/>
        <w:spacing w:line="360" w:lineRule="auto"/>
        <w:shd w:val="clear" w:color="auto"/>
        <w:tabs>
          <w:tab w:val="left" w:pos="0"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0"/>
        <w:spacing w:line="360" w:lineRule="auto"/>
        <w:shd w:val="clear" w:color="auto"/>
        <w:tabs>
          <w:tab w:val="left" w:pos="0"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0"/>
        <w:spacing w:line="360" w:lineRule="auto"/>
        <w:shd w:val="clear" w:color="auto"/>
        <w:tabs>
          <w:tab w:val="left" w:pos="0"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0"/>
        <w:spacing w:line="360" w:lineRule="auto"/>
        <w:shd w:val="clear" w:color="auto"/>
        <w:tabs>
          <w:tab w:val="left" w:pos="0"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0"/>
        <w:spacing w:line="360" w:lineRule="auto"/>
        <w:shd w:val="clear" w:color="auto"/>
        <w:tabs>
          <w:tab w:val="left" w:pos="0"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0"/>
        <w:spacing w:line="360" w:lineRule="auto"/>
        <w:shd w:val="clear" w:color="auto"/>
        <w:tabs>
          <w:tab w:val="left" w:pos="0"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0"/>
        <w:spacing w:line="360" w:lineRule="auto"/>
        <w:shd w:val="clear" w:color="auto"/>
        <w:tabs>
          <w:tab w:val="left" w:pos="0"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0"/>
        <w:spacing w:line="360" w:lineRule="auto"/>
        <w:shd w:val="clear" w:color="auto"/>
        <w:tabs>
          <w:tab w:val="left" w:pos="0"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0"/>
        <w:spacing w:line="360" w:lineRule="auto"/>
        <w:shd w:val="clear" w:color="auto"/>
        <w:tabs>
          <w:tab w:val="left" w:pos="0"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602"/>
        <w:spacing w:line="360" w:lineRule="auto"/>
        <w:rPr>
          <w:rFonts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w:t>
      </w:r>
      <w:r>
        <w:rPr>
          <w:rFonts w:hint="eastAsia" w:ascii="宋体" w:hAnsi="宋体"/>
          <w:b/>
          <w:color w:val="000000" w:themeColor="text1"/>
          <w:sz w:val="30"/>
          <w:szCs w:val="30"/>
          <w:highlight w:val="none"/>
          <w:lang w:val="en-US" w:eastAsia="zh-CN"/>
          <w14:textFill>
            <w14:solidFill>
              <w14:schemeClr w14:val="tx1"/>
            </w14:solidFill>
          </w14:textFill>
        </w:rPr>
        <w:t xml:space="preserve">二</w:t>
      </w:r>
      <w:r>
        <w:rPr>
          <w:rFonts w:hint="eastAsia" w:ascii="宋体" w:hAnsi="宋体"/>
          <w:b/>
          <w:color w:val="000000" w:themeColor="text1"/>
          <w:sz w:val="30"/>
          <w:szCs w:val="30"/>
          <w:highlight w:val="none"/>
          <w14:textFill>
            <w14:solidFill>
              <w14:schemeClr w14:val="tx1"/>
            </w14:solidFill>
          </w14:textFill>
        </w:rPr>
        <w:t xml:space="preserve">部分  有关说明</w:t>
      </w:r>
      <w:r/>
    </w:p>
    <w:p>
      <w:pPr>
        <w:numPr>
          <w:ilvl w:val="1"/>
          <w:numId w:val="0"/>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sz w:val="24"/>
          <w:szCs w:val="24"/>
          <w:highlight w:val="none"/>
        </w:rPr>
        <w:t xml:space="preserve">1.</w:t>
      </w:r>
      <w:r>
        <w:rPr>
          <w:rFonts w:hint="eastAsia" w:ascii="宋体" w:hAnsi="宋体"/>
          <w:bCs/>
          <w:color w:val="000000" w:themeColor="text1"/>
          <w:sz w:val="24"/>
          <w:szCs w:val="24"/>
          <w:highlight w:val="none"/>
          <w14:textFill>
            <w14:solidFill>
              <w14:schemeClr w14:val="tx1"/>
            </w14:solidFill>
          </w14:textFill>
        </w:rPr>
        <w:t xml:space="preserve">投标总报价包括满足本项目要求的</w:t>
      </w:r>
      <w:r>
        <w:rPr>
          <w:rFonts w:hint="eastAsia" w:ascii="宋体" w:hAnsi="宋体"/>
          <w:bCs/>
          <w:sz w:val="24"/>
          <w:szCs w:val="24"/>
          <w:highlight w:val="none"/>
        </w:rPr>
        <w:t xml:space="preserve">所有产品及其配件、包装、运输、安装调试及售后服务等</w:t>
      </w:r>
      <w:r>
        <w:rPr>
          <w:rFonts w:hint="eastAsia" w:ascii="宋体" w:hAnsi="宋体"/>
          <w:bCs/>
          <w:color w:val="000000" w:themeColor="text1"/>
          <w:sz w:val="24"/>
          <w:szCs w:val="24"/>
          <w:highlight w:val="none"/>
          <w14:textFill>
            <w14:solidFill>
              <w14:schemeClr w14:val="tx1"/>
            </w14:solidFill>
          </w14:textFill>
        </w:rPr>
        <w:t xml:space="preserve">从项目中标起到项目正式交付以及</w:t>
      </w:r>
      <w:r>
        <w:rPr>
          <w:rFonts w:hint="eastAsia" w:ascii="宋体" w:hAnsi="宋体"/>
          <w:bCs/>
          <w:sz w:val="24"/>
          <w:szCs w:val="24"/>
          <w:highlight w:val="none"/>
        </w:rPr>
        <w:t xml:space="preserve">质保期</w:t>
      </w:r>
      <w:r>
        <w:rPr>
          <w:rFonts w:hint="eastAsia" w:ascii="宋体" w:hAnsi="宋体"/>
          <w:bCs/>
          <w:color w:val="000000" w:themeColor="text1"/>
          <w:sz w:val="24"/>
          <w:szCs w:val="24"/>
          <w:highlight w:val="none"/>
          <w14:textFill>
            <w14:solidFill>
              <w14:schemeClr w14:val="tx1"/>
            </w14:solidFill>
          </w14:textFill>
        </w:rPr>
        <w:t xml:space="preserve">内所发生的一切费用。</w:t>
      </w:r>
      <w:r/>
    </w:p>
    <w:p>
      <w:pPr>
        <w:numPr>
          <w:ilvl w:val="1"/>
          <w:numId w:val="0"/>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highlight w:val="none"/>
          <w:lang w:val="en-US" w:eastAsia="zh-CN" w:bidi="ar-SA"/>
        </w:rPr>
        <w:t xml:space="preserve">2</w:t>
      </w:r>
      <w:r>
        <w:rPr>
          <w:rFonts w:hint="eastAsia" w:ascii="宋体"/>
          <w:bCs/>
          <w:sz w:val="24"/>
          <w:szCs w:val="24"/>
          <w:highlight w:val="none"/>
        </w:rPr>
        <w:t xml:space="preserve">.</w:t>
      </w:r>
      <w:r>
        <w:rPr>
          <w:rFonts w:hint="eastAsia" w:ascii="宋体"/>
          <w:bCs/>
          <w:color w:val="000000" w:themeColor="text1"/>
          <w:sz w:val="24"/>
          <w:szCs w:val="24"/>
          <w:highlight w:val="none"/>
          <w14:textFill>
            <w14:solidFill>
              <w14:schemeClr w14:val="tx1"/>
            </w14:solidFill>
          </w14:textFill>
        </w:rPr>
        <w:t xml:space="preserve">进口产品是指通过中国海关报关验放进入中国境内且产自关境外的产品</w:t>
      </w:r>
      <w:r>
        <w:rPr>
          <w:rFonts w:hint="eastAsia" w:ascii="宋体"/>
          <w:bCs/>
          <w:color w:val="000000" w:themeColor="text1"/>
          <w:sz w:val="24"/>
          <w:szCs w:val="24"/>
          <w:highlight w:val="none"/>
          <w:lang w:eastAsia="zh-CN"/>
          <w14:textFill>
            <w14:solidFill>
              <w14:schemeClr w14:val="tx1"/>
            </w14:solidFill>
          </w14:textFill>
        </w:rPr>
        <w:t xml:space="preserve">，</w:t>
      </w:r>
      <w:r>
        <w:rPr>
          <w:rFonts w:hint="eastAsia" w:ascii="宋体" w:hAnsi="宋体"/>
          <w:bCs/>
          <w:sz w:val="24"/>
          <w:szCs w:val="24"/>
          <w:highlight w:val="none"/>
        </w:rPr>
        <w:t xml:space="preserve">不在本项目的报价范围</w:t>
      </w:r>
      <w:r>
        <w:rPr>
          <w:rFonts w:hint="eastAsia" w:ascii="宋体"/>
          <w:bCs/>
          <w:color w:val="000000" w:themeColor="text1"/>
          <w:sz w:val="24"/>
          <w:szCs w:val="24"/>
          <w:highlight w:val="none"/>
          <w14:textFill>
            <w14:solidFill>
              <w14:schemeClr w14:val="tx1"/>
            </w14:solidFill>
          </w14:textFill>
        </w:rPr>
        <w:t xml:space="preserve">。</w:t>
      </w:r>
      <w:r/>
    </w:p>
    <w:p>
      <w:pPr>
        <w:numPr>
          <w:ilvl w:val="1"/>
          <w:numId w:val="0"/>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highlight w:val="none"/>
          <w:lang w:val="en-US" w:eastAsia="zh-CN" w:bidi="ar-SA"/>
        </w:rPr>
        <w:t xml:space="preserve">3.</w:t>
      </w:r>
      <w:r>
        <w:rPr>
          <w:rFonts w:hint="eastAsia" w:ascii="宋体"/>
          <w:bCs/>
          <w:color w:val="000000" w:themeColor="text1"/>
          <w:sz w:val="24"/>
          <w:szCs w:val="24"/>
          <w:highlight w:val="none"/>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highlight w:val="none"/>
          <w:lang w:val="en-US" w:eastAsia="zh-CN" w:bidi="ar-SA"/>
        </w:rPr>
        <w:t xml:space="preserve">4.</w:t>
      </w:r>
      <w:r>
        <w:rPr>
          <w:rFonts w:hint="eastAsia" w:ascii="宋体" w:hAnsi="宋体"/>
          <w:bCs/>
          <w:color w:val="000000" w:themeColor="text1"/>
          <w:sz w:val="24"/>
          <w:szCs w:val="24"/>
          <w:highlight w:val="none"/>
          <w14:textFill>
            <w14:solidFill>
              <w14:schemeClr w14:val="tx1"/>
            </w14:solidFill>
          </w14:textFill>
        </w:rPr>
        <w:t xml:space="preserve">投标人必须在满足招标文件要求的基础上进行报价，如有技术偏离请于投标偏离表中说明。</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auto"/>
          <w:sz w:val="24"/>
          <w:szCs w:val="24"/>
          <w:highlight w:val="none"/>
          <w:lang w:eastAsia="zh-CN"/>
        </w:rPr>
        <w:t xml:space="preserve">供货</w:t>
      </w:r>
      <w:r>
        <w:rPr>
          <w:rFonts w:hint="eastAsia" w:ascii="宋体" w:hAnsi="宋体" w:eastAsia="宋体" w:cs="宋体"/>
          <w:bCs/>
          <w:color w:val="auto"/>
          <w:sz w:val="24"/>
          <w:szCs w:val="24"/>
          <w:highlight w:val="none"/>
        </w:rPr>
        <w:t xml:space="preserve">期：合同签订生效后</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0个日历天内到货并安装完毕交付使用。</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cs="Times New Roman"/>
          <w:bCs/>
          <w:color w:val="000000"/>
          <w:sz w:val="24"/>
          <w:szCs w:val="24"/>
          <w:highlight w:val="none"/>
          <w:lang w:val="en-US" w:eastAsia="zh-CN" w:bidi="ar-SA"/>
        </w:rPr>
        <w:t xml:space="preserve">6</w:t>
      </w:r>
      <w:r>
        <w:rPr>
          <w:rFonts w:hint="eastAsia" w:ascii="宋体" w:hAnsi="Times New Roman" w:eastAsia="宋体" w:cs="Times New Roman"/>
          <w:bCs/>
          <w:color w:val="000000"/>
          <w:sz w:val="24"/>
          <w:szCs w:val="24"/>
          <w:highlight w:val="none"/>
          <w:lang w:val="en-US" w:eastAsia="zh-CN" w:bidi="ar-SA"/>
        </w:rPr>
        <w:t xml:space="preserve">.</w:t>
      </w:r>
      <w:bookmarkStart w:id="193" w:name="OLE_LINK3"/>
      <w:r/>
      <w:bookmarkStart w:id="194" w:name="OLE_LINK4"/>
      <w:r>
        <w:rPr>
          <w:rFonts w:hint="eastAsia" w:ascii="宋体" w:hAnsi="宋体" w:eastAsiaTheme="minorEastAsia" w:cstheme="minorBidi"/>
          <w:bCs/>
          <w:color w:val="000000"/>
          <w:sz w:val="24"/>
          <w:szCs w:val="24"/>
          <w:highlight w:val="none"/>
        </w:rPr>
        <w:t xml:space="preserve">项目整体质保期：</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年。（质量保修期：硬件设备自本项目验收合格之日起开始起算）在本项目</w:t>
      </w:r>
      <w:r>
        <w:rPr>
          <w:rFonts w:hint="eastAsia" w:ascii="宋体" w:hAnsi="宋体" w:eastAsia="宋体" w:cs="宋体"/>
          <w:bCs/>
          <w:color w:val="auto"/>
          <w:sz w:val="24"/>
          <w:szCs w:val="24"/>
          <w:highlight w:val="none"/>
          <w:lang w:eastAsia="zh-CN"/>
        </w:rPr>
        <w:t xml:space="preserve">产品</w:t>
      </w:r>
      <w:r>
        <w:rPr>
          <w:rFonts w:hint="eastAsia" w:ascii="宋体" w:hAnsi="宋体" w:eastAsia="宋体" w:cs="宋体"/>
          <w:bCs/>
          <w:color w:val="auto"/>
          <w:sz w:val="24"/>
          <w:szCs w:val="24"/>
          <w:highlight w:val="none"/>
        </w:rPr>
        <w:t xml:space="preserve">质保期内，一旦</w:t>
      </w:r>
      <w:r>
        <w:rPr>
          <w:rFonts w:hint="eastAsia" w:ascii="宋体" w:hAnsi="宋体" w:eastAsia="宋体" w:cs="宋体"/>
          <w:bCs/>
          <w:color w:val="auto"/>
          <w:sz w:val="24"/>
          <w:szCs w:val="24"/>
          <w:highlight w:val="none"/>
          <w:lang w:eastAsia="zh-CN"/>
        </w:rPr>
        <w:t xml:space="preserve">产品</w:t>
      </w:r>
      <w:r>
        <w:rPr>
          <w:rFonts w:hint="eastAsia" w:ascii="宋体" w:hAnsi="宋体" w:eastAsia="宋体" w:cs="宋体"/>
          <w:bCs/>
          <w:color w:val="auto"/>
          <w:sz w:val="24"/>
          <w:szCs w:val="24"/>
          <w:highlight w:val="none"/>
        </w:rPr>
        <w:t xml:space="preserve">发生质量问题，中标人保证在接到通知12小时内响应，3日历天内赶到现场进行修理、更换或退货，费用由中标人负责。如中标人在接到通知后12小时内没有答复，则视为中标人承认质量问题并承担由此发生的一切费用。质保期内</w:t>
      </w:r>
      <w:r>
        <w:rPr>
          <w:rFonts w:hint="eastAsia" w:ascii="宋体" w:hAnsi="宋体" w:eastAsia="宋体" w:cs="宋体"/>
          <w:bCs/>
          <w:color w:val="auto"/>
          <w:sz w:val="24"/>
          <w:szCs w:val="24"/>
          <w:highlight w:val="none"/>
          <w:lang w:eastAsia="zh-CN"/>
        </w:rPr>
        <w:t xml:space="preserve">产品</w:t>
      </w:r>
      <w:r>
        <w:rPr>
          <w:rFonts w:hint="eastAsia" w:ascii="宋体" w:hAnsi="宋体" w:eastAsia="宋体" w:cs="宋体"/>
          <w:bCs/>
          <w:color w:val="auto"/>
          <w:sz w:val="24"/>
          <w:szCs w:val="24"/>
          <w:highlight w:val="none"/>
        </w:rPr>
        <w:t xml:space="preserve">的一切质量问题，更换部件及</w:t>
      </w:r>
      <w:r>
        <w:rPr>
          <w:rFonts w:hint="eastAsia" w:ascii="宋体" w:hAnsi="宋体" w:eastAsia="宋体" w:cs="宋体"/>
          <w:bCs/>
          <w:color w:val="auto"/>
          <w:sz w:val="24"/>
          <w:szCs w:val="24"/>
          <w:highlight w:val="none"/>
          <w:lang w:eastAsia="zh-CN"/>
        </w:rPr>
        <w:t xml:space="preserve">产品</w:t>
      </w:r>
      <w:r>
        <w:rPr>
          <w:rFonts w:hint="eastAsia" w:ascii="宋体" w:hAnsi="宋体" w:eastAsia="宋体" w:cs="宋体"/>
          <w:bCs/>
          <w:color w:val="auto"/>
          <w:sz w:val="24"/>
          <w:szCs w:val="24"/>
          <w:highlight w:val="none"/>
        </w:rPr>
        <w:t xml:space="preserve">本身质量原因造成的直接经济损失应全部由中标人负责。</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投标人需提供售后服务和技术支持。质保期内提供技术支持和培训服务（费用含在报价内）；质保期外，投标人提供售后服务时收取</w:t>
      </w:r>
      <w:r>
        <w:rPr>
          <w:rFonts w:hint="eastAsia" w:ascii="宋体" w:hAnsi="宋体" w:cs="宋体"/>
          <w:bCs/>
          <w:color w:val="auto"/>
          <w:sz w:val="24"/>
          <w:szCs w:val="24"/>
          <w:highlight w:val="none"/>
          <w:lang w:val="en-US" w:eastAsia="zh-CN"/>
        </w:rPr>
        <w:t xml:space="preserve">成本</w:t>
      </w:r>
      <w:r>
        <w:rPr>
          <w:rFonts w:hint="eastAsia" w:ascii="宋体" w:hAnsi="宋体" w:eastAsia="宋体" w:cs="宋体"/>
          <w:bCs/>
          <w:color w:val="auto"/>
          <w:sz w:val="24"/>
          <w:szCs w:val="24"/>
          <w:highlight w:val="none"/>
        </w:rPr>
        <w:t xml:space="preserve">费，以保障设备的正常使用。</w:t>
      </w:r>
      <w:bookmarkEnd w:id="193"/>
      <w:r/>
      <w:bookmarkEnd w:id="194"/>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hAnsi="宋体" w:eastAsiaTheme="minorEastAsia" w:cstheme="minorBidi"/>
          <w:bCs/>
          <w:color w:val="000000"/>
          <w:sz w:val="24"/>
          <w:szCs w:val="24"/>
          <w:highlight w:val="none"/>
        </w:rPr>
      </w:pPr>
      <w:r>
        <w:rPr>
          <w:rFonts w:hint="eastAsia" w:ascii="宋体" w:hAnsi="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eastAsiaTheme="minorEastAsia" w:cstheme="minorBidi"/>
          <w:bCs/>
          <w:color w:val="000000"/>
          <w:sz w:val="24"/>
          <w:szCs w:val="24"/>
          <w:highlight w:val="none"/>
        </w:rPr>
        <w:t xml:space="preserve">付款方式：</w:t>
      </w:r>
      <w:r>
        <w:rPr>
          <w:rFonts w:hint="eastAsia" w:ascii="宋体" w:hAnsi="宋体" w:eastAsia="宋体" w:cs="宋体"/>
          <w:bCs/>
          <w:color w:val="auto"/>
          <w:sz w:val="24"/>
          <w:highlight w:val="none"/>
        </w:rPr>
        <w:t xml:space="preserve">合同签订并收到发票后30天内预付合同价款的30%，安装调试完毕并验收合格且收到发票后30天内付清余款。</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bCs/>
          <w:sz w:val="24"/>
          <w:szCs w:val="24"/>
          <w:highlight w:val="none"/>
          <w:lang w:eastAsia="zh-CN"/>
        </w:rPr>
      </w:pPr>
      <w:r>
        <w:rPr>
          <w:rFonts w:hint="eastAsia" w:ascii="宋体" w:hAnsi="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bCs/>
          <w:sz w:val="24"/>
          <w:szCs w:val="24"/>
          <w:highlight w:val="none"/>
        </w:rPr>
        <w:t xml:space="preserve">本项目合同履行地点：</w:t>
      </w:r>
      <w:r>
        <w:rPr>
          <w:rFonts w:hint="eastAsia" w:ascii="宋体" w:hAnsi="宋体"/>
          <w:bCs/>
          <w:sz w:val="24"/>
          <w:szCs w:val="24"/>
          <w:highlight w:val="none"/>
          <w:lang w:eastAsia="zh-CN"/>
        </w:rPr>
        <w:t xml:space="preserve">无锡市江南中学</w:t>
      </w:r>
      <w:r>
        <w:rPr>
          <w:rFonts w:hint="eastAsia" w:ascii="宋体" w:hAnsi="宋体"/>
          <w:bCs/>
          <w:sz w:val="24"/>
          <w:szCs w:val="24"/>
          <w:highlight w:val="none"/>
        </w:rPr>
        <w:t xml:space="preserve">，具体地点以合同书约定为准。中标方必须按采购人要求将本项目中货物送到指定地点（包括可能的分布范围），并分地实施安装调试</w:t>
      </w:r>
      <w:r>
        <w:rPr>
          <w:rFonts w:hint="eastAsia" w:ascii="宋体" w:hAnsi="宋体"/>
          <w:bCs/>
          <w:sz w:val="24"/>
          <w:szCs w:val="24"/>
          <w:highlight w:val="none"/>
          <w:lang w:eastAsia="zh-CN"/>
        </w:rPr>
        <w:t xml:space="preserve">。</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10</w:t>
      </w:r>
      <w:r>
        <w:rPr>
          <w:rFonts w:hint="default" w:ascii="宋体" w:hAnsi="宋体"/>
          <w:bCs/>
          <w:sz w:val="24"/>
          <w:szCs w:val="24"/>
          <w:highlight w:val="none"/>
          <w:lang w:val="en-US" w:eastAsia="zh-CN"/>
        </w:rPr>
        <w:t xml:space="preserve">.安装调试</w:t>
      </w:r>
      <w:r>
        <w:rPr>
          <w:rFonts w:hint="eastAsia" w:ascii="宋体" w:hAnsi="宋体"/>
          <w:bCs/>
          <w:sz w:val="24"/>
          <w:szCs w:val="24"/>
          <w:highlight w:val="none"/>
          <w:lang w:val="en-US" w:eastAsia="zh-CN"/>
        </w:rPr>
        <w:t xml:space="preserve">：中标人</w:t>
      </w:r>
      <w:r>
        <w:rPr>
          <w:rFonts w:hint="default" w:ascii="宋体" w:hAnsi="宋体"/>
          <w:bCs/>
          <w:sz w:val="24"/>
          <w:szCs w:val="24"/>
          <w:highlight w:val="none"/>
          <w:lang w:val="en-US" w:eastAsia="zh-CN"/>
        </w:rPr>
        <w:t xml:space="preserve">负责本项目所有设备的安装、调试，系统建成后要求达到指标中提及的技术要求，完成采购人及其单位的验收。投标人应在采购人指定地点完成主要设备货物到货、安装、调试。</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11</w:t>
      </w:r>
      <w:r>
        <w:rPr>
          <w:rFonts w:hint="default" w:ascii="宋体" w:hAnsi="宋体"/>
          <w:bCs/>
          <w:sz w:val="24"/>
          <w:szCs w:val="24"/>
          <w:highlight w:val="none"/>
          <w:lang w:val="en-US" w:eastAsia="zh-CN"/>
        </w:rPr>
        <w:t xml:space="preserve">.培训</w:t>
      </w:r>
      <w:r>
        <w:rPr>
          <w:rFonts w:hint="eastAsia" w:ascii="宋体" w:hAnsi="宋体"/>
          <w:bCs/>
          <w:sz w:val="24"/>
          <w:szCs w:val="24"/>
          <w:highlight w:val="none"/>
          <w:lang w:val="en-US" w:eastAsia="zh-CN"/>
        </w:rPr>
        <w:t xml:space="preserve">要求：</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default" w:ascii="宋体" w:hAnsi="宋体"/>
          <w:bCs/>
          <w:sz w:val="24"/>
          <w:szCs w:val="24"/>
          <w:highlight w:val="none"/>
          <w:lang w:val="en-US" w:eastAsia="zh-CN"/>
        </w:rPr>
      </w:pPr>
      <w:r>
        <w:rPr>
          <w:rFonts w:hint="default" w:ascii="宋体" w:hAnsi="宋体"/>
          <w:bCs/>
          <w:sz w:val="24"/>
          <w:szCs w:val="24"/>
          <w:highlight w:val="none"/>
          <w:lang w:val="en-US" w:eastAsia="zh-CN"/>
        </w:rPr>
        <w:t xml:space="preserve">（1）投标人对其提供产品的使用和操作应尽培训义务，在培训前</w:t>
      </w:r>
      <w:r>
        <w:rPr>
          <w:rFonts w:hint="eastAsia" w:ascii="宋体" w:hAnsi="宋体"/>
          <w:bCs/>
          <w:sz w:val="24"/>
          <w:szCs w:val="24"/>
          <w:highlight w:val="none"/>
          <w:lang w:val="en-US" w:eastAsia="zh-CN"/>
        </w:rPr>
        <w:t xml:space="preserve">15天</w:t>
      </w:r>
      <w:r>
        <w:rPr>
          <w:rFonts w:hint="default" w:ascii="宋体" w:hAnsi="宋体"/>
          <w:bCs/>
          <w:sz w:val="24"/>
          <w:szCs w:val="24"/>
          <w:highlight w:val="none"/>
          <w:lang w:val="en-US" w:eastAsia="zh-CN"/>
        </w:rPr>
        <w:t xml:space="preserve">提供培训计划和方案，并得到采购人认可。</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default" w:ascii="宋体" w:hAnsi="宋体"/>
          <w:bCs/>
          <w:sz w:val="24"/>
          <w:szCs w:val="24"/>
          <w:highlight w:val="none"/>
          <w:lang w:val="en-US" w:eastAsia="zh-CN"/>
        </w:rPr>
      </w:pPr>
      <w:r>
        <w:rPr>
          <w:rFonts w:hint="default" w:ascii="宋体" w:hAnsi="宋体"/>
          <w:bCs/>
          <w:sz w:val="24"/>
          <w:szCs w:val="24"/>
          <w:highlight w:val="none"/>
          <w:lang w:val="en-US" w:eastAsia="zh-CN"/>
        </w:rPr>
        <w:t xml:space="preserve">（2）针对认可的培训方案由投标人对采购人进行不少于2次培训，</w:t>
      </w:r>
      <w:r>
        <w:rPr>
          <w:rFonts w:hint="eastAsia" w:ascii="宋体" w:hAnsi="宋体"/>
          <w:bCs/>
          <w:sz w:val="24"/>
          <w:szCs w:val="24"/>
          <w:highlight w:val="none"/>
          <w:lang w:val="en-US" w:eastAsia="zh-CN"/>
        </w:rPr>
        <w:t xml:space="preserve">人数不少于3人</w:t>
      </w:r>
      <w:r>
        <w:rPr>
          <w:rFonts w:hint="default" w:ascii="宋体" w:hAnsi="宋体"/>
          <w:bCs/>
          <w:sz w:val="24"/>
          <w:szCs w:val="24"/>
          <w:highlight w:val="none"/>
          <w:lang w:val="en-US" w:eastAsia="zh-CN"/>
        </w:rPr>
        <w:t xml:space="preserve">。</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default" w:ascii="宋体" w:hAnsi="宋体"/>
          <w:bCs/>
          <w:sz w:val="24"/>
          <w:szCs w:val="24"/>
          <w:highlight w:val="none"/>
          <w:lang w:val="en-US" w:eastAsia="zh-CN"/>
        </w:rPr>
      </w:pPr>
      <w:r>
        <w:rPr>
          <w:rFonts w:hint="default" w:ascii="宋体" w:hAnsi="宋体"/>
          <w:bCs/>
          <w:sz w:val="24"/>
          <w:szCs w:val="24"/>
          <w:highlight w:val="none"/>
          <w:lang w:val="en-US" w:eastAsia="zh-CN"/>
        </w:rPr>
        <w:t xml:space="preserve">（3）投标人应派技术熟练的技术人员对采购</w:t>
      </w:r>
      <w:r>
        <w:rPr>
          <w:rFonts w:hint="eastAsia" w:ascii="宋体" w:hAnsi="宋体"/>
          <w:bCs/>
          <w:sz w:val="24"/>
          <w:szCs w:val="24"/>
          <w:highlight w:val="none"/>
          <w:lang w:val="en-US" w:eastAsia="zh-CN"/>
        </w:rPr>
        <w:t xml:space="preserve">方</w:t>
      </w:r>
      <w:r>
        <w:rPr>
          <w:rFonts w:hint="default" w:ascii="宋体" w:hAnsi="宋体"/>
          <w:bCs/>
          <w:sz w:val="24"/>
          <w:szCs w:val="24"/>
          <w:highlight w:val="none"/>
          <w:lang w:val="en-US" w:eastAsia="zh-CN"/>
        </w:rPr>
        <w:t xml:space="preserve">人员进行技术指导和培训，确保采购人能理解和掌握系统各部分的工作原理、正确使用和操作，同时能够独立完成使用规定的各项试验及维修任务。</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bCs/>
          <w:color w:val="000000" w:themeColor="text1"/>
          <w:sz w:val="24"/>
          <w:szCs w:val="24"/>
          <w:highlight w:val="none"/>
          <w14:textFill>
            <w14:solidFill>
              <w14:schemeClr w14:val="tx1"/>
            </w14:solidFill>
          </w14:textFill>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themeColor="text1"/>
          <w:sz w:val="24"/>
          <w:szCs w:val="24"/>
          <w:highlight w:val="none"/>
          <w14:textFill>
            <w14:solidFill>
              <w14:schemeClr w14:val="tx1"/>
            </w14:solidFill>
          </w14:textFill>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cs="Times New Roman"/>
          <w:bCs/>
          <w:color w:val="000000"/>
          <w:sz w:val="24"/>
          <w:szCs w:val="24"/>
          <w:highlight w:val="none"/>
          <w:lang w:val="en-US" w:eastAsia="zh-CN" w:bidi="ar-SA"/>
        </w:rPr>
        <w:t xml:space="preserve">13</w:t>
      </w:r>
      <w:r>
        <w:rPr>
          <w:rFonts w:hint="eastAsia" w:ascii="宋体" w:hAnsi="Times New Roman" w:eastAsia="宋体" w:cs="Times New Roman"/>
          <w:bCs/>
          <w:color w:val="000000"/>
          <w:sz w:val="24"/>
          <w:szCs w:val="24"/>
          <w:highlight w:val="none"/>
          <w:lang w:val="en-US" w:eastAsia="zh-CN" w:bidi="ar-SA"/>
        </w:rPr>
        <w:t xml:space="preserve">.</w:t>
      </w:r>
      <w:r>
        <w:rPr>
          <w:rFonts w:hint="eastAsia" w:ascii="宋体"/>
          <w:bCs/>
          <w:color w:val="000000" w:themeColor="text1"/>
          <w:sz w:val="24"/>
          <w:szCs w:val="24"/>
          <w:highlight w:val="none"/>
          <w14:textFill>
            <w14:solidFill>
              <w14:schemeClr w14:val="tx1"/>
            </w14:solidFill>
          </w14:textFill>
        </w:rPr>
        <w:t xml:space="preserve">根据《关于推</w:t>
      </w:r>
      <w:r>
        <w:rPr>
          <w:rFonts w:hint="eastAsia" w:ascii="宋体"/>
          <w:bCs/>
          <w:color w:val="000000" w:themeColor="text1"/>
          <w:sz w:val="24"/>
          <w:szCs w:val="24"/>
          <w:highlight w:val="none"/>
          <w14:textFill>
            <w14:solidFill>
              <w14:schemeClr w14:val="tx1"/>
            </w14:solidFill>
          </w14:textFill>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cs="Times New Roman"/>
          <w:bCs/>
          <w:color w:val="000000"/>
          <w:sz w:val="24"/>
          <w:szCs w:val="24"/>
          <w:highlight w:val="none"/>
          <w:lang w:val="en-US" w:eastAsia="zh-CN" w:bidi="ar-SA"/>
        </w:rPr>
        <w:t xml:space="preserve">14</w:t>
      </w:r>
      <w:r>
        <w:rPr>
          <w:rFonts w:hint="eastAsia" w:ascii="宋体" w:hAnsi="Times New Roman" w:eastAsia="宋体" w:cs="Times New Roman"/>
          <w:bCs/>
          <w:color w:val="000000"/>
          <w:sz w:val="24"/>
          <w:szCs w:val="24"/>
          <w:highlight w:val="none"/>
          <w:lang w:val="en-US" w:eastAsia="zh-CN" w:bidi="ar-SA"/>
        </w:rPr>
        <w:t xml:space="preserve">.</w:t>
      </w:r>
      <w:r>
        <w:rPr>
          <w:rFonts w:hint="eastAsia" w:ascii="宋体" w:hAnsi="宋体"/>
          <w:bCs/>
          <w:color w:val="000000" w:themeColor="text1"/>
          <w:sz w:val="24"/>
          <w:highlight w:val="non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highlight w:val="none"/>
          <w:lang w:val="en-US" w:eastAsia="zh-CN" w:bidi="ar-SA"/>
        </w:rPr>
        <w:t xml:space="preserve">1</w:t>
      </w:r>
      <w:r>
        <w:rPr>
          <w:rFonts w:hint="eastAsia" w:ascii="宋体" w:cs="Times New Roman"/>
          <w:bCs/>
          <w:color w:val="000000"/>
          <w:sz w:val="24"/>
          <w:szCs w:val="24"/>
          <w:highlight w:val="none"/>
          <w:lang w:val="en-US" w:eastAsia="zh-CN" w:bidi="ar-SA"/>
        </w:rPr>
        <w:t xml:space="preserve">5</w:t>
      </w:r>
      <w:r>
        <w:rPr>
          <w:rFonts w:hint="eastAsia" w:ascii="宋体" w:hAnsi="Times New Roman" w:eastAsia="宋体" w:cs="Times New Roman"/>
          <w:bCs/>
          <w:color w:val="000000"/>
          <w:sz w:val="24"/>
          <w:szCs w:val="24"/>
          <w:highlight w:val="none"/>
          <w:lang w:val="en-US" w:eastAsia="zh-CN" w:bidi="ar-SA"/>
        </w:rPr>
        <w:t xml:space="preserve">.</w:t>
      </w:r>
      <w:r>
        <w:rPr>
          <w:rFonts w:hint="eastAsia" w:ascii="宋体"/>
          <w:bCs/>
          <w:color w:val="000000" w:themeColor="text1"/>
          <w:sz w:val="24"/>
          <w:szCs w:val="24"/>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none"/>
          <w14:textFill>
            <w14:solidFill>
              <w14:schemeClr w14:val="tx1"/>
            </w14:solidFill>
          </w14:textFill>
        </w:rPr>
      </w:pPr>
      <w:r>
        <w:rPr>
          <w:rFonts w:hint="eastAsia" w:ascii="宋体"/>
          <w:bCs/>
          <w:sz w:val="24"/>
          <w:szCs w:val="24"/>
          <w:highlight w:val="none"/>
        </w:rPr>
        <w:t xml:space="preserve">1</w:t>
      </w:r>
      <w:r>
        <w:rPr>
          <w:rFonts w:hint="eastAsia" w:ascii="宋体"/>
          <w:bCs/>
          <w:sz w:val="24"/>
          <w:szCs w:val="24"/>
          <w:highlight w:val="none"/>
          <w:lang w:val="en-US" w:eastAsia="zh-CN"/>
        </w:rPr>
        <w:t xml:space="preserve">6</w:t>
      </w:r>
      <w:r>
        <w:rPr>
          <w:rFonts w:hint="eastAsia" w:ascii="宋体"/>
          <w:bCs/>
          <w:sz w:val="24"/>
          <w:szCs w:val="24"/>
          <w:highlight w:val="none"/>
        </w:rPr>
        <w:t xml:space="preserve">.</w:t>
      </w:r>
      <w:r>
        <w:rPr>
          <w:rFonts w:hint="eastAsia" w:ascii="宋体" w:hAnsi="宋体"/>
          <w:bCs/>
          <w:color w:val="000000" w:themeColor="text1"/>
          <w:sz w:val="24"/>
          <w:highlight w:val="none"/>
          <w14:textFill>
            <w14:solidFill>
              <w14:schemeClr w14:val="tx1"/>
            </w14:solidFill>
          </w14:textFill>
        </w:rPr>
        <w:t xml:space="preserve">开标后，投标人须自行准备设备（包括但不限于笔记本电脑、无线网络）登录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numPr>
          <w:ilvl w:val="0"/>
          <w:numId w:val="0"/>
        </w:numPr>
        <w:ind w:firstLine="480"/>
        <w:jc w:val="left"/>
        <w:spacing w:line="360" w:lineRule="auto"/>
        <w:rPr>
          <w:rFonts w:hint="eastAsia" w:ascii="宋体" w:hAnsi="宋体" w:cs="Times New Roman"/>
          <w:color w:val="000000"/>
          <w:sz w:val="24"/>
          <w:szCs w:val="24"/>
          <w:highlight w:val="none"/>
          <w:lang w:val="en-US" w:eastAsia="zh-CN"/>
        </w:rPr>
      </w:pPr>
      <w:r>
        <w:rPr>
          <w:rFonts w:hint="eastAsia" w:ascii="宋体" w:hAnsi="宋体"/>
          <w:bCs/>
          <w:color w:val="000000" w:themeColor="text1"/>
          <w:sz w:val="24"/>
          <w:highlight w:val="none"/>
          <w:lang w:val="en-US" w:eastAsia="zh-CN"/>
          <w14:textFill>
            <w14:solidFill>
              <w14:schemeClr w14:val="tx1"/>
            </w14:solidFill>
          </w14:textFill>
        </w:rPr>
        <w:t xml:space="preserve">17.</w:t>
      </w:r>
      <w:r>
        <w:rPr>
          <w:rFonts w:hint="eastAsia" w:ascii="宋体" w:hAnsi="宋体" w:cs="Times New Roman"/>
          <w:color w:val="000000"/>
          <w:sz w:val="24"/>
          <w:szCs w:val="24"/>
          <w:highlight w:val="none"/>
          <w:lang w:val="en-US" w:eastAsia="zh-CN" w:bidi="ar-SA"/>
        </w:rPr>
        <w:t xml:space="preserve">实验室</w:t>
      </w:r>
      <w:r>
        <w:rPr>
          <w:rFonts w:hint="eastAsia" w:ascii="宋体" w:hAnsi="宋体" w:cs="Times New Roman"/>
          <w:color w:val="000000"/>
          <w:sz w:val="24"/>
          <w:szCs w:val="24"/>
          <w:highlight w:val="none"/>
          <w:lang w:val="en-US" w:eastAsia="zh-CN"/>
        </w:rPr>
        <w:t xml:space="preserve">图纸（单位：mm）</w:t>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mc:AlternateContent>
          <mc:Choice Requires="wpg">
            <w:drawing>
              <wp:inline xmlns:wp="http://schemas.openxmlformats.org/drawingml/2006/wordprocessingDrawing" distT="0" distB="0" distL="0" distR="0">
                <wp:extent cx="5674360" cy="2286000"/>
                <wp:effectExtent l="0" t="0" r="2540" b="0"/>
                <wp:docPr id="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33"/>
                        <a:stretch/>
                      </pic:blipFill>
                      <pic:spPr bwMode="auto">
                        <a:xfrm>
                          <a:off x="0" y="0"/>
                          <a:ext cx="5674360" cy="2286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46.8pt;height:180.0pt;mso-wrap-distance-left:0.0pt;mso-wrap-distance-top:0.0pt;mso-wrap-distance-right:0.0pt;mso-wrap-distance-bottom:0.0pt;" stroked="f">
                <v:path textboxrect="0,0,0,0"/>
                <v:imagedata r:id="rId33" o:title=""/>
              </v:shape>
            </w:pict>
          </mc:Fallback>
        </mc:AlternateContent>
      </w:r>
      <w:r>
        <w:rPr>
          <w:rFonts w:ascii="宋体" w:hAnsi="宋体"/>
          <w:bCs/>
          <w:color w:val="000000" w:themeColor="text1"/>
          <w:sz w:val="24"/>
          <w:highlight w:val="none"/>
          <w14:textFill>
            <w14:solidFill>
              <w14:schemeClr w14:val="tx1"/>
            </w14:solidFill>
          </w14:textFill>
        </w:rPr>
        <w:br w:type="page" w:clear="all"/>
      </w:r>
      <w:r>
        <w:rPr>
          <w:rFonts w:hint="eastAsia" w:ascii="宋体" w:hAnsi="宋体"/>
          <w:b/>
          <w:color w:val="000000" w:themeColor="text1"/>
          <w:sz w:val="30"/>
          <w:szCs w:val="30"/>
          <w:highlight w:val="none"/>
          <w14:textFill>
            <w14:solidFill>
              <w14:schemeClr w14:val="tx1"/>
            </w14:solidFill>
          </w14:textFill>
        </w:rPr>
        <w:t xml:space="preserve">第</w:t>
      </w:r>
      <w:r>
        <w:rPr>
          <w:rFonts w:hint="eastAsia" w:ascii="宋体" w:hAnsi="宋体"/>
          <w:b/>
          <w:color w:val="000000" w:themeColor="text1"/>
          <w:sz w:val="30"/>
          <w:szCs w:val="30"/>
          <w:highlight w:val="none"/>
          <w:lang w:val="en-US" w:eastAsia="zh-CN"/>
          <w14:textFill>
            <w14:solidFill>
              <w14:schemeClr w14:val="tx1"/>
            </w14:solidFill>
          </w14:textFill>
        </w:rPr>
        <w:t xml:space="preserve">三</w:t>
      </w:r>
      <w:r>
        <w:rPr>
          <w:rFonts w:hint="eastAsia" w:ascii="宋体" w:hAnsi="宋体"/>
          <w:b/>
          <w:color w:val="000000" w:themeColor="text1"/>
          <w:sz w:val="30"/>
          <w:szCs w:val="30"/>
          <w:highlight w:val="none"/>
          <w14:textFill>
            <w14:solidFill>
              <w14:schemeClr w14:val="tx1"/>
            </w14:solidFill>
          </w14:textFill>
        </w:rPr>
        <w:t xml:space="preserve">部分  政府采购政策（包括但不限于下列具体政策要求）</w:t>
      </w:r>
      <w:r/>
    </w:p>
    <w:p>
      <w:pPr>
        <w:numPr>
          <w:ilvl w:val="1"/>
          <w:numId w:val="13"/>
        </w:numPr>
        <w:ind w:left="0" w:firstLine="525"/>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3"/>
        </w:numPr>
        <w:ind w:left="0" w:firstLine="525"/>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13"/>
        </w:numPr>
        <w:ind w:left="0" w:firstLine="525"/>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3"/>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有关中小企业政策，如</w:t>
      </w:r>
      <w:r>
        <w:rPr>
          <w:rFonts w:hint="eastAsia" w:ascii="宋体" w:hAnsi="宋体"/>
          <w:color w:val="000000" w:themeColor="text1"/>
          <w:sz w:val="24"/>
          <w:szCs w:val="24"/>
          <w:highlight w:val="none"/>
          <w14:textFill>
            <w14:solidFill>
              <w14:schemeClr w14:val="tx1"/>
            </w14:solidFill>
          </w14:textFill>
        </w:rPr>
        <w:t xml:space="preserve">落实政府采购政策需满足的资格要求以及落实政府采购政策的价格调整的相关内容可详见本文件其他章节。</w:t>
      </w:r>
      <w:r/>
    </w:p>
    <w:p>
      <w:pPr>
        <w:numPr>
          <w:ilvl w:val="1"/>
          <w:numId w:val="13"/>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numPr>
          <w:ilvl w:val="1"/>
          <w:numId w:val="13"/>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中标、成交供应商可以采用电子履约保函形式缴纳履约保证金，具体操作可登录江苏政府采购网（http://www.ccgp-jiangsu.gov.cn/）的保险保函模块进行办理。</w:t>
      </w:r>
      <w:r/>
    </w:p>
    <w:p>
      <w:pPr>
        <w:numPr>
          <w:ilvl w:val="1"/>
          <w:numId w:val="13"/>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14:textFill>
            <w14:solidFill>
              <w14:schemeClr w14:val="tx1"/>
            </w14:solidFill>
          </w14:textFill>
        </w:rPr>
        <w:t xml:space="preserve">采购人可在合同中约定，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履约验收管理时，可对所提供的七种软硬件进行验收，必要时可以委托依法取得检测、认证资质的机构进行检测、认证。</w:t>
      </w:r>
      <w:r/>
    </w:p>
    <w:p>
      <w:pPr>
        <w:numPr>
          <w:ilvl w:val="1"/>
          <w:numId w:val="13"/>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r/>
    </w:p>
    <w:p>
      <w:pPr>
        <w:numPr>
          <w:ilvl w:val="1"/>
          <w:numId w:val="13"/>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3"/>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w:t>
      </w:r>
      <w:bookmarkStart w:id="195" w:name="OLE_LINK1"/>
      <w:r/>
      <w:bookmarkStart w:id="196" w:name="OLE_LINK2"/>
      <w:r>
        <w:rPr>
          <w:rFonts w:hint="eastAsia" w:ascii="宋体"/>
          <w:bCs/>
          <w:color w:val="000000" w:themeColor="text1"/>
          <w:sz w:val="24"/>
          <w:szCs w:val="24"/>
          <w:highlight w:val="none"/>
          <w14:textFill>
            <w14:solidFill>
              <w14:schemeClr w14:val="tx1"/>
            </w14:solidFill>
          </w14:textFill>
        </w:rPr>
        <w:t xml:space="preserve">《保障中小企业款项支付条例》（中华人民共和国国务院令第802号）</w:t>
      </w:r>
      <w:bookmarkEnd w:id="195"/>
      <w:r/>
      <w:bookmarkEnd w:id="196"/>
      <w:r>
        <w:rPr>
          <w:rFonts w:hint="eastAsia" w:ascii="宋体"/>
          <w:bCs/>
          <w:color w:val="000000" w:themeColor="text1"/>
          <w:sz w:val="24"/>
          <w:szCs w:val="24"/>
          <w:highlight w:val="none"/>
          <w14:textFill>
            <w14:solidFill>
              <w14:schemeClr w14:val="tx1"/>
            </w14:solidFill>
          </w14:textFill>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机关、事业单位和大型企业采购货物、工程、服务支付中小企业款项，应当遵守《保障中小企业款项支付条例》（中华人民共和国国务院令第802号）。</w:t>
      </w:r>
      <w:r/>
    </w:p>
    <w:p>
      <w:pPr>
        <w:numPr>
          <w:ilvl w:val="1"/>
          <w:numId w:val="13"/>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根据《关于推动解决政府采购异常低价问题的通知》（财库〔2026〕2号）要求，</w:t>
      </w:r>
      <w:r>
        <w:rPr>
          <w:rFonts w:hint="eastAsia" w:ascii="宋体"/>
          <w:bCs/>
          <w:color w:val="000000" w:themeColor="text1"/>
          <w:sz w:val="24"/>
          <w:szCs w:val="24"/>
          <w:highlight w:val="none"/>
          <w:lang w:val="en"/>
          <w14:textFill>
            <w14:solidFill>
              <w14:schemeClr w14:val="tx1"/>
            </w14:solidFill>
          </w14:textFill>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13"/>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bCs/>
          <w:color w:val="000000" w:themeColor="text1"/>
          <w:sz w:val="24"/>
          <w:szCs w:val="24"/>
          <w:highlight w:val="none"/>
          <w14:textFill>
            <w14:solidFill>
              <w14:schemeClr w14:val="tx1"/>
            </w14:solidFill>
          </w14:textFill>
        </w:rPr>
        <w:br w:type="page" w:clear="all"/>
      </w:r>
      <w:bookmarkStart w:id="197" w:name="_Toc120614281"/>
      <w:r>
        <w:rPr>
          <w:rFonts w:hint="eastAsia" w:ascii="黑体" w:hAnsi="黑体" w:eastAsia="黑体"/>
          <w:color w:val="000000" w:themeColor="text1"/>
          <w:sz w:val="36"/>
          <w:szCs w:val="36"/>
          <w:highlight w:val="none"/>
          <w14:textFill>
            <w14:solidFill>
              <w14:schemeClr w14:val="tx1"/>
            </w14:solidFill>
          </w14:textFill>
        </w:rPr>
        <w:t xml:space="preserve">第五章  评标方法与评标标准</w:t>
      </w:r>
      <w:r/>
    </w:p>
    <w:p>
      <w:pPr>
        <w:pStyle w:val="89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897"/>
        <w:spacing w:before="0" w:after="0" w:line="500" w:lineRule="exact"/>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897"/>
        <w:spacing w:before="0" w:after="0" w:line="500" w:lineRule="exact"/>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897"/>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w:t>
      </w:r>
      <w:r>
        <w:rPr>
          <w:rStyle w:val="904"/>
          <w:rFonts w:ascii="宋体" w:hAnsi="宋体"/>
          <w:highlight w:val="none"/>
        </w:rPr>
        <w:t xml:space="preserve">为中标单位；最高得分并列则按技术指标得分高的投标人为</w:t>
      </w:r>
      <w:r>
        <w:rPr>
          <w:rFonts w:hint="eastAsia" w:ascii="宋体" w:hAnsi="宋体"/>
          <w:bCs/>
          <w:color w:val="000000" w:themeColor="text1"/>
          <w:highlight w:val="none"/>
          <w14:textFill>
            <w14:solidFill>
              <w14:schemeClr w14:val="tx1"/>
            </w14:solidFill>
          </w14:textFill>
        </w:rPr>
        <w:t xml:space="preserve">中标</w:t>
      </w:r>
      <w:r>
        <w:rPr>
          <w:rStyle w:val="904"/>
          <w:rFonts w:ascii="宋体" w:hAnsi="宋体"/>
          <w:highlight w:val="none"/>
        </w:rPr>
        <w:t xml:space="preserve">单位</w:t>
      </w:r>
      <w:r>
        <w:rPr>
          <w:rFonts w:hint="eastAsia" w:ascii="宋体" w:hAnsi="宋体"/>
          <w:bCs/>
          <w:color w:val="000000" w:themeColor="text1"/>
          <w:highlight w:val="none"/>
          <w14:textFill>
            <w14:solidFill>
              <w14:schemeClr w14:val="tx1"/>
            </w14:solidFill>
          </w14:textFill>
        </w:rPr>
        <w:t xml:space="preserve">。</w:t>
      </w:r>
      <w:r/>
    </w:p>
    <w:p>
      <w:pPr>
        <w:pStyle w:val="897"/>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w:t>
      </w:r>
      <w:r>
        <w:rPr>
          <w:rStyle w:val="904"/>
          <w:rFonts w:hint="eastAsia" w:ascii="宋体" w:hAnsi="宋体"/>
          <w:highlight w:val="none"/>
        </w:rPr>
        <w:t xml:space="preserve">投标人，则</w:t>
      </w:r>
      <w:r>
        <w:rPr>
          <w:rStyle w:val="904"/>
          <w:rFonts w:ascii="宋体" w:hAnsi="宋体"/>
          <w:highlight w:val="none"/>
        </w:rPr>
        <w:t xml:space="preserve">技术指标得分高的</w:t>
      </w:r>
      <w:r>
        <w:rPr>
          <w:rFonts w:hint="eastAsia" w:ascii="宋体" w:hAnsi="宋体"/>
          <w:bCs/>
          <w:color w:val="000000" w:themeColor="text1"/>
          <w:highlight w:val="none"/>
          <w14:textFill>
            <w14:solidFill>
              <w14:schemeClr w14:val="tx1"/>
            </w14:solidFill>
          </w14:textFill>
        </w:rPr>
        <w:t xml:space="preserve">投标人获得评审排名资格，其他同品牌投标人无评审排名资格。非单一产品采购项目，多家投标人提供的核心产品品牌相同的，同上处理。</w:t>
      </w:r>
      <w:r/>
    </w:p>
    <w:p>
      <w:pPr>
        <w:pStyle w:val="89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9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9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9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9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9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9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9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9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9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9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9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9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9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897"/>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第二部分  评标标准</w:t>
      </w:r>
      <w:r/>
    </w:p>
    <w:p>
      <w:pPr>
        <w:pStyle w:val="897"/>
        <w:ind w:firstLine="56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highlight w:val="none"/>
          <w:lang w:val="en-US" w:eastAsia="zh-CN"/>
        </w:rPr>
        <w:t xml:space="preserve">2.</w:t>
      </w:r>
      <w:r>
        <w:rPr>
          <w:rFonts w:hint="eastAsia" w:ascii="宋体" w:hAnsi="宋体"/>
          <w:bCs/>
          <w:color w:val="000000" w:themeColor="text1"/>
          <w:sz w:val="24"/>
          <w:szCs w:val="24"/>
          <w:highlight w:val="none"/>
          <w14:textFill>
            <w14:solidFill>
              <w14:schemeClr w14:val="tx1"/>
            </w14:solidFill>
          </w14:textFill>
        </w:rPr>
        <w:t xml:space="preserve">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14:textFill>
            <w14:solidFill>
              <w14:schemeClr w14:val="tx1"/>
            </w14:solidFill>
          </w14:textFill>
        </w:rPr>
        <w:t xml:space="preserve">201</w:t>
      </w:r>
      <w:r>
        <w:rPr>
          <w:rFonts w:hint="eastAsia" w:ascii="宋体" w:hAnsi="宋体"/>
          <w:bCs/>
          <w:color w:val="000000" w:themeColor="text1"/>
          <w:sz w:val="24"/>
          <w:szCs w:val="24"/>
          <w:highlight w:val="none"/>
          <w14:textFill>
            <w14:solidFill>
              <w14:schemeClr w14:val="tx1"/>
            </w14:solidFill>
          </w14:textFill>
        </w:rPr>
        <w:t xml:space="preserve">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highlight w:val="none"/>
        </w:rPr>
        <w:t xml:space="preserve">3.</w:t>
      </w:r>
      <w:r>
        <w:rPr>
          <w:rFonts w:hint="eastAsia" w:ascii="宋体" w:hAnsi="宋体"/>
          <w:bCs/>
          <w:color w:val="000000" w:themeColor="text1"/>
          <w:sz w:val="24"/>
          <w:szCs w:val="24"/>
          <w:highlight w:val="none"/>
          <w14:textFill>
            <w14:solidFill>
              <w14:schemeClr w14:val="tx1"/>
            </w14:solidFill>
          </w14:textFill>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highlight w:val="none"/>
        </w:rPr>
        <w:t xml:space="preserve">4.</w:t>
      </w:r>
      <w:r>
        <w:rPr>
          <w:rFonts w:hint="eastAsia" w:ascii="宋体" w:hAnsi="宋体"/>
          <w:bCs/>
          <w:color w:val="000000" w:themeColor="text1"/>
          <w:sz w:val="24"/>
          <w:szCs w:val="24"/>
          <w:highlight w:val="none"/>
          <w14:textFill>
            <w14:solidFill>
              <w14:schemeClr w14:val="tx1"/>
            </w14:solidFill>
          </w14:textFill>
        </w:rPr>
        <w:t xml:space="preserve">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highlight w:val="none"/>
        </w:rPr>
        <w:t xml:space="preserve">5.</w:t>
      </w:r>
      <w:r>
        <w:rPr>
          <w:rFonts w:hint="eastAsia" w:ascii="宋体" w:hAnsi="宋体"/>
          <w:bCs/>
          <w:color w:val="000000" w:themeColor="text1"/>
          <w:sz w:val="24"/>
          <w:szCs w:val="24"/>
          <w:highlight w:val="none"/>
          <w14:textFill>
            <w14:solidFill>
              <w14:schemeClr w14:val="tx1"/>
            </w14:solidFill>
          </w14:textFill>
        </w:rPr>
        <w:t xml:space="preserve">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pStyle w:val="897"/>
        <w:ind w:firstLine="360"/>
        <w:keepLines w:val="0"/>
        <w:keepNext w:val="0"/>
        <w:pageBreakBefore w:val="0"/>
        <w:spacing w:before="0" w:after="0" w:line="360" w:lineRule="auto"/>
        <w:widowControl w:val="off"/>
        <w:rPr>
          <w:rFonts w:hint="eastAsia" w:ascii="宋体" w:hAnsi="宋体"/>
          <w:color w:val="000000" w:themeColor="text1"/>
          <w:highlight w:val="none"/>
          <w:shd w:val="clear" w:color="ffffff" w:fill="d9d9d9"/>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宋体" w:hAnsi="宋体"/>
          <w:b/>
          <w:color w:val="000000" w:themeColor="text1"/>
          <w:sz w:val="28"/>
          <w:szCs w:val="28"/>
          <w:highlight w:val="none"/>
          <w14:textFill>
            <w14:solidFill>
              <w14:schemeClr w14:val="tx1"/>
            </w14:solidFill>
          </w14:textFill>
        </w:rPr>
        <w:t xml:space="preserve">二、评分标准</w:t>
      </w:r>
      <w:r/>
    </w:p>
    <w:p>
      <w:pPr>
        <w:numPr>
          <w:ilvl w:val="4"/>
          <w:numId w:val="0"/>
        </w:numPr>
        <w:ind w:left="0"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ascii="宋体" w:hAnsi="宋体"/>
          <w:b/>
          <w:bCs/>
          <w:color w:val="000000" w:themeColor="text1"/>
          <w:sz w:val="24"/>
          <w:szCs w:val="24"/>
          <w:highlight w:val="none"/>
          <w14:textFill>
            <w14:solidFill>
              <w14:schemeClr w14:val="tx1"/>
            </w14:solidFill>
          </w14:textFill>
        </w:rPr>
      </w:pPr>
      <w:r>
        <w:rPr>
          <w:rFonts w:hint="default" w:ascii="宋体" w:hAnsi="宋体" w:eastAsia="宋体" w:cs="Times New Roman"/>
          <w:b/>
          <w:bCs/>
          <w:color w:val="000000"/>
          <w:sz w:val="24"/>
          <w:szCs w:val="24"/>
          <w:highlight w:val="none"/>
          <w:lang w:val="en-US" w:eastAsia="zh-CN" w:bidi="ar-SA"/>
        </w:rPr>
        <w:t xml:space="preserve">1.</w:t>
      </w:r>
      <w:r>
        <w:rPr>
          <w:rFonts w:hint="eastAsia" w:ascii="宋体" w:hAnsi="宋体"/>
          <w:b/>
          <w:bCs/>
          <w:color w:val="000000" w:themeColor="text1"/>
          <w:sz w:val="24"/>
          <w:szCs w:val="24"/>
          <w:highlight w:val="none"/>
          <w14:textFill>
            <w14:solidFill>
              <w14:schemeClr w14:val="tx1"/>
            </w14:solidFill>
          </w14:textFill>
        </w:rPr>
        <w:t xml:space="preserve">价格（</w:t>
      </w:r>
      <w:r>
        <w:rPr>
          <w:rFonts w:hint="eastAsia" w:ascii="宋体" w:hAnsi="宋体"/>
          <w:b/>
          <w:bCs/>
          <w:sz w:val="24"/>
          <w:szCs w:val="24"/>
          <w:highlight w:val="none"/>
        </w:rPr>
        <w:t xml:space="preserve">30</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widowControl w:val="off"/>
        <w:tabs>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投标报价得分</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（评标基准价／投标报价）×价格权值×</w:t>
      </w:r>
      <w:r>
        <w:rPr>
          <w:rFonts w:ascii="宋体" w:hAnsi="宋体"/>
          <w:bCs/>
          <w:color w:val="000000" w:themeColor="text1"/>
          <w:sz w:val="24"/>
          <w:szCs w:val="24"/>
          <w:highlight w:val="none"/>
          <w14:textFill>
            <w14:solidFill>
              <w14:schemeClr w14:val="tx1"/>
            </w14:solidFill>
          </w14:textFill>
        </w:rPr>
        <w:t xml:space="preserve">100</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因落实政府采购政策进行价格调整的，以调整后的价格计算评标基准价和投标报价。关于价格扣除详见本章第二部分“一、落实政府采购政策的价格调整”。</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2.商务部分（</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10</w:t>
      </w:r>
      <w:r>
        <w:rPr>
          <w:rFonts w:hint="eastAsia" w:ascii="宋体" w:hAnsi="宋体"/>
          <w:b/>
          <w:bCs w:val="0"/>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s="宋体"/>
          <w:sz w:val="24"/>
          <w:szCs w:val="32"/>
          <w:highlight w:val="none"/>
          <w:lang w:eastAsia="zh-CN"/>
        </w:rPr>
      </w:pPr>
      <w:r>
        <w:rPr>
          <w:rFonts w:hint="eastAsia" w:ascii="宋体" w:hAnsi="宋体"/>
          <w:bCs/>
          <w:color w:val="000000" w:themeColor="text1"/>
          <w:sz w:val="24"/>
          <w:szCs w:val="24"/>
          <w:highlight w:val="none"/>
          <w14:textFill>
            <w14:solidFill>
              <w14:schemeClr w14:val="tx1"/>
            </w14:solidFill>
          </w14:textFill>
        </w:rPr>
        <w:t xml:space="preserve">2.1</w:t>
      </w:r>
      <w:r>
        <w:rPr>
          <w:rFonts w:hint="eastAsia" w:ascii="宋体" w:hAnsi="宋体" w:eastAsia="宋体" w:cs="宋体"/>
          <w:sz w:val="24"/>
          <w:szCs w:val="32"/>
          <w:highlight w:val="none"/>
        </w:rPr>
        <w:t xml:space="preserve">体系认证（3分）：投标人具有</w:t>
      </w:r>
      <w:r>
        <w:rPr>
          <w:rFonts w:hint="eastAsia" w:ascii="宋体" w:hAnsi="宋体" w:cs="宋体"/>
          <w:sz w:val="24"/>
          <w:szCs w:val="32"/>
          <w:highlight w:val="none"/>
          <w:lang w:val="en-US" w:eastAsia="zh-CN"/>
        </w:rPr>
        <w:t xml:space="preserve">有效期内的环境</w:t>
      </w:r>
      <w:r>
        <w:rPr>
          <w:rFonts w:hint="eastAsia" w:ascii="宋体" w:hAnsi="宋体" w:eastAsia="宋体" w:cs="宋体"/>
          <w:sz w:val="24"/>
          <w:szCs w:val="32"/>
          <w:highlight w:val="none"/>
        </w:rPr>
        <w:t xml:space="preserve">管理体系认证证书得1分、</w:t>
      </w:r>
      <w:r>
        <w:rPr>
          <w:rFonts w:hint="eastAsia" w:ascii="宋体" w:hAnsi="宋体" w:cs="宋体"/>
          <w:sz w:val="24"/>
          <w:szCs w:val="32"/>
          <w:highlight w:val="none"/>
          <w:lang w:val="en-US" w:eastAsia="zh-CN"/>
        </w:rPr>
        <w:t xml:space="preserve">职业健康安全</w:t>
      </w:r>
      <w:r>
        <w:rPr>
          <w:rFonts w:hint="eastAsia" w:ascii="宋体" w:hAnsi="宋体" w:eastAsia="宋体" w:cs="宋体"/>
          <w:sz w:val="24"/>
          <w:szCs w:val="32"/>
          <w:highlight w:val="none"/>
        </w:rPr>
        <w:t xml:space="preserve">管理体系认证证书得1分、质量管理体系认证证书得1分</w:t>
      </w:r>
      <w:r>
        <w:rPr>
          <w:rFonts w:hint="eastAsia" w:ascii="宋体" w:hAnsi="宋体" w:cs="宋体"/>
          <w:sz w:val="24"/>
          <w:szCs w:val="32"/>
          <w:highlight w:val="none"/>
          <w:lang w:eastAsia="zh-CN"/>
        </w:rPr>
        <w:t xml:space="preserve">，</w:t>
      </w:r>
      <w:r>
        <w:rPr>
          <w:rFonts w:hint="eastAsia" w:ascii="宋体" w:hAnsi="宋体" w:cs="宋体"/>
          <w:sz w:val="24"/>
          <w:szCs w:val="32"/>
          <w:highlight w:val="none"/>
          <w:lang w:val="en-US" w:eastAsia="zh-CN"/>
        </w:rPr>
        <w:t xml:space="preserve">本项</w:t>
      </w:r>
      <w:r>
        <w:rPr>
          <w:rFonts w:hint="eastAsia" w:ascii="宋体" w:hAnsi="宋体" w:eastAsia="宋体" w:cs="宋体"/>
          <w:sz w:val="24"/>
          <w:szCs w:val="32"/>
          <w:highlight w:val="none"/>
        </w:rPr>
        <w:t xml:space="preserve">最高得3分</w:t>
      </w:r>
      <w:r>
        <w:rPr>
          <w:rFonts w:hint="eastAsia" w:ascii="宋体" w:hAnsi="宋体" w:cs="宋体"/>
          <w:sz w:val="24"/>
          <w:szCs w:val="32"/>
          <w:highlight w:val="none"/>
          <w:lang w:eastAsia="zh-CN"/>
        </w:rPr>
        <w:t xml:space="preserve">。（</w:t>
      </w:r>
      <w:r>
        <w:rPr>
          <w:rFonts w:hint="eastAsia" w:ascii="宋体" w:hAnsi="宋体" w:eastAsia="宋体" w:cs="宋体"/>
          <w:sz w:val="24"/>
          <w:szCs w:val="32"/>
          <w:highlight w:val="none"/>
        </w:rPr>
        <w:t xml:space="preserve">提供相应有效认证证书扫描件，</w:t>
      </w:r>
      <w:r>
        <w:rPr>
          <w:rFonts w:hint="eastAsia" w:ascii="宋体" w:hAnsi="宋体" w:cs="宋体"/>
          <w:sz w:val="24"/>
          <w:szCs w:val="32"/>
          <w:highlight w:val="none"/>
          <w:lang w:val="en-US" w:eastAsia="zh-CN"/>
        </w:rPr>
        <w:t xml:space="preserve">及</w:t>
      </w:r>
      <w:r>
        <w:rPr>
          <w:rFonts w:hint="eastAsia" w:ascii="宋体" w:hAnsi="宋体" w:eastAsia="宋体" w:cs="宋体"/>
          <w:sz w:val="24"/>
          <w:szCs w:val="32"/>
          <w:highlight w:val="none"/>
        </w:rPr>
        <w:t xml:space="preserve">该证书在“国家市场监督管理总局</w:t>
      </w:r>
      <w:r>
        <w:rPr>
          <w:rFonts w:hint="eastAsia" w:ascii="宋体" w:hAnsi="宋体" w:cs="宋体"/>
          <w:sz w:val="24"/>
          <w:szCs w:val="32"/>
          <w:highlight w:val="none"/>
          <w:lang w:eastAsia="zh-CN"/>
        </w:rPr>
        <w:t xml:space="preserve">－</w:t>
      </w:r>
      <w:r>
        <w:rPr>
          <w:rFonts w:hint="eastAsia" w:ascii="宋体" w:hAnsi="宋体" w:eastAsia="宋体" w:cs="宋体"/>
          <w:sz w:val="24"/>
          <w:szCs w:val="32"/>
          <w:highlight w:val="none"/>
        </w:rPr>
        <w:t xml:space="preserve">全国认证认可信息公共服务平台”网站查询到的有效认证截图并加盖投标人公章。</w:t>
      </w:r>
      <w:r>
        <w:rPr>
          <w:rFonts w:hint="eastAsia" w:ascii="宋体" w:hAnsi="宋体" w:cs="宋体"/>
          <w:sz w:val="24"/>
          <w:szCs w:val="32"/>
          <w:highlight w:val="none"/>
          <w:lang w:eastAsia="zh-CN"/>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s="宋体"/>
          <w:sz w:val="24"/>
          <w:szCs w:val="32"/>
          <w:highlight w:val="none"/>
          <w:lang w:eastAsia="zh-CN"/>
        </w:rPr>
      </w:pPr>
      <w:r>
        <w:rPr>
          <w:rFonts w:hint="eastAsia" w:ascii="宋体" w:hAnsi="宋体" w:cs="宋体"/>
          <w:sz w:val="24"/>
          <w:szCs w:val="32"/>
          <w:highlight w:val="none"/>
          <w:lang w:val="en-US" w:eastAsia="zh-CN"/>
        </w:rPr>
        <w:t xml:space="preserve">2.2</w:t>
      </w:r>
      <w:r>
        <w:rPr>
          <w:rFonts w:hint="eastAsia" w:ascii="宋体" w:hAnsi="宋体" w:eastAsia="宋体" w:cs="宋体"/>
          <w:sz w:val="24"/>
          <w:szCs w:val="32"/>
          <w:highlight w:val="none"/>
        </w:rPr>
        <w:t xml:space="preserve">业绩（</w:t>
      </w:r>
      <w:r>
        <w:rPr>
          <w:rFonts w:hint="eastAsia" w:ascii="宋体" w:hAnsi="宋体" w:eastAsia="宋体" w:cs="宋体"/>
          <w:sz w:val="24"/>
          <w:szCs w:val="32"/>
          <w:highlight w:val="none"/>
          <w:lang w:val="en-US" w:eastAsia="zh-CN"/>
        </w:rPr>
        <w:t xml:space="preserve">3</w:t>
      </w:r>
      <w:r>
        <w:rPr>
          <w:rFonts w:hint="eastAsia" w:ascii="宋体" w:hAnsi="宋体" w:eastAsia="宋体" w:cs="宋体"/>
          <w:sz w:val="24"/>
          <w:szCs w:val="32"/>
          <w:highlight w:val="none"/>
        </w:rPr>
        <w:t xml:space="preserve">分）：投标人自202</w:t>
      </w:r>
      <w:r>
        <w:rPr>
          <w:rFonts w:hint="eastAsia" w:ascii="宋体" w:hAnsi="宋体" w:cs="宋体"/>
          <w:sz w:val="24"/>
          <w:szCs w:val="32"/>
          <w:highlight w:val="none"/>
          <w:lang w:val="en-US" w:eastAsia="zh-CN"/>
        </w:rPr>
        <w:t xml:space="preserve">1</w:t>
      </w:r>
      <w:r>
        <w:rPr>
          <w:rFonts w:hint="eastAsia" w:ascii="宋体" w:hAnsi="宋体" w:eastAsia="宋体" w:cs="宋体"/>
          <w:sz w:val="24"/>
          <w:szCs w:val="32"/>
          <w:highlight w:val="none"/>
        </w:rPr>
        <w:t xml:space="preserve">年以来（以合同签订日期为准）具有与本项目类似</w:t>
      </w:r>
      <w:r>
        <w:rPr>
          <w:rFonts w:hint="eastAsia" w:ascii="宋体" w:hAnsi="宋体" w:eastAsia="宋体" w:cs="宋体"/>
          <w:sz w:val="24"/>
          <w:szCs w:val="32"/>
          <w:highlight w:val="none"/>
          <w:lang w:eastAsia="zh-CN"/>
        </w:rPr>
        <w:t xml:space="preserve">（</w:t>
      </w:r>
      <w:r>
        <w:rPr>
          <w:rFonts w:hint="eastAsia" w:ascii="宋体" w:hAnsi="宋体" w:eastAsia="宋体" w:cs="宋体"/>
          <w:sz w:val="24"/>
          <w:szCs w:val="32"/>
          <w:highlight w:val="none"/>
          <w:lang w:val="en-US" w:eastAsia="zh-CN"/>
        </w:rPr>
        <w:t xml:space="preserve">风洞</w:t>
      </w:r>
      <w:r>
        <w:rPr>
          <w:rFonts w:hint="eastAsia" w:ascii="宋体" w:hAnsi="宋体" w:eastAsia="宋体" w:cs="宋体"/>
          <w:sz w:val="24"/>
          <w:szCs w:val="32"/>
          <w:highlight w:val="none"/>
          <w:lang w:eastAsia="zh-CN"/>
        </w:rPr>
        <w:t xml:space="preserve">）</w:t>
      </w:r>
      <w:r>
        <w:rPr>
          <w:rFonts w:hint="eastAsia" w:ascii="宋体" w:hAnsi="宋体" w:eastAsia="宋体" w:cs="宋体"/>
          <w:sz w:val="24"/>
          <w:szCs w:val="32"/>
          <w:highlight w:val="none"/>
        </w:rPr>
        <w:t xml:space="preserve">项目案例的，每有一个得1分，</w:t>
      </w:r>
      <w:r>
        <w:rPr>
          <w:rFonts w:hint="eastAsia" w:ascii="宋体" w:hAnsi="宋体" w:cs="宋体"/>
          <w:sz w:val="24"/>
          <w:szCs w:val="32"/>
          <w:highlight w:val="none"/>
          <w:lang w:val="en-US" w:eastAsia="zh-CN"/>
        </w:rPr>
        <w:t xml:space="preserve">本项</w:t>
      </w:r>
      <w:r>
        <w:rPr>
          <w:rFonts w:hint="eastAsia" w:ascii="宋体" w:hAnsi="宋体" w:eastAsia="宋体" w:cs="宋体"/>
          <w:sz w:val="24"/>
          <w:szCs w:val="32"/>
          <w:highlight w:val="none"/>
        </w:rPr>
        <w:t xml:space="preserve">最高</w:t>
      </w:r>
      <w:r>
        <w:rPr>
          <w:rFonts w:hint="eastAsia" w:ascii="宋体" w:hAnsi="宋体" w:eastAsia="宋体" w:cs="宋体"/>
          <w:sz w:val="24"/>
          <w:szCs w:val="32"/>
          <w:highlight w:val="none"/>
          <w:lang w:val="en-US" w:eastAsia="zh-CN"/>
        </w:rPr>
        <w:t xml:space="preserve">得3</w:t>
      </w:r>
      <w:r>
        <w:rPr>
          <w:rFonts w:hint="eastAsia" w:ascii="宋体" w:hAnsi="宋体" w:eastAsia="宋体" w:cs="宋体"/>
          <w:sz w:val="24"/>
          <w:szCs w:val="32"/>
          <w:highlight w:val="none"/>
        </w:rPr>
        <w:t xml:space="preserve">分</w:t>
      </w:r>
      <w:r>
        <w:rPr>
          <w:rFonts w:hint="eastAsia" w:ascii="宋体" w:hAnsi="宋体" w:cs="宋体"/>
          <w:sz w:val="24"/>
          <w:szCs w:val="32"/>
          <w:highlight w:val="none"/>
          <w:lang w:eastAsia="zh-CN"/>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rPr>
        <w:t xml:space="preserve">注：需在投标文件中提供</w:t>
      </w:r>
      <w:r>
        <w:rPr>
          <w:rFonts w:hint="eastAsia" w:ascii="宋体" w:hAnsi="宋体" w:eastAsia="宋体" w:cs="宋体"/>
          <w:sz w:val="24"/>
          <w:szCs w:val="32"/>
          <w:highlight w:val="none"/>
          <w:lang w:val="en-US" w:eastAsia="zh-CN"/>
        </w:rPr>
        <w:t xml:space="preserve">相关</w:t>
      </w:r>
      <w:r>
        <w:rPr>
          <w:rFonts w:hint="eastAsia" w:ascii="宋体" w:hAnsi="宋体" w:eastAsia="宋体" w:cs="宋体"/>
          <w:sz w:val="24"/>
          <w:szCs w:val="32"/>
          <w:highlight w:val="none"/>
        </w:rPr>
        <w:t xml:space="preserve">业绩中标通知书、合同、验收单证明材料（须至少包括合同首页、内容页、签字盖章页），未提供或提供不</w:t>
      </w:r>
      <w:r>
        <w:rPr>
          <w:rFonts w:hint="eastAsia" w:ascii="宋体" w:hAnsi="宋体" w:eastAsia="宋体" w:cs="宋体"/>
          <w:sz w:val="24"/>
          <w:szCs w:val="32"/>
          <w:highlight w:val="none"/>
          <w:lang w:val="en-US" w:eastAsia="zh-CN"/>
        </w:rPr>
        <w:t xml:space="preserve">全的不得分。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sz w:val="24"/>
          <w:szCs w:val="32"/>
          <w:highlight w:val="none"/>
          <w:lang w:val="zh-TW" w:eastAsia="zh-TW"/>
        </w:rPr>
      </w:pPr>
      <w:r>
        <w:rPr>
          <w:rFonts w:hint="eastAsia" w:ascii="宋体" w:hAnsi="宋体" w:eastAsia="宋体" w:cs="宋体"/>
          <w:sz w:val="24"/>
          <w:szCs w:val="32"/>
          <w:highlight w:val="none"/>
          <w:lang w:val="en-US" w:eastAsia="zh-CN"/>
        </w:rPr>
        <w:t xml:space="preserve">2.3发明专利（2分）：</w:t>
      </w:r>
      <w:r>
        <w:rPr>
          <w:rFonts w:hint="eastAsia" w:ascii="宋体" w:hAnsi="宋体" w:eastAsia="宋体" w:cs="宋体"/>
          <w:sz w:val="24"/>
          <w:szCs w:val="32"/>
          <w:highlight w:val="none"/>
          <w:lang w:val="zh-TW" w:eastAsia="zh-TW"/>
        </w:rPr>
        <w:t xml:space="preserve">投标人</w:t>
      </w:r>
      <w:r>
        <w:rPr>
          <w:rFonts w:hint="eastAsia" w:ascii="宋体" w:hAnsi="宋体" w:eastAsia="宋体" w:cs="宋体"/>
          <w:sz w:val="24"/>
          <w:szCs w:val="32"/>
          <w:highlight w:val="none"/>
          <w:lang w:val="en-US" w:eastAsia="zh-CN"/>
        </w:rPr>
        <w:t xml:space="preserve">或制造商</w:t>
      </w:r>
      <w:r>
        <w:rPr>
          <w:rFonts w:hint="eastAsia" w:ascii="宋体" w:hAnsi="宋体" w:eastAsia="宋体" w:cs="宋体"/>
          <w:sz w:val="24"/>
          <w:szCs w:val="32"/>
          <w:highlight w:val="none"/>
          <w:lang w:val="zh-TW" w:eastAsia="zh-TW"/>
        </w:rPr>
        <w:t xml:space="preserve">具有</w:t>
      </w:r>
      <w:r>
        <w:rPr>
          <w:rFonts w:hint="eastAsia" w:ascii="宋体" w:hAnsi="宋体" w:eastAsia="宋体" w:cs="宋体"/>
          <w:sz w:val="24"/>
          <w:szCs w:val="32"/>
          <w:highlight w:val="none"/>
          <w:lang w:val="en-US" w:eastAsia="zh-CN"/>
        </w:rPr>
        <w:t xml:space="preserve">无人机测试</w:t>
      </w:r>
      <w:r>
        <w:rPr>
          <w:rFonts w:hint="eastAsia" w:ascii="宋体" w:hAnsi="宋体" w:eastAsia="宋体" w:cs="宋体"/>
          <w:sz w:val="24"/>
          <w:szCs w:val="32"/>
          <w:highlight w:val="none"/>
          <w:lang w:val="zh-TW" w:eastAsia="zh-TW"/>
        </w:rPr>
        <w:t xml:space="preserve">风洞或</w:t>
      </w:r>
      <w:r>
        <w:rPr>
          <w:rFonts w:hint="eastAsia" w:ascii="宋体" w:hAnsi="宋体" w:eastAsia="宋体" w:cs="宋体"/>
          <w:sz w:val="24"/>
          <w:szCs w:val="32"/>
          <w:highlight w:val="none"/>
          <w:lang w:val="en-US" w:eastAsia="zh-CN"/>
        </w:rPr>
        <w:t xml:space="preserve">阵列</w:t>
      </w:r>
      <w:r>
        <w:rPr>
          <w:rFonts w:hint="eastAsia" w:ascii="宋体" w:hAnsi="宋体" w:eastAsia="宋体" w:cs="宋体"/>
          <w:sz w:val="24"/>
          <w:szCs w:val="32"/>
          <w:highlight w:val="none"/>
          <w:lang w:val="zh-TW" w:eastAsia="zh-TW"/>
        </w:rPr>
        <w:t xml:space="preserve">式</w:t>
      </w:r>
      <w:r>
        <w:rPr>
          <w:rFonts w:hint="eastAsia" w:ascii="宋体" w:hAnsi="宋体" w:eastAsia="宋体" w:cs="宋体"/>
          <w:sz w:val="24"/>
          <w:szCs w:val="32"/>
          <w:highlight w:val="none"/>
          <w:lang w:val="en-US" w:eastAsia="zh-CN"/>
        </w:rPr>
        <w:t xml:space="preserve">风洞</w:t>
      </w:r>
      <w:r>
        <w:rPr>
          <w:rFonts w:hint="eastAsia" w:ascii="宋体" w:hAnsi="宋体" w:eastAsia="宋体" w:cs="宋体"/>
          <w:sz w:val="24"/>
          <w:szCs w:val="32"/>
          <w:highlight w:val="none"/>
          <w:lang w:val="zh-TW" w:eastAsia="zh-TW"/>
        </w:rPr>
        <w:t xml:space="preserve">系统的发明创造能力，每提供一项发明专利得</w:t>
      </w:r>
      <w:r>
        <w:rPr>
          <w:rFonts w:hint="eastAsia" w:ascii="宋体" w:hAnsi="宋体" w:eastAsia="宋体" w:cs="宋体"/>
          <w:sz w:val="24"/>
          <w:szCs w:val="32"/>
          <w:highlight w:val="none"/>
          <w:lang w:val="en-US" w:eastAsia="zh-CN"/>
        </w:rPr>
        <w:t xml:space="preserve">1</w:t>
      </w:r>
      <w:r>
        <w:rPr>
          <w:rFonts w:hint="eastAsia" w:ascii="宋体" w:hAnsi="宋体" w:eastAsia="宋体" w:cs="宋体"/>
          <w:sz w:val="24"/>
          <w:szCs w:val="32"/>
          <w:highlight w:val="none"/>
          <w:lang w:val="zh-TW" w:eastAsia="zh-TW"/>
        </w:rPr>
        <w:t xml:space="preserve">分，</w:t>
      </w:r>
      <w:r>
        <w:rPr>
          <w:rFonts w:hint="eastAsia" w:ascii="宋体" w:hAnsi="宋体" w:eastAsia="宋体" w:cs="宋体"/>
          <w:sz w:val="24"/>
          <w:szCs w:val="32"/>
          <w:highlight w:val="none"/>
          <w:lang w:val="en-US" w:eastAsia="zh-CN"/>
        </w:rPr>
        <w:t xml:space="preserve">本项</w:t>
      </w:r>
      <w:r>
        <w:rPr>
          <w:rFonts w:hint="eastAsia" w:ascii="宋体" w:hAnsi="宋体" w:eastAsia="宋体" w:cs="宋体"/>
          <w:sz w:val="24"/>
          <w:szCs w:val="32"/>
          <w:highlight w:val="none"/>
          <w:lang w:val="zh-TW" w:eastAsia="zh-TW"/>
        </w:rPr>
        <w:t xml:space="preserve">最</w:t>
      </w:r>
      <w:r>
        <w:rPr>
          <w:rFonts w:hint="eastAsia" w:ascii="宋体" w:hAnsi="宋体" w:eastAsia="宋体" w:cs="宋体"/>
          <w:sz w:val="24"/>
          <w:szCs w:val="32"/>
          <w:highlight w:val="none"/>
          <w:lang w:val="en-US" w:eastAsia="zh-CN"/>
        </w:rPr>
        <w:t xml:space="preserve">高得</w:t>
      </w:r>
      <w:r>
        <w:rPr>
          <w:rFonts w:hint="eastAsia" w:ascii="宋体" w:hAnsi="宋体" w:eastAsia="宋体" w:cs="宋体"/>
          <w:sz w:val="24"/>
          <w:szCs w:val="32"/>
          <w:highlight w:val="none"/>
          <w:lang w:val="zh-TW" w:eastAsia="zh-TW"/>
        </w:rPr>
        <w:t xml:space="preserve">2分。</w:t>
      </w:r>
      <w:r/>
    </w:p>
    <w:p>
      <w:pPr>
        <w:ind w:firstLine="480"/>
        <w:keepLines w:val="0"/>
        <w:keepNext w:val="0"/>
        <w:pageBreakBefore w:val="0"/>
        <w:spacing w:line="360" w:lineRule="auto"/>
        <w:widowControl w:val="off"/>
        <w:tabs>
          <w:tab w:val="left" w:pos="945" w:leader="none"/>
          <w:tab w:val="left" w:pos="1155" w:leader="none"/>
        </w:tabs>
        <w:rPr>
          <w:rFonts w:hint="default"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2.4质保承诺（2分）：在</w:t>
      </w:r>
      <w:r>
        <w:rPr>
          <w:rFonts w:hint="eastAsia" w:ascii="宋体" w:hAnsi="宋体" w:eastAsia="宋体" w:cs="宋体"/>
          <w:sz w:val="24"/>
          <w:szCs w:val="32"/>
          <w:highlight w:val="none"/>
        </w:rPr>
        <w:t xml:space="preserve">满足原厂质保</w:t>
      </w:r>
      <w:r>
        <w:rPr>
          <w:rFonts w:hint="eastAsia" w:ascii="宋体" w:hAnsi="宋体" w:eastAsia="宋体" w:cs="宋体"/>
          <w:sz w:val="24"/>
          <w:szCs w:val="32"/>
          <w:highlight w:val="none"/>
          <w:lang w:val="en-US" w:eastAsia="zh-CN"/>
        </w:rPr>
        <w:t xml:space="preserve">两</w:t>
      </w:r>
      <w:r>
        <w:rPr>
          <w:rFonts w:hint="eastAsia" w:ascii="宋体" w:hAnsi="宋体" w:eastAsia="宋体" w:cs="宋体"/>
          <w:sz w:val="24"/>
          <w:szCs w:val="32"/>
          <w:highlight w:val="none"/>
        </w:rPr>
        <w:t xml:space="preserve">年</w:t>
      </w:r>
      <w:r>
        <w:rPr>
          <w:rFonts w:hint="eastAsia" w:ascii="宋体" w:hAnsi="宋体" w:eastAsia="宋体" w:cs="宋体"/>
          <w:sz w:val="24"/>
          <w:szCs w:val="32"/>
          <w:highlight w:val="none"/>
          <w:lang w:val="en-US" w:eastAsia="zh-CN"/>
        </w:rPr>
        <w:t xml:space="preserve">的基础上</w:t>
      </w:r>
      <w:r>
        <w:rPr>
          <w:rFonts w:hint="eastAsia" w:ascii="宋体" w:hAnsi="宋体" w:eastAsia="宋体" w:cs="宋体"/>
          <w:sz w:val="24"/>
          <w:szCs w:val="32"/>
          <w:highlight w:val="none"/>
          <w:lang w:val="zh-CN"/>
        </w:rPr>
        <w:t xml:space="preserve">，承诺每增加1年</w:t>
      </w:r>
      <w:r>
        <w:rPr>
          <w:rFonts w:hint="eastAsia" w:ascii="宋体" w:hAnsi="宋体" w:eastAsia="宋体" w:cs="宋体"/>
          <w:sz w:val="24"/>
          <w:szCs w:val="32"/>
          <w:highlight w:val="none"/>
        </w:rPr>
        <w:t xml:space="preserve">原厂质保</w:t>
      </w:r>
      <w:r>
        <w:rPr>
          <w:rFonts w:hint="eastAsia" w:ascii="宋体" w:hAnsi="宋体" w:eastAsia="宋体" w:cs="宋体"/>
          <w:sz w:val="24"/>
          <w:szCs w:val="32"/>
          <w:highlight w:val="none"/>
          <w:lang w:val="zh-CN"/>
        </w:rPr>
        <w:t xml:space="preserve">加</w:t>
      </w:r>
      <w:r>
        <w:rPr>
          <w:rFonts w:hint="eastAsia" w:ascii="宋体" w:hAnsi="宋体" w:eastAsia="宋体" w:cs="宋体"/>
          <w:sz w:val="24"/>
          <w:szCs w:val="32"/>
          <w:highlight w:val="none"/>
        </w:rPr>
        <w:t xml:space="preserve">1</w:t>
      </w:r>
      <w:r>
        <w:rPr>
          <w:rFonts w:hint="eastAsia" w:ascii="宋体" w:hAnsi="宋体" w:eastAsia="宋体" w:cs="宋体"/>
          <w:sz w:val="24"/>
          <w:szCs w:val="32"/>
          <w:highlight w:val="none"/>
          <w:lang w:val="zh-CN"/>
        </w:rPr>
        <w:t xml:space="preserve">分</w:t>
      </w:r>
      <w:r>
        <w:rPr>
          <w:rFonts w:hint="eastAsia" w:ascii="宋体" w:hAnsi="宋体" w:eastAsia="宋体" w:cs="宋体"/>
          <w:sz w:val="24"/>
          <w:szCs w:val="32"/>
          <w:highlight w:val="none"/>
        </w:rPr>
        <w:t xml:space="preserve">，</w:t>
      </w:r>
      <w:r>
        <w:rPr>
          <w:rFonts w:hint="eastAsia" w:ascii="宋体" w:hAnsi="宋体" w:eastAsia="宋体" w:cs="宋体"/>
          <w:sz w:val="24"/>
          <w:szCs w:val="32"/>
          <w:highlight w:val="none"/>
          <w:lang w:val="en-US" w:eastAsia="zh-CN"/>
        </w:rPr>
        <w:t xml:space="preserve">本项</w:t>
      </w:r>
      <w:r>
        <w:rPr>
          <w:rFonts w:hint="eastAsia" w:ascii="宋体" w:hAnsi="宋体" w:eastAsia="宋体" w:cs="宋体"/>
          <w:sz w:val="24"/>
          <w:szCs w:val="32"/>
          <w:highlight w:val="none"/>
        </w:rPr>
        <w:t xml:space="preserve">最高得2分。</w:t>
      </w:r>
      <w:r>
        <w:rPr>
          <w:rFonts w:hint="eastAsia" w:ascii="宋体" w:hAnsi="宋体" w:eastAsia="宋体" w:cs="宋体"/>
          <w:sz w:val="24"/>
          <w:szCs w:val="32"/>
          <w:highlight w:val="none"/>
          <w:lang w:eastAsia="zh-CN"/>
        </w:rPr>
        <w:t xml:space="preserve">提供</w:t>
      </w:r>
      <w:r>
        <w:rPr>
          <w:rFonts w:hint="eastAsia" w:ascii="宋体" w:hAnsi="宋体" w:eastAsia="宋体" w:cs="宋体"/>
          <w:sz w:val="24"/>
          <w:szCs w:val="32"/>
          <w:highlight w:val="none"/>
          <w:lang w:val="en-US" w:eastAsia="zh-CN"/>
        </w:rPr>
        <w:t xml:space="preserve">质保</w:t>
      </w:r>
      <w:r>
        <w:rPr>
          <w:rFonts w:hint="eastAsia" w:ascii="宋体" w:hAnsi="宋体" w:eastAsia="宋体" w:cs="宋体"/>
          <w:sz w:val="24"/>
          <w:szCs w:val="32"/>
          <w:highlight w:val="none"/>
          <w:lang w:eastAsia="zh-CN"/>
        </w:rPr>
        <w:t xml:space="preserve">承诺书，</w:t>
      </w:r>
      <w:r>
        <w:rPr>
          <w:rFonts w:hint="eastAsia" w:ascii="宋体" w:hAnsi="宋体" w:eastAsia="宋体" w:cs="宋体"/>
          <w:sz w:val="24"/>
          <w:szCs w:val="32"/>
          <w:highlight w:val="none"/>
          <w:lang w:val="en-US" w:eastAsia="zh-CN"/>
        </w:rPr>
        <w:t xml:space="preserve">格式自拟</w:t>
      </w:r>
      <w:r>
        <w:rPr>
          <w:rFonts w:hint="eastAsia" w:ascii="宋体" w:hAnsi="宋体" w:eastAsia="宋体" w:cs="宋体"/>
          <w:sz w:val="24"/>
          <w:szCs w:val="32"/>
          <w:highlight w:val="none"/>
          <w:lang w:eastAsia="zh-CN"/>
        </w:rPr>
        <w:t xml:space="preserve">。</w:t>
      </w:r>
      <w:r/>
    </w:p>
    <w:p>
      <w:pPr>
        <w:pStyle w:val="896"/>
        <w:numPr>
          <w:ilvl w:val="0"/>
          <w:numId w:val="0"/>
        </w:numPr>
        <w:ind w:left="732" w:hanging="251"/>
        <w:keepLines w:val="0"/>
        <w:keepNext w:val="0"/>
        <w:pageBreakBefore w:val="0"/>
        <w:spacing w:line="360" w:lineRule="auto"/>
        <w:widowControl w:val="off"/>
        <w:rPr>
          <w:rFonts w:hint="eastAsia" w:ascii="宋体" w:hAnsi="宋体" w:eastAsia="宋体" w:cs="宋体"/>
          <w:b/>
          <w:bCs/>
          <w:sz w:val="24"/>
          <w:szCs w:val="32"/>
          <w:highlight w:val="none"/>
        </w:rPr>
      </w:pPr>
      <w:r>
        <w:rPr>
          <w:rFonts w:hint="eastAsia" w:ascii="宋体" w:hAnsi="宋体" w:eastAsia="宋体" w:cs="宋体"/>
          <w:b/>
          <w:bCs/>
          <w:sz w:val="24"/>
          <w:szCs w:val="32"/>
          <w:highlight w:val="none"/>
          <w:lang w:val="en-US" w:eastAsia="zh-CN" w:bidi="ar-SA"/>
        </w:rPr>
        <w:t xml:space="preserve">3.</w:t>
      </w:r>
      <w:r>
        <w:rPr>
          <w:rFonts w:hint="eastAsia" w:ascii="宋体" w:hAnsi="宋体" w:eastAsia="宋体" w:cs="宋体"/>
          <w:b/>
          <w:bCs/>
          <w:sz w:val="24"/>
          <w:szCs w:val="32"/>
          <w:highlight w:val="none"/>
        </w:rPr>
        <w:t xml:space="preserve">技术</w:t>
      </w:r>
      <w:r>
        <w:rPr>
          <w:rFonts w:hint="eastAsia" w:ascii="宋体" w:hAnsi="宋体" w:eastAsia="宋体" w:cs="宋体"/>
          <w:b/>
          <w:bCs/>
          <w:sz w:val="24"/>
          <w:szCs w:val="32"/>
          <w:highlight w:val="none"/>
          <w:lang w:val="en-US" w:eastAsia="zh-CN"/>
        </w:rPr>
        <w:t xml:space="preserve">证明材料</w:t>
      </w:r>
      <w:r>
        <w:rPr>
          <w:rFonts w:hint="eastAsia" w:ascii="宋体" w:hAnsi="宋体" w:eastAsia="宋体" w:cs="宋体"/>
          <w:b/>
          <w:bCs/>
          <w:sz w:val="24"/>
          <w:szCs w:val="32"/>
          <w:highlight w:val="none"/>
        </w:rPr>
        <w:t xml:space="preserve">（</w:t>
      </w:r>
      <w:r>
        <w:rPr>
          <w:rFonts w:hint="eastAsia" w:ascii="宋体" w:hAnsi="宋体" w:cs="宋体"/>
          <w:b/>
          <w:bCs/>
          <w:sz w:val="24"/>
          <w:szCs w:val="32"/>
          <w:highlight w:val="none"/>
          <w:lang w:val="en-US" w:eastAsia="zh-CN"/>
        </w:rPr>
        <w:t xml:space="preserve">14</w:t>
      </w:r>
      <w:r>
        <w:rPr>
          <w:rFonts w:hint="eastAsia" w:ascii="宋体" w:hAnsi="宋体" w:eastAsia="宋体" w:cs="宋体"/>
          <w:b/>
          <w:bCs/>
          <w:sz w:val="24"/>
          <w:szCs w:val="32"/>
          <w:highlight w:val="none"/>
        </w:rPr>
        <w:t xml:space="preserve">分）</w:t>
      </w:r>
      <w:r/>
    </w:p>
    <w:p>
      <w:pPr>
        <w:pStyle w:val="896"/>
        <w:numPr>
          <w:ilvl w:val="0"/>
          <w:numId w:val="0"/>
        </w:numPr>
        <w:ind w:firstLine="480"/>
        <w:keepLines w:val="0"/>
        <w:keepNext w:val="0"/>
        <w:pageBreakBefore w:val="0"/>
        <w:spacing w:line="360" w:lineRule="auto"/>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投标人针对</w:t>
      </w:r>
      <w:r>
        <w:rPr>
          <w:rFonts w:hint="eastAsia" w:ascii="宋体" w:hAnsi="宋体" w:cs="宋体"/>
          <w:sz w:val="24"/>
          <w:szCs w:val="32"/>
          <w:highlight w:val="none"/>
          <w:lang w:val="en-US" w:eastAsia="zh-CN"/>
        </w:rPr>
        <w:t xml:space="preserve">标记</w:t>
      </w:r>
      <w:r>
        <w:rPr>
          <w:rFonts w:hint="eastAsia" w:ascii="宋体" w:hAnsi="宋体" w:cs="宋体"/>
          <w:sz w:val="24"/>
          <w:szCs w:val="32"/>
          <w:highlight w:val="none"/>
          <w:lang w:eastAsia="zh-CN"/>
        </w:rPr>
        <w:t xml:space="preserve">“</w:t>
      </w:r>
      <w:r>
        <w:rPr>
          <w:rFonts w:hint="eastAsia" w:ascii="宋体" w:hAnsi="宋体" w:eastAsia="宋体" w:cs="宋体"/>
          <w:sz w:val="24"/>
          <w:szCs w:val="32"/>
          <w:highlight w:val="none"/>
        </w:rPr>
        <w:t xml:space="preserve">▲</w:t>
      </w:r>
      <w:r>
        <w:rPr>
          <w:rFonts w:hint="eastAsia" w:ascii="宋体" w:hAnsi="宋体" w:cs="宋体"/>
          <w:sz w:val="24"/>
          <w:szCs w:val="32"/>
          <w:highlight w:val="none"/>
          <w:lang w:eastAsia="zh-CN"/>
        </w:rPr>
        <w:t xml:space="preserve">”</w:t>
      </w:r>
      <w:r>
        <w:rPr>
          <w:rFonts w:hint="eastAsia" w:ascii="宋体" w:hAnsi="宋体" w:cs="宋体"/>
          <w:sz w:val="24"/>
          <w:szCs w:val="32"/>
          <w:highlight w:val="none"/>
          <w:lang w:val="en-US" w:eastAsia="zh-CN"/>
        </w:rPr>
        <w:t xml:space="preserve">的</w:t>
      </w:r>
      <w:r>
        <w:rPr>
          <w:rFonts w:hint="eastAsia" w:ascii="宋体" w:hAnsi="宋体" w:eastAsia="宋体" w:cs="宋体"/>
          <w:sz w:val="24"/>
          <w:szCs w:val="32"/>
          <w:highlight w:val="none"/>
        </w:rPr>
        <w:t xml:space="preserve">重要技术参数按要求提供证明材料。</w:t>
      </w:r>
      <w:r/>
    </w:p>
    <w:p>
      <w:pPr>
        <w:ind w:firstLine="480"/>
        <w:keepLines w:val="0"/>
        <w:keepNext w:val="0"/>
        <w:pageBreakBefore w:val="0"/>
        <w:spacing w:line="360" w:lineRule="auto"/>
        <w:widowControl w:val="off"/>
        <w:rPr>
          <w:rFonts w:hint="eastAsia" w:ascii="宋体" w:hAnsi="宋体" w:eastAsia="宋体" w:cs="宋体"/>
          <w:b w:val="0"/>
          <w:bCs w:val="0"/>
          <w:sz w:val="24"/>
          <w:szCs w:val="32"/>
          <w:highlight w:val="none"/>
          <w:lang w:val="en-US" w:eastAsia="zh-CN"/>
        </w:rPr>
      </w:pPr>
      <w:r>
        <w:rPr>
          <w:rFonts w:hint="eastAsia" w:ascii="宋体" w:hAnsi="宋体" w:cs="宋体"/>
          <w:sz w:val="24"/>
          <w:szCs w:val="32"/>
          <w:highlight w:val="none"/>
          <w:lang w:val="en-US" w:eastAsia="zh-CN"/>
        </w:rPr>
        <w:t xml:space="preserve">3</w:t>
      </w:r>
      <w:r>
        <w:rPr>
          <w:rFonts w:hint="eastAsia" w:ascii="宋体" w:hAnsi="宋体" w:eastAsia="宋体" w:cs="宋体"/>
          <w:sz w:val="24"/>
          <w:szCs w:val="32"/>
          <w:highlight w:val="none"/>
          <w:lang w:val="en-US" w:eastAsia="zh-CN"/>
        </w:rPr>
        <w:t xml:space="preserve">.1</w:t>
      </w:r>
      <w:r>
        <w:rPr>
          <w:rFonts w:hint="eastAsia" w:ascii="宋体" w:hAnsi="宋体" w:cs="宋体"/>
          <w:sz w:val="24"/>
          <w:szCs w:val="32"/>
          <w:highlight w:val="none"/>
          <w:lang w:val="en-US" w:eastAsia="zh-CN"/>
        </w:rPr>
        <w:t xml:space="preserve">直流风洞</w:t>
      </w:r>
      <w:r>
        <w:rPr>
          <w:rFonts w:hint="eastAsia" w:ascii="宋体" w:hAnsi="宋体" w:eastAsia="宋体" w:cs="宋体"/>
          <w:sz w:val="24"/>
          <w:szCs w:val="32"/>
          <w:highlight w:val="none"/>
          <w:lang w:val="en-US" w:eastAsia="zh-CN"/>
        </w:rPr>
        <w:t xml:space="preserve">（</w:t>
      </w:r>
      <w:r>
        <w:rPr>
          <w:rFonts w:hint="eastAsia" w:ascii="宋体" w:hAnsi="宋体" w:cs="宋体"/>
          <w:sz w:val="24"/>
          <w:szCs w:val="32"/>
          <w:highlight w:val="none"/>
          <w:lang w:val="en-US" w:eastAsia="zh-CN"/>
        </w:rPr>
        <w:t xml:space="preserve">2</w:t>
      </w:r>
      <w:r>
        <w:rPr>
          <w:rFonts w:hint="eastAsia" w:ascii="宋体" w:hAnsi="宋体" w:eastAsia="宋体" w:cs="宋体"/>
          <w:sz w:val="24"/>
          <w:szCs w:val="32"/>
          <w:highlight w:val="none"/>
          <w:lang w:val="en-US" w:eastAsia="zh-CN"/>
        </w:rPr>
        <w:t xml:space="preserve">分）：</w:t>
      </w:r>
      <w:r>
        <w:rPr>
          <w:rFonts w:hint="eastAsia" w:ascii="宋体" w:hAnsi="宋体" w:cs="宋体"/>
          <w:sz w:val="24"/>
          <w:szCs w:val="32"/>
          <w:highlight w:val="none"/>
          <w:lang w:val="en-US" w:eastAsia="zh-CN"/>
        </w:rPr>
        <w:t xml:space="preserve">提供风洞满足流场指标，流场均匀性和稳定性提供</w:t>
      </w:r>
      <w:r>
        <w:rPr>
          <w:rFonts w:hint="eastAsia" w:ascii="宋体" w:hAnsi="宋体" w:cs="宋体"/>
          <w:b w:val="0"/>
          <w:bCs w:val="0"/>
          <w:sz w:val="24"/>
          <w:szCs w:val="24"/>
          <w:highlight w:val="none"/>
        </w:rPr>
        <w:t xml:space="preserve">国家级计量机构出具的</w:t>
      </w:r>
      <w:r>
        <w:rPr>
          <w:rFonts w:hint="eastAsia" w:ascii="宋体" w:hAnsi="宋体" w:cs="宋体"/>
          <w:b w:val="0"/>
          <w:bCs w:val="0"/>
          <w:sz w:val="24"/>
          <w:szCs w:val="24"/>
          <w:highlight w:val="none"/>
          <w:lang w:val="en-US" w:eastAsia="zh-CN"/>
        </w:rPr>
        <w:t xml:space="preserve">同规格或优于技术要求的风洞</w:t>
      </w:r>
      <w:r>
        <w:rPr>
          <w:rFonts w:hint="eastAsia" w:ascii="宋体" w:hAnsi="宋体" w:cs="宋体"/>
          <w:b w:val="0"/>
          <w:bCs w:val="0"/>
          <w:sz w:val="24"/>
          <w:szCs w:val="24"/>
          <w:highlight w:val="none"/>
        </w:rPr>
        <w:t xml:space="preserve">证书</w:t>
      </w:r>
      <w:r>
        <w:rPr>
          <w:rFonts w:hint="eastAsia" w:ascii="宋体" w:hAnsi="宋体" w:cs="宋体"/>
          <w:b w:val="0"/>
          <w:bCs w:val="0"/>
          <w:sz w:val="24"/>
          <w:szCs w:val="24"/>
          <w:highlight w:val="none"/>
          <w:lang w:eastAsia="zh-CN"/>
        </w:rPr>
        <w:t xml:space="preserve">，</w:t>
      </w:r>
      <w:r>
        <w:rPr>
          <w:rFonts w:hint="eastAsia" w:ascii="宋体" w:hAnsi="宋体" w:eastAsia="宋体" w:cs="宋体"/>
          <w:sz w:val="24"/>
          <w:szCs w:val="32"/>
          <w:highlight w:val="none"/>
          <w:lang w:val="en-US" w:eastAsia="zh-CN"/>
        </w:rPr>
        <w:t xml:space="preserve">提供得</w:t>
      </w:r>
      <w:r>
        <w:rPr>
          <w:rFonts w:hint="eastAsia" w:ascii="宋体" w:hAnsi="宋体" w:cs="宋体"/>
          <w:sz w:val="24"/>
          <w:szCs w:val="32"/>
          <w:highlight w:val="none"/>
          <w:lang w:val="en-US" w:eastAsia="zh-CN"/>
        </w:rPr>
        <w:t xml:space="preserve">2</w:t>
      </w:r>
      <w:r>
        <w:rPr>
          <w:rFonts w:hint="eastAsia" w:ascii="宋体" w:hAnsi="宋体" w:eastAsia="宋体" w:cs="宋体"/>
          <w:sz w:val="24"/>
          <w:szCs w:val="32"/>
          <w:highlight w:val="none"/>
          <w:lang w:val="en-US" w:eastAsia="zh-CN"/>
        </w:rPr>
        <w:t xml:space="preserve">分，</w:t>
      </w:r>
      <w:r>
        <w:rPr>
          <w:rFonts w:hint="eastAsia" w:ascii="宋体" w:hAnsi="宋体" w:cs="宋体"/>
          <w:sz w:val="24"/>
          <w:szCs w:val="32"/>
          <w:highlight w:val="none"/>
          <w:lang w:val="en-US" w:eastAsia="zh-CN"/>
        </w:rPr>
        <w:t xml:space="preserve">有缺项漏项</w:t>
      </w:r>
      <w:r>
        <w:rPr>
          <w:rFonts w:hint="eastAsia" w:ascii="宋体" w:hAnsi="宋体" w:eastAsia="宋体" w:cs="宋体"/>
          <w:sz w:val="24"/>
          <w:szCs w:val="32"/>
          <w:highlight w:val="none"/>
          <w:lang w:val="en-US" w:eastAsia="zh-CN"/>
        </w:rPr>
        <w:t xml:space="preserve">不得分；</w:t>
      </w:r>
      <w:r/>
    </w:p>
    <w:p>
      <w:pPr>
        <w:ind w:firstLine="480"/>
        <w:keepLines w:val="0"/>
        <w:keepNext w:val="0"/>
        <w:pageBreakBefore w:val="0"/>
        <w:spacing w:line="360" w:lineRule="auto"/>
        <w:widowControl w:val="off"/>
        <w:rPr>
          <w:rFonts w:hint="eastAsia" w:ascii="宋体" w:hAnsi="宋体" w:eastAsia="宋体" w:cs="宋体"/>
          <w:sz w:val="24"/>
          <w:szCs w:val="32"/>
          <w:highlight w:val="none"/>
          <w:lang w:val="en-US" w:eastAsia="zh-CN"/>
        </w:rPr>
      </w:pPr>
      <w:r>
        <w:rPr>
          <w:rFonts w:hint="eastAsia" w:ascii="宋体" w:hAnsi="宋体" w:cs="宋体"/>
          <w:sz w:val="24"/>
          <w:szCs w:val="32"/>
          <w:highlight w:val="none"/>
          <w:lang w:val="en-US" w:eastAsia="zh-CN"/>
        </w:rPr>
        <w:t xml:space="preserve">3</w:t>
      </w:r>
      <w:r>
        <w:rPr>
          <w:rFonts w:hint="eastAsia" w:ascii="宋体" w:hAnsi="宋体" w:eastAsia="宋体" w:cs="宋体"/>
          <w:sz w:val="24"/>
          <w:szCs w:val="32"/>
          <w:highlight w:val="none"/>
          <w:lang w:val="en-US" w:eastAsia="zh-CN"/>
        </w:rPr>
        <w:t xml:space="preserve">.</w:t>
      </w:r>
      <w:r>
        <w:rPr>
          <w:rFonts w:hint="eastAsia" w:ascii="宋体" w:hAnsi="宋体" w:cs="宋体"/>
          <w:sz w:val="24"/>
          <w:szCs w:val="32"/>
          <w:highlight w:val="none"/>
          <w:lang w:val="en-US" w:eastAsia="zh-CN"/>
        </w:rPr>
        <w:t xml:space="preserve">2主要仪器配置</w:t>
      </w:r>
      <w:r>
        <w:rPr>
          <w:rFonts w:hint="eastAsia" w:ascii="宋体" w:hAnsi="宋体" w:eastAsia="宋体" w:cs="宋体"/>
          <w:sz w:val="24"/>
          <w:szCs w:val="32"/>
          <w:highlight w:val="none"/>
          <w:lang w:val="en-US" w:eastAsia="zh-CN"/>
        </w:rPr>
        <w:t xml:space="preserve">（</w:t>
      </w:r>
      <w:r>
        <w:rPr>
          <w:rFonts w:hint="eastAsia" w:ascii="宋体" w:hAnsi="宋体" w:cs="宋体"/>
          <w:sz w:val="24"/>
          <w:szCs w:val="32"/>
          <w:highlight w:val="none"/>
          <w:lang w:val="en-US" w:eastAsia="zh-CN"/>
        </w:rPr>
        <w:t xml:space="preserve">4</w:t>
      </w:r>
      <w:r>
        <w:rPr>
          <w:rFonts w:hint="eastAsia" w:ascii="宋体" w:hAnsi="宋体" w:eastAsia="宋体" w:cs="宋体"/>
          <w:sz w:val="24"/>
          <w:szCs w:val="32"/>
          <w:highlight w:val="none"/>
          <w:lang w:val="en-US" w:eastAsia="zh-CN"/>
        </w:rPr>
        <w:t xml:space="preserve">分）：</w:t>
      </w:r>
      <w:r>
        <w:rPr>
          <w:rFonts w:hint="eastAsia" w:ascii="宋体" w:hAnsi="宋体" w:cs="宋体"/>
          <w:sz w:val="24"/>
          <w:szCs w:val="32"/>
          <w:highlight w:val="none"/>
          <w:lang w:val="en-US" w:eastAsia="zh-CN"/>
        </w:rPr>
        <w:t xml:space="preserve">①</w:t>
      </w:r>
      <w:r>
        <w:rPr>
          <w:rFonts w:hint="eastAsia" w:ascii="宋体" w:hAnsi="宋体" w:eastAsia="宋体" w:cs="宋体"/>
          <w:sz w:val="24"/>
          <w:szCs w:val="32"/>
          <w:highlight w:val="none"/>
          <w:lang w:val="en-US" w:eastAsia="zh-CN"/>
        </w:rPr>
        <w:t xml:space="preserve">微压计</w:t>
      </w:r>
      <w:r>
        <w:rPr>
          <w:rFonts w:hint="eastAsia" w:ascii="宋体" w:hAnsi="宋体" w:cs="宋体"/>
          <w:sz w:val="24"/>
          <w:szCs w:val="32"/>
          <w:highlight w:val="none"/>
          <w:lang w:val="en-US" w:eastAsia="zh-CN"/>
        </w:rPr>
        <w:t xml:space="preserve">，</w:t>
      </w:r>
      <w:r>
        <w:rPr>
          <w:rFonts w:hint="eastAsia" w:ascii="宋体" w:hAnsi="宋体" w:eastAsia="宋体" w:cs="宋体"/>
          <w:sz w:val="24"/>
          <w:szCs w:val="32"/>
          <w:highlight w:val="none"/>
          <w:lang w:val="en-US" w:eastAsia="zh-CN"/>
        </w:rPr>
        <w:t xml:space="preserve">量程：0～1000Pa；精度：±0.05%FS；</w:t>
      </w:r>
      <w:r/>
    </w:p>
    <w:p>
      <w:pPr>
        <w:keepLines w:val="0"/>
        <w:keepNext w:val="0"/>
        <w:pageBreakBefore w:val="0"/>
        <w:spacing w:line="360" w:lineRule="auto"/>
        <w:widowControl w:val="off"/>
        <w:rPr>
          <w:rFonts w:hint="eastAsia" w:ascii="宋体" w:hAnsi="宋体" w:eastAsia="宋体" w:cs="宋体"/>
          <w:sz w:val="24"/>
          <w:szCs w:val="32"/>
          <w:highlight w:val="none"/>
          <w:lang w:val="en-US" w:eastAsia="zh-CN"/>
        </w:rPr>
      </w:pPr>
      <w:r>
        <w:rPr>
          <w:rFonts w:hint="eastAsia" w:ascii="宋体" w:hAnsi="宋体" w:cs="宋体"/>
          <w:sz w:val="24"/>
          <w:szCs w:val="32"/>
          <w:highlight w:val="none"/>
          <w:lang w:val="en-US" w:eastAsia="zh-CN"/>
        </w:rPr>
        <w:t xml:space="preserve">②</w:t>
      </w:r>
      <w:r>
        <w:rPr>
          <w:rFonts w:hint="eastAsia" w:ascii="宋体" w:hAnsi="宋体" w:eastAsia="宋体" w:cs="宋体"/>
          <w:sz w:val="24"/>
          <w:szCs w:val="32"/>
          <w:highlight w:val="none"/>
          <w:lang w:val="en-US" w:eastAsia="zh-CN"/>
        </w:rPr>
        <w:t xml:space="preserve">温湿度传感器，温度范围：-20～60℃，精度±0.</w:t>
      </w:r>
      <w:r>
        <w:rPr>
          <w:rFonts w:hint="eastAsia" w:ascii="宋体" w:hAnsi="宋体" w:cs="宋体"/>
          <w:sz w:val="24"/>
          <w:szCs w:val="32"/>
          <w:highlight w:val="none"/>
          <w:lang w:val="en-US" w:eastAsia="zh-CN"/>
        </w:rPr>
        <w:t xml:space="preserve">2</w:t>
      </w:r>
      <w:r>
        <w:rPr>
          <w:rFonts w:hint="eastAsia" w:ascii="宋体" w:hAnsi="宋体" w:eastAsia="宋体" w:cs="宋体"/>
          <w:sz w:val="24"/>
          <w:szCs w:val="32"/>
          <w:highlight w:val="none"/>
          <w:lang w:val="en-US" w:eastAsia="zh-CN"/>
        </w:rPr>
        <w:t xml:space="preserve">℃；湿度范围：0～95% RH，精度：±</w:t>
      </w:r>
      <w:r>
        <w:rPr>
          <w:rFonts w:hint="eastAsia" w:ascii="宋体" w:hAnsi="宋体" w:cs="宋体"/>
          <w:sz w:val="24"/>
          <w:szCs w:val="32"/>
          <w:highlight w:val="none"/>
          <w:lang w:val="en-US" w:eastAsia="zh-CN"/>
        </w:rPr>
        <w:t xml:space="preserve">1.5</w:t>
      </w:r>
      <w:r>
        <w:rPr>
          <w:rFonts w:hint="eastAsia" w:ascii="宋体" w:hAnsi="宋体" w:eastAsia="宋体" w:cs="宋体"/>
          <w:sz w:val="24"/>
          <w:szCs w:val="32"/>
          <w:highlight w:val="none"/>
          <w:lang w:val="en-US" w:eastAsia="zh-CN"/>
        </w:rPr>
        <w:t xml:space="preserve">%RH；</w:t>
      </w:r>
      <w:r>
        <w:rPr>
          <w:rFonts w:hint="eastAsia" w:ascii="宋体" w:hAnsi="宋体" w:cs="宋体"/>
          <w:sz w:val="24"/>
          <w:szCs w:val="32"/>
          <w:highlight w:val="none"/>
          <w:lang w:val="en-US" w:eastAsia="zh-CN"/>
        </w:rPr>
        <w:t xml:space="preserve">③</w:t>
      </w:r>
      <w:r>
        <w:rPr>
          <w:rFonts w:hint="eastAsia" w:ascii="宋体" w:hAnsi="宋体" w:eastAsia="宋体" w:cs="宋体"/>
          <w:sz w:val="24"/>
          <w:szCs w:val="32"/>
          <w:highlight w:val="none"/>
          <w:lang w:val="en-US" w:eastAsia="zh-CN"/>
        </w:rPr>
        <w:t xml:space="preserve">气压计</w:t>
      </w:r>
      <w:r>
        <w:rPr>
          <w:rFonts w:hint="eastAsia" w:ascii="宋体" w:hAnsi="宋体" w:cs="宋体"/>
          <w:sz w:val="24"/>
          <w:szCs w:val="32"/>
          <w:highlight w:val="none"/>
          <w:lang w:val="en-US" w:eastAsia="zh-CN"/>
        </w:rPr>
        <w:t xml:space="preserve">，</w:t>
      </w:r>
      <w:r>
        <w:rPr>
          <w:rFonts w:hint="eastAsia" w:ascii="宋体" w:hAnsi="宋体" w:eastAsia="宋体" w:cs="宋体"/>
          <w:sz w:val="24"/>
          <w:szCs w:val="32"/>
          <w:highlight w:val="none"/>
          <w:lang w:val="en-US" w:eastAsia="zh-CN"/>
        </w:rPr>
        <w:t xml:space="preserve">量程</w:t>
      </w:r>
      <w:r>
        <w:rPr>
          <w:rFonts w:hint="eastAsia" w:ascii="宋体" w:hAnsi="宋体" w:cs="宋体"/>
          <w:sz w:val="24"/>
          <w:szCs w:val="32"/>
          <w:highlight w:val="none"/>
          <w:lang w:val="en-US" w:eastAsia="zh-CN"/>
        </w:rPr>
        <w:t xml:space="preserve">：</w:t>
      </w:r>
      <w:r>
        <w:rPr>
          <w:rFonts w:hint="eastAsia" w:ascii="宋体" w:hAnsi="宋体" w:eastAsia="宋体" w:cs="宋体"/>
          <w:sz w:val="24"/>
          <w:szCs w:val="32"/>
          <w:highlight w:val="none"/>
          <w:lang w:val="en-US" w:eastAsia="zh-CN"/>
        </w:rPr>
        <w:t xml:space="preserve">0～1100 hPa；输出接口</w:t>
      </w:r>
      <w:r>
        <w:rPr>
          <w:rFonts w:hint="eastAsia" w:ascii="宋体" w:hAnsi="宋体" w:cs="宋体"/>
          <w:sz w:val="24"/>
          <w:szCs w:val="32"/>
          <w:highlight w:val="none"/>
          <w:lang w:val="en-US" w:eastAsia="zh-CN"/>
        </w:rPr>
        <w:t xml:space="preserve">：</w:t>
      </w:r>
      <w:r>
        <w:rPr>
          <w:rFonts w:hint="eastAsia" w:ascii="宋体" w:hAnsi="宋体" w:eastAsia="宋体" w:cs="宋体"/>
          <w:sz w:val="24"/>
          <w:szCs w:val="32"/>
          <w:highlight w:val="none"/>
          <w:lang w:val="en-US" w:eastAsia="zh-CN"/>
        </w:rPr>
        <w:t xml:space="preserve">4～20 mA；精度±0.5%FS；</w:t>
      </w:r>
      <w:r>
        <w:rPr>
          <w:rFonts w:hint="eastAsia" w:ascii="宋体" w:hAnsi="宋体" w:cs="宋体"/>
          <w:sz w:val="24"/>
          <w:szCs w:val="32"/>
          <w:highlight w:val="none"/>
          <w:lang w:val="en-US" w:eastAsia="zh-CN"/>
        </w:rPr>
        <w:t xml:space="preserve">④</w:t>
      </w:r>
      <w:r>
        <w:rPr>
          <w:rFonts w:hint="eastAsia" w:ascii="宋体" w:hAnsi="宋体" w:eastAsia="宋体" w:cs="宋体"/>
          <w:sz w:val="24"/>
          <w:szCs w:val="32"/>
          <w:highlight w:val="none"/>
          <w:lang w:val="en-US" w:eastAsia="zh-CN"/>
        </w:rPr>
        <w:t xml:space="preserve">皮托管</w:t>
      </w:r>
      <w:r>
        <w:rPr>
          <w:rFonts w:hint="eastAsia" w:ascii="宋体" w:hAnsi="宋体" w:cs="宋体"/>
          <w:sz w:val="24"/>
          <w:szCs w:val="32"/>
          <w:highlight w:val="none"/>
          <w:lang w:val="en-US" w:eastAsia="zh-CN"/>
        </w:rPr>
        <w:t xml:space="preserve">，</w:t>
      </w:r>
      <w:r>
        <w:rPr>
          <w:rFonts w:hint="eastAsia" w:ascii="宋体" w:hAnsi="宋体" w:eastAsia="宋体" w:cs="宋体"/>
          <w:sz w:val="24"/>
          <w:szCs w:val="32"/>
          <w:highlight w:val="none"/>
          <w:lang w:val="en-US" w:eastAsia="zh-CN"/>
        </w:rPr>
        <w:t xml:space="preserve">皮托管6*300mm，顶端为椭圆形，前端为全压输入口，侧面的小孔为静压输入口，皮托管材质使用不锈钢，量程：0～60 m/s，校准系数：0.997-1.003；</w:t>
      </w:r>
      <w:r>
        <w:rPr>
          <w:rFonts w:hint="eastAsia" w:ascii="宋体" w:hAnsi="宋体" w:cs="宋体"/>
          <w:sz w:val="24"/>
          <w:szCs w:val="32"/>
          <w:highlight w:val="none"/>
          <w:lang w:val="en-US" w:eastAsia="zh-CN"/>
        </w:rPr>
        <w:t xml:space="preserve">每提供一项得1分，本项最高得4分；</w:t>
      </w:r>
      <w:r>
        <w:rPr>
          <w:rFonts w:hint="eastAsia" w:ascii="宋体" w:hAnsi="宋体" w:cs="宋体"/>
          <w:b/>
          <w:bCs/>
          <w:sz w:val="24"/>
          <w:szCs w:val="32"/>
          <w:highlight w:val="none"/>
          <w:lang w:val="en-US" w:eastAsia="zh-CN"/>
        </w:rPr>
        <w:t xml:space="preserve">（提供</w:t>
      </w:r>
      <w:r>
        <w:rPr>
          <w:rFonts w:hint="eastAsia" w:ascii="宋体" w:hAnsi="宋体" w:eastAsia="宋体" w:cs="宋体"/>
          <w:b/>
          <w:bCs/>
          <w:sz w:val="24"/>
          <w:szCs w:val="32"/>
          <w:highlight w:val="none"/>
          <w:lang w:val="en-US" w:eastAsia="zh-CN"/>
        </w:rPr>
        <w:t xml:space="preserve">彩页、官网截图、检测报告等</w:t>
      </w:r>
      <w:r>
        <w:rPr>
          <w:rFonts w:hint="eastAsia" w:ascii="宋体" w:hAnsi="宋体" w:cs="宋体"/>
          <w:b/>
          <w:bCs/>
          <w:sz w:val="24"/>
          <w:szCs w:val="32"/>
          <w:highlight w:val="none"/>
          <w:lang w:val="en-US" w:eastAsia="zh-CN"/>
        </w:rPr>
        <w:t xml:space="preserve">任意一项证明材料</w:t>
      </w:r>
      <w:r>
        <w:rPr>
          <w:rFonts w:hint="eastAsia" w:ascii="宋体" w:hAnsi="宋体" w:eastAsia="宋体" w:cs="宋体"/>
          <w:b/>
          <w:bCs/>
          <w:sz w:val="24"/>
          <w:szCs w:val="32"/>
          <w:highlight w:val="none"/>
          <w:lang w:val="en-US" w:eastAsia="zh-CN"/>
        </w:rPr>
        <w:t xml:space="preserve">）</w:t>
      </w:r>
      <w:r>
        <w:rPr>
          <w:rFonts w:hint="eastAsia" w:ascii="宋体" w:hAnsi="宋体" w:eastAsia="宋体" w:cs="宋体"/>
          <w:sz w:val="24"/>
          <w:szCs w:val="32"/>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32"/>
          <w:highlight w:val="none"/>
          <w:lang w:val="en-US" w:eastAsia="zh-CN"/>
        </w:rPr>
      </w:pPr>
      <w:r>
        <w:rPr>
          <w:rFonts w:hint="eastAsia" w:ascii="宋体" w:hAnsi="宋体" w:cs="宋体"/>
          <w:sz w:val="24"/>
          <w:szCs w:val="32"/>
          <w:highlight w:val="none"/>
          <w:lang w:val="en-US" w:eastAsia="zh-CN"/>
        </w:rPr>
        <w:t xml:space="preserve">3.3</w:t>
      </w:r>
      <w:r>
        <w:rPr>
          <w:rFonts w:hint="eastAsia" w:ascii="宋体" w:hAnsi="宋体" w:eastAsia="宋体" w:cs="宋体"/>
          <w:sz w:val="24"/>
          <w:szCs w:val="32"/>
          <w:highlight w:val="none"/>
          <w:lang w:val="en-US" w:eastAsia="zh-CN"/>
        </w:rPr>
        <w:t xml:space="preserve">模型支撑装置</w:t>
      </w:r>
      <w:r>
        <w:rPr>
          <w:rFonts w:hint="eastAsia" w:ascii="宋体" w:hAnsi="宋体" w:cs="宋体"/>
          <w:sz w:val="24"/>
          <w:szCs w:val="32"/>
          <w:highlight w:val="none"/>
          <w:lang w:val="en-US" w:eastAsia="zh-CN"/>
        </w:rPr>
        <w:t xml:space="preserve">（2分）</w:t>
      </w:r>
      <w:r>
        <w:rPr>
          <w:rFonts w:hint="eastAsia" w:ascii="宋体" w:hAnsi="宋体" w:eastAsia="宋体" w:cs="宋体"/>
          <w:sz w:val="24"/>
          <w:szCs w:val="32"/>
          <w:highlight w:val="none"/>
          <w:lang w:val="en-US" w:eastAsia="zh-CN"/>
        </w:rPr>
        <w:t xml:space="preserve">：角度机构，电动调节；调节范围：±30°，精度：±0.1°；材质：铝合金/不锈钢/碳钢；提供得</w:t>
      </w:r>
      <w:r>
        <w:rPr>
          <w:rFonts w:hint="eastAsia" w:ascii="宋体" w:hAnsi="宋体" w:cs="宋体"/>
          <w:sz w:val="24"/>
          <w:szCs w:val="32"/>
          <w:highlight w:val="none"/>
          <w:lang w:val="en-US" w:eastAsia="zh-CN"/>
        </w:rPr>
        <w:t xml:space="preserve">2</w:t>
      </w:r>
      <w:r>
        <w:rPr>
          <w:rFonts w:hint="eastAsia" w:ascii="宋体" w:hAnsi="宋体" w:eastAsia="宋体" w:cs="宋体"/>
          <w:sz w:val="24"/>
          <w:szCs w:val="32"/>
          <w:highlight w:val="none"/>
          <w:lang w:val="en-US" w:eastAsia="zh-CN"/>
        </w:rPr>
        <w:t xml:space="preserve">分，</w:t>
      </w:r>
      <w:r>
        <w:rPr>
          <w:rFonts w:hint="eastAsia" w:ascii="宋体" w:hAnsi="宋体" w:cs="宋体"/>
          <w:sz w:val="24"/>
          <w:szCs w:val="32"/>
          <w:highlight w:val="none"/>
          <w:lang w:val="en-US" w:eastAsia="zh-CN"/>
        </w:rPr>
        <w:t xml:space="preserve">有缺项漏项</w:t>
      </w:r>
      <w:r>
        <w:rPr>
          <w:rFonts w:hint="eastAsia" w:ascii="宋体" w:hAnsi="宋体" w:eastAsia="宋体" w:cs="宋体"/>
          <w:sz w:val="24"/>
          <w:szCs w:val="32"/>
          <w:highlight w:val="none"/>
          <w:lang w:val="en-US" w:eastAsia="zh-CN"/>
        </w:rPr>
        <w:t xml:space="preserve">不得分；</w:t>
      </w:r>
      <w:r>
        <w:rPr>
          <w:rFonts w:hint="eastAsia" w:ascii="宋体" w:hAnsi="宋体" w:cs="宋体"/>
          <w:b/>
          <w:bCs/>
          <w:sz w:val="24"/>
          <w:szCs w:val="32"/>
          <w:highlight w:val="none"/>
          <w:lang w:val="en-US" w:eastAsia="zh-CN"/>
        </w:rPr>
        <w:t xml:space="preserve">（提供</w:t>
      </w:r>
      <w:r>
        <w:rPr>
          <w:rFonts w:hint="eastAsia" w:ascii="宋体" w:hAnsi="宋体" w:eastAsia="宋体" w:cs="宋体"/>
          <w:b/>
          <w:bCs/>
          <w:sz w:val="24"/>
          <w:szCs w:val="32"/>
          <w:highlight w:val="none"/>
          <w:lang w:val="en-US" w:eastAsia="zh-CN"/>
        </w:rPr>
        <w:t xml:space="preserve">彩页、官网截图、检测报告等</w:t>
      </w:r>
      <w:r>
        <w:rPr>
          <w:rFonts w:hint="eastAsia" w:ascii="宋体" w:hAnsi="宋体" w:cs="宋体"/>
          <w:b/>
          <w:bCs/>
          <w:sz w:val="24"/>
          <w:szCs w:val="32"/>
          <w:highlight w:val="none"/>
          <w:lang w:val="en-US" w:eastAsia="zh-CN"/>
        </w:rPr>
        <w:t xml:space="preserve">任意一项证明材料</w:t>
      </w:r>
      <w:r>
        <w:rPr>
          <w:rFonts w:hint="eastAsia" w:ascii="宋体" w:hAnsi="宋体" w:eastAsia="宋体" w:cs="宋体"/>
          <w:b/>
          <w:bCs/>
          <w:sz w:val="24"/>
          <w:szCs w:val="32"/>
          <w:highlight w:val="none"/>
          <w:lang w:val="en-US" w:eastAsia="zh-CN"/>
        </w:rPr>
        <w:t xml:space="preserve">）</w:t>
      </w:r>
      <w:r>
        <w:rPr>
          <w:rFonts w:hint="eastAsia" w:ascii="宋体" w:hAnsi="宋体" w:eastAsia="宋体" w:cs="宋体"/>
          <w:sz w:val="24"/>
          <w:szCs w:val="32"/>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32"/>
          <w:highlight w:val="none"/>
          <w:lang w:val="en-US" w:eastAsia="zh-CN"/>
        </w:rPr>
      </w:pPr>
      <w:r>
        <w:rPr>
          <w:rFonts w:hint="eastAsia" w:ascii="宋体" w:hAnsi="宋体" w:cs="宋体"/>
          <w:sz w:val="24"/>
          <w:szCs w:val="32"/>
          <w:highlight w:val="none"/>
          <w:lang w:val="en-US" w:eastAsia="zh-CN"/>
        </w:rPr>
        <w:t xml:space="preserve">3</w:t>
      </w:r>
      <w:r>
        <w:rPr>
          <w:rFonts w:hint="eastAsia" w:ascii="宋体" w:hAnsi="宋体" w:eastAsia="宋体" w:cs="宋体"/>
          <w:sz w:val="24"/>
          <w:szCs w:val="32"/>
          <w:highlight w:val="none"/>
          <w:lang w:val="en-US" w:eastAsia="zh-CN"/>
        </w:rPr>
        <w:t xml:space="preserve">.</w:t>
      </w:r>
      <w:r>
        <w:rPr>
          <w:rFonts w:hint="eastAsia" w:ascii="宋体" w:hAnsi="宋体" w:cs="宋体"/>
          <w:sz w:val="24"/>
          <w:szCs w:val="32"/>
          <w:highlight w:val="none"/>
          <w:lang w:val="en-US" w:eastAsia="zh-CN"/>
        </w:rPr>
        <w:t xml:space="preserve">4</w:t>
      </w:r>
      <w:r>
        <w:rPr>
          <w:rFonts w:hint="eastAsia" w:ascii="宋体" w:hAnsi="宋体" w:eastAsia="宋体" w:cs="宋体"/>
          <w:sz w:val="24"/>
          <w:szCs w:val="32"/>
          <w:highlight w:val="none"/>
          <w:lang w:val="en-US" w:eastAsia="zh-CN"/>
        </w:rPr>
        <w:t xml:space="preserve">无人机测试风墙（</w:t>
      </w:r>
      <w:r>
        <w:rPr>
          <w:rFonts w:hint="eastAsia" w:ascii="宋体" w:hAnsi="宋体" w:cs="宋体"/>
          <w:sz w:val="24"/>
          <w:szCs w:val="32"/>
          <w:highlight w:val="none"/>
          <w:lang w:val="en-US" w:eastAsia="zh-CN"/>
        </w:rPr>
        <w:t xml:space="preserve">2</w:t>
      </w:r>
      <w:r>
        <w:rPr>
          <w:rFonts w:hint="eastAsia" w:ascii="宋体" w:hAnsi="宋体" w:eastAsia="宋体" w:cs="宋体"/>
          <w:sz w:val="24"/>
          <w:szCs w:val="32"/>
          <w:highlight w:val="none"/>
          <w:lang w:val="en-US" w:eastAsia="zh-CN"/>
        </w:rPr>
        <w:t xml:space="preserve">分）：</w:t>
      </w:r>
      <w:r>
        <w:rPr>
          <w:rFonts w:hint="eastAsia" w:ascii="宋体" w:hAnsi="宋体" w:eastAsia="宋体" w:cs="宋体"/>
          <w:b/>
          <w:bCs/>
          <w:color w:val="auto"/>
          <w:sz w:val="24"/>
          <w:szCs w:val="24"/>
          <w:highlight w:val="none"/>
          <w:lang w:val="en-US" w:eastAsia="zh-CN"/>
        </w:rPr>
        <w:t xml:space="preserve">无人机测试</w:t>
      </w:r>
      <w:r>
        <w:rPr>
          <w:rFonts w:hint="eastAsia" w:ascii="宋体" w:hAnsi="宋体" w:eastAsia="宋体" w:cs="宋体"/>
          <w:i w:val="0"/>
          <w:iCs w:val="0"/>
          <w:color w:val="auto"/>
          <w:sz w:val="24"/>
          <w:szCs w:val="24"/>
          <w:highlight w:val="none"/>
          <w:u w:val="none"/>
          <w:lang w:val="en-US" w:eastAsia="zh-CN" w:bidi="ar"/>
        </w:rPr>
        <w:t xml:space="preserve">风墙结构可出风尺寸：宽度≥1500mm，高度≥1500mm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风速调节范围0-15m/s</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风墙配角度调节结构，改变风墙仰角10-90°，电动调节；</w:t>
      </w:r>
      <w:r>
        <w:rPr>
          <w:rFonts w:hint="eastAsia" w:ascii="宋体" w:hAnsi="宋体" w:eastAsia="宋体" w:cs="宋体"/>
          <w:sz w:val="24"/>
          <w:szCs w:val="32"/>
          <w:highlight w:val="none"/>
          <w:lang w:val="en-US" w:eastAsia="zh-CN"/>
        </w:rPr>
        <w:t xml:space="preserve">提供得</w:t>
      </w:r>
      <w:r>
        <w:rPr>
          <w:rFonts w:hint="eastAsia" w:ascii="宋体" w:hAnsi="宋体" w:cs="宋体"/>
          <w:sz w:val="24"/>
          <w:szCs w:val="32"/>
          <w:highlight w:val="none"/>
          <w:lang w:val="en-US" w:eastAsia="zh-CN"/>
        </w:rPr>
        <w:t xml:space="preserve">2</w:t>
      </w:r>
      <w:r>
        <w:rPr>
          <w:rFonts w:hint="eastAsia" w:ascii="宋体" w:hAnsi="宋体" w:eastAsia="宋体" w:cs="宋体"/>
          <w:sz w:val="24"/>
          <w:szCs w:val="32"/>
          <w:highlight w:val="none"/>
          <w:lang w:val="en-US" w:eastAsia="zh-CN"/>
        </w:rPr>
        <w:t xml:space="preserve">分，</w:t>
      </w:r>
      <w:r>
        <w:rPr>
          <w:rFonts w:hint="eastAsia" w:ascii="宋体" w:hAnsi="宋体" w:cs="宋体"/>
          <w:sz w:val="24"/>
          <w:szCs w:val="32"/>
          <w:highlight w:val="none"/>
          <w:lang w:val="en-US" w:eastAsia="zh-CN"/>
        </w:rPr>
        <w:t xml:space="preserve">有缺项漏项</w:t>
      </w:r>
      <w:r>
        <w:rPr>
          <w:rFonts w:hint="eastAsia" w:ascii="宋体" w:hAnsi="宋体" w:eastAsia="宋体" w:cs="宋体"/>
          <w:sz w:val="24"/>
          <w:szCs w:val="32"/>
          <w:highlight w:val="none"/>
          <w:lang w:val="en-US" w:eastAsia="zh-CN"/>
        </w:rPr>
        <w:t xml:space="preserve">不得分；</w:t>
      </w:r>
      <w:r>
        <w:rPr>
          <w:rFonts w:hint="eastAsia" w:ascii="宋体" w:hAnsi="宋体" w:cs="宋体"/>
          <w:b/>
          <w:bCs/>
          <w:sz w:val="24"/>
          <w:szCs w:val="32"/>
          <w:highlight w:val="none"/>
          <w:lang w:val="en-US" w:eastAsia="zh-CN"/>
        </w:rPr>
        <w:t xml:space="preserve">（提供</w:t>
      </w:r>
      <w:r>
        <w:rPr>
          <w:rFonts w:hint="eastAsia" w:ascii="宋体" w:hAnsi="宋体" w:eastAsia="宋体" w:cs="宋体"/>
          <w:b/>
          <w:bCs/>
          <w:sz w:val="24"/>
          <w:szCs w:val="32"/>
          <w:highlight w:val="none"/>
          <w:lang w:val="en-US" w:eastAsia="zh-CN"/>
        </w:rPr>
        <w:t xml:space="preserve">彩页、官网截图、检测报告等</w:t>
      </w:r>
      <w:r>
        <w:rPr>
          <w:rFonts w:hint="eastAsia" w:ascii="宋体" w:hAnsi="宋体" w:cs="宋体"/>
          <w:b/>
          <w:bCs/>
          <w:sz w:val="24"/>
          <w:szCs w:val="32"/>
          <w:highlight w:val="none"/>
          <w:lang w:val="en-US" w:eastAsia="zh-CN"/>
        </w:rPr>
        <w:t xml:space="preserve">任意一项证明材料</w:t>
      </w:r>
      <w:r>
        <w:rPr>
          <w:rFonts w:hint="eastAsia" w:ascii="宋体" w:hAnsi="宋体" w:eastAsia="宋体" w:cs="宋体"/>
          <w:b/>
          <w:bCs/>
          <w:sz w:val="24"/>
          <w:szCs w:val="32"/>
          <w:highlight w:val="none"/>
          <w:lang w:val="en-US" w:eastAsia="zh-CN"/>
        </w:rPr>
        <w:t xml:space="preserve">）</w:t>
      </w:r>
      <w:r>
        <w:rPr>
          <w:rFonts w:hint="eastAsia" w:ascii="宋体" w:hAnsi="宋体" w:eastAsia="宋体" w:cs="宋体"/>
          <w:sz w:val="24"/>
          <w:szCs w:val="32"/>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32"/>
          <w:highlight w:val="none"/>
          <w:lang w:val="en-US" w:eastAsia="zh-CN"/>
        </w:rPr>
      </w:pPr>
      <w:r>
        <w:rPr>
          <w:rFonts w:hint="eastAsia" w:ascii="宋体" w:hAnsi="宋体" w:cs="宋体"/>
          <w:sz w:val="24"/>
          <w:szCs w:val="32"/>
          <w:highlight w:val="none"/>
          <w:lang w:val="en-US" w:eastAsia="zh-CN"/>
        </w:rPr>
        <w:t xml:space="preserve">3.5校准装置</w:t>
      </w:r>
      <w:r>
        <w:rPr>
          <w:rFonts w:hint="eastAsia" w:ascii="宋体" w:hAnsi="宋体" w:eastAsia="宋体" w:cs="宋体"/>
          <w:sz w:val="24"/>
          <w:szCs w:val="32"/>
          <w:highlight w:val="none"/>
          <w:lang w:val="en-US" w:eastAsia="zh-CN"/>
        </w:rPr>
        <w:t xml:space="preserve">（</w:t>
      </w:r>
      <w:r>
        <w:rPr>
          <w:rFonts w:hint="eastAsia" w:ascii="宋体" w:hAnsi="宋体" w:cs="宋体"/>
          <w:sz w:val="24"/>
          <w:szCs w:val="32"/>
          <w:highlight w:val="none"/>
          <w:lang w:val="en-US" w:eastAsia="zh-CN"/>
        </w:rPr>
        <w:t xml:space="preserve">2</w:t>
      </w:r>
      <w:r>
        <w:rPr>
          <w:rFonts w:hint="eastAsia" w:ascii="宋体" w:hAnsi="宋体" w:eastAsia="宋体" w:cs="宋体"/>
          <w:sz w:val="24"/>
          <w:szCs w:val="32"/>
          <w:highlight w:val="none"/>
          <w:lang w:val="en-US" w:eastAsia="zh-CN"/>
        </w:rPr>
        <w:t xml:space="preserve">分）</w:t>
      </w:r>
      <w:r>
        <w:rPr>
          <w:rFonts w:hint="eastAsia" w:ascii="宋体" w:hAnsi="宋体" w:cs="宋体"/>
          <w:sz w:val="24"/>
          <w:szCs w:val="32"/>
          <w:highlight w:val="none"/>
          <w:lang w:val="en-US" w:eastAsia="zh-CN"/>
        </w:rPr>
        <w:t xml:space="preserve">：①风速仪，风速测量范围：0.1～30m/s，满足教学实验校准需求，精度：读数3%或±0.015m/s</w:t>
      </w:r>
      <w:r>
        <w:rPr>
          <w:rFonts w:hint="eastAsia" w:ascii="宋体" w:hAnsi="宋体" w:cs="宋体"/>
          <w:b/>
          <w:bCs/>
          <w:sz w:val="24"/>
          <w:szCs w:val="32"/>
          <w:highlight w:val="none"/>
          <w:lang w:val="en-US" w:eastAsia="zh-CN"/>
        </w:rPr>
        <w:t xml:space="preserve">（提供计量机构出具的计量证书）</w:t>
      </w:r>
      <w:r>
        <w:rPr>
          <w:rFonts w:hint="eastAsia" w:ascii="宋体" w:hAnsi="宋体" w:cs="宋体"/>
          <w:sz w:val="24"/>
          <w:szCs w:val="32"/>
          <w:highlight w:val="none"/>
          <w:lang w:val="en-US" w:eastAsia="zh-CN"/>
        </w:rPr>
        <w:t xml:space="preserve">；②移测架，安装在试验段中，外形尺寸不小于1000mm×980mm×800mm；在30m/s风速下摆动≤2mm,X轴行程≥800mm、Y轴行程≥500mm、Z轴行程≥500mm，定位精度0.5mm，电动控制，通过风洞控制软件自动控制；每提供一项得1分，最高得2分；</w:t>
      </w:r>
      <w:r>
        <w:rPr>
          <w:rFonts w:hint="eastAsia" w:ascii="宋体" w:hAnsi="宋体" w:cs="宋体"/>
          <w:b/>
          <w:bCs/>
          <w:sz w:val="24"/>
          <w:szCs w:val="32"/>
          <w:highlight w:val="none"/>
          <w:lang w:val="en-US" w:eastAsia="zh-CN"/>
        </w:rPr>
        <w:t xml:space="preserve">（提供</w:t>
      </w:r>
      <w:r>
        <w:rPr>
          <w:rFonts w:hint="eastAsia" w:ascii="宋体" w:hAnsi="宋体" w:eastAsia="宋体" w:cs="宋体"/>
          <w:b/>
          <w:bCs/>
          <w:sz w:val="24"/>
          <w:szCs w:val="32"/>
          <w:highlight w:val="none"/>
          <w:lang w:val="en-US" w:eastAsia="zh-CN"/>
        </w:rPr>
        <w:t xml:space="preserve">彩页、官网截图、检测报告等</w:t>
      </w:r>
      <w:r>
        <w:rPr>
          <w:rFonts w:hint="eastAsia" w:ascii="宋体" w:hAnsi="宋体" w:cs="宋体"/>
          <w:b/>
          <w:bCs/>
          <w:sz w:val="24"/>
          <w:szCs w:val="32"/>
          <w:highlight w:val="none"/>
          <w:lang w:val="en-US" w:eastAsia="zh-CN"/>
        </w:rPr>
        <w:t xml:space="preserve">任意一项证明材料</w:t>
      </w:r>
      <w:r>
        <w:rPr>
          <w:rFonts w:hint="eastAsia" w:ascii="宋体" w:hAnsi="宋体" w:eastAsia="宋体" w:cs="宋体"/>
          <w:b/>
          <w:bCs/>
          <w:sz w:val="24"/>
          <w:szCs w:val="32"/>
          <w:highlight w:val="none"/>
          <w:lang w:val="en-US" w:eastAsia="zh-CN"/>
        </w:rPr>
        <w:t xml:space="preserve">）</w:t>
      </w:r>
      <w:r>
        <w:rPr>
          <w:rFonts w:hint="eastAsia" w:ascii="宋体" w:hAnsi="宋体" w:eastAsia="宋体" w:cs="宋体"/>
          <w:sz w:val="24"/>
          <w:szCs w:val="32"/>
          <w:highlight w:val="none"/>
          <w:lang w:val="en-US" w:eastAsia="zh-CN"/>
        </w:rPr>
        <w:t xml:space="preserve">；</w:t>
      </w:r>
      <w:r/>
    </w:p>
    <w:p>
      <w:pPr>
        <w:ind w:firstLine="480"/>
        <w:keepLines w:val="0"/>
        <w:keepNext w:val="0"/>
        <w:pageBreakBefore w:val="0"/>
        <w:spacing w:line="360" w:lineRule="auto"/>
        <w:widowControl w:val="off"/>
        <w:rPr>
          <w:rFonts w:hint="default" w:ascii="宋体" w:hAnsi="宋体" w:eastAsia="宋体" w:cs="宋体"/>
          <w:sz w:val="24"/>
          <w:szCs w:val="32"/>
          <w:highlight w:val="none"/>
          <w:lang w:val="en-US" w:eastAsia="zh-CN"/>
        </w:rPr>
      </w:pPr>
      <w:r>
        <w:rPr>
          <w:rFonts w:hint="eastAsia" w:ascii="宋体" w:hAnsi="宋体" w:cs="宋体"/>
          <w:sz w:val="24"/>
          <w:szCs w:val="32"/>
          <w:highlight w:val="none"/>
          <w:lang w:val="en-US" w:eastAsia="zh-CN"/>
        </w:rPr>
        <w:t xml:space="preserve">3.6</w:t>
      </w:r>
      <w:r>
        <w:rPr>
          <w:rFonts w:hint="eastAsia" w:ascii="宋体" w:hAnsi="宋体" w:eastAsia="宋体" w:cs="宋体"/>
          <w:i w:val="0"/>
          <w:iCs w:val="0"/>
          <w:color w:val="auto"/>
          <w:sz w:val="24"/>
          <w:szCs w:val="24"/>
          <w:highlight w:val="none"/>
          <w:u w:val="none"/>
          <w:lang w:val="en-US" w:eastAsia="zh-CN" w:bidi="ar"/>
        </w:rPr>
        <w:t xml:space="preserve">四足机器人</w:t>
      </w:r>
      <w:r>
        <w:rPr>
          <w:rFonts w:hint="eastAsia" w:ascii="宋体" w:hAnsi="宋体" w:eastAsia="宋体" w:cs="宋体"/>
          <w:sz w:val="24"/>
          <w:szCs w:val="32"/>
          <w:highlight w:val="none"/>
          <w:lang w:val="en-US" w:eastAsia="zh-CN"/>
        </w:rPr>
        <w:t xml:space="preserve">（</w:t>
      </w:r>
      <w:r>
        <w:rPr>
          <w:rFonts w:hint="eastAsia" w:ascii="宋体" w:hAnsi="宋体" w:cs="宋体"/>
          <w:sz w:val="24"/>
          <w:szCs w:val="32"/>
          <w:highlight w:val="none"/>
          <w:lang w:val="en-US" w:eastAsia="zh-CN"/>
        </w:rPr>
        <w:t xml:space="preserve">2</w:t>
      </w:r>
      <w:r>
        <w:rPr>
          <w:rFonts w:hint="eastAsia" w:ascii="宋体" w:hAnsi="宋体" w:eastAsia="宋体" w:cs="宋体"/>
          <w:sz w:val="24"/>
          <w:szCs w:val="32"/>
          <w:highlight w:val="none"/>
          <w:lang w:val="en-US" w:eastAsia="zh-CN"/>
        </w:rPr>
        <w:t xml:space="preserve">分）</w:t>
      </w:r>
      <w:r>
        <w:rPr>
          <w:rFonts w:hint="eastAsia" w:ascii="宋体" w:hAnsi="宋体" w:cs="宋体"/>
          <w:i w:val="0"/>
          <w:iCs w:val="0"/>
          <w:color w:val="auto"/>
          <w:sz w:val="24"/>
          <w:szCs w:val="24"/>
          <w:highlight w:val="none"/>
          <w:u w:val="none"/>
          <w:lang w:val="en-US" w:eastAsia="zh-CN" w:bidi="ar"/>
        </w:rPr>
        <w:t xml:space="preserve">：产品尺寸：≤80cm×40cm×50cm ；整机重量：≤30kg（含电池）；负载能力：≥7kg；有效负载续航时间：≥2h；最大速度：≥3m/s；最大攀爬斜坡角度：≥30°；最大攀爬落差高度：≥15cm ；通讯接口：支持Ethernet、Wi-Fi；功能：支持避障、多种复杂动作，具备支持图形化编程；</w:t>
      </w:r>
      <w:r>
        <w:rPr>
          <w:rFonts w:hint="eastAsia" w:ascii="宋体" w:hAnsi="宋体" w:eastAsia="宋体" w:cs="宋体"/>
          <w:sz w:val="24"/>
          <w:szCs w:val="32"/>
          <w:highlight w:val="none"/>
          <w:lang w:val="en-US" w:eastAsia="zh-CN"/>
        </w:rPr>
        <w:t xml:space="preserve">提供得</w:t>
      </w:r>
      <w:r>
        <w:rPr>
          <w:rFonts w:hint="eastAsia" w:ascii="宋体" w:hAnsi="宋体" w:cs="宋体"/>
          <w:sz w:val="24"/>
          <w:szCs w:val="32"/>
          <w:highlight w:val="none"/>
          <w:lang w:val="en-US" w:eastAsia="zh-CN"/>
        </w:rPr>
        <w:t xml:space="preserve">2</w:t>
      </w:r>
      <w:r>
        <w:rPr>
          <w:rFonts w:hint="eastAsia" w:ascii="宋体" w:hAnsi="宋体" w:eastAsia="宋体" w:cs="宋体"/>
          <w:sz w:val="24"/>
          <w:szCs w:val="32"/>
          <w:highlight w:val="none"/>
          <w:lang w:val="en-US" w:eastAsia="zh-CN"/>
        </w:rPr>
        <w:t xml:space="preserve">分，</w:t>
      </w:r>
      <w:r>
        <w:rPr>
          <w:rFonts w:hint="eastAsia" w:ascii="宋体" w:hAnsi="宋体" w:cs="宋体"/>
          <w:sz w:val="24"/>
          <w:szCs w:val="32"/>
          <w:highlight w:val="none"/>
          <w:lang w:val="en-US" w:eastAsia="zh-CN"/>
        </w:rPr>
        <w:t xml:space="preserve">有缺项漏项</w:t>
      </w:r>
      <w:r>
        <w:rPr>
          <w:rFonts w:hint="eastAsia" w:ascii="宋体" w:hAnsi="宋体" w:eastAsia="宋体" w:cs="宋体"/>
          <w:sz w:val="24"/>
          <w:szCs w:val="32"/>
          <w:highlight w:val="none"/>
          <w:lang w:val="en-US" w:eastAsia="zh-CN"/>
        </w:rPr>
        <w:t xml:space="preserve">不得分；</w:t>
      </w:r>
      <w:r>
        <w:rPr>
          <w:rFonts w:hint="eastAsia" w:ascii="宋体" w:hAnsi="宋体" w:cs="宋体"/>
          <w:b/>
          <w:bCs/>
          <w:sz w:val="24"/>
          <w:szCs w:val="32"/>
          <w:highlight w:val="none"/>
          <w:lang w:val="en-US" w:eastAsia="zh-CN"/>
        </w:rPr>
        <w:t xml:space="preserve">（提供</w:t>
      </w:r>
      <w:r>
        <w:rPr>
          <w:rFonts w:hint="eastAsia" w:ascii="宋体" w:hAnsi="宋体" w:eastAsia="宋体" w:cs="宋体"/>
          <w:b/>
          <w:bCs/>
          <w:sz w:val="24"/>
          <w:szCs w:val="32"/>
          <w:highlight w:val="none"/>
          <w:lang w:val="en-US" w:eastAsia="zh-CN"/>
        </w:rPr>
        <w:t xml:space="preserve">彩页、官网截图、检测报告等</w:t>
      </w:r>
      <w:r>
        <w:rPr>
          <w:rFonts w:hint="eastAsia" w:ascii="宋体" w:hAnsi="宋体" w:cs="宋体"/>
          <w:b/>
          <w:bCs/>
          <w:sz w:val="24"/>
          <w:szCs w:val="32"/>
          <w:highlight w:val="none"/>
          <w:lang w:val="en-US" w:eastAsia="zh-CN"/>
        </w:rPr>
        <w:t xml:space="preserve">任意一项证明材料</w:t>
      </w:r>
      <w:r>
        <w:rPr>
          <w:rFonts w:hint="eastAsia" w:ascii="宋体" w:hAnsi="宋体" w:eastAsia="宋体" w:cs="宋体"/>
          <w:b/>
          <w:bCs/>
          <w:sz w:val="24"/>
          <w:szCs w:val="32"/>
          <w:highlight w:val="none"/>
          <w:lang w:val="en-US" w:eastAsia="zh-CN"/>
        </w:rPr>
        <w:t xml:space="preserve">）</w:t>
      </w:r>
      <w:r>
        <w:rPr>
          <w:rFonts w:hint="eastAsia" w:ascii="宋体" w:hAnsi="宋体" w:eastAsia="宋体" w:cs="宋体"/>
          <w:sz w:val="24"/>
          <w:szCs w:val="32"/>
          <w:highlight w:val="none"/>
          <w:lang w:val="en-US" w:eastAsia="zh-CN"/>
        </w:rPr>
        <w:t xml:space="preserve">；</w:t>
      </w:r>
      <w:r/>
    </w:p>
    <w:p>
      <w:pPr>
        <w:numPr>
          <w:ilvl w:val="0"/>
          <w:numId w:val="0"/>
        </w:numPr>
        <w:ind w:firstLine="480"/>
        <w:spacing w:line="500" w:lineRule="exact"/>
        <w:tabs>
          <w:tab w:val="left" w:pos="945" w:leader="none"/>
          <w:tab w:val="left" w:pos="1155" w:leader="none"/>
        </w:tabs>
        <w:rPr>
          <w:rFonts w:hint="default" w:ascii="宋体" w:hAnsi="宋体" w:eastAsia="宋体"/>
          <w:b/>
          <w:bCs/>
          <w:color w:val="000000"/>
          <w:sz w:val="24"/>
          <w:szCs w:val="24"/>
          <w:highlight w:val="none"/>
          <w:lang w:val="en-US" w:eastAsia="zh-CN"/>
        </w:rPr>
      </w:pPr>
      <w:r>
        <w:rPr>
          <w:rFonts w:hint="eastAsia" w:ascii="宋体" w:hAnsi="宋体" w:cs="Times New Roman"/>
          <w:b/>
          <w:bCs/>
          <w:color w:val="000000"/>
          <w:sz w:val="24"/>
          <w:szCs w:val="24"/>
          <w:highlight w:val="none"/>
          <w:lang w:val="en-US" w:eastAsia="zh-CN" w:bidi="ar-SA"/>
        </w:rPr>
        <w:t xml:space="preserve">5.</w:t>
      </w:r>
      <w:r>
        <w:rPr>
          <w:rFonts w:hint="eastAsia" w:ascii="宋体" w:hAnsi="宋体"/>
          <w:b/>
          <w:bCs/>
          <w:color w:val="000000"/>
          <w:sz w:val="24"/>
          <w:szCs w:val="24"/>
          <w:highlight w:val="none"/>
        </w:rPr>
        <w:t xml:space="preserve">技术部分（</w:t>
      </w:r>
      <w:r>
        <w:rPr>
          <w:rFonts w:hint="eastAsia" w:ascii="宋体" w:hAnsi="宋体"/>
          <w:b/>
          <w:bCs/>
          <w:color w:val="000000"/>
          <w:sz w:val="24"/>
          <w:szCs w:val="24"/>
          <w:highlight w:val="none"/>
          <w:lang w:val="en-US" w:eastAsia="zh-CN"/>
        </w:rPr>
        <w:t xml:space="preserve">44</w:t>
      </w:r>
      <w:r>
        <w:rPr>
          <w:rFonts w:hint="eastAsia" w:ascii="宋体" w:hAnsi="宋体"/>
          <w:b/>
          <w:bCs/>
          <w:color w:val="000000"/>
          <w:sz w:val="24"/>
          <w:szCs w:val="24"/>
          <w:highlight w:val="none"/>
        </w:rPr>
        <w:t xml:space="preserve">分）</w:t>
      </w:r>
      <w:r>
        <w:rPr>
          <w:rFonts w:hint="eastAsia" w:ascii="宋体" w:hAnsi="宋体"/>
          <w:b/>
          <w:bCs/>
          <w:color w:val="000000"/>
          <w:sz w:val="24"/>
          <w:szCs w:val="24"/>
          <w:highlight w:val="none"/>
          <w:lang w:eastAsia="zh-CN"/>
        </w:rPr>
        <w:t xml:space="preserve">：</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考察投标人项目技术方案，在响应采购文件需求的基础上对下列各部分进行评价，要求体现科学合理性、条理性、可行性、完善性、针对性，无方案不得分。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5.1项目总体设计方案（1</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t xml:space="preserve">投标人按</w:t>
      </w:r>
      <w:r>
        <w:rPr>
          <w:rFonts w:hint="eastAsia" w:ascii="宋体" w:hAnsi="宋体" w:eastAsia="宋体" w:cs="Times New Roman"/>
          <w:bCs/>
          <w:color w:val="000000"/>
          <w:sz w:val="24"/>
          <w:szCs w:val="24"/>
          <w:highlight w:val="none"/>
          <w:lang w:val="en-US" w:eastAsia="zh-CN"/>
        </w:rPr>
        <w:t xml:space="preserve">项目</w:t>
      </w:r>
      <w:r>
        <w:rPr>
          <w:rFonts w:hint="eastAsia" w:ascii="宋体" w:hAnsi="宋体" w:eastAsia="宋体" w:cs="Times New Roman"/>
          <w:bCs/>
          <w:color w:val="000000"/>
          <w:sz w:val="24"/>
          <w:szCs w:val="24"/>
          <w:highlight w:val="none"/>
        </w:rPr>
        <w:t xml:space="preserve">技术要求编制设计方案，围绕</w:t>
      </w:r>
      <w:r>
        <w:rPr>
          <w:rFonts w:hint="eastAsia" w:ascii="宋体" w:hAnsi="宋体" w:eastAsia="宋体" w:cs="Times New Roman"/>
          <w:bCs/>
          <w:color w:val="000000"/>
          <w:sz w:val="24"/>
          <w:szCs w:val="24"/>
          <w:highlight w:val="none"/>
          <w:lang w:val="en-US" w:eastAsia="zh-CN"/>
        </w:rPr>
        <w:t xml:space="preserve">①</w:t>
      </w:r>
      <w:r>
        <w:rPr>
          <w:rFonts w:hint="eastAsia" w:ascii="宋体" w:hAnsi="宋体" w:eastAsia="宋体" w:cs="Times New Roman"/>
          <w:bCs/>
          <w:color w:val="000000"/>
          <w:sz w:val="24"/>
          <w:szCs w:val="24"/>
          <w:highlight w:val="none"/>
        </w:rPr>
        <w:t xml:space="preserve">风洞结构②动力驱动系统③测量控制系统④无人机测试风墙⑤辅助测试配置及控制台⑥无人机与小型四足机器人参数六大模块逐一阐述。</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每一模块方</w:t>
      </w:r>
      <w:r>
        <w:rPr>
          <w:rFonts w:hint="eastAsia" w:ascii="宋体" w:hAnsi="宋体" w:eastAsia="宋体" w:cs="Times New Roman"/>
          <w:b w:val="0"/>
          <w:bCs w:val="0"/>
          <w:color w:val="000000"/>
          <w:sz w:val="24"/>
          <w:szCs w:val="24"/>
          <w:highlight w:val="none"/>
          <w:lang w:val="en-US" w:eastAsia="zh-CN"/>
        </w:rPr>
        <w:t xml:space="preserve">案完整，科学合理，设计清晰详细，完全符合本项目需求得</w:t>
      </w:r>
      <w:r>
        <w:rPr>
          <w:rFonts w:hint="eastAsia" w:ascii="宋体" w:hAnsi="宋体" w:cs="Times New Roman"/>
          <w:b w:val="0"/>
          <w:bCs w:val="0"/>
          <w:color w:val="000000"/>
          <w:sz w:val="24"/>
          <w:szCs w:val="24"/>
          <w:highlight w:val="none"/>
          <w:lang w:val="en-US" w:eastAsia="zh-CN"/>
        </w:rPr>
        <w:t xml:space="preserve">2.5</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left="19" w:firstLine="458"/>
        <w:spacing w:line="500" w:lineRule="exact"/>
        <w:tabs>
          <w:tab w:val="left" w:pos="0"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方案较完整，科学合理性较强，设计较清晰详细，能够符合本项目需求得</w:t>
      </w:r>
      <w:r>
        <w:rPr>
          <w:rFonts w:hint="eastAsia" w:ascii="宋体" w:hAnsi="宋体" w:cs="Times New Roman"/>
          <w:b w:val="0"/>
          <w:bCs w:val="0"/>
          <w:color w:val="000000"/>
          <w:sz w:val="24"/>
          <w:szCs w:val="24"/>
          <w:highlight w:val="none"/>
          <w:lang w:val="en-US" w:eastAsia="zh-CN"/>
        </w:rPr>
        <w:t xml:space="preserve">1.5</w:t>
      </w:r>
      <w:r>
        <w:rPr>
          <w:rFonts w:hint="eastAsia" w:ascii="宋体" w:hAnsi="宋体" w:eastAsia="宋体" w:cs="Times New Roman"/>
          <w:b w:val="0"/>
          <w:bCs w:val="0"/>
          <w:color w:val="000000"/>
          <w:sz w:val="24"/>
          <w:szCs w:val="24"/>
          <w:highlight w:val="none"/>
          <w:lang w:val="en-US" w:eastAsia="zh-CN"/>
        </w:rPr>
        <w:t xml:space="preserve">分；方案完整性一般，科学合理性一般，设计清晰详细程度一般，能够符合本项目需求，得</w:t>
      </w: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left="479" w:firstLine="0"/>
        <w:spacing w:line="500" w:lineRule="exact"/>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方案完整性、科学合理性、设计的清晰详细程度等只能基本满足要求得</w:t>
      </w:r>
      <w:r>
        <w:rPr>
          <w:rFonts w:hint="eastAsia" w:ascii="宋体" w:hAnsi="宋体" w:cs="Times New Roman"/>
          <w:b w:val="0"/>
          <w:bCs w:val="0"/>
          <w:color w:val="000000"/>
          <w:sz w:val="24"/>
          <w:szCs w:val="24"/>
          <w:highlight w:val="none"/>
          <w:lang w:val="en-US" w:eastAsia="zh-CN"/>
        </w:rPr>
        <w:t xml:space="preserve">0.5</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left="19" w:firstLine="458"/>
        <w:spacing w:line="500" w:lineRule="exact"/>
        <w:tabs>
          <w:tab w:val="left" w:pos="0"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无方案的，不得分。</w:t>
      </w:r>
      <w:r/>
    </w:p>
    <w:p>
      <w:pPr>
        <w:numPr>
          <w:ilvl w:val="0"/>
          <w:numId w:val="0"/>
        </w:numPr>
        <w:ind w:left="19" w:firstLine="458"/>
        <w:spacing w:line="500" w:lineRule="exact"/>
        <w:tabs>
          <w:tab w:val="left" w:pos="0"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5.2实施方案及项目保障措施（</w:t>
      </w:r>
      <w:r>
        <w:rPr>
          <w:rFonts w:hint="eastAsia" w:ascii="宋体" w:hAnsi="宋体" w:cs="Times New Roman"/>
          <w:b w:val="0"/>
          <w:bCs w:val="0"/>
          <w:color w:val="000000"/>
          <w:sz w:val="24"/>
          <w:szCs w:val="24"/>
          <w:highlight w:val="none"/>
          <w:lang w:val="en-US" w:eastAsia="zh-CN"/>
        </w:rPr>
        <w:t xml:space="preserve">12</w:t>
      </w:r>
      <w:r>
        <w:rPr>
          <w:rFonts w:hint="eastAsia" w:ascii="宋体" w:hAnsi="宋体" w:eastAsia="宋体" w:cs="Times New Roman"/>
          <w:b w:val="0"/>
          <w:bCs w:val="0"/>
          <w:color w:val="000000"/>
          <w:sz w:val="24"/>
          <w:szCs w:val="24"/>
          <w:highlight w:val="none"/>
          <w:lang w:val="en-US" w:eastAsia="zh-CN"/>
        </w:rPr>
        <w:t xml:space="preserve">分）：包括但不限于①交货期计划②项目实施的组织计划③进度安排合理性及工期保证措施④设备运输及进场安装调试方案；</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每一分项</w:t>
      </w:r>
      <w:r>
        <w:rPr>
          <w:rFonts w:hint="eastAsia" w:ascii="宋体" w:hAnsi="宋体" w:eastAsia="宋体" w:cs="Times New Roman"/>
          <w:b w:val="0"/>
          <w:bCs w:val="0"/>
          <w:color w:val="000000"/>
          <w:sz w:val="24"/>
          <w:szCs w:val="24"/>
          <w:highlight w:val="none"/>
          <w:lang w:val="en-US" w:eastAsia="zh-CN"/>
        </w:rPr>
        <w:t xml:space="preserve">方案完整，科学合理，清晰详细，完全符合本项目需求得</w:t>
      </w:r>
      <w:r>
        <w:rPr>
          <w:rFonts w:hint="eastAsia" w:ascii="宋体" w:hAnsi="宋体" w:cs="Times New Roman"/>
          <w:b w:val="0"/>
          <w:bCs w:val="0"/>
          <w:color w:val="000000"/>
          <w:sz w:val="24"/>
          <w:szCs w:val="24"/>
          <w:highlight w:val="none"/>
          <w:lang w:val="en-US" w:eastAsia="zh-CN"/>
        </w:rPr>
        <w:t xml:space="preserve">3</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left="522" w:hanging="24"/>
        <w:spacing w:line="500" w:lineRule="exact"/>
        <w:tabs>
          <w:tab w:val="left" w:pos="0"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方案较完整，科学合理性较强，较清晰详细，能够符合本项目需求得</w:t>
      </w:r>
      <w:r>
        <w:rPr>
          <w:rFonts w:hint="eastAsia" w:ascii="宋体" w:hAnsi="宋体" w:cs="Times New Roman"/>
          <w:b w:val="0"/>
          <w:bCs w:val="0"/>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firstLine="480"/>
        <w:spacing w:line="500" w:lineRule="exact"/>
        <w:tabs>
          <w:tab w:val="left" w:pos="0"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方案完整性一般，科学合理性一般，清晰详细程度一般，能够符合本项目需求，得</w:t>
      </w: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方案完整性、科学合理性、清晰详细程度等只能基本满足要求得0.5分；</w:t>
      </w:r>
      <w:r/>
    </w:p>
    <w:p>
      <w:pPr>
        <w:numPr>
          <w:ilvl w:val="0"/>
          <w:numId w:val="0"/>
        </w:numPr>
        <w:ind w:left="19" w:firstLine="458"/>
        <w:spacing w:line="500" w:lineRule="exact"/>
        <w:tabs>
          <w:tab w:val="left" w:pos="0"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无方案的，不得分。</w:t>
      </w:r>
      <w:r/>
    </w:p>
    <w:p>
      <w:pPr>
        <w:numPr>
          <w:ilvl w:val="0"/>
          <w:numId w:val="0"/>
        </w:numPr>
        <w:ind w:left="19" w:firstLine="458"/>
        <w:spacing w:line="500" w:lineRule="exact"/>
        <w:tabs>
          <w:tab w:val="left" w:pos="0"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5.3深化设计方案（6分）：投标人根据采购人提供的</w:t>
      </w:r>
      <w:r>
        <w:rPr>
          <w:rFonts w:hint="eastAsia" w:ascii="宋体" w:hAnsi="宋体" w:cs="Times New Roman"/>
          <w:b w:val="0"/>
          <w:bCs w:val="0"/>
          <w:color w:val="000000"/>
          <w:sz w:val="24"/>
          <w:szCs w:val="24"/>
          <w:highlight w:val="none"/>
          <w:lang w:val="en-US" w:eastAsia="zh-CN"/>
        </w:rPr>
        <w:t xml:space="preserve">技术需求</w:t>
      </w:r>
      <w:r>
        <w:rPr>
          <w:rFonts w:hint="eastAsia" w:ascii="宋体" w:hAnsi="宋体" w:eastAsia="宋体" w:cs="Times New Roman"/>
          <w:b w:val="0"/>
          <w:bCs w:val="0"/>
          <w:color w:val="000000"/>
          <w:sz w:val="24"/>
          <w:szCs w:val="24"/>
          <w:highlight w:val="none"/>
          <w:lang w:val="en-US" w:eastAsia="zh-CN"/>
        </w:rPr>
        <w:t xml:space="preserve">进行总体设计</w:t>
      </w:r>
      <w:r>
        <w:rPr>
          <w:rFonts w:hint="eastAsia" w:ascii="宋体" w:hAnsi="宋体" w:cs="Times New Roman"/>
          <w:b w:val="0"/>
          <w:bCs w:val="0"/>
          <w:color w:val="000000"/>
          <w:sz w:val="24"/>
          <w:szCs w:val="24"/>
          <w:highlight w:val="none"/>
          <w:lang w:val="en-US" w:eastAsia="zh-CN"/>
        </w:rPr>
        <w:t xml:space="preserve">：</w:t>
      </w:r>
      <w:r/>
    </w:p>
    <w:p>
      <w:pPr>
        <w:numPr>
          <w:ilvl w:val="0"/>
          <w:numId w:val="0"/>
        </w:numPr>
        <w:ind w:left="19" w:firstLine="458"/>
        <w:spacing w:line="500" w:lineRule="exact"/>
        <w:tabs>
          <w:tab w:val="left" w:pos="0"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（1）方案深化设计，符合教学需求，完整合理科学性强的得3分，完整性、合理性、可操作性较强的得2分，未提供不得分；</w:t>
      </w:r>
      <w:r/>
    </w:p>
    <w:p>
      <w:pPr>
        <w:numPr>
          <w:ilvl w:val="0"/>
          <w:numId w:val="0"/>
        </w:numPr>
        <w:ind w:left="19" w:firstLine="458"/>
        <w:spacing w:line="500" w:lineRule="exact"/>
        <w:tabs>
          <w:tab w:val="left" w:pos="0"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w:t>
      </w:r>
      <w:r>
        <w:rPr>
          <w:rFonts w:hint="eastAsia" w:ascii="宋体" w:hAnsi="宋体" w:cs="Times New Roman"/>
          <w:b w:val="0"/>
          <w:bCs w:val="0"/>
          <w:color w:val="000000"/>
          <w:sz w:val="24"/>
          <w:szCs w:val="24"/>
          <w:highlight w:val="none"/>
          <w:lang w:val="en-US" w:eastAsia="zh-CN"/>
        </w:rPr>
        <w:t xml:space="preserve">风洞</w:t>
      </w:r>
      <w:r>
        <w:rPr>
          <w:rFonts w:hint="eastAsia" w:ascii="宋体" w:hAnsi="宋体" w:eastAsia="宋体" w:cs="Times New Roman"/>
          <w:b w:val="0"/>
          <w:bCs w:val="0"/>
          <w:color w:val="000000"/>
          <w:sz w:val="24"/>
          <w:szCs w:val="24"/>
          <w:highlight w:val="none"/>
          <w:lang w:val="en-US" w:eastAsia="zh-CN"/>
        </w:rPr>
        <w:t xml:space="preserve">设备效果图</w:t>
      </w:r>
      <w:r>
        <w:rPr>
          <w:rFonts w:hint="eastAsia" w:ascii="宋体" w:hAnsi="宋体" w:cs="Times New Roman"/>
          <w:b w:val="0"/>
          <w:bCs w:val="0"/>
          <w:color w:val="000000"/>
          <w:sz w:val="24"/>
          <w:szCs w:val="24"/>
          <w:highlight w:val="none"/>
          <w:lang w:val="en-US" w:eastAsia="zh-CN"/>
        </w:rPr>
        <w:t xml:space="preserve">、</w:t>
      </w:r>
      <w:r>
        <w:rPr>
          <w:rFonts w:hint="eastAsia" w:cs="宋体"/>
          <w:sz w:val="24"/>
          <w:szCs w:val="24"/>
          <w:highlight w:val="none"/>
        </w:rPr>
        <w:t xml:space="preserve">气动计算报告（含压力损失计算书、湍流度计算书、流场CFD仿真报告</w:t>
      </w:r>
      <w:r>
        <w:rPr>
          <w:rFonts w:hint="eastAsia" w:ascii="宋体" w:hAnsi="宋体" w:cs="Times New Roman"/>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s="Times New Roman"/>
          <w:b w:val="0"/>
          <w:bCs w:val="0"/>
          <w:color w:val="000000"/>
          <w:sz w:val="24"/>
          <w:szCs w:val="24"/>
          <w:highlight w:val="none"/>
          <w:lang w:val="en-US" w:eastAsia="zh-CN"/>
        </w:rPr>
        <w:t xml:space="preserve">方案完整、</w:t>
      </w:r>
      <w:r>
        <w:rPr>
          <w:rFonts w:hint="eastAsia" w:ascii="宋体" w:hAnsi="宋体" w:eastAsia="宋体" w:cs="Times New Roman"/>
          <w:b w:val="0"/>
          <w:bCs w:val="0"/>
          <w:color w:val="000000"/>
          <w:sz w:val="24"/>
          <w:szCs w:val="24"/>
          <w:highlight w:val="none"/>
          <w:lang w:val="en-US" w:eastAsia="zh-CN"/>
        </w:rPr>
        <w:t xml:space="preserve">清晰详细，科学合理</w:t>
      </w:r>
      <w:r>
        <w:rPr>
          <w:rFonts w:hint="eastAsia" w:ascii="宋体" w:hAnsi="宋体" w:cs="Times New Roman"/>
          <w:b w:val="0"/>
          <w:bCs w:val="0"/>
          <w:color w:val="000000"/>
          <w:sz w:val="24"/>
          <w:szCs w:val="24"/>
          <w:highlight w:val="none"/>
          <w:lang w:val="en-US" w:eastAsia="zh-CN"/>
        </w:rPr>
        <w:t xml:space="preserve">性</w:t>
      </w:r>
      <w:r>
        <w:rPr>
          <w:rFonts w:hint="eastAsia" w:ascii="宋体" w:hAnsi="宋体" w:eastAsia="宋体" w:cs="Times New Roman"/>
          <w:b w:val="0"/>
          <w:bCs w:val="0"/>
          <w:color w:val="000000"/>
          <w:sz w:val="24"/>
          <w:szCs w:val="24"/>
          <w:highlight w:val="none"/>
          <w:lang w:val="en-US" w:eastAsia="zh-CN"/>
        </w:rPr>
        <w:t xml:space="preserve">强的得3分</w:t>
      </w:r>
      <w:r>
        <w:rPr>
          <w:rFonts w:hint="eastAsia" w:ascii="宋体" w:hAnsi="宋体" w:cs="Times New Roman"/>
          <w:b w:val="0"/>
          <w:bCs w:val="0"/>
          <w:color w:val="000000"/>
          <w:sz w:val="24"/>
          <w:szCs w:val="24"/>
          <w:highlight w:val="none"/>
          <w:lang w:val="en-US" w:eastAsia="zh-CN"/>
        </w:rPr>
        <w:t xml:space="preserve">；方案较</w:t>
      </w:r>
      <w:r>
        <w:rPr>
          <w:rFonts w:hint="eastAsia" w:ascii="宋体" w:hAnsi="宋体" w:eastAsia="宋体" w:cs="Times New Roman"/>
          <w:b w:val="0"/>
          <w:bCs w:val="0"/>
          <w:color w:val="000000"/>
          <w:sz w:val="24"/>
          <w:szCs w:val="24"/>
          <w:highlight w:val="none"/>
          <w:lang w:val="en-US" w:eastAsia="zh-CN"/>
        </w:rPr>
        <w:t xml:space="preserve">清晰详细</w:t>
      </w:r>
      <w:r>
        <w:rPr>
          <w:rFonts w:hint="eastAsia" w:ascii="宋体" w:hAnsi="宋体" w:cs="Times New Roman"/>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rPr>
        <w:t xml:space="preserve">完整性、合理性较</w:t>
      </w:r>
      <w:r>
        <w:rPr>
          <w:rFonts w:hint="eastAsia" w:ascii="宋体" w:hAnsi="宋体" w:cs="Times New Roman"/>
          <w:b w:val="0"/>
          <w:bCs w:val="0"/>
          <w:color w:val="000000"/>
          <w:sz w:val="24"/>
          <w:szCs w:val="24"/>
          <w:highlight w:val="none"/>
          <w:lang w:val="en-US" w:eastAsia="zh-CN"/>
        </w:rPr>
        <w:t xml:space="preserve">强</w:t>
      </w:r>
      <w:r>
        <w:rPr>
          <w:rFonts w:hint="eastAsia" w:ascii="宋体" w:hAnsi="宋体" w:eastAsia="宋体" w:cs="Times New Roman"/>
          <w:b w:val="0"/>
          <w:bCs w:val="0"/>
          <w:color w:val="000000"/>
          <w:sz w:val="24"/>
          <w:szCs w:val="24"/>
          <w:highlight w:val="none"/>
          <w:lang w:val="en-US" w:eastAsia="zh-CN"/>
        </w:rPr>
        <w:t xml:space="preserve">的得2分，未提供不得分；</w:t>
      </w:r>
      <w:r/>
    </w:p>
    <w:p>
      <w:pPr>
        <w:numPr>
          <w:ilvl w:val="0"/>
          <w:numId w:val="0"/>
        </w:numPr>
        <w:ind w:left="19" w:firstLine="458"/>
        <w:spacing w:line="500" w:lineRule="exact"/>
        <w:tabs>
          <w:tab w:val="left" w:pos="0"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5.4售后服务方案（</w:t>
      </w:r>
      <w:r>
        <w:rPr>
          <w:rFonts w:hint="eastAsia" w:ascii="宋体" w:hAnsi="宋体" w:cs="Times New Roman"/>
          <w:b w:val="0"/>
          <w:bCs w:val="0"/>
          <w:color w:val="000000"/>
          <w:sz w:val="24"/>
          <w:szCs w:val="24"/>
          <w:highlight w:val="none"/>
          <w:lang w:val="en-US" w:eastAsia="zh-CN"/>
        </w:rPr>
        <w:t xml:space="preserve">6</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left="19" w:firstLine="458"/>
        <w:spacing w:line="500" w:lineRule="exact"/>
        <w:tabs>
          <w:tab w:val="left" w:pos="0" w:leader="none"/>
          <w:tab w:val="left" w:pos="945" w:leader="none"/>
          <w:tab w:val="left" w:pos="1155" w:leader="none"/>
          <w:tab w:val="left" w:pos="3823" w:leader="none"/>
        </w:tabs>
        <w:rPr>
          <w:rFonts w:hint="default" w:ascii="宋体" w:hAnsi="宋体" w:eastAsia="宋体" w:cs="Times New Roman"/>
          <w:b w:val="0"/>
          <w:bCs w:val="0"/>
          <w:color w:val="000000"/>
          <w:sz w:val="24"/>
          <w:szCs w:val="24"/>
          <w:highlight w:val="none"/>
          <w:lang w:val="en-US" w:eastAsia="zh-CN"/>
        </w:rPr>
      </w:pPr>
      <w:r>
        <w:rPr>
          <w:rFonts w:hint="default" w:ascii="宋体" w:hAnsi="宋体" w:eastAsia="宋体" w:cs="Times New Roman"/>
          <w:b w:val="0"/>
          <w:bCs w:val="0"/>
          <w:color w:val="000000"/>
          <w:sz w:val="24"/>
          <w:szCs w:val="24"/>
          <w:highlight w:val="none"/>
          <w:lang w:val="en-US" w:eastAsia="zh-CN"/>
        </w:rPr>
        <w:t xml:space="preserve">包含但不限于：①售后服务专职人员安排及承诺②售后响应时间③备品、配件保障措施。</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每一分项</w:t>
      </w:r>
      <w:r>
        <w:rPr>
          <w:rFonts w:hint="eastAsia" w:ascii="宋体" w:hAnsi="宋体" w:eastAsia="宋体" w:cs="Times New Roman"/>
          <w:b w:val="0"/>
          <w:bCs w:val="0"/>
          <w:color w:val="000000"/>
          <w:sz w:val="24"/>
          <w:szCs w:val="24"/>
          <w:highlight w:val="none"/>
          <w:lang w:val="en-US" w:eastAsia="zh-CN"/>
        </w:rPr>
        <w:t xml:space="preserve">方案完整，科学合理，清晰详细，完全符合本项目需求得</w:t>
      </w:r>
      <w:r>
        <w:rPr>
          <w:rFonts w:hint="eastAsia" w:ascii="宋体" w:hAnsi="宋体" w:cs="Times New Roman"/>
          <w:b w:val="0"/>
          <w:bCs w:val="0"/>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left="522" w:hanging="24"/>
        <w:spacing w:line="500" w:lineRule="exact"/>
        <w:tabs>
          <w:tab w:val="left" w:pos="0"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方案较完整，科学合理性较强，较清晰详细，能够符合本项目需求得</w:t>
      </w: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firstLine="480"/>
        <w:spacing w:line="500" w:lineRule="exact"/>
        <w:tabs>
          <w:tab w:val="left" w:pos="0"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方案完整性一般，科学合理性一般，清晰详细程度一般，能够符合本项目需求，得</w:t>
      </w:r>
      <w:r>
        <w:rPr>
          <w:rFonts w:hint="eastAsia" w:ascii="宋体" w:hAnsi="宋体" w:cs="Times New Roman"/>
          <w:b w:val="0"/>
          <w:bCs w:val="0"/>
          <w:color w:val="000000"/>
          <w:sz w:val="24"/>
          <w:szCs w:val="24"/>
          <w:highlight w:val="none"/>
          <w:lang w:val="en-US" w:eastAsia="zh-CN"/>
        </w:rPr>
        <w:t xml:space="preserve">0.5</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left="479" w:firstLine="0"/>
        <w:spacing w:line="500" w:lineRule="exact"/>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无方案的，不得分。</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5</w:t>
      </w:r>
      <w:r>
        <w:rPr>
          <w:rFonts w:hint="eastAsia" w:ascii="宋体" w:hAnsi="宋体" w:eastAsia="宋体" w:cs="Times New Roman"/>
          <w:b w:val="0"/>
          <w:bCs w:val="0"/>
          <w:color w:val="000000"/>
          <w:sz w:val="24"/>
          <w:szCs w:val="24"/>
          <w:highlight w:val="none"/>
          <w:lang w:val="en-US" w:eastAsia="zh-CN"/>
        </w:rPr>
        <w:t xml:space="preserve">.5培训服务方案（</w:t>
      </w:r>
      <w:r>
        <w:rPr>
          <w:rFonts w:hint="eastAsia" w:ascii="宋体" w:hAnsi="宋体" w:cs="Times New Roman"/>
          <w:b w:val="0"/>
          <w:bCs w:val="0"/>
          <w:color w:val="000000"/>
          <w:sz w:val="24"/>
          <w:szCs w:val="24"/>
          <w:highlight w:val="none"/>
          <w:lang w:val="en-US" w:eastAsia="zh-CN"/>
        </w:rPr>
        <w:t xml:space="preserve">5</w:t>
      </w:r>
      <w:r>
        <w:rPr>
          <w:rFonts w:hint="eastAsia" w:ascii="宋体" w:hAnsi="宋体" w:eastAsia="宋体" w:cs="Times New Roman"/>
          <w:b w:val="0"/>
          <w:bCs w:val="0"/>
          <w:color w:val="000000"/>
          <w:sz w:val="24"/>
          <w:szCs w:val="24"/>
          <w:highlight w:val="none"/>
          <w:lang w:val="en-US" w:eastAsia="zh-CN"/>
        </w:rPr>
        <w:t xml:space="preserve">分）：投标人需提供培训服务方案，包括①培训目标②培训计划③培训对象④培训方式⑤培训保障</w:t>
      </w:r>
      <w:r>
        <w:rPr>
          <w:rFonts w:hint="eastAsia" w:ascii="宋体" w:hAnsi="宋体" w:cs="Times New Roman"/>
          <w:b w:val="0"/>
          <w:bCs w:val="0"/>
          <w:color w:val="000000"/>
          <w:sz w:val="24"/>
          <w:szCs w:val="24"/>
          <w:highlight w:val="none"/>
          <w:lang w:val="en-US" w:eastAsia="zh-CN"/>
        </w:rPr>
        <w:t xml:space="preserve">和</w:t>
      </w:r>
      <w:r>
        <w:rPr>
          <w:rFonts w:hint="eastAsia" w:ascii="宋体" w:hAnsi="宋体" w:eastAsia="宋体" w:cs="Times New Roman"/>
          <w:b w:val="0"/>
          <w:bCs w:val="0"/>
          <w:color w:val="000000"/>
          <w:sz w:val="24"/>
          <w:szCs w:val="24"/>
          <w:highlight w:val="none"/>
          <w:lang w:val="en-US" w:eastAsia="zh-CN"/>
        </w:rPr>
        <w:t xml:space="preserve">培训人员资质情况内容。</w:t>
      </w:r>
      <w:r/>
    </w:p>
    <w:p>
      <w:pPr>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每一分项</w:t>
      </w:r>
      <w:r>
        <w:rPr>
          <w:rFonts w:hint="eastAsia" w:ascii="宋体" w:hAnsi="宋体" w:eastAsia="宋体" w:cs="Times New Roman"/>
          <w:b w:val="0"/>
          <w:bCs w:val="0"/>
          <w:color w:val="000000"/>
          <w:sz w:val="24"/>
          <w:szCs w:val="24"/>
          <w:highlight w:val="none"/>
          <w:lang w:val="en-US" w:eastAsia="zh-CN"/>
        </w:rPr>
        <w:t xml:space="preserve">方案完整，科学合理，清晰详细，完全符合本项目需求得</w:t>
      </w: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left="15" w:firstLine="460"/>
        <w:spacing w:line="500" w:lineRule="exact"/>
        <w:tabs>
          <w:tab w:val="left" w:pos="0"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方案完整性一般，科学合理性一般，清晰详细程度一般，能够符合本项目需求，得</w:t>
      </w:r>
      <w:r>
        <w:rPr>
          <w:rFonts w:hint="eastAsia" w:ascii="宋体" w:hAnsi="宋体" w:cs="Times New Roman"/>
          <w:b w:val="0"/>
          <w:bCs w:val="0"/>
          <w:color w:val="000000"/>
          <w:sz w:val="24"/>
          <w:szCs w:val="24"/>
          <w:highlight w:val="none"/>
          <w:lang w:val="en-US" w:eastAsia="zh-CN"/>
        </w:rPr>
        <w:t xml:space="preserve">0.5</w:t>
      </w:r>
      <w:r>
        <w:rPr>
          <w:rFonts w:hint="eastAsia" w:ascii="宋体" w:hAnsi="宋体" w:eastAsia="宋体" w:cs="Times New Roman"/>
          <w:b w:val="0"/>
          <w:bCs w:val="0"/>
          <w:color w:val="000000"/>
          <w:sz w:val="24"/>
          <w:szCs w:val="24"/>
          <w:highlight w:val="none"/>
          <w:lang w:val="en-US" w:eastAsia="zh-CN"/>
        </w:rPr>
        <w:t xml:space="preserve">分；</w:t>
      </w:r>
      <w:r/>
    </w:p>
    <w:p>
      <w:pPr>
        <w:numPr>
          <w:ilvl w:val="0"/>
          <w:numId w:val="0"/>
        </w:numPr>
        <w:ind w:left="479" w:firstLine="0"/>
        <w:spacing w:line="500" w:lineRule="exact"/>
        <w:tabs>
          <w:tab w:val="left" w:pos="525" w:leader="none"/>
          <w:tab w:val="left" w:pos="945" w:leader="none"/>
          <w:tab w:val="left" w:pos="1155" w:leader="none"/>
          <w:tab w:val="left" w:pos="3823"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无方案的，不得分。</w:t>
      </w:r>
      <w:r/>
    </w:p>
    <w:p>
      <w:pPr>
        <w:ind w:firstLine="480"/>
        <w:spacing w:line="500" w:lineRule="exact"/>
        <w:tabs>
          <w:tab w:val="left" w:pos="945" w:leader="none"/>
          <w:tab w:val="left" w:pos="1155" w:leader="none"/>
        </w:tabs>
        <w:rPr>
          <w:rFonts w:hint="eastAsia" w:ascii="宋体" w:hAnsi="宋体"/>
          <w:sz w:val="24"/>
          <w:highlight w:val="none"/>
          <w:lang w:eastAsia="zh-CN"/>
        </w:rPr>
      </w:pPr>
      <w:r>
        <w:rPr>
          <w:rFonts w:hint="eastAsia" w:ascii="宋体" w:hAnsi="宋体"/>
          <w:b/>
          <w:bCs/>
          <w:sz w:val="24"/>
          <w:highlight w:val="none"/>
          <w:lang w:val="en-US" w:eastAsia="zh-CN"/>
        </w:rPr>
        <w:t xml:space="preserve">6</w:t>
      </w:r>
      <w:r>
        <w:rPr>
          <w:rFonts w:hint="eastAsia" w:ascii="宋体" w:hAnsi="宋体"/>
          <w:b/>
          <w:bCs/>
          <w:sz w:val="24"/>
          <w:highlight w:val="none"/>
        </w:rPr>
        <w:t xml:space="preserve">.政策性因素（</w:t>
      </w:r>
      <w:r>
        <w:rPr>
          <w:rFonts w:hint="eastAsia" w:ascii="宋体" w:hAnsi="宋体"/>
          <w:b/>
          <w:bCs/>
          <w:sz w:val="24"/>
          <w:highlight w:val="none"/>
          <w:lang w:val="en-US" w:eastAsia="zh-CN"/>
        </w:rPr>
        <w:t xml:space="preserve">2</w:t>
      </w:r>
      <w:r>
        <w:rPr>
          <w:rFonts w:hint="eastAsia" w:ascii="宋体" w:hAnsi="宋体"/>
          <w:b/>
          <w:bCs/>
          <w:sz w:val="24"/>
          <w:highlight w:val="none"/>
        </w:rPr>
        <w:t xml:space="preserve">分）</w:t>
      </w:r>
      <w:r>
        <w:rPr>
          <w:rFonts w:hint="eastAsia" w:ascii="宋体" w:hAnsi="宋体"/>
          <w:sz w:val="24"/>
          <w:highlight w:val="none"/>
          <w:lang w:eastAsia="zh-CN"/>
        </w:rPr>
        <w:t xml:space="preserve">：</w:t>
      </w:r>
      <w:r/>
    </w:p>
    <w:p>
      <w:pPr>
        <w:ind w:firstLine="480"/>
        <w:spacing w:line="500" w:lineRule="exact"/>
        <w:tabs>
          <w:tab w:val="left" w:pos="945" w:leader="none"/>
          <w:tab w:val="left" w:pos="1155" w:leader="none"/>
        </w:tabs>
        <w:rPr>
          <w:rFonts w:hint="eastAsia" w:ascii="宋体" w:hAnsi="宋体"/>
          <w:sz w:val="24"/>
          <w:highlight w:val="none"/>
        </w:rPr>
      </w:pPr>
      <w:r>
        <w:rPr>
          <w:rFonts w:hint="eastAsia" w:ascii="宋体" w:hAnsi="宋体"/>
          <w:sz w:val="24"/>
          <w:highlight w:val="none"/>
          <w:lang w:val="en-US" w:eastAsia="zh-CN"/>
        </w:rPr>
        <w:t xml:space="preserve">6.</w:t>
      </w:r>
      <w:r>
        <w:rPr>
          <w:rFonts w:hint="eastAsia" w:ascii="宋体" w:hAnsi="宋体"/>
          <w:sz w:val="24"/>
          <w:highlight w:val="none"/>
        </w:rPr>
        <w:t xml:space="preserve">1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sz w:val="24"/>
          <w:highlight w:val="none"/>
          <w:lang w:val="en-US" w:eastAsia="zh-CN"/>
        </w:rPr>
        <w:t xml:space="preserve">0.5</w:t>
      </w:r>
      <w:r>
        <w:rPr>
          <w:rFonts w:hint="eastAsia" w:ascii="宋体" w:hAnsi="宋体"/>
          <w:sz w:val="24"/>
          <w:highlight w:val="none"/>
        </w:rPr>
        <w:t xml:space="preserve">分、能够提供所投产品为环保产品的得</w:t>
      </w:r>
      <w:r>
        <w:rPr>
          <w:rFonts w:hint="eastAsia" w:ascii="宋体" w:hAnsi="宋体"/>
          <w:sz w:val="24"/>
          <w:highlight w:val="none"/>
          <w:lang w:val="en-US" w:eastAsia="zh-CN"/>
        </w:rPr>
        <w:t xml:space="preserve">0.5</w:t>
      </w:r>
      <w:r>
        <w:rPr>
          <w:rFonts w:hint="eastAsia" w:ascii="宋体" w:hAnsi="宋体"/>
          <w:sz w:val="24"/>
          <w:highlight w:val="none"/>
        </w:rPr>
        <w:t xml:space="preserve">分（投标时须提供所投产品由国家确定的认证机构出具的、处于有效</w:t>
      </w:r>
      <w:bookmarkStart w:id="209" w:name="_GoBack"/>
      <w:r/>
      <w:bookmarkEnd w:id="209"/>
      <w:r>
        <w:rPr>
          <w:rFonts w:hint="eastAsia" w:ascii="宋体" w:hAnsi="宋体"/>
          <w:sz w:val="24"/>
          <w:highlight w:val="none"/>
        </w:rPr>
        <w:t xml:space="preserve">期之内的节能产品认证证书复印件、环境标志产品认证证书复印件，否则不得分）。</w:t>
      </w:r>
      <w:r/>
    </w:p>
    <w:p>
      <w:pPr>
        <w:ind w:firstLine="480"/>
        <w:spacing w:line="500" w:lineRule="exact"/>
        <w:tabs>
          <w:tab w:val="left" w:pos="945" w:leader="none"/>
          <w:tab w:val="left" w:pos="1155" w:leader="none"/>
        </w:tabs>
        <w:rPr>
          <w:rFonts w:hint="eastAsia" w:ascii="宋体" w:hAnsi="宋体"/>
          <w:sz w:val="24"/>
          <w:highlight w:val="none"/>
        </w:rPr>
      </w:pPr>
      <w:r>
        <w:rPr>
          <w:rFonts w:hint="eastAsia" w:ascii="宋体" w:hAnsi="宋体"/>
          <w:sz w:val="24"/>
          <w:highlight w:val="none"/>
          <w:lang w:val="en-US" w:eastAsia="zh-CN"/>
        </w:rPr>
        <w:t xml:space="preserve">6</w:t>
      </w:r>
      <w:r>
        <w:rPr>
          <w:rFonts w:hint="eastAsia" w:ascii="宋体" w:hAnsi="宋体"/>
          <w:sz w:val="24"/>
          <w:highlight w:val="none"/>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tabs>
          <w:tab w:val="left" w:pos="1440" w:leader="none"/>
        </w:tabs>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r>
      <w:r/>
    </w:p>
    <w:p>
      <w:pPr>
        <w:jc w:val="center"/>
        <w:spacing w:line="500" w:lineRule="exact"/>
        <w:rPr>
          <w:rFonts w:hint="eastAsia" w:ascii="黑体" w:hAnsi="黑体" w:eastAsia="黑体"/>
          <w:color w:val="000000" w:themeColor="text1"/>
          <w:sz w:val="36"/>
          <w:szCs w:val="36"/>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第六章  </w:t>
      </w:r>
      <w:bookmarkEnd w:id="191"/>
      <w:r/>
      <w:bookmarkEnd w:id="192"/>
      <w:r/>
      <w:bookmarkEnd w:id="197"/>
      <w:r>
        <w:rPr>
          <w:rFonts w:hint="eastAsia" w:ascii="黑体" w:hAnsi="黑体" w:eastAsia="黑体"/>
          <w:color w:val="000000" w:themeColor="text1"/>
          <w:sz w:val="36"/>
          <w:szCs w:val="36"/>
          <w:highlight w:val="none"/>
          <w14:textFill>
            <w14:solidFill>
              <w14:schemeClr w14:val="tx1"/>
            </w14:solidFill>
          </w14:textFill>
        </w:rPr>
        <w:t xml:space="preserve">投标文件内容与格式</w:t>
      </w:r>
      <w:r/>
    </w:p>
    <w:p>
      <w:pPr>
        <w:pStyle w:val="897"/>
        <w:ind w:firstLine="602"/>
        <w:spacing w:before="0" w:after="0" w:line="500" w:lineRule="exact"/>
        <w:rPr>
          <w:rFonts w:hint="eastAsia" w:cs="Arial"/>
          <w:b/>
          <w:color w:val="000000" w:themeColor="text1"/>
          <w:sz w:val="30"/>
          <w:szCs w:val="30"/>
          <w:highlight w:val="none"/>
          <w14:textFill>
            <w14:solidFill>
              <w14:schemeClr w14:val="tx1"/>
            </w14:solidFill>
          </w14:textFill>
        </w:rPr>
      </w:pPr>
      <w:r/>
      <w:bookmarkStart w:id="198" w:name="_Hlt26955039"/>
      <w:r/>
      <w:bookmarkEnd w:id="198"/>
      <w:r/>
      <w:bookmarkStart w:id="199" w:name="_Hlt26671244"/>
      <w:r/>
      <w:bookmarkEnd w:id="199"/>
      <w:r/>
      <w:bookmarkStart w:id="200" w:name="_Toc49090576"/>
      <w:r/>
      <w:bookmarkStart w:id="201" w:name="_Toc26554094"/>
      <w:r/>
      <w:bookmarkStart w:id="202" w:name="_Toc120614282"/>
      <w:r>
        <w:rPr>
          <w:rFonts w:hint="eastAsia" w:cs="Arial"/>
          <w:b/>
          <w:color w:val="000000" w:themeColor="text1"/>
          <w:sz w:val="30"/>
          <w:szCs w:val="30"/>
          <w:highlight w:val="none"/>
          <w14:textFill>
            <w14:solidFill>
              <w14:schemeClr w14:val="tx1"/>
            </w14:solidFill>
          </w14:textFill>
        </w:rPr>
        <w:t xml:space="preserve">第一部分  投标文件内容</w:t>
      </w:r>
      <w:r/>
    </w:p>
    <w:p>
      <w:pPr>
        <w:pStyle w:val="897"/>
        <w:ind w:firstLine="0"/>
        <w:spacing w:before="0" w:after="0" w:line="500" w:lineRule="exact"/>
        <w:rPr>
          <w:rFonts w:hint="eastAsia"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一、</w:t>
      </w:r>
      <w:r>
        <w:rPr>
          <w:rFonts w:hint="eastAsia"/>
          <w:b/>
          <w:color w:val="000000" w:themeColor="text1"/>
          <w:sz w:val="28"/>
          <w:szCs w:val="28"/>
          <w:highlight w:val="none"/>
          <w14:textFill>
            <w14:solidFill>
              <w14:schemeClr w14:val="tx1"/>
            </w14:solidFill>
          </w14:textFill>
        </w:rPr>
        <w:t xml:space="preserve">资格证明文件</w:t>
      </w:r>
      <w:r/>
    </w:p>
    <w:tbl>
      <w:tblPr>
        <w:tblStyle w:val="89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897"/>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序号</w:t>
            </w:r>
            <w:r/>
          </w:p>
        </w:tc>
        <w:tc>
          <w:tcPr>
            <w:tcW w:w="6104" w:type="dxa"/>
            <w:vAlign w:val="center"/>
            <w:textDirection w:val="lrTb"/>
            <w:noWrap w:val="false"/>
          </w:tcPr>
          <w:p>
            <w:pPr>
              <w:pStyle w:val="897"/>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评审项目及评审要求</w:t>
            </w:r>
            <w:r/>
          </w:p>
        </w:tc>
        <w:tc>
          <w:tcPr>
            <w:tcW w:w="2449" w:type="dxa"/>
            <w:vAlign w:val="center"/>
            <w:textDirection w:val="lrTb"/>
            <w:noWrap w:val="false"/>
          </w:tcPr>
          <w:p>
            <w:pPr>
              <w:pStyle w:val="897"/>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审查因素</w:t>
            </w:r>
            <w:r/>
          </w:p>
        </w:tc>
      </w:tr>
      <w:tr>
        <w:trPr>
          <w:jc w:val="center"/>
          <w:trHeight w:val="1335"/>
        </w:trPr>
        <w:tc>
          <w:tcPr>
            <w:tcW w:w="719" w:type="dxa"/>
            <w:vAlign w:val="center"/>
            <w:textDirection w:val="lrTb"/>
            <w:noWrap w:val="false"/>
          </w:tcPr>
          <w:p>
            <w:pPr>
              <w:pStyle w:val="897"/>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6104" w:type="dxa"/>
            <w:vAlign w:val="center"/>
            <w:textDirection w:val="lrTb"/>
            <w:noWrap w:val="false"/>
          </w:tcPr>
          <w:p>
            <w:pPr>
              <w:pStyle w:val="897"/>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具有独立承担民事责任能力的投标人营业执照或相关部门的登记证明文件（投标人如是允许以分支机构身份参加投标的，提供投标人分支机构的营业执照；投标人如是自然人情形的，提供有效身份</w:t>
            </w:r>
            <w:r>
              <w:rPr>
                <w:rFonts w:hint="eastAsia" w:ascii="宋体" w:hAnsi="宋体" w:cs="宋体"/>
                <w:color w:val="000000" w:themeColor="text1"/>
                <w:highlight w:val="none"/>
                <w:lang w:eastAsia="zh-CN"/>
                <w14:textFill>
                  <w14:solidFill>
                    <w14:schemeClr w14:val="tx1"/>
                  </w14:solidFill>
                </w14:textFill>
              </w:rPr>
              <w:t xml:space="preserve">证</w:t>
            </w:r>
            <w:r>
              <w:rPr>
                <w:rFonts w:hint="eastAsia" w:ascii="宋体" w:hAnsi="宋体" w:cs="宋体"/>
                <w:color w:val="000000" w:themeColor="text1"/>
                <w:highlight w:val="none"/>
                <w14:textFill>
                  <w14:solidFill>
                    <w14:schemeClr w14:val="tx1"/>
                  </w14:solidFill>
                </w14:textFill>
              </w:rPr>
              <w:t xml:space="preserve">明）。</w:t>
            </w:r>
            <w:r/>
          </w:p>
        </w:tc>
        <w:tc>
          <w:tcPr>
            <w:tcW w:w="2449" w:type="dxa"/>
            <w:vAlign w:val="center"/>
            <w:vMerge w:val="restart"/>
            <w:textDirection w:val="lrTb"/>
            <w:noWrap w:val="false"/>
          </w:tcPr>
          <w:p>
            <w:pPr>
              <w:pStyle w:val="897"/>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满足《中华人民共和国政府采购法》第二十二条规定</w:t>
            </w:r>
            <w:r/>
          </w:p>
        </w:tc>
      </w:tr>
      <w:tr>
        <w:trPr>
          <w:jc w:val="center"/>
          <w:trHeight w:val="812"/>
        </w:trPr>
        <w:tc>
          <w:tcPr>
            <w:tcW w:w="719" w:type="dxa"/>
            <w:vAlign w:val="center"/>
            <w:textDirection w:val="lrTb"/>
            <w:noWrap w:val="false"/>
          </w:tcPr>
          <w:p>
            <w:pPr>
              <w:pStyle w:val="897"/>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6104" w:type="dxa"/>
            <w:vAlign w:val="center"/>
            <w:textDirection w:val="lrTb"/>
            <w:noWrap w:val="false"/>
          </w:tcPr>
          <w:p>
            <w:pPr>
              <w:pStyle w:val="897"/>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897"/>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1684"/>
        </w:trPr>
        <w:tc>
          <w:tcPr>
            <w:tcW w:w="719" w:type="dxa"/>
            <w:vAlign w:val="center"/>
            <w:textDirection w:val="lrTb"/>
            <w:noWrap w:val="false"/>
          </w:tcPr>
          <w:p>
            <w:pPr>
              <w:pStyle w:val="897"/>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6104" w:type="dxa"/>
            <w:vAlign w:val="center"/>
            <w:textDirection w:val="lrTb"/>
            <w:noWrap w:val="false"/>
          </w:tcPr>
          <w:p>
            <w:pPr>
              <w:pStyle w:val="897"/>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00"/>
                <w:rFonts w:hint="eastAsia" w:ascii="宋体" w:hAnsi="宋体" w:cs="宋体"/>
                <w:color w:val="000000" w:themeColor="text1"/>
                <w:sz w:val="24"/>
                <w:szCs w:val="24"/>
                <w:highlight w:val="none"/>
                <w14:textFill>
                  <w14:solidFill>
                    <w14:schemeClr w14:val="tx1"/>
                  </w14:solidFill>
                </w14:textFill>
              </w:rPr>
              <w:t xml:space="preserve">。</w:t>
            </w:r>
            <w:r/>
          </w:p>
        </w:tc>
        <w:tc>
          <w:tcPr>
            <w:tcW w:w="2449" w:type="dxa"/>
            <w:vAlign w:val="center"/>
            <w:vMerge w:val="continue"/>
            <w:textDirection w:val="lrTb"/>
            <w:noWrap w:val="false"/>
          </w:tcPr>
          <w:p>
            <w:pPr>
              <w:pStyle w:val="897"/>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963"/>
        </w:trPr>
        <w:tc>
          <w:tcPr>
            <w:tcW w:w="719" w:type="dxa"/>
            <w:vAlign w:val="center"/>
            <w:textDirection w:val="lrTb"/>
            <w:noWrap w:val="false"/>
          </w:tcPr>
          <w:p>
            <w:pPr>
              <w:pStyle w:val="897"/>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W w:w="6104" w:type="dxa"/>
            <w:vAlign w:val="center"/>
            <w:textDirection w:val="lrTb"/>
            <w:noWrap w:val="false"/>
          </w:tcPr>
          <w:p>
            <w:pPr>
              <w:pStyle w:val="897"/>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897"/>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1023"/>
        </w:trPr>
        <w:tc>
          <w:tcPr>
            <w:tcW w:w="719" w:type="dxa"/>
            <w:vAlign w:val="center"/>
            <w:textDirection w:val="lrTb"/>
            <w:noWrap w:val="false"/>
          </w:tcPr>
          <w:p>
            <w:pPr>
              <w:pStyle w:val="897"/>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W w:w="6104" w:type="dxa"/>
            <w:vAlign w:val="center"/>
            <w:textDirection w:val="lrTb"/>
            <w:noWrap w:val="false"/>
          </w:tcPr>
          <w:p>
            <w:pPr>
              <w:pStyle w:val="897"/>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897"/>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705"/>
        </w:trPr>
        <w:tc>
          <w:tcPr>
            <w:tcW w:w="719" w:type="dxa"/>
            <w:vAlign w:val="center"/>
            <w:textDirection w:val="lrTb"/>
            <w:noWrap w:val="false"/>
          </w:tcPr>
          <w:p>
            <w:pPr>
              <w:pStyle w:val="897"/>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W w:w="6104" w:type="dxa"/>
            <w:vAlign w:val="center"/>
            <w:textDirection w:val="lrTb"/>
            <w:noWrap w:val="false"/>
          </w:tcPr>
          <w:p>
            <w:pPr>
              <w:pStyle w:val="897"/>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897"/>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700"/>
        </w:trPr>
        <w:tc>
          <w:tcPr>
            <w:tcW w:w="719" w:type="dxa"/>
            <w:vAlign w:val="center"/>
            <w:textDirection w:val="lrTb"/>
            <w:noWrap w:val="false"/>
          </w:tcPr>
          <w:p>
            <w:pPr>
              <w:pStyle w:val="897"/>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W w:w="6104" w:type="dxa"/>
            <w:vAlign w:val="center"/>
            <w:textDirection w:val="lrTb"/>
            <w:noWrap w:val="false"/>
          </w:tcPr>
          <w:p>
            <w:pPr>
              <w:pStyle w:val="897"/>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满足中小企业政策的证明文件（如有中小企业政策要求的）。</w:t>
            </w:r>
            <w:r/>
          </w:p>
        </w:tc>
        <w:tc>
          <w:tcPr>
            <w:tcW w:w="2449" w:type="dxa"/>
            <w:vAlign w:val="center"/>
            <w:textDirection w:val="lrTb"/>
            <w:noWrap w:val="false"/>
          </w:tcPr>
          <w:p>
            <w:pPr>
              <w:pStyle w:val="897"/>
              <w:ind w:firstLine="0"/>
              <w:spacing w:before="0" w:after="0"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897"/>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8</w:t>
            </w:r>
            <w:r/>
          </w:p>
        </w:tc>
        <w:tc>
          <w:tcPr>
            <w:tcW w:w="6104" w:type="dxa"/>
            <w:vAlign w:val="center"/>
            <w:textDirection w:val="lrTb"/>
            <w:noWrap w:val="false"/>
          </w:tcPr>
          <w:p>
            <w:pPr>
              <w:pStyle w:val="897"/>
              <w:ind w:firstLine="0"/>
              <w:jc w:val="both"/>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本项目要求的特定资格证明</w:t>
            </w:r>
            <w:r>
              <w:rPr>
                <w:rFonts w:hint="eastAsia" w:ascii="宋体" w:hAnsi="宋体" w:cs="宋体"/>
                <w:color w:val="000000" w:themeColor="text1"/>
                <w:highlight w:val="none"/>
                <w14:textFill>
                  <w14:solidFill>
                    <w14:schemeClr w14:val="tx1"/>
                  </w14:solidFill>
                </w14:textFill>
              </w:rPr>
              <w:t xml:space="preserve">文件（</w:t>
            </w:r>
            <w:r>
              <w:rPr>
                <w:rFonts w:hint="eastAsia" w:ascii="宋体" w:hAnsi="宋体" w:cs="宋体"/>
                <w:bCs/>
                <w:color w:val="000000" w:themeColor="text1"/>
                <w:highlight w:val="none"/>
                <w14:textFill>
                  <w14:solidFill>
                    <w14:schemeClr w14:val="tx1"/>
                  </w14:solidFill>
                </w14:textFill>
              </w:rPr>
              <w:t xml:space="preserve">如有</w:t>
            </w:r>
            <w:r>
              <w:rPr>
                <w:rFonts w:hint="eastAsia" w:ascii="宋体" w:hAnsi="宋体" w:cs="宋体"/>
                <w:color w:val="000000" w:themeColor="text1"/>
                <w:highlight w:val="none"/>
                <w14:textFill>
                  <w14:solidFill>
                    <w14:schemeClr w14:val="tx1"/>
                  </w14:solidFill>
                </w14:textFill>
              </w:rPr>
              <w:t xml:space="preserve">特定资格要求的）。</w:t>
            </w:r>
            <w:r/>
          </w:p>
        </w:tc>
        <w:tc>
          <w:tcPr>
            <w:tcW w:w="2449" w:type="dxa"/>
            <w:vAlign w:val="center"/>
            <w:textDirection w:val="lrTb"/>
            <w:noWrap w:val="false"/>
          </w:tcPr>
          <w:p>
            <w:pPr>
              <w:pStyle w:val="897"/>
              <w:ind w:firstLine="0"/>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897"/>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9</w:t>
            </w:r>
            <w:r/>
          </w:p>
        </w:tc>
        <w:tc>
          <w:tcPr>
            <w:gridSpan w:val="2"/>
            <w:tcW w:w="8553" w:type="dxa"/>
            <w:vAlign w:val="center"/>
            <w:textDirection w:val="lrTb"/>
            <w:noWrap w:val="false"/>
          </w:tcPr>
          <w:p>
            <w:pPr>
              <w:pStyle w:val="897"/>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《联合体协议》（</w:t>
            </w:r>
            <w:r>
              <w:rPr>
                <w:rFonts w:hint="eastAsia" w:ascii="宋体" w:hAnsi="宋体"/>
                <w:color w:val="000000" w:themeColor="text1"/>
                <w:highlight w:val="none"/>
                <w14:textFill>
                  <w14:solidFill>
                    <w14:schemeClr w14:val="tx1"/>
                  </w14:solidFill>
                </w14:textFill>
              </w:rPr>
              <w:t xml:space="preserve">如接受联合体投标且投标人为联合体时须提供</w:t>
            </w:r>
            <w:r>
              <w:rPr>
                <w:rFonts w:hint="eastAsia" w:ascii="宋体" w:hAnsi="宋体" w:cs="宋体"/>
                <w:bCs/>
                <w:color w:val="000000" w:themeColor="text1"/>
                <w:highlight w:val="none"/>
                <w14:textFill>
                  <w14:solidFill>
                    <w14:schemeClr w14:val="tx1"/>
                  </w14:solidFill>
                </w14:textFill>
              </w:rPr>
              <w:t xml:space="preserve">，格式自拟）。</w:t>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14"/>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 xml:space="preserve">如遇年检、换证，则必须提供法定年检、换证单位出具的有效证明</w:t>
      </w:r>
      <w:r>
        <w:rPr>
          <w:rFonts w:hint="eastAsia" w:ascii="宋体" w:hAnsi="宋体"/>
          <w:color w:val="000000" w:themeColor="text1"/>
          <w:sz w:val="24"/>
          <w:szCs w:val="24"/>
          <w:highlight w:val="none"/>
          <w14:textFill>
            <w14:solidFill>
              <w14:schemeClr w14:val="tx1"/>
            </w14:solidFill>
          </w14:textFill>
        </w:rPr>
        <w:t xml:space="preserve">材料</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其中</w:t>
      </w:r>
      <w:r>
        <w:rPr>
          <w:rFonts w:ascii="宋体" w:hAnsi="宋体"/>
          <w:color w:val="000000" w:themeColor="text1"/>
          <w:sz w:val="24"/>
          <w:szCs w:val="24"/>
          <w:highlight w:val="none"/>
          <w14:textFill>
            <w14:solidFill>
              <w14:schemeClr w14:val="tx1"/>
            </w14:solidFill>
          </w14:textFill>
        </w:rPr>
        <w:t xml:space="preserve">第</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 xml:space="preserve">等</w:t>
      </w:r>
      <w:r>
        <w:rPr>
          <w:rFonts w:ascii="宋体" w:hAnsi="宋体"/>
          <w:color w:val="000000" w:themeColor="text1"/>
          <w:sz w:val="24"/>
          <w:szCs w:val="24"/>
          <w:highlight w:val="none"/>
          <w14:textFill>
            <w14:solidFill>
              <w14:schemeClr w14:val="tx1"/>
            </w14:solidFill>
          </w14:textFill>
        </w:rPr>
        <w:t xml:space="preserve">），必须提供相关政策规定或相关单位出具的有效证明</w:t>
      </w:r>
      <w:r>
        <w:rPr>
          <w:rFonts w:hint="eastAsia" w:ascii="宋体" w:hAnsi="宋体"/>
          <w:color w:val="000000" w:themeColor="text1"/>
          <w:sz w:val="24"/>
          <w:szCs w:val="24"/>
          <w:highlight w:val="none"/>
          <w14:textFill>
            <w14:solidFill>
              <w14:schemeClr w14:val="tx1"/>
            </w14:solidFill>
          </w14:textFill>
        </w:rPr>
        <w:t xml:space="preserve">材料</w:t>
      </w:r>
      <w:r>
        <w:rPr>
          <w:rFonts w:ascii="宋体" w:hAnsi="宋体"/>
          <w:color w:val="000000" w:themeColor="text1"/>
          <w:sz w:val="24"/>
          <w:szCs w:val="24"/>
          <w:highlight w:val="none"/>
          <w14:textFill>
            <w14:solidFill>
              <w14:schemeClr w14:val="tx1"/>
            </w14:solidFill>
          </w14:textFill>
        </w:rPr>
        <w:t xml:space="preserve">；如因新成立</w:t>
      </w:r>
      <w:r>
        <w:rPr>
          <w:rFonts w:hint="eastAsia" w:ascii="宋体" w:hAnsi="宋体"/>
          <w:color w:val="000000" w:themeColor="text1"/>
          <w:sz w:val="24"/>
          <w:szCs w:val="24"/>
          <w:highlight w:val="none"/>
          <w14:textFill>
            <w14:solidFill>
              <w14:schemeClr w14:val="tx1"/>
            </w14:solidFill>
          </w14:textFill>
        </w:rPr>
        <w:t xml:space="preserve">确无法提供</w:t>
      </w:r>
      <w:r>
        <w:rPr>
          <w:rFonts w:ascii="宋体" w:hAnsi="宋体"/>
          <w:color w:val="000000" w:themeColor="text1"/>
          <w:sz w:val="24"/>
          <w:szCs w:val="24"/>
          <w:highlight w:val="none"/>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4"/>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专门面向中小</w:t>
      </w:r>
      <w:r>
        <w:rPr>
          <w:rFonts w:hint="eastAsia" w:ascii="宋体" w:hAnsi="宋体"/>
          <w:color w:val="000000" w:themeColor="text1"/>
          <w:sz w:val="24"/>
          <w:szCs w:val="24"/>
          <w:highlight w:val="non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4"/>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8项，如本项目有特定资格要求的（详见第一章《投标邀请》），须提供相应的特定资格证明文件。</w:t>
      </w:r>
      <w:r/>
    </w:p>
    <w:p>
      <w:pPr>
        <w:numPr>
          <w:ilvl w:val="0"/>
          <w:numId w:val="14"/>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如项目接受联合体投标且投标人为联合体时，</w:t>
      </w: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中：第2、6项可由联合体主体单位（即联合体牵头人）代表联合体提供；第1、3、4、5、7（如有要求）、8（如有要求）项，联合体各方均须提供。</w:t>
      </w:r>
      <w:r/>
    </w:p>
    <w:p>
      <w:pPr>
        <w:rPr>
          <w:rFonts w:hint="eastAsia"/>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二、符合性证明文件及其他证明文件</w:t>
      </w:r>
      <w:r/>
    </w:p>
    <w:p>
      <w:pP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（一）符合性证明文件</w:t>
      </w:r>
      <w:r/>
    </w:p>
    <w:tbl>
      <w:tblPr>
        <w:tblStyle w:val="8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897"/>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序号</w:t>
            </w:r>
            <w:r/>
          </w:p>
        </w:tc>
        <w:tc>
          <w:tcPr>
            <w:tcW w:w="6095" w:type="dxa"/>
            <w:vAlign w:val="center"/>
            <w:textDirection w:val="lrTb"/>
            <w:noWrap w:val="false"/>
          </w:tcPr>
          <w:p>
            <w:pPr>
              <w:pStyle w:val="897"/>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评审项目及评审要求</w:t>
            </w:r>
            <w:r/>
          </w:p>
        </w:tc>
        <w:tc>
          <w:tcPr>
            <w:tcW w:w="1979" w:type="dxa"/>
            <w:vAlign w:val="center"/>
            <w:textDirection w:val="lrTb"/>
            <w:noWrap w:val="false"/>
          </w:tcPr>
          <w:p>
            <w:pPr>
              <w:pStyle w:val="897"/>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897"/>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1</w:t>
            </w:r>
            <w:r/>
          </w:p>
        </w:tc>
        <w:tc>
          <w:tcPr>
            <w:tcW w:w="6095" w:type="dxa"/>
            <w:vAlign w:val="center"/>
            <w:textDirection w:val="lrTb"/>
            <w:noWrap w:val="false"/>
          </w:tcPr>
          <w:p>
            <w:pPr>
              <w:pStyle w:val="897"/>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投标函（给定格式）</w:t>
            </w:r>
            <w:r/>
          </w:p>
        </w:tc>
        <w:tc>
          <w:tcPr>
            <w:tcW w:w="1979" w:type="dxa"/>
            <w:vAlign w:val="center"/>
            <w:vMerge w:val="restart"/>
            <w:textDirection w:val="lrTb"/>
            <w:noWrap w:val="false"/>
          </w:tcPr>
          <w:p>
            <w:pPr>
              <w:pStyle w:val="897"/>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商务符合性</w:t>
            </w:r>
            <w:r/>
          </w:p>
        </w:tc>
      </w:tr>
      <w:tr>
        <w:trPr>
          <w:jc w:val="center"/>
          <w:trHeight w:val="567"/>
        </w:trPr>
        <w:tc>
          <w:tcPr>
            <w:tcW w:w="823" w:type="dxa"/>
            <w:vAlign w:val="center"/>
            <w:textDirection w:val="lrTb"/>
            <w:noWrap w:val="false"/>
          </w:tcPr>
          <w:p>
            <w:pPr>
              <w:pStyle w:val="897"/>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2</w:t>
            </w:r>
            <w:r/>
          </w:p>
        </w:tc>
        <w:tc>
          <w:tcPr>
            <w:tcW w:w="6095" w:type="dxa"/>
            <w:vAlign w:val="center"/>
            <w:textDirection w:val="lrTb"/>
            <w:noWrap w:val="false"/>
          </w:tcPr>
          <w:p>
            <w:pPr>
              <w:pStyle w:val="897"/>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承诺书（给定格式）</w:t>
            </w:r>
            <w:r/>
          </w:p>
        </w:tc>
        <w:tc>
          <w:tcPr>
            <w:tcW w:w="1979" w:type="dxa"/>
            <w:vAlign w:val="center"/>
            <w:vMerge w:val="continue"/>
            <w:textDirection w:val="lrTb"/>
            <w:noWrap w:val="false"/>
          </w:tcPr>
          <w:p>
            <w:pPr>
              <w:pStyle w:val="897"/>
              <w:ind w:firstLine="0"/>
              <w:jc w:val="center"/>
              <w:spacing w:before="0" w:after="0" w:line="240" w:lineRule="auto"/>
              <w:rPr>
                <w:rFonts w:hint="eastAsia" w:cs="Arial"/>
                <w:highlight w:val="none"/>
              </w:rPr>
            </w:pPr>
            <w:r>
              <w:rPr>
                <w:rFonts w:hint="eastAsia" w:cs="Arial"/>
                <w:highlight w:val="none"/>
              </w:rPr>
            </w:r>
            <w:r/>
          </w:p>
        </w:tc>
      </w:tr>
      <w:tr>
        <w:trPr>
          <w:jc w:val="center"/>
          <w:trHeight w:val="567"/>
        </w:trPr>
        <w:tc>
          <w:tcPr>
            <w:tcW w:w="823" w:type="dxa"/>
            <w:vAlign w:val="center"/>
            <w:textDirection w:val="lrTb"/>
            <w:noWrap w:val="false"/>
          </w:tcPr>
          <w:p>
            <w:pPr>
              <w:pStyle w:val="897"/>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095" w:type="dxa"/>
            <w:vAlign w:val="center"/>
            <w:textDirection w:val="lrTb"/>
            <w:noWrap w:val="false"/>
          </w:tcPr>
          <w:p>
            <w:pPr>
              <w:pStyle w:val="897"/>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开标一览表（“苏采云”系统中给定格式）</w:t>
            </w:r>
            <w:r/>
          </w:p>
        </w:tc>
        <w:tc>
          <w:tcPr>
            <w:tcW w:w="1979" w:type="dxa"/>
            <w:vAlign w:val="center"/>
            <w:vMerge w:val="restart"/>
            <w:textDirection w:val="lrTb"/>
            <w:noWrap w:val="false"/>
          </w:tcPr>
          <w:p>
            <w:pPr>
              <w:pStyle w:val="897"/>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报价符合性</w:t>
            </w:r>
            <w:r/>
          </w:p>
        </w:tc>
      </w:tr>
      <w:tr>
        <w:trPr>
          <w:jc w:val="center"/>
          <w:trHeight w:val="567"/>
        </w:trPr>
        <w:tc>
          <w:tcPr>
            <w:tcW w:w="823" w:type="dxa"/>
            <w:vAlign w:val="center"/>
            <w:textDirection w:val="lrTb"/>
            <w:noWrap w:val="false"/>
          </w:tcPr>
          <w:p>
            <w:pPr>
              <w:pStyle w:val="897"/>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6095" w:type="dxa"/>
            <w:vAlign w:val="center"/>
            <w:textDirection w:val="lrTb"/>
            <w:noWrap w:val="false"/>
          </w:tcPr>
          <w:p>
            <w:pPr>
              <w:pStyle w:val="897"/>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分项报价表（给定格式）</w:t>
            </w:r>
            <w:r/>
          </w:p>
        </w:tc>
        <w:tc>
          <w:tcPr>
            <w:tcW w:w="1979" w:type="dxa"/>
            <w:vAlign w:val="center"/>
            <w:vMerge w:val="continue"/>
            <w:textDirection w:val="lrTb"/>
            <w:noWrap w:val="false"/>
          </w:tcPr>
          <w:p>
            <w:pPr>
              <w:pStyle w:val="897"/>
              <w:ind w:firstLine="0"/>
              <w:jc w:val="center"/>
              <w:spacing w:before="0" w:after="0" w:line="240" w:lineRule="auto"/>
              <w:rPr>
                <w:rFonts w:hint="eastAsia" w:cs="Arial"/>
                <w:highlight w:val="none"/>
              </w:rPr>
            </w:pPr>
            <w:r>
              <w:rPr>
                <w:rFonts w:hint="eastAsia" w:cs="Arial"/>
                <w:highlight w:val="none"/>
              </w:rPr>
            </w:r>
            <w:r/>
          </w:p>
        </w:tc>
      </w:tr>
      <w:tr>
        <w:trPr>
          <w:jc w:val="center"/>
          <w:trHeight w:val="567"/>
        </w:trPr>
        <w:tc>
          <w:tcPr>
            <w:tcW w:w="823" w:type="dxa"/>
            <w:vAlign w:val="center"/>
            <w:textDirection w:val="lrTb"/>
            <w:noWrap w:val="false"/>
          </w:tcPr>
          <w:p>
            <w:pPr>
              <w:pStyle w:val="897"/>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6095" w:type="dxa"/>
            <w:vAlign w:val="center"/>
            <w:textDirection w:val="lrTb"/>
            <w:noWrap w:val="false"/>
          </w:tcPr>
          <w:p>
            <w:pPr>
              <w:pStyle w:val="897"/>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投标偏离表（给定格式）</w:t>
            </w:r>
            <w:r/>
          </w:p>
        </w:tc>
        <w:tc>
          <w:tcPr>
            <w:tcW w:w="1979" w:type="dxa"/>
            <w:vAlign w:val="center"/>
            <w:vMerge w:val="restart"/>
            <w:textDirection w:val="lrTb"/>
            <w:noWrap w:val="false"/>
          </w:tcPr>
          <w:p>
            <w:pPr>
              <w:pStyle w:val="897"/>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技术符合性</w:t>
            </w:r>
            <w:r/>
          </w:p>
        </w:tc>
      </w:tr>
      <w:tr>
        <w:trPr>
          <w:jc w:val="center"/>
          <w:trHeight w:val="567"/>
        </w:trPr>
        <w:tc>
          <w:tcPr>
            <w:tcW w:w="823" w:type="dxa"/>
            <w:vAlign w:val="center"/>
            <w:textDirection w:val="lrTb"/>
            <w:noWrap w:val="false"/>
          </w:tcPr>
          <w:p>
            <w:pPr>
              <w:pStyle w:val="897"/>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6095" w:type="dxa"/>
            <w:vAlign w:val="center"/>
            <w:textDirection w:val="lrTb"/>
            <w:noWrap w:val="false"/>
          </w:tcPr>
          <w:p>
            <w:pPr>
              <w:pStyle w:val="897"/>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《采购需求》中要求提供的证明材料（如有）</w:t>
            </w:r>
            <w:r/>
          </w:p>
        </w:tc>
        <w:tc>
          <w:tcPr>
            <w:tcW w:w="1979" w:type="dxa"/>
            <w:vAlign w:val="center"/>
            <w:vMerge w:val="continue"/>
            <w:textDirection w:val="lrTb"/>
            <w:noWrap w:val="false"/>
          </w:tcPr>
          <w:p>
            <w:pPr>
              <w:pStyle w:val="897"/>
              <w:ind w:firstLine="0"/>
              <w:jc w:val="center"/>
              <w:spacing w:before="0" w:after="0" w:line="240" w:lineRule="auto"/>
              <w:rPr>
                <w:rFonts w:hint="eastAsia" w:cs="Arial"/>
                <w:highlight w:val="none"/>
              </w:rPr>
            </w:pPr>
            <w:r>
              <w:rPr>
                <w:rFonts w:hint="eastAsia" w:cs="Arial"/>
                <w:highlight w:val="none"/>
              </w:rPr>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15"/>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cs="Arial"/>
          <w:color w:val="000000" w:themeColor="text1"/>
          <w:sz w:val="24"/>
          <w:szCs w:val="24"/>
          <w:highlight w:val="none"/>
          <w14:textFill>
            <w14:solidFill>
              <w14:schemeClr w14:val="tx1"/>
            </w14:solidFill>
          </w14:textFill>
        </w:rPr>
        <w:t xml:space="preserve">符合性证明文件第</w:t>
      </w:r>
      <w:r>
        <w:rPr>
          <w:rFonts w:hint="eastAsia" w:ascii="宋体" w:hAnsi="宋体"/>
          <w:color w:val="000000" w:themeColor="text1"/>
          <w:sz w:val="24"/>
          <w:szCs w:val="24"/>
          <w:highlight w:val="none"/>
          <w14:textFill>
            <w14:solidFill>
              <w14:schemeClr w14:val="tx1"/>
            </w14:solidFill>
          </w14:textFill>
        </w:rPr>
        <w:t xml:space="preserve">1～5项必须按要求全部提供（有给定格式的，必须按给定格式的要求正确填报并提供，相应格式见本章第二部分），否则投标文件无效。</w:t>
      </w:r>
      <w:r/>
    </w:p>
    <w:p>
      <w:pPr>
        <w:numPr>
          <w:ilvl w:val="0"/>
          <w:numId w:val="15"/>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ascii="宋体" w:hAnsi="宋体" w:cs="Arial"/>
          <w:color w:val="000000" w:themeColor="text1"/>
          <w:sz w:val="24"/>
          <w:szCs w:val="24"/>
          <w:highlight w:val="none"/>
          <w14:textFill>
            <w14:solidFill>
              <w14:schemeClr w14:val="tx1"/>
            </w14:solidFill>
          </w14:textFill>
        </w:rPr>
        <w:t xml:space="preserve">符合性证明文件第6项，《采购需求》中如有要求提供证明材料的，须按要求提供，否则投标文件无效。</w:t>
      </w:r>
      <w:r/>
    </w:p>
    <w:p>
      <w:pPr>
        <w:numPr>
          <w:ilvl w:val="0"/>
          <w:numId w:val="15"/>
        </w:num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none"/>
          <w14:textFill>
            <w14:solidFill>
              <w14:schemeClr w14:val="tx1"/>
            </w14:solidFill>
          </w14:textFill>
        </w:rPr>
        <w:t xml:space="preserve">符合性证明文件</w:t>
      </w:r>
      <w:r>
        <w:rPr>
          <w:rFonts w:hint="eastAsia" w:ascii="宋体" w:hAnsi="宋体" w:cs="宋体"/>
          <w:color w:val="000000" w:themeColor="text1"/>
          <w:sz w:val="24"/>
          <w:szCs w:val="24"/>
          <w:highlight w:val="none"/>
          <w14:textFill>
            <w14:solidFill>
              <w14:schemeClr w14:val="tx1"/>
            </w14:solidFill>
          </w14:textFill>
        </w:rPr>
        <w:t xml:space="preserve">第1～5项可由联合体主体单位（即联合体牵头人）代表联合体提供。第6项按《采购需求》中的相应要求（如有）进行提供。</w:t>
      </w:r>
      <w:r/>
    </w:p>
    <w:p>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（二）其他证明文件</w:t>
      </w:r>
      <w:r/>
    </w:p>
    <w:p>
      <w:pPr>
        <w:ind w:left="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1.《评标方法与评标标准》中涉及的证明文件。</w:t>
      </w:r>
      <w:r/>
    </w:p>
    <w:p>
      <w:pPr>
        <w:ind w:left="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2.投标人认为如有其他应附的文件可自拟并自行添加。</w:t>
      </w:r>
      <w:r/>
    </w:p>
    <w:p>
      <w:pPr>
        <w:rPr>
          <w:rFonts w:hint="eastAsia"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  投标文件格式</w:t>
      </w:r>
      <w:r/>
    </w:p>
    <w:p>
      <w:pPr>
        <w:pStyle w:val="897"/>
        <w:ind w:firstLine="0"/>
        <w:spacing w:before="0" w:after="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 xml:space="preserve">一、封面格式（参考格式）：</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投  标  文  件</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JSZC-320200-WXJY-G2026-0005</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项目名称：</w:t>
      </w:r>
      <w:r>
        <w:rPr>
          <w:rFonts w:hint="eastAsia" w:ascii="黑体" w:hAnsi="华文中宋" w:eastAsia="黑体"/>
          <w:bCs/>
          <w:sz w:val="30"/>
          <w:szCs w:val="30"/>
          <w:highlight w:val="none"/>
          <w:lang w:eastAsia="zh-CN"/>
        </w:rPr>
        <w:t xml:space="preserve">无锡市江南中学风洞实验室设备采购项目</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投 标 人：</w:t>
      </w:r>
      <w:r/>
    </w:p>
    <w:p>
      <w:pPr>
        <w:ind w:firstLine="18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日    期：</w:t>
      </w:r>
      <w:r/>
    </w:p>
    <w:p>
      <w:pPr>
        <w:spacing w:line="440" w:lineRule="exact"/>
        <w:rPr>
          <w:rFonts w:hint="eastAsia" w:ascii="Arial" w:hAnsi="Arial"/>
          <w:b/>
          <w:color w:val="000000" w:themeColor="text1"/>
          <w:sz w:val="28"/>
          <w:szCs w:val="28"/>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二、授权委托书（给定格式）：</w:t>
      </w:r>
      <w:r/>
    </w:p>
    <w:p>
      <w:pPr>
        <w:jc w:val="center"/>
        <w:rPr>
          <w:rFonts w:ascii="宋体" w:hAnsi="宋体"/>
          <w:color w:val="000000" w:themeColor="text1"/>
          <w:sz w:val="24"/>
          <w:highlight w:val="non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授权委托书</w:t>
      </w:r>
      <w:r/>
    </w:p>
    <w:p>
      <w:pPr>
        <w:pStyle w:val="905"/>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我公司（单位）针对</w:t>
      </w:r>
      <w:r>
        <w:rPr>
          <w:rFonts w:hint="eastAsia" w:ascii="宋体" w:hAnsi="宋体"/>
          <w:bCs/>
          <w:color w:val="000000" w:themeColor="text1"/>
          <w:sz w:val="24"/>
          <w:szCs w:val="24"/>
          <w:highlight w:val="none"/>
          <w:lang w:eastAsia="zh-CN"/>
          <w14:textFill>
            <w14:solidFill>
              <w14:schemeClr w14:val="tx1"/>
            </w14:solidFill>
          </w14:textFill>
        </w:rPr>
        <w:t xml:space="preserve">JSZC-320200-WXJY-G2026-0005</w:t>
      </w:r>
      <w:r>
        <w:rPr>
          <w:rFonts w:hint="eastAsia" w:ascii="宋体" w:hAnsi="宋体"/>
          <w:bCs/>
          <w:color w:val="000000" w:themeColor="text1"/>
          <w:sz w:val="24"/>
          <w:szCs w:val="24"/>
          <w:highlight w:val="none"/>
          <w14:textFill>
            <w14:solidFill>
              <w14:schemeClr w14:val="tx1"/>
            </w14:solidFill>
          </w14:textFill>
        </w:rPr>
        <w:t xml:space="preserve">项目，兹授权：</w:t>
      </w:r>
      <w:r/>
    </w:p>
    <w:p>
      <w:pPr>
        <w:pStyle w:val="905"/>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被授权人的姓名：</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；性别：</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；年龄：</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；职务：</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05"/>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被授权人的身份证号码：</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；联系方式：</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05"/>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 xml:space="preserve">一切与该项目采购有关的事务。</w:t>
      </w:r>
      <w:r/>
    </w:p>
    <w:p>
      <w:pPr>
        <w:pStyle w:val="905"/>
        <w:ind w:firstLine="480"/>
        <w:rPr>
          <w:rFonts w:hint="eastAsia"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 xml:space="preserve">授权委托</w:t>
      </w:r>
      <w:r>
        <w:rPr>
          <w:rFonts w:hint="eastAsia" w:ascii="宋体" w:hAnsi="宋体"/>
          <w:bCs/>
          <w:color w:val="000000" w:themeColor="text1"/>
          <w:sz w:val="24"/>
          <w:szCs w:val="24"/>
          <w:highlight w:val="none"/>
          <w14:textFill>
            <w14:solidFill>
              <w14:schemeClr w14:val="tx1"/>
            </w14:solidFill>
          </w14:textFill>
        </w:rPr>
        <w:t xml:space="preserve">书有效期内签署的）不因授权的撤销而失效。</w:t>
      </w:r>
      <w:r/>
    </w:p>
    <w:p>
      <w:pPr>
        <w:pStyle w:val="905"/>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特此授权委托。</w:t>
      </w:r>
      <w:r/>
    </w:p>
    <w:p>
      <w:pPr>
        <w:pStyle w:val="905"/>
        <w:ind w:firstLine="0"/>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授权日期：</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                     投标人名称</w:t>
      </w:r>
      <w:r>
        <w:rPr>
          <w:rFonts w:hint="eastAsia" w:ascii="宋体" w:hAnsi="宋体"/>
          <w:bCs/>
          <w:color w:val="000000" w:themeColor="text1"/>
          <w:sz w:val="24"/>
          <w:szCs w:val="24"/>
          <w:highlight w:val="none"/>
          <w14:textFill>
            <w14:solidFill>
              <w14:schemeClr w14:val="tx1"/>
            </w14:solidFill>
          </w14:textFill>
        </w:rPr>
        <w:t xml:space="preserve">（盖章）</w:t>
      </w:r>
      <w:r>
        <w:rPr>
          <w:rFonts w:hint="eastAsia"/>
          <w:color w:val="000000" w:themeColor="text1"/>
          <w:sz w:val="24"/>
          <w:szCs w:val="24"/>
          <w:highlight w:val="none"/>
          <w14:textFill>
            <w14:solidFill>
              <w14:schemeClr w14:val="tx1"/>
            </w14:solidFill>
          </w14:textFill>
        </w:rPr>
        <w:t xml:space="preserve">：</w:t>
      </w:r>
      <w:r/>
    </w:p>
    <w:p>
      <w:pPr>
        <w:pStyle w:val="905"/>
        <w:ind w:firstLine="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法定代表人签字或盖章：</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被授权人签字或盖章：</w:t>
      </w:r>
      <w:r>
        <w:rPr>
          <w:rFonts w:hint="eastAsia"/>
          <w:color w:val="000000" w:themeColor="text1"/>
          <w:sz w:val="24"/>
          <w:szCs w:val="24"/>
          <w:highlight w:val="none"/>
          <w:u w:val="single"/>
          <w14:textFill>
            <w14:solidFill>
              <w14:schemeClr w14:val="tx1"/>
            </w14:solidFill>
          </w14:textFill>
        </w:rPr>
        <w:t xml:space="preserve">        </w:t>
      </w:r>
      <w:r/>
    </w:p>
    <w:p>
      <w:pPr>
        <w:pStyle w:val="905"/>
        <w:ind w:firstLine="0"/>
        <w:rPr>
          <w:rFonts w:hint="eastAsia"/>
          <w:color w:val="000000" w:themeColor="text1"/>
          <w:sz w:val="24"/>
          <w:szCs w:val="24"/>
          <w:highlight w:val="none"/>
          <w14:textFill>
            <w14:solidFill>
              <w14:schemeClr w14:val="tx1"/>
            </w14:solidFill>
          </w14:textFill>
        </w:rPr>
      </w:pPr>
      <w:r>
        <w:rPr>
          <w:rFonts w:hint="eastAsia" w:ascii="宋体" w:hAnsi="宋体" w:cs="宋体"/>
          <w:b/>
          <w:color w:val="000000" w:themeColor="text1"/>
          <w:szCs w:val="28"/>
          <w:highlight w:val="none"/>
          <w:u w:val="single"/>
          <w14:textFill>
            <w14:solidFill>
              <w14:schemeClr w14:val="tx1"/>
            </w14:solidFill>
          </w14:textFill>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05"/>
        <w:ind w:firstLine="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p>
      <w:pPr>
        <w:pStyle w:val="905"/>
        <w:ind w:firstLine="0"/>
        <w:spacing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说明：</w:t>
      </w:r>
      <w:r/>
    </w:p>
    <w:p>
      <w:pPr>
        <w:pStyle w:val="905"/>
        <w:numPr>
          <w:ilvl w:val="0"/>
          <w:numId w:val="16"/>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若</w:t>
      </w:r>
      <w:r>
        <w:rPr>
          <w:rFonts w:hint="eastAsia" w:ascii="宋体" w:hAnsi="宋体"/>
          <w:color w:val="000000" w:themeColor="text1"/>
          <w:sz w:val="21"/>
          <w:szCs w:val="21"/>
          <w:highlight w:val="none"/>
          <w14:textFill>
            <w14:solidFill>
              <w14:schemeClr w14:val="tx1"/>
            </w14:solidFill>
          </w14:textFill>
        </w:rPr>
        <w:t xml:space="preserve">投标人</w:t>
      </w:r>
      <w:r>
        <w:rPr>
          <w:rFonts w:ascii="宋体" w:hAnsi="宋体"/>
          <w:color w:val="000000" w:themeColor="text1"/>
          <w:sz w:val="21"/>
          <w:szCs w:val="21"/>
          <w:highlight w:val="none"/>
          <w14:textFill>
            <w14:solidFill>
              <w14:schemeClr w14:val="tx1"/>
            </w14:solidFill>
          </w14:textFill>
        </w:rPr>
        <w:t xml:space="preserve">为事业单位或其他组织或分支机构（仅</w:t>
      </w:r>
      <w:r>
        <w:rPr>
          <w:rFonts w:hint="eastAsia" w:ascii="宋体" w:hAnsi="宋体"/>
          <w:color w:val="000000" w:themeColor="text1"/>
          <w:sz w:val="21"/>
          <w:szCs w:val="21"/>
          <w:highlight w:val="none"/>
          <w14:textFill>
            <w14:solidFill>
              <w14:schemeClr w14:val="tx1"/>
            </w14:solidFill>
          </w14:textFill>
        </w:rPr>
        <w:t xml:space="preserve">限招标</w:t>
      </w:r>
      <w:r>
        <w:rPr>
          <w:rFonts w:ascii="宋体" w:hAnsi="宋体"/>
          <w:color w:val="000000" w:themeColor="text1"/>
          <w:sz w:val="21"/>
          <w:szCs w:val="21"/>
          <w:highlight w:val="none"/>
          <w14:textFill>
            <w14:solidFill>
              <w14:schemeClr w14:val="tx1"/>
            </w14:solidFill>
          </w14:textFill>
        </w:rPr>
        <w:t xml:space="preserve">文件注明允许分支机构</w:t>
      </w:r>
      <w:r>
        <w:rPr>
          <w:rFonts w:hint="eastAsia" w:ascii="宋体" w:hAnsi="宋体"/>
          <w:color w:val="000000" w:themeColor="text1"/>
          <w:sz w:val="21"/>
          <w:szCs w:val="21"/>
          <w:highlight w:val="none"/>
          <w14:textFill>
            <w14:solidFill>
              <w14:schemeClr w14:val="tx1"/>
            </w14:solidFill>
          </w14:textFill>
        </w:rPr>
        <w:t xml:space="preserve">投标情形</w:t>
      </w:r>
      <w:r>
        <w:rPr>
          <w:rFonts w:ascii="宋体" w:hAnsi="宋体"/>
          <w:color w:val="000000" w:themeColor="text1"/>
          <w:sz w:val="21"/>
          <w:szCs w:val="21"/>
          <w:highlight w:val="none"/>
          <w14:textFill>
            <w14:solidFill>
              <w14:schemeClr w14:val="tx1"/>
            </w14:solidFill>
          </w14:textFill>
        </w:rPr>
        <w:t xml:space="preserve">的），则法定代表人</w:t>
      </w:r>
      <w:r>
        <w:rPr>
          <w:rFonts w:hint="eastAsia" w:ascii="宋体" w:hAnsi="宋体"/>
          <w:color w:val="000000" w:themeColor="text1"/>
          <w:sz w:val="21"/>
          <w:szCs w:val="21"/>
          <w:highlight w:val="none"/>
          <w14:textFill>
            <w14:solidFill>
              <w14:schemeClr w14:val="tx1"/>
            </w14:solidFill>
          </w14:textFill>
        </w:rPr>
        <w:t xml:space="preserve">处</w:t>
      </w:r>
      <w:r>
        <w:rPr>
          <w:rFonts w:ascii="宋体" w:hAnsi="宋体"/>
          <w:color w:val="000000" w:themeColor="text1"/>
          <w:sz w:val="21"/>
          <w:szCs w:val="21"/>
          <w:highlight w:val="none"/>
          <w14:textFill>
            <w14:solidFill>
              <w14:schemeClr w14:val="tx1"/>
            </w14:solidFill>
          </w14:textFill>
        </w:rPr>
        <w:t xml:space="preserve">的签</w:t>
      </w:r>
      <w:r>
        <w:rPr>
          <w:rFonts w:hint="eastAsia" w:ascii="宋体" w:hAnsi="宋体"/>
          <w:color w:val="000000" w:themeColor="text1"/>
          <w:sz w:val="21"/>
          <w:szCs w:val="21"/>
          <w:highlight w:val="none"/>
          <w14:textFill>
            <w14:solidFill>
              <w14:schemeClr w14:val="tx1"/>
            </w14:solidFill>
          </w14:textFill>
        </w:rPr>
        <w:t xml:space="preserve">字</w:t>
      </w:r>
      <w:r>
        <w:rPr>
          <w:rFonts w:ascii="宋体" w:hAnsi="宋体"/>
          <w:color w:val="000000" w:themeColor="text1"/>
          <w:sz w:val="21"/>
          <w:szCs w:val="21"/>
          <w:highlight w:val="none"/>
          <w14:textFill>
            <w14:solidFill>
              <w14:schemeClr w14:val="tx1"/>
            </w14:solidFill>
          </w14:textFill>
        </w:rPr>
        <w:t xml:space="preserve">人可为单位负责人</w:t>
      </w:r>
      <w:r>
        <w:rPr>
          <w:rFonts w:hint="eastAsia" w:ascii="宋体" w:hAnsi="宋体"/>
          <w:color w:val="000000" w:themeColor="text1"/>
          <w:sz w:val="21"/>
          <w:szCs w:val="21"/>
          <w:highlight w:val="none"/>
          <w14:textFill>
            <w14:solidFill>
              <w14:schemeClr w14:val="tx1"/>
            </w14:solidFill>
          </w14:textFill>
        </w:rPr>
        <w:t xml:space="preserve">。</w:t>
      </w:r>
      <w:r/>
    </w:p>
    <w:p>
      <w:pPr>
        <w:pStyle w:val="905"/>
        <w:numPr>
          <w:ilvl w:val="0"/>
          <w:numId w:val="16"/>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905"/>
        <w:numPr>
          <w:ilvl w:val="0"/>
          <w:numId w:val="16"/>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供应商为自然人情形的，可不提供本</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授权委托书</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w:t>
      </w:r>
      <w:r/>
    </w:p>
    <w:p>
      <w:pPr>
        <w:pStyle w:val="905"/>
        <w:numPr>
          <w:ilvl w:val="0"/>
          <w:numId w:val="16"/>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905"/>
        <w:ind w:firstLine="0"/>
        <w:rPr>
          <w:rFonts w:hint="eastAsia"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none"/>
          <w14:textFill>
            <w14:solidFill>
              <w14:schemeClr w14:val="tx1"/>
            </w14:solidFill>
          </w14:textFill>
        </w:rPr>
        <w:outlineLvl w:val="0"/>
      </w:pPr>
      <w:r/>
      <w:bookmarkStart w:id="203" w:name="报价方关于资格的声明函（格式）"/>
      <w:r/>
      <w:bookmarkEnd w:id="203"/>
      <w:r>
        <w:rPr>
          <w:rFonts w:hint="eastAsia" w:ascii="黑体" w:eastAsia="黑体"/>
          <w:bCs/>
          <w:color w:val="000000" w:themeColor="text1"/>
          <w:sz w:val="28"/>
          <w:szCs w:val="28"/>
          <w:highlight w:val="non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JSZC-320200-WXJY-G2026-0005</w:t>
      </w:r>
      <w:r>
        <w:rPr>
          <w:rFonts w:hint="eastAsia" w:ascii="宋体" w:hAnsi="宋体"/>
          <w:bCs/>
          <w:color w:val="000000" w:themeColor="text1"/>
          <w:sz w:val="24"/>
          <w:szCs w:val="24"/>
          <w:highlight w:val="none"/>
          <w14:textFill>
            <w14:solidFill>
              <w14:schemeClr w14:val="tx1"/>
            </w14:solidFill>
          </w14:textFill>
        </w:rPr>
        <w:t xml:space="preserve">进行投标，并作如下声明</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1.我公司（单位）</w:t>
      </w:r>
      <w:r>
        <w:rPr>
          <w:rFonts w:hint="eastAsia" w:ascii="宋体" w:hAnsi="宋体"/>
          <w:bCs/>
          <w:sz w:val="24"/>
          <w:szCs w:val="24"/>
          <w:highlight w:val="none"/>
          <w:lang w:eastAsia="zh-CN"/>
        </w:rPr>
        <w:t xml:space="preserve">在</w:t>
      </w:r>
      <w:r>
        <w:rPr>
          <w:rFonts w:hint="eastAsia" w:ascii="宋体" w:hAnsi="宋体"/>
          <w:bCs/>
          <w:color w:val="000000" w:themeColor="text1"/>
          <w:sz w:val="24"/>
          <w:szCs w:val="24"/>
          <w:highlight w:val="none"/>
          <w14:textFill>
            <w14:solidFill>
              <w14:schemeClr w14:val="tx1"/>
            </w14:solidFill>
          </w14:textFill>
        </w:rPr>
        <w:t xml:space="preserve">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四、政府采购政策相关声明函（给定格式）：</w:t>
      </w:r>
      <w:r/>
    </w:p>
    <w:p>
      <w:pPr>
        <w:ind w:firstLine="560"/>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 xml:space="preserve">中小企业声明函（</w:t>
      </w:r>
      <w:r>
        <w:rPr>
          <w:rFonts w:ascii="黑体" w:eastAsia="黑体"/>
          <w:bCs/>
          <w:sz w:val="28"/>
          <w:szCs w:val="28"/>
          <w:highlight w:val="none"/>
        </w:rPr>
        <w:t xml:space="preserve">货物</w:t>
      </w:r>
      <w:r>
        <w:rPr>
          <w:rFonts w:ascii="黑体" w:eastAsia="黑体"/>
          <w:bCs/>
          <w:color w:val="000000" w:themeColor="text1"/>
          <w:sz w:val="28"/>
          <w:szCs w:val="28"/>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w:t>
      </w:r>
      <w:r>
        <w:rPr>
          <w:rFonts w:ascii="宋体" w:hAnsi="宋体"/>
          <w:bCs/>
          <w:sz w:val="24"/>
          <w:szCs w:val="24"/>
          <w:highlight w:val="none"/>
        </w:rPr>
        <w:t xml:space="preserve">提供的货物</w:t>
      </w:r>
      <w:r>
        <w:rPr>
          <w:rFonts w:ascii="宋体" w:hAnsi="宋体"/>
          <w:bCs/>
          <w:color w:val="000000" w:themeColor="text1"/>
          <w:sz w:val="24"/>
          <w:szCs w:val="24"/>
          <w:highlight w:val="none"/>
          <w14:textFill>
            <w14:solidFill>
              <w14:schemeClr w14:val="tx1"/>
            </w14:solidFill>
          </w14:textFill>
        </w:rPr>
        <w:t xml:space="preserve">全部由符合政策要求的中小企业</w:t>
      </w:r>
      <w:r>
        <w:rPr>
          <w:rFonts w:ascii="宋体" w:hAnsi="宋体"/>
          <w:bCs/>
          <w:sz w:val="24"/>
          <w:szCs w:val="24"/>
          <w:highlight w:val="none"/>
        </w:rPr>
        <w:t xml:space="preserve">制造</w:t>
      </w:r>
      <w:r>
        <w:rPr>
          <w:rFonts w:ascii="宋体" w:hAnsi="宋体"/>
          <w:bCs/>
          <w:color w:val="000000" w:themeColor="text1"/>
          <w:sz w:val="24"/>
          <w:szCs w:val="24"/>
          <w:highlight w:val="none"/>
          <w14:textFill>
            <w14:solidFill>
              <w14:schemeClr w14:val="tx1"/>
            </w14:solidFill>
          </w14:textFill>
        </w:rPr>
        <w:t xml:space="preserve">。相关企业（含联合体中的中小企业、签订分包意向协议的中小企业）的具体情况如下：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w:t>
      </w:r>
      <w:r>
        <w:rPr>
          <w:rFonts w:ascii="宋体" w:hAnsi="宋体"/>
          <w:bCs/>
          <w:sz w:val="24"/>
          <w:szCs w:val="24"/>
          <w:highlight w:val="none"/>
          <w:u w:val="single"/>
        </w:rPr>
        <w:t xml:space="preserve">） 行业</w:t>
      </w:r>
      <w:r>
        <w:rPr>
          <w:rFonts w:ascii="宋体" w:hAnsi="宋体"/>
          <w:bCs/>
          <w:sz w:val="24"/>
          <w:szCs w:val="24"/>
          <w:highlight w:val="none"/>
        </w:rPr>
        <w:t xml:space="preserve">；制造商</w:t>
      </w:r>
      <w:r>
        <w:rPr>
          <w:rFonts w:ascii="宋体" w:hAnsi="宋体"/>
          <w:bCs/>
          <w:color w:val="000000" w:themeColor="text1"/>
          <w:sz w:val="24"/>
          <w:szCs w:val="24"/>
          <w:highlight w:val="none"/>
          <w14:textFill>
            <w14:solidFill>
              <w14:schemeClr w14:val="tx1"/>
            </w14:solidFill>
          </w14:textFill>
        </w:rPr>
        <w:t xml:space="preserve">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sz w:val="24"/>
          <w:szCs w:val="24"/>
          <w:highlight w:val="none"/>
          <w:u w:val="single"/>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sz w:val="24"/>
          <w:szCs w:val="24"/>
          <w:highlight w:val="none"/>
          <w:u w:val="single"/>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w:t>
      </w:r>
      <w:r>
        <w:rPr>
          <w:rFonts w:ascii="宋体" w:hAnsi="宋体"/>
          <w:bCs/>
          <w:sz w:val="24"/>
          <w:szCs w:val="24"/>
          <w:highlight w:val="none"/>
          <w:u w:val="single"/>
        </w:rPr>
        <w:t xml:space="preserve">、小型</w:t>
      </w:r>
      <w:r>
        <w:rPr>
          <w:rFonts w:ascii="宋体" w:hAnsi="宋体"/>
          <w:bCs/>
          <w:color w:val="000000" w:themeColor="text1"/>
          <w:sz w:val="24"/>
          <w:szCs w:val="24"/>
          <w:highlight w:val="none"/>
          <w:u w:val="single"/>
          <w14:textFill>
            <w14:solidFill>
              <w14:schemeClr w14:val="tx1"/>
            </w14:solidFill>
          </w14:textFill>
        </w:rPr>
        <w:t xml:space="preserve">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u w:val="single"/>
          <w14:textFill>
            <w14:solidFill>
              <w14:schemeClr w14:val="tx1"/>
            </w14:solidFill>
          </w14:textFill>
        </w:rPr>
        <w:t xml:space="preserve">（标的名称）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w:t>
      </w:r>
      <w:r>
        <w:rPr>
          <w:rFonts w:ascii="宋体" w:hAnsi="宋体"/>
          <w:bCs/>
          <w:sz w:val="24"/>
          <w:szCs w:val="24"/>
          <w:highlight w:val="none"/>
          <w:u w:val="single"/>
        </w:rPr>
        <w:t xml:space="preserve">） 行业</w:t>
      </w:r>
      <w:r>
        <w:rPr>
          <w:rFonts w:ascii="宋体" w:hAnsi="宋体"/>
          <w:bCs/>
          <w:sz w:val="24"/>
          <w:szCs w:val="24"/>
          <w:highlight w:val="none"/>
        </w:rPr>
        <w:t xml:space="preserve">；制造商</w:t>
      </w:r>
      <w:r>
        <w:rPr>
          <w:rFonts w:ascii="宋体" w:hAnsi="宋体"/>
          <w:bCs/>
          <w:color w:val="000000" w:themeColor="text1"/>
          <w:sz w:val="24"/>
          <w:szCs w:val="24"/>
          <w:highlight w:val="none"/>
          <w14:textFill>
            <w14:solidFill>
              <w14:schemeClr w14:val="tx1"/>
            </w14:solidFill>
          </w14:textFill>
        </w:rPr>
        <w:t xml:space="preserve">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sz w:val="24"/>
          <w:szCs w:val="24"/>
          <w:highlight w:val="none"/>
          <w:u w:val="single"/>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sz w:val="24"/>
          <w:szCs w:val="24"/>
          <w:highlight w:val="none"/>
          <w:u w:val="single"/>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w:t>
      </w:r>
      <w:r>
        <w:rPr>
          <w:rFonts w:ascii="宋体" w:hAnsi="宋体"/>
          <w:bCs/>
          <w:sz w:val="24"/>
          <w:szCs w:val="24"/>
          <w:highlight w:val="none"/>
          <w:u w:val="single"/>
        </w:rPr>
        <w:t xml:space="preserve">、小型</w:t>
      </w:r>
      <w:r>
        <w:rPr>
          <w:rFonts w:ascii="宋体" w:hAnsi="宋体"/>
          <w:bCs/>
          <w:color w:val="000000" w:themeColor="text1"/>
          <w:sz w:val="24"/>
          <w:szCs w:val="24"/>
          <w:highlight w:val="none"/>
          <w:u w:val="single"/>
          <w14:textFill>
            <w14:solidFill>
              <w14:schemeClr w14:val="tx1"/>
            </w14:solidFill>
          </w14:textFill>
        </w:rPr>
        <w:t xml:space="preserve">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w:t>
      </w:r>
      <w:r>
        <w:rPr>
          <w:rFonts w:ascii="宋体" w:hAnsi="宋体"/>
          <w:bCs/>
          <w:sz w:val="24"/>
          <w:szCs w:val="24"/>
          <w:highlight w:val="none"/>
        </w:rPr>
        <w:t xml:space="preserve">依法</w:t>
      </w:r>
      <w:r>
        <w:rPr>
          <w:rFonts w:ascii="宋体" w:hAnsi="宋体"/>
          <w:bCs/>
          <w:color w:val="000000" w:themeColor="text1"/>
          <w:sz w:val="24"/>
          <w:szCs w:val="24"/>
          <w:highlight w:val="none"/>
          <w14:textFill>
            <w14:solidFill>
              <w14:schemeClr w14:val="tx1"/>
            </w14:solidFill>
          </w14:textFill>
        </w:rPr>
        <w:t xml:space="preserve">承担相应责任</w:t>
      </w:r>
      <w:r>
        <w:rPr>
          <w:rFonts w:ascii="宋体" w:hAnsi="宋体"/>
          <w:bCs/>
          <w:sz w:val="24"/>
          <w:szCs w:val="24"/>
          <w:highlight w:val="none"/>
        </w:rPr>
        <w:t xml:space="preserve">。</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w:t>
      </w:r>
      <w:r>
        <w:rPr>
          <w:rFonts w:hint="eastAsia"/>
          <w:highlight w:val="none"/>
        </w:rPr>
        <w:t xml:space="preserve">货物</w:t>
      </w:r>
      <w:r>
        <w:rPr>
          <w:rFonts w:hint="eastAsia"/>
          <w:color w:val="000000" w:themeColor="text1"/>
          <w:highlight w:val="none"/>
          <w14:textFill>
            <w14:solidFill>
              <w14:schemeClr w14:val="tx1"/>
            </w14:solidFill>
          </w14:textFill>
        </w:rPr>
        <w:t xml:space="preserve">类的，只需按项目技术要求中的</w:t>
      </w:r>
      <w:r>
        <w:rPr>
          <w:rFonts w:hint="eastAsia"/>
          <w:highlight w:val="none"/>
        </w:rPr>
        <w:t xml:space="preserve">货物</w:t>
      </w:r>
      <w:r>
        <w:rPr>
          <w:rFonts w:hint="eastAsia"/>
          <w:color w:val="000000" w:themeColor="text1"/>
          <w:highlight w:val="none"/>
          <w14:textFill>
            <w14:solidFill>
              <w14:schemeClr w14:val="tx1"/>
            </w14:solidFill>
          </w14:textFill>
        </w:rPr>
        <w:t xml:space="preserve">部分标的及其所属行业逐一进行填报，“企业名称”应填报为该项</w:t>
      </w:r>
      <w:r>
        <w:rPr>
          <w:rFonts w:hint="eastAsia"/>
          <w:highlight w:val="none"/>
        </w:rPr>
        <w:t xml:space="preserve">货物的制造商</w:t>
      </w:r>
      <w:r>
        <w:rPr>
          <w:rFonts w:hint="eastAsia"/>
          <w:color w:val="000000" w:themeColor="text1"/>
          <w:highlight w:val="none"/>
          <w14:textFill>
            <w14:solidFill>
              <w14:schemeClr w14:val="tx1"/>
            </w14:solidFill>
          </w14:textFill>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五</w:t>
      </w:r>
      <w:r>
        <w:rPr>
          <w:rFonts w:hint="eastAsia" w:ascii="宋体" w:hAnsi="宋体" w:cs="宋体"/>
          <w:b/>
          <w:color w:val="000000" w:themeColor="text1"/>
          <w:sz w:val="28"/>
          <w:szCs w:val="28"/>
          <w:highlight w:val="non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spacing w:line="360" w:lineRule="auto"/>
        <w:rPr>
          <w:rFonts w:hint="eastAsia"/>
          <w:b/>
          <w:color w:val="000000" w:themeColor="text1"/>
          <w:sz w:val="28"/>
          <w:szCs w:val="28"/>
          <w:highlight w:val="none"/>
          <w:lang w:eastAsia="zh-CN"/>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lang w:val="en-US" w:eastAsia="zh-CN"/>
          <w14:textFill>
            <w14:solidFill>
              <w14:schemeClr w14:val="tx1"/>
            </w14:solidFill>
          </w14:textFill>
        </w:rPr>
        <w:t xml:space="preserve">六</w:t>
      </w:r>
      <w:r>
        <w:rPr>
          <w:rFonts w:hint="eastAsia"/>
          <w:b/>
          <w:color w:val="000000" w:themeColor="text1"/>
          <w:sz w:val="28"/>
          <w:szCs w:val="28"/>
          <w:highlight w:val="none"/>
          <w:lang w:eastAsia="zh-CN"/>
          <w14:textFill>
            <w14:solidFill>
              <w14:schemeClr w14:val="tx1"/>
            </w14:solidFill>
          </w14:textFill>
        </w:rPr>
        <w:t xml:space="preserve">、</w:t>
      </w:r>
      <w:r>
        <w:rPr>
          <w:rFonts w:hint="eastAsia"/>
          <w:b/>
          <w:color w:val="000000" w:themeColor="text1"/>
          <w:sz w:val="28"/>
          <w:szCs w:val="28"/>
          <w:highlight w:val="none"/>
          <w14:textFill>
            <w14:solidFill>
              <w14:schemeClr w14:val="tx1"/>
            </w14:solidFill>
          </w14:textFill>
        </w:rPr>
        <w:t xml:space="preserve">关于符合本国产品标准的声明函（</w:t>
      </w:r>
      <w:r>
        <w:rPr>
          <w:rFonts w:hint="eastAsia"/>
          <w:b/>
          <w:color w:val="000000" w:themeColor="text1"/>
          <w:sz w:val="28"/>
          <w:szCs w:val="28"/>
          <w:highlight w:val="none"/>
          <w:lang w:val="en-US" w:eastAsia="zh-CN"/>
          <w14:textFill>
            <w14:solidFill>
              <w14:schemeClr w14:val="tx1"/>
            </w14:solidFill>
          </w14:textFill>
        </w:rPr>
        <w:t xml:space="preserve">给定格式</w:t>
      </w:r>
      <w:r>
        <w:rPr>
          <w:rFonts w:hint="eastAsia"/>
          <w:b/>
          <w:color w:val="000000" w:themeColor="text1"/>
          <w:sz w:val="28"/>
          <w:szCs w:val="28"/>
          <w:highlight w:val="none"/>
          <w14:textFill>
            <w14:solidFill>
              <w14:schemeClr w14:val="tx1"/>
            </w14:solidFill>
          </w14:textFill>
        </w:rPr>
        <w:t xml:space="preserve">）</w:t>
      </w:r>
      <w:r>
        <w:rPr>
          <w:rFonts w:hint="eastAsia"/>
          <w:b/>
          <w:color w:val="000000" w:themeColor="text1"/>
          <w:sz w:val="28"/>
          <w:szCs w:val="28"/>
          <w:highlight w:val="none"/>
          <w:lang w:eastAsia="zh-CN"/>
          <w14:textFill>
            <w14:solidFill>
              <w14:schemeClr w14:val="tx1"/>
            </w14:solidFill>
          </w14:textFill>
        </w:rPr>
        <w:t xml:space="preserve">：</w:t>
      </w:r>
      <w:r/>
    </w:p>
    <w:p>
      <w:pPr>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关于符合本国产品标准的声明函</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rPr>
          <w:rFonts w:ascii="宋体" w:hAnsi="宋体" w:eastAsia="宋体" w:cs="宋体"/>
          <w:color w:val="auto"/>
          <w:sz w:val="24"/>
          <w:highlight w:val="none"/>
        </w:rPr>
      </w:pPr>
      <w:r>
        <w:rPr>
          <w:rFonts w:ascii="宋体" w:hAnsi="宋体" w:eastAsia="宋体" w:cs="宋体"/>
          <w:color w:val="auto"/>
          <w:sz w:val="24"/>
          <w:highlight w:val="none"/>
        </w:rPr>
        <w:br w:type="page" w:clear="all"/>
      </w:r>
      <w:r/>
    </w:p>
    <w:p>
      <w:pPr>
        <w:spacing w:line="360" w:lineRule="auto"/>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lang w:val="en-US" w:eastAsia="zh-CN"/>
          <w14:textFill>
            <w14:solidFill>
              <w14:schemeClr w14:val="tx1"/>
            </w14:solidFill>
          </w14:textFill>
        </w:rPr>
        <w:t xml:space="preserve">七</w:t>
      </w:r>
      <w:r>
        <w:rPr>
          <w:b/>
          <w:color w:val="000000" w:themeColor="text1"/>
          <w:sz w:val="28"/>
          <w:szCs w:val="28"/>
          <w:highlight w:val="none"/>
          <w14:textFill>
            <w14:solidFill>
              <w14:schemeClr w14:val="tx1"/>
            </w14:solidFill>
          </w14:textFill>
        </w:rPr>
        <w:t xml:space="preserve">、投标函</w:t>
      </w:r>
      <w:r>
        <w:rPr>
          <w:rFonts w:hint="eastAsia"/>
          <w:b/>
          <w:color w:val="000000" w:themeColor="text1"/>
          <w:sz w:val="28"/>
          <w:szCs w:val="28"/>
          <w:highlight w:val="non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w:t>
      </w:r>
      <w:r>
        <w:rPr>
          <w:rFonts w:hint="eastAsia" w:ascii="宋体" w:hAnsi="宋体"/>
          <w:bCs/>
          <w:color w:val="000000" w:themeColor="text1"/>
          <w:sz w:val="24"/>
          <w:szCs w:val="24"/>
          <w:highlight w:val="none"/>
          <w:lang w:eastAsia="zh-CN"/>
          <w14:textFill>
            <w14:solidFill>
              <w14:schemeClr w14:val="tx1"/>
            </w14:solidFill>
          </w14:textFill>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w:t>
      </w:r>
      <w:r>
        <w:rPr>
          <w:rFonts w:hint="eastAsia" w:ascii="宋体" w:hAnsi="宋体"/>
          <w:bCs/>
          <w:color w:val="000000" w:themeColor="text1"/>
          <w:sz w:val="24"/>
          <w:szCs w:val="24"/>
          <w:highlight w:val="none"/>
          <w:lang w:eastAsia="zh-CN"/>
          <w14:textFill>
            <w14:solidFill>
              <w14:schemeClr w14:val="tx1"/>
            </w14:solidFill>
          </w14:textFill>
        </w:rPr>
        <w:t xml:space="preserve">JSZC-320200-WXJY-G2026-0005</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招标文件，经仔细阅读和研究，我方决定参加此项目的投标。</w:t>
      </w:r>
      <w:r/>
    </w:p>
    <w:p>
      <w:pPr>
        <w:numPr>
          <w:ilvl w:val="0"/>
          <w:numId w:val="17"/>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17"/>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06"/>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w:t>
      </w:r>
      <w:r>
        <w:rPr>
          <w:rFonts w:hint="eastAsia" w:ascii="宋体" w:hAnsi="宋体"/>
          <w:bCs/>
          <w:color w:val="000000" w:themeColor="text1"/>
          <w:sz w:val="24"/>
          <w:szCs w:val="24"/>
          <w:highlight w:val="none"/>
          <w:lang w:eastAsia="zh-CN"/>
          <w14:textFill>
            <w14:solidFill>
              <w14:schemeClr w14:val="tx1"/>
            </w14:solidFill>
          </w14:textFill>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在招标文件中要求的文件、资料。</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我方同意按招标文件中的规定，从规定的开标日期起遵循本投标文件，并在规定的投标有效期期满之前均具有约束力。</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如果我方的投标文件被接受，我方将履行招标文件中规定的每一项要求，按期、按质、按量，完成交货任务。</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我方完全同意招标文件规定的决定中标者的方式。</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w:t>
      </w:r>
      <w:r>
        <w:rPr>
          <w:rFonts w:hint="eastAsia" w:ascii="宋体" w:hAnsi="宋体"/>
          <w:bCs/>
          <w:color w:val="000000" w:themeColor="text1"/>
          <w:sz w:val="24"/>
          <w:szCs w:val="24"/>
          <w:highlight w:val="none"/>
          <w:lang w:eastAsia="zh-CN"/>
          <w14:textFill>
            <w14:solidFill>
              <w14:schemeClr w14:val="tx1"/>
            </w14:solidFill>
          </w14:textFill>
        </w:rPr>
        <w:t xml:space="preserve">按照《中华人民共和国</w:t>
      </w:r>
      <w:r>
        <w:rPr>
          <w:rFonts w:hint="eastAsia" w:ascii="宋体" w:hAnsi="宋体"/>
          <w:bCs/>
          <w:color w:val="000000" w:themeColor="text1"/>
          <w:sz w:val="24"/>
          <w:szCs w:val="24"/>
          <w:highlight w:val="none"/>
          <w14:textFill>
            <w14:solidFill>
              <w14:schemeClr w14:val="tx1"/>
            </w14:solidFill>
          </w14:textFill>
        </w:rPr>
        <w:t xml:space="preserve">民法典》、财政部《政府采购货物和服务招标投标管理办法》等相关法律法规</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我方已详细审核全部招标文件及其有效补充文件，我们知道必须放弃提出含糊不清或误解问题的权利。</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如果我方被确定为中标供应商，我方愿意按采购人要求</w:t>
      </w:r>
      <w:r>
        <w:rPr>
          <w:rFonts w:hint="eastAsia" w:ascii="宋体" w:hAnsi="宋体"/>
          <w:bCs/>
          <w:color w:val="000000" w:themeColor="text1"/>
          <w:sz w:val="24"/>
          <w:szCs w:val="24"/>
          <w:highlight w:val="none"/>
          <w:lang w:eastAsia="zh-CN"/>
          <w14:textFill>
            <w14:solidFill>
              <w14:schemeClr w14:val="tx1"/>
            </w14:solidFill>
          </w14:textFill>
        </w:rPr>
        <w:t xml:space="preserve">缴纳</w:t>
      </w:r>
      <w:r>
        <w:rPr>
          <w:rFonts w:hint="eastAsia" w:ascii="宋体" w:hAnsi="宋体"/>
          <w:bCs/>
          <w:color w:val="000000" w:themeColor="text1"/>
          <w:sz w:val="24"/>
          <w:szCs w:val="24"/>
          <w:highlight w:val="none"/>
          <w14:textFill>
            <w14:solidFill>
              <w14:schemeClr w14:val="tx1"/>
            </w14:solidFill>
          </w14:textFill>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我方决不提供虚假材料谋取中标、决不采取不正当手段诋毁、排挤其他供应商、决不与采购人、其他供应商或者</w:t>
      </w:r>
      <w:r>
        <w:rPr>
          <w:rFonts w:hint="eastAsia" w:ascii="宋体" w:hAnsi="宋体"/>
          <w:bCs/>
          <w:sz w:val="24"/>
          <w:szCs w:val="24"/>
          <w:highlight w:val="none"/>
          <w:lang w:eastAsia="zh-CN"/>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恶意串通、决不向采购人、</w:t>
      </w:r>
      <w:r>
        <w:rPr>
          <w:rFonts w:hint="eastAsia" w:ascii="宋体" w:hAnsi="宋体"/>
          <w:bCs/>
          <w:sz w:val="24"/>
          <w:szCs w:val="24"/>
          <w:highlight w:val="none"/>
          <w:lang w:eastAsia="zh-CN"/>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；传真：</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；邮编：</w:t>
      </w:r>
      <w:r>
        <w:rPr>
          <w:rFonts w:hint="eastAsia" w:ascii="宋体" w:hAnsi="宋体"/>
          <w:bCs/>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w:t>
      </w:r>
      <w:r>
        <w:rPr>
          <w:rFonts w:hint="eastAsia" w:ascii="宋体" w:hAnsi="宋体"/>
          <w:bCs/>
          <w:color w:val="000000" w:themeColor="text1"/>
          <w:sz w:val="24"/>
          <w:szCs w:val="24"/>
          <w:highlight w:val="none"/>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360" w:lineRule="auto"/>
        <w:rPr>
          <w:rFonts w:hint="eastAsia"/>
          <w:b/>
          <w:color w:val="000000" w:themeColor="text1"/>
          <w:sz w:val="28"/>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lang w:val="en-US" w:eastAsia="zh-CN"/>
          <w14:textFill>
            <w14:solidFill>
              <w14:schemeClr w14:val="tx1"/>
            </w14:solidFill>
          </w14:textFill>
        </w:rPr>
        <w:t xml:space="preserve">八</w:t>
      </w:r>
      <w:r>
        <w:rPr>
          <w:rFonts w:hint="eastAsia"/>
          <w:b/>
          <w:color w:val="000000" w:themeColor="text1"/>
          <w:sz w:val="28"/>
          <w:szCs w:val="28"/>
          <w:highlight w:val="none"/>
          <w14:textFill>
            <w14:solidFill>
              <w14:schemeClr w14:val="tx1"/>
            </w14:solidFill>
          </w14:textFill>
        </w:rPr>
        <w:t xml:space="preserve">、承诺书（给定格式）：</w:t>
      </w:r>
      <w:r/>
    </w:p>
    <w:p>
      <w:pPr>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名称）针对本项目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JSZC-320200-WXJY-G2026-0005</w:t>
      </w:r>
      <w:r>
        <w:rPr>
          <w:rFonts w:hint="eastAsia" w:ascii="宋体" w:hAnsi="宋体"/>
          <w:color w:val="000000" w:themeColor="text1"/>
          <w:sz w:val="24"/>
          <w:szCs w:val="24"/>
          <w:highlight w:val="non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1.本公司（单位）</w:t>
      </w:r>
      <w:r>
        <w:rPr>
          <w:rFonts w:hint="eastAsia" w:ascii="宋体" w:hAnsi="宋体"/>
          <w:bCs/>
          <w:color w:val="000000" w:themeColor="text1"/>
          <w:sz w:val="24"/>
          <w:szCs w:val="24"/>
          <w:highlight w:val="none"/>
          <w14:textFill>
            <w14:solidFill>
              <w14:schemeClr w14:val="tx1"/>
            </w14:solidFill>
          </w14:textFill>
        </w:rPr>
        <w:t xml:space="preserve">对本项目所提供的货物均为原厂全新合格产品，提供的服务符合招标文件要求。</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2.本项目中如有涉及商品包装、快递包装要求的，本公司（单位）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 xml:space="preserve">本公司（单位）所投产品符合相关要求和标准。在满足</w:t>
      </w:r>
      <w:r>
        <w:rPr>
          <w:rFonts w:hint="eastAsia" w:ascii="宋体" w:hAnsi="宋体" w:cs="宋体"/>
          <w:color w:val="000000" w:themeColor="text1"/>
          <w:sz w:val="24"/>
          <w:szCs w:val="24"/>
          <w:highlight w:val="non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none"/>
          <w14:textFill>
            <w14:solidFill>
              <w14:schemeClr w14:val="tx1"/>
            </w14:solidFill>
          </w14:textFill>
        </w:rPr>
        <w:t xml:space="preserve">本公司（单位）所投产品将</w:t>
      </w:r>
      <w:r>
        <w:rPr>
          <w:rFonts w:hint="eastAsia" w:ascii="宋体" w:hAnsi="宋体" w:cs="宋体"/>
          <w:color w:val="000000" w:themeColor="text1"/>
          <w:sz w:val="24"/>
          <w:szCs w:val="24"/>
          <w:highlight w:val="none"/>
          <w14:textFill>
            <w14:solidFill>
              <w14:schemeClr w14:val="tx1"/>
            </w14:solidFill>
          </w14:textFill>
        </w:rPr>
        <w:t xml:space="preserve">满足招标文件要求。如采购人在</w:t>
      </w:r>
      <w:r>
        <w:rPr>
          <w:rFonts w:hint="eastAsia" w:ascii="宋体"/>
          <w:bCs/>
          <w:color w:val="000000" w:themeColor="text1"/>
          <w:sz w:val="24"/>
          <w:szCs w:val="24"/>
          <w:highlight w:val="none"/>
          <w14:textFill>
            <w14:solidFill>
              <w14:schemeClr w14:val="tx1"/>
            </w14:solidFill>
          </w14:textFill>
        </w:rPr>
        <w:t xml:space="preserve">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（投标人如有其他承诺的可在此处添加）</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r>
      <w:r/>
    </w:p>
    <w:p>
      <w:pPr>
        <w:ind w:firstLine="480"/>
        <w:spacing w:line="480" w:lineRule="auto"/>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372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360" w:lineRule="auto"/>
        <w:rPr>
          <w:rFonts w:hint="eastAsia"/>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lang w:val="en-US" w:eastAsia="zh-CN"/>
          <w14:textFill>
            <w14:solidFill>
              <w14:schemeClr w14:val="tx1"/>
            </w14:solidFill>
          </w14:textFill>
        </w:rPr>
        <w:t xml:space="preserve">九</w:t>
      </w:r>
      <w:r>
        <w:rPr>
          <w:rFonts w:hint="eastAsia"/>
          <w:b/>
          <w:color w:val="000000" w:themeColor="text1"/>
          <w:sz w:val="28"/>
          <w:szCs w:val="28"/>
          <w:highlight w:val="none"/>
          <w14:textFill>
            <w14:solidFill>
              <w14:schemeClr w14:val="tx1"/>
            </w14:solidFill>
          </w14:textFill>
        </w:rPr>
        <w:t xml:space="preserve">、开标一览表</w:t>
      </w:r>
      <w:r>
        <w:rPr>
          <w:rFonts w:hint="eastAsia"/>
          <w:b/>
          <w:sz w:val="30"/>
          <w:szCs w:val="30"/>
          <w:highlight w:val="none"/>
        </w:rPr>
        <w:t xml:space="preserve">（给定格式）</w:t>
      </w:r>
      <w:r>
        <w:rPr>
          <w:rFonts w:hint="eastAsia"/>
          <w:b/>
          <w:color w:val="000000" w:themeColor="text1"/>
          <w:sz w:val="28"/>
          <w:szCs w:val="28"/>
          <w:highlight w:val="none"/>
          <w14:textFill>
            <w14:solidFill>
              <w14:schemeClr w14:val="tx1"/>
            </w14:solidFill>
          </w14:textFill>
        </w:rPr>
        <w:t xml:space="preserve">：</w:t>
      </w:r>
      <w:r/>
    </w:p>
    <w:p>
      <w:pPr>
        <w:ind w:firstLine="482"/>
        <w:spacing w:line="440" w:lineRule="exact"/>
        <w:rPr>
          <w:rFonts w:hint="eastAsia" w:ascii="Arial" w:hAnsi="Arial"/>
          <w:b/>
          <w:color w:val="000000" w:themeColor="text1"/>
          <w:sz w:val="24"/>
          <w:highlight w:val="none"/>
          <w14:textFill>
            <w14:solidFill>
              <w14:schemeClr w14:val="tx1"/>
            </w14:solidFill>
          </w14:textFill>
        </w:rPr>
      </w:pPr>
      <w:r>
        <w:rPr>
          <w:rFonts w:hint="eastAsia"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 </w:t>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JSZC-320200-WXJY-G2026-0005</w:t>
      </w:r>
      <w:r/>
    </w:p>
    <w:tbl>
      <w:tblPr>
        <w:tblStyle w:val="893"/>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3188" w:type="dxa"/>
            <w:vAlign w:val="center"/>
            <w:textDirection w:val="lrTb"/>
            <w:noWrap w:val="false"/>
          </w:tcPr>
          <w:p>
            <w:pPr>
              <w:jc w:val="center"/>
              <w:rPr>
                <w:rFonts w:hint="eastAsia" w:ascii="宋体" w:eastAsia="宋体"/>
                <w:b/>
                <w:bCs/>
                <w:color w:val="000000" w:themeColor="text1"/>
                <w:sz w:val="24"/>
                <w:szCs w:val="24"/>
                <w:highlight w:val="none"/>
                <w:lang w:eastAsia="zh-CN"/>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w:t>
            </w:r>
            <w:r>
              <w:rPr>
                <w:rFonts w:hint="eastAsia" w:ascii="宋体" w:hAnsi="宋体"/>
                <w:b/>
                <w:bCs/>
                <w:color w:val="000000" w:themeColor="text1"/>
                <w:sz w:val="24"/>
                <w:szCs w:val="24"/>
                <w:highlight w:val="none"/>
                <w:lang w:val="en-US" w:eastAsia="zh-CN"/>
                <w14:textFill>
                  <w14:solidFill>
                    <w14:schemeClr w14:val="tx1"/>
                  </w14:solidFill>
                </w14:textFill>
              </w:rPr>
              <w:t xml:space="preserve">总报价（小写）</w:t>
            </w:r>
            <w:r/>
          </w:p>
        </w:tc>
      </w:tr>
      <w:tr>
        <w:trPr>
          <w:cantSplit/>
          <w:trHeight w:val="1630"/>
        </w:trPr>
        <w:tc>
          <w:tcPr>
            <w:tcW w:w="5697" w:type="dxa"/>
            <w:vAlign w:val="center"/>
            <w:textDirection w:val="lrTb"/>
            <w:noWrap w:val="false"/>
          </w:tcPr>
          <w:p>
            <w:pPr>
              <w:pStyle w:val="907"/>
              <w:jc w:val="center"/>
              <w:spacing w:line="400" w:lineRule="exact"/>
              <w:rPr>
                <w:rFonts w:hint="eastAsia" w:hAnsi="宋体"/>
                <w:bCs/>
                <w:color w:val="000000" w:themeColor="text1"/>
                <w:szCs w:val="24"/>
                <w:highlight w:val="none"/>
                <w14:textFill>
                  <w14:solidFill>
                    <w14:schemeClr w14:val="tx1"/>
                  </w14:solidFill>
                </w14:textFill>
              </w:rPr>
            </w:pPr>
            <w:r>
              <w:rPr>
                <w:rFonts w:hint="eastAsia" w:hAnsi="宋体"/>
                <w:bCs/>
                <w:szCs w:val="24"/>
                <w:highlight w:val="none"/>
                <w:lang w:eastAsia="zh-CN"/>
              </w:rPr>
              <w:t xml:space="preserve">无锡市江南中学风洞实验室设备采购项目</w:t>
            </w:r>
            <w:r/>
          </w:p>
        </w:tc>
        <w:tc>
          <w:tcPr>
            <w:tcW w:w="3188" w:type="dxa"/>
            <w:vAlign w:val="center"/>
            <w:textDirection w:val="lrTb"/>
            <w:noWrap w:val="false"/>
          </w:tcPr>
          <w:p>
            <w:pPr>
              <w:pStyle w:val="907"/>
              <w:jc w:val="center"/>
              <w:rPr>
                <w:rFonts w:hAnsi="宋体"/>
                <w:b/>
                <w:color w:val="000000" w:themeColor="text1"/>
                <w:szCs w:val="24"/>
                <w:highlight w:val="none"/>
                <w14:textFill>
                  <w14:solidFill>
                    <w14:schemeClr w14:val="tx1"/>
                  </w14:solidFill>
                </w14:textFill>
              </w:rPr>
            </w:pPr>
            <w:r>
              <w:rPr>
                <w:rFonts w:hAnsi="宋体"/>
                <w:b/>
                <w:color w:val="000000" w:themeColor="text1"/>
                <w:szCs w:val="24"/>
                <w:highlight w:val="non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投标</w:t>
            </w:r>
            <w:r>
              <w:rPr>
                <w:rFonts w:hint="eastAsia" w:ascii="黑体" w:eastAsia="黑体"/>
                <w:color w:val="000000" w:themeColor="text1"/>
                <w:sz w:val="24"/>
                <w:highlight w:val="none"/>
                <w:lang w:val="en-US" w:eastAsia="zh-CN"/>
                <w14:textFill>
                  <w14:solidFill>
                    <w14:schemeClr w14:val="tx1"/>
                  </w14:solidFill>
                </w14:textFill>
              </w:rPr>
              <w:t xml:space="preserve">总报价</w:t>
            </w:r>
            <w:r>
              <w:rPr>
                <w:rFonts w:hint="eastAsia" w:ascii="黑体" w:eastAsia="黑体"/>
                <w:color w:val="000000" w:themeColor="text1"/>
                <w:sz w:val="24"/>
                <w:highlight w:val="none"/>
                <w14:textFill>
                  <w14:solidFill>
                    <w14:schemeClr w14:val="tx1"/>
                  </w14:solidFill>
                </w14:textFill>
              </w:rPr>
              <w:t xml:space="preserve">（大写）</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sz w:val="24"/>
                <w:szCs w:val="24"/>
                <w:highlight w:val="none"/>
              </w:rPr>
              <w:t xml:space="preserve">　　　</w:t>
            </w:r>
            <w:r/>
          </w:p>
        </w:tc>
      </w:tr>
    </w:tbl>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注：</w:t>
      </w:r>
      <w:r/>
    </w:p>
    <w:p>
      <w:pPr>
        <w:ind w:firstLine="480"/>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color w:val="000000" w:themeColor="text1"/>
          <w:sz w:val="30"/>
          <w:szCs w:val="30"/>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eastAsia="黑体"/>
          <w:b/>
          <w:color w:val="000000" w:themeColor="text1"/>
          <w:sz w:val="28"/>
          <w:szCs w:val="28"/>
          <w:highlight w:val="none"/>
          <w:lang w:val="en-US" w:eastAsia="zh-CN"/>
          <w14:textFill>
            <w14:solidFill>
              <w14:schemeClr w14:val="tx1"/>
            </w14:solidFill>
          </w14:textFill>
        </w:rPr>
        <w:t xml:space="preserve">十</w:t>
      </w:r>
      <w:r>
        <w:rPr>
          <w:rFonts w:hint="eastAsia"/>
          <w:b/>
          <w:color w:val="000000" w:themeColor="text1"/>
          <w:sz w:val="28"/>
          <w:szCs w:val="28"/>
          <w:highlight w:val="none"/>
          <w14:textFill>
            <w14:solidFill>
              <w14:schemeClr w14:val="tx1"/>
            </w14:solidFill>
          </w14:textFill>
        </w:rPr>
        <w:t xml:space="preserve">、分项</w:t>
      </w:r>
      <w:r>
        <w:rPr>
          <w:b/>
          <w:color w:val="000000" w:themeColor="text1"/>
          <w:sz w:val="28"/>
          <w:szCs w:val="28"/>
          <w:highlight w:val="none"/>
          <w14:textFill>
            <w14:solidFill>
              <w14:schemeClr w14:val="tx1"/>
            </w14:solidFill>
          </w14:textFill>
        </w:rPr>
        <w:t xml:space="preserve">报价表</w:t>
      </w:r>
      <w:r>
        <w:rPr>
          <w:rFonts w:hint="eastAsia"/>
          <w:b/>
          <w:color w:val="000000" w:themeColor="text1"/>
          <w:sz w:val="28"/>
          <w:szCs w:val="28"/>
          <w:highlight w:val="none"/>
          <w14:textFill>
            <w14:solidFill>
              <w14:schemeClr w14:val="tx1"/>
            </w14:solidFill>
          </w14:textFill>
        </w:rPr>
        <w:t xml:space="preserve">（给定格式）：</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分项报价表</w:t>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JSZC-320200-WXJY-G2026-0005</w:t>
      </w:r>
      <w:r/>
    </w:p>
    <w:tbl>
      <w:tblPr>
        <w:tblStyle w:val="893"/>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highlight w:val="none"/>
              </w:rPr>
            </w:pPr>
            <w:r>
              <w:rPr>
                <w:rFonts w:hint="eastAsia"/>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highlight w:val="none"/>
              </w:rPr>
            </w:pPr>
            <w:r>
              <w:rPr>
                <w:rFonts w:hint="eastAsia"/>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highlight w:val="none"/>
              </w:rPr>
            </w:pPr>
            <w:r>
              <w:rPr>
                <w:rFonts w:hint="eastAsia"/>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highlight w:val="none"/>
              </w:rPr>
            </w:pPr>
            <w:r>
              <w:rPr>
                <w:rFonts w:hint="eastAsia"/>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highlight w:val="none"/>
              </w:rPr>
            </w:pPr>
            <w:r>
              <w:rPr>
                <w:rFonts w:hint="eastAsia"/>
                <w:sz w:val="18"/>
                <w:highlight w:val="none"/>
              </w:rPr>
              <w:t xml:space="preserve">数量</w:t>
            </w:r>
            <w:r/>
          </w:p>
        </w:tc>
        <w:tc>
          <w:tcPr>
            <w:tcW w:w="1276" w:type="dxa"/>
            <w:vAlign w:val="center"/>
            <w:textDirection w:val="lrTb"/>
            <w:noWrap w:val="false"/>
          </w:tcPr>
          <w:p>
            <w:pPr>
              <w:jc w:val="center"/>
              <w:spacing w:before="5"/>
              <w:rPr>
                <w:sz w:val="18"/>
                <w:highlight w:val="none"/>
              </w:rPr>
            </w:pPr>
            <w:r>
              <w:rPr>
                <w:rFonts w:hint="eastAsia"/>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highlight w:val="none"/>
              </w:rPr>
            </w:pPr>
            <w:r>
              <w:rPr>
                <w:rFonts w:hint="eastAsia"/>
                <w:sz w:val="18"/>
                <w:highlight w:val="none"/>
              </w:rPr>
              <w:t xml:space="preserve">质保期</w:t>
            </w:r>
            <w:r/>
          </w:p>
        </w:tc>
        <w:tc>
          <w:tcPr>
            <w:tcW w:w="709" w:type="dxa"/>
            <w:vAlign w:val="center"/>
            <w:textDirection w:val="lrTb"/>
            <w:noWrap w:val="false"/>
          </w:tcPr>
          <w:p>
            <w:pPr>
              <w:jc w:val="center"/>
              <w:spacing w:before="5"/>
              <w:rPr>
                <w:sz w:val="18"/>
                <w:highlight w:val="none"/>
              </w:rPr>
            </w:pPr>
            <w:r>
              <w:rPr>
                <w:rFonts w:hint="eastAsia"/>
                <w:sz w:val="18"/>
                <w:highlight w:val="none"/>
              </w:rPr>
              <w:t xml:space="preserve">单报价</w:t>
            </w:r>
            <w:r/>
          </w:p>
        </w:tc>
        <w:tc>
          <w:tcPr>
            <w:tcW w:w="939" w:type="dxa"/>
            <w:vAlign w:val="center"/>
            <w:textDirection w:val="lrTb"/>
            <w:noWrap w:val="false"/>
          </w:tcPr>
          <w:p>
            <w:pPr>
              <w:jc w:val="center"/>
              <w:spacing w:before="5"/>
              <w:rPr>
                <w:sz w:val="18"/>
                <w:highlight w:val="none"/>
              </w:rPr>
            </w:pPr>
            <w:r>
              <w:rPr>
                <w:rFonts w:hint="eastAsia"/>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894"/>
              <w:spacing w:before="5"/>
              <w:tabs>
                <w:tab w:val="clear" w:pos="7143" w:leader="none"/>
                <w:tab w:val="clear" w:pos="14287" w:leader="none"/>
              </w:tabs>
              <w:rPr>
                <w:rFonts w:ascii="宋体"/>
                <w:highlight w:val="none"/>
                <w:lang w:eastAsia="zh-CN"/>
              </w:rPr>
              <w:pBdr>
                <w:bottom w:val="none" w:color="000000" w:sz="0" w:space="0"/>
              </w:pBdr>
            </w:pPr>
            <w:r>
              <w:rPr>
                <w:rFonts w:hint="eastAsia" w:ascii="宋体"/>
                <w:highlight w:val="none"/>
                <w:lang w:eastAsia="zh-CN"/>
              </w:rPr>
              <w:t xml:space="preserve">1</w:t>
            </w:r>
            <w:r/>
          </w:p>
        </w:tc>
        <w:tc>
          <w:tcPr>
            <w:tcMar>
              <w:left w:w="15" w:type="dxa"/>
              <w:top w:w="15" w:type="dxa"/>
              <w:right w:w="15" w:type="dxa"/>
              <w:bottom w:w="0" w:type="dxa"/>
            </w:tcMar>
            <w:tcW w:w="1050" w:type="dxa"/>
            <w:vAlign w:val="center"/>
            <w:textDirection w:val="lrTb"/>
            <w:noWrap/>
          </w:tcPr>
          <w:p>
            <w:pPr>
              <w:pStyle w:val="894"/>
              <w:tabs>
                <w:tab w:val="clear" w:pos="7143" w:leader="none"/>
                <w:tab w:val="clear" w:pos="14287" w:leader="none"/>
              </w:tabs>
              <w:rPr>
                <w:rFonts w:ascii="宋体"/>
                <w:bCs/>
                <w:highlight w:val="none"/>
                <w:lang w:eastAsia="zh-CN"/>
              </w:rPr>
              <w:pBdr>
                <w:bottom w:val="none" w:color="000000" w:sz="0" w:space="0"/>
              </w:pBdr>
            </w:pPr>
            <w:r>
              <w:rPr>
                <w:rFonts w:ascii="宋体"/>
                <w:bCs/>
                <w:highlight w:val="none"/>
                <w:lang w:eastAsia="zh-CN"/>
              </w:rPr>
            </w:r>
            <w:r/>
          </w:p>
        </w:tc>
        <w:tc>
          <w:tcPr>
            <w:tcMar>
              <w:left w:w="15" w:type="dxa"/>
              <w:top w:w="15" w:type="dxa"/>
              <w:right w:w="15" w:type="dxa"/>
              <w:bottom w:w="0" w:type="dxa"/>
            </w:tcMar>
            <w:tcW w:w="945" w:type="dxa"/>
            <w:vAlign w:val="center"/>
            <w:textDirection w:val="lrTb"/>
            <w:noWrap w:val="false"/>
          </w:tcPr>
          <w:p>
            <w:pPr>
              <w:pStyle w:val="894"/>
              <w:tabs>
                <w:tab w:val="clear" w:pos="7143" w:leader="none"/>
                <w:tab w:val="clear" w:pos="14287" w:leader="none"/>
              </w:tabs>
              <w:rPr>
                <w:rFonts w:ascii="宋体"/>
                <w:bCs/>
                <w:highlight w:val="none"/>
                <w:lang w:eastAsia="zh-CN"/>
              </w:rPr>
              <w:pBdr>
                <w:bottom w:val="none" w:color="000000" w:sz="0" w:space="0"/>
              </w:pBdr>
            </w:pPr>
            <w:r>
              <w:rPr>
                <w:rFonts w:ascii="宋体"/>
                <w:bCs/>
                <w:highlight w:val="none"/>
                <w:lang w:eastAsia="zh-CN"/>
              </w:rPr>
            </w:r>
            <w:r/>
          </w:p>
        </w:tc>
        <w:tc>
          <w:tcPr>
            <w:tcMar>
              <w:left w:w="15" w:type="dxa"/>
              <w:top w:w="15" w:type="dxa"/>
              <w:right w:w="15" w:type="dxa"/>
              <w:bottom w:w="0" w:type="dxa"/>
            </w:tcMar>
            <w:tcW w:w="3045" w:type="dxa"/>
            <w:textDirection w:val="lrTb"/>
            <w:noWrap w:val="false"/>
          </w:tcPr>
          <w:p>
            <w:pPr>
              <w:jc w:val="center"/>
              <w:rPr>
                <w:rFonts w:ascii="宋体"/>
                <w:bCs/>
                <w:sz w:val="18"/>
                <w:highlight w:val="none"/>
              </w:rPr>
            </w:pPr>
            <w:r>
              <w:rPr>
                <w:rFonts w:ascii="宋体"/>
                <w:bCs/>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hAnsi="宋体" w:eastAsia="黑体"/>
                <w:b/>
                <w:bCs/>
                <w:sz w:val="24"/>
                <w:szCs w:val="24"/>
                <w:highlight w:val="none"/>
              </w:rPr>
            </w:pPr>
            <w:r>
              <w:rPr>
                <w:rFonts w:hint="eastAsia" w:ascii="黑体" w:eastAsia="黑体"/>
                <w:b/>
                <w:bCs/>
                <w:highlight w:val="none"/>
              </w:rPr>
              <w:t xml:space="preserve">　</w:t>
            </w:r>
            <w:r/>
          </w:p>
        </w:tc>
        <w:tc>
          <w:tcPr>
            <w:tcW w:w="1276"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黑体" w:hAnsi="宋体" w:eastAsia="黑体"/>
                <w:b/>
                <w:bCs/>
                <w:sz w:val="24"/>
                <w:szCs w:val="24"/>
                <w:highlight w:val="none"/>
              </w:rPr>
            </w:pPr>
            <w:r>
              <w:rPr>
                <w:rFonts w:hint="eastAsia" w:ascii="黑体" w:eastAsia="黑体"/>
                <w:b/>
                <w:bCs/>
                <w:highlight w:val="none"/>
              </w:rPr>
              <w:t xml:space="preserve">　</w:t>
            </w:r>
            <w:r/>
          </w:p>
        </w:tc>
        <w:tc>
          <w:tcPr>
            <w:tcW w:w="709"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c>
          <w:tcPr>
            <w:tcW w:w="939"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highlight w:val="none"/>
              </w:rPr>
            </w:pPr>
            <w:r>
              <w:rPr>
                <w:rFonts w:hint="eastAsia" w:ascii="宋体"/>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highlight w:val="none"/>
              </w:rPr>
            </w:pPr>
            <w:r>
              <w:rPr>
                <w:rFonts w:ascii="宋体"/>
                <w:highlight w:val="none"/>
              </w:rPr>
            </w:r>
            <w:r/>
          </w:p>
        </w:tc>
        <w:tc>
          <w:tcPr>
            <w:tcMar>
              <w:left w:w="15" w:type="dxa"/>
              <w:top w:w="15" w:type="dxa"/>
              <w:right w:w="15" w:type="dxa"/>
              <w:bottom w:w="0" w:type="dxa"/>
            </w:tcMar>
            <w:tcW w:w="945" w:type="dxa"/>
            <w:vAlign w:val="center"/>
            <w:textDirection w:val="lrTb"/>
            <w:noWrap w:val="false"/>
          </w:tcPr>
          <w:p>
            <w:pPr>
              <w:pStyle w:val="894"/>
              <w:tabs>
                <w:tab w:val="clear" w:pos="7143" w:leader="none"/>
                <w:tab w:val="clear" w:pos="14287" w:leader="none"/>
              </w:tabs>
              <w:rPr>
                <w:rFonts w:ascii="宋体"/>
                <w:bCs/>
                <w:highlight w:val="none"/>
                <w:lang w:eastAsia="zh-CN"/>
              </w:rPr>
              <w:pBdr>
                <w:bottom w:val="none" w:color="000000" w:sz="0" w:space="0"/>
              </w:pBdr>
            </w:pPr>
            <w:r>
              <w:rPr>
                <w:rFonts w:ascii="宋体"/>
                <w:bCs/>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sz w:val="18"/>
                <w:highlight w:val="none"/>
              </w:rPr>
            </w:pPr>
            <w:r>
              <w:rPr>
                <w:rFonts w:ascii="宋体"/>
                <w:bCs/>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hAnsi="宋体" w:eastAsia="黑体"/>
                <w:b/>
                <w:bCs/>
                <w:sz w:val="24"/>
                <w:szCs w:val="24"/>
                <w:highlight w:val="none"/>
              </w:rPr>
            </w:pPr>
            <w:r>
              <w:rPr>
                <w:rFonts w:hint="eastAsia" w:ascii="黑体" w:eastAsia="黑体"/>
                <w:b/>
                <w:bCs/>
                <w:highlight w:val="none"/>
              </w:rPr>
              <w:t xml:space="preserve">　</w:t>
            </w:r>
            <w:r/>
          </w:p>
        </w:tc>
        <w:tc>
          <w:tcPr>
            <w:tcW w:w="1276"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黑体" w:hAnsi="宋体" w:eastAsia="黑体"/>
                <w:b/>
                <w:bCs/>
                <w:sz w:val="24"/>
                <w:szCs w:val="24"/>
                <w:highlight w:val="none"/>
              </w:rPr>
            </w:pPr>
            <w:r>
              <w:rPr>
                <w:rFonts w:hint="eastAsia" w:ascii="黑体" w:eastAsia="黑体"/>
                <w:b/>
                <w:bCs/>
                <w:highlight w:val="none"/>
              </w:rPr>
              <w:t xml:space="preserve">　</w:t>
            </w:r>
            <w:r/>
          </w:p>
        </w:tc>
        <w:tc>
          <w:tcPr>
            <w:tcW w:w="709"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c>
          <w:tcPr>
            <w:tcW w:w="939"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highlight w:val="none"/>
              </w:rPr>
            </w:pPr>
            <w:r>
              <w:rPr>
                <w:rFonts w:ascii="宋体"/>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highlight w:val="none"/>
              </w:rPr>
            </w:pPr>
            <w:r>
              <w:rPr>
                <w:rFonts w:ascii="宋体"/>
                <w:highlight w:val="none"/>
              </w:rPr>
              <w:t xml:space="preserve">……</w:t>
            </w:r>
            <w:r/>
          </w:p>
        </w:tc>
        <w:tc>
          <w:tcPr>
            <w:tcMar>
              <w:left w:w="15" w:type="dxa"/>
              <w:top w:w="15" w:type="dxa"/>
              <w:right w:w="15" w:type="dxa"/>
              <w:bottom w:w="0" w:type="dxa"/>
            </w:tcMar>
            <w:tcW w:w="945" w:type="dxa"/>
            <w:vAlign w:val="center"/>
            <w:textDirection w:val="lrTb"/>
            <w:noWrap w:val="false"/>
          </w:tcPr>
          <w:p>
            <w:pPr>
              <w:pStyle w:val="894"/>
              <w:tabs>
                <w:tab w:val="clear" w:pos="7143" w:leader="none"/>
                <w:tab w:val="clear" w:pos="14287" w:leader="none"/>
              </w:tabs>
              <w:rPr>
                <w:rFonts w:ascii="宋体"/>
                <w:bCs/>
                <w:highlight w:val="none"/>
                <w:lang w:eastAsia="zh-CN"/>
              </w:rPr>
              <w:pBdr>
                <w:bottom w:val="none" w:color="000000" w:sz="0" w:space="0"/>
              </w:pBdr>
            </w:pPr>
            <w:r>
              <w:rPr>
                <w:rFonts w:ascii="宋体"/>
                <w:bCs/>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sz w:val="18"/>
                <w:highlight w:val="none"/>
              </w:rPr>
            </w:pPr>
            <w:r>
              <w:rPr>
                <w:rFonts w:ascii="宋体"/>
                <w:bCs/>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highlight w:val="none"/>
              </w:rPr>
            </w:pPr>
            <w:r>
              <w:rPr>
                <w:rFonts w:ascii="黑体" w:eastAsia="黑体"/>
                <w:b/>
                <w:bCs/>
                <w:highlight w:val="none"/>
              </w:rPr>
            </w:r>
            <w:r/>
          </w:p>
        </w:tc>
        <w:tc>
          <w:tcPr>
            <w:tcW w:w="1276"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eastAsia="黑体"/>
                <w:b/>
                <w:bCs/>
                <w:highlight w:val="none"/>
              </w:rPr>
            </w:pPr>
            <w:r>
              <w:rPr>
                <w:rFonts w:ascii="黑体" w:eastAsia="黑体"/>
                <w:b/>
                <w:bCs/>
                <w:highlight w:val="none"/>
              </w:rPr>
            </w:r>
            <w:r/>
          </w:p>
        </w:tc>
        <w:tc>
          <w:tcPr>
            <w:tcW w:w="709"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c>
          <w:tcPr>
            <w:tcW w:w="939" w:type="dxa"/>
            <w:vAlign w:val="center"/>
            <w:textDirection w:val="lrTb"/>
            <w:noWrap w:val="false"/>
          </w:tcPr>
          <w:p>
            <w:pPr>
              <w:jc w:val="center"/>
              <w:rPr>
                <w:rFonts w:hint="eastAsia" w:ascii="黑体" w:hAnsi="宋体" w:eastAsia="黑体"/>
                <w:b/>
                <w:bCs/>
                <w:sz w:val="24"/>
                <w:szCs w:val="24"/>
                <w:highlight w:val="none"/>
              </w:rPr>
            </w:pPr>
            <w:r>
              <w:rPr>
                <w:rFonts w:hint="eastAsia" w:ascii="黑体" w:hAnsi="宋体" w:eastAsia="黑体"/>
                <w:b/>
                <w:bCs/>
                <w:sz w:val="24"/>
                <w:szCs w:val="24"/>
                <w:highlight w:val="none"/>
              </w:rPr>
            </w:r>
            <w:r/>
          </w:p>
        </w:tc>
      </w:tr>
    </w:tbl>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hint="eastAsia" w:ascii="宋体" w:hAnsi="宋体"/>
          <w:b/>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r>
      <w:r/>
    </w:p>
    <w:p>
      <w:pPr>
        <w:spacing w:line="400" w:lineRule="exact"/>
        <w:rPr>
          <w:rFonts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投标人为本项目提供的</w:t>
      </w:r>
      <w:r>
        <w:rPr>
          <w:rFonts w:hint="eastAsia" w:ascii="宋体"/>
          <w:bCs/>
          <w:highlight w:val="none"/>
        </w:rPr>
        <w:t xml:space="preserve">货物</w:t>
      </w:r>
      <w:r>
        <w:rPr>
          <w:rFonts w:hint="eastAsia" w:ascii="宋体"/>
          <w:bCs/>
          <w:color w:val="000000" w:themeColor="text1"/>
          <w:highlight w:val="none"/>
          <w14:textFill>
            <w14:solidFill>
              <w14:schemeClr w14:val="tx1"/>
            </w14:solidFill>
          </w14:textFill>
        </w:rPr>
        <w:t xml:space="preserve">全部由符合政策要求的中小企业</w:t>
      </w:r>
      <w:r>
        <w:rPr>
          <w:rFonts w:hint="eastAsia" w:ascii="宋体"/>
          <w:bCs/>
          <w:highlight w:val="none"/>
        </w:rPr>
        <w:t xml:space="preserve">制造</w:t>
      </w:r>
      <w:r>
        <w:rPr>
          <w:rFonts w:hint="eastAsia" w:ascii="宋体"/>
          <w:bCs/>
          <w:color w:val="000000" w:themeColor="text1"/>
          <w:highlight w:val="none"/>
          <w14:textFill>
            <w14:solidFill>
              <w14:schemeClr w14:val="tx1"/>
            </w14:solidFill>
          </w14:textFill>
        </w:rPr>
        <w:t xml:space="preserve">的，须提供按格式填写的《中小企业声明函》（</w:t>
      </w:r>
      <w:r>
        <w:rPr>
          <w:rFonts w:hint="eastAsia" w:ascii="宋体"/>
          <w:bCs/>
          <w:highlight w:val="none"/>
        </w:rPr>
        <w:t xml:space="preserve">货物）（《中小企业声明函》（货物）相应内容须与上表填列内容保持一致</w:t>
      </w:r>
      <w:r>
        <w:rPr>
          <w:rFonts w:hint="eastAsia" w:ascii="宋体"/>
          <w:bCs/>
          <w:color w:val="000000" w:themeColor="text1"/>
          <w:highlight w:val="none"/>
          <w14:textFill>
            <w14:solidFill>
              <w14:schemeClr w14:val="tx1"/>
            </w14:solidFill>
          </w14:textFill>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themeColor="text1"/>
          <w:highlight w:val="none"/>
          <w:lang w:eastAsia="zh-CN"/>
          <w14:textFill>
            <w14:solidFill>
              <w14:schemeClr w14:val="tx1"/>
            </w14:solidFill>
          </w14:textFill>
        </w:rPr>
        <w:t xml:space="preserve">无锡市教育信息化和综合服务中心</w:t>
      </w:r>
      <w:r>
        <w:rPr>
          <w:rFonts w:hint="eastAsia" w:ascii="宋体"/>
          <w:bCs/>
          <w:color w:val="000000" w:themeColor="text1"/>
          <w:highlight w:val="none"/>
          <w14:textFill>
            <w14:solidFill>
              <w14:schemeClr w14:val="tx1"/>
            </w14:solidFill>
          </w14:textFill>
        </w:rPr>
        <w:t xml:space="preserve">有权将相关内容进行公示</w:t>
      </w:r>
      <w:r>
        <w:rPr>
          <w:rFonts w:hint="eastAsia" w:ascii="宋体"/>
          <w:bCs/>
          <w:highlight w:val="none"/>
        </w:rPr>
        <w:t xml:space="preserve">；</w:t>
      </w:r>
      <w:r/>
    </w:p>
    <w:p>
      <w:pPr>
        <w:ind w:firstLine="315"/>
        <w:spacing w:line="400" w:lineRule="exact"/>
        <w:rPr>
          <w:rFonts w:asci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2</w:t>
      </w:r>
      <w:r>
        <w:rPr>
          <w:rFonts w:hint="eastAsia" w:ascii="宋体" w:hAnsi="宋体"/>
          <w:bCs/>
          <w:color w:val="000000" w:themeColor="text1"/>
          <w:highlight w:val="none"/>
          <w14:textFill>
            <w14:solidFill>
              <w14:schemeClr w14:val="tx1"/>
            </w14:solidFill>
          </w14:textFill>
        </w:rPr>
        <w:t xml:space="preserve">）投标人应当根据“采购需求”的内容在上表中详细填写</w:t>
      </w:r>
      <w:r>
        <w:rPr>
          <w:rFonts w:hint="eastAsia" w:ascii="宋体" w:hAnsi="宋体"/>
          <w:bCs/>
          <w:highlight w:val="none"/>
        </w:rPr>
        <w:t xml:space="preserve">；</w:t>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3</w:t>
      </w:r>
      <w:r>
        <w:rPr>
          <w:rFonts w:hint="eastAsia" w:ascii="宋体" w:hAnsi="宋体"/>
          <w:bCs/>
          <w:color w:val="000000" w:themeColor="text1"/>
          <w:highlight w:val="none"/>
          <w14:textFill>
            <w14:solidFill>
              <w14:schemeClr w14:val="tx1"/>
            </w14:solidFill>
          </w14:textFill>
        </w:rPr>
        <w:t xml:space="preserve">）表格不够可自行延长。</w:t>
      </w:r>
      <w:r/>
    </w:p>
    <w:p>
      <w:pPr>
        <w:jc w:val="center"/>
        <w:spacing w:line="400" w:lineRule="exact"/>
        <w:rPr>
          <w:b/>
          <w:sz w:val="30"/>
          <w:szCs w:val="30"/>
          <w:highlight w:val="none"/>
        </w:rPr>
        <w:outlineLvl w:val="0"/>
      </w:pPr>
      <w:r>
        <w:rPr>
          <w:rFonts w:hint="eastAsia" w:ascii="宋体" w:hAnsi="宋体"/>
          <w:bCs/>
          <w:highlight w:val="none"/>
        </w:rPr>
        <w:br w:type="page" w:clear="all"/>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b/>
          <w:sz w:val="30"/>
          <w:szCs w:val="30"/>
          <w:highlight w:val="none"/>
        </w:rPr>
        <w:t xml:space="preserve">十</w:t>
      </w:r>
      <w:r>
        <w:rPr>
          <w:rFonts w:hint="eastAsia"/>
          <w:b/>
          <w:sz w:val="30"/>
          <w:szCs w:val="30"/>
          <w:highlight w:val="none"/>
          <w:lang w:val="en-US" w:eastAsia="zh-CN"/>
        </w:rPr>
        <w:t xml:space="preserve">一</w:t>
      </w:r>
      <w:r>
        <w:rPr>
          <w:b/>
          <w:sz w:val="30"/>
          <w:szCs w:val="30"/>
          <w:highlight w:val="none"/>
        </w:rPr>
        <w:t xml:space="preserve">、</w:t>
      </w:r>
      <w:r>
        <w:rPr>
          <w:rFonts w:hint="eastAsia"/>
          <w:b/>
          <w:sz w:val="30"/>
          <w:szCs w:val="30"/>
          <w:highlight w:val="none"/>
        </w:rPr>
        <w:t xml:space="preserve">投标偏离表（给定格式）：</w:t>
      </w:r>
      <w:bookmarkEnd w:id="200"/>
      <w:r/>
      <w:bookmarkEnd w:id="201"/>
      <w:r/>
      <w:bookmarkEnd w:id="202"/>
      <w:r/>
      <w:r/>
    </w:p>
    <w:p>
      <w:pPr>
        <w:spacing w:line="360" w:lineRule="auto"/>
        <w:rPr>
          <w:rFonts w:hint="eastAsia"/>
          <w:b/>
          <w:color w:val="000000" w:themeColor="text1"/>
          <w:sz w:val="28"/>
          <w:szCs w:val="28"/>
          <w:highlight w:val="none"/>
          <w14:textFill>
            <w14:solidFill>
              <w14:schemeClr w14:val="tx1"/>
            </w14:solidFill>
          </w14:textFill>
        </w:rPr>
      </w:pPr>
      <w:r/>
      <w:bookmarkStart w:id="204" w:name="_Toc120614284"/>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JSZC-320200-WXJY-G2026-0005</w:t>
      </w:r>
      <w:r/>
    </w:p>
    <w:tbl>
      <w:tblPr>
        <w:tblStyle w:val="89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hint="eastAsia"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ind w:firstLine="42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ind w:firstLine="420"/>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   （3）如有技术偏离项，请于本表中列明偏离内容，如需要可自行延长，其余无偏离内容</w:t>
      </w:r>
      <w:r>
        <w:rPr>
          <w:rFonts w:hint="eastAsia" w:ascii="宋体" w:hAnsi="宋体"/>
          <w:bCs/>
          <w:color w:val="000000" w:themeColor="text1"/>
          <w:sz w:val="24"/>
          <w:szCs w:val="24"/>
          <w:highlight w:val="none"/>
          <w:lang w:eastAsia="zh-CN"/>
          <w14:textFill>
            <w14:solidFill>
              <w14:schemeClr w14:val="tx1"/>
            </w14:solidFill>
          </w14:textFill>
        </w:rPr>
        <w:t xml:space="preserve">无需</w:t>
      </w:r>
      <w:r>
        <w:rPr>
          <w:rFonts w:hint="eastAsia" w:ascii="宋体" w:hAnsi="宋体"/>
          <w:bCs/>
          <w:color w:val="000000" w:themeColor="text1"/>
          <w:sz w:val="24"/>
          <w:szCs w:val="24"/>
          <w:highlight w:val="none"/>
          <w14:textFill>
            <w14:solidFill>
              <w14:schemeClr w14:val="tx1"/>
            </w14:solidFill>
          </w14:textFill>
        </w:rPr>
        <w:t xml:space="preserve">赘述。</w:t>
      </w:r>
      <w:bookmarkEnd w:id="189"/>
      <w:r/>
      <w:bookmarkEnd w:id="190"/>
      <w:r/>
      <w:bookmarkEnd w:id="204"/>
      <w:r/>
      <w:bookmarkStart w:id="205" w:name="_格式2__法定代表人授权书"/>
      <w:r/>
      <w:bookmarkEnd w:id="205"/>
      <w:r/>
      <w:bookmarkStart w:id="206" w:name="_Hlt26671374"/>
      <w:r/>
      <w:bookmarkEnd w:id="206"/>
      <w:r/>
      <w:bookmarkStart w:id="207" w:name="_Hlt26955066"/>
      <w:r/>
      <w:bookmarkEnd w:id="207"/>
      <w:r/>
      <w:bookmarkStart w:id="208" w:name="_Hlt26609389"/>
      <w:r/>
      <w:bookmarkEnd w:id="208"/>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r>
      <w:r/>
    </w:p>
    <w:p>
      <w:pPr>
        <w:spacing w:line="360" w:lineRule="auto"/>
        <w:rPr>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十</w:t>
      </w:r>
      <w:r>
        <w:rPr>
          <w:rFonts w:hint="eastAsia"/>
          <w:b/>
          <w:color w:val="000000" w:themeColor="text1"/>
          <w:sz w:val="28"/>
          <w:szCs w:val="28"/>
          <w:highlight w:val="none"/>
          <w:lang w:val="en-US" w:eastAsia="zh-CN"/>
          <w14:textFill>
            <w14:solidFill>
              <w14:schemeClr w14:val="tx1"/>
            </w14:solidFill>
          </w14:textFill>
        </w:rPr>
        <w:t xml:space="preserve">二</w:t>
      </w:r>
      <w:r>
        <w:rPr>
          <w:rFonts w:hint="eastAsia"/>
          <w:b/>
          <w:color w:val="000000" w:themeColor="text1"/>
          <w:sz w:val="28"/>
          <w:szCs w:val="28"/>
          <w:highlight w:val="none"/>
          <w14:textFill>
            <w14:solidFill>
              <w14:schemeClr w14:val="tx1"/>
            </w14:solidFill>
          </w14:textFill>
        </w:rPr>
        <w:t xml:space="preserve">、项目人员配置清单（格式）</w:t>
      </w:r>
      <w:r/>
    </w:p>
    <w:p>
      <w:pP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JSZC-320200-WXJY-G2026-0005</w:t>
      </w:r>
      <w:r/>
    </w:p>
    <w:tbl>
      <w:tblPr>
        <w:tblStyle w:val="8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人员证书名称</w:t>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bl>
    <w:p>
      <w:pPr>
        <w:rPr>
          <w:b/>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注：1. 表格不够可自行延长。</w:t>
      </w:r>
      <w:r/>
    </w:p>
    <w:p>
      <w:pPr>
        <w:ind w:firstLine="420"/>
        <w:rPr>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highlight w:val="none"/>
        </w:rPr>
      </w:pPr>
      <w:r>
        <w:rPr>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10"/>
        <w:rFonts w:ascii="宋体" w:hAnsi="宋体"/>
      </w:rPr>
      <w:framePr w:wrap="around" w:vAnchor="text" w:hAnchor="margin" w:xAlign="center" w:y="1"/>
    </w:pPr>
    <w:r>
      <w:rPr>
        <w:rFonts w:ascii="宋体" w:hAnsi="宋体"/>
      </w:rPr>
      <w:fldChar w:fldCharType="begin"/>
    </w:r>
    <w:r>
      <w:rPr>
        <w:rStyle w:val="910"/>
        <w:rFonts w:ascii="宋体" w:hAnsi="宋体"/>
      </w:rPr>
      <w:instrText xml:space="preserve">PAGE  </w:instrText>
    </w:r>
    <w:r>
      <w:rPr>
        <w:rFonts w:ascii="宋体" w:hAnsi="宋体"/>
      </w:rPr>
      <w:fldChar w:fldCharType="separate"/>
    </w:r>
    <w:r>
      <w:rPr>
        <w:rStyle w:val="910"/>
        <w:rFonts w:ascii="宋体" w:hAnsi="宋体"/>
      </w:rPr>
      <w:t xml:space="preserve">５５</w:t>
    </w:r>
    <w:r>
      <w:rPr>
        <w:rFonts w:ascii="宋体" w:hAnsi="宋体"/>
      </w:rPr>
      <w:fldChar w:fldCharType="end"/>
    </w:r>
    <w:r/>
  </w:p>
  <w:p>
    <w:pPr>
      <w:pStyle w:val="909"/>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10"/>
      </w:rPr>
      <w:framePr w:wrap="around" w:vAnchor="text" w:hAnchor="margin" w:xAlign="center" w:y="1"/>
    </w:pPr>
    <w:r>
      <w:fldChar w:fldCharType="begin"/>
    </w:r>
    <w:r>
      <w:rPr>
        <w:rStyle w:val="910"/>
      </w:rPr>
      <w:instrText xml:space="preserve">PAGE  </w:instrText>
    </w:r>
    <w:r>
      <w:fldChar w:fldCharType="separate"/>
    </w:r>
    <w:r>
      <w:rPr>
        <w:rStyle w:val="910"/>
      </w:rPr>
      <w:t xml:space="preserve">1</w:t>
    </w:r>
    <w:r>
      <w:fldChar w:fldCharType="end"/>
    </w:r>
    <w:r/>
  </w:p>
  <w:p>
    <w:pPr>
      <w:pStyle w:val="9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3">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tabs>
          <w:tab w:val="left" w:pos="312" w:leader="none"/>
        </w:tabs>
      </w:pPr>
      <w:rPr>
        <w:rFonts w:hint="default"/>
      </w:rPr>
    </w:lvl>
    <w:lvl w:ilvl="1">
      <w:start w:val="1"/>
      <w:numFmt w:val="decimal"/>
      <w:isLgl w:val="false"/>
      <w:suff w:val="tab"/>
      <w:lvlText w:val="%1.%2."/>
      <w:lvlJc w:val="left"/>
      <w:pPr>
        <w:ind w:left="0" w:firstLine="0"/>
        <w:tabs>
          <w:tab w:val="left" w:pos="312" w:leader="none"/>
        </w:tabs>
      </w:pPr>
      <w:rPr>
        <w:rFonts w:hint="default" w:ascii="宋体" w:hAnsi="宋体" w:eastAsia="宋体" w:cs="宋体"/>
        <w:b w:val="0"/>
        <w:bCs w:val="0"/>
        <w:color w:val="auto"/>
        <w:sz w:val="24"/>
        <w:szCs w:val="24"/>
      </w:rPr>
    </w:lvl>
    <w:lvl w:ilvl="2">
      <w:start w:val="1"/>
      <w:numFmt w:val="decimal"/>
      <w:isLgl w:val="false"/>
      <w:suff w:val="tab"/>
      <w:lvlText w:val="%1.%2.%3."/>
      <w:lvlJc w:val="left"/>
      <w:pPr>
        <w:ind w:left="0" w:firstLine="283"/>
        <w:tabs>
          <w:tab w:val="left" w:pos="312" w:leader="none"/>
        </w:tabs>
      </w:pPr>
      <w:rPr>
        <w:rFonts w:hint="default"/>
      </w:rPr>
    </w:lvl>
    <w:lvl w:ilvl="3">
      <w:start w:val="1"/>
      <w:numFmt w:val="decimal"/>
      <w:isLgl w:val="false"/>
      <w:suff w:val="tab"/>
      <w:lvlText w:val="%1.%2.%3.%4."/>
      <w:lvlJc w:val="left"/>
      <w:pPr>
        <w:ind w:left="0" w:firstLine="0"/>
        <w:tabs>
          <w:tab w:val="left" w:pos="312" w:leader="none"/>
        </w:tabs>
      </w:pPr>
      <w:rPr>
        <w:rFonts w:hint="default"/>
      </w:rPr>
    </w:lvl>
    <w:lvl w:ilvl="4">
      <w:start w:val="1"/>
      <w:numFmt w:val="decimal"/>
      <w:isLgl w:val="false"/>
      <w:suff w:val="tab"/>
      <w:lvlText w:val="%1.%2.%3.%4.%5."/>
      <w:lvlJc w:val="left"/>
      <w:pPr>
        <w:ind w:left="0" w:firstLine="0"/>
        <w:tabs>
          <w:tab w:val="left" w:pos="312" w:leader="none"/>
        </w:tabs>
      </w:pPr>
      <w:rPr>
        <w:rFonts w:hint="default"/>
      </w:rPr>
    </w:lvl>
    <w:lvl w:ilvl="5">
      <w:start w:val="1"/>
      <w:numFmt w:val="decimal"/>
      <w:isLgl w:val="false"/>
      <w:suff w:val="tab"/>
      <w:lvlText w:val="%1.%2.%3.%4.%5.%6."/>
      <w:lvlJc w:val="left"/>
      <w:pPr>
        <w:ind w:left="0" w:firstLine="0"/>
        <w:tabs>
          <w:tab w:val="left" w:pos="312" w:leader="none"/>
        </w:tabs>
      </w:pPr>
      <w:rPr>
        <w:rFonts w:hint="default"/>
      </w:rPr>
    </w:lvl>
    <w:lvl w:ilvl="6">
      <w:start w:val="1"/>
      <w:numFmt w:val="decimal"/>
      <w:isLgl w:val="false"/>
      <w:suff w:val="tab"/>
      <w:lvlText w:val="%1.%2.%3.%4.%5.%6.%7."/>
      <w:lvlJc w:val="left"/>
      <w:pPr>
        <w:ind w:left="0" w:firstLine="0"/>
        <w:tabs>
          <w:tab w:val="left" w:pos="312" w:leader="none"/>
        </w:tabs>
      </w:pPr>
      <w:rPr>
        <w:rFonts w:hint="default"/>
      </w:rPr>
    </w:lvl>
    <w:lvl w:ilvl="7">
      <w:start w:val="1"/>
      <w:numFmt w:val="decimal"/>
      <w:isLgl w:val="false"/>
      <w:suff w:val="tab"/>
      <w:lvlText w:val="%1.%2.%3.%4.%5.%6.%7.%8."/>
      <w:lvlJc w:val="left"/>
      <w:pPr>
        <w:ind w:left="0" w:firstLine="0"/>
        <w:tabs>
          <w:tab w:val="left" w:pos="312" w:leader="none"/>
        </w:tabs>
      </w:pPr>
      <w:rPr>
        <w:rFonts w:hint="default"/>
      </w:rPr>
    </w:lvl>
    <w:lvl w:ilvl="8">
      <w:start w:val="1"/>
      <w:numFmt w:val="decimal"/>
      <w:isLgl w:val="false"/>
      <w:suff w:val="tab"/>
      <w:lvlText w:val="%1.%2.%3.%4.%5.%6.%7.%8.%9."/>
      <w:lvlJc w:val="left"/>
      <w:pPr>
        <w:ind w:left="0" w:firstLine="0"/>
        <w:tabs>
          <w:tab w:val="left" w:pos="312" w:leader="none"/>
        </w:tabs>
      </w:pPr>
      <w:rPr>
        <w:rFonts w:hint="default"/>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0" w:firstLine="0"/>
        <w:tabs>
          <w:tab w:val="left" w:pos="312" w:leader="none"/>
        </w:tabs>
      </w:pPr>
      <w:rPr>
        <w:rFonts w:hint="default"/>
      </w:rPr>
    </w:lvl>
    <w:lvl w:ilvl="2">
      <w:start w:val="1"/>
      <w:numFmt w:val="decimal"/>
      <w:isLgl w:val="false"/>
      <w:suff w:val="tab"/>
      <w:lvlText w:val="%1.%2.%3."/>
      <w:lvlJc w:val="left"/>
      <w:pPr>
        <w:ind w:left="0" w:firstLine="0"/>
        <w:tabs>
          <w:tab w:val="left" w:pos="312" w:leader="none"/>
        </w:tabs>
      </w:pPr>
      <w:rPr>
        <w:rFonts w:hint="default"/>
        <w:b w:val="0"/>
        <w:bCs w:val="0"/>
      </w:rPr>
    </w:lvl>
    <w:lvl w:ilvl="3">
      <w:start w:val="1"/>
      <w:numFmt w:val="decimal"/>
      <w:isLgl w:val="false"/>
      <w:suff w:val="tab"/>
      <w:lvlText w:val="%1.%2.%3.%4."/>
      <w:lvlJc w:val="left"/>
      <w:pPr>
        <w:ind w:left="0" w:firstLine="0"/>
        <w:tabs>
          <w:tab w:val="left" w:pos="312" w:leader="none"/>
        </w:tabs>
      </w:pPr>
      <w:rPr>
        <w:rFonts w:hint="default"/>
      </w:rPr>
    </w:lvl>
    <w:lvl w:ilvl="4">
      <w:start w:val="1"/>
      <w:numFmt w:val="decimal"/>
      <w:isLgl w:val="false"/>
      <w:suff w:val="tab"/>
      <w:lvlText w:val="%1.%2.%3.%4.%5."/>
      <w:lvlJc w:val="left"/>
      <w:pPr>
        <w:ind w:left="0" w:firstLine="0"/>
        <w:tabs>
          <w:tab w:val="left" w:pos="312" w:leader="none"/>
        </w:tabs>
      </w:pPr>
      <w:rPr>
        <w:rFonts w:hint="default"/>
      </w:rPr>
    </w:lvl>
    <w:lvl w:ilvl="5">
      <w:start w:val="1"/>
      <w:numFmt w:val="decimal"/>
      <w:isLgl w:val="false"/>
      <w:suff w:val="tab"/>
      <w:lvlText w:val="%1.%2.%3.%4.%5.%6."/>
      <w:lvlJc w:val="left"/>
      <w:pPr>
        <w:ind w:left="0" w:firstLine="0"/>
        <w:tabs>
          <w:tab w:val="left" w:pos="312" w:leader="none"/>
        </w:tabs>
      </w:pPr>
      <w:rPr>
        <w:rFonts w:hint="default"/>
      </w:rPr>
    </w:lvl>
    <w:lvl w:ilvl="6">
      <w:start w:val="1"/>
      <w:numFmt w:val="decimal"/>
      <w:isLgl w:val="false"/>
      <w:suff w:val="tab"/>
      <w:lvlText w:val="%1.%2.%3.%4.%5.%6.%7."/>
      <w:lvlJc w:val="left"/>
      <w:pPr>
        <w:ind w:left="0" w:firstLine="0"/>
        <w:tabs>
          <w:tab w:val="left" w:pos="312" w:leader="none"/>
        </w:tabs>
      </w:pPr>
      <w:rPr>
        <w:rFonts w:hint="default"/>
      </w:rPr>
    </w:lvl>
    <w:lvl w:ilvl="7">
      <w:start w:val="1"/>
      <w:numFmt w:val="decimal"/>
      <w:isLgl w:val="false"/>
      <w:suff w:val="tab"/>
      <w:lvlText w:val="%1.%2.%3.%4.%5.%6.%7.%8."/>
      <w:lvlJc w:val="left"/>
      <w:pPr>
        <w:ind w:left="0" w:firstLine="0"/>
        <w:tabs>
          <w:tab w:val="left" w:pos="312" w:leader="none"/>
        </w:tabs>
      </w:pPr>
      <w:rPr>
        <w:rFonts w:hint="default"/>
      </w:rPr>
    </w:lvl>
    <w:lvl w:ilvl="8">
      <w:start w:val="1"/>
      <w:numFmt w:val="decimal"/>
      <w:isLgl w:val="false"/>
      <w:suff w:val="tab"/>
      <w:lvlText w:val="%1.%2.%3.%4.%5.%6.%7.%8.%9."/>
      <w:lvlJc w:val="left"/>
      <w:pPr>
        <w:ind w:left="0" w:firstLine="0"/>
        <w:tabs>
          <w:tab w:val="left" w:pos="312" w:leader="none"/>
        </w:tabs>
      </w:pPr>
      <w:rPr>
        <w:rFonts w:hint="default"/>
      </w:rPr>
    </w:lvl>
  </w:abstractNum>
  <w:abstractNum w:abstractNumId="6">
    <w:multiLevelType w:val="hybridMultilevel"/>
    <w:lvl w:ilvl="0">
      <w:start w:val="1"/>
      <w:numFmt w:val="decimal"/>
      <w:isLgl w:val="false"/>
      <w:suff w:val="tab"/>
      <w:lvlText w:val="%1."/>
      <w:lvlJc w:val="left"/>
      <w:pPr>
        <w:ind w:left="432" w:hanging="432"/>
      </w:pPr>
      <w:rPr>
        <w:rFonts w:hint="default"/>
      </w:rPr>
    </w:lvl>
    <w:lvl w:ilvl="1">
      <w:start w:val="1"/>
      <w:numFmt w:val="decimal"/>
      <w:pStyle w:val="888"/>
      <w:isLgl w:val="false"/>
      <w:suff w:val="tab"/>
      <w:lvlText w:val="%1.%2."/>
      <w:lvlJc w:val="left"/>
      <w:pPr>
        <w:ind w:left="575" w:hanging="575"/>
      </w:pPr>
      <w:rPr>
        <w:rFonts w:hint="default" w:ascii="宋体" w:hAnsi="宋体" w:eastAsia="宋体" w:cs="宋体"/>
        <w:sz w:val="24"/>
        <w:szCs w:val="24"/>
      </w:rPr>
    </w:lvl>
    <w:lvl w:ilvl="2">
      <w:start w:val="1"/>
      <w:numFmt w:val="decimal"/>
      <w:pStyle w:val="889"/>
      <w:isLgl w:val="false"/>
      <w:suff w:val="tab"/>
      <w:lvlText w:val="%1.%2.%3."/>
      <w:lvlJc w:val="left"/>
      <w:pPr>
        <w:ind w:left="720" w:hanging="720"/>
      </w:pPr>
      <w:rPr>
        <w:rFonts w:hint="default"/>
        <w:b w:val="0"/>
        <w:bCs w:val="0"/>
        <w:sz w:val="24"/>
        <w:szCs w:val="24"/>
      </w:rPr>
    </w:lvl>
    <w:lvl w:ilvl="3">
      <w:start w:val="1"/>
      <w:numFmt w:val="decimal"/>
      <w:isLgl w:val="false"/>
      <w:suff w:val="tab"/>
      <w:lvlText w:val="%1.%2.%3.%4."/>
      <w:lvlJc w:val="left"/>
      <w:pPr>
        <w:ind w:left="864" w:hanging="864"/>
      </w:pPr>
      <w:rPr>
        <w:rFonts w:hint="default"/>
      </w:rPr>
    </w:lvl>
    <w:lvl w:ilvl="4">
      <w:start w:val="1"/>
      <w:numFmt w:val="decimal"/>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0" w:firstLine="0"/>
        <w:tabs>
          <w:tab w:val="left" w:pos="312" w:leader="none"/>
        </w:tabs>
      </w:pPr>
      <w:rPr>
        <w:rFonts w:hint="default"/>
      </w:rPr>
    </w:lvl>
    <w:lvl w:ilvl="2">
      <w:start w:val="1"/>
      <w:numFmt w:val="decimal"/>
      <w:isLgl w:val="false"/>
      <w:suff w:val="tab"/>
      <w:lvlText w:val="%1.%2.%3."/>
      <w:lvlJc w:val="left"/>
      <w:pPr>
        <w:ind w:left="0" w:firstLine="0"/>
        <w:tabs>
          <w:tab w:val="left" w:pos="312" w:leader="none"/>
        </w:tabs>
      </w:pPr>
      <w:rPr>
        <w:rFonts w:hint="default"/>
      </w:rPr>
    </w:lvl>
    <w:lvl w:ilvl="3">
      <w:start w:val="1"/>
      <w:numFmt w:val="decimal"/>
      <w:isLgl w:val="false"/>
      <w:suff w:val="tab"/>
      <w:lvlText w:val="%1.%2.%3.%4."/>
      <w:lvlJc w:val="left"/>
      <w:pPr>
        <w:ind w:left="0" w:firstLine="0"/>
        <w:tabs>
          <w:tab w:val="left" w:pos="312" w:leader="none"/>
        </w:tabs>
      </w:pPr>
      <w:rPr>
        <w:rFonts w:hint="default"/>
      </w:rPr>
    </w:lvl>
    <w:lvl w:ilvl="4">
      <w:start w:val="1"/>
      <w:numFmt w:val="decimal"/>
      <w:isLgl w:val="false"/>
      <w:suff w:val="tab"/>
      <w:lvlText w:val="%1.%2.%3.%4.%5."/>
      <w:lvlJc w:val="left"/>
      <w:pPr>
        <w:ind w:left="0" w:firstLine="0"/>
        <w:tabs>
          <w:tab w:val="left" w:pos="312" w:leader="none"/>
        </w:tabs>
      </w:pPr>
      <w:rPr>
        <w:rFonts w:hint="default"/>
      </w:rPr>
    </w:lvl>
    <w:lvl w:ilvl="5">
      <w:start w:val="1"/>
      <w:numFmt w:val="decimal"/>
      <w:isLgl w:val="false"/>
      <w:suff w:val="tab"/>
      <w:lvlText w:val="%1.%2.%3.%4.%5.%6."/>
      <w:lvlJc w:val="left"/>
      <w:pPr>
        <w:ind w:left="0" w:firstLine="0"/>
        <w:tabs>
          <w:tab w:val="left" w:pos="312" w:leader="none"/>
        </w:tabs>
      </w:pPr>
      <w:rPr>
        <w:rFonts w:hint="default"/>
      </w:rPr>
    </w:lvl>
    <w:lvl w:ilvl="6">
      <w:start w:val="1"/>
      <w:numFmt w:val="decimal"/>
      <w:isLgl w:val="false"/>
      <w:suff w:val="tab"/>
      <w:lvlText w:val="%1.%2.%3.%4.%5.%6.%7."/>
      <w:lvlJc w:val="left"/>
      <w:pPr>
        <w:ind w:left="0" w:firstLine="0"/>
        <w:tabs>
          <w:tab w:val="left" w:pos="312" w:leader="none"/>
        </w:tabs>
      </w:pPr>
      <w:rPr>
        <w:rFonts w:hint="default"/>
      </w:rPr>
    </w:lvl>
    <w:lvl w:ilvl="7">
      <w:start w:val="1"/>
      <w:numFmt w:val="decimal"/>
      <w:isLgl w:val="false"/>
      <w:suff w:val="tab"/>
      <w:lvlText w:val="%1.%2.%3.%4.%5.%6.%7.%8."/>
      <w:lvlJc w:val="left"/>
      <w:pPr>
        <w:ind w:left="0" w:firstLine="0"/>
        <w:tabs>
          <w:tab w:val="left" w:pos="312" w:leader="none"/>
        </w:tabs>
      </w:pPr>
      <w:rPr>
        <w:rFonts w:hint="default"/>
      </w:rPr>
    </w:lvl>
    <w:lvl w:ilvl="8">
      <w:start w:val="1"/>
      <w:numFmt w:val="decimal"/>
      <w:isLgl w:val="false"/>
      <w:suff w:val="tab"/>
      <w:lvlText w:val="%1.%2.%3.%4.%5.%6.%7.%8.%9."/>
      <w:lvlJc w:val="left"/>
      <w:pPr>
        <w:ind w:left="0" w:firstLine="0"/>
        <w:tabs>
          <w:tab w:val="left" w:pos="312" w:leader="none"/>
        </w:tabs>
      </w:pPr>
      <w:rPr>
        <w:rFonts w:hint="default"/>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tabs>
          <w:tab w:val="left" w:pos="0" w:leader="none"/>
        </w:tabs>
      </w:pPr>
      <w:rPr>
        <w:rFonts w:hint="default"/>
      </w:rPr>
    </w:lvl>
    <w:lvl w:ilvl="1">
      <w:start w:val="1"/>
      <w:numFmt w:val="decimal"/>
      <w:isLgl w:val="false"/>
      <w:suff w:val="space"/>
      <w:lvlText w:val="%1.%2."/>
      <w:lvlJc w:val="left"/>
      <w:pPr>
        <w:ind w:left="0" w:firstLine="0"/>
      </w:pPr>
      <w:rPr>
        <w:rFonts w:hint="default"/>
      </w:rPr>
    </w:lvl>
    <w:lvl w:ilvl="2">
      <w:start w:val="1"/>
      <w:numFmt w:val="decimal"/>
      <w:isLgl w:val="false"/>
      <w:suff w:val="tab"/>
      <w:lvlText w:val="%1.%2.%3."/>
      <w:lvlJc w:val="left"/>
      <w:pPr>
        <w:ind w:left="0" w:firstLine="0"/>
        <w:tabs>
          <w:tab w:val="left" w:pos="420" w:leader="none"/>
        </w:tabs>
      </w:pPr>
      <w:rPr>
        <w:rFonts w:hint="default"/>
      </w:rPr>
    </w:lvl>
    <w:lvl w:ilvl="3">
      <w:start w:val="1"/>
      <w:numFmt w:val="decimal"/>
      <w:isLgl w:val="false"/>
      <w:suff w:val="tab"/>
      <w:lvlText w:val="%1.%2.%3.%4."/>
      <w:lvlJc w:val="left"/>
      <w:pPr>
        <w:ind w:left="0" w:firstLine="0"/>
        <w:tabs>
          <w:tab w:val="left" w:pos="312" w:leader="none"/>
        </w:tabs>
      </w:pPr>
      <w:rPr>
        <w:rFonts w:hint="default"/>
      </w:rPr>
    </w:lvl>
    <w:lvl w:ilvl="4">
      <w:start w:val="1"/>
      <w:numFmt w:val="decimal"/>
      <w:isLgl w:val="false"/>
      <w:suff w:val="tab"/>
      <w:lvlText w:val="%1.%2.%3.%4.%5."/>
      <w:lvlJc w:val="left"/>
      <w:pPr>
        <w:ind w:left="0" w:firstLine="0"/>
        <w:tabs>
          <w:tab w:val="left" w:pos="312" w:leader="none"/>
        </w:tabs>
      </w:pPr>
      <w:rPr>
        <w:rFonts w:hint="default"/>
      </w:rPr>
    </w:lvl>
    <w:lvl w:ilvl="5">
      <w:start w:val="1"/>
      <w:numFmt w:val="decimal"/>
      <w:isLgl w:val="false"/>
      <w:suff w:val="tab"/>
      <w:lvlText w:val="%1.%2.%3.%4.%5.%6."/>
      <w:lvlJc w:val="left"/>
      <w:pPr>
        <w:ind w:left="0" w:firstLine="0"/>
        <w:tabs>
          <w:tab w:val="left" w:pos="312" w:leader="none"/>
        </w:tabs>
      </w:pPr>
      <w:rPr>
        <w:rFonts w:hint="default"/>
      </w:rPr>
    </w:lvl>
    <w:lvl w:ilvl="6">
      <w:start w:val="1"/>
      <w:numFmt w:val="decimal"/>
      <w:isLgl w:val="false"/>
      <w:suff w:val="tab"/>
      <w:lvlText w:val="%1.%2.%3.%4.%5.%6.%7."/>
      <w:lvlJc w:val="left"/>
      <w:pPr>
        <w:ind w:left="0" w:firstLine="0"/>
        <w:tabs>
          <w:tab w:val="left" w:pos="312" w:leader="none"/>
        </w:tabs>
      </w:pPr>
      <w:rPr>
        <w:rFonts w:hint="default"/>
      </w:rPr>
    </w:lvl>
    <w:lvl w:ilvl="7">
      <w:start w:val="1"/>
      <w:numFmt w:val="decimal"/>
      <w:isLgl w:val="false"/>
      <w:suff w:val="tab"/>
      <w:lvlText w:val="%1.%2.%3.%4.%5.%6.%7.%8."/>
      <w:lvlJc w:val="left"/>
      <w:pPr>
        <w:ind w:left="0" w:firstLine="0"/>
        <w:tabs>
          <w:tab w:val="left" w:pos="312" w:leader="none"/>
        </w:tabs>
      </w:pPr>
      <w:rPr>
        <w:rFonts w:hint="default"/>
      </w:rPr>
    </w:lvl>
    <w:lvl w:ilvl="8">
      <w:start w:val="1"/>
      <w:numFmt w:val="decimal"/>
      <w:isLgl w:val="false"/>
      <w:suff w:val="tab"/>
      <w:lvlText w:val="%1.%2.%3.%4.%5.%6.%7.%8.%9."/>
      <w:lvlJc w:val="left"/>
      <w:pPr>
        <w:ind w:left="0" w:firstLine="0"/>
        <w:tabs>
          <w:tab w:val="left" w:pos="312" w:leader="none"/>
        </w:tabs>
      </w:pPr>
      <w:rPr>
        <w:rFonts w:hint="default"/>
      </w:rPr>
    </w:lvl>
  </w:abstractNum>
  <w:abstractNum w:abstractNumId="1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4">
    <w:multiLevelType w:val="hybridMultilevel"/>
    <w:lvl w:ilvl="0">
      <w:start w:val="1"/>
      <w:numFmt w:val="decimal"/>
      <w:isLgl w:val="false"/>
      <w:suff w:val="tab"/>
      <w:lvlText w:val="%1."/>
      <w:lvlJc w:val="left"/>
      <w:pPr>
        <w:ind w:left="425" w:hanging="425"/>
      </w:pPr>
      <w:rPr>
        <w:rFonts w:hint="default"/>
        <w:color w:val="auto"/>
      </w:rPr>
    </w:lvl>
    <w:lvl w:ilvl="1">
      <w:start w:val="1"/>
      <w:numFmt w:val="decimal"/>
      <w:isLgl w:val="false"/>
      <w:suff w:val="space"/>
      <w:lvlText w:val="%1.%2."/>
      <w:lvlJc w:val="left"/>
      <w:pPr>
        <w:ind w:left="0" w:firstLine="0"/>
        <w:tabs>
          <w:tab w:val="left" w:pos="420" w:leader="none"/>
        </w:tabs>
      </w:pPr>
      <w:rPr>
        <w:rFonts w:hint="default" w:ascii="宋体" w:hAnsi="宋体" w:eastAsia="宋体" w:cs="宋体"/>
        <w:sz w:val="24"/>
        <w:szCs w:val="24"/>
      </w:rPr>
    </w:lvl>
    <w:lvl w:ilvl="2">
      <w:start w:val="1"/>
      <w:numFmt w:val="decimal"/>
      <w:isLgl w:val="false"/>
      <w:suff w:val="tab"/>
      <w:lvlText w:val="%1.%2.%3."/>
      <w:lvlJc w:val="left"/>
      <w:pPr>
        <w:ind w:left="0" w:firstLine="0"/>
        <w:tabs>
          <w:tab w:val="left" w:pos="420" w:leader="none"/>
        </w:tabs>
      </w:pPr>
      <w:rPr>
        <w:rFonts w:hint="default"/>
        <w:b w:val="0"/>
        <w:bCs w:val="0"/>
      </w:rPr>
    </w:lvl>
    <w:lvl w:ilvl="3">
      <w:start w:val="1"/>
      <w:numFmt w:val="decimal"/>
      <w:isLgl w:val="false"/>
      <w:suff w:val="tab"/>
      <w:lvlText w:val="%1.%2.%3.%4."/>
      <w:lvlJc w:val="left"/>
      <w:pPr>
        <w:ind w:left="0" w:firstLine="0"/>
        <w:tabs>
          <w:tab w:val="left" w:pos="312" w:leader="none"/>
        </w:tabs>
      </w:pPr>
      <w:rPr>
        <w:rFonts w:hint="default"/>
      </w:rPr>
    </w:lvl>
    <w:lvl w:ilvl="4">
      <w:start w:val="1"/>
      <w:numFmt w:val="decimal"/>
      <w:isLgl w:val="false"/>
      <w:suff w:val="tab"/>
      <w:lvlText w:val="%1.%2.%3.%4.%5."/>
      <w:lvlJc w:val="left"/>
      <w:pPr>
        <w:ind w:left="0" w:firstLine="0"/>
        <w:tabs>
          <w:tab w:val="left" w:pos="312" w:leader="none"/>
        </w:tabs>
      </w:pPr>
      <w:rPr>
        <w:rFonts w:hint="default"/>
      </w:rPr>
    </w:lvl>
    <w:lvl w:ilvl="5">
      <w:start w:val="1"/>
      <w:numFmt w:val="decimal"/>
      <w:isLgl w:val="false"/>
      <w:suff w:val="tab"/>
      <w:lvlText w:val="%1.%2.%3.%4.%5.%6."/>
      <w:lvlJc w:val="left"/>
      <w:pPr>
        <w:ind w:left="0" w:firstLine="0"/>
        <w:tabs>
          <w:tab w:val="left" w:pos="312" w:leader="none"/>
        </w:tabs>
      </w:pPr>
      <w:rPr>
        <w:rFonts w:hint="default"/>
      </w:rPr>
    </w:lvl>
    <w:lvl w:ilvl="6">
      <w:start w:val="1"/>
      <w:numFmt w:val="decimal"/>
      <w:isLgl w:val="false"/>
      <w:suff w:val="tab"/>
      <w:lvlText w:val="%1.%2.%3.%4.%5.%6.%7."/>
      <w:lvlJc w:val="left"/>
      <w:pPr>
        <w:ind w:left="0" w:firstLine="0"/>
        <w:tabs>
          <w:tab w:val="left" w:pos="312" w:leader="none"/>
        </w:tabs>
      </w:pPr>
      <w:rPr>
        <w:rFonts w:hint="default"/>
      </w:rPr>
    </w:lvl>
    <w:lvl w:ilvl="7">
      <w:start w:val="1"/>
      <w:numFmt w:val="decimal"/>
      <w:isLgl w:val="false"/>
      <w:suff w:val="tab"/>
      <w:lvlText w:val="%1.%2.%3.%4.%5.%6.%7.%8."/>
      <w:lvlJc w:val="left"/>
      <w:pPr>
        <w:ind w:left="0" w:firstLine="0"/>
        <w:tabs>
          <w:tab w:val="left" w:pos="312" w:leader="none"/>
        </w:tabs>
      </w:pPr>
      <w:rPr>
        <w:rFonts w:hint="default"/>
      </w:rPr>
    </w:lvl>
    <w:lvl w:ilvl="8">
      <w:start w:val="1"/>
      <w:numFmt w:val="decimal"/>
      <w:isLgl w:val="false"/>
      <w:suff w:val="tab"/>
      <w:lvlText w:val="%1.%2.%3.%4.%5.%6.%7.%8.%9."/>
      <w:lvlJc w:val="left"/>
      <w:pPr>
        <w:ind w:left="0" w:firstLine="0"/>
        <w:tabs>
          <w:tab w:val="left" w:pos="312" w:leader="none"/>
        </w:tabs>
      </w:pPr>
      <w:rPr>
        <w:rFonts w:hint="default"/>
      </w:rPr>
    </w:lvl>
  </w:abstractNum>
  <w:abstractNum w:abstractNumId="15">
    <w:multiLevelType w:val="hybridMultilevel"/>
    <w:lvl w:ilvl="0">
      <w:start w:val="1"/>
      <w:numFmt w:val="decimal"/>
      <w:isLgl w:val="false"/>
      <w:suff w:val="tab"/>
      <w:lvlText w:val="%1."/>
      <w:lvlJc w:val="left"/>
      <w:pPr>
        <w:tabs>
          <w:tab w:val="left" w:pos="420" w:leader="none"/>
        </w:tabs>
      </w:pPr>
      <w:rPr>
        <w:rFonts w:hint="default"/>
      </w:rPr>
    </w:lvl>
    <w:lvl w:ilvl="1">
      <w:start w:val="1"/>
      <w:numFmt w:val="decimal"/>
      <w:isLgl w:val="false"/>
      <w:suff w:val="space"/>
      <w:lvlText w:val="%1.%2."/>
      <w:lvlJc w:val="left"/>
      <w:pPr>
        <w:ind w:left="0" w:firstLine="0"/>
        <w:tabs>
          <w:tab w:val="left" w:pos="420" w:leader="none"/>
        </w:tabs>
      </w:pPr>
      <w:rPr>
        <w:rFonts w:hint="default" w:ascii="宋体" w:hAnsi="宋体" w:eastAsia="宋体" w:cs="宋体"/>
        <w:color w:val="auto"/>
        <w:sz w:val="24"/>
        <w:szCs w:val="24"/>
      </w:rPr>
    </w:lvl>
    <w:lvl w:ilvl="2">
      <w:start w:val="1"/>
      <w:numFmt w:val="decimal"/>
      <w:isLgl w:val="false"/>
      <w:suff w:val="tab"/>
      <w:lvlText w:val="%1.%2.%3."/>
      <w:lvlJc w:val="left"/>
      <w:pPr>
        <w:ind w:left="0" w:firstLine="0"/>
        <w:tabs>
          <w:tab w:val="left" w:pos="420" w:leader="none"/>
        </w:tabs>
      </w:pPr>
      <w:rPr>
        <w:rFonts w:hint="default" w:ascii="宋体" w:hAnsi="宋体" w:eastAsia="宋体" w:cs="宋体"/>
        <w:b w:val="0"/>
        <w:bCs w:val="0"/>
        <w:sz w:val="24"/>
        <w:szCs w:val="24"/>
      </w:rPr>
    </w:lvl>
    <w:lvl w:ilvl="3">
      <w:start w:val="1"/>
      <w:numFmt w:val="decimal"/>
      <w:isLgl w:val="false"/>
      <w:suff w:val="tab"/>
      <w:lvlText w:val="%1.%2.%3.%4."/>
      <w:lvlJc w:val="left"/>
      <w:pPr>
        <w:ind w:left="0" w:firstLine="0"/>
        <w:tabs>
          <w:tab w:val="left" w:pos="312" w:leader="none"/>
        </w:tabs>
      </w:pPr>
      <w:rPr>
        <w:rFonts w:hint="default"/>
      </w:rPr>
    </w:lvl>
    <w:lvl w:ilvl="4">
      <w:start w:val="1"/>
      <w:numFmt w:val="decimal"/>
      <w:isLgl w:val="false"/>
      <w:suff w:val="tab"/>
      <w:lvlText w:val="%1.%2.%3.%4.%5."/>
      <w:lvlJc w:val="left"/>
      <w:pPr>
        <w:ind w:left="0" w:firstLine="0"/>
        <w:tabs>
          <w:tab w:val="left" w:pos="312" w:leader="none"/>
        </w:tabs>
      </w:pPr>
      <w:rPr>
        <w:rFonts w:hint="default"/>
      </w:rPr>
    </w:lvl>
    <w:lvl w:ilvl="5">
      <w:start w:val="1"/>
      <w:numFmt w:val="decimal"/>
      <w:isLgl w:val="false"/>
      <w:suff w:val="tab"/>
      <w:lvlText w:val="%1.%2.%3.%4.%5.%6."/>
      <w:lvlJc w:val="left"/>
      <w:pPr>
        <w:ind w:left="0" w:firstLine="0"/>
        <w:tabs>
          <w:tab w:val="left" w:pos="312" w:leader="none"/>
        </w:tabs>
      </w:pPr>
      <w:rPr>
        <w:rFonts w:hint="default"/>
      </w:rPr>
    </w:lvl>
    <w:lvl w:ilvl="6">
      <w:start w:val="1"/>
      <w:numFmt w:val="decimal"/>
      <w:isLgl w:val="false"/>
      <w:suff w:val="tab"/>
      <w:lvlText w:val="%1.%2.%3.%4.%5.%6.%7."/>
      <w:lvlJc w:val="left"/>
      <w:pPr>
        <w:ind w:left="0" w:firstLine="0"/>
        <w:tabs>
          <w:tab w:val="left" w:pos="312" w:leader="none"/>
        </w:tabs>
      </w:pPr>
      <w:rPr>
        <w:rFonts w:hint="default"/>
      </w:rPr>
    </w:lvl>
    <w:lvl w:ilvl="7">
      <w:start w:val="1"/>
      <w:numFmt w:val="decimal"/>
      <w:isLgl w:val="false"/>
      <w:suff w:val="tab"/>
      <w:lvlText w:val="%1.%2.%3.%4.%5.%6.%7.%8."/>
      <w:lvlJc w:val="left"/>
      <w:pPr>
        <w:ind w:left="0" w:firstLine="0"/>
        <w:tabs>
          <w:tab w:val="left" w:pos="312" w:leader="none"/>
        </w:tabs>
      </w:pPr>
      <w:rPr>
        <w:rFonts w:hint="default"/>
      </w:rPr>
    </w:lvl>
    <w:lvl w:ilvl="8">
      <w:start w:val="1"/>
      <w:numFmt w:val="decimal"/>
      <w:isLgl w:val="false"/>
      <w:suff w:val="tab"/>
      <w:lvlText w:val="%1.%2.%3.%4.%5.%6.%7.%8.%9."/>
      <w:lvlJc w:val="left"/>
      <w:pPr>
        <w:ind w:left="0" w:firstLine="0"/>
        <w:tabs>
          <w:tab w:val="left" w:pos="312" w:leader="none"/>
        </w:tabs>
      </w:pPr>
      <w:rPr>
        <w:rFonts w:hint="default"/>
      </w:rPr>
    </w:lvl>
  </w:abstractNum>
  <w:abstractNum w:abstractNumId="16">
    <w:multiLevelType w:val="hybridMultilevel"/>
    <w:lvl w:ilvl="0">
      <w:start w:val="1"/>
      <w:numFmt w:val="decimal"/>
      <w:isLgl w:val="false"/>
      <w:suff w:val="tab"/>
      <w:lvlText w:val="%1."/>
      <w:lvlJc w:val="left"/>
      <w:pPr>
        <w:ind w:left="0" w:firstLine="0"/>
        <w:tabs>
          <w:tab w:val="left" w:pos="312" w:leader="none"/>
        </w:tabs>
      </w:pPr>
      <w:rPr>
        <w:rFonts w:hint="default"/>
      </w:rPr>
    </w:lvl>
    <w:lvl w:ilvl="1">
      <w:start w:val="1"/>
      <w:numFmt w:val="decimal"/>
      <w:isLgl w:val="false"/>
      <w:suff w:val="space"/>
      <w:lvlText w:val="%1.%2."/>
      <w:lvlJc w:val="left"/>
      <w:pPr>
        <w:ind w:left="0" w:firstLine="0"/>
      </w:pPr>
      <w:rPr>
        <w:rFonts w:hint="default"/>
      </w:rPr>
    </w:lvl>
    <w:lvl w:ilvl="2">
      <w:start w:val="1"/>
      <w:numFmt w:val="decimal"/>
      <w:isLgl w:val="false"/>
      <w:suff w:val="tab"/>
      <w:lvlText w:val="%1.%2.%3."/>
      <w:lvlJc w:val="left"/>
      <w:pPr>
        <w:ind w:left="0" w:firstLine="0"/>
        <w:tabs>
          <w:tab w:val="left" w:pos="312" w:leader="none"/>
        </w:tabs>
      </w:pPr>
      <w:rPr>
        <w:rFonts w:hint="default"/>
      </w:rPr>
    </w:lvl>
    <w:lvl w:ilvl="3">
      <w:start w:val="1"/>
      <w:numFmt w:val="decimal"/>
      <w:isLgl w:val="false"/>
      <w:suff w:val="tab"/>
      <w:lvlText w:val="%1.%2.%3.%4."/>
      <w:lvlJc w:val="left"/>
      <w:pPr>
        <w:ind w:left="0" w:firstLine="0"/>
        <w:tabs>
          <w:tab w:val="left" w:pos="312" w:leader="none"/>
        </w:tabs>
      </w:pPr>
      <w:rPr>
        <w:rFonts w:hint="default"/>
      </w:rPr>
    </w:lvl>
    <w:lvl w:ilvl="4">
      <w:start w:val="1"/>
      <w:numFmt w:val="decimal"/>
      <w:isLgl w:val="false"/>
      <w:suff w:val="tab"/>
      <w:lvlText w:val="%1.%2.%3.%4.%5."/>
      <w:lvlJc w:val="left"/>
      <w:pPr>
        <w:ind w:left="0" w:firstLine="0"/>
        <w:tabs>
          <w:tab w:val="left" w:pos="312" w:leader="none"/>
        </w:tabs>
      </w:pPr>
      <w:rPr>
        <w:rFonts w:hint="default"/>
      </w:rPr>
    </w:lvl>
    <w:lvl w:ilvl="5">
      <w:start w:val="1"/>
      <w:numFmt w:val="decimal"/>
      <w:isLgl w:val="false"/>
      <w:suff w:val="tab"/>
      <w:lvlText w:val="%1.%2.%3.%4.%5.%6."/>
      <w:lvlJc w:val="left"/>
      <w:pPr>
        <w:ind w:left="0" w:firstLine="0"/>
        <w:tabs>
          <w:tab w:val="left" w:pos="312" w:leader="none"/>
        </w:tabs>
      </w:pPr>
      <w:rPr>
        <w:rFonts w:hint="default"/>
      </w:rPr>
    </w:lvl>
    <w:lvl w:ilvl="6">
      <w:start w:val="1"/>
      <w:numFmt w:val="decimal"/>
      <w:isLgl w:val="false"/>
      <w:suff w:val="tab"/>
      <w:lvlText w:val="%1.%2.%3.%4.%5.%6.%7."/>
      <w:lvlJc w:val="left"/>
      <w:pPr>
        <w:ind w:left="0" w:firstLine="0"/>
        <w:tabs>
          <w:tab w:val="left" w:pos="312" w:leader="none"/>
        </w:tabs>
      </w:pPr>
      <w:rPr>
        <w:rFonts w:hint="default"/>
      </w:rPr>
    </w:lvl>
    <w:lvl w:ilvl="7">
      <w:start w:val="1"/>
      <w:numFmt w:val="decimal"/>
      <w:isLgl w:val="false"/>
      <w:suff w:val="tab"/>
      <w:lvlText w:val="%1.%2.%3.%4.%5.%6.%7.%8."/>
      <w:lvlJc w:val="left"/>
      <w:pPr>
        <w:ind w:left="0" w:firstLine="0"/>
        <w:tabs>
          <w:tab w:val="left" w:pos="312" w:leader="none"/>
        </w:tabs>
      </w:pPr>
      <w:rPr>
        <w:rFonts w:hint="default"/>
      </w:rPr>
    </w:lvl>
    <w:lvl w:ilvl="8">
      <w:start w:val="1"/>
      <w:numFmt w:val="decimal"/>
      <w:isLgl w:val="false"/>
      <w:suff w:val="tab"/>
      <w:lvlText w:val="%1.%2.%3.%4.%5.%6.%7.%8.%9."/>
      <w:lvlJc w:val="left"/>
      <w:pPr>
        <w:ind w:left="0" w:firstLine="0"/>
        <w:tabs>
          <w:tab w:val="left" w:pos="312" w:leader="none"/>
        </w:tabs>
      </w:pPr>
      <w:rPr>
        <w:rFonts w:hint="default"/>
      </w:rPr>
    </w:lvl>
  </w:abstractNum>
  <w:num w:numId="1">
    <w:abstractNumId w:val="6"/>
  </w:num>
  <w:num w:numId="2">
    <w:abstractNumId w:val="1"/>
  </w:num>
  <w:num w:numId="3">
    <w:abstractNumId w:val="3"/>
  </w:num>
  <w:num w:numId="4">
    <w:abstractNumId w:val="7"/>
  </w:num>
  <w:num w:numId="5">
    <w:abstractNumId w:val="5"/>
  </w:num>
  <w:num w:numId="6">
    <w:abstractNumId w:val="9"/>
  </w:num>
  <w:num w:numId="7">
    <w:abstractNumId w:val="16"/>
  </w:num>
  <w:num w:numId="8">
    <w:abstractNumId w:val="10"/>
  </w:num>
  <w:num w:numId="9">
    <w:abstractNumId w:val="4"/>
  </w:num>
  <w:num w:numId="10">
    <w:abstractNumId w:val="14"/>
  </w:num>
  <w:num w:numId="11">
    <w:abstractNumId w:val="15"/>
  </w:num>
  <w:num w:numId="12">
    <w:abstractNumId w:val="2"/>
  </w:num>
  <w:num w:numId="13">
    <w:abstractNumId w:val="11"/>
  </w:num>
  <w:num w:numId="14">
    <w:abstractNumId w:val="8"/>
  </w:num>
  <w:num w:numId="15">
    <w:abstractNumId w:val="0"/>
  </w:num>
  <w:num w:numId="16">
    <w:abstractNumId w:val="12"/>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Heading 1"/>
    <w:basedOn w:val="887"/>
    <w:next w:val="887"/>
    <w:link w:val="715"/>
    <w:uiPriority w:val="9"/>
    <w:qFormat/>
    <w:pPr>
      <w:keepLines/>
      <w:keepNext/>
      <w:spacing w:before="480" w:after="200"/>
      <w:outlineLvl w:val="0"/>
    </w:pPr>
    <w:rPr>
      <w:rFonts w:ascii="Arial" w:hAnsi="Arial" w:eastAsia="Arial" w:cs="Arial"/>
      <w:sz w:val="40"/>
      <w:szCs w:val="40"/>
    </w:rPr>
  </w:style>
  <w:style w:type="character" w:styleId="715">
    <w:name w:val="Heading 1 Char"/>
    <w:basedOn w:val="892"/>
    <w:link w:val="714"/>
    <w:uiPriority w:val="9"/>
    <w:rPr>
      <w:rFonts w:ascii="Arial" w:hAnsi="Arial" w:eastAsia="Arial" w:cs="Arial"/>
      <w:sz w:val="40"/>
      <w:szCs w:val="40"/>
    </w:rPr>
  </w:style>
  <w:style w:type="character" w:styleId="716">
    <w:name w:val="Heading 2 Char"/>
    <w:basedOn w:val="892"/>
    <w:link w:val="888"/>
    <w:uiPriority w:val="9"/>
    <w:rPr>
      <w:rFonts w:ascii="Arial" w:hAnsi="Arial" w:eastAsia="Arial" w:cs="Arial"/>
      <w:sz w:val="34"/>
    </w:rPr>
  </w:style>
  <w:style w:type="character" w:styleId="717">
    <w:name w:val="Heading 3 Char"/>
    <w:basedOn w:val="892"/>
    <w:link w:val="889"/>
    <w:uiPriority w:val="9"/>
    <w:rPr>
      <w:rFonts w:ascii="Arial" w:hAnsi="Arial" w:eastAsia="Arial" w:cs="Arial"/>
      <w:sz w:val="30"/>
      <w:szCs w:val="30"/>
    </w:rPr>
  </w:style>
  <w:style w:type="paragraph" w:styleId="718">
    <w:name w:val="Heading 4"/>
    <w:basedOn w:val="887"/>
    <w:next w:val="887"/>
    <w:link w:val="719"/>
    <w:uiPriority w:val="9"/>
    <w:unhideWhenUsed/>
    <w:qFormat/>
    <w:pPr>
      <w:keepLines/>
      <w:keepNext/>
      <w:spacing w:before="320" w:after="200"/>
      <w:outlineLvl w:val="3"/>
    </w:pPr>
    <w:rPr>
      <w:rFonts w:ascii="Arial" w:hAnsi="Arial" w:eastAsia="Arial" w:cs="Arial"/>
      <w:b/>
      <w:bCs/>
      <w:sz w:val="26"/>
      <w:szCs w:val="26"/>
    </w:rPr>
  </w:style>
  <w:style w:type="character" w:styleId="719">
    <w:name w:val="Heading 4 Char"/>
    <w:basedOn w:val="892"/>
    <w:link w:val="718"/>
    <w:uiPriority w:val="9"/>
    <w:rPr>
      <w:rFonts w:ascii="Arial" w:hAnsi="Arial" w:eastAsia="Arial" w:cs="Arial"/>
      <w:b/>
      <w:bCs/>
      <w:sz w:val="26"/>
      <w:szCs w:val="26"/>
    </w:rPr>
  </w:style>
  <w:style w:type="character" w:styleId="720">
    <w:name w:val="Heading 5 Char"/>
    <w:basedOn w:val="892"/>
    <w:link w:val="890"/>
    <w:uiPriority w:val="9"/>
    <w:rPr>
      <w:rFonts w:ascii="Arial" w:hAnsi="Arial" w:eastAsia="Arial" w:cs="Arial"/>
      <w:b/>
      <w:bCs/>
      <w:sz w:val="24"/>
      <w:szCs w:val="24"/>
    </w:rPr>
  </w:style>
  <w:style w:type="character" w:styleId="721">
    <w:name w:val="Heading 6 Char"/>
    <w:basedOn w:val="892"/>
    <w:link w:val="891"/>
    <w:uiPriority w:val="9"/>
    <w:rPr>
      <w:rFonts w:ascii="Arial" w:hAnsi="Arial" w:eastAsia="Arial" w:cs="Arial"/>
      <w:b/>
      <w:bCs/>
      <w:sz w:val="22"/>
      <w:szCs w:val="22"/>
    </w:rPr>
  </w:style>
  <w:style w:type="paragraph" w:styleId="722">
    <w:name w:val="Heading 7"/>
    <w:basedOn w:val="887"/>
    <w:next w:val="887"/>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basedOn w:val="892"/>
    <w:link w:val="722"/>
    <w:uiPriority w:val="9"/>
    <w:rPr>
      <w:rFonts w:ascii="Arial" w:hAnsi="Arial" w:eastAsia="Arial" w:cs="Arial"/>
      <w:b/>
      <w:bCs/>
      <w:i/>
      <w:iCs/>
      <w:sz w:val="22"/>
      <w:szCs w:val="22"/>
    </w:rPr>
  </w:style>
  <w:style w:type="paragraph" w:styleId="724">
    <w:name w:val="Heading 8"/>
    <w:basedOn w:val="887"/>
    <w:next w:val="887"/>
    <w:link w:val="725"/>
    <w:uiPriority w:val="9"/>
    <w:unhideWhenUsed/>
    <w:qFormat/>
    <w:pPr>
      <w:keepLines/>
      <w:keepNext/>
      <w:spacing w:before="320" w:after="200"/>
      <w:outlineLvl w:val="7"/>
    </w:pPr>
    <w:rPr>
      <w:rFonts w:ascii="Arial" w:hAnsi="Arial" w:eastAsia="Arial" w:cs="Arial"/>
      <w:i/>
      <w:iCs/>
      <w:sz w:val="22"/>
      <w:szCs w:val="22"/>
    </w:rPr>
  </w:style>
  <w:style w:type="character" w:styleId="725">
    <w:name w:val="Heading 8 Char"/>
    <w:basedOn w:val="892"/>
    <w:link w:val="724"/>
    <w:uiPriority w:val="9"/>
    <w:rPr>
      <w:rFonts w:ascii="Arial" w:hAnsi="Arial" w:eastAsia="Arial" w:cs="Arial"/>
      <w:i/>
      <w:iCs/>
      <w:sz w:val="22"/>
      <w:szCs w:val="22"/>
    </w:rPr>
  </w:style>
  <w:style w:type="paragraph" w:styleId="726">
    <w:name w:val="Heading 9"/>
    <w:basedOn w:val="887"/>
    <w:next w:val="887"/>
    <w:link w:val="727"/>
    <w:uiPriority w:val="9"/>
    <w:unhideWhenUsed/>
    <w:qFormat/>
    <w:pPr>
      <w:keepLines/>
      <w:keepNext/>
      <w:spacing w:before="320" w:after="200"/>
      <w:outlineLvl w:val="8"/>
    </w:pPr>
    <w:rPr>
      <w:rFonts w:ascii="Arial" w:hAnsi="Arial" w:eastAsia="Arial" w:cs="Arial"/>
      <w:i/>
      <w:iCs/>
      <w:sz w:val="21"/>
      <w:szCs w:val="21"/>
    </w:rPr>
  </w:style>
  <w:style w:type="character" w:styleId="727">
    <w:name w:val="Heading 9 Char"/>
    <w:basedOn w:val="892"/>
    <w:link w:val="726"/>
    <w:uiPriority w:val="9"/>
    <w:rPr>
      <w:rFonts w:ascii="Arial" w:hAnsi="Arial" w:eastAsia="Arial" w:cs="Arial"/>
      <w:i/>
      <w:iCs/>
      <w:sz w:val="21"/>
      <w:szCs w:val="21"/>
    </w:rPr>
  </w:style>
  <w:style w:type="paragraph" w:styleId="728">
    <w:name w:val="List Paragraph"/>
    <w:basedOn w:val="887"/>
    <w:uiPriority w:val="34"/>
    <w:qFormat/>
    <w:pPr>
      <w:contextualSpacing/>
      <w:ind w:left="720"/>
    </w:pPr>
  </w:style>
  <w:style w:type="paragraph" w:styleId="729">
    <w:name w:val="No Spacing"/>
    <w:uiPriority w:val="1"/>
    <w:qFormat/>
    <w:pPr>
      <w:spacing w:before="0" w:after="0" w:line="240" w:lineRule="auto"/>
    </w:pPr>
  </w:style>
  <w:style w:type="paragraph" w:styleId="730">
    <w:name w:val="Title"/>
    <w:basedOn w:val="887"/>
    <w:next w:val="887"/>
    <w:link w:val="731"/>
    <w:uiPriority w:val="10"/>
    <w:qFormat/>
    <w:pPr>
      <w:contextualSpacing/>
      <w:spacing w:before="300" w:after="200"/>
    </w:pPr>
    <w:rPr>
      <w:sz w:val="48"/>
      <w:szCs w:val="48"/>
    </w:rPr>
  </w:style>
  <w:style w:type="character" w:styleId="731">
    <w:name w:val="Title Char"/>
    <w:basedOn w:val="892"/>
    <w:link w:val="730"/>
    <w:uiPriority w:val="10"/>
    <w:rPr>
      <w:sz w:val="48"/>
      <w:szCs w:val="48"/>
    </w:rPr>
  </w:style>
  <w:style w:type="paragraph" w:styleId="732">
    <w:name w:val="Subtitle"/>
    <w:basedOn w:val="887"/>
    <w:next w:val="887"/>
    <w:link w:val="733"/>
    <w:uiPriority w:val="11"/>
    <w:qFormat/>
    <w:pPr>
      <w:spacing w:before="200" w:after="200"/>
    </w:pPr>
    <w:rPr>
      <w:sz w:val="24"/>
      <w:szCs w:val="24"/>
    </w:rPr>
  </w:style>
  <w:style w:type="character" w:styleId="733">
    <w:name w:val="Subtitle Char"/>
    <w:basedOn w:val="892"/>
    <w:link w:val="732"/>
    <w:uiPriority w:val="11"/>
    <w:rPr>
      <w:sz w:val="24"/>
      <w:szCs w:val="24"/>
    </w:rPr>
  </w:style>
  <w:style w:type="paragraph" w:styleId="734">
    <w:name w:val="Quote"/>
    <w:basedOn w:val="887"/>
    <w:next w:val="887"/>
    <w:link w:val="735"/>
    <w:uiPriority w:val="29"/>
    <w:qFormat/>
    <w:pPr>
      <w:ind w:left="720" w:right="720"/>
    </w:pPr>
    <w:rPr>
      <w:i/>
    </w:rPr>
  </w:style>
  <w:style w:type="character" w:styleId="735">
    <w:name w:val="Quote Char"/>
    <w:link w:val="734"/>
    <w:uiPriority w:val="29"/>
    <w:rPr>
      <w:i/>
    </w:rPr>
  </w:style>
  <w:style w:type="paragraph" w:styleId="736">
    <w:name w:val="Intense Quote"/>
    <w:basedOn w:val="887"/>
    <w:next w:val="887"/>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character" w:styleId="738">
    <w:name w:val="Header Char"/>
    <w:basedOn w:val="892"/>
    <w:link w:val="894"/>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basedOn w:val="892"/>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basedOn w:val="89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basedOn w:val="8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basedOn w:val="8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basedOn w:val="8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basedOn w:val="8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basedOn w:val="8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basedOn w:val="8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basedOn w:val="8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basedOn w:val="8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basedOn w:val="8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80">
    <w:name w:val="Grid Table 5 Dark - Accent 2"/>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1">
    <w:name w:val="Grid Table 5 Dark - Accent 3"/>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2">
    <w:name w:val="Grid Table 5 Dark- Accent 4"/>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3">
    <w:name w:val="Grid Table 5 Dark - Accent 5"/>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4">
    <w:name w:val="Grid Table 5 Dark - Accent 6"/>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85">
    <w:name w:val="Grid Table 6 Colorful"/>
    <w:basedOn w:val="8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basedOn w:val="8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basedOn w:val="8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basedOn w:val="8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1">
    <w:name w:val="Grid Table 6 Colorful - Accent 6"/>
    <w:basedOn w:val="8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2">
    <w:name w:val="Grid Table 7 Colorful"/>
    <w:basedOn w:val="8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basedOn w:val="8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basedOn w:val="8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basedOn w:val="8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basedOn w:val="8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basedOn w:val="8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basedOn w:val="8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basedOn w:val="8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basedOn w:val="89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basedOn w:val="89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basedOn w:val="89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basedOn w:val="89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basedOn w:val="89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basedOn w:val="89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basedOn w:val="8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basedOn w:val="8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basedOn w:val="8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basedOn w:val="8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basedOn w:val="8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basedOn w:val="8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basedOn w:val="8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basedOn w:val="8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5">
    <w:name w:val="List Table 3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16">
    <w:name w:val="List Table 3 - Accent 3"/>
    <w:basedOn w:val="8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7">
    <w:name w:val="List Table 3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8">
    <w:name w:val="List Table 3 - Accent 5"/>
    <w:basedOn w:val="8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9">
    <w:name w:val="List Table 3 - Accent 6"/>
    <w:basedOn w:val="8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20">
    <w:name w:val="List Table 4"/>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basedOn w:val="8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2">
    <w:name w:val="List Table 4 - Accent 2"/>
    <w:basedOn w:val="8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3">
    <w:name w:val="List Table 4 - Accent 3"/>
    <w:basedOn w:val="8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4">
    <w:name w:val="List Table 4 - Accent 4"/>
    <w:basedOn w:val="8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25">
    <w:name w:val="List Table 4 - Accent 5"/>
    <w:basedOn w:val="8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26">
    <w:name w:val="List Table 4 - Accent 6"/>
    <w:basedOn w:val="8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7">
    <w:name w:val="List Table 5 Dark"/>
    <w:basedOn w:val="8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basedOn w:val="8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basedOn w:val="8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basedOn w:val="8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basedOn w:val="8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basedOn w:val="8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basedOn w:val="8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basedOn w:val="8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basedOn w:val="8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36">
    <w:name w:val="List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7">
    <w:name w:val="List Table 6 Colorful - Accent 3"/>
    <w:basedOn w:val="8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8">
    <w:name w:val="List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9">
    <w:name w:val="List Table 6 Colorful - Accent 5"/>
    <w:basedOn w:val="8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40">
    <w:name w:val="List Table 6 Colorful - Accent 6"/>
    <w:basedOn w:val="8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1">
    <w:name w:val="List Table 7 Colorful"/>
    <w:basedOn w:val="8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basedOn w:val="8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3">
    <w:name w:val="List Table 7 Colorful - Accent 2"/>
    <w:basedOn w:val="8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4">
    <w:name w:val="List Table 7 Colorful - Accent 3"/>
    <w:basedOn w:val="8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45">
    <w:name w:val="List Table 7 Colorful - Accent 4"/>
    <w:basedOn w:val="8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46">
    <w:name w:val="List Table 7 Colorful - Accent 5"/>
    <w:basedOn w:val="8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7">
    <w:name w:val="List Table 7 Colorful - Accent 6"/>
    <w:basedOn w:val="8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8">
    <w:name w:val="Lined - Accent"/>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0">
    <w:name w:val="Lined - Accent 2"/>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1">
    <w:name w:val="Lined - Accent 3"/>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2">
    <w:name w:val="Lined - Accent 4"/>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3">
    <w:name w:val="Lined - Accent 5"/>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4">
    <w:name w:val="Lined - Accent 6"/>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5">
    <w:name w:val="Bordered &amp; Lined - Accent"/>
    <w:basedOn w:val="8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basedOn w:val="8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7">
    <w:name w:val="Bordered &amp; Lined - Accent 2"/>
    <w:basedOn w:val="8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8">
    <w:name w:val="Bordered &amp; Lined - Accent 3"/>
    <w:basedOn w:val="8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9">
    <w:name w:val="Bordered &amp; Lined - Accent 4"/>
    <w:basedOn w:val="8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0">
    <w:name w:val="Bordered &amp; Lined - Accent 5"/>
    <w:basedOn w:val="8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1">
    <w:name w:val="Bordered &amp; Lined - Accent 6"/>
    <w:basedOn w:val="8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2">
    <w:name w:val="Bordered"/>
    <w:basedOn w:val="8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basedOn w:val="892"/>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basedOn w:val="892"/>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link w:val="91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88">
    <w:name w:val="Heading 2"/>
    <w:basedOn w:val="887"/>
    <w:next w:val="887"/>
    <w:uiPriority w:val="0"/>
    <w:unhideWhenUsed/>
    <w:qFormat/>
    <w:pPr>
      <w:numPr>
        <w:ilvl w:val="1"/>
        <w:numId w:val="1"/>
      </w:numPr>
      <w:ind w:left="0" w:firstLine="0"/>
      <w:keepLines/>
      <w:keepNext/>
      <w:spacing w:beforeAutospacing="0" w:afterAutospacing="0" w:line="360" w:lineRule="auto"/>
      <w:outlineLvl w:val="1"/>
    </w:pPr>
    <w:rPr>
      <w:rFonts w:ascii="Arial" w:hAnsi="Arial" w:eastAsia="宋体"/>
      <w:sz w:val="24"/>
    </w:rPr>
  </w:style>
  <w:style w:type="paragraph" w:styleId="889">
    <w:name w:val="Heading 3"/>
    <w:basedOn w:val="887"/>
    <w:next w:val="887"/>
    <w:uiPriority w:val="0"/>
    <w:unhideWhenUsed/>
    <w:qFormat/>
    <w:pPr>
      <w:numPr>
        <w:ilvl w:val="2"/>
        <w:numId w:val="1"/>
      </w:numPr>
      <w:ind w:left="720" w:hanging="720"/>
      <w:keepLines/>
      <w:keepNext/>
      <w:spacing w:before="260" w:beforeAutospacing="0" w:after="260" w:afterAutospacing="0" w:line="413" w:lineRule="auto"/>
      <w:outlineLvl w:val="2"/>
    </w:pPr>
    <w:rPr>
      <w:b/>
      <w:sz w:val="32"/>
    </w:rPr>
  </w:style>
  <w:style w:type="paragraph" w:styleId="890">
    <w:name w:val="Heading 5"/>
    <w:basedOn w:val="887"/>
    <w:next w:val="887"/>
    <w:uiPriority w:val="0"/>
    <w:unhideWhenUsed/>
    <w:qFormat/>
    <w:pPr>
      <w:keepLines/>
      <w:keepNext/>
      <w:spacing w:before="280" w:beforeAutospacing="0" w:after="290" w:afterAutospacing="0" w:line="372" w:lineRule="auto"/>
      <w:outlineLvl w:val="4"/>
    </w:pPr>
    <w:rPr>
      <w:b/>
      <w:sz w:val="28"/>
    </w:rPr>
  </w:style>
  <w:style w:type="paragraph" w:styleId="891">
    <w:name w:val="Heading 6"/>
    <w:basedOn w:val="887"/>
    <w:next w:val="887"/>
    <w:uiPriority w:val="0"/>
    <w:unhideWhenUsed/>
    <w:qFormat/>
    <w:pPr>
      <w:keepLines/>
      <w:keepNext/>
      <w:spacing w:before="240" w:beforeAutospacing="0" w:after="64" w:afterAutospacing="0" w:line="317" w:lineRule="auto"/>
      <w:outlineLvl w:val="5"/>
    </w:pPr>
    <w:rPr>
      <w:rFonts w:ascii="Arial" w:hAnsi="Arial" w:eastAsia="黑体"/>
      <w:b/>
      <w:sz w:val="24"/>
    </w:rPr>
  </w:style>
  <w:style w:type="character" w:styleId="892" w:default="1">
    <w:name w:val="Default Paragraph Font"/>
    <w:uiPriority w:val="0"/>
    <w:semiHidden/>
    <w:qFormat/>
  </w:style>
  <w:style w:type="table" w:styleId="893" w:default="1">
    <w:name w:val="Normal Table"/>
    <w:uiPriority w:val="0"/>
    <w:semiHidden/>
    <w:qFormat/>
    <w:tblPr>
      <w:tblCellMar>
        <w:left w:w="108" w:type="dxa"/>
        <w:top w:w="0" w:type="dxa"/>
        <w:right w:w="108" w:type="dxa"/>
        <w:bottom w:w="0" w:type="dxa"/>
      </w:tblCellMar>
    </w:tblPr>
  </w:style>
  <w:style w:type="paragraph" w:styleId="894">
    <w:name w:val="Header"/>
    <w:basedOn w:val="887"/>
    <w:uiPriority w:val="99"/>
    <w:unhideWhenUsed/>
    <w:qFormat/>
    <w:pPr>
      <w:spacing w:after="0" w:line="240" w:lineRule="auto"/>
      <w:tabs>
        <w:tab w:val="center" w:pos="7143" w:leader="none"/>
        <w:tab w:val="right" w:pos="14287" w:leader="none"/>
      </w:tabs>
    </w:pPr>
  </w:style>
  <w:style w:type="character" w:styleId="895">
    <w:name w:val="page number"/>
    <w:uiPriority w:val="0"/>
    <w:qFormat/>
  </w:style>
  <w:style w:type="paragraph" w:styleId="896" w:customStyle="1">
    <w:name w:val="正文1"/>
    <w:basedOn w:val="887"/>
    <w:uiPriority w:val="0"/>
    <w:qFormat/>
    <w:pPr>
      <w:ind w:left="350" w:firstLine="0"/>
    </w:pPr>
    <w:rPr>
      <w:rFonts w:cs="Times New Roman"/>
      <w:sz w:val="20"/>
      <w:szCs w:val="24"/>
    </w:rPr>
  </w:style>
  <w:style w:type="paragraph" w:styleId="897" w:customStyle="1">
    <w:name w:val="普通正文"/>
    <w:basedOn w:val="887"/>
    <w:uiPriority w:val="0"/>
    <w:qFormat/>
    <w:pPr>
      <w:ind w:firstLine="480"/>
      <w:jc w:val="left"/>
      <w:spacing w:before="120" w:after="120" w:line="360" w:lineRule="auto"/>
    </w:pPr>
    <w:rPr>
      <w:rFonts w:ascii="Arial" w:hAnsi="Arial"/>
      <w:sz w:val="24"/>
      <w:szCs w:val="24"/>
    </w:rPr>
  </w:style>
  <w:style w:type="paragraph" w:styleId="898" w:customStyle="1">
    <w:name w:val="标题 31"/>
    <w:basedOn w:val="887"/>
    <w:next w:val="899"/>
    <w:uiPriority w:val="0"/>
    <w:qFormat/>
    <w:pPr>
      <w:keepLines/>
      <w:keepNext/>
      <w:spacing w:before="260" w:after="260" w:line="416" w:lineRule="auto"/>
      <w:outlineLvl w:val="2"/>
    </w:pPr>
    <w:rPr>
      <w:b/>
      <w:bCs/>
      <w:sz w:val="32"/>
      <w:szCs w:val="32"/>
    </w:rPr>
  </w:style>
  <w:style w:type="paragraph" w:styleId="899" w:customStyle="1">
    <w:name w:val="正文缩进1"/>
    <w:basedOn w:val="887"/>
    <w:uiPriority w:val="0"/>
    <w:qFormat/>
    <w:pPr>
      <w:ind w:firstLine="420"/>
    </w:pPr>
    <w:rPr>
      <w:sz w:val="20"/>
    </w:rPr>
  </w:style>
  <w:style w:type="character" w:styleId="900" w:customStyle="1">
    <w:name w:val="批注引用1"/>
    <w:link w:val="887"/>
    <w:uiPriority w:val="0"/>
    <w:semiHidden/>
    <w:qFormat/>
    <w:rPr>
      <w:rFonts w:hint="default" w:ascii="Times New Roman" w:hAnsi="Times New Roman" w:eastAsia="宋体" w:cs="Times New Roman"/>
      <w:sz w:val="21"/>
      <w:szCs w:val="21"/>
      <w:lang w:val="en-US" w:eastAsia="zh-CN" w:bidi="ar-SA"/>
    </w:rPr>
  </w:style>
  <w:style w:type="paragraph" w:styleId="901" w:customStyle="1">
    <w:name w:val="标题 41"/>
    <w:basedOn w:val="887"/>
    <w:next w:val="899"/>
    <w:uiPriority w:val="0"/>
    <w:qFormat/>
    <w:pPr>
      <w:keepLines/>
      <w:keepNext/>
      <w:spacing w:before="280" w:after="290" w:line="376" w:lineRule="auto"/>
      <w:outlineLvl w:val="3"/>
    </w:pPr>
    <w:rPr>
      <w:rFonts w:ascii="Arial" w:hAnsi="Arial" w:eastAsia="黑体"/>
      <w:b/>
      <w:bCs/>
      <w:sz w:val="28"/>
      <w:szCs w:val="28"/>
    </w:rPr>
  </w:style>
  <w:style w:type="paragraph" w:styleId="90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03" w:customStyle="1">
    <w:name w:val="纯文本1"/>
    <w:basedOn w:val="887"/>
    <w:uiPriority w:val="0"/>
    <w:qFormat/>
    <w:rPr>
      <w:rFonts w:ascii="宋体" w:hAnsi="Courier New"/>
      <w:sz w:val="20"/>
    </w:rPr>
  </w:style>
  <w:style w:type="character" w:styleId="904" w:customStyle="1">
    <w:name w:val="NormalCharacter"/>
    <w:uiPriority w:val="0"/>
    <w:qFormat/>
  </w:style>
  <w:style w:type="paragraph" w:styleId="905" w:customStyle="1">
    <w:name w:val="Char"/>
    <w:basedOn w:val="887"/>
    <w:uiPriority w:val="0"/>
    <w:qFormat/>
    <w:pPr>
      <w:ind w:firstLine="200"/>
      <w:tabs>
        <w:tab w:val="left" w:pos="360" w:leader="none"/>
      </w:tabs>
    </w:pPr>
    <w:rPr>
      <w:sz w:val="28"/>
      <w:szCs w:val="30"/>
    </w:rPr>
  </w:style>
  <w:style w:type="character" w:styleId="906" w:customStyle="1">
    <w:name w:val="HTML 打字机1"/>
    <w:link w:val="887"/>
    <w:uiPriority w:val="99"/>
    <w:qFormat/>
    <w:rPr>
      <w:rFonts w:ascii="宋体" w:hAnsi="宋体" w:eastAsia="宋体" w:cs="宋体"/>
      <w:sz w:val="24"/>
      <w:szCs w:val="24"/>
    </w:rPr>
  </w:style>
  <w:style w:type="paragraph" w:styleId="907" w:customStyle="1">
    <w:name w:val="普通文字"/>
    <w:basedOn w:val="887"/>
    <w:next w:val="887"/>
    <w:uiPriority w:val="99"/>
    <w:qFormat/>
    <w:rPr>
      <w:rFonts w:ascii="宋体" w:hAnsi="Times New Roman" w:eastAsia="宋体" w:cs="Times New Roman"/>
      <w:sz w:val="24"/>
      <w:szCs w:val="20"/>
      <w:u w:val="none"/>
    </w:rPr>
  </w:style>
  <w:style w:type="paragraph" w:styleId="908" w:customStyle="1">
    <w:name w:val="页眉1"/>
    <w:basedOn w:val="887"/>
    <w:uiPriority w:val="99"/>
    <w:qFormat/>
    <w:pPr>
      <w:jc w:val="center"/>
      <w:tabs>
        <w:tab w:val="center" w:pos="4153" w:leader="none"/>
        <w:tab w:val="right" w:pos="8306" w:leader="none"/>
      </w:tabs>
      <w:pBdr>
        <w:bottom w:val="single" w:color="000000" w:sz="6" w:space="1"/>
      </w:pBdr>
    </w:pPr>
    <w:rPr>
      <w:sz w:val="18"/>
      <w:szCs w:val="18"/>
    </w:rPr>
  </w:style>
  <w:style w:type="paragraph" w:styleId="909" w:customStyle="1">
    <w:name w:val="页脚1"/>
    <w:basedOn w:val="887"/>
    <w:uiPriority w:val="0"/>
    <w:qFormat/>
    <w:pPr>
      <w:jc w:val="left"/>
      <w:tabs>
        <w:tab w:val="center" w:pos="4153" w:leader="none"/>
        <w:tab w:val="right" w:pos="8306" w:leader="none"/>
      </w:tabs>
    </w:pPr>
    <w:rPr>
      <w:sz w:val="18"/>
      <w:szCs w:val="18"/>
    </w:rPr>
  </w:style>
  <w:style w:type="character" w:styleId="910" w:customStyle="1">
    <w:name w:val="页码1"/>
    <w:link w:val="887"/>
    <w:uiPriority w:val="0"/>
    <w:qFormat/>
  </w:style>
  <w:style w:type="paragraph" w:styleId="911" w:customStyle="1">
    <w:name w:val="正文文本111"/>
    <w:basedOn w:val="887"/>
    <w:uiPriority w:val="0"/>
    <w:qFormat/>
    <w:rPr>
      <w:rFonts w:ascii="仿宋_GB2312" w:eastAsia="仿宋_GB2312"/>
      <w:sz w:val="28"/>
      <w:szCs w:val="20"/>
    </w:rPr>
  </w:style>
  <w:style w:type="paragraph" w:styleId="912" w:customStyle="1">
    <w:name w:val="正文文本11"/>
    <w:basedOn w:val="887"/>
    <w:uiPriority w:val="0"/>
    <w:qFormat/>
    <w:rPr>
      <w:sz w:val="18"/>
      <w:szCs w:val="20"/>
    </w:rPr>
  </w:style>
  <w:style w:type="character" w:styleId="913" w:customStyle="1">
    <w:name w:val="font01"/>
    <w:basedOn w:val="892"/>
    <w:uiPriority w:val="0"/>
    <w:qFormat/>
    <w:rPr>
      <w:rFonts w:hint="eastAsia" w:ascii="宋体" w:hAnsi="宋体" w:eastAsia="宋体" w:cs="宋体"/>
      <w:color w:val="000000"/>
      <w:sz w:val="22"/>
      <w:szCs w:val="22"/>
      <w:u w:val="none"/>
    </w:rPr>
  </w:style>
  <w:style w:type="character" w:styleId="914" w:customStyle="1">
    <w:name w:val="font41"/>
    <w:basedOn w:val="892"/>
    <w:uiPriority w:val="0"/>
    <w:qFormat/>
    <w:rPr>
      <w:rFonts w:hint="eastAsia" w:ascii="宋体" w:hAnsi="宋体" w:eastAsia="宋体" w:cs="宋体"/>
      <w:color w:val="000000"/>
      <w:sz w:val="24"/>
      <w:szCs w:val="24"/>
      <w:u w:val="none"/>
    </w:rPr>
  </w:style>
  <w:style w:type="character" w:styleId="915" w:customStyle="1">
    <w:name w:val="font21"/>
    <w:basedOn w:val="892"/>
    <w:uiPriority w:val="0"/>
    <w:qFormat/>
    <w:rPr>
      <w:rFonts w:hint="eastAsia" w:ascii="宋体" w:hAnsi="宋体" w:eastAsia="宋体" w:cs="宋体"/>
      <w:color w:val="000000"/>
      <w:sz w:val="22"/>
      <w:szCs w:val="22"/>
      <w:u w:val="none"/>
    </w:rPr>
  </w:style>
  <w:style w:type="character" w:styleId="916" w:customStyle="1">
    <w:name w:val="font51"/>
    <w:basedOn w:val="892"/>
    <w:uiPriority w:val="0"/>
    <w:qFormat/>
    <w:rPr>
      <w:rFonts w:hint="eastAsia" w:ascii="宋体" w:hAnsi="宋体" w:eastAsia="宋体" w:cs="宋体"/>
      <w:b/>
      <w:bCs/>
      <w:color w:val="ff0000"/>
      <w:sz w:val="22"/>
      <w:szCs w:val="22"/>
      <w:u w:val="none"/>
    </w:rPr>
  </w:style>
  <w:style w:type="character" w:styleId="917" w:customStyle="1">
    <w:name w:val="font31"/>
    <w:basedOn w:val="892"/>
    <w:uiPriority w:val="0"/>
    <w:qFormat/>
    <w:rPr>
      <w:rFonts w:hint="eastAsia" w:ascii="宋体" w:hAnsi="宋体" w:eastAsia="宋体" w:cs="宋体"/>
      <w:color w:val="000000"/>
      <w:sz w:val="22"/>
      <w:szCs w:val="22"/>
      <w:u w:val="none"/>
    </w:rPr>
  </w:style>
  <w:style w:type="paragraph" w:styleId="918" w:customStyle="1">
    <w:name w:val="列表段落1"/>
    <w:basedOn w:val="887"/>
    <w:uiPriority w:val="0"/>
    <w:qFormat/>
    <w:pPr>
      <w:ind w:firstLine="420"/>
    </w:pPr>
  </w:style>
  <w:style w:type="numbering" w:styleId="9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pn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jpg"/><Relationship Id="rId18" Type="http://schemas.openxmlformats.org/officeDocument/2006/relationships/image" Target="media/image6.jpg"/><Relationship Id="rId19" Type="http://schemas.openxmlformats.org/officeDocument/2006/relationships/image" Target="media/image7.jpg"/><Relationship Id="rId20" Type="http://schemas.openxmlformats.org/officeDocument/2006/relationships/image" Target="media/image8.png"/><Relationship Id="rId21" Type="http://schemas.openxmlformats.org/officeDocument/2006/relationships/image" Target="media/image9.jp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jp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jpg"/><Relationship Id="rId32" Type="http://schemas.openxmlformats.org/officeDocument/2006/relationships/image" Target="media/image20.png"/><Relationship Id="rId33" Type="http://schemas.openxmlformats.org/officeDocument/2006/relationships/image" Target="media/image2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5a211e2d-1906-4c02-b995-1c2fbf782497</errorID>
      <errorWord>采购项目项目</errorWord>
      <group>L1_Word</group>
      <groupName>字词问题</groupName>
      <ability>L2_Typo</ability>
      <abilityName>字词错误</abilityName>
      <candidateList>
        <item>采购项目</item>
      </candidateList>
      <explain/>
      <paraID>44D464F8</paraID>
      <start>14</start>
      <end>18</end>
      <status>modified</status>
      <modifiedWord>采购项目</modifiedWord>
      <trackRevisions>false</trackRevisions>
    </reviewItem>
    <reviewItem>
      <errorID>d277251d-1779-4b03-9cb2-e259d5d406db</errorID>
      <errorWord>/）</errorWord>
      <group>L1_Punc</group>
      <groupName>标点问题</groupName>
      <ability>L2_Punc_CN</ability>
      <abilityName>标点符号检查</abilityName>
      <candidateList>
        <item>）</item>
      </candidateList>
      <explain/>
      <paraID>6DC37B13</paraID>
      <start>68</start>
      <end>70</end>
      <status>ignored</status>
      <modifiedWord/>
      <trackRevisions>false</trackRevisions>
    </reviewItem>
    <reviewItem>
      <errorID>2d9e9e76-ba70-4ff0-9536-40c9ac5b75a9</errorID>
      <errorWord>“.</errorWord>
      <group>L1_Punc</group>
      <groupName>标点问题</groupName>
      <ability>L2_Punc_CN</ability>
      <abilityName>标点符号检查</abilityName>
      <candidateList>
        <item>“</item>
      </candidateList>
      <explain/>
      <paraID> DECAA99</paraID>
      <start>145</start>
      <end>147</end>
      <status>ignored</status>
      <modifiedWord/>
      <trackRevisions>false</trackRevisions>
    </reviewItem>
    <reviewItem>
      <errorID>51528470-f4f5-44df-89de-dc60718004a4</errorID>
      <errorWord>)</errorWord>
      <group>L1_Format</group>
      <groupName>格式问题</groupName>
      <ability>L2_HalfPunc_CN</ability>
      <abilityName>全半角检查</abilityName>
      <candidateList>
        <item>）</item>
      </candidateList>
      <explain>文本全半角错误。</explain>
      <paraID>6496D46E</paraID>
      <start>33</start>
      <end>34</end>
      <status>modified</status>
      <modifiedWord>）</modifiedWord>
      <trackRevisions>false</trackRevisions>
    </reviewItem>
    <reviewItem>
      <errorID>2afb3fa1-083c-4b51-abd3-10dc91049949</errorID>
      <errorWord>)</errorWord>
      <group>L1_Format</group>
      <groupName>格式问题</groupName>
      <ability>L2_HalfPunc_CN</ability>
      <abilityName>全半角检查</abilityName>
      <candidateList>
        <item>）</item>
      </candidateList>
      <explain>文本全半角错误。</explain>
      <paraID>17B33FBF</paraID>
      <start>16</start>
      <end>17</end>
      <status>modified</status>
      <modifiedWord>）</modifiedWord>
      <trackRevisions>false</trackRevisions>
    </reviewItem>
    <reviewItem>
      <errorID>743dd5df-e24a-4fcc-8a28-017c8c8c1e03</errorID>
      <errorWord>(</errorWord>
      <group>L1_Format</group>
      <groupName>格式问题</groupName>
      <ability>L2_HalfPunc_CN</ability>
      <abilityName>全半角检查</abilityName>
      <candidateList>
        <item>（</item>
      </candidateList>
      <explain>文本全半角错误。</explain>
      <paraID> BD26DFF</paraID>
      <start>8</start>
      <end>9</end>
      <status>modified</status>
      <modifiedWord>（</modifiedWord>
      <trackRevisions>false</trackRevisions>
    </reviewItem>
    <reviewItem>
      <errorID>eb95449a-0cde-4ed6-ae49-506f07792355</errorID>
      <errorWord>)</errorWord>
      <group>L1_Format</group>
      <groupName>格式问题</groupName>
      <ability>L2_HalfPunc_CN</ability>
      <abilityName>全半角检查</abilityName>
      <candidateList>
        <item>）</item>
      </candidateList>
      <explain>文本全半角错误。</explain>
      <paraID> BD26DFF</paraID>
      <start>15</start>
      <end>16</end>
      <status>modified</status>
      <modifiedWord>）</modifiedWord>
      <trackRevisions>false</trackRevisions>
    </reviewItem>
    <reviewItem>
      <errorID>f080bbbc-2c64-4e77-81be-478c1114e9af</errorID>
      <errorWord>(</errorWord>
      <group>L1_Format</group>
      <groupName>格式问题</groupName>
      <ability>L2_HalfPunc_CN</ability>
      <abilityName>全半角检查</abilityName>
      <candidateList>
        <item>（</item>
      </candidateList>
      <explain>文本全半角错误。</explain>
      <paraID>6205C901</paraID>
      <start>15</start>
      <end>16</end>
      <status>modified</status>
      <modifiedWord>（</modifiedWord>
      <trackRevisions>false</trackRevisions>
    </reviewItem>
    <reviewItem>
      <errorID>55fabab7-f0c7-4172-939c-589a7b0ac776</errorID>
      <errorWord>)</errorWord>
      <group>L1_Format</group>
      <groupName>格式问题</groupName>
      <ability>L2_HalfPunc_CN</ability>
      <abilityName>全半角检查</abilityName>
      <candidateList>
        <item>）</item>
      </candidateList>
      <explain>文本全半角错误。</explain>
      <paraID>4AECF8AA</paraID>
      <start>51</start>
      <end>52</end>
      <status>modified</status>
      <modifiedWord>）</modifiedWord>
      <trackRevisions>false</trackRevisions>
    </reviewItem>
    <reviewItem>
      <errorID>88133cae-d9a8-4f6b-8606-c38e88afbf05</errorID>
      <errorWord>KW</errorWord>
      <group>L1_Word</group>
      <groupName>字词问题</groupName>
      <ability>L2_Typo</ability>
      <abilityName>字词错误</abilityName>
      <candidateList>
        <item>kW</item>
      </candidateList>
      <explain/>
      <paraID>  6AB3EB</paraID>
      <start>16</start>
      <end>18</end>
      <status>modified</status>
      <modifiedWord>kW</modifiedWord>
      <trackRevisions>false</trackRevisions>
    </reviewItem>
    <reviewItem>
      <errorID>fd11e754-c6bc-49fa-8e4b-ae1bb12eae3a</errorID>
      <errorWord>噪音</errorWord>
      <group>L1_Word</group>
      <groupName>字词问题</groupName>
      <ability>L2_Alias</ability>
      <abilityName>也作/曾用词</abilityName>
      <candidateList>
        <item>噪声</item>
      </candidateList>
      <explain>词汇[噪音]为不规范表述或旧称，其规范书面表述为[噪声]。</explain>
      <paraID>17262904</paraID>
      <start>0</start>
      <end>2</end>
      <status>modified</status>
      <modifiedWord>噪声</modifiedWord>
      <trackRevisions>false</trackRevisions>
    </reviewItem>
    <reviewItem>
      <errorID>55c72992-1689-48ed-bef6-b19f996aec6e</errorID>
      <errorWord>KW</errorWord>
      <group>L1_Word</group>
      <groupName>字词问题</groupName>
      <ability>L2_Typo</ability>
      <abilityName>字词错误</abilityName>
      <candidateList>
        <item>kW</item>
      </candidateList>
      <explain/>
      <paraID> 743F0A9</paraID>
      <start>16</start>
      <end>18</end>
      <status>modified</status>
      <modifiedWord>kW</modifiedWord>
      <trackRevisions>false</trackRevisions>
    </reviewItem>
    <reviewItem>
      <errorID>4aa81e52-002c-4d12-b419-69dd813fc6b5</errorID>
      <errorWord>KW</errorWord>
      <group>L1_Word</group>
      <groupName>字词问题</groupName>
      <ability>L2_Typo</ability>
      <abilityName>字词错误</abilityName>
      <candidateList>
        <item>kW</item>
      </candidateList>
      <explain/>
      <paraID> 5F8D6D3</paraID>
      <start>10</start>
      <end>12</end>
      <status>modified</status>
      <modifiedWord>kW</modifiedWord>
      <trackRevisions>false</trackRevisions>
    </reviewItem>
    <reviewItem>
      <errorID>fe742103-ee24-419d-9333-3b58a8449aa3</errorID>
      <errorWord>国标标准</errorWord>
      <group>L1_Word</group>
      <groupName>字词问题</groupName>
      <ability>L2_Typo</ability>
      <abilityName>字词错误</abilityName>
      <candidateList>
        <item>国家标准</item>
      </candidateList>
      <explain/>
      <paraID>509ECBAF</paraID>
      <start>93</start>
      <end>97</end>
      <status>modified</status>
      <modifiedWord>国家标准</modifiedWord>
      <trackRevisions>false</trackRevisions>
    </reviewItem>
    <reviewItem>
      <errorID>da13044f-7c84-42ac-91b0-926492b66f2f</errorID>
      <errorWord>KW</errorWord>
      <group>L1_Word</group>
      <groupName>字词问题</groupName>
      <ability>L2_Typo</ability>
      <abilityName>字词错误</abilityName>
      <candidateList>
        <item>kW</item>
      </candidateList>
      <explain/>
      <paraID> 5D5FBFB</paraID>
      <start>31</start>
      <end>33</end>
      <status>modified</status>
      <modifiedWord>kW</modifiedWord>
      <trackRevisions>false</trackRevisions>
    </reviewItem>
    <reviewItem>
      <errorID>efe197df-f07a-47c1-a8d7-b7b5ce838960</errorID>
      <errorWord>:</errorWord>
      <group>L1_Format</group>
      <groupName>格式问题</groupName>
      <ability>L2_HalfPunc_CN</ability>
      <abilityName>全半角检查</abilityName>
      <candidateList>
        <item>：</item>
      </candidateList>
      <explain>文本全半角错误。</explain>
      <paraID> EC91BB8</paraID>
      <start>10</start>
      <end>11</end>
      <status>modified</status>
      <modifiedWord>：</modifiedWord>
      <trackRevisions>false</trackRevisions>
    </reviewItem>
    <reviewItem>
      <errorID>c7768bc3-db71-4542-a718-98b500cff070</errorID>
      <errorWord>:</errorWord>
      <group>L1_Format</group>
      <groupName>格式问题</groupName>
      <ability>L2_HalfPunc_CN</ability>
      <abilityName>全半角检查</abilityName>
      <candidateList>
        <item>：</item>
      </candidateList>
      <explain>文本全半角错误。</explain>
      <paraID> EC91BB8</paraID>
      <start>26</start>
      <end>27</end>
      <status>modified</status>
      <modifiedWord>：</modifiedWord>
      <trackRevisions>false</trackRevisions>
    </reviewItem>
    <reviewItem>
      <errorID>01c94df2-8c37-45bf-af87-872a34541c66</errorID>
      <errorWord>,</errorWord>
      <group>L1_Format</group>
      <groupName>格式问题</groupName>
      <ability>L2_HalfPunc_CN</ability>
      <abilityName>全半角检查</abilityName>
      <candidateList>
        <item>，</item>
      </candidateList>
      <explain>文本全半角错误。</explain>
      <paraID>773BEC54</paraID>
      <start>106</start>
      <end>107</end>
      <status>modified</status>
      <modifiedWord>，</modifiedWord>
      <trackRevisions>false</trackRevisions>
    </reviewItem>
    <reviewItem>
      <errorID>e9ea0fa9-e0e4-430a-a761-9bc1057a97e5</errorID>
      <errorWord>(</errorWord>
      <group>L1_Format</group>
      <groupName>格式问题</groupName>
      <ability>L2_HalfPunc_CN</ability>
      <abilityName>全半角检查</abilityName>
      <candidateList>
        <item>（</item>
      </candidateList>
      <explain>文本全半角错误。</explain>
      <paraID>3F99366F</paraID>
      <start>4</start>
      <end>5</end>
      <status>modified</status>
      <modifiedWord>（</modifiedWord>
      <trackRevisions>false</trackRevisions>
    </reviewItem>
    <reviewItem>
      <errorID>f666ff37-1b39-446a-b6e0-27f4d5887ff5</errorID>
      <errorWord>)</errorWord>
      <group>L1_Format</group>
      <groupName>格式问题</groupName>
      <ability>L2_HalfPunc_CN</ability>
      <abilityName>全半角检查</abilityName>
      <candidateList>
        <item>）</item>
      </candidateList>
      <explain>文本全半角错误。</explain>
      <paraID>3F99366F</paraID>
      <start>12</start>
      <end>13</end>
      <status>modified</status>
      <modifiedWord>）</modifiedWord>
      <trackRevisions>false</trackRevisions>
    </reviewItem>
    <reviewItem>
      <errorID>1a83ba53-1706-4bf0-a8b8-b5094c20f5ef</errorID>
      <errorWord>KW</errorWord>
      <group>L1_Word</group>
      <groupName>字词问题</groupName>
      <ability>L2_Typo</ability>
      <abilityName>字词错误</abilityName>
      <candidateList>
        <item>kW</item>
      </candidateList>
      <explain/>
      <paraID>3F838C09</paraID>
      <start>10</start>
      <end>12</end>
      <status>modified</status>
      <modifiedWord>kW</modifiedWord>
      <trackRevisions>false</trackRevisions>
    </reviewItem>
    <reviewItem>
      <errorID>e854d550-d9e5-4ddb-9d0d-2cfa7cbafe0b</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4A73799</paraID>
      <start>20</start>
      <end>21</end>
      <status>modified</status>
      <modifiedWord>—</modifiedWord>
      <trackRevisions>false</trackRevisions>
    </reviewItem>
    <reviewItem>
      <errorID>e9ea0fa9-e0e4-430a-a761-9bc1057a97e5</errorID>
      <errorWord>(</errorWord>
      <group>L1_Format</group>
      <groupName>格式问题</groupName>
      <ability>L2_HalfPunc_CN</ability>
      <abilityName>全半角检查</abilityName>
      <candidateList>
        <item>（</item>
      </candidateList>
      <explain>文本全半角错误。</explain>
      <paraID>1E2D4C2F</paraID>
      <start>4</start>
      <end>5</end>
      <status>modified</status>
      <modifiedWord>（</modifiedWord>
      <trackRevisions>false</trackRevisions>
    </reviewItem>
    <reviewItem>
      <errorID>f666ff37-1b39-446a-b6e0-27f4d5887ff5</errorID>
      <errorWord>)</errorWord>
      <group>L1_Format</group>
      <groupName>格式问题</groupName>
      <ability>L2_HalfPunc_CN</ability>
      <abilityName>全半角检查</abilityName>
      <candidateList>
        <item>）</item>
      </candidateList>
      <explain>文本全半角错误。</explain>
      <paraID>1E2D4C2F</paraID>
      <start>12</start>
      <end>13</end>
      <status>modified</status>
      <modifiedWord>）</modifiedWord>
      <trackRevisions>false</trackRevisions>
    </reviewItem>
    <reviewItem>
      <errorID>54da6cc2-e982-42b6-b1fd-f1a6d79f8832</errorID>
      <errorWord>(</errorWord>
      <group>L1_Format</group>
      <groupName>格式问题</groupName>
      <ability>L2_HalfPunc_CN</ability>
      <abilityName>全半角检查</abilityName>
      <candidateList>
        <item>（</item>
      </candidateList>
      <explain>文本全半角错误。</explain>
      <paraID> C196C5B</paraID>
      <start>4</start>
      <end>5</end>
      <status>modified</status>
      <modifiedWord>（</modifiedWord>
      <trackRevisions>false</trackRevisions>
    </reviewItem>
    <reviewItem>
      <errorID>fe3e549e-228a-4b88-8f2d-4b7f299fba07</errorID>
      <errorWord>)</errorWord>
      <group>L1_Format</group>
      <groupName>格式问题</groupName>
      <ability>L2_HalfPunc_CN</ability>
      <abilityName>全半角检查</abilityName>
      <candidateList>
        <item>）</item>
      </candidateList>
      <explain>文本全半角错误。</explain>
      <paraID> C196C5B</paraID>
      <start>21</start>
      <end>22</end>
      <status>modified</status>
      <modifiedWord>）</modifiedWord>
      <trackRevisions>false</trackRevisions>
    </reviewItem>
    <reviewItem>
      <errorID>c43d4103-c5a7-4393-a9d2-7b0ad04f3316</errorID>
      <errorWord>"</errorWord>
      <group>L1_Format</group>
      <groupName>格式问题</groupName>
      <ability>L2_HalfPunc_CN</ability>
      <abilityName>全半角检查</abilityName>
      <candidateList/>
      <explain>文本全半角错误。</explain>
      <paraID>60A25A35</paraID>
      <start>7</start>
      <end>8</end>
      <status>ignored</status>
      <modifiedWord/>
      <trackRevisions>false</trackRevisions>
    </reviewItem>
    <reviewItem>
      <errorID>4d085eea-09e4-4b4c-b4d3-fc874431b0bc</errorID>
      <errorWord>噪音</errorWord>
      <group>L1_Word</group>
      <groupName>字词问题</groupName>
      <ability>L2_Alias</ability>
      <abilityName>也作/曾用词</abilityName>
      <candidateList>
        <item>噪声</item>
      </candidateList>
      <explain>词汇[噪音]为不规范表述或旧称，其规范书面表述为[噪声]。</explain>
      <paraID>4334AA0A</paraID>
      <start>15</start>
      <end>17</end>
      <status>modified</status>
      <modifiedWord>噪声</modifiedWord>
      <trackRevisions>false</trackRevisions>
    </reviewItem>
    <reviewItem>
      <errorID>d12a528c-d558-4631-9316-56c35b51bdf3</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68A37CE3</paraID>
      <start>19</start>
      <end>20</end>
      <status>modified</status>
      <modifiedWord>—</modifiedWord>
      <trackRevisions>false</trackRevisions>
    </reviewItem>
    <reviewItem>
      <errorID>7cec8068-a3b5-450b-86fb-8b11efcd2e1d</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7E564941</paraID>
      <start>15</start>
      <end>16</end>
      <status>modified</status>
      <modifiedWord>—</modifiedWord>
      <trackRevisions>false</trackRevisions>
    </reviewItem>
    <reviewItem>
      <errorID>48e5139c-7a12-4b44-bffe-132ea3078d2b</errorID>
      <errorWord>0）、</errorWord>
      <group>L1_Punc</group>
      <groupName>标点问题</groupName>
      <ability>L2_Punc_CN</ability>
      <abilityName>标点符号检查</abilityName>
      <candidateList>
        <item>0）</item>
      </candidateList>
      <explain>根据国标GB/T 15834-2011《标点符号用法》中的4.5.3.3节，带括号的汉字数字或阿拉伯数字表次序时，后面通常不加顿号。如“（一）指导思想”“（二）行动指南”。</explain>
      <paraID>1F0E12A6</paraID>
      <start>556</start>
      <end>559</end>
      <status>ignored</status>
      <modifiedWord/>
      <trackRevisions>false</trackRevisions>
    </reviewItem>
    <reviewItem>
      <errorID>3a25c1ca-bd63-425a-a53e-675cc1911b4d</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D06BFA9</paraID>
      <start>285</start>
      <end>286</end>
      <status>modified</status>
      <modifiedWord>—</modifiedWord>
      <trackRevisions>false</trackRevisions>
    </reviewItem>
    <reviewItem>
      <errorID>f23fa26f-e24c-4e28-a2ce-c93b59caa02b</errorID>
      <errorWord>:</errorWord>
      <group>L1_Format</group>
      <groupName>格式问题</groupName>
      <ability>L2_HalfPunc_CN</ability>
      <abilityName>全半角检查</abilityName>
      <candidateList>
        <item>：</item>
      </candidateList>
      <explain>文本全半角错误。</explain>
      <paraID>357E3EA7</paraID>
      <start>12</start>
      <end>13</end>
      <status>modified</status>
      <modifiedWord>：</modifiedWord>
      <trackRevisions>false</trackRevisions>
    </reviewItem>
    <reviewItem>
      <errorID>27823bf3-9d46-41ab-9bc6-5b1477ed37cc</errorID>
      <errorWord>WiFi</errorWord>
      <group>L1_Punc</group>
      <groupName>标点问题</groupName>
      <ability>L2_Punc_CN</ability>
      <abilityName>标点符号检查</abilityName>
      <candidateList>
        <item>Wi-Fi</item>
      </candidateList>
      <explain/>
      <paraID>50208848</paraID>
      <start>20</start>
      <end>25</end>
      <status>modified</status>
      <modifiedWord>Wi-Fi</modifiedWord>
      <trackRevisions>false</trackRevisions>
    </reviewItem>
    <reviewItem>
      <errorID>a193f1c5-c8ae-42a0-a1a3-07b48c59e047</errorID>
      <errorWord>做</errorWord>
      <group>L1_Word</group>
      <groupName>字词问题</groupName>
      <ability>L2_Typo</ability>
      <abilityName>字词错误</abilityName>
      <candidateList>
        <item>作</item>
      </candidateList>
      <explain>存在发音相同字词的误用。</explain>
      <paraID>7EBCB84D</paraID>
      <start>107</start>
      <end>108</end>
      <status>modified</status>
      <modifiedWord>作</modifiedWord>
      <trackRevisions>false</trackRevisions>
    </reviewItem>
    <reviewItem>
      <errorID>b090cfd0-4617-4880-800e-2a9c7921f6bf</errorID>
      <errorWord>产品具</errorWord>
      <group>L1_Word</group>
      <groupName>字词问题</groupName>
      <ability>L2_Typo</ability>
      <abilityName>字词错误</abilityName>
      <candidateList>
        <item>产品</item>
      </candidateList>
      <explain/>
      <paraID>6CE79F8A</paraID>
      <start>149</start>
      <end>151</end>
      <status>modified</status>
      <modifiedWord>产品</modifiedWord>
      <trackRevisions>false</trackRevisions>
    </reviewItem>
    <reviewItem>
      <errorID>733a5294-a37d-4498-a2dd-8e036b678225</errorID>
      <errorWord>/）</errorWord>
      <group>L1_Punc</group>
      <groupName>标点问题</groupName>
      <ability>L2_Punc_CN</ability>
      <abilityName>标点符号检查</abilityName>
      <candidateList>
        <item>）</item>
      </candidateList>
      <explain/>
      <paraID>6C59EAA4</paraID>
      <start>73</start>
      <end>75</end>
      <status>ignored</status>
      <modifiedWord/>
      <trackRevisions>false</trackRevisions>
    </reviewItem>
    <reviewItem>
      <errorID>a3da4ddb-7bca-4082-ad73-54f0e6c85d79</errorID>
      <errorWord>分</errorWord>
      <group>L1_Word</group>
      <groupName>字词问题</groupName>
      <ability>L2_Typo</ability>
      <abilityName>字词错误</abilityName>
      <candidateList>
        <item>分最</item>
      </candidateList>
      <explain/>
      <paraID>7041B316</paraID>
      <start>168</start>
      <end>169</end>
      <status>ignored</status>
      <modifiedWord/>
      <trackRevisions>false</trackRevisions>
    </reviewItem>
    <reviewItem>
      <errorID>ec61d36f-b4b3-4139-a49b-21ef54685bf3</errorID>
      <errorWord>:</errorWord>
      <group>L1_Format</group>
      <groupName>格式问题</groupName>
      <ability>L2_HalfPunc_CN</ability>
      <abilityName>全半角检查</abilityName>
      <candidateList>
        <item>：</item>
      </candidateList>
      <explain>文本全半角错误。</explain>
      <paraID>7A89A850</paraID>
      <start>61</start>
      <end>62</end>
      <status>modified</status>
      <modifiedWord>：</modifiedWord>
      <trackRevisions>false</trackRevisions>
    </reviewItem>
    <reviewItem>
      <errorID>a8e7d721-de0a-4acf-a613-93ae69cb4eda</errorID>
      <errorWord>:</errorWord>
      <group>L1_Format</group>
      <groupName>格式问题</groupName>
      <ability>L2_HalfPunc_CN</ability>
      <abilityName>全半角检查</abilityName>
      <candidateList>
        <item>：</item>
      </candidateList>
      <explain>文本全半角错误。</explain>
      <paraID>7A89A850</paraID>
      <start>77</start>
      <end>78</end>
      <status>modified</status>
      <modifiedWord>：</modifiedWord>
      <trackRevisions>false</trackRevisions>
    </reviewItem>
    <reviewItem>
      <errorID>ec544c86-bd0c-4cb5-bf63-0e45415b1e4a</errorID>
      <errorWord>:</errorWord>
      <group>L1_Format</group>
      <groupName>格式问题</groupName>
      <ability>L2_HalfPunc_CN</ability>
      <abilityName>全半角检查</abilityName>
      <candidateList>
        <item>：</item>
      </candidateList>
      <explain>文本全半角错误。</explain>
      <paraID> 2728E95</paraID>
      <start>69</start>
      <end>70</end>
      <status>modified</status>
      <modifiedWord>：</modifiedWord>
      <trackRevisions>false</trackRevisions>
    </reviewItem>
    <reviewItem>
      <errorID>42788cb5-deff-4df6-9d32-ee66fe6767c2</errorID>
      <errorWord>WiFi</errorWord>
      <group>L1_Punc</group>
      <groupName>标点问题</groupName>
      <ability>L2_Punc_CN</ability>
      <abilityName>标点符号检查</abilityName>
      <candidateList>
        <item>Wi-Fi</item>
      </candidateList>
      <explain/>
      <paraID> 2728E95</paraID>
      <start>131</start>
      <end>136</end>
      <status>modified</status>
      <modifiedWord>Wi-Fi</modifiedWord>
      <trackRevisions>false</trackRevisions>
    </reviewItem>
    <reviewItem>
      <errorID>0e4bf036-004f-4f7f-a58b-a30ee3080cc5</errorID>
      <errorWord>理</errorWord>
      <group>L1_Word</group>
      <groupName>字词问题</groupName>
      <ability>L2_Typo</ability>
      <abilityName>字词错误</abilityName>
      <candidateList>
        <item>理和</item>
      </candidateList>
      <explain/>
      <paraID>72DD1501</paraID>
      <start>20</start>
      <end>21</end>
      <status>ignored</status>
      <modifiedWord/>
      <trackRevisions>false</trackRevisions>
    </reviewItem>
    <reviewItem>
      <errorID>ef30032c-bb14-45b6-ad0d-3d399dbdc7b8</errorID>
      <errorWord>证证</errorWord>
      <group>L1_Word</group>
      <groupName>字词问题</groupName>
      <ability>L2_Typo</ability>
      <abilityName>字词错误</abilityName>
      <candidateList>
        <item>证</item>
      </candidateList>
      <explain/>
      <paraID>312A2905</paraID>
      <start>86</start>
      <end>87</end>
      <status>modified</status>
      <modifiedWord>证</modifiedWord>
      <trackRevisions>false</trackRevisions>
    </reviewItem>
    <reviewItem>
      <errorID>0fd56cc6-2584-4fe8-93f1-6ded8607769d</errorID>
      <errorWord>（</errorWord>
      <group>L1_Punc</group>
      <groupName>标点问题</groupName>
      <ability>L2_Punc_CN</ability>
      <abilityName>标点符号检查</abilityName>
      <candidateList/>
      <explain>同一形式括号套用。</explain>
      <paraID>21148AA2</paraID>
      <start>67</start>
      <end>68</end>
      <status>ignored</status>
      <modifiedWord/>
      <trackRevisions>false</trackRevisions>
    </reviewItem>
    <reviewItem>
      <errorID>4a570eec-2345-4e8f-b407-04a4281cd5ab</errorID>
      <errorWord>）</errorWord>
      <group>L1_Punc</group>
      <groupName>标点问题</groupName>
      <ability>L2_Punc_CN</ability>
      <abilityName>标点符号检查</abilityName>
      <candidateList/>
      <explain>同一形式括号套用。</explain>
      <paraID>21148AA2</paraID>
      <start>70</start>
      <end>71</end>
      <status>ignored</status>
      <modifiedWord/>
      <trackRevisions>false</trackRevisions>
    </reviewItem>
  </reviewItems>
  <config/>
</contractReview>
</file>

<file path=customXml/itemProps1.xml><?xml version="1.0" encoding="utf-8"?>
<ds:datastoreItem xmlns:ds="http://schemas.openxmlformats.org/officeDocument/2006/customXml" ds:itemID="{20CC013E-F695-4BD3-8698-3770C551CA8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陈旻晔</dc:creator>
  <cp:lastModifiedBy>陈旻晔</cp:lastModifiedBy>
  <cp:revision>3</cp:revision>
  <dcterms:created xsi:type="dcterms:W3CDTF">2026-05-11T09:26:00Z</dcterms:created>
  <dcterms:modified xsi:type="dcterms:W3CDTF">2026-07-21T06:34:56Z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CA3C1D7BAD0145BB86E4E7653BFBA84E_13</vt:lpwstr>
  </property>
  <property fmtid="{D5CDD505-2E9C-101B-9397-08002B2CF9AE}" pid="4" name="KSOTemplateDocerSaveRecord">
    <vt:lpwstr>eyJoZGlkIjoiNDkxYTU0MTlhN2JkMTg2ZDJjNDBmNDY3Y2MxZGM4YTYiLCJ1c2VySWQiOiIxNzg3NTA3MTM2In0=</vt:lpwstr>
  </property>
</Properties>
</file>