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firstLine="560"/>
        <w:jc w:val="left"/>
        <w:spacing w:line="520" w:lineRule="atLeast"/>
        <w:widowControl/>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jc w:val="center"/>
        <w:spacing w:before="100" w:after="100" w:line="360" w:lineRule="auto"/>
        <w:rPr>
          <w:rFonts w:ascii="Microsoft New Tai Lue" w:hAnsi="Microsoft New Tai Lue" w:cs="Microsoft New Tai Lue"/>
          <w:b/>
          <w:color w:val="auto"/>
          <w:sz w:val="60"/>
          <w:szCs w:val="60"/>
          <w:highlight w:val="none"/>
        </w:rPr>
      </w:pPr>
      <w:r>
        <w:rPr>
          <w:rFonts w:hint="eastAsia"/>
          <w:b/>
          <w:color w:val="auto"/>
          <w:sz w:val="52"/>
          <w:szCs w:val="52"/>
          <w:highlight w:val="none"/>
        </w:rPr>
        <w:t xml:space="preserve">中科南京工业人工智能研究院QJ1H-SoC芯片设计和流片服务项目</w:t>
      </w:r>
      <w:r/>
    </w:p>
    <w:p>
      <w:pPr>
        <w:pStyle w:val="896"/>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896"/>
        <w:rPr>
          <w:rFonts w:ascii="Microsoft New Tai Lue" w:hAnsi="Microsoft New Tai Lue" w:cs="Microsoft New Tai Lue"/>
          <w:b/>
          <w:color w:val="auto"/>
          <w:sz w:val="84"/>
          <w:szCs w:val="84"/>
          <w:highlight w:val="none"/>
        </w:rPr>
      </w:pPr>
      <w:r>
        <w:rPr>
          <w:rFonts w:hint="eastAsia" w:ascii="Microsoft New Tai Lue" w:hAnsi="Microsoft New Tai Lue" w:cs="Microsoft New Tai Lue"/>
          <w:b/>
          <w:color w:val="auto"/>
          <w:sz w:val="84"/>
          <w:szCs w:val="84"/>
          <w:highlight w:val="none"/>
        </w:rPr>
        <w:t xml:space="preserve">  </w:t>
      </w:r>
      <w:r/>
    </w:p>
    <w:p>
      <w:pPr>
        <w:pStyle w:val="896"/>
        <w:jc w:val="center"/>
        <w:rPr>
          <w:rFonts w:ascii="Microsoft New Tai Lue" w:hAnsi="Microsoft New Tai Lue" w:cs="Microsoft New Tai Lue"/>
          <w:b/>
          <w:color w:val="auto"/>
          <w:sz w:val="84"/>
          <w:szCs w:val="84"/>
          <w:highlight w:val="none"/>
        </w:rPr>
      </w:pPr>
      <w:r>
        <w:rPr>
          <w:rFonts w:ascii="Microsoft New Tai Lue" w:hAnsi="Microsoft New Tai Lue" w:cs="Microsoft New Tai Lue"/>
          <w:b/>
          <w:color w:val="auto"/>
          <w:sz w:val="84"/>
          <w:szCs w:val="84"/>
          <w:highlight w:val="none"/>
        </w:rPr>
        <w:t xml:space="preserve">招 标 文 件</w:t>
      </w:r>
      <w:r/>
    </w:p>
    <w:p>
      <w:pPr>
        <w:jc w:val="center"/>
        <w:spacing w:line="440" w:lineRule="exact"/>
        <w:rPr>
          <w:rFonts w:ascii="Microsoft New Tai Lue" w:hAnsi="Microsoft New Tai Lue" w:cs="Microsoft New Tai Lue"/>
          <w:b/>
          <w:color w:val="auto"/>
          <w:sz w:val="96"/>
          <w:highlight w:val="none"/>
        </w:rPr>
      </w:pPr>
      <w:r>
        <w:rPr>
          <w:rFonts w:ascii="Microsoft New Tai Lue" w:hAnsi="Microsoft New Tai Lue" w:cs="Microsoft New Tai Lue"/>
          <w:b/>
          <w:color w:val="auto"/>
          <w:sz w:val="96"/>
          <w:highlight w:val="none"/>
        </w:rPr>
      </w:r>
      <w:r/>
    </w:p>
    <w:p>
      <w:pPr>
        <w:ind w:right="640"/>
        <w:jc w:val="center"/>
        <w:spacing w:line="360" w:lineRule="auto"/>
        <w:rPr>
          <w:rFonts w:hint="eastAsia" w:ascii="Microsoft New Tai Lue" w:hAnsi="Microsoft New Tai Lue" w:eastAsia="宋体" w:cs="Microsoft New Tai Lue"/>
          <w:b/>
          <w:color w:val="auto"/>
          <w:sz w:val="44"/>
          <w:szCs w:val="44"/>
          <w:highlight w:val="none"/>
          <w:lang w:eastAsia="zh-CN"/>
        </w:rPr>
      </w:pPr>
      <w:r>
        <w:rPr>
          <w:rFonts w:ascii="Microsoft New Tai Lue" w:hAnsi="Microsoft New Tai Lue" w:cs="Microsoft New Tai Lue"/>
          <w:b/>
          <w:color w:val="auto"/>
          <w:sz w:val="52"/>
          <w:szCs w:val="52"/>
          <w:highlight w:val="none"/>
        </w:rPr>
        <w:t xml:space="preserve"> </w:t>
      </w:r>
      <w:r>
        <w:rPr>
          <w:rFonts w:ascii="Microsoft New Tai Lue" w:hAnsi="Microsoft New Tai Lue" w:cs="Microsoft New Tai Lue"/>
          <w:b/>
          <w:color w:val="auto"/>
          <w:sz w:val="44"/>
          <w:szCs w:val="44"/>
          <w:highlight w:val="none"/>
        </w:rPr>
        <w:t xml:space="preserve">  项目编号：</w:t>
      </w:r>
      <w:r>
        <w:rPr>
          <w:rFonts w:hint="eastAsia" w:ascii="Microsoft New Tai Lue" w:hAnsi="Microsoft New Tai Lue" w:cs="Microsoft New Tai Lue"/>
          <w:b/>
          <w:color w:val="auto"/>
          <w:sz w:val="44"/>
          <w:szCs w:val="44"/>
          <w:highlight w:val="none"/>
          <w:lang w:eastAsia="zh-CN"/>
        </w:rPr>
        <w:t xml:space="preserve">JSZC-320100-JITC-G2026-0270</w:t>
      </w:r>
      <w:r/>
    </w:p>
    <w:p>
      <w:pPr>
        <w:ind w:right="640"/>
        <w:jc w:val="center"/>
        <w:spacing w:line="360" w:lineRule="auto"/>
        <w:rPr>
          <w:rFonts w:ascii="Microsoft New Tai Lue" w:hAnsi="Microsoft New Tai Lue" w:cs="Microsoft New Tai Lue"/>
          <w:b/>
          <w:color w:val="auto"/>
          <w:sz w:val="44"/>
          <w:szCs w:val="44"/>
          <w:highlight w:val="none"/>
        </w:rPr>
      </w:pPr>
      <w:r>
        <w:rPr>
          <w:rFonts w:ascii="Microsoft New Tai Lue" w:hAnsi="Microsoft New Tai Lue" w:cs="Microsoft New Tai Lue"/>
          <w:b/>
          <w:color w:val="auto"/>
          <w:sz w:val="44"/>
          <w:szCs w:val="44"/>
          <w:highlight w:val="none"/>
        </w:rPr>
      </w:r>
      <w:r/>
    </w:p>
    <w:p>
      <w:pPr>
        <w:ind w:right="640"/>
        <w:spacing w:line="360" w:lineRule="auto"/>
        <w:rPr>
          <w:rFonts w:ascii="Microsoft New Tai Lue" w:hAnsi="Microsoft New Tai Lue" w:cs="Microsoft New Tai Lue"/>
          <w:color w:val="auto"/>
          <w:sz w:val="32"/>
          <w:highlight w:val="none"/>
        </w:rPr>
      </w:pPr>
      <w:r>
        <w:rPr>
          <w:rFonts w:ascii="Microsoft New Tai Lue" w:hAnsi="Microsoft New Tai Lue" w:cs="Microsoft New Tai Lue"/>
          <w:color w:val="auto"/>
          <w:sz w:val="32"/>
          <w:highlight w:val="none"/>
        </w:rPr>
      </w:r>
      <w:r/>
    </w:p>
    <w:p>
      <w:pPr>
        <w:ind w:right="640"/>
        <w:spacing w:line="360" w:lineRule="auto"/>
        <w:rPr>
          <w:rFonts w:ascii="Microsoft New Tai Lue" w:hAnsi="Microsoft New Tai Lue" w:cs="Microsoft New Tai Lue"/>
          <w:color w:val="auto"/>
          <w:sz w:val="32"/>
          <w:highlight w:val="none"/>
        </w:rPr>
      </w:pPr>
      <w:r>
        <w:rPr>
          <w:rFonts w:hint="eastAsia" w:ascii="Microsoft New Tai Lue" w:hAnsi="Microsoft New Tai Lue" w:cs="Microsoft New Tai Lue"/>
          <w:color w:val="auto"/>
          <w:sz w:val="32"/>
          <w:highlight w:val="none"/>
        </w:rPr>
        <w:t xml:space="preserve">  </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采购人：</w:t>
      </w:r>
      <w:r>
        <w:rPr>
          <w:rFonts w:hint="eastAsia" w:ascii="Microsoft New Tai Lue" w:hAnsi="Microsoft New Tai Lue" w:cs="Microsoft New Tai Lue"/>
          <w:b/>
          <w:color w:val="auto"/>
          <w:sz w:val="32"/>
          <w:highlight w:val="none"/>
        </w:rPr>
        <w:t xml:space="preserve">中科南京工业人工智能研究院</w:t>
      </w:r>
      <w:r/>
    </w:p>
    <w:p>
      <w:pPr>
        <w:jc w:val="center"/>
        <w:spacing w:line="360" w:lineRule="auto"/>
        <w:tabs>
          <w:tab w:val="left" w:pos="360" w:leader="none"/>
        </w:tabs>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t xml:space="preserve">采购代理机构：江苏省招标中心有限公司</w:t>
      </w:r>
      <w:r/>
    </w:p>
    <w:p>
      <w:pPr>
        <w:pStyle w:val="916"/>
        <w:rPr>
          <w:rFonts w:ascii="Microsoft New Tai Lue" w:hAnsi="Microsoft New Tai Lue" w:cs="Microsoft New Tai Lue"/>
          <w:color w:val="auto"/>
          <w:highlight w:val="none"/>
        </w:rPr>
        <w:sectPr>
          <w:footerReference w:type="default" r:id="rId11"/>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ascii="Microsoft New Tai Lue" w:hAnsi="Microsoft New Tai Lue" w:cs="Microsoft New Tai Lue"/>
          <w:color w:val="auto"/>
          <w:highlight w:val="none"/>
        </w:rPr>
        <w:t xml:space="preserve">二〇二六年八月</w:t>
      </w:r>
      <w:r/>
    </w:p>
    <w:p>
      <w:pPr>
        <w:jc w:val="center"/>
        <w:spacing w:line="500" w:lineRule="exact"/>
        <w:rPr>
          <w:rFonts w:ascii="Microsoft New Tai Lue" w:hAnsi="Microsoft New Tai Lue" w:cs="Microsoft New Tai Lue"/>
          <w:b/>
          <w:color w:val="auto"/>
          <w:sz w:val="32"/>
          <w:szCs w:val="32"/>
          <w:highlight w:val="none"/>
        </w:rPr>
      </w:pPr>
      <w:r/>
      <w:bookmarkStart w:id="0" w:name="_Toc80264696"/>
      <w:r/>
      <w:bookmarkStart w:id="1" w:name="_Toc531620161"/>
      <w:r>
        <w:rPr>
          <w:rFonts w:ascii="Microsoft New Tai Lue" w:hAnsi="Microsoft New Tai Lue" w:cs="Microsoft New Tai Lue"/>
          <w:b/>
          <w:color w:val="auto"/>
          <w:sz w:val="32"/>
          <w:szCs w:val="32"/>
          <w:highlight w:val="none"/>
        </w:rPr>
        <w:t xml:space="preserve">目   录</w:t>
      </w:r>
      <w:r/>
    </w:p>
    <w:p>
      <w:pPr>
        <w:pStyle w:val="905"/>
        <w:ind w:right="210"/>
        <w:spacing w:line="360" w:lineRule="auto"/>
        <w:tabs>
          <w:tab w:val="right" w:pos="8834" w:leader="dot"/>
        </w:tabs>
        <w:rPr>
          <w:rFonts w:hint="eastAsia" w:ascii="等线" w:hAnsi="等线" w:eastAsia="等线"/>
          <w:color w:val="auto"/>
          <w:sz w:val="21"/>
          <w:szCs w:val="22"/>
          <w:highlight w:val="none"/>
        </w:rPr>
      </w:pPr>
      <w:r>
        <w:rPr>
          <w:rFonts w:ascii="宋体" w:hAnsi="宋体" w:eastAsia="宋体"/>
          <w:color w:val="auto"/>
          <w:highlight w:val="none"/>
        </w:rPr>
        <w:fldChar w:fldCharType="begin"/>
      </w:r>
      <w:r>
        <w:rPr>
          <w:rFonts w:ascii="宋体" w:hAnsi="宋体" w:eastAsia="宋体"/>
          <w:color w:val="auto"/>
          <w:highlight w:val="none"/>
        </w:rPr>
        <w:instrText xml:space="preserve"> TOC \o "1-3" \h \z \u </w:instrText>
      </w:r>
      <w:r>
        <w:rPr>
          <w:rFonts w:ascii="宋体" w:hAnsi="宋体" w:eastAsia="宋体"/>
          <w:color w:val="auto"/>
          <w:highlight w:val="none"/>
        </w:rPr>
        <w:fldChar w:fldCharType="separate"/>
      </w:r>
      <w:r/>
    </w:p>
    <w:p>
      <w:pPr>
        <w:pStyle w:val="905"/>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"_Toc107246211" </w:instrText>
      </w:r>
      <w:r>
        <w:rPr>
          <w:color w:val="auto"/>
          <w:highlight w:val="none"/>
        </w:rPr>
        <w:fldChar w:fldCharType="separate"/>
      </w:r>
      <w:r>
        <w:rPr>
          <w:rStyle w:val="924"/>
          <w:rFonts w:ascii="宋体" w:hAnsi="宋体" w:eastAsia="宋体" w:cs="Microsoft New Tai Lue"/>
          <w:color w:val="auto"/>
          <w:highlight w:val="none"/>
        </w:rPr>
        <w:t xml:space="preserve">第一章</w:t>
      </w:r>
      <w:r>
        <w:rPr>
          <w:rStyle w:val="924"/>
          <w:rFonts w:hint="eastAsia" w:ascii="宋体" w:hAnsi="宋体" w:eastAsia="宋体" w:cs="Microsoft New Tai Lue"/>
          <w:color w:val="auto"/>
          <w:highlight w:val="none"/>
        </w:rPr>
        <w:t xml:space="preserve"> </w:t>
      </w:r>
      <w:r>
        <w:rPr>
          <w:rStyle w:val="924"/>
          <w:rFonts w:ascii="宋体" w:hAnsi="宋体" w:eastAsia="宋体" w:cs="Microsoft New Tai Lue"/>
          <w:color w:val="auto"/>
          <w:highlight w:val="none"/>
        </w:rPr>
        <w:t xml:space="preserve">招标公告</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_Toc107246211 \h </w:instrText>
      </w:r>
      <w:r>
        <w:rPr>
          <w:rFonts w:ascii="宋体" w:hAnsi="宋体" w:eastAsia="宋体"/>
          <w:color w:val="auto"/>
          <w:highlight w:val="none"/>
        </w:rPr>
        <w:fldChar w:fldCharType="separate"/>
      </w:r>
      <w:r>
        <w:rPr>
          <w:rFonts w:ascii="宋体" w:hAnsi="宋体" w:eastAsia="宋体"/>
          <w:color w:val="auto"/>
          <w:highlight w:val="none"/>
        </w:rPr>
        <w:t xml:space="preserve">2</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905"/>
        <w:ind w:right="210"/>
        <w:spacing w:line="360" w:lineRule="auto"/>
        <w:tabs>
          <w:tab w:val="left" w:pos="780" w:leader="none"/>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"_Toc107246212" </w:instrText>
      </w:r>
      <w:r>
        <w:rPr>
          <w:color w:val="auto"/>
          <w:highlight w:val="none"/>
        </w:rPr>
        <w:fldChar w:fldCharType="separate"/>
      </w:r>
      <w:r>
        <w:rPr>
          <w:rStyle w:val="924"/>
          <w:rFonts w:ascii="宋体" w:hAnsi="宋体" w:eastAsia="宋体" w:cs="Microsoft New Tai Lue"/>
          <w:color w:val="auto"/>
          <w:highlight w:val="none"/>
        </w:rPr>
        <w:t xml:space="preserve">第二章</w:t>
      </w:r>
      <w:r>
        <w:rPr>
          <w:rStyle w:val="924"/>
          <w:rFonts w:hint="eastAsia" w:ascii="宋体" w:hAnsi="宋体" w:eastAsia="宋体" w:cs="Microsoft New Tai Lue"/>
          <w:color w:val="auto"/>
          <w:highlight w:val="none"/>
        </w:rPr>
        <w:t xml:space="preserve"> </w:t>
      </w:r>
      <w:r>
        <w:rPr>
          <w:rStyle w:val="924"/>
          <w:rFonts w:ascii="宋体" w:hAnsi="宋体" w:eastAsia="宋体" w:cs="Microsoft New Tai Lue"/>
          <w:color w:val="auto"/>
          <w:highlight w:val="none"/>
        </w:rPr>
        <w:t xml:space="preserve">投标人须知</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_Toc107246212 \h </w:instrText>
      </w:r>
      <w:r>
        <w:rPr>
          <w:rFonts w:ascii="宋体" w:hAnsi="宋体" w:eastAsia="宋体"/>
          <w:color w:val="auto"/>
          <w:highlight w:val="none"/>
        </w:rPr>
        <w:fldChar w:fldCharType="separate"/>
      </w:r>
      <w:r>
        <w:rPr>
          <w:rFonts w:ascii="宋体" w:hAnsi="宋体" w:eastAsia="宋体"/>
          <w:color w:val="auto"/>
          <w:highlight w:val="none"/>
        </w:rPr>
        <w:t xml:space="preserve">6</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905"/>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"_Toc107246270" </w:instrText>
      </w:r>
      <w:r>
        <w:rPr>
          <w:color w:val="auto"/>
          <w:highlight w:val="none"/>
        </w:rPr>
        <w:fldChar w:fldCharType="separate"/>
      </w:r>
      <w:r>
        <w:rPr>
          <w:rStyle w:val="924"/>
          <w:rFonts w:ascii="宋体" w:hAnsi="宋体" w:eastAsia="宋体" w:cs="Microsoft New Tai Lue"/>
          <w:color w:val="auto"/>
          <w:highlight w:val="none"/>
        </w:rPr>
        <w:t xml:space="preserve">第三章 政府采购合同条款及格式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_Toc107246270 \h </w:instrText>
      </w:r>
      <w:r>
        <w:rPr>
          <w:rFonts w:ascii="宋体" w:hAnsi="宋体" w:eastAsia="宋体"/>
          <w:color w:val="auto"/>
          <w:highlight w:val="none"/>
        </w:rPr>
        <w:fldChar w:fldCharType="separate"/>
      </w:r>
      <w:r>
        <w:rPr>
          <w:rFonts w:ascii="宋体" w:hAnsi="宋体" w:eastAsia="宋体"/>
          <w:color w:val="auto"/>
          <w:highlight w:val="none"/>
        </w:rPr>
        <w:t xml:space="preserve">23</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905"/>
        <w:ind w:right="210"/>
        <w:spacing w:line="360" w:lineRule="auto"/>
        <w:tabs>
          <w:tab w:val="right" w:pos="8834" w:leader="dot"/>
        </w:tabs>
        <w:rPr>
          <w:rFonts w:hint="eastAsia" w:ascii="宋体" w:hAnsi="宋体" w:eastAsia="宋体"/>
          <w:color w:val="auto"/>
          <w:highlight w:val="none"/>
        </w:rPr>
      </w:pPr>
      <w:r>
        <w:rPr>
          <w:color w:val="auto"/>
          <w:highlight w:val="none"/>
        </w:rPr>
        <w:fldChar w:fldCharType="begin"/>
      </w:r>
      <w:r>
        <w:rPr>
          <w:color w:val="auto"/>
          <w:highlight w:val="none"/>
        </w:rPr>
        <w:instrText xml:space="preserve"> HYPERLINK \l "_Toc107246271" </w:instrText>
      </w:r>
      <w:r>
        <w:rPr>
          <w:color w:val="auto"/>
          <w:highlight w:val="none"/>
        </w:rPr>
        <w:fldChar w:fldCharType="separate"/>
      </w:r>
      <w:r>
        <w:rPr>
          <w:rStyle w:val="924"/>
          <w:rFonts w:ascii="宋体" w:hAnsi="宋体" w:eastAsia="宋体" w:cs="Microsoft New Tai Lue"/>
          <w:color w:val="auto"/>
          <w:highlight w:val="none"/>
        </w:rPr>
        <w:t xml:space="preserve">第四章 采购需求</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_Toc107246271 \h </w:instrText>
      </w:r>
      <w:r>
        <w:rPr>
          <w:rFonts w:ascii="宋体" w:hAnsi="宋体" w:eastAsia="宋体"/>
          <w:color w:val="auto"/>
          <w:highlight w:val="none"/>
        </w:rPr>
        <w:fldChar w:fldCharType="separate"/>
      </w:r>
      <w:r>
        <w:rPr>
          <w:rFonts w:ascii="宋体" w:hAnsi="宋体" w:eastAsia="宋体"/>
          <w:color w:val="auto"/>
          <w:highlight w:val="none"/>
        </w:rPr>
        <w:t xml:space="preserve">29</w:t>
      </w:r>
      <w:r>
        <w:rPr>
          <w:rFonts w:ascii="宋体" w:hAnsi="宋体" w:eastAsia="宋体"/>
          <w:color w:val="auto"/>
          <w:highlight w:val="none"/>
        </w:rPr>
        <w:fldChar w:fldCharType="end"/>
      </w:r>
      <w:r>
        <w:rPr>
          <w:rFonts w:ascii="宋体" w:hAnsi="宋体" w:eastAsia="宋体"/>
          <w:color w:val="auto"/>
          <w:highlight w:val="none"/>
        </w:rPr>
        <w:fldChar w:fldCharType="end"/>
      </w:r>
      <w:r/>
    </w:p>
    <w:p>
      <w:pPr>
        <w:pStyle w:val="905"/>
        <w:ind w:right="210"/>
        <w:spacing w:line="360" w:lineRule="auto"/>
        <w:tabs>
          <w:tab w:val="right" w:pos="8834" w:leader="dot"/>
        </w:tabs>
        <w:rPr>
          <w:rFonts w:hint="eastAsia" w:ascii="宋体" w:hAnsi="宋体" w:eastAsia="宋体"/>
          <w:color w:val="auto"/>
          <w:highlight w:val="none"/>
          <w:lang w:val="en-US" w:eastAsia="zh-CN"/>
        </w:rPr>
      </w:pPr>
      <w:r>
        <w:rPr>
          <w:color w:val="auto"/>
          <w:highlight w:val="none"/>
        </w:rPr>
        <w:fldChar w:fldCharType="begin"/>
      </w:r>
      <w:r>
        <w:rPr>
          <w:color w:val="auto"/>
          <w:highlight w:val="none"/>
        </w:rPr>
        <w:instrText xml:space="preserve"> HYPERLINK \l "_Toc107246272" </w:instrText>
      </w:r>
      <w:r>
        <w:rPr>
          <w:color w:val="auto"/>
          <w:highlight w:val="none"/>
        </w:rPr>
        <w:fldChar w:fldCharType="separate"/>
      </w:r>
      <w:r>
        <w:rPr>
          <w:rStyle w:val="924"/>
          <w:rFonts w:ascii="宋体" w:hAnsi="宋体" w:eastAsia="宋体" w:cs="Microsoft New Tai Lue"/>
          <w:color w:val="auto"/>
          <w:highlight w:val="none"/>
        </w:rPr>
        <w:t xml:space="preserve">第五章 评标方法与评标标准</w:t>
      </w:r>
      <w:r>
        <w:rPr>
          <w:rFonts w:ascii="宋体" w:hAnsi="宋体" w:eastAsia="宋体"/>
          <w:color w:val="auto"/>
          <w:highlight w:val="none"/>
        </w:rPr>
        <w:tab/>
      </w:r>
      <w:r>
        <w:rPr>
          <w:rFonts w:hint="eastAsia" w:ascii="宋体" w:hAnsi="宋体" w:eastAsia="宋体"/>
          <w:color w:val="auto"/>
          <w:highlight w:val="none"/>
          <w:lang w:val="en-US" w:eastAsia="zh-CN"/>
        </w:rPr>
        <w:t xml:space="preserve">4</w:t>
      </w:r>
      <w:r>
        <w:rPr>
          <w:rFonts w:ascii="宋体" w:hAnsi="宋体" w:eastAsia="宋体"/>
          <w:color w:val="auto"/>
          <w:highlight w:val="none"/>
        </w:rPr>
        <w:fldChar w:fldCharType="end"/>
      </w:r>
      <w:r>
        <w:rPr>
          <w:rFonts w:hint="eastAsia" w:ascii="宋体" w:hAnsi="宋体" w:eastAsia="宋体"/>
          <w:color w:val="auto"/>
          <w:highlight w:val="none"/>
          <w:lang w:val="en-US" w:eastAsia="zh-CN"/>
        </w:rPr>
        <w:t xml:space="preserve">4</w:t>
      </w:r>
      <w:r/>
    </w:p>
    <w:p>
      <w:pPr>
        <w:pStyle w:val="905"/>
        <w:ind w:right="210"/>
        <w:spacing w:line="360" w:lineRule="auto"/>
        <w:tabs>
          <w:tab w:val="right" w:pos="8834" w:leader="dot"/>
        </w:tabs>
        <w:rPr>
          <w:rFonts w:hint="eastAsia" w:ascii="等线" w:hAnsi="等线" w:eastAsia="等线"/>
          <w:color w:val="auto"/>
          <w:sz w:val="21"/>
          <w:szCs w:val="22"/>
          <w:highlight w:val="none"/>
        </w:rPr>
      </w:pPr>
      <w:r>
        <w:rPr>
          <w:color w:val="auto"/>
          <w:highlight w:val="none"/>
        </w:rPr>
        <w:fldChar w:fldCharType="begin"/>
      </w:r>
      <w:r>
        <w:rPr>
          <w:color w:val="auto"/>
          <w:highlight w:val="none"/>
        </w:rPr>
        <w:instrText xml:space="preserve"> HYPERLINK \l "_Toc107246273" </w:instrText>
      </w:r>
      <w:r>
        <w:rPr>
          <w:color w:val="auto"/>
          <w:highlight w:val="none"/>
        </w:rPr>
        <w:fldChar w:fldCharType="separate"/>
      </w:r>
      <w:r>
        <w:rPr>
          <w:rStyle w:val="924"/>
          <w:rFonts w:ascii="宋体" w:hAnsi="宋体" w:eastAsia="宋体" w:cs="Microsoft New Tai Lue"/>
          <w:color w:val="auto"/>
          <w:highlight w:val="none"/>
        </w:rPr>
        <w:t xml:space="preserve">第六章 投标文件格式</w:t>
      </w:r>
      <w:r>
        <w:rPr>
          <w:rFonts w:ascii="宋体" w:hAnsi="宋体" w:eastAsia="宋体"/>
          <w:color w:val="auto"/>
          <w:highlight w:val="none"/>
        </w:rPr>
        <w:tab/>
      </w:r>
      <w:r>
        <w:rPr>
          <w:rFonts w:ascii="宋体" w:hAnsi="宋体" w:eastAsia="宋体"/>
          <w:color w:val="auto"/>
          <w:highlight w:val="none"/>
        </w:rPr>
        <w:fldChar w:fldCharType="begin"/>
      </w:r>
      <w:r>
        <w:rPr>
          <w:rFonts w:ascii="宋体" w:hAnsi="宋体" w:eastAsia="宋体"/>
          <w:color w:val="auto"/>
          <w:highlight w:val="none"/>
        </w:rPr>
        <w:instrText xml:space="preserve"> PAGEREF _Toc107246273 \h </w:instrText>
      </w:r>
      <w:r>
        <w:rPr>
          <w:rFonts w:ascii="宋体" w:hAnsi="宋体" w:eastAsia="宋体"/>
          <w:color w:val="auto"/>
          <w:highlight w:val="none"/>
        </w:rPr>
        <w:fldChar w:fldCharType="separate"/>
      </w:r>
      <w:r>
        <w:rPr>
          <w:rFonts w:ascii="宋体" w:hAnsi="宋体" w:eastAsia="宋体"/>
          <w:color w:val="auto"/>
          <w:highlight w:val="none"/>
        </w:rPr>
        <w:t xml:space="preserve">47</w:t>
      </w:r>
      <w:r>
        <w:rPr>
          <w:rFonts w:ascii="宋体" w:hAnsi="宋体" w:eastAsia="宋体"/>
          <w:color w:val="auto"/>
          <w:highlight w:val="none"/>
        </w:rPr>
        <w:fldChar w:fldCharType="end"/>
      </w:r>
      <w:r>
        <w:rPr>
          <w:rFonts w:ascii="宋体" w:hAnsi="宋体" w:eastAsia="宋体"/>
          <w:color w:val="auto"/>
          <w:highlight w:val="none"/>
        </w:rPr>
        <w:fldChar w:fldCharType="end"/>
      </w:r>
      <w:r>
        <w:rPr>
          <w:rFonts w:ascii="宋体" w:hAnsi="宋体" w:eastAsia="宋体"/>
          <w:color w:val="auto"/>
          <w:highlight w:val="none"/>
        </w:rPr>
        <w:fldChar w:fldCharType="end"/>
      </w:r>
      <w:r/>
    </w:p>
    <w:p>
      <w:pPr>
        <w:spacing w:line="360" w:lineRule="auto"/>
        <w:rPr>
          <w:rFonts w:ascii="Microsoft New Tai Lue" w:hAnsi="Microsoft New Tai Lue" w:cs="Microsoft New Tai Lue"/>
          <w:color w:val="auto"/>
          <w:highlight w:val="none"/>
        </w:rPr>
      </w:pPr>
      <w:r>
        <w:rPr>
          <w:rFonts w:ascii="Microsoft New Tai Lue" w:hAnsi="Microsoft New Tai Lue" w:cs="Microsoft New Tai Lue"/>
          <w:b/>
          <w:bCs/>
          <w:color w:val="auto"/>
          <w:sz w:val="32"/>
          <w:highlight w:val="none"/>
          <w:lang w:val="zh-CN"/>
        </w:rPr>
        <w:br w:type="page" w:clear="all"/>
      </w:r>
      <w:bookmarkEnd w:id="0"/>
      <w:r/>
      <w:bookmarkEnd w:id="1"/>
      <w:r/>
      <w:r/>
    </w:p>
    <w:p>
      <w:pPr>
        <w:pStyle w:val="916"/>
        <w:numPr>
          <w:ilvl w:val="0"/>
          <w:numId w:val="2"/>
        </w:numPr>
        <w:rPr>
          <w:rFonts w:ascii="Microsoft New Tai Lue" w:hAnsi="Microsoft New Tai Lue" w:cs="Microsoft New Tai Lue"/>
          <w:color w:val="auto"/>
          <w:highlight w:val="none"/>
        </w:rPr>
      </w:pPr>
      <w:r/>
      <w:bookmarkStart w:id="2" w:name="_Toc107246211"/>
      <w:r/>
      <w:bookmarkStart w:id="3" w:name="_Toc80264697"/>
      <w:r/>
      <w:bookmarkStart w:id="4" w:name="_Toc80792688"/>
      <w:r>
        <w:rPr>
          <w:rFonts w:hint="eastAsia" w:ascii="Microsoft New Tai Lue" w:hAnsi="Microsoft New Tai Lue" w:cs="Microsoft New Tai Lue"/>
          <w:color w:val="auto"/>
          <w:highlight w:val="none"/>
        </w:rPr>
        <w:t xml:space="preserve">招标公告</w:t>
      </w:r>
      <w:bookmarkEnd w:id="2"/>
      <w:r/>
      <w:r/>
    </w:p>
    <w:p>
      <w:pPr>
        <w:ind w:firstLine="420"/>
        <w:spacing w:line="360" w:lineRule="auto"/>
        <w:tabs>
          <w:tab w:val="left" w:pos="2268" w:leader="none"/>
        </w:tabs>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ascii="Microsoft New Tai Lue" w:hAnsi="Microsoft New Tai Lue" w:cs="Microsoft New Tai Lue"/>
          <w:bCs/>
          <w:color w:val="auto"/>
          <w:szCs w:val="21"/>
          <w:highlight w:val="none"/>
        </w:rPr>
        <w:t xml:space="preserve">项目概况</w:t>
      </w:r>
      <w:r>
        <w:rPr>
          <w:color w:val="auto"/>
          <w:highlight w:val="none"/>
        </w:rPr>
        <w:tab/>
      </w:r>
      <w:r/>
    </w:p>
    <w:p>
      <w:pPr>
        <w:ind w:firstLine="420"/>
        <w:spacing w:line="360" w:lineRule="auto"/>
        <w:rPr>
          <w:rFonts w:ascii="Microsoft New Tai Lue" w:hAnsi="Microsoft New Tai Lue" w:cs="Microsoft New Tai Lue"/>
          <w:bCs/>
          <w:color w:val="auto"/>
          <w:szCs w:val="21"/>
          <w:highlight w:val="none"/>
        </w:rPr>
        <w:pBdr>
          <w:top w:val="single" w:color="auto" w:sz="4" w:space="1"/>
          <w:left w:val="single" w:color="auto" w:sz="4" w:space="4"/>
          <w:bottom w:val="single" w:color="auto" w:sz="4" w:space="1"/>
          <w:right w:val="single" w:color="auto" w:sz="4" w:space="4"/>
        </w:pBdr>
      </w:pPr>
      <w:r>
        <w:rPr>
          <w:rFonts w:hint="eastAsia"/>
          <w:bCs/>
          <w:color w:val="auto"/>
          <w:szCs w:val="21"/>
          <w:highlight w:val="none"/>
          <w:u w:val="single"/>
        </w:rPr>
        <w:t xml:space="preserve">中科南京工业人工智能研究院QJ1H-SoC芯片设计和流片服务项目</w:t>
      </w:r>
      <w:r>
        <w:rPr>
          <w:rFonts w:hint="eastAsia"/>
          <w:bCs/>
          <w:color w:val="auto"/>
          <w:szCs w:val="21"/>
          <w:highlight w:val="none"/>
        </w:rPr>
        <w:t xml:space="preserve"> </w:t>
      </w:r>
      <w:r>
        <w:rPr>
          <w:rFonts w:hint="eastAsia"/>
          <w:bCs/>
          <w:color w:val="auto"/>
          <w:szCs w:val="21"/>
          <w:highlight w:val="none"/>
          <w:u w:val="single"/>
          <w:lang w:eastAsia="zh-CN"/>
        </w:rPr>
        <w:t xml:space="preserve">JSZC-320100-JITC-G2026-0270</w:t>
      </w:r>
      <w:r>
        <w:rPr>
          <w:rFonts w:hint="eastAsia"/>
          <w:bCs/>
          <w:color w:val="auto"/>
          <w:szCs w:val="21"/>
          <w:highlight w:val="none"/>
        </w:rPr>
        <w:t xml:space="preserve">招标项目</w:t>
      </w:r>
      <w:r>
        <w:rPr>
          <w:rFonts w:ascii="Microsoft New Tai Lue" w:hAnsi="Microsoft New Tai Lue" w:cs="Microsoft New Tai Lue"/>
          <w:bCs/>
          <w:color w:val="auto"/>
          <w:szCs w:val="21"/>
          <w:highlight w:val="none"/>
        </w:rPr>
        <w:t xml:space="preserve">的潜在投标人应在</w:t>
      </w:r>
      <w:r>
        <w:rPr>
          <w:rFonts w:hint="eastAsia" w:ascii="Microsoft New Tai Lue" w:hAnsi="Microsoft New Tai Lue" w:cs="Microsoft New Tai Lue"/>
          <w:color w:val="auto"/>
          <w:szCs w:val="21"/>
          <w:highlight w:val="none"/>
        </w:rPr>
        <w:t xml:space="preserve">“苏采云”系统注册登记成功后免费下载</w:t>
      </w:r>
      <w:r>
        <w:rPr>
          <w:rFonts w:ascii="Microsoft New Tai Lue" w:hAnsi="Microsoft New Tai Lue" w:cs="Microsoft New Tai Lue"/>
          <w:bCs/>
          <w:color w:val="auto"/>
          <w:szCs w:val="21"/>
          <w:highlight w:val="none"/>
        </w:rPr>
        <w:t xml:space="preserve">招标文件，并于</w:t>
      </w:r>
      <w:r>
        <w:rPr>
          <w:rFonts w:hint="eastAsia" w:ascii="Microsoft New Tai Lue" w:hAnsi="Microsoft New Tai Lue" w:cs="Microsoft New Tai Lue"/>
          <w:bCs/>
          <w:color w:val="auto"/>
          <w:szCs w:val="21"/>
          <w:highlight w:val="none"/>
          <w:u w:val="single"/>
        </w:rPr>
        <w:t xml:space="preserve">2026-08-</w:t>
      </w:r>
      <w:r>
        <w:rPr>
          <w:rFonts w:hint="eastAsia" w:ascii="Microsoft New Tai Lue" w:hAnsi="Microsoft New Tai Lue" w:cs="Microsoft New Tai Lue"/>
          <w:bCs/>
          <w:color w:val="auto"/>
          <w:szCs w:val="21"/>
          <w:highlight w:val="none"/>
          <w:u w:val="single"/>
          <w:lang w:val="en-US" w:eastAsia="zh-CN"/>
        </w:rPr>
        <w:t xml:space="preserve">28</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4：</w:t>
      </w:r>
      <w:r>
        <w:rPr>
          <w:rFonts w:hint="eastAsia" w:ascii="Microsoft New Tai Lue" w:hAnsi="Microsoft New Tai Lue" w:cs="Microsoft New Tai Lue"/>
          <w:bCs/>
          <w:color w:val="auto"/>
          <w:szCs w:val="21"/>
          <w:highlight w:val="none"/>
          <w:u w:val="single"/>
          <w:lang w:val="en-US" w:eastAsia="zh-CN"/>
        </w:rPr>
        <w:t xml:space="preserve">0</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（北京时间）前递交投标文件。</w:t>
      </w:r>
      <w:r/>
    </w:p>
    <w:p>
      <w:pPr>
        <w:spacing w:line="360" w:lineRule="auto"/>
        <w:rPr>
          <w:rFonts w:ascii="Microsoft New Tai Lue" w:hAnsi="Microsoft New Tai Lue" w:cs="Microsoft New Tai Lue"/>
          <w:b/>
          <w:bCs/>
          <w:color w:val="auto"/>
          <w:szCs w:val="44"/>
          <w:highlight w:val="none"/>
        </w:rPr>
      </w:pPr>
      <w:r/>
      <w:bookmarkStart w:id="5" w:name="_Toc96347851"/>
      <w:r/>
      <w:bookmarkStart w:id="6" w:name="_Toc93909065"/>
      <w:r>
        <w:rPr>
          <w:rFonts w:ascii="Microsoft New Tai Lue" w:hAnsi="Microsoft New Tai Lue" w:cs="Microsoft New Tai Lue"/>
          <w:b/>
          <w:bCs/>
          <w:color w:val="auto"/>
          <w:szCs w:val="44"/>
          <w:highlight w:val="none"/>
        </w:rPr>
        <w:t xml:space="preserve">一、项目</w:t>
      </w:r>
      <w:bookmarkEnd w:id="3"/>
      <w:r>
        <w:rPr>
          <w:rFonts w:ascii="Microsoft New Tai Lue" w:hAnsi="Microsoft New Tai Lue" w:cs="Microsoft New Tai Lue"/>
          <w:b/>
          <w:bCs/>
          <w:color w:val="auto"/>
          <w:szCs w:val="44"/>
          <w:highlight w:val="none"/>
        </w:rPr>
        <w:t xml:space="preserve">基本情况</w:t>
      </w:r>
      <w:bookmarkEnd w:id="4"/>
      <w:r/>
      <w:bookmarkEnd w:id="5"/>
      <w:r/>
      <w:bookmarkEnd w:id="6"/>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项目编号：</w:t>
      </w:r>
      <w:r>
        <w:rPr>
          <w:rFonts w:hint="eastAsia" w:ascii="Microsoft New Tai Lue" w:hAnsi="Microsoft New Tai Lue" w:cs="Microsoft New Tai Lue"/>
          <w:bCs/>
          <w:color w:val="auto"/>
          <w:szCs w:val="21"/>
          <w:highlight w:val="none"/>
          <w:lang w:eastAsia="zh-CN"/>
        </w:rPr>
        <w:t xml:space="preserve">JSZC-320100-JITC-G2026-0270</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项目名称：</w:t>
      </w:r>
      <w:r>
        <w:rPr>
          <w:rFonts w:hint="eastAsia"/>
          <w:bCs/>
          <w:color w:val="auto"/>
          <w:szCs w:val="21"/>
          <w:highlight w:val="none"/>
        </w:rPr>
        <w:t xml:space="preserve">中科南京工业人工智能研究院QJ1H-SoC芯片设计和流片服务项目   </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预算金额：</w:t>
      </w:r>
      <w:r>
        <w:rPr>
          <w:rFonts w:hint="eastAsia" w:ascii="Microsoft New Tai Lue" w:hAnsi="Microsoft New Tai Lue" w:cs="Microsoft New Tai Lue"/>
          <w:bCs/>
          <w:color w:val="auto"/>
          <w:szCs w:val="21"/>
          <w:highlight w:val="none"/>
        </w:rPr>
        <w:t xml:space="preserve">1302万元</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最高限价（如有）</w:t>
      </w: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1302万元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采购方式：公开招标</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采购需求：</w:t>
      </w:r>
      <w:r>
        <w:rPr>
          <w:rFonts w:hint="eastAsia"/>
          <w:bCs/>
          <w:color w:val="auto"/>
          <w:szCs w:val="21"/>
          <w:highlight w:val="none"/>
        </w:rPr>
        <w:t xml:space="preserve">中科南京工业人工智能研究院QJ1H-SoC芯片设计和流片服务项目，具体要求详见招标文件</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合同履行期限</w:t>
      </w:r>
      <w:r>
        <w:rPr>
          <w:rFonts w:hint="eastAsia"/>
          <w:color w:val="auto"/>
          <w:highlight w:val="none"/>
        </w:rPr>
        <w:t xml:space="preserve">（交货期）</w:t>
      </w:r>
      <w:r>
        <w:rPr>
          <w:rFonts w:ascii="Microsoft New Tai Lue" w:hAnsi="Microsoft New Tai Lue" w:cs="Microsoft New Tai Lue"/>
          <w:bCs/>
          <w:color w:val="auto"/>
          <w:szCs w:val="21"/>
          <w:highlight w:val="none"/>
        </w:rPr>
        <w:t xml:space="preserve">：</w:t>
      </w:r>
      <w:r>
        <w:rPr>
          <w:rFonts w:hint="eastAsia" w:ascii="宋体" w:hAnsi="宋体" w:cs="宋体"/>
          <w:color w:val="auto"/>
          <w:highlight w:val="none"/>
          <w:lang w:bidi="ar"/>
        </w:rPr>
        <w:t xml:space="preserve">合同签订后250日历天内完成全部工作达到验收合格标准</w:t>
      </w:r>
      <w:r>
        <w:rPr>
          <w:rFonts w:hint="eastAsia" w:ascii="Microsoft New Tai Lue" w:hAnsi="Microsoft New Tai Lue" w:cs="Microsoft New Tai Lue"/>
          <w:bCs/>
          <w:color w:val="auto"/>
          <w:szCs w:val="21"/>
          <w:highlight w:val="none"/>
        </w:rPr>
        <w:t xml:space="preserve">，具体计划进度要求以采购人要求为准</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本项目（是/否）接受联合体投标：否</w:t>
      </w:r>
      <w:r/>
    </w:p>
    <w:p>
      <w:pPr>
        <w:spacing w:line="360" w:lineRule="auto"/>
        <w:rPr>
          <w:rFonts w:ascii="Microsoft New Tai Lue" w:hAnsi="Microsoft New Tai Lue" w:cs="Microsoft New Tai Lue"/>
          <w:b/>
          <w:bCs/>
          <w:color w:val="auto"/>
          <w:szCs w:val="44"/>
          <w:highlight w:val="none"/>
        </w:rPr>
      </w:pPr>
      <w:r/>
      <w:bookmarkStart w:id="7" w:name="_Toc80264698"/>
      <w:r/>
      <w:bookmarkStart w:id="8" w:name="_Toc80792689"/>
      <w:r/>
      <w:bookmarkStart w:id="9" w:name="_Toc93909066"/>
      <w:r/>
      <w:bookmarkStart w:id="10" w:name="_Toc96347852"/>
      <w:r>
        <w:rPr>
          <w:rFonts w:ascii="Microsoft New Tai Lue" w:hAnsi="Microsoft New Tai Lue" w:cs="Microsoft New Tai Lue"/>
          <w:b/>
          <w:bCs/>
          <w:color w:val="auto"/>
          <w:szCs w:val="44"/>
          <w:highlight w:val="none"/>
        </w:rPr>
        <w:t xml:space="preserve">二、</w:t>
      </w:r>
      <w:bookmarkEnd w:id="7"/>
      <w:r>
        <w:rPr>
          <w:rFonts w:ascii="Microsoft New Tai Lue" w:hAnsi="Microsoft New Tai Lue" w:cs="Microsoft New Tai Lue"/>
          <w:b/>
          <w:bCs/>
          <w:color w:val="auto"/>
          <w:szCs w:val="44"/>
          <w:highlight w:val="none"/>
        </w:rPr>
        <w:t xml:space="preserve">申请人的资格要求</w:t>
      </w:r>
      <w:bookmarkEnd w:id="8"/>
      <w:r/>
      <w:bookmarkEnd w:id="9"/>
      <w:r>
        <w:rPr>
          <w:rFonts w:ascii="Microsoft New Tai Lue" w:hAnsi="Microsoft New Tai Lue" w:cs="Microsoft New Tai Lue"/>
          <w:b/>
          <w:bCs/>
          <w:color w:val="auto"/>
          <w:szCs w:val="44"/>
          <w:highlight w:val="none"/>
        </w:rPr>
        <w:t xml:space="preserve">：</w:t>
      </w:r>
      <w:bookmarkEnd w:id="10"/>
      <w:r/>
      <w:r/>
    </w:p>
    <w:p>
      <w:pPr>
        <w:ind w:firstLine="420"/>
        <w:spacing w:line="360" w:lineRule="auto"/>
        <w:rPr>
          <w:rFonts w:ascii="Microsoft New Tai Lue" w:hAnsi="Microsoft New Tai Lue" w:cs="Microsoft New Tai Lue"/>
          <w:bCs/>
          <w:color w:val="auto"/>
          <w:szCs w:val="21"/>
          <w:highlight w:val="none"/>
        </w:rPr>
      </w:pPr>
      <w:r/>
      <w:bookmarkStart w:id="11" w:name="_Toc93909067"/>
      <w:r/>
      <w:bookmarkStart w:id="12" w:name="_Toc96347853"/>
      <w:r/>
      <w:bookmarkStart w:id="13" w:name="_Toc80264699"/>
      <w:r/>
      <w:bookmarkStart w:id="14" w:name="_Toc80792690"/>
      <w:r>
        <w:rPr>
          <w:rFonts w:ascii="Microsoft New Tai Lue" w:hAnsi="Microsoft New Tai Lue" w:cs="Microsoft New Tai Lue"/>
          <w:bCs/>
          <w:color w:val="auto"/>
          <w:szCs w:val="21"/>
          <w:highlight w:val="none"/>
        </w:rPr>
        <w:t xml:space="preserve">2.1</w:t>
      </w:r>
      <w:r>
        <w:rPr>
          <w:rFonts w:hint="eastAsia" w:ascii="Microsoft New Tai Lue" w:hAnsi="Microsoft New Tai Lue" w:cs="Microsoft New Tai Lue"/>
          <w:bCs/>
          <w:color w:val="auto"/>
          <w:szCs w:val="21"/>
          <w:highlight w:val="none"/>
        </w:rPr>
        <w:t xml:space="preserve">满足《中华人民共和国政府采购法》第二十二条规定：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w:t>
      </w:r>
      <w:r>
        <w:rPr>
          <w:rFonts w:hint="eastAsia" w:ascii="宋体" w:hAnsi="宋体"/>
          <w:color w:val="auto"/>
          <w:highlight w:val="none"/>
        </w:rPr>
        <w:t xml:space="preserve">具有独立承担民事责任的能力（提供</w:t>
      </w:r>
      <w:r>
        <w:rPr>
          <w:rFonts w:hint="eastAsia" w:ascii="Microsoft New Tai Lue" w:hAnsi="Microsoft New Tai Lue" w:cs="Microsoft New Tai Lue"/>
          <w:bCs/>
          <w:color w:val="auto"/>
          <w:szCs w:val="21"/>
          <w:highlight w:val="none"/>
        </w:rPr>
        <w:t xml:space="preserve">法人或者其他组织的营业执照等证明文件，自然人的身份证明，或具有同等法律效力的证照</w:t>
      </w:r>
      <w:r>
        <w:rPr>
          <w:rFonts w:hint="eastAsia" w:ascii="宋体" w:hAnsi="宋体"/>
          <w:color w:val="auto"/>
          <w:highlight w:val="none"/>
        </w:rPr>
        <w:t xml:space="preserve">）</w:t>
      </w:r>
      <w:r>
        <w:rPr>
          <w:rFonts w:hint="eastAsia" w:ascii="Microsoft New Tai Lue" w:hAnsi="Microsoft New Tai Lue" w:cs="Microsoft New Tai Lue"/>
          <w:bCs/>
          <w:color w:val="auto"/>
          <w:szCs w:val="21"/>
          <w:highlight w:val="none"/>
        </w:rPr>
        <w:t xml:space="preserve">； </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具有良好的商业信誉和健全的财务会计制度（提供2024或2025年度经审计的财务报告或投标截止时间前12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（3）具有履行合同所必需的设备和专业技术能力（提供具备履行合同所必需的设备和专业技术能力的证明材料或承诺函，由供应商根据项目需求提供说明材料或承诺）；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（4）有依法缴纳税收和社会保障资金的良好记录（提供本次采购活动前12个月内，至少1个月缴纳税收和社会保险的凭证，依法享受免缴、缓缴的，提供证明材料，或提供承诺）；</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（5）参加政府采购活动前三年内，在经营活动中没有重大违法记录（提供声明函原件，重大违法记录是指供应商因违法经营受到刑事处罚或责令停产停业、吊销许可证或者执照、较大数额罚款等行政处罚）。</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（6）法律、行政法规规定的其他条件。</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2.2落实政府采购政策需满足的资格要求：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（1）本项目不属于专门面向中小企业采购的项目</w:t>
      </w:r>
      <w:r/>
    </w:p>
    <w:p>
      <w:pPr>
        <w:ind w:firstLine="420"/>
        <w:spacing w:line="360" w:lineRule="auto"/>
        <w:rPr>
          <w:rFonts w:ascii="Microsoft New Tai Lue" w:hAnsi="Microsoft New Tai Lue" w:cs="Microsoft New Tai Lue"/>
          <w:bCs/>
          <w:color w:val="auto"/>
          <w:szCs w:val="21"/>
          <w:highlight w:val="none"/>
          <w:u w:val="single"/>
        </w:rPr>
      </w:pPr>
      <w:r>
        <w:rPr>
          <w:rFonts w:ascii="Microsoft New Tai Lue" w:hAnsi="Microsoft New Tai Lue" w:cs="Microsoft New Tai Lue"/>
          <w:bCs/>
          <w:color w:val="auto"/>
          <w:szCs w:val="21"/>
          <w:highlight w:val="none"/>
        </w:rPr>
        <w:t xml:space="preserve">2.</w:t>
      </w:r>
      <w:r>
        <w:rPr>
          <w:rFonts w:hint="eastAsia" w:ascii="Microsoft New Tai Lue" w:hAnsi="Microsoft New Tai Lue" w:cs="Microsoft New Tai Lue"/>
          <w:bCs/>
          <w:color w:val="auto"/>
          <w:szCs w:val="21"/>
          <w:highlight w:val="none"/>
        </w:rPr>
        <w:t xml:space="preserve">3本项目的特定资格要求：</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（1）单位负责人为同一人或者存在直接控股、管理关系的不同供应商，不得参加同一合同项下的政府采购活动。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（2）除单一来源项目外，凡为采购项目提供整体设计、规范编制或者项目管理、监理、检测等服务的供应商不得再参加本项目的采购活动。</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3）通过“信用中国”网站（http://www.creditchina.gov.cn）、中国政府采购网（www.ccgp.gov.cn）查询供应商在投标截止时间以后、资格审查阶段的信用记录，通过以上查询渠道，供应商未被列入失信被执行人、重大税收违法案件当事人名单、政府采购严重违法失信行为记录。</w:t>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三、获取招标文件</w:t>
      </w:r>
      <w:bookmarkEnd w:id="11"/>
      <w:r/>
      <w:bookmarkEnd w:id="12"/>
      <w:r/>
      <w:bookmarkEnd w:id="13"/>
      <w:r/>
      <w:bookmarkEnd w:id="14"/>
      <w:r/>
      <w:r/>
    </w:p>
    <w:p>
      <w:pPr>
        <w:ind w:firstLine="525"/>
        <w:spacing w:line="360" w:lineRule="auto"/>
        <w:rPr>
          <w:rFonts w:ascii="Microsoft New Tai Lue" w:hAnsi="Microsoft New Tai Lue" w:cs="Microsoft New Tai Lue"/>
          <w:bCs/>
          <w:color w:val="auto"/>
          <w:szCs w:val="21"/>
          <w:highlight w:val="none"/>
        </w:rPr>
      </w:pPr>
      <w:r/>
      <w:bookmarkStart w:id="15" w:name="_Toc80264700"/>
      <w:r>
        <w:rPr>
          <w:rFonts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rPr>
        <w:t xml:space="preserve">自招标文件公告发布之日起5个工作日</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地点：</w:t>
      </w:r>
      <w:r>
        <w:rPr>
          <w:rFonts w:hint="eastAsia" w:ascii="Microsoft New Tai Lue" w:hAnsi="Microsoft New Tai Lue" w:cs="Microsoft New Tai Lue"/>
          <w:color w:val="auto"/>
          <w:szCs w:val="21"/>
          <w:highlight w:val="none"/>
        </w:rPr>
        <w:t xml:space="preserve">“苏采云”系统注册登记成功后免费下载</w:t>
      </w:r>
      <w:r/>
    </w:p>
    <w:p>
      <w:pPr>
        <w:ind w:firstLine="525"/>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方式：</w:t>
      </w:r>
      <w:r>
        <w:rPr>
          <w:rFonts w:hint="eastAsia" w:ascii="Microsoft New Tai Lue" w:hAnsi="Microsoft New Tai Lue" w:cs="Microsoft New Tai Lue"/>
          <w:bCs/>
          <w:color w:val="auto"/>
          <w:szCs w:val="21"/>
          <w:highlight w:val="none"/>
        </w:rPr>
        <w:t xml:space="preserve">详见公告正文中“六、其他补充事宜”</w:t>
      </w:r>
      <w:r/>
    </w:p>
    <w:p>
      <w:pPr>
        <w:spacing w:line="360" w:lineRule="auto"/>
        <w:rPr>
          <w:rFonts w:ascii="Microsoft New Tai Lue" w:hAnsi="Microsoft New Tai Lue" w:cs="Microsoft New Tai Lue"/>
          <w:b/>
          <w:bCs/>
          <w:color w:val="auto"/>
          <w:szCs w:val="44"/>
          <w:highlight w:val="none"/>
        </w:rPr>
      </w:pPr>
      <w:r/>
      <w:bookmarkStart w:id="16" w:name="_Toc80792691"/>
      <w:r/>
      <w:bookmarkStart w:id="17" w:name="_Toc93909068"/>
      <w:r/>
      <w:bookmarkStart w:id="18" w:name="_Toc96347854"/>
      <w:r>
        <w:rPr>
          <w:rFonts w:ascii="Microsoft New Tai Lue" w:hAnsi="Microsoft New Tai Lue" w:cs="Microsoft New Tai Lue"/>
          <w:b/>
          <w:bCs/>
          <w:color w:val="auto"/>
          <w:szCs w:val="44"/>
          <w:highlight w:val="none"/>
        </w:rPr>
        <w:t xml:space="preserve">四、</w:t>
      </w:r>
      <w:bookmarkEnd w:id="15"/>
      <w:r/>
      <w:bookmarkEnd w:id="16"/>
      <w:r>
        <w:rPr>
          <w:rFonts w:ascii="Microsoft New Tai Lue" w:hAnsi="Microsoft New Tai Lue" w:cs="Microsoft New Tai Lue"/>
          <w:b/>
          <w:bCs/>
          <w:color w:val="auto"/>
          <w:szCs w:val="44"/>
          <w:highlight w:val="none"/>
        </w:rPr>
        <w:t xml:space="preserve">提交投标文件截止时间、开标时间和地点</w:t>
      </w:r>
      <w:bookmarkEnd w:id="17"/>
      <w:r/>
      <w:bookmarkEnd w:id="18"/>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时间：</w:t>
      </w:r>
      <w:r>
        <w:rPr>
          <w:rFonts w:hint="eastAsia" w:ascii="Microsoft New Tai Lue" w:hAnsi="Microsoft New Tai Lue" w:cs="Microsoft New Tai Lue"/>
          <w:bCs/>
          <w:color w:val="auto"/>
          <w:szCs w:val="21"/>
          <w:highlight w:val="none"/>
          <w:u w:val="single"/>
        </w:rPr>
        <w:t xml:space="preserve">2026-08-</w:t>
      </w:r>
      <w:r>
        <w:rPr>
          <w:rFonts w:hint="eastAsia" w:ascii="Microsoft New Tai Lue" w:hAnsi="Microsoft New Tai Lue" w:cs="Microsoft New Tai Lue"/>
          <w:bCs/>
          <w:color w:val="auto"/>
          <w:szCs w:val="21"/>
          <w:highlight w:val="none"/>
          <w:u w:val="single"/>
          <w:lang w:val="en-US" w:eastAsia="zh-CN"/>
        </w:rPr>
        <w:t xml:space="preserve">28</w:t>
      </w:r>
      <w:r>
        <w:rPr>
          <w:rFonts w:hint="eastAsia"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 xml:space="preserve">1</w:t>
      </w:r>
      <w:r>
        <w:rPr>
          <w:rFonts w:hint="eastAsia" w:ascii="Microsoft New Tai Lue" w:hAnsi="Microsoft New Tai Lue" w:cs="Microsoft New Tai Lue"/>
          <w:bCs/>
          <w:color w:val="auto"/>
          <w:szCs w:val="21"/>
          <w:highlight w:val="none"/>
          <w:u w:val="single"/>
        </w:rPr>
        <w:t xml:space="preserve">4：</w:t>
      </w:r>
      <w:r>
        <w:rPr>
          <w:rFonts w:hint="eastAsia" w:ascii="Microsoft New Tai Lue" w:hAnsi="Microsoft New Tai Lue" w:cs="Microsoft New Tai Lue"/>
          <w:bCs/>
          <w:color w:val="auto"/>
          <w:szCs w:val="21"/>
          <w:highlight w:val="none"/>
          <w:u w:val="single"/>
          <w:lang w:val="en-US" w:eastAsia="zh-CN"/>
        </w:rPr>
        <w:t xml:space="preserve">0</w:t>
      </w:r>
      <w:r>
        <w:rPr>
          <w:rFonts w:hint="eastAsia" w:ascii="Microsoft New Tai Lue" w:hAnsi="Microsoft New Tai Lue" w:cs="Microsoft New Tai Lue"/>
          <w:bCs/>
          <w:color w:val="auto"/>
          <w:szCs w:val="21"/>
          <w:highlight w:val="none"/>
          <w:u w:val="single"/>
        </w:rPr>
        <w:t xml:space="preserve">0</w:t>
      </w:r>
      <w:r>
        <w:rPr>
          <w:rFonts w:ascii="Microsoft New Tai Lue" w:hAnsi="Microsoft New Tai Lue" w:cs="Microsoft New Tai Lue"/>
          <w:bCs/>
          <w:color w:val="auto"/>
          <w:szCs w:val="21"/>
          <w:highlight w:val="none"/>
        </w:rPr>
        <w:t xml:space="preserve">（北京时间）</w:t>
      </w:r>
      <w:r/>
    </w:p>
    <w:p>
      <w:pPr>
        <w:ind w:firstLine="525"/>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地点:“苏采云”系统(网址:http://jszfcg.jsczt.cn/)(投标人必须在苏采云系统中获取采购文件，方能参与政府采购项目)</w:t>
      </w:r>
      <w:r/>
    </w:p>
    <w:p>
      <w:pPr>
        <w:spacing w:line="360" w:lineRule="auto"/>
        <w:rPr>
          <w:rFonts w:ascii="Microsoft New Tai Lue" w:hAnsi="Microsoft New Tai Lue" w:cs="Microsoft New Tai Lue"/>
          <w:b/>
          <w:bCs/>
          <w:color w:val="auto"/>
          <w:szCs w:val="44"/>
          <w:highlight w:val="none"/>
        </w:rPr>
      </w:pPr>
      <w:r/>
      <w:bookmarkStart w:id="19" w:name="_Toc80792693"/>
      <w:r/>
      <w:bookmarkStart w:id="20" w:name="_Toc93909069"/>
      <w:r/>
      <w:bookmarkStart w:id="21" w:name="_Toc96347855"/>
      <w:r>
        <w:rPr>
          <w:rFonts w:ascii="Microsoft New Tai Lue" w:hAnsi="Microsoft New Tai Lue" w:cs="Microsoft New Tai Lue"/>
          <w:b/>
          <w:bCs/>
          <w:color w:val="auto"/>
          <w:szCs w:val="44"/>
          <w:highlight w:val="none"/>
        </w:rPr>
        <w:t xml:space="preserve">五、</w:t>
      </w:r>
      <w:bookmarkEnd w:id="19"/>
      <w:r>
        <w:rPr>
          <w:rFonts w:ascii="Microsoft New Tai Lue" w:hAnsi="Microsoft New Tai Lue" w:cs="Microsoft New Tai Lue"/>
          <w:b/>
          <w:bCs/>
          <w:color w:val="auto"/>
          <w:szCs w:val="44"/>
          <w:highlight w:val="none"/>
        </w:rPr>
        <w:t xml:space="preserve">公告期</w:t>
      </w:r>
      <w:bookmarkEnd w:id="20"/>
      <w:r/>
      <w:bookmarkEnd w:id="21"/>
      <w:r>
        <w:rPr>
          <w:rFonts w:hint="eastAsia" w:ascii="Microsoft New Tai Lue" w:hAnsi="Microsoft New Tai Lue" w:cs="Microsoft New Tai Lue"/>
          <w:b/>
          <w:bCs/>
          <w:color w:val="auto"/>
          <w:szCs w:val="44"/>
          <w:highlight w:val="none"/>
        </w:rPr>
        <w:t xml:space="preserve">限</w:t>
      </w:r>
      <w:r/>
    </w:p>
    <w:p>
      <w:pPr>
        <w:ind w:firstLine="525"/>
        <w:spacing w:line="36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自本公告发布之日起5个工作日。</w:t>
      </w:r>
      <w:r/>
    </w:p>
    <w:p>
      <w:pPr>
        <w:spacing w:line="360" w:lineRule="auto"/>
        <w:rPr>
          <w:rFonts w:ascii="Microsoft New Tai Lue" w:hAnsi="Microsoft New Tai Lue" w:cs="Microsoft New Tai Lue"/>
          <w:b/>
          <w:bCs/>
          <w:color w:val="auto"/>
          <w:szCs w:val="44"/>
          <w:highlight w:val="none"/>
        </w:rPr>
      </w:pPr>
      <w:r/>
      <w:bookmarkStart w:id="22" w:name="_Toc96347856"/>
      <w:r/>
      <w:bookmarkStart w:id="23" w:name="_Toc93909070"/>
      <w:r>
        <w:rPr>
          <w:rFonts w:ascii="Microsoft New Tai Lue" w:hAnsi="Microsoft New Tai Lue" w:cs="Microsoft New Tai Lue"/>
          <w:b/>
          <w:bCs/>
          <w:color w:val="auto"/>
          <w:szCs w:val="44"/>
          <w:highlight w:val="none"/>
        </w:rPr>
        <w:t xml:space="preserve">六、其他补充事宜</w:t>
      </w:r>
      <w:bookmarkEnd w:id="22"/>
      <w:r/>
      <w:bookmarkEnd w:id="23"/>
      <w:r/>
      <w:r/>
    </w:p>
    <w:p>
      <w:pPr>
        <w:ind w:firstLine="420"/>
        <w:spacing w:line="360" w:lineRule="auto"/>
        <w:rPr>
          <w:rFonts w:ascii="Microsoft New Tai Lue" w:hAnsi="Microsoft New Tai Lue" w:cs="Microsoft New Tai Lue"/>
          <w:bCs/>
          <w:color w:val="auto"/>
          <w:szCs w:val="21"/>
          <w:highlight w:val="none"/>
        </w:rPr>
      </w:pPr>
      <w:r/>
      <w:bookmarkStart w:id="24" w:name="_Toc80264702"/>
      <w:r/>
      <w:bookmarkStart w:id="25" w:name="_Toc80792694"/>
      <w:r/>
      <w:bookmarkStart w:id="26" w:name="_Toc96347857"/>
      <w:r/>
      <w:bookmarkStart w:id="27" w:name="_Toc93909071"/>
      <w:r>
        <w:rPr>
          <w:rFonts w:ascii="Microsoft New Tai Lue" w:hAnsi="Microsoft New Tai Lue" w:cs="Microsoft New Tai Lue"/>
          <w:color w:val="auto"/>
          <w:szCs w:val="21"/>
          <w:highlight w:val="none"/>
        </w:rPr>
        <w:t xml:space="preserve">1</w:t>
      </w:r>
      <w:r>
        <w:rPr>
          <w:rFonts w:hint="eastAsia" w:ascii="Microsoft New Tai Lue" w:hAnsi="Microsoft New Tai Lue" w:cs="Microsoft New Tai Lue"/>
          <w:color w:val="auto"/>
          <w:szCs w:val="21"/>
          <w:highlight w:val="none"/>
        </w:rPr>
        <w:t xml:space="preserve">、</w:t>
      </w:r>
      <w:r>
        <w:rPr>
          <w:rFonts w:ascii="Microsoft New Tai Lue" w:hAnsi="Microsoft New Tai Lue" w:cs="Microsoft New Tai Lue"/>
          <w:bCs/>
          <w:color w:val="auto"/>
          <w:szCs w:val="21"/>
          <w:highlight w:val="none"/>
        </w:rPr>
        <w:t xml:space="preserve">政府采购支持政策:</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（一）《政府采购促进中小企业发展管理办法》</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（二）《关于政府采购支持监狱企业发展有关问题的通知》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（三）《关于促进残疾人就业政府采购政策的通知》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（四）《关于调整优化节能产品、环境标志产品政府采购执行机制的通知》</w:t>
      </w:r>
      <w:r/>
    </w:p>
    <w:p>
      <w:pPr>
        <w:ind w:firstLine="420"/>
        <w:spacing w:line="36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w:t>
      </w:r>
      <w:r>
        <w:rPr>
          <w:rFonts w:hint="eastAsia" w:ascii="Microsoft New Tai Lue" w:hAnsi="Microsoft New Tai Lue" w:cs="Microsoft New Tai Lue"/>
          <w:bCs/>
          <w:color w:val="auto"/>
          <w:szCs w:val="21"/>
          <w:highlight w:val="none"/>
        </w:rPr>
        <w:t xml:space="preserve">五</w:t>
      </w:r>
      <w:r>
        <w:rPr>
          <w:rFonts w:ascii="Microsoft New Tai Lue" w:hAnsi="Microsoft New Tai Lue" w:cs="Microsoft New Tai Lue"/>
          <w:bCs/>
          <w:color w:val="auto"/>
          <w:szCs w:val="21"/>
          <w:highlight w:val="none"/>
        </w:rPr>
        <w:t xml:space="preserve">）《关于做好政府采购支持企业发展有关事项的通知》</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（六）《国务院办公厅关于在政府采购中实施本国产品标准及相关政策的通知》、关于贯彻落实《国务院办公厅关于在政府采购中实施本国产品标准及相关政策的通知》的意见</w:t>
      </w:r>
      <w:r/>
    </w:p>
    <w:p>
      <w:pPr>
        <w:ind w:firstLine="420"/>
        <w:spacing w:line="360" w:lineRule="auto"/>
        <w:rPr>
          <w:rFonts w:ascii="Microsoft New Tai Lue" w:hAnsi="Microsoft New Tai Lue" w:cs="Microsoft New Tai Lue"/>
          <w:bCs/>
          <w:color w:val="auto"/>
          <w:szCs w:val="21"/>
          <w:highlight w:val="none"/>
        </w:rPr>
      </w:pPr>
      <w:r>
        <w:rPr>
          <w:rFonts w:hint="eastAsia" w:ascii="Microsoft New Tai Lue" w:hAnsi="Microsoft New Tai Lue" w:cs="Microsoft New Tai Lue"/>
          <w:bCs/>
          <w:color w:val="auto"/>
          <w:szCs w:val="21"/>
          <w:highlight w:val="none"/>
        </w:rPr>
        <w:t xml:space="preserve">2、获取招标文件时间:5个工作日</w:t>
      </w:r>
      <w:r/>
    </w:p>
    <w:p>
      <w:pPr>
        <w:ind w:firstLine="420"/>
        <w:spacing w:line="360" w:lineRule="auto"/>
        <w:rPr>
          <w:color w:val="auto"/>
          <w:szCs w:val="21"/>
          <w:highlight w:val="none"/>
        </w:rPr>
      </w:pPr>
      <w:r>
        <w:rPr>
          <w:rFonts w:hint="eastAsia"/>
          <w:color w:val="auto"/>
          <w:szCs w:val="21"/>
          <w:highlight w:val="none"/>
        </w:rPr>
        <w:t xml:space="preserve">3、潜在供应商访问电子招标响应交易平台的网络地址和方法：</w:t>
      </w:r>
      <w:r/>
    </w:p>
    <w:p>
      <w:pPr>
        <w:ind w:firstLine="420"/>
        <w:spacing w:line="360" w:lineRule="auto"/>
        <w:rPr>
          <w:color w:val="auto"/>
          <w:szCs w:val="21"/>
          <w:highlight w:val="none"/>
        </w:rPr>
      </w:pPr>
      <w:r>
        <w:rPr>
          <w:rFonts w:hint="eastAsia"/>
          <w:color w:val="auto"/>
          <w:szCs w:val="21"/>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20"/>
        <w:spacing w:line="360" w:lineRule="auto"/>
        <w:rPr>
          <w:color w:val="auto"/>
          <w:szCs w:val="21"/>
          <w:highlight w:val="none"/>
        </w:rPr>
      </w:pPr>
      <w:r>
        <w:rPr>
          <w:rFonts w:hint="eastAsia"/>
          <w:color w:val="auto"/>
          <w:szCs w:val="21"/>
          <w:highlight w:val="none"/>
        </w:rPr>
        <w:t xml:space="preserve">4、潜在供应商访问“苏采云”系统的网络地址和方法：“苏采云”系统的网址：http://jszfcg.jsczt.cn/。</w:t>
      </w:r>
      <w:r/>
    </w:p>
    <w:p>
      <w:pPr>
        <w:ind w:firstLine="420"/>
        <w:spacing w:line="360" w:lineRule="auto"/>
        <w:rPr>
          <w:color w:val="auto"/>
          <w:szCs w:val="21"/>
          <w:highlight w:val="none"/>
        </w:rPr>
      </w:pPr>
      <w:r>
        <w:rPr>
          <w:rFonts w:hint="eastAsia"/>
          <w:color w:val="auto"/>
          <w:szCs w:val="21"/>
          <w:highlight w:val="none"/>
        </w:rPr>
        <w:t xml:space="preserve">5、“CA数字证书”的获取：</w:t>
      </w:r>
      <w:r/>
    </w:p>
    <w:p>
      <w:pPr>
        <w:ind w:firstLine="420"/>
        <w:spacing w:line="360" w:lineRule="auto"/>
        <w:rPr>
          <w:color w:val="auto"/>
          <w:szCs w:val="21"/>
          <w:highlight w:val="none"/>
        </w:rPr>
      </w:pPr>
      <w:r>
        <w:rPr>
          <w:rFonts w:hint="eastAsia"/>
          <w:color w:val="auto"/>
          <w:szCs w:val="21"/>
          <w:highlight w:val="none"/>
        </w:rPr>
        <w:t xml:space="preserve">响应供应商需办理“CA数字证书”，CA办理指南及“苏采云”操作手册可至江苏省政府采购网―办事指南-资料下载中心下载。</w:t>
      </w:r>
      <w:r/>
    </w:p>
    <w:p>
      <w:pPr>
        <w:ind w:firstLine="420"/>
        <w:spacing w:line="360" w:lineRule="auto"/>
        <w:rPr>
          <w:color w:val="auto"/>
          <w:szCs w:val="21"/>
          <w:highlight w:val="none"/>
        </w:rPr>
      </w:pPr>
      <w:r>
        <w:rPr>
          <w:rFonts w:hint="eastAsia"/>
          <w:color w:val="auto"/>
          <w:szCs w:val="21"/>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color w:val="auto"/>
          <w:szCs w:val="21"/>
          <w:highlight w:val="none"/>
        </w:rPr>
      </w:pPr>
      <w:r>
        <w:rPr>
          <w:rFonts w:hint="eastAsia"/>
          <w:color w:val="auto"/>
          <w:szCs w:val="21"/>
          <w:highlight w:val="none"/>
        </w:rPr>
        <w:t xml:space="preserve">6、采购文件（后缀名为“.kedt”）、供应商操作手册及政府采购客户端工具可通过“苏采云”系统--已报名项目--报名详情页面内相应链接进行下载。</w:t>
      </w:r>
      <w:r/>
    </w:p>
    <w:p>
      <w:pPr>
        <w:ind w:firstLine="420"/>
        <w:spacing w:line="360" w:lineRule="auto"/>
        <w:rPr>
          <w:color w:val="auto"/>
          <w:szCs w:val="21"/>
          <w:highlight w:val="none"/>
        </w:rPr>
      </w:pPr>
      <w:r>
        <w:rPr>
          <w:rFonts w:hint="eastAsia"/>
          <w:color w:val="auto"/>
          <w:szCs w:val="21"/>
          <w:highlight w:val="none"/>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color w:val="auto"/>
          <w:szCs w:val="21"/>
          <w:highlight w:val="none"/>
        </w:rPr>
      </w:pPr>
      <w:r>
        <w:rPr>
          <w:rFonts w:hint="eastAsia"/>
          <w:color w:val="auto"/>
          <w:szCs w:val="21"/>
          <w:highlight w:val="none"/>
        </w:rPr>
        <w:t xml:space="preserve">注：如潜在供应商未按上述要求操作，将自行承担所产生的风险。</w:t>
      </w:r>
      <w:r/>
    </w:p>
    <w:p>
      <w:pPr>
        <w:ind w:firstLine="420"/>
        <w:spacing w:line="360" w:lineRule="auto"/>
        <w:rPr>
          <w:color w:val="auto"/>
          <w:szCs w:val="21"/>
          <w:highlight w:val="none"/>
        </w:rPr>
      </w:pPr>
      <w:r>
        <w:rPr>
          <w:rFonts w:hint="eastAsia"/>
          <w:color w:val="auto"/>
          <w:szCs w:val="21"/>
          <w:highlight w:val="none"/>
        </w:rPr>
        <w:t xml:space="preserve">8、项目开标活动模式：不见面远程开标模式，供应商在各自地点通过不见面交易系统参加开标会。</w:t>
      </w:r>
      <w:r/>
    </w:p>
    <w:p>
      <w:pPr>
        <w:ind w:firstLine="420"/>
        <w:spacing w:line="360" w:lineRule="auto"/>
        <w:rPr>
          <w:rFonts w:hint="eastAsia"/>
          <w:color w:val="auto"/>
          <w:szCs w:val="21"/>
          <w:highlight w:val="none"/>
        </w:rPr>
      </w:pPr>
      <w:r>
        <w:rPr>
          <w:rFonts w:hint="eastAsia"/>
          <w:color w:val="auto"/>
          <w:szCs w:val="21"/>
          <w:highlight w:val="none"/>
        </w:rPr>
        <w:t xml:space="preserve">9、投标文件的解密：开标当天各供应商及时登录不见面开标大厅，投标文件递交截止时间后，采购人将在系统内公布供应商名单，然后通</w:t>
      </w:r>
      <w:r>
        <w:rPr>
          <w:rFonts w:hint="eastAsia"/>
          <w:color w:val="auto"/>
          <w:szCs w:val="21"/>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22"/>
        <w:jc w:val="left"/>
        <w:spacing w:line="360" w:lineRule="auto"/>
        <w:rPr>
          <w:rFonts w:hint="eastAsia" w:ascii="宋体" w:hAnsi="宋体" w:eastAsia="宋体" w:cs="宋体"/>
          <w:b/>
          <w:color w:val="auto"/>
          <w:szCs w:val="21"/>
          <w:highlight w:val="none"/>
        </w:rPr>
      </w:pPr>
      <w:r>
        <w:rPr>
          <w:rFonts w:hint="eastAsia" w:ascii="宋体" w:hAnsi="宋体" w:eastAsia="宋体" w:cs="宋体"/>
          <w:color w:val="auto"/>
          <w:szCs w:val="21"/>
          <w:highlight w:val="none"/>
          <w:lang w:val="en-US" w:eastAsia="zh-CN"/>
        </w:rPr>
        <w:t xml:space="preserve">10、</w:t>
      </w:r>
      <w:bookmarkStart w:id="28" w:name="_Hlk167286560"/>
      <w:r>
        <w:rPr>
          <w:rFonts w:hint="eastAsia" w:ascii="宋体" w:hAnsi="宋体" w:eastAsia="宋体" w:cs="宋体"/>
          <w:b/>
          <w:color w:val="auto"/>
          <w:szCs w:val="21"/>
          <w:highlight w:val="none"/>
        </w:rPr>
        <w:t xml:space="preserve">政府采购信用承诺</w:t>
      </w:r>
      <w:bookmarkEnd w:id="28"/>
      <w:r/>
      <w:r/>
    </w:p>
    <w:p>
      <w:pPr>
        <w:ind w:firstLine="420"/>
        <w:jc w:val="left"/>
        <w:spacing w:line="360" w:lineRule="auto"/>
        <w:rPr>
          <w:rFonts w:hint="eastAsia" w:ascii="宋体" w:hAnsi="宋体" w:eastAsia="宋体" w:cs="宋体"/>
          <w:color w:val="auto"/>
          <w:szCs w:val="21"/>
          <w:highlight w:val="none"/>
        </w:rPr>
      </w:pPr>
      <w:r/>
      <w:bookmarkStart w:id="29" w:name="_Hlk167286571"/>
      <w:r>
        <w:rPr>
          <w:rFonts w:hint="eastAsia" w:ascii="宋体" w:hAnsi="宋体" w:eastAsia="宋体" w:cs="宋体"/>
          <w:color w:val="auto"/>
          <w:szCs w:val="21"/>
          <w:highlight w:val="none"/>
        </w:rPr>
        <w:t xml:space="preserve">根据《关于在政府采购活动中推行信用承诺制的通知》宁财购通〔2021〕5号规定，参加南京地区政府采购活动的供应商，应向采购人或政府采购代理机构作出信用承诺。供应商应尽早做好承诺工作，点击“点击“南京公共采购信息网”首页（https://njgc.jfh.com/)“南京市政府采购供应商诚信档案”系统链接，打开系统页面</w:t>
      </w:r>
      <w:r/>
    </w:p>
    <w:p>
      <w:pPr>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代表签字并加盖单位公章。</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在政府采购资格审查环节，供应商只需提供《南京市政府采购供应商信用记录表暨信用承诺书》，即可替代以下证明材料：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（1）符合国家相关规定的财务状况报告；</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（2）依法缴纳税收的证明材料；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（3）依法缴纳社会保障资金的证明材料；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（4）具备履行政府采购合同所必需的设备和专业技术能力的证明材料；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（5）参加政府采购活动前三年内在经营活动中没有重大违法记录的证明材料；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供应商在中标后，应按招标文件要求，将上述由信用承诺书替代的证明材料（一式两份）加盖公章，提交采购人或采购代理机构核验。经核验无误后，由采购人或采购代理机构发出中标通知书。</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供应商涉及以下情形的，不适用信用承诺：</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（1）供应商被列入严重失信主体名单；</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（2）被相关监管部门作出行政处罚且尚在处罚有效期内；</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（3）其他法律、行政法规规定的不适用信用承诺的情形；</w:t>
      </w:r>
      <w:r/>
    </w:p>
    <w:p>
      <w:pPr>
        <w:ind w:firstLine="420"/>
        <w:jc w:val="left"/>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供应商对信用承诺内容的真实性、合法性、有效性负责。如作出虚假信用承诺，视同为“提供虚假材料谋取中标、成交”的违法行为。</w:t>
      </w:r>
      <w:bookmarkEnd w:id="29"/>
      <w:r/>
      <w:bookmarkStart w:id="30" w:name="_Hlk81573766"/>
      <w:r/>
      <w:bookmarkEnd w:id="30"/>
      <w:r/>
      <w:bookmarkStart w:id="31" w:name="_Hlk81314222"/>
      <w:r/>
      <w:bookmarkEnd w:id="31"/>
      <w:r/>
      <w:bookmarkStart w:id="32" w:name="_Hlk84583042"/>
      <w:r/>
      <w:bookmarkEnd w:id="32"/>
      <w:r/>
      <w:r/>
    </w:p>
    <w:p>
      <w:pPr>
        <w:ind w:firstLine="420"/>
        <w:spacing w:line="360" w:lineRule="auto"/>
        <w:rPr>
          <w:rFonts w:hint="default" w:eastAsia="宋体"/>
          <w:color w:val="auto"/>
          <w:szCs w:val="21"/>
          <w:highlight w:val="none"/>
          <w:lang w:val="en-US" w:eastAsia="zh-CN"/>
        </w:rPr>
      </w:pPr>
      <w:r>
        <w:rPr>
          <w:rFonts w:hint="default" w:eastAsia="宋体"/>
          <w:color w:val="auto"/>
          <w:szCs w:val="21"/>
          <w:highlight w:val="none"/>
          <w:lang w:val="en-US" w:eastAsia="zh-CN"/>
        </w:rPr>
      </w:r>
      <w:r/>
    </w:p>
    <w:p>
      <w:pPr>
        <w:spacing w:line="360" w:lineRule="auto"/>
        <w:rPr>
          <w:rFonts w:ascii="Microsoft New Tai Lue" w:hAnsi="Microsoft New Tai Lue" w:cs="Microsoft New Tai Lue"/>
          <w:b/>
          <w:bCs/>
          <w:color w:val="auto"/>
          <w:szCs w:val="44"/>
          <w:highlight w:val="none"/>
        </w:rPr>
      </w:pPr>
      <w:r>
        <w:rPr>
          <w:rFonts w:ascii="Microsoft New Tai Lue" w:hAnsi="Microsoft New Tai Lue" w:cs="Microsoft New Tai Lue"/>
          <w:b/>
          <w:bCs/>
          <w:color w:val="auto"/>
          <w:szCs w:val="44"/>
          <w:highlight w:val="none"/>
        </w:rPr>
        <w:t xml:space="preserve">七、</w:t>
      </w:r>
      <w:bookmarkEnd w:id="24"/>
      <w:r/>
      <w:bookmarkEnd w:id="25"/>
      <w:r>
        <w:rPr>
          <w:rFonts w:ascii="Microsoft New Tai Lue" w:hAnsi="Microsoft New Tai Lue" w:cs="Microsoft New Tai Lue"/>
          <w:b/>
          <w:bCs/>
          <w:color w:val="auto"/>
          <w:szCs w:val="44"/>
          <w:highlight w:val="none"/>
        </w:rPr>
        <w:t xml:space="preserve">对本次招标提出询问，请按以下方式联系。</w:t>
      </w:r>
      <w:bookmarkEnd w:id="26"/>
      <w:r/>
      <w:bookmarkEnd w:id="27"/>
      <w:r/>
      <w:r/>
    </w:p>
    <w:p>
      <w:pPr>
        <w:ind w:firstLine="525"/>
        <w:spacing w:line="360" w:lineRule="auto"/>
        <w:rPr>
          <w:rFonts w:ascii="Microsoft New Tai Lue" w:hAnsi="Microsoft New Tai Lue" w:cs="Microsoft New Tai Lue"/>
          <w:color w:val="auto"/>
          <w:szCs w:val="21"/>
          <w:highlight w:val="none"/>
        </w:rPr>
      </w:pPr>
      <w:r/>
      <w:bookmarkStart w:id="33" w:name="_Toc28359085"/>
      <w:r>
        <w:rPr>
          <w:rFonts w:ascii="Microsoft New Tai Lue" w:hAnsi="Microsoft New Tai Lue" w:cs="Microsoft New Tai Lue"/>
          <w:color w:val="auto"/>
          <w:szCs w:val="21"/>
          <w:highlight w:val="none"/>
        </w:rPr>
        <w:t xml:space="preserve">1．采购人信息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中科南京工业人工智能研究院</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rPr>
        <w:t xml:space="preserve">江苏省南京市</w:t>
      </w:r>
      <w:r>
        <w:rPr>
          <w:rFonts w:ascii="Microsoft New Tai Lue" w:hAnsi="Microsoft New Tai Lue" w:cs="Microsoft New Tai Lue"/>
          <w:color w:val="auto"/>
          <w:szCs w:val="21"/>
          <w:highlight w:val="none"/>
        </w:rPr>
        <w:t xml:space="preserve">麒麟科创园天泉路168号</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宣栋</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15996353068</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2．采购代理机构信息</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名 称：</w:t>
      </w:r>
      <w:r>
        <w:rPr>
          <w:rFonts w:hint="eastAsia" w:ascii="Microsoft New Tai Lue" w:hAnsi="Microsoft New Tai Lue" w:cs="Microsoft New Tai Lue"/>
          <w:color w:val="auto"/>
          <w:szCs w:val="21"/>
          <w:highlight w:val="none"/>
        </w:rPr>
        <w:t xml:space="preserve">江苏省招标中心有限公司</w:t>
      </w:r>
      <w:r/>
    </w:p>
    <w:p>
      <w:pPr>
        <w:ind w:firstLine="525"/>
        <w:spacing w:line="360" w:lineRule="auto"/>
        <w:rPr>
          <w:rFonts w:hint="eastAsia" w:ascii="Microsoft New Tai Lue" w:hAnsi="Microsoft New Tai Lue" w:eastAsia="宋体" w:cs="Microsoft New Tai Lue"/>
          <w:color w:val="auto"/>
          <w:szCs w:val="21"/>
          <w:highlight w:val="none"/>
          <w:lang w:eastAsia="zh-CN"/>
        </w:rPr>
      </w:pPr>
      <w:r>
        <w:rPr>
          <w:rFonts w:ascii="Microsoft New Tai Lue" w:hAnsi="Microsoft New Tai Lue" w:cs="Microsoft New Tai Lue"/>
          <w:color w:val="auto"/>
          <w:szCs w:val="21"/>
          <w:highlight w:val="none"/>
        </w:rPr>
        <w:t xml:space="preserve">地 址：</w:t>
      </w:r>
      <w:r>
        <w:rPr>
          <w:rFonts w:hint="eastAsia" w:ascii="Microsoft New Tai Lue" w:hAnsi="Microsoft New Tai Lue" w:cs="Microsoft New Tai Lue"/>
          <w:color w:val="auto"/>
          <w:szCs w:val="21"/>
          <w:highlight w:val="none"/>
          <w:lang w:eastAsia="zh-CN"/>
        </w:rPr>
        <w:t xml:space="preserve">南京市郑和中路118号</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联系人：</w:t>
      </w:r>
      <w:r>
        <w:rPr>
          <w:rFonts w:hint="eastAsia" w:ascii="Microsoft New Tai Lue" w:hAnsi="Microsoft New Tai Lue" w:cs="Microsoft New Tai Lue"/>
          <w:color w:val="auto"/>
          <w:szCs w:val="21"/>
          <w:highlight w:val="none"/>
        </w:rPr>
        <w:t xml:space="preserve">毛哲宇、黄志浩、郑兴东</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联系方式：</w:t>
      </w:r>
      <w:r>
        <w:rPr>
          <w:rFonts w:hint="eastAsia" w:ascii="Microsoft New Tai Lue" w:hAnsi="Microsoft New Tai Lue" w:cs="Microsoft New Tai Lue"/>
          <w:color w:val="auto"/>
          <w:szCs w:val="21"/>
          <w:highlight w:val="none"/>
        </w:rPr>
        <w:t xml:space="preserve">17626046040、17855967601</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3．项目联系方式</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项目联系人：</w:t>
      </w:r>
      <w:r>
        <w:rPr>
          <w:rFonts w:hint="eastAsia" w:ascii="Microsoft New Tai Lue" w:hAnsi="Microsoft New Tai Lue" w:cs="Microsoft New Tai Lue"/>
          <w:color w:val="auto"/>
          <w:szCs w:val="21"/>
          <w:highlight w:val="none"/>
        </w:rPr>
        <w:t xml:space="preserve">毛哲宇、黄志浩、郑兴东</w:t>
      </w:r>
      <w:r/>
    </w:p>
    <w:p>
      <w:pPr>
        <w:ind w:firstLine="525"/>
        <w:spacing w:line="36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t xml:space="preserve">电 话：</w:t>
      </w:r>
      <w:r>
        <w:rPr>
          <w:rFonts w:hint="eastAsia" w:ascii="Microsoft New Tai Lue" w:hAnsi="Microsoft New Tai Lue" w:cs="Microsoft New Tai Lue"/>
          <w:color w:val="auto"/>
          <w:szCs w:val="21"/>
          <w:highlight w:val="none"/>
        </w:rPr>
        <w:t xml:space="preserve">17626046040、17855967601</w:t>
      </w:r>
      <w:bookmarkEnd w:id="33"/>
      <w:r/>
      <w:r/>
    </w:p>
    <w:p>
      <w:pPr>
        <w:pStyle w:val="916"/>
        <w:numPr>
          <w:ilvl w:val="0"/>
          <w:numId w:val="2"/>
        </w:numPr>
        <w:rPr>
          <w:rFonts w:ascii="Microsoft New Tai Lue" w:hAnsi="Microsoft New Tai Lue" w:cs="Microsoft New Tai Lue"/>
          <w:color w:val="auto"/>
          <w:highlight w:val="none"/>
        </w:rPr>
      </w:pPr>
      <w:r/>
      <w:bookmarkStart w:id="34" w:name="_Toc71561877"/>
      <w:r/>
      <w:bookmarkStart w:id="35" w:name="_Toc80264704"/>
      <w:r>
        <w:rPr>
          <w:rFonts w:ascii="Microsoft New Tai Lue" w:hAnsi="Microsoft New Tai Lue" w:cs="Microsoft New Tai Lue"/>
          <w:color w:val="auto"/>
          <w:highlight w:val="none"/>
        </w:rPr>
        <w:br w:type="page" w:clear="all"/>
      </w:r>
      <w:bookmarkEnd w:id="34"/>
      <w:r/>
      <w:bookmarkStart w:id="36" w:name="_Toc107246212"/>
      <w:r>
        <w:rPr>
          <w:rFonts w:ascii="Microsoft New Tai Lue" w:hAnsi="Microsoft New Tai Lue" w:cs="Microsoft New Tai Lue"/>
          <w:color w:val="auto"/>
          <w:highlight w:val="none"/>
        </w:rPr>
        <w:t xml:space="preserve">投标人须知</w:t>
      </w:r>
      <w:bookmarkEnd w:id="35"/>
      <w:r/>
      <w:bookmarkEnd w:id="36"/>
      <w:r/>
      <w:r/>
    </w:p>
    <w:p>
      <w:pPr>
        <w:jc w:val="center"/>
        <w:rPr>
          <w:rFonts w:ascii="Microsoft New Tai Lue" w:hAnsi="Microsoft New Tai Lue" w:cs="Microsoft New Tai Lue"/>
          <w:b/>
          <w:bCs/>
          <w:color w:val="auto"/>
          <w:sz w:val="32"/>
          <w:szCs w:val="32"/>
          <w:highlight w:val="none"/>
        </w:rPr>
      </w:pPr>
      <w:r>
        <w:rPr>
          <w:rFonts w:ascii="Microsoft New Tai Lue" w:hAnsi="Microsoft New Tai Lue" w:cs="Microsoft New Tai Lue"/>
          <w:b/>
          <w:bCs/>
          <w:color w:val="auto"/>
          <w:sz w:val="32"/>
          <w:szCs w:val="32"/>
          <w:highlight w:val="none"/>
        </w:rPr>
        <w:t xml:space="preserve">投标人须知前附表</w:t>
      </w:r>
      <w:r/>
    </w:p>
    <w:p>
      <w:pPr>
        <w:jc w:val="lef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本</w:t>
      </w:r>
      <w:r>
        <w:rPr>
          <w:rFonts w:hint="eastAsia" w:ascii="Microsoft New Tai Lue" w:hAnsi="Microsoft New Tai Lue" w:cs="Microsoft New Tai Lue"/>
          <w:color w:val="auto"/>
          <w:highlight w:val="none"/>
        </w:rPr>
        <w:t xml:space="preserve">表</w:t>
      </w:r>
      <w:r>
        <w:rPr>
          <w:rFonts w:ascii="Microsoft New Tai Lue" w:hAnsi="Microsoft New Tai Lue" w:cs="Microsoft New Tai Lue"/>
          <w:color w:val="auto"/>
          <w:highlight w:val="none"/>
        </w:rPr>
        <w:t xml:space="preserve">是对《投标人须知》正文的具体补充和修改，如有矛盾，以本《前附表》为准。</w:t>
      </w:r>
      <w:r/>
    </w:p>
    <w:p>
      <w:pPr>
        <w:jc w:val="lef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标记“</w:t>
      </w:r>
      <w:r>
        <w:rPr>
          <w:rFonts w:hint="eastAsia" w:ascii="宋体" w:hAnsi="宋体"/>
          <w:b/>
          <w:color w:val="auto"/>
          <w:sz w:val="24"/>
          <w:highlight w:val="none"/>
        </w:rPr>
        <w:t xml:space="preserve">■</w:t>
      </w:r>
      <w:r>
        <w:rPr>
          <w:rFonts w:hint="eastAsia" w:ascii="Microsoft New Tai Lue" w:hAnsi="Microsoft New Tai Lue" w:cs="Microsoft New Tai Lue"/>
          <w:color w:val="auto"/>
          <w:highlight w:val="none"/>
        </w:rPr>
        <w:t xml:space="preserve">”的选项意为适用于本项目，标记“□”的选项意为不适用于本项目。</w:t>
      </w:r>
      <w:r/>
    </w:p>
    <w:tbl>
      <w:tblPr>
        <w:tblStyle w:val="880"/>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111"/>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序号</w:t>
            </w:r>
            <w:r/>
          </w:p>
        </w:tc>
        <w:tc>
          <w:tcPr>
            <w:tcW w:w="850" w:type="dxa"/>
            <w:vAlign w:val="center"/>
            <w:textDirection w:val="lrTb"/>
            <w:noWrap w:val="false"/>
          </w:tcPr>
          <w:p>
            <w:pPr>
              <w:pStyle w:val="1111"/>
              <w:jc w:val="center"/>
              <w:rPr>
                <w:rFonts w:ascii="Microsoft New Tai Lue" w:hAnsi="Microsoft New Tai Lue" w:cs="Microsoft New Tai Lue"/>
                <w:b/>
                <w:color w:val="auto"/>
                <w:sz w:val="21"/>
                <w:highlight w:val="none"/>
              </w:rPr>
            </w:pPr>
            <w:r>
              <w:rPr>
                <w:rFonts w:hint="eastAsia" w:ascii="Microsoft New Tai Lue" w:hAnsi="Microsoft New Tai Lue" w:cs="Microsoft New Tai Lue"/>
                <w:b/>
                <w:color w:val="auto"/>
                <w:sz w:val="21"/>
                <w:highlight w:val="none"/>
              </w:rPr>
              <w:t xml:space="preserve">条款号</w:t>
            </w:r>
            <w:r/>
          </w:p>
        </w:tc>
        <w:tc>
          <w:tcPr>
            <w:tcW w:w="2835" w:type="dxa"/>
            <w:vAlign w:val="center"/>
            <w:textDirection w:val="lrTb"/>
            <w:noWrap w:val="false"/>
          </w:tcPr>
          <w:p>
            <w:pPr>
              <w:pStyle w:val="1111"/>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条款名称</w:t>
            </w:r>
            <w:r/>
          </w:p>
        </w:tc>
        <w:tc>
          <w:tcPr>
            <w:tcW w:w="4982" w:type="dxa"/>
            <w:vAlign w:val="center"/>
            <w:textDirection w:val="lrTb"/>
            <w:noWrap w:val="false"/>
          </w:tcPr>
          <w:p>
            <w:pPr>
              <w:pStyle w:val="1111"/>
              <w:jc w:val="center"/>
              <w:rPr>
                <w:rFonts w:ascii="Microsoft New Tai Lue" w:hAnsi="Microsoft New Tai Lue" w:cs="Microsoft New Tai Lue"/>
                <w:b/>
                <w:color w:val="auto"/>
                <w:sz w:val="21"/>
                <w:highlight w:val="none"/>
              </w:rPr>
            </w:pPr>
            <w:r>
              <w:rPr>
                <w:rFonts w:ascii="Microsoft New Tai Lue" w:hAnsi="Microsoft New Tai Lue" w:cs="Microsoft New Tai Lue"/>
                <w:b/>
                <w:color w:val="auto"/>
                <w:sz w:val="21"/>
                <w:highlight w:val="none"/>
              </w:rPr>
              <w:t xml:space="preserve">编列内容规定</w:t>
            </w:r>
            <w:r/>
          </w:p>
        </w:tc>
      </w:tr>
      <w:tr>
        <w:trPr>
          <w:jc w:val="center"/>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采购人</w:t>
            </w:r>
            <w:r/>
          </w:p>
        </w:tc>
        <w:tc>
          <w:tcPr>
            <w:tcW w:w="4982" w:type="dxa"/>
            <w:vAlign w:val="center"/>
            <w:textDirection w:val="lrTb"/>
            <w:noWrap w:val="false"/>
          </w:tcPr>
          <w:p>
            <w:pPr>
              <w:pStyle w:val="111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称：中科南京工业人工智能研究院</w:t>
            </w:r>
            <w:r/>
          </w:p>
          <w:p>
            <w:pPr>
              <w:pStyle w:val="111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地 址：江苏省南京市</w:t>
            </w:r>
            <w:r>
              <w:rPr>
                <w:rFonts w:cs="Microsoft New Tai Lue"/>
                <w:color w:val="auto"/>
                <w:sz w:val="21"/>
                <w:szCs w:val="21"/>
                <w:highlight w:val="none"/>
                <w:lang w:val="en-US" w:bidi="ar-SA"/>
              </w:rPr>
              <w:t xml:space="preserve">麒麟科创园天泉路168号</w:t>
            </w:r>
            <w:r/>
          </w:p>
          <w:p>
            <w:pPr>
              <w:pStyle w:val="111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联系人：宣栋</w:t>
            </w:r>
            <w:r/>
          </w:p>
          <w:p>
            <w:pPr>
              <w:pStyle w:val="111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电 话：15996353068</w:t>
            </w:r>
            <w:r/>
          </w:p>
        </w:tc>
      </w:tr>
      <w:tr>
        <w:trPr>
          <w:jc w:val="center"/>
          <w:trHeight w:val="2023"/>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2.2</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采购代理机构</w:t>
            </w:r>
            <w:r/>
          </w:p>
        </w:tc>
        <w:tc>
          <w:tcPr>
            <w:tcW w:w="4982" w:type="dxa"/>
            <w:vAlign w:val="center"/>
            <w:textDirection w:val="lrTb"/>
            <w:noWrap w:val="false"/>
          </w:tcPr>
          <w:p>
            <w:pPr>
              <w:pStyle w:val="111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名 称：江苏省招标中心有限公司</w:t>
            </w:r>
            <w:r/>
          </w:p>
          <w:p>
            <w:pPr>
              <w:pStyle w:val="1112"/>
              <w:spacing w:before="160"/>
              <w:rPr>
                <w:rFonts w:hint="eastAsia" w:eastAsia="宋体" w:cs="Microsoft New Tai Lue"/>
                <w:color w:val="auto"/>
                <w:sz w:val="21"/>
                <w:szCs w:val="21"/>
                <w:highlight w:val="none"/>
                <w:lang w:val="en-US" w:eastAsia="zh-CN" w:bidi="ar-SA"/>
              </w:rPr>
            </w:pPr>
            <w:r>
              <w:rPr>
                <w:rFonts w:hint="eastAsia" w:cs="Microsoft New Tai Lue"/>
                <w:color w:val="auto"/>
                <w:sz w:val="21"/>
                <w:szCs w:val="21"/>
                <w:highlight w:val="none"/>
                <w:lang w:val="en-US" w:bidi="ar-SA"/>
              </w:rPr>
              <w:t xml:space="preserve">地 址：</w:t>
            </w:r>
            <w:r>
              <w:rPr>
                <w:rFonts w:hint="eastAsia" w:cs="Microsoft New Tai Lue"/>
                <w:color w:val="auto"/>
                <w:sz w:val="21"/>
                <w:szCs w:val="21"/>
                <w:highlight w:val="none"/>
                <w:lang w:val="en-US" w:eastAsia="zh-CN" w:bidi="ar-SA"/>
              </w:rPr>
              <w:t xml:space="preserve">南京市郑和中路118号</w:t>
            </w:r>
            <w:r/>
          </w:p>
          <w:p>
            <w:pPr>
              <w:pStyle w:val="111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联系人：毛哲宇、黄志浩、郑兴东</w:t>
            </w:r>
            <w:r/>
          </w:p>
          <w:p>
            <w:pPr>
              <w:pStyle w:val="1112"/>
              <w:spacing w:before="160"/>
              <w:rPr>
                <w:rFonts w:hint="eastAsia" w:cs="Microsoft New Tai Lue"/>
                <w:color w:val="auto"/>
                <w:sz w:val="21"/>
                <w:szCs w:val="21"/>
                <w:highlight w:val="none"/>
                <w:lang w:val="en-US" w:bidi="ar-SA"/>
              </w:rPr>
            </w:pPr>
            <w:r>
              <w:rPr>
                <w:rFonts w:hint="eastAsia" w:cs="Microsoft New Tai Lue"/>
                <w:color w:val="auto"/>
                <w:sz w:val="21"/>
                <w:szCs w:val="21"/>
                <w:highlight w:val="none"/>
                <w:lang w:val="en-US" w:bidi="ar-SA"/>
              </w:rPr>
              <w:t xml:space="preserve">联系方式：17626046040、17855967601</w:t>
            </w:r>
            <w:r/>
          </w:p>
        </w:tc>
      </w:tr>
      <w:tr>
        <w:trPr>
          <w:jc w:val="center"/>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本项目执行的政府采购政策</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现场考察</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不组织</w:t>
            </w:r>
            <w:r>
              <w:rPr>
                <w:rFonts w:hint="eastAsia" w:ascii="宋体" w:hAnsi="宋体" w:cs="Microsoft New Tai Lue"/>
                <w:bCs/>
                <w:color w:val="auto"/>
                <w:szCs w:val="21"/>
                <w:highlight w:val="none"/>
              </w:rPr>
              <w:t xml:space="preserve">，</w:t>
            </w:r>
            <w:r>
              <w:rPr>
                <w:rFonts w:ascii="宋体" w:hAnsi="宋体" w:cs="Microsoft New Tai Lue"/>
                <w:color w:val="auto"/>
                <w:szCs w:val="21"/>
                <w:highlight w:val="none"/>
              </w:rPr>
              <w:t xml:space="preserve">供应商</w:t>
            </w:r>
            <w:r>
              <w:rPr>
                <w:rFonts w:hint="eastAsia" w:ascii="宋体" w:hAnsi="宋体" w:cs="Microsoft New Tai Lue"/>
                <w:color w:val="auto"/>
                <w:szCs w:val="21"/>
                <w:highlight w:val="none"/>
              </w:rPr>
              <w:t xml:space="preserve">须自行考察。</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组织</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（1）考察时间：</w:t>
            </w:r>
            <w:r>
              <w:rPr>
                <w:rFonts w:hint="eastAsia" w:ascii="宋体" w:hAnsi="宋体" w:cs="Microsoft New Tai Lue"/>
                <w:color w:val="auto"/>
                <w:szCs w:val="21"/>
                <w:highlight w:val="none"/>
              </w:rPr>
              <w:t xml:space="preserve">  年  月  日前，考察前请与采购人联系。</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（2）考察地点：</w:t>
            </w:r>
            <w:r>
              <w:rPr>
                <w:rFonts w:hint="eastAsia" w:ascii="宋体" w:hAnsi="宋体" w:cs="Microsoft New Tai Lue"/>
                <w:color w:val="auto"/>
                <w:szCs w:val="21"/>
                <w:highlight w:val="none"/>
              </w:rPr>
              <w:t xml:space="preserve">  </w:t>
            </w:r>
            <w:r/>
          </w:p>
          <w:p>
            <w:pPr>
              <w:jc w:val="left"/>
              <w:rPr>
                <w:rFonts w:hint="eastAsia" w:ascii="宋体" w:hAnsi="宋体" w:cs="Microsoft New Tai Lue"/>
                <w:color w:val="auto"/>
                <w:szCs w:val="21"/>
                <w:highlight w:val="none"/>
              </w:rPr>
            </w:pPr>
            <w:r>
              <w:rPr>
                <w:rFonts w:ascii="宋体" w:hAnsi="宋体" w:cs="Microsoft New Tai Lue"/>
                <w:color w:val="auto"/>
                <w:szCs w:val="21"/>
                <w:highlight w:val="none"/>
              </w:rPr>
              <w:t xml:space="preserve">（3）联系人：</w:t>
            </w:r>
            <w:r>
              <w:rPr>
                <w:rFonts w:hint="eastAsia" w:ascii="宋体" w:hAnsi="宋体" w:cs="Microsoft New Tai Lue"/>
                <w:color w:val="auto"/>
                <w:szCs w:val="21"/>
                <w:highlight w:val="none"/>
              </w:rPr>
              <w:t xml:space="preserve">         </w:t>
            </w:r>
            <w:r>
              <w:rPr>
                <w:rFonts w:ascii="宋体" w:hAnsi="宋体" w:cs="Microsoft New Tai Lue"/>
                <w:color w:val="auto"/>
                <w:szCs w:val="21"/>
                <w:highlight w:val="none"/>
              </w:rPr>
              <w:t xml:space="preserve">联系方式：</w:t>
            </w:r>
            <w:r>
              <w:rPr>
                <w:rFonts w:hint="eastAsia" w:ascii="宋体" w:hAnsi="宋体" w:cs="Microsoft New Tai Lue"/>
                <w:color w:val="auto"/>
                <w:szCs w:val="21"/>
                <w:highlight w:val="none"/>
              </w:rPr>
              <w:t xml:space="preserve">  </w:t>
            </w:r>
            <w:r/>
          </w:p>
          <w:p>
            <w:pPr>
              <w:jc w:val="left"/>
              <w:rPr>
                <w:rFonts w:hint="eastAsia" w:ascii="宋体" w:hAnsi="宋体" w:cs="Microsoft New Tai Lue"/>
                <w:bCs/>
                <w:color w:val="auto"/>
                <w:szCs w:val="21"/>
                <w:highlight w:val="none"/>
              </w:rPr>
            </w:pPr>
            <w:r>
              <w:rPr>
                <w:rFonts w:ascii="宋体" w:hAnsi="宋体" w:cs="Microsoft New Tai Lue"/>
                <w:color w:val="auto"/>
                <w:szCs w:val="21"/>
                <w:highlight w:val="none"/>
              </w:rPr>
              <w:t xml:space="preserve">（4）参加人员要求：</w:t>
            </w:r>
            <w:r/>
          </w:p>
        </w:tc>
      </w:tr>
      <w:tr>
        <w:trPr>
          <w:jc w:val="center"/>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9</w:t>
            </w:r>
            <w:r>
              <w:rPr>
                <w:rFonts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int="eastAsia" w:hAnsi="宋体" w:cs="Microsoft New Tai Lue"/>
                <w:color w:val="auto"/>
                <w:sz w:val="21"/>
                <w:highlight w:val="none"/>
              </w:rPr>
              <w:t xml:space="preserve">开标</w:t>
            </w:r>
            <w:r>
              <w:rPr>
                <w:rFonts w:hAnsi="宋体" w:cs="Microsoft New Tai Lue"/>
                <w:color w:val="auto"/>
                <w:sz w:val="21"/>
                <w:highlight w:val="none"/>
              </w:rPr>
              <w:t xml:space="preserve">前答疑会</w:t>
            </w:r>
            <w:r/>
          </w:p>
        </w:tc>
        <w:tc>
          <w:tcPr>
            <w:tcW w:w="4982" w:type="dxa"/>
            <w:vAlign w:val="center"/>
            <w:textDirection w:val="lrTb"/>
            <w:noWrap w:val="false"/>
          </w:tcPr>
          <w:p>
            <w:pPr>
              <w:pStyle w:val="1112"/>
              <w:spacing w:before="160"/>
              <w:rPr>
                <w:rFonts w:hint="eastAsia" w:cs="Times New Roman"/>
                <w:color w:val="auto"/>
                <w:sz w:val="21"/>
                <w:szCs w:val="21"/>
                <w:highlight w:val="none"/>
                <w:lang w:val="en-US" w:bidi="ar-SA"/>
              </w:rPr>
            </w:pPr>
            <w:r>
              <w:rPr>
                <w:rFonts w:hint="eastAsia"/>
                <w:b/>
                <w:color w:val="auto"/>
                <w:sz w:val="24"/>
                <w:highlight w:val="none"/>
              </w:rPr>
              <w:t xml:space="preserve">■</w:t>
            </w:r>
            <w:r>
              <w:rPr>
                <w:rFonts w:hint="eastAsia" w:cs="Times New Roman"/>
                <w:color w:val="auto"/>
                <w:sz w:val="21"/>
                <w:szCs w:val="21"/>
                <w:highlight w:val="none"/>
                <w:lang w:val="en-US" w:bidi="ar-SA"/>
              </w:rPr>
              <w:t xml:space="preserve">不召开</w:t>
            </w:r>
            <w:r/>
          </w:p>
          <w:p>
            <w:pPr>
              <w:pStyle w:val="1112"/>
              <w:spacing w:before="160"/>
              <w:rPr>
                <w:rFonts w:hint="eastAsia" w:cs="Times New Roman"/>
                <w:color w:val="auto"/>
                <w:sz w:val="21"/>
                <w:szCs w:val="21"/>
                <w:highlight w:val="none"/>
                <w:lang w:val="en-US" w:bidi="ar-SA"/>
              </w:rPr>
            </w:pPr>
            <w:r>
              <w:rPr>
                <w:rFonts w:ascii="Segoe UI Symbol" w:hAnsi="Segoe UI Symbol" w:cs="Segoe UI Symbol"/>
                <w:bCs/>
                <w:color w:val="auto"/>
                <w:sz w:val="21"/>
                <w:szCs w:val="21"/>
                <w:highlight w:val="none"/>
              </w:rPr>
              <w:t xml:space="preserve">☐</w:t>
            </w:r>
            <w:r>
              <w:rPr>
                <w:rFonts w:hint="eastAsia" w:cs="Times New Roman"/>
                <w:color w:val="auto"/>
                <w:sz w:val="21"/>
                <w:szCs w:val="21"/>
                <w:highlight w:val="none"/>
                <w:lang w:val="en-US" w:bidi="ar-SA"/>
              </w:rPr>
              <w:t xml:space="preserve">召开</w:t>
            </w:r>
            <w:r/>
          </w:p>
          <w:p>
            <w:pPr>
              <w:spacing w:before="156"/>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（1）召开</w:t>
            </w:r>
            <w:r>
              <w:rPr>
                <w:rFonts w:ascii="宋体" w:hAnsi="宋体" w:cs="Microsoft New Tai Lue"/>
                <w:bCs/>
                <w:color w:val="auto"/>
                <w:szCs w:val="21"/>
                <w:highlight w:val="none"/>
              </w:rPr>
              <w:t xml:space="preserve">时间：</w:t>
            </w:r>
            <w:r/>
          </w:p>
          <w:p>
            <w:pPr>
              <w:spacing w:before="156"/>
              <w:rPr>
                <w:rFonts w:hint="eastAsia" w:ascii="宋体" w:hAnsi="宋体" w:cs="Segoe UI Symbol"/>
                <w:bCs/>
                <w:color w:val="auto"/>
                <w:szCs w:val="21"/>
                <w:highlight w:val="none"/>
              </w:rPr>
            </w:pPr>
            <w:r>
              <w:rPr>
                <w:rFonts w:hint="eastAsia" w:ascii="宋体" w:hAnsi="宋体" w:cs="Microsoft New Tai Lue"/>
                <w:bCs/>
                <w:color w:val="auto"/>
                <w:szCs w:val="21"/>
                <w:highlight w:val="none"/>
              </w:rPr>
              <w:t xml:space="preserve">（2）召开</w:t>
            </w:r>
            <w:r>
              <w:rPr>
                <w:rFonts w:ascii="宋体" w:hAnsi="宋体" w:cs="Microsoft New Tai Lue"/>
                <w:bCs/>
                <w:color w:val="auto"/>
                <w:szCs w:val="21"/>
                <w:highlight w:val="none"/>
              </w:rPr>
              <w:t xml:space="preserve">地点</w:t>
            </w:r>
            <w:r>
              <w:rPr>
                <w:rFonts w:hint="eastAsia"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联合体投标</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不接受</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接受</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联合体要求：详见</w:t>
            </w:r>
            <w:r>
              <w:rPr>
                <w:rFonts w:ascii="宋体" w:hAnsi="宋体" w:cs="Microsoft New Tai Lue"/>
                <w:color w:val="auto"/>
                <w:szCs w:val="21"/>
                <w:highlight w:val="none"/>
              </w:rPr>
              <w:t xml:space="preserve">招标文件</w:t>
            </w:r>
            <w:r>
              <w:rPr>
                <w:rFonts w:ascii="宋体" w:hAnsi="宋体" w:cs="Microsoft New Tai Lue"/>
                <w:bCs/>
                <w:color w:val="auto"/>
                <w:szCs w:val="21"/>
                <w:highlight w:val="none"/>
              </w:rPr>
              <w:t xml:space="preserve">第</w:t>
            </w:r>
            <w:r>
              <w:rPr>
                <w:rFonts w:hint="eastAsia" w:ascii="宋体" w:hAnsi="宋体" w:cs="Microsoft New Tai Lue"/>
                <w:bCs/>
                <w:color w:val="auto"/>
                <w:szCs w:val="21"/>
                <w:highlight w:val="none"/>
              </w:rPr>
              <w:t xml:space="preserve">一</w:t>
            </w:r>
            <w:r>
              <w:rPr>
                <w:rFonts w:ascii="宋体" w:hAnsi="宋体" w:cs="Microsoft New Tai Lue"/>
                <w:bCs/>
                <w:color w:val="auto"/>
                <w:szCs w:val="21"/>
                <w:highlight w:val="none"/>
              </w:rPr>
              <w:t xml:space="preserve">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int="eastAsia" w:hAnsi="宋体" w:cs="Microsoft New Tai Lue"/>
                <w:color w:val="auto"/>
                <w:sz w:val="21"/>
                <w:highlight w:val="none"/>
              </w:rPr>
              <w:t xml:space="preserve">其他事项说明</w:t>
            </w:r>
            <w:r/>
          </w:p>
        </w:tc>
        <w:tc>
          <w:tcPr>
            <w:tcW w:w="4982" w:type="dxa"/>
            <w:vAlign w:val="center"/>
            <w:textDirection w:val="lrTb"/>
            <w:noWrap w:val="false"/>
          </w:tcPr>
          <w:p>
            <w:pPr>
              <w:spacing w:before="156"/>
              <w:rPr>
                <w:rFonts w:hint="eastAsia" w:ascii="宋体" w:hAnsi="宋体"/>
                <w:color w:val="auto"/>
                <w:szCs w:val="21"/>
                <w:highlight w:val="none"/>
              </w:rPr>
            </w:pPr>
            <w:r>
              <w:rPr>
                <w:rFonts w:hint="eastAsia" w:ascii="宋体" w:hAnsi="宋体"/>
                <w:color w:val="auto"/>
                <w:szCs w:val="21"/>
                <w:highlight w:val="none"/>
              </w:rPr>
              <w:t xml:space="preserve">具体要求详见采购需求及合同</w:t>
            </w:r>
            <w:r/>
          </w:p>
        </w:tc>
      </w:tr>
      <w:tr>
        <w:trPr>
          <w:jc w:val="center"/>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12.1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样品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投标样品递交：</w:t>
            </w:r>
            <w:r/>
          </w:p>
          <w:p>
            <w:pPr>
              <w:spacing w:before="156"/>
              <w:rPr>
                <w:rFonts w:hint="eastAsia" w:ascii="宋体" w:hAnsi="宋体" w:cs="Microsoft New Tai Lue"/>
                <w:bCs/>
                <w:color w:val="auto"/>
                <w:szCs w:val="21"/>
                <w:highlight w:val="none"/>
              </w:rPr>
            </w:pPr>
            <w:r>
              <w:rPr>
                <w:rFonts w:hint="eastAsia" w:ascii="宋体" w:hAnsi="宋体"/>
                <w:b/>
                <w:color w:val="auto"/>
                <w:sz w:val="24"/>
                <w:highlight w:val="none"/>
              </w:rPr>
              <w:t xml:space="preserve">■</w:t>
            </w: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□需要，具体要求如下：</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（1）样品制作的标准和要求：_________；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（2）是否需要随样品提交相关检测报告：</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□需要</w:t>
            </w:r>
            <w:r>
              <w:rPr>
                <w:rFonts w:hint="eastAsia" w:ascii="宋体" w:hAnsi="宋体" w:cs="Microsoft New Tai Lue"/>
                <w:bCs/>
                <w:color w:val="auto"/>
                <w:szCs w:val="21"/>
                <w:highlight w:val="none"/>
              </w:rPr>
              <w:t xml:space="preserve">，</w:t>
            </w:r>
            <w:r>
              <w:rPr>
                <w:rFonts w:ascii="宋体" w:hAnsi="宋体" w:cs="宋体"/>
                <w:color w:val="auto"/>
                <w:szCs w:val="21"/>
                <w:highlight w:val="none"/>
              </w:rPr>
              <w:t xml:space="preserve">检测机构</w:t>
            </w:r>
            <w:r>
              <w:rPr>
                <w:rFonts w:ascii="宋体" w:hAnsi="宋体" w:cs="Microsoft New Tai Lue"/>
                <w:bCs/>
                <w:color w:val="auto"/>
                <w:szCs w:val="21"/>
                <w:highlight w:val="none"/>
              </w:rPr>
              <w:t xml:space="preserve">的要求：_________；检测内容：_________；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（3）样品递交要求：_________；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（4）未中标人样品退还：_________；</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（5）中标人样品保管、封存及退还：_________；</w:t>
            </w:r>
            <w:r/>
          </w:p>
          <w:p>
            <w:pPr>
              <w:spacing w:before="156"/>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（6）其他要求（如有）：_________。</w:t>
            </w:r>
            <w:r/>
          </w:p>
        </w:tc>
      </w:tr>
      <w:tr>
        <w:trPr>
          <w:jc w:val="center"/>
          <w:trHeight w:val="734"/>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13.1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采购进口产品</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ascii="宋体" w:hAnsi="宋体" w:cs="Segoe UI Symbol"/>
                <w:bCs/>
                <w:color w:val="auto"/>
                <w:szCs w:val="21"/>
                <w:highlight w:val="none"/>
              </w:rPr>
              <w:t xml:space="preserve">详见招标文件第一章《招标公告》</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10</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int="eastAsia" w:hAnsi="宋体" w:cs="Microsoft New Tai Lue"/>
                <w:color w:val="auto"/>
                <w:sz w:val="21"/>
                <w:highlight w:val="none"/>
              </w:rPr>
              <w:t xml:space="preserve">采购</w:t>
            </w:r>
            <w:r>
              <w:rPr>
                <w:rFonts w:hAnsi="宋体" w:cs="Microsoft New Tai Lue"/>
                <w:color w:val="auto"/>
                <w:sz w:val="21"/>
                <w:highlight w:val="none"/>
              </w:rPr>
              <w:t xml:space="preserve">预算</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74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1</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rPr>
                <w:rFonts w:hint="eastAsia" w:ascii="Microsoft New Tai Lue" w:hAnsi="Microsoft New Tai Lue" w:cs="Microsoft New Tai Lue"/>
                <w:color w:val="auto"/>
                <w:sz w:val="21"/>
                <w:highlight w:val="none"/>
              </w:rPr>
              <w:t xml:space="preserve">.2</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本项目设定的最高限价</w:t>
            </w:r>
            <w:r/>
          </w:p>
        </w:tc>
        <w:tc>
          <w:tcPr>
            <w:tcW w:w="4982" w:type="dxa"/>
            <w:vAlign w:val="center"/>
            <w:textDirection w:val="lrTb"/>
            <w:noWrap w:val="false"/>
          </w:tcPr>
          <w:p>
            <w:pPr>
              <w:jc w:val="left"/>
              <w:rPr>
                <w:rFonts w:hint="eastAsia" w:ascii="宋体" w:hAnsi="宋体" w:cs="Microsoft New Tai Lue"/>
                <w:color w:val="auto"/>
                <w:szCs w:val="21"/>
                <w:highlight w:val="none"/>
              </w:rPr>
            </w:pPr>
            <w:r>
              <w:rPr>
                <w:rFonts w:ascii="宋体" w:hAnsi="宋体" w:cs="Microsoft New Tai Lue"/>
                <w:bCs/>
                <w:color w:val="auto"/>
                <w:szCs w:val="21"/>
                <w:highlight w:val="none"/>
              </w:rPr>
              <w:t xml:space="preserve">详见</w:t>
            </w:r>
            <w:r>
              <w:rPr>
                <w:rFonts w:ascii="宋体" w:hAnsi="宋体" w:cs="Microsoft New Tai Lue"/>
                <w:color w:val="auto"/>
                <w:szCs w:val="21"/>
                <w:highlight w:val="none"/>
              </w:rPr>
              <w:t xml:space="preserve">招标文件第</w:t>
            </w:r>
            <w:r>
              <w:rPr>
                <w:rFonts w:hint="eastAsia" w:ascii="宋体" w:hAnsi="宋体" w:cs="Microsoft New Tai Lue"/>
                <w:color w:val="auto"/>
                <w:szCs w:val="21"/>
                <w:highlight w:val="none"/>
              </w:rPr>
              <w:t xml:space="preserve">一</w:t>
            </w:r>
            <w:r>
              <w:rPr>
                <w:rFonts w:ascii="宋体" w:hAnsi="宋体" w:cs="Microsoft New Tai Lue"/>
                <w:color w:val="auto"/>
                <w:szCs w:val="21"/>
                <w:highlight w:val="none"/>
              </w:rPr>
              <w:t xml:space="preserve">章《</w:t>
            </w:r>
            <w:r>
              <w:rPr>
                <w:rFonts w:hint="eastAsia" w:ascii="宋体" w:hAnsi="宋体" w:cs="Microsoft New Tai Lue"/>
                <w:color w:val="auto"/>
                <w:szCs w:val="21"/>
                <w:highlight w:val="none"/>
              </w:rPr>
              <w:t xml:space="preserve">招标公告</w:t>
            </w:r>
            <w:r>
              <w:rPr>
                <w:rFonts w:ascii="宋体" w:hAnsi="宋体" w:cs="Microsoft New Tai Lue"/>
                <w:color w:val="auto"/>
                <w:szCs w:val="21"/>
                <w:highlight w:val="none"/>
              </w:rPr>
              <w:t xml:space="preserve">》</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jc w:val="left"/>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资格条件</w:t>
            </w:r>
            <w:r>
              <w:rPr>
                <w:rFonts w:hint="eastAsia" w:ascii="宋体" w:hAnsi="宋体" w:cs="Microsoft New Tai Lue"/>
                <w:bCs/>
                <w:color w:val="auto"/>
                <w:szCs w:val="21"/>
                <w:highlight w:val="none"/>
              </w:rPr>
              <w:t xml:space="preserve">/申请人的资格要求</w:t>
            </w:r>
            <w:r/>
          </w:p>
        </w:tc>
        <w:tc>
          <w:tcPr>
            <w:tcW w:w="4982" w:type="dxa"/>
            <w:vAlign w:val="center"/>
            <w:textDirection w:val="lrTb"/>
            <w:noWrap w:val="false"/>
          </w:tcPr>
          <w:p>
            <w:pPr>
              <w:jc w:val="left"/>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详见招标文件第一章《</w:t>
            </w:r>
            <w:r>
              <w:rPr>
                <w:rFonts w:hint="eastAsia" w:ascii="宋体" w:hAnsi="宋体" w:cs="Microsoft New Tai Lue"/>
                <w:bCs/>
                <w:color w:val="auto"/>
                <w:szCs w:val="21"/>
                <w:highlight w:val="none"/>
              </w:rPr>
              <w:t xml:space="preserve">招标公告</w:t>
            </w:r>
            <w:r>
              <w:rPr>
                <w:rFonts w:ascii="宋体" w:hAnsi="宋体" w:cs="Microsoft New Tai Lue"/>
                <w:bCs/>
                <w:color w:val="auto"/>
                <w:szCs w:val="21"/>
                <w:highlight w:val="none"/>
              </w:rPr>
              <w:t xml:space="preserve">》</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20.5</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投标报价</w:t>
            </w:r>
            <w:r/>
          </w:p>
        </w:tc>
        <w:tc>
          <w:tcPr>
            <w:tcW w:w="4982" w:type="dxa"/>
            <w:vAlign w:val="center"/>
            <w:textDirection w:val="lrTb"/>
            <w:noWrap w:val="false"/>
          </w:tcPr>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投标报价的其他要求：</w:t>
            </w:r>
            <w:r/>
          </w:p>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（1）投标报价应为完成本项目工作所发生的一切预见和不可预见费用；（2）采购人不再支付其他任何费用。</w:t>
            </w:r>
            <w:r/>
          </w:p>
        </w:tc>
      </w:tr>
      <w:tr>
        <w:trPr>
          <w:jc w:val="center"/>
          <w:trHeight w:val="469"/>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投标有效期</w:t>
            </w:r>
            <w:r/>
          </w:p>
        </w:tc>
        <w:tc>
          <w:tcPr>
            <w:tcW w:w="4982" w:type="dxa"/>
            <w:vAlign w:val="center"/>
            <w:textDirection w:val="lrTb"/>
            <w:noWrap w:val="false"/>
          </w:tcPr>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自提交投标文件的截止之日起算</w:t>
            </w:r>
            <w:r>
              <w:rPr>
                <w:rFonts w:hAnsi="宋体" w:cs="Microsoft New Tai Lue"/>
                <w:bCs/>
                <w:color w:val="auto"/>
                <w:sz w:val="21"/>
                <w:highlight w:val="none"/>
              </w:rPr>
              <w:t xml:space="preserve">90</w:t>
            </w:r>
            <w:r>
              <w:rPr>
                <w:rFonts w:hint="eastAsia" w:hAnsi="宋体" w:cs="Microsoft New Tai Lue"/>
                <w:bCs/>
                <w:color w:val="auto"/>
                <w:sz w:val="21"/>
                <w:highlight w:val="none"/>
              </w:rPr>
              <w:t xml:space="preserve">日历天</w:t>
            </w:r>
            <w:r/>
          </w:p>
        </w:tc>
      </w:tr>
      <w:tr>
        <w:trPr>
          <w:jc w:val="center"/>
          <w:trHeight w:val="54"/>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22.1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投标保证金</w:t>
            </w:r>
            <w:r/>
          </w:p>
        </w:tc>
        <w:tc>
          <w:tcPr>
            <w:tcW w:w="4982" w:type="dxa"/>
            <w:vAlign w:val="center"/>
            <w:textDirection w:val="lrTb"/>
            <w:noWrap w:val="false"/>
          </w:tcPr>
          <w:p>
            <w:pPr>
              <w:spacing w:before="156"/>
              <w:rPr>
                <w:rFonts w:hint="eastAsia" w:ascii="宋体" w:hAnsi="宋体" w:cs="Segoe UI Symbol"/>
                <w:bCs/>
                <w:color w:val="auto"/>
                <w:szCs w:val="21"/>
                <w:highlight w:val="none"/>
              </w:rPr>
            </w:pPr>
            <w:r>
              <w:rPr>
                <w:rFonts w:hint="eastAsia" w:ascii="宋体" w:hAnsi="宋体"/>
                <w:b/>
                <w:color w:val="auto"/>
                <w:sz w:val="24"/>
                <w:highlight w:val="none"/>
              </w:rPr>
              <w:t xml:space="preserve">■</w:t>
            </w:r>
            <w:r>
              <w:rPr>
                <w:rFonts w:hint="eastAsia" w:ascii="宋体" w:hAnsi="宋体" w:cs="Segoe UI Symbol"/>
                <w:bCs/>
                <w:color w:val="auto"/>
                <w:szCs w:val="21"/>
                <w:highlight w:val="none"/>
              </w:rPr>
              <w:t xml:space="preserve">不需要</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hint="eastAsia" w:ascii="宋体" w:hAnsi="宋体" w:cs="Segoe UI Symbol"/>
                <w:bCs/>
                <w:color w:val="auto"/>
                <w:szCs w:val="21"/>
                <w:highlight w:val="none"/>
              </w:rPr>
              <w:t xml:space="preserve">需要</w:t>
            </w:r>
            <w:r/>
          </w:p>
        </w:tc>
      </w:tr>
      <w:tr>
        <w:trPr>
          <w:jc w:val="center"/>
          <w:trHeight w:val="90"/>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23.1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投标文件份数</w:t>
            </w:r>
            <w:r/>
          </w:p>
        </w:tc>
        <w:tc>
          <w:tcPr>
            <w:tcW w:w="4982" w:type="dxa"/>
            <w:vAlign w:val="center"/>
            <w:textDirection w:val="lrTb"/>
            <w:noWrap w:val="false"/>
          </w:tcPr>
          <w:p>
            <w:pPr>
              <w:pStyle w:val="1111"/>
              <w:rPr>
                <w:rFonts w:hint="eastAsia" w:hAnsi="宋体" w:cs="Microsoft New Tai Lue"/>
                <w:bCs/>
                <w:color w:val="auto"/>
                <w:sz w:val="21"/>
                <w:highlight w:val="none"/>
              </w:rPr>
            </w:pPr>
            <w:r>
              <w:rPr>
                <w:rFonts w:hint="eastAsia"/>
                <w:color w:val="auto"/>
                <w:highlight w:val="none"/>
              </w:rPr>
              <w:t xml:space="preserve">电子投标文件一份(通过系统提交)</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24.1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int="eastAsia" w:hAnsi="宋体" w:cs="Microsoft New Tai Lue"/>
                <w:color w:val="auto"/>
                <w:sz w:val="21"/>
                <w:highlight w:val="none"/>
              </w:rPr>
              <w:t xml:space="preserve">投标文件的递交</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hint="eastAsia"/>
                <w:color w:val="auto"/>
                <w:highlight w:val="none"/>
              </w:rPr>
              <w:t xml:space="preserve">供应商应当按照《操作手册》规定，在招标公告规定的投标截止时间前制作并上传电子投标文件。招标代理机构拒绝接收提交投标文件截止时间后上传的任何电子投标文件。</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25</w:t>
            </w:r>
            <w:r>
              <w:rPr>
                <w:rFonts w:hint="eastAsia" w:ascii="Microsoft New Tai Lue" w:hAnsi="Microsoft New Tai Lue" w:cs="Microsoft New Tai Lue"/>
                <w:color w:val="auto"/>
                <w:sz w:val="21"/>
                <w:highlight w:val="none"/>
              </w:rPr>
              <w:t xml:space="preserve">.1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提交投标文件的截止时间、地点</w:t>
            </w:r>
            <w:r/>
          </w:p>
        </w:tc>
        <w:tc>
          <w:tcPr>
            <w:tcW w:w="4982"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1</w:t>
            </w:r>
            <w:r>
              <w:rPr>
                <w:rFonts w:ascii="Microsoft New Tai Lue" w:hAnsi="Microsoft New Tai Lue" w:cs="Microsoft New Tai Lue"/>
                <w:color w:val="auto"/>
                <w:sz w:val="21"/>
                <w:highlight w:val="none"/>
              </w:rPr>
              <w:t xml:space="preserve">9</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28.1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开标时间、地点</w:t>
            </w:r>
            <w:r/>
          </w:p>
        </w:tc>
        <w:tc>
          <w:tcPr>
            <w:tcW w:w="4982" w:type="dxa"/>
            <w:vAlign w:val="center"/>
            <w:textDirection w:val="lrTb"/>
            <w:noWrap w:val="false"/>
          </w:tcPr>
          <w:p>
            <w:pPr>
              <w:pStyle w:val="1111"/>
              <w:jc w:val="left"/>
              <w:rPr>
                <w:rFonts w:hint="eastAsia" w:hAnsi="宋体"/>
                <w:color w:val="auto"/>
                <w:highlight w:val="none"/>
              </w:rPr>
            </w:pPr>
            <w:r>
              <w:rPr>
                <w:rFonts w:hAnsi="宋体" w:cs="Microsoft New Tai Lue"/>
                <w:color w:val="auto"/>
                <w:sz w:val="21"/>
                <w:highlight w:val="none"/>
              </w:rPr>
              <w:t xml:space="preserve">详见招标文件第一章《</w:t>
            </w:r>
            <w:r>
              <w:rPr>
                <w:rFonts w:hint="eastAsia" w:hAnsi="宋体" w:cs="Microsoft New Tai Lue"/>
                <w:color w:val="auto"/>
                <w:sz w:val="21"/>
                <w:highlight w:val="none"/>
              </w:rPr>
              <w:t xml:space="preserve">招标公告</w:t>
            </w:r>
            <w:r>
              <w:rPr>
                <w:rFonts w:hAnsi="宋体" w:cs="Microsoft New Tai Lue"/>
                <w:color w:val="auto"/>
                <w:sz w:val="21"/>
                <w:highlight w:val="none"/>
              </w:rPr>
              <w:t xml:space="preserve">》</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20</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29.2.1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信用查询</w:t>
            </w:r>
            <w:r/>
          </w:p>
        </w:tc>
        <w:tc>
          <w:tcPr>
            <w:tcW w:w="4982" w:type="dxa"/>
            <w:vAlign w:val="center"/>
            <w:textDirection w:val="lrTb"/>
            <w:noWrap w:val="false"/>
          </w:tcPr>
          <w:p>
            <w:pPr>
              <w:pStyle w:val="1111"/>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Microsoft New Tai Lue"/>
                <w:bCs/>
                <w:color w:val="auto"/>
                <w:sz w:val="21"/>
                <w:highlight w:val="none"/>
              </w:rPr>
              <w:t xml:space="preserve">采购人或采购代理机构将通过“信用中国”网站</w:t>
            </w:r>
            <w:r>
              <w:rPr>
                <w:rFonts w:hAnsi="宋体" w:cs="Microsoft New Tai Lue"/>
                <w:bCs/>
                <w:color w:val="auto"/>
                <w:sz w:val="21"/>
                <w:highlight w:val="none"/>
              </w:rPr>
              <w:t xml:space="preserve">(www.creditchina.gov.cn)</w:t>
            </w:r>
            <w:r>
              <w:rPr>
                <w:rFonts w:hint="eastAsia" w:hAnsi="宋体" w:cs="Microsoft New Tai Lue"/>
                <w:bCs/>
                <w:color w:val="auto"/>
                <w:sz w:val="21"/>
                <w:highlight w:val="none"/>
              </w:rPr>
              <w:t xml:space="preserve">查询相关主体信用记录（查询内容详见第一章《招标公告》）。本次查询的信用记录打印的网页版将留存在评标报告中。查询时间</w:t>
            </w:r>
            <w:r>
              <w:rPr>
                <w:rFonts w:hAnsi="宋体" w:cs="Microsoft New Tai Lue"/>
                <w:bCs/>
                <w:color w:val="auto"/>
                <w:sz w:val="21"/>
                <w:highlight w:val="none"/>
              </w:rPr>
              <w:t xml:space="preserve">：投标截止时间以后、资格审查阶段采购人或采购代理机构的实际查询时间</w:t>
            </w:r>
            <w:r>
              <w:rPr>
                <w:rFonts w:hint="eastAsia" w:hAnsi="宋体" w:cs="Microsoft New Tai Lue"/>
                <w:bCs/>
                <w:color w:val="auto"/>
                <w:sz w:val="21"/>
                <w:highlight w:val="none"/>
              </w:rPr>
              <w:t xml:space="preserve">。</w:t>
            </w:r>
            <w:r/>
          </w:p>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□投标人自行查询信用记录，如实提供《无不良信用记录承诺》并加盖投标人公章。联合体参加投标的，所有联合体成员均须加盖公章。本项目信用记录查询截止时点为__。</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21</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30.1.1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评标委员会</w:t>
            </w:r>
            <w:r/>
          </w:p>
        </w:tc>
        <w:tc>
          <w:tcPr>
            <w:tcW w:w="4982" w:type="dxa"/>
            <w:vAlign w:val="center"/>
            <w:textDirection w:val="lrTb"/>
            <w:noWrap w:val="false"/>
          </w:tcPr>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5人以上单数</w:t>
            </w:r>
            <w:r>
              <w:rPr>
                <w:rFonts w:hAnsi="宋体" w:cs="Microsoft New Tai Lue"/>
                <w:bCs/>
                <w:color w:val="auto"/>
                <w:sz w:val="21"/>
                <w:highlight w:val="none"/>
              </w:rPr>
              <w:t xml:space="preserve">。</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2</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30.5.3</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核心产品</w:t>
            </w:r>
            <w:r>
              <w:rPr>
                <w:rFonts w:hAnsi="宋体" w:cs="Microsoft New Tai Lue"/>
                <w:color w:val="auto"/>
                <w:sz w:val="21"/>
                <w:highlight w:val="none"/>
              </w:rPr>
              <w:tab/>
            </w:r>
            <w:r/>
          </w:p>
        </w:tc>
        <w:tc>
          <w:tcPr>
            <w:tcW w:w="4982" w:type="dxa"/>
            <w:vAlign w:val="center"/>
            <w:textDirection w:val="lrTb"/>
            <w:noWrap w:val="false"/>
          </w:tcPr>
          <w:p>
            <w:pPr>
              <w:pStyle w:val="1111"/>
              <w:rPr>
                <w:rFonts w:hint="eastAsia" w:hAnsi="宋体" w:cs="宋体"/>
                <w:bCs/>
                <w:color w:val="auto"/>
                <w:sz w:val="21"/>
                <w:highlight w:val="none"/>
              </w:rPr>
            </w:pPr>
            <w:r>
              <w:rPr>
                <w:rFonts w:ascii="Segoe UI Symbol" w:hAnsi="Segoe UI Symbol" w:cs="Segoe UI Symbol"/>
                <w:bCs/>
                <w:color w:val="auto"/>
                <w:sz w:val="21"/>
                <w:highlight w:val="none"/>
              </w:rPr>
              <w:t xml:space="preserve">☐</w:t>
            </w:r>
            <w:r>
              <w:rPr>
                <w:rFonts w:hint="eastAsia" w:hAnsi="宋体" w:cs="宋体"/>
                <w:bCs/>
                <w:color w:val="auto"/>
                <w:sz w:val="21"/>
                <w:highlight w:val="none"/>
              </w:rPr>
              <w:t xml:space="preserve">货物类，核心产品为： </w:t>
            </w:r>
            <w:r>
              <w:rPr>
                <w:rFonts w:hint="eastAsia" w:hAnsi="宋体" w:cs="宋体"/>
                <w:bCs/>
                <w:color w:val="auto"/>
                <w:sz w:val="21"/>
                <w:highlight w:val="none"/>
                <w:u w:val="single"/>
              </w:rPr>
              <w:t xml:space="preserve"> /  </w:t>
            </w:r>
            <w:r>
              <w:rPr>
                <w:rFonts w:hint="eastAsia" w:hAnsi="宋体" w:cs="宋体"/>
                <w:bCs/>
                <w:color w:val="auto"/>
                <w:sz w:val="21"/>
                <w:highlight w:val="none"/>
              </w:rPr>
              <w:t xml:space="preserve">    </w:t>
            </w:r>
            <w:r/>
          </w:p>
          <w:p>
            <w:pPr>
              <w:pStyle w:val="1111"/>
              <w:rPr>
                <w:rFonts w:hint="eastAsia" w:hAnsi="宋体" w:cs="Microsoft New Tai Lue"/>
                <w:bCs/>
                <w:color w:val="auto"/>
                <w:sz w:val="21"/>
                <w:highlight w:val="none"/>
              </w:rPr>
            </w:pPr>
            <w:r>
              <w:rPr>
                <w:rFonts w:hint="eastAsia" w:hAnsi="宋体"/>
                <w:b/>
                <w:color w:val="auto"/>
                <w:sz w:val="24"/>
                <w:highlight w:val="none"/>
              </w:rPr>
              <w:t xml:space="preserve">■</w:t>
            </w:r>
            <w:r>
              <w:rPr>
                <w:rFonts w:hint="eastAsia" w:hAnsi="宋体" w:cs="宋体"/>
                <w:bCs/>
                <w:color w:val="auto"/>
                <w:sz w:val="21"/>
                <w:highlight w:val="none"/>
              </w:rPr>
              <w:t xml:space="preserve">服务类：</w:t>
            </w:r>
            <w:r>
              <w:rPr>
                <w:rFonts w:hint="eastAsia" w:hAnsi="宋体" w:cs="宋体"/>
                <w:bCs/>
                <w:color w:val="auto"/>
                <w:sz w:val="21"/>
                <w:highlight w:val="none"/>
                <w:u w:val="single"/>
              </w:rPr>
              <w:t xml:space="preserve"> 不涉及核心产品  </w:t>
            </w:r>
            <w:r>
              <w:rPr>
                <w:rFonts w:hint="eastAsia" w:hAnsi="宋体" w:cs="宋体"/>
                <w:bCs/>
                <w:color w:val="auto"/>
                <w:sz w:val="21"/>
                <w:highlight w:val="none"/>
              </w:rPr>
              <w:t xml:space="preserve">  </w:t>
            </w:r>
            <w:r>
              <w:rPr>
                <w:rFonts w:hint="eastAsia" w:hAnsi="宋体" w:cs="Microsoft New Tai Lue"/>
                <w:bCs/>
                <w:color w:val="auto"/>
                <w:sz w:val="21"/>
                <w:highlight w:val="none"/>
              </w:rPr>
              <w:t xml:space="preserve">。</w:t>
            </w:r>
            <w:r/>
          </w:p>
        </w:tc>
      </w:tr>
      <w:tr>
        <w:trPr>
          <w:jc w:val="center"/>
          <w:trHeight w:val="432"/>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3</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31.3</w:t>
            </w:r>
            <w:r/>
          </w:p>
        </w:tc>
        <w:tc>
          <w:tcPr>
            <w:tcW w:w="2835" w:type="dxa"/>
            <w:vAlign w:val="center"/>
            <w:textDirection w:val="lrTb"/>
            <w:noWrap w:val="false"/>
          </w:tcPr>
          <w:p>
            <w:pPr>
              <w:pStyle w:val="1111"/>
              <w:jc w:val="left"/>
              <w:rPr>
                <w:rFonts w:hint="eastAsia" w:hAnsi="宋体" w:cs="Microsoft New Tai Lue"/>
                <w:bCs/>
                <w:color w:val="auto"/>
                <w:sz w:val="21"/>
                <w:highlight w:val="none"/>
              </w:rPr>
            </w:pPr>
            <w:r>
              <w:rPr>
                <w:rFonts w:hint="eastAsia" w:hAnsi="宋体" w:cs="Microsoft New Tai Lue"/>
                <w:bCs/>
                <w:color w:val="auto"/>
                <w:sz w:val="21"/>
                <w:highlight w:val="none"/>
              </w:rPr>
              <w:t xml:space="preserve">确定中标单位</w:t>
            </w:r>
            <w:r/>
          </w:p>
        </w:tc>
        <w:tc>
          <w:tcPr>
            <w:tcW w:w="4982" w:type="dxa"/>
            <w:vAlign w:val="center"/>
            <w:textDirection w:val="lrTb"/>
            <w:noWrap w:val="false"/>
          </w:tcPr>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1</w:t>
            </w:r>
            <w:r>
              <w:rPr>
                <w:rFonts w:hint="eastAsia" w:ascii="宋体" w:hAnsi="宋体" w:cs="Microsoft New Tai Lue"/>
                <w:bCs/>
                <w:color w:val="auto"/>
                <w:szCs w:val="21"/>
                <w:highlight w:val="none"/>
              </w:rPr>
              <w:t xml:space="preserve">、从</w:t>
            </w:r>
            <w:r>
              <w:rPr>
                <w:rFonts w:ascii="宋体" w:hAnsi="宋体" w:cs="Microsoft New Tai Lue"/>
                <w:bCs/>
                <w:color w:val="auto"/>
                <w:szCs w:val="21"/>
                <w:highlight w:val="none"/>
              </w:rPr>
              <w:t xml:space="preserve">评标报告确定的中标候选人名单中按顺序确定排名第1名的为中标人。</w:t>
            </w:r>
            <w:r/>
          </w:p>
          <w:p>
            <w:pPr>
              <w:spacing w:before="156"/>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w:t>
            </w:r>
            <w:r>
              <w:rPr>
                <w:rFonts w:hint="eastAsia" w:ascii="宋体" w:hAnsi="宋体" w:cs="Microsoft New Tai Lue"/>
                <w:bCs/>
                <w:color w:val="auto"/>
                <w:szCs w:val="21"/>
                <w:highlight w:val="none"/>
              </w:rPr>
              <w:t xml:space="preserve">、</w:t>
            </w:r>
            <w:r>
              <w:rPr>
                <w:rFonts w:ascii="宋体" w:hAnsi="宋体" w:cs="Microsoft New Tai Lue"/>
                <w:bCs/>
                <w:color w:val="auto"/>
                <w:szCs w:val="21"/>
                <w:highlight w:val="none"/>
              </w:rPr>
              <w:t xml:space="preserve">中标候选人并列的，按照以下方式确定中标人。</w:t>
            </w:r>
            <w:r/>
          </w:p>
          <w:p>
            <w:pPr>
              <w:spacing w:before="156"/>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随机抽取</w:t>
            </w:r>
            <w:r/>
          </w:p>
          <w:p>
            <w:pPr>
              <w:jc w:val="left"/>
              <w:rPr>
                <w:rFonts w:hint="eastAsia" w:ascii="宋体" w:hAnsi="宋体" w:cs="Microsoft New Tai Lue"/>
                <w:bCs/>
                <w:color w:val="auto"/>
                <w:szCs w:val="21"/>
                <w:highlight w:val="none"/>
              </w:rPr>
            </w:pPr>
            <w:r>
              <w:rPr>
                <w:rFonts w:ascii="Segoe UI Symbol" w:hAnsi="Segoe UI Symbol" w:cs="Segoe UI Symbol"/>
                <w:bCs/>
                <w:color w:val="auto"/>
                <w:szCs w:val="21"/>
                <w:highlight w:val="none"/>
              </w:rPr>
              <w:t xml:space="preserve">☑</w:t>
            </w:r>
            <w:r>
              <w:rPr>
                <w:rFonts w:ascii="宋体" w:hAnsi="宋体" w:cs="Microsoft New Tai Lue"/>
                <w:bCs/>
                <w:color w:val="auto"/>
                <w:szCs w:val="21"/>
                <w:highlight w:val="none"/>
              </w:rPr>
              <w:t xml:space="preserve">其他</w:t>
            </w:r>
            <w:r>
              <w:rPr>
                <w:rFonts w:hint="eastAsia" w:ascii="宋体" w:hAnsi="宋体" w:cs="Microsoft New Tai Lue"/>
                <w:bCs/>
                <w:color w:val="auto"/>
                <w:szCs w:val="21"/>
                <w:highlight w:val="none"/>
              </w:rPr>
              <w:t xml:space="preserve">：</w:t>
            </w:r>
            <w:r>
              <w:rPr>
                <w:rFonts w:hint="eastAsia" w:hAnsi="宋体"/>
                <w:color w:val="auto"/>
                <w:szCs w:val="21"/>
                <w:highlight w:val="none"/>
                <w:u w:val="single"/>
              </w:rPr>
              <w:t xml:space="preserve">按投标报价低的为中标人，投标报价相同的，按技术指标优劣顺序排列在前的为中标人。</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4</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31.4</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公告媒体</w:t>
            </w:r>
            <w:r/>
          </w:p>
        </w:tc>
        <w:tc>
          <w:tcPr>
            <w:tcW w:w="4982" w:type="dxa"/>
            <w:vAlign w:val="center"/>
            <w:textDirection w:val="lrTb"/>
            <w:noWrap w:val="false"/>
          </w:tcPr>
          <w:p>
            <w:pPr>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江苏省政府采购网</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5</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35.1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履约保证金</w:t>
            </w:r>
            <w:r/>
          </w:p>
        </w:tc>
        <w:tc>
          <w:tcPr>
            <w:tcW w:w="4982" w:type="dxa"/>
            <w:vAlign w:val="center"/>
            <w:textDirection w:val="lrTb"/>
            <w:noWrap w:val="false"/>
          </w:tcPr>
          <w:p>
            <w:pPr>
              <w:pStyle w:val="1111"/>
              <w:rPr>
                <w:rFonts w:hint="eastAsia" w:hAnsi="宋体" w:cs="Microsoft New Tai Lue"/>
                <w:bCs/>
                <w:color w:val="auto"/>
                <w:sz w:val="21"/>
                <w:highlight w:val="none"/>
              </w:rPr>
            </w:pPr>
            <w:r>
              <w:rPr>
                <w:rFonts w:hint="eastAsia" w:hAnsi="宋体" w:cs="Microsoft New Tai Lue"/>
                <w:color w:val="auto"/>
                <w:sz w:val="21"/>
                <w:highlight w:val="none"/>
              </w:rPr>
              <w:t xml:space="preserve">详见合同</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6</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36.1</w:t>
            </w:r>
            <w:r/>
          </w:p>
        </w:tc>
        <w:tc>
          <w:tcPr>
            <w:tcW w:w="2835" w:type="dxa"/>
            <w:vAlign w:val="center"/>
            <w:textDirection w:val="lrTb"/>
            <w:noWrap w:val="false"/>
          </w:tcPr>
          <w:p>
            <w:pPr>
              <w:ind w:left="-533" w:firstLine="533"/>
              <w:jc w:val="left"/>
              <w:spacing w:before="156"/>
              <w:rPr>
                <w:rFonts w:hint="eastAsia" w:ascii="宋体" w:hAnsi="宋体"/>
                <w:color w:val="auto"/>
                <w:szCs w:val="21"/>
                <w:highlight w:val="none"/>
              </w:rPr>
            </w:pPr>
            <w:r>
              <w:rPr>
                <w:rFonts w:ascii="宋体" w:hAnsi="宋体"/>
                <w:color w:val="auto"/>
                <w:szCs w:val="21"/>
                <w:highlight w:val="none"/>
              </w:rPr>
              <w:t xml:space="preserve">供应商对采购文件的</w:t>
            </w:r>
            <w:r/>
          </w:p>
          <w:p>
            <w:pPr>
              <w:pStyle w:val="1111"/>
              <w:jc w:val="left"/>
              <w:rPr>
                <w:rFonts w:hint="eastAsia" w:hAnsi="宋体" w:cs="Microsoft New Tai Lue"/>
                <w:color w:val="auto"/>
                <w:sz w:val="21"/>
                <w:highlight w:val="none"/>
              </w:rPr>
            </w:pPr>
            <w:r>
              <w:rPr>
                <w:rFonts w:hAnsi="宋体"/>
                <w:color w:val="auto"/>
                <w:sz w:val="21"/>
                <w:highlight w:val="none"/>
              </w:rPr>
              <w:t xml:space="preserve">询问</w:t>
            </w:r>
            <w:r/>
          </w:p>
        </w:tc>
        <w:tc>
          <w:tcPr>
            <w:tcW w:w="4982" w:type="dxa"/>
            <w:vAlign w:val="center"/>
            <w:textDirection w:val="lrTb"/>
            <w:noWrap w:val="false"/>
          </w:tcPr>
          <w:p>
            <w:pPr>
              <w:pStyle w:val="896"/>
              <w:rPr>
                <w:rFonts w:hint="eastAsia" w:hAnsi="宋体"/>
                <w:color w:val="auto"/>
                <w:highlight w:val="none"/>
              </w:rPr>
            </w:pPr>
            <w:r>
              <w:rPr>
                <w:rFonts w:hAnsi="宋体"/>
                <w:bCs/>
                <w:color w:val="auto"/>
                <w:highlight w:val="none"/>
              </w:rPr>
              <w:t xml:space="preserve">时间：</w:t>
            </w:r>
            <w:r>
              <w:rPr>
                <w:rFonts w:hint="eastAsia" w:hAnsi="宋体"/>
                <w:bCs/>
                <w:color w:val="auto"/>
                <w:highlight w:val="none"/>
                <w:u w:val="single"/>
              </w:rPr>
              <w:t xml:space="preserve">投标截止之日起15日前</w:t>
            </w:r>
            <w:r>
              <w:rPr>
                <w:rFonts w:hAnsi="宋体"/>
                <w:color w:val="auto"/>
                <w:highlight w:val="none"/>
              </w:rPr>
              <w:t xml:space="preserve"> </w:t>
            </w:r>
            <w:r/>
          </w:p>
          <w:p>
            <w:pPr>
              <w:pStyle w:val="896"/>
              <w:rPr>
                <w:rFonts w:hint="eastAsia" w:hAnsi="宋体" w:cs="Microsoft New Tai Lue"/>
                <w:bCs/>
                <w:color w:val="auto"/>
                <w:highlight w:val="none"/>
              </w:rPr>
            </w:pPr>
            <w:r>
              <w:rPr>
                <w:rFonts w:hAnsi="宋体"/>
                <w:bCs/>
                <w:color w:val="auto"/>
                <w:highlight w:val="none"/>
              </w:rPr>
              <w:t xml:space="preserve">形式：以书面形式（盖章扫描件及WPS兼容格式文件发至</w:t>
            </w:r>
            <w:r>
              <w:rPr>
                <w:rFonts w:hAnsi="宋体"/>
                <w:bCs/>
                <w:color w:val="auto"/>
                <w:highlight w:val="none"/>
                <w:u w:val="single"/>
              </w:rPr>
              <w:t xml:space="preserve"> </w:t>
            </w:r>
            <w:r>
              <w:rPr>
                <w:rFonts w:hint="eastAsia" w:hAnsi="宋体"/>
                <w:bCs/>
                <w:color w:val="auto"/>
                <w:highlight w:val="none"/>
                <w:u w:val="single"/>
              </w:rPr>
              <w:t xml:space="preserve">3868514057@qq.com</w:t>
            </w:r>
            <w:r>
              <w:rPr>
                <w:rFonts w:hAnsi="宋体"/>
                <w:bCs/>
                <w:color w:val="auto"/>
                <w:highlight w:val="none"/>
                <w:u w:val="single"/>
              </w:rPr>
              <w:t xml:space="preserve"> </w:t>
            </w:r>
            <w:r>
              <w:rPr>
                <w:rFonts w:hAnsi="宋体"/>
                <w:bCs/>
                <w:color w:val="auto"/>
                <w:highlight w:val="none"/>
              </w:rPr>
              <w:t xml:space="preserve">邮箱）通知</w:t>
            </w:r>
            <w:r>
              <w:rPr>
                <w:rFonts w:hint="eastAsia" w:hAnsi="宋体" w:cs="Microsoft New Tai Lue"/>
                <w:bCs/>
                <w:color w:val="auto"/>
                <w:highlight w:val="none"/>
              </w:rPr>
              <w:t xml:space="preserve">采购代理机构</w:t>
            </w:r>
            <w:r>
              <w:rPr>
                <w:rFonts w:hAnsi="宋体"/>
                <w:bCs/>
                <w:color w:val="auto"/>
                <w:highlight w:val="none"/>
              </w:rPr>
              <w:t xml:space="preserve">。</w:t>
            </w:r>
            <w:r/>
          </w:p>
        </w:tc>
      </w:tr>
      <w:tr>
        <w:trPr>
          <w:jc w:val="center"/>
          <w:trHeight w:val="603"/>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7</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37.1</w:t>
            </w:r>
            <w:r/>
          </w:p>
        </w:tc>
        <w:tc>
          <w:tcPr>
            <w:tcW w:w="2835" w:type="dxa"/>
            <w:vAlign w:val="center"/>
            <w:textDirection w:val="lrTb"/>
            <w:noWrap w:val="false"/>
          </w:tcPr>
          <w:p>
            <w:pPr>
              <w:ind w:left="-533" w:firstLine="533"/>
              <w:jc w:val="left"/>
              <w:spacing w:before="156"/>
              <w:rPr>
                <w:rFonts w:hint="eastAsia" w:ascii="宋体" w:hAnsi="宋体" w:cs="Microsoft New Tai Lue"/>
                <w:color w:val="auto"/>
                <w:szCs w:val="21"/>
                <w:highlight w:val="none"/>
              </w:rPr>
            </w:pPr>
            <w:r>
              <w:rPr>
                <w:rFonts w:hint="eastAsia" w:ascii="宋体" w:hAnsi="宋体" w:cs="Microsoft New Tai Lue"/>
                <w:color w:val="auto"/>
                <w:szCs w:val="21"/>
                <w:highlight w:val="none"/>
              </w:rPr>
              <w:t xml:space="preserve">供应商</w:t>
            </w:r>
            <w:r>
              <w:rPr>
                <w:rFonts w:ascii="宋体" w:hAnsi="宋体" w:cs="Microsoft New Tai Lue"/>
                <w:color w:val="auto"/>
                <w:szCs w:val="21"/>
                <w:highlight w:val="none"/>
              </w:rPr>
              <w:t xml:space="preserve">对采购文件提出</w:t>
            </w:r>
            <w:r>
              <w:rPr>
                <w:rFonts w:hint="eastAsia" w:ascii="宋体" w:hAnsi="宋体" w:cs="Microsoft New Tai Lue"/>
                <w:color w:val="auto"/>
                <w:szCs w:val="21"/>
                <w:highlight w:val="none"/>
              </w:rPr>
              <w:t xml:space="preserve">的</w:t>
            </w:r>
            <w:r/>
          </w:p>
          <w:p>
            <w:pPr>
              <w:ind w:left="-533" w:firstLine="533"/>
              <w:jc w:val="left"/>
              <w:spacing w:before="156"/>
              <w:rPr>
                <w:rFonts w:hint="eastAsia" w:ascii="宋体" w:hAnsi="宋体"/>
                <w:color w:val="auto"/>
                <w:szCs w:val="21"/>
                <w:highlight w:val="none"/>
              </w:rPr>
            </w:pPr>
            <w:r>
              <w:rPr>
                <w:rFonts w:ascii="宋体" w:hAnsi="宋体" w:cs="Microsoft New Tai Lue"/>
                <w:color w:val="auto"/>
                <w:szCs w:val="21"/>
                <w:highlight w:val="none"/>
              </w:rPr>
              <w:t xml:space="preserve">质疑</w:t>
            </w:r>
            <w:r/>
          </w:p>
        </w:tc>
        <w:tc>
          <w:tcPr>
            <w:tcW w:w="4982" w:type="dxa"/>
            <w:vAlign w:val="center"/>
            <w:textDirection w:val="lrTb"/>
            <w:noWrap w:val="false"/>
          </w:tcPr>
          <w:p>
            <w:pPr>
              <w:pStyle w:val="896"/>
              <w:rPr>
                <w:rFonts w:hint="eastAsia" w:hAnsi="宋体"/>
                <w:color w:val="auto"/>
                <w:highlight w:val="none"/>
              </w:rPr>
            </w:pPr>
            <w:r>
              <w:rPr>
                <w:rFonts w:hint="eastAsia" w:hAnsi="宋体" w:cs="Microsoft New Tai Lue"/>
                <w:bCs/>
                <w:color w:val="auto"/>
                <w:highlight w:val="none"/>
              </w:rPr>
              <w:t xml:space="preserve">形式：在规定时间内以书面形式通知采购代理机构。如采用邮件形式（盖章扫描件及WPS兼容格式文件发至</w:t>
            </w:r>
            <w:r>
              <w:rPr>
                <w:rFonts w:hint="eastAsia" w:hAnsi="宋体"/>
                <w:bCs/>
                <w:color w:val="auto"/>
                <w:highlight w:val="none"/>
                <w:u w:val="single"/>
              </w:rPr>
              <w:t xml:space="preserve"> 3868514057@qq.com</w:t>
            </w:r>
            <w:r>
              <w:rPr>
                <w:rFonts w:hint="eastAsia" w:hAnsi="宋体" w:cs="Microsoft New Tai Lue"/>
                <w:bCs/>
                <w:color w:val="auto"/>
                <w:highlight w:val="none"/>
              </w:rPr>
              <w:t xml:space="preserve"> 邮箱）通知，采购代理机构将以邮件形式进行答复。</w:t>
            </w:r>
            <w:r/>
          </w:p>
        </w:tc>
      </w:tr>
      <w:tr>
        <w:trPr>
          <w:jc w:val="center"/>
          <w:trHeight w:val="1019"/>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8</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38.1</w:t>
            </w:r>
            <w:r/>
          </w:p>
        </w:tc>
        <w:tc>
          <w:tcPr>
            <w:tcW w:w="2835" w:type="dxa"/>
            <w:vAlign w:val="center"/>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招标代理服务费</w:t>
            </w:r>
            <w:r/>
          </w:p>
        </w:tc>
        <w:tc>
          <w:tcPr>
            <w:tcW w:w="4982" w:type="dxa"/>
            <w:vAlign w:val="center"/>
            <w:textDirection w:val="lrTb"/>
            <w:noWrap w:val="false"/>
          </w:tcPr>
          <w:p>
            <w:pPr>
              <w:pStyle w:val="896"/>
              <w:rPr>
                <w:rFonts w:hint="eastAsia" w:hAnsi="宋体" w:cs="Microsoft New Tai Lue"/>
                <w:bCs/>
                <w:color w:val="auto"/>
                <w:highlight w:val="none"/>
              </w:rPr>
            </w:pPr>
            <w:r>
              <w:rPr>
                <w:rFonts w:hint="eastAsia"/>
                <w:color w:val="auto"/>
                <w:highlight w:val="none"/>
              </w:rPr>
              <w:t xml:space="preserve">招标</w:t>
            </w:r>
            <w:r>
              <w:rPr>
                <w:color w:val="auto"/>
                <w:highlight w:val="none"/>
              </w:rPr>
              <w:t xml:space="preserve">代理</w:t>
            </w:r>
            <w:r>
              <w:rPr>
                <w:rFonts w:hint="eastAsia"/>
                <w:color w:val="auto"/>
                <w:highlight w:val="none"/>
              </w:rPr>
              <w:t xml:space="preserve">将根据中标</w:t>
            </w:r>
            <w:r>
              <w:rPr>
                <w:color w:val="auto"/>
                <w:highlight w:val="none"/>
              </w:rPr>
              <w:t xml:space="preserve">金额</w:t>
            </w:r>
            <w:r>
              <w:rPr>
                <w:rFonts w:hint="eastAsia"/>
                <w:color w:val="auto"/>
                <w:highlight w:val="none"/>
              </w:rPr>
              <w:t xml:space="preserve">向中标人收取</w:t>
            </w:r>
            <w:r>
              <w:rPr>
                <w:color w:val="auto"/>
                <w:highlight w:val="none"/>
              </w:rPr>
              <w:t xml:space="preserve">招标代理</w:t>
            </w:r>
            <w:r>
              <w:rPr>
                <w:rFonts w:hint="eastAsia"/>
                <w:color w:val="auto"/>
                <w:highlight w:val="none"/>
              </w:rPr>
              <w:t xml:space="preserve">服务费（中标服务费），招标代理服务费参照计价格〔2002〕1980号文服务的</w:t>
            </w:r>
            <w:r>
              <w:rPr>
                <w:rFonts w:hint="eastAsia"/>
                <w:color w:val="auto"/>
                <w:highlight w:val="none"/>
                <w:u w:val="single"/>
              </w:rPr>
              <w:t xml:space="preserve">100</w:t>
            </w:r>
            <w:r>
              <w:rPr>
                <w:rFonts w:hint="eastAsia"/>
                <w:color w:val="auto"/>
                <w:highlight w:val="none"/>
              </w:rPr>
              <w:t xml:space="preserve">%计算，费用</w:t>
            </w:r>
            <w:r>
              <w:rPr>
                <w:color w:val="auto"/>
                <w:highlight w:val="none"/>
              </w:rPr>
              <w:t xml:space="preserve">一次性</w:t>
            </w:r>
            <w:r>
              <w:rPr>
                <w:rFonts w:hint="eastAsia"/>
                <w:color w:val="auto"/>
                <w:highlight w:val="none"/>
              </w:rPr>
              <w:t xml:space="preserve">付清。</w:t>
            </w:r>
            <w:r/>
          </w:p>
        </w:tc>
      </w:tr>
      <w:tr>
        <w:trPr>
          <w:jc w:val="center"/>
          <w:trHeight w:val="600"/>
        </w:trPr>
        <w:tc>
          <w:tcPr>
            <w:tcW w:w="675" w:type="dxa"/>
            <w:vAlign w:val="center"/>
            <w:vMerge w:val="restart"/>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2</w:t>
            </w:r>
            <w:r>
              <w:rPr>
                <w:rFonts w:ascii="Microsoft New Tai Lue" w:hAnsi="Microsoft New Tai Lue" w:cs="Microsoft New Tai Lue"/>
                <w:color w:val="auto"/>
                <w:sz w:val="21"/>
                <w:highlight w:val="none"/>
              </w:rPr>
              <w:t xml:space="preserve">9</w:t>
            </w:r>
            <w:r/>
          </w:p>
        </w:tc>
        <w:tc>
          <w:tcPr>
            <w:tcW w:w="850" w:type="dxa"/>
            <w:vAlign w:val="center"/>
            <w:vMerge w:val="restart"/>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t xml:space="preserve">39.1</w:t>
            </w:r>
            <w:r/>
          </w:p>
        </w:tc>
        <w:tc>
          <w:tcPr>
            <w:tcW w:w="2835" w:type="dxa"/>
            <w:vAlign w:val="center"/>
            <w:vMerge w:val="restart"/>
            <w:textDirection w:val="lrTb"/>
            <w:noWrap w:val="false"/>
          </w:tcPr>
          <w:p>
            <w:pPr>
              <w:pStyle w:val="1111"/>
              <w:jc w:val="left"/>
              <w:rPr>
                <w:rFonts w:hint="eastAsia" w:hAnsi="宋体" w:cs="Microsoft New Tai Lue"/>
                <w:color w:val="auto"/>
                <w:sz w:val="21"/>
                <w:highlight w:val="none"/>
              </w:rPr>
            </w:pPr>
            <w:r>
              <w:rPr>
                <w:rFonts w:hAnsi="宋体" w:cs="Microsoft New Tai Lue"/>
                <w:color w:val="auto"/>
                <w:sz w:val="21"/>
                <w:highlight w:val="none"/>
              </w:rPr>
              <w:t xml:space="preserve">其他规定</w:t>
            </w:r>
            <w:r/>
          </w:p>
        </w:tc>
        <w:tc>
          <w:tcPr>
            <w:tcW w:w="4982" w:type="dxa"/>
            <w:vAlign w:val="center"/>
            <w:textDirection w:val="lrTb"/>
            <w:noWrap w:val="false"/>
          </w:tcPr>
          <w:p>
            <w:pPr>
              <w:pStyle w:val="896"/>
              <w:rPr>
                <w:rFonts w:hint="eastAsia" w:hAnsi="宋体" w:cs="Microsoft New Tai Lue"/>
                <w:bCs/>
                <w:color w:val="auto"/>
                <w:highlight w:val="none"/>
              </w:rPr>
            </w:pPr>
            <w:r>
              <w:rPr>
                <w:rFonts w:hint="eastAsia" w:hAnsi="宋体" w:cs="Microsoft New Tai Lue"/>
                <w:color w:val="auto"/>
                <w:highlight w:val="none"/>
              </w:rPr>
              <w:t xml:space="preserve">采购项目类型：服务</w:t>
            </w:r>
            <w:r/>
          </w:p>
        </w:tc>
      </w:tr>
      <w:tr>
        <w:trPr>
          <w:jc w:val="center"/>
          <w:trHeight w:val="552"/>
        </w:trPr>
        <w:tc>
          <w:tcPr>
            <w:tcW w:w="675" w:type="dxa"/>
            <w:vAlign w:val="center"/>
            <w:vMerge w:val="continue"/>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111"/>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896"/>
              <w:rPr>
                <w:rFonts w:hint="eastAsia" w:hAnsi="宋体" w:cs="Microsoft New Tai Lue"/>
                <w:bCs/>
                <w:color w:val="auto"/>
                <w:highlight w:val="none"/>
              </w:rPr>
            </w:pPr>
            <w:r>
              <w:rPr>
                <w:rFonts w:hint="eastAsia"/>
                <w:color w:val="auto"/>
                <w:highlight w:val="none"/>
              </w:rPr>
              <w:t xml:space="preserve">标的对应的中小企业划分标准所属行业：</w:t>
            </w:r>
            <w:r>
              <w:rPr>
                <w:rFonts w:hint="eastAsia"/>
                <w:color w:val="auto"/>
                <w:highlight w:val="none"/>
                <w:u w:val="single"/>
              </w:rPr>
              <w:t xml:space="preserve">其他未列明行业，相应规划划分如下：从业人员 300 人以下的为中小微型企业。其中，从业人员 100 人及以上的为中型企业；从业人员 10 人及以上的为小型企业； 从业人员 10人以下的为微型企业。中小企业划型标准依据工信部联企业〔2011〕300号文相关要求（招标文件提供的规模划分信息仅供参考，最终以“工信部联企业〔2011〕300号文相关要求”为准）  </w:t>
            </w:r>
            <w:r/>
          </w:p>
        </w:tc>
      </w:tr>
      <w:tr>
        <w:trPr>
          <w:jc w:val="center"/>
          <w:trHeight w:val="656"/>
        </w:trPr>
        <w:tc>
          <w:tcPr>
            <w:tcW w:w="675" w:type="dxa"/>
            <w:vAlign w:val="center"/>
            <w:vMerge w:val="continue"/>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850" w:type="dxa"/>
            <w:vAlign w:val="center"/>
            <w:vMerge w:val="continue"/>
            <w:textDirection w:val="lrTb"/>
            <w:noWrap w:val="false"/>
          </w:tcPr>
          <w:p>
            <w:pPr>
              <w:pStyle w:val="1111"/>
              <w:jc w:val="center"/>
              <w:rPr>
                <w:rFonts w:ascii="Microsoft New Tai Lue" w:hAnsi="Microsoft New Tai Lue" w:cs="Microsoft New Tai Lue"/>
                <w:color w:val="auto"/>
                <w:sz w:val="21"/>
                <w:highlight w:val="none"/>
              </w:rPr>
            </w:pPr>
            <w:r>
              <w:rPr>
                <w:rFonts w:ascii="Microsoft New Tai Lue" w:hAnsi="Microsoft New Tai Lue" w:cs="Microsoft New Tai Lue"/>
                <w:color w:val="auto"/>
                <w:sz w:val="21"/>
                <w:highlight w:val="none"/>
              </w:rPr>
            </w:r>
            <w:r/>
          </w:p>
        </w:tc>
        <w:tc>
          <w:tcPr>
            <w:tcW w:w="2835" w:type="dxa"/>
            <w:vAlign w:val="center"/>
            <w:vMerge w:val="continue"/>
            <w:textDirection w:val="lrTb"/>
            <w:noWrap w:val="false"/>
          </w:tcPr>
          <w:p>
            <w:pPr>
              <w:pStyle w:val="1111"/>
              <w:jc w:val="left"/>
              <w:rPr>
                <w:rFonts w:hint="eastAsia" w:hAnsi="宋体" w:cs="Microsoft New Tai Lue"/>
                <w:color w:val="auto"/>
                <w:sz w:val="21"/>
                <w:highlight w:val="none"/>
              </w:rPr>
            </w:pPr>
            <w:r>
              <w:rPr>
                <w:rFonts w:hint="eastAsia" w:hAnsi="宋体" w:cs="Microsoft New Tai Lue"/>
                <w:color w:val="auto"/>
                <w:sz w:val="21"/>
                <w:highlight w:val="none"/>
              </w:rPr>
            </w:r>
            <w:r/>
          </w:p>
        </w:tc>
        <w:tc>
          <w:tcPr>
            <w:tcW w:w="4982" w:type="dxa"/>
            <w:vAlign w:val="center"/>
            <w:textDirection w:val="lrTb"/>
            <w:noWrap w:val="false"/>
          </w:tcPr>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其他规定：</w:t>
            </w:r>
            <w:r>
              <w:rPr>
                <w:rFonts w:hAnsi="宋体" w:cs="Courier New"/>
                <w:color w:val="auto"/>
                <w:sz w:val="21"/>
                <w:highlight w:val="none"/>
              </w:rPr>
              <w:t xml:space="preserve">依据</w:t>
            </w:r>
            <w:r>
              <w:rPr>
                <w:rFonts w:hint="eastAsia" w:hAnsi="宋体" w:cs="Courier New"/>
                <w:color w:val="auto"/>
                <w:sz w:val="21"/>
                <w:highlight w:val="none"/>
              </w:rPr>
              <w:t xml:space="preserve">《政府采购促进中小企业发展管理办法》</w:t>
            </w:r>
            <w:r>
              <w:rPr>
                <w:rFonts w:hAnsi="宋体" w:cs="Courier New"/>
                <w:color w:val="auto"/>
                <w:sz w:val="21"/>
                <w:highlight w:val="none"/>
              </w:rPr>
              <w:t xml:space="preserve">规定享受扶持政策获得政府采购合同的，小微企业不得将合同分包给大中型企业，中型企业不得将合同分包给大型企业。</w:t>
            </w:r>
            <w:r/>
          </w:p>
        </w:tc>
      </w:tr>
      <w:tr>
        <w:trPr>
          <w:jc w:val="center"/>
          <w:trHeight w:val="656"/>
        </w:trPr>
        <w:tc>
          <w:tcPr>
            <w:tcW w:w="675"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30</w:t>
            </w:r>
            <w:r/>
          </w:p>
        </w:tc>
        <w:tc>
          <w:tcPr>
            <w:tcW w:w="850" w:type="dxa"/>
            <w:vAlign w:val="center"/>
            <w:textDirection w:val="lrTb"/>
            <w:noWrap w:val="false"/>
          </w:tcPr>
          <w:p>
            <w:pPr>
              <w:pStyle w:val="1111"/>
              <w:jc w:val="center"/>
              <w:rPr>
                <w:rFonts w:ascii="Microsoft New Tai Lue" w:hAnsi="Microsoft New Tai Lue" w:cs="Microsoft New Tai Lue"/>
                <w:color w:val="auto"/>
                <w:sz w:val="21"/>
                <w:highlight w:val="none"/>
              </w:rPr>
            </w:pPr>
            <w:r>
              <w:rPr>
                <w:rFonts w:hint="eastAsia" w:ascii="Microsoft New Tai Lue" w:hAnsi="Microsoft New Tai Lue" w:cs="Microsoft New Tai Lue"/>
                <w:color w:val="auto"/>
                <w:sz w:val="21"/>
                <w:highlight w:val="none"/>
              </w:rPr>
              <w:t xml:space="preserve">40.1</w:t>
            </w:r>
            <w:r/>
          </w:p>
        </w:tc>
        <w:tc>
          <w:tcPr>
            <w:tcW w:w="2835" w:type="dxa"/>
            <w:vAlign w:val="center"/>
            <w:textDirection w:val="lrTb"/>
            <w:noWrap w:val="false"/>
          </w:tcPr>
          <w:p>
            <w:pPr>
              <w:pStyle w:val="1111"/>
              <w:jc w:val="center"/>
              <w:rPr>
                <w:rFonts w:hint="eastAsia" w:hAnsi="宋体" w:cs="Microsoft New Tai Lue"/>
                <w:color w:val="auto"/>
                <w:sz w:val="21"/>
                <w:highlight w:val="none"/>
              </w:rPr>
            </w:pPr>
            <w:r>
              <w:rPr>
                <w:rFonts w:hint="eastAsia" w:hAnsi="宋体" w:cs="Microsoft New Tai Lue"/>
                <w:color w:val="auto"/>
                <w:sz w:val="21"/>
                <w:highlight w:val="none"/>
              </w:rPr>
              <w:t xml:space="preserve">异常低价处理</w:t>
            </w:r>
            <w:r/>
          </w:p>
        </w:tc>
        <w:tc>
          <w:tcPr>
            <w:tcW w:w="4982" w:type="dxa"/>
            <w:vAlign w:val="center"/>
            <w:textDirection w:val="lrTb"/>
            <w:noWrap w:val="false"/>
          </w:tcPr>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（一）采购评审中出现下列情形之一的，评审委员会应当启动异常低价投标（响应）审查程序：</w:t>
            </w:r>
            <w:r/>
          </w:p>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1.投标（响应）报价低于全部通过符合性审查供应商投标（响应）报价平均值65%的，即投标（响应）报价&lt;全部通过符合性审查供应商投标（响应）报价平均值×65%；</w:t>
            </w:r>
            <w:r/>
          </w:p>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2.投标（响应）报价低于通过符合性审查的次低报价供应商投标（响应）报价65%的，即投标（响应）报价&lt;通过符合性审查的次低报价供应商投标（响应）报价×65%；</w:t>
            </w:r>
            <w:r/>
          </w:p>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3.投标（响应）报价低于采购项目最高限价65%的，即投标（响应）报价&lt;采购项目最高限价×65%（未设定最高限价的采购项目，以采购项目预算金额作为最高限价）；</w:t>
            </w:r>
            <w:r/>
          </w:p>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4.评审委员会基于专业判断，认为供应商报价过低，有可能影响产品质量或者不能诚信履约的其他情形。</w:t>
            </w:r>
            <w:r/>
          </w:p>
          <w:p>
            <w:pPr>
              <w:pStyle w:val="1111"/>
              <w:rPr>
                <w:rFonts w:hint="eastAsia" w:hAnsi="宋体" w:cs="Microsoft New Tai Lue"/>
                <w:bCs/>
                <w:color w:val="auto"/>
                <w:sz w:val="21"/>
                <w:highlight w:val="none"/>
              </w:rPr>
            </w:pPr>
            <w:r>
              <w:rPr>
                <w:rFonts w:hint="eastAsia" w:hAnsi="宋体" w:cs="Microsoft New Tai Lue"/>
                <w:bCs/>
                <w:color w:val="auto"/>
                <w:sz w:val="21"/>
                <w:highlight w:val="none"/>
              </w:rPr>
              <w:t xml:space="preserve">（二）评审委员会启动异常低价投标（响应）审查后，属于前述第1项至第4项情形的，将要求相关供应商在评审现场合理的时间内对投标（响应）价格作出解释，并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pStyle w:val="1111"/>
              <w:ind w:firstLine="420"/>
              <w:rPr>
                <w:rFonts w:hint="eastAsia" w:hAnsi="宋体" w:cs="Microsoft New Tai Lue"/>
                <w:bCs/>
                <w:color w:val="auto"/>
                <w:sz w:val="21"/>
                <w:highlight w:val="none"/>
              </w:rPr>
            </w:pPr>
            <w:r>
              <w:rPr>
                <w:rFonts w:hint="eastAsia" w:hAnsi="宋体" w:cs="Microsoft New Tai Lue"/>
                <w:bCs/>
                <w:color w:val="auto"/>
                <w:sz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bl>
    <w:p>
      <w:pPr>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96"/>
        <w:spacing w:line="360" w:lineRule="auto"/>
        <w:rPr>
          <w:rFonts w:ascii="Microsoft New Tai Lue" w:hAnsi="Microsoft New Tai Lue" w:cs="Microsoft New Tai Lue"/>
          <w:b/>
          <w:bCs/>
          <w:color w:val="auto"/>
          <w:spacing w:val="100"/>
          <w:sz w:val="72"/>
          <w:highlight w:val="none"/>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ascii="Microsoft New Tai Lue" w:hAnsi="Microsoft New Tai Lue" w:cs="Microsoft New Tai Lue"/>
          <w:b/>
          <w:bCs/>
          <w:color w:val="auto"/>
          <w:spacing w:val="100"/>
          <w:sz w:val="72"/>
          <w:highlight w:val="none"/>
        </w:rPr>
      </w:r>
      <w:r/>
    </w:p>
    <w:p>
      <w:pPr>
        <w:pStyle w:val="916"/>
        <w:rPr>
          <w:rFonts w:ascii="Microsoft New Tai Lue" w:hAnsi="Microsoft New Tai Lue" w:cs="Microsoft New Tai Lue"/>
          <w:color w:val="auto"/>
          <w:highlight w:val="none"/>
        </w:rPr>
      </w:pPr>
      <w:r/>
      <w:bookmarkStart w:id="37" w:name="_Toc104560837"/>
      <w:r/>
      <w:bookmarkStart w:id="38" w:name="_Toc107246213"/>
      <w:r/>
      <w:bookmarkStart w:id="39" w:name="_Toc103848526"/>
      <w:r/>
      <w:bookmarkStart w:id="40" w:name="_Toc100905199"/>
      <w:r>
        <w:rPr>
          <w:rFonts w:ascii="Microsoft New Tai Lue" w:hAnsi="Microsoft New Tai Lue" w:cs="Microsoft New Tai Lue"/>
          <w:color w:val="auto"/>
          <w:highlight w:val="none"/>
        </w:rPr>
        <w:t xml:space="preserve">投标人须知</w:t>
      </w:r>
      <w:bookmarkEnd w:id="37"/>
      <w:r/>
      <w:bookmarkEnd w:id="38"/>
      <w:r/>
      <w:bookmarkEnd w:id="39"/>
      <w:r/>
      <w:bookmarkEnd w:id="40"/>
      <w:r/>
      <w:r/>
    </w:p>
    <w:p>
      <w:pPr>
        <w:pStyle w:val="870"/>
        <w:ind w:left="210" w:right="210" w:firstLine="422"/>
        <w:spacing w:before="0" w:after="0" w:line="360" w:lineRule="auto"/>
        <w:rPr>
          <w:rFonts w:hint="eastAsia" w:ascii="宋体" w:hAnsi="宋体" w:cs="宋体"/>
          <w:b/>
          <w:bCs/>
          <w:color w:val="auto"/>
          <w:szCs w:val="21"/>
          <w:highlight w:val="none"/>
        </w:rPr>
      </w:pPr>
      <w:r/>
      <w:bookmarkStart w:id="41" w:name="_Toc80264706"/>
      <w:r/>
      <w:bookmarkStart w:id="42" w:name="_Toc107246214"/>
      <w:r/>
      <w:bookmarkStart w:id="43" w:name="_Toc80264714"/>
      <w:r>
        <w:rPr>
          <w:rFonts w:hint="eastAsia" w:ascii="宋体" w:hAnsi="宋体" w:cs="宋体"/>
          <w:b/>
          <w:bCs/>
          <w:color w:val="auto"/>
          <w:szCs w:val="21"/>
          <w:highlight w:val="none"/>
        </w:rPr>
        <w:t xml:space="preserve">一．</w:t>
      </w:r>
      <w:bookmarkEnd w:id="41"/>
      <w:r>
        <w:rPr>
          <w:rFonts w:hint="eastAsia" w:ascii="宋体" w:hAnsi="宋体" w:cs="宋体"/>
          <w:b/>
          <w:bCs/>
          <w:color w:val="auto"/>
          <w:szCs w:val="21"/>
          <w:highlight w:val="none"/>
        </w:rPr>
        <w:t xml:space="preserve">总则</w:t>
      </w:r>
      <w:bookmarkEnd w:id="42"/>
      <w:r/>
      <w:r/>
    </w:p>
    <w:p>
      <w:pPr>
        <w:pStyle w:val="870"/>
        <w:ind w:left="210" w:right="210" w:firstLine="422"/>
        <w:spacing w:before="0" w:after="0" w:line="360" w:lineRule="auto"/>
        <w:rPr>
          <w:rFonts w:hint="eastAsia" w:ascii="宋体" w:hAnsi="宋体" w:cs="宋体"/>
          <w:b/>
          <w:bCs/>
          <w:color w:val="auto"/>
          <w:szCs w:val="21"/>
          <w:highlight w:val="none"/>
        </w:rPr>
      </w:pPr>
      <w:r/>
      <w:bookmarkStart w:id="44" w:name="_Toc103848528"/>
      <w:r/>
      <w:bookmarkStart w:id="45" w:name="_Toc107246215"/>
      <w:r/>
      <w:bookmarkStart w:id="46" w:name="_Toc100905201"/>
      <w:r/>
      <w:bookmarkStart w:id="47" w:name="_Toc96347862"/>
      <w:r/>
      <w:bookmarkStart w:id="48" w:name="_Toc104560839"/>
      <w:r>
        <w:rPr>
          <w:rFonts w:hint="eastAsia" w:ascii="宋体" w:hAnsi="宋体" w:cs="宋体"/>
          <w:b/>
          <w:bCs/>
          <w:color w:val="auto"/>
          <w:szCs w:val="21"/>
          <w:highlight w:val="none"/>
        </w:rPr>
        <w:t xml:space="preserve">1.采购方式</w:t>
      </w:r>
      <w:bookmarkEnd w:id="44"/>
      <w:r/>
      <w:bookmarkEnd w:id="45"/>
      <w:r/>
      <w:bookmarkEnd w:id="46"/>
      <w:r/>
      <w:bookmarkEnd w:id="47"/>
      <w:r/>
      <w:bookmarkEnd w:id="4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1.1本次招标采取公开招标方式，本招标文件仅适用于招标公告中所述项目。</w:t>
      </w:r>
      <w:r/>
    </w:p>
    <w:p>
      <w:pPr>
        <w:pStyle w:val="870"/>
        <w:ind w:left="210" w:right="210" w:firstLine="422"/>
        <w:spacing w:before="0" w:after="0" w:line="360" w:lineRule="auto"/>
        <w:rPr>
          <w:rFonts w:hint="eastAsia" w:ascii="宋体" w:hAnsi="宋体" w:cs="宋体"/>
          <w:b/>
          <w:bCs/>
          <w:color w:val="auto"/>
          <w:szCs w:val="21"/>
          <w:highlight w:val="none"/>
        </w:rPr>
      </w:pPr>
      <w:r/>
      <w:bookmarkStart w:id="49" w:name="_Toc96347863"/>
      <w:r/>
      <w:bookmarkStart w:id="50" w:name="_Toc104560840"/>
      <w:r/>
      <w:bookmarkStart w:id="51" w:name="_Toc107246216"/>
      <w:r/>
      <w:bookmarkStart w:id="52" w:name="_Toc100905202"/>
      <w:r/>
      <w:bookmarkStart w:id="53" w:name="_Toc103848529"/>
      <w:r>
        <w:rPr>
          <w:rFonts w:hint="eastAsia" w:ascii="宋体" w:hAnsi="宋体" w:cs="宋体"/>
          <w:b/>
          <w:bCs/>
          <w:color w:val="auto"/>
          <w:szCs w:val="21"/>
          <w:highlight w:val="none"/>
        </w:rPr>
        <w:t xml:space="preserve">2.定义</w:t>
      </w:r>
      <w:bookmarkEnd w:id="49"/>
      <w:r/>
      <w:bookmarkEnd w:id="50"/>
      <w:r/>
      <w:bookmarkEnd w:id="51"/>
      <w:r/>
      <w:bookmarkEnd w:id="52"/>
      <w:r/>
      <w:bookmarkEnd w:id="53"/>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2.1“采购人”是指依法进行政府采购的国家机关、事业单位、团体组织。本次政府采购的采购人名称、地址、电话、联系人见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2.2</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采购代理机构</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是指集中采购机构和集中采购机构以外的采购代理机构。本次政府采购的采购代理机构名称、地址、电话、联系人见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2.3“采购方”是指采购人和</w:t>
      </w:r>
      <w:r>
        <w:rPr>
          <w:rFonts w:hint="eastAsia" w:ascii="宋体" w:hAnsi="宋体" w:cs="宋体"/>
          <w:color w:val="auto"/>
          <w:szCs w:val="21"/>
          <w:highlight w:val="none"/>
        </w:rPr>
        <w:t xml:space="preserve">采购代理机构的合称。</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2.4</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是指向采购人提供货物、工程或者服务的法人、其他组织或者自然人。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2.5</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中标供应商</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是指在投标过程中获得采购项目合同签订资格的供应商。中标供应商是由专家经过评审后推荐并经采购人确认的。本招标文件中中标供应商也称中标人。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2.6</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评标委员会</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是依据政府采购相关法律法规规定组建，依法履行评审采购活动职责的评审成员。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2.7</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货物</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是指各种形态和种类的物品，包括原材料、燃料、设备、产品等。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2.8</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工程</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是指建设工程，包括建筑物和构筑物的新建、改建、扩建、装修、拆除、修缮等。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2.9</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服务</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是指除货物和工程以外的其他政府采购对象。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2.10</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节能产品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或者</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环保产品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是指国务院有关部门发布的最新一期《节能产品政府采购品目清单》或者《环境标志产品政府采购品目清单》内的产品。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2.11</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进口产品</w:t>
      </w:r>
      <w:r>
        <w:rPr>
          <w:rFonts w:hint="eastAsia" w:ascii="宋体" w:hAnsi="宋体" w:cs="宋体"/>
          <w:bCs/>
          <w:color w:val="auto"/>
          <w:szCs w:val="21"/>
          <w:highlight w:val="none"/>
        </w:rPr>
        <w:t xml:space="preserve">”</w:t>
      </w:r>
      <w:r>
        <w:rPr>
          <w:rFonts w:hint="eastAsia" w:ascii="宋体" w:hAnsi="宋体" w:cs="宋体"/>
          <w:color w:val="auto"/>
          <w:szCs w:val="21"/>
          <w:highlight w:val="none"/>
        </w:rPr>
        <w:t xml:space="preserve">是指通过中国海关报关验放进入中国境内且产自关境外的产品。</w:t>
      </w:r>
      <w:r/>
    </w:p>
    <w:p>
      <w:pPr>
        <w:pStyle w:val="870"/>
        <w:ind w:left="210" w:right="210" w:firstLine="422"/>
        <w:spacing w:before="0" w:after="0" w:line="360" w:lineRule="auto"/>
        <w:rPr>
          <w:rFonts w:hint="eastAsia" w:ascii="宋体" w:hAnsi="宋体" w:cs="宋体"/>
          <w:b/>
          <w:bCs/>
          <w:color w:val="auto"/>
          <w:szCs w:val="21"/>
          <w:highlight w:val="none"/>
        </w:rPr>
      </w:pPr>
      <w:r/>
      <w:bookmarkStart w:id="54" w:name="_Toc100905203"/>
      <w:r/>
      <w:bookmarkStart w:id="55" w:name="_Toc96347864"/>
      <w:r/>
      <w:bookmarkStart w:id="56" w:name="_Toc107246217"/>
      <w:r/>
      <w:bookmarkStart w:id="57" w:name="_Toc103848530"/>
      <w:r/>
      <w:bookmarkStart w:id="58" w:name="_Toc104560841"/>
      <w:r>
        <w:rPr>
          <w:rFonts w:hint="eastAsia" w:ascii="宋体" w:hAnsi="宋体" w:cs="宋体"/>
          <w:b/>
          <w:bCs/>
          <w:color w:val="auto"/>
          <w:szCs w:val="21"/>
          <w:highlight w:val="none"/>
        </w:rPr>
        <w:t xml:space="preserve">3.适用法律</w:t>
      </w:r>
      <w:bookmarkEnd w:id="54"/>
      <w:r/>
      <w:bookmarkEnd w:id="55"/>
      <w:r/>
      <w:bookmarkEnd w:id="56"/>
      <w:r/>
      <w:bookmarkEnd w:id="57"/>
      <w:r/>
      <w:bookmarkEnd w:id="58"/>
      <w:r/>
      <w:r/>
    </w:p>
    <w:p>
      <w:pPr>
        <w:ind w:firstLine="630"/>
        <w:spacing w:line="360" w:lineRule="auto"/>
        <w:rPr>
          <w:rFonts w:hint="eastAsia" w:ascii="宋体" w:hAnsi="宋体" w:cs="宋体"/>
          <w:color w:val="auto"/>
          <w:szCs w:val="21"/>
          <w:highlight w:val="none"/>
        </w:rPr>
      </w:pPr>
      <w:r/>
      <w:bookmarkStart w:id="59" w:name="_Toc100905204"/>
      <w:r>
        <w:rPr>
          <w:rFonts w:hint="eastAsia" w:ascii="宋体" w:hAnsi="宋体" w:cs="宋体"/>
          <w:color w:val="auto"/>
          <w:szCs w:val="21"/>
          <w:highlight w:val="none"/>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870"/>
        <w:ind w:left="210" w:right="210" w:firstLine="422"/>
        <w:spacing w:before="0" w:after="0" w:line="360" w:lineRule="auto"/>
        <w:rPr>
          <w:rFonts w:hint="eastAsia" w:ascii="宋体" w:hAnsi="宋体" w:cs="宋体"/>
          <w:b/>
          <w:bCs/>
          <w:color w:val="auto"/>
          <w:szCs w:val="21"/>
          <w:highlight w:val="none"/>
        </w:rPr>
      </w:pPr>
      <w:r/>
      <w:bookmarkStart w:id="60" w:name="_Toc103848531"/>
      <w:r/>
      <w:bookmarkStart w:id="61" w:name="_Toc104560842"/>
      <w:r/>
      <w:bookmarkStart w:id="62" w:name="_Toc107246218"/>
      <w:r>
        <w:rPr>
          <w:rFonts w:hint="eastAsia" w:ascii="宋体" w:hAnsi="宋体" w:cs="宋体"/>
          <w:b/>
          <w:bCs/>
          <w:color w:val="auto"/>
          <w:szCs w:val="21"/>
          <w:highlight w:val="none"/>
        </w:rPr>
        <w:t xml:space="preserve">4.</w:t>
      </w:r>
      <w:bookmarkEnd w:id="60"/>
      <w:r>
        <w:rPr>
          <w:rFonts w:hint="eastAsia" w:ascii="宋体" w:hAnsi="宋体" w:cs="宋体"/>
          <w:b/>
          <w:bCs/>
          <w:color w:val="auto"/>
          <w:szCs w:val="21"/>
          <w:highlight w:val="none"/>
        </w:rPr>
        <w:t xml:space="preserve">政府采购政策（包括但不限于下列具体政策要求）</w:t>
      </w:r>
      <w:bookmarkEnd w:id="61"/>
      <w:r/>
      <w:bookmarkEnd w:id="62"/>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4.1中小企业、监狱企业及残疾人福利性单位</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4.1.1中小企业定义：</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4.1.1.1中小企业</w:t>
      </w:r>
      <w:r>
        <w:rPr>
          <w:rFonts w:hint="eastAsia" w:ascii="宋体" w:hAnsi="宋体" w:cs="宋体"/>
          <w:color w:val="auto"/>
          <w:szCs w:val="21"/>
          <w:highlight w:val="none"/>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4.1.1.2供应商提供的货物、工程或者服务符合下列情形的，享受中小企业扶持政策：</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（1）在货物采购项目中，货物由中小企业制造，即货物由中小企业生产且使用该中小企业商号或者注册商标；</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（2）在工程采购项目中，工程由中小企业承建，即工程施工单位为中小企业；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（3）在服务采购项目中，服务由中小企业承接，即提供服务的人员为中小企业依照《中华人民共和国劳动合同法》订立劳动合同的从业人员。</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4.1.1.3在货物采购项目中，供应商提供的货物既有中小企业制造货物，也有大型企业制造货物的，不享受中小企业扶持政策。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4.1.1.4以联合体形式参加政府采购活动，联合体各方均为中小企业的，联合体视同中小企业。其中，联合体各方均为小微企业的，联合体视同小微企业。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4.1.3残疾人福利单位定义：享受政府采购支持政策的残疾人福利性单位应当同时满足以下条件：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（1）安置的残疾人占本单位在职职工人数的比例不低于25%（含25%），并且安置的残疾人人数不少于10 人（含10 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（2）依法与安置的每位残疾人签订了一年以上（含一年）的劳动合同或服务协议；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（3）为安置的每位残疾人按月足额缴纳了基本养老保险、基本医疗保险、失业保险、工伤保险和生育保险等社会保险费；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（4）通过银行等金融机构向安置的每位残疾人，按月支付了不低于单位所在区县适用的经省级人民政府批准的月最低工资标准的工资；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（5）提供本单位制造的货物、承担的工程或者服务（以下简称产品），或者提供其他残疾人福利性单位制造的货物（不包括使用非残疾人福利性单位注册商标的货物）；</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630"/>
        <w:spacing w:line="360" w:lineRule="auto"/>
        <w:rPr>
          <w:rFonts w:hint="eastAsia" w:ascii="宋体" w:hAnsi="宋体" w:cs="宋体"/>
          <w:b/>
          <w:color w:val="auto"/>
          <w:szCs w:val="21"/>
          <w:highlight w:val="none"/>
        </w:rPr>
      </w:pPr>
      <w:r>
        <w:rPr>
          <w:rFonts w:hint="eastAsia" w:ascii="宋体" w:hAnsi="宋体" w:cs="宋体"/>
          <w:color w:val="auto"/>
          <w:szCs w:val="21"/>
          <w:highlight w:val="none"/>
        </w:rPr>
        <w:t xml:space="preserve">4.1.4小微企业价格评审优惠的政策调整：见第五章《评标方法与评标标准》（如涉及）。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4.2政府采购节能产品、环境标志产品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4.2.3如本项目采购产品属于实施政府强制采购品目清单范围的节能产品，则供应商所报产品必须获得国家确定的认证机构出具的、处于有效期之内的节能产品认证证书，否则投标无效；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4.2.4非政府强制采购的节能产品或环境标志产品，依据品目清单和认证证书实施政府优先采购。优先采购的具体规定见第五章《评标方法与评标标准》（如涉及）。</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4.3信息安全产品</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bookmarkEnd w:id="59"/>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4.4对本国产品的支持政策：</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4.4.1.政府采购活动中既有本国产品又有非本国产品参与竞争的，依法对本国产品给予价格评审优惠，对本国产品的报价给予20%的价格扣除，用扣除后的价格参与评审。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①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②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632"/>
        <w:spacing w:line="360" w:lineRule="auto"/>
        <w:rPr>
          <w:color w:val="auto"/>
          <w:highlight w:val="none"/>
        </w:rPr>
      </w:pPr>
      <w:r>
        <w:rPr>
          <w:rFonts w:hint="eastAsia" w:ascii="宋体" w:hAnsi="宋体" w:cs="宋体"/>
          <w:b/>
          <w:bCs/>
          <w:color w:val="auto"/>
          <w:szCs w:val="21"/>
          <w:highlight w:val="none"/>
        </w:rPr>
        <w:t xml:space="preserve">4.5未按要求提供相关材料的，不享受相关政策</w:t>
      </w:r>
      <w:r>
        <w:rPr>
          <w:rFonts w:hint="eastAsia"/>
          <w:b/>
          <w:bCs/>
          <w:color w:val="auto"/>
          <w:highlight w:val="none"/>
        </w:rPr>
        <w:t xml:space="preserve">。</w:t>
      </w:r>
      <w:r/>
    </w:p>
    <w:p>
      <w:pPr>
        <w:pStyle w:val="870"/>
        <w:ind w:left="210" w:right="210" w:firstLine="422"/>
        <w:spacing w:before="0" w:after="0" w:line="360" w:lineRule="auto"/>
        <w:rPr>
          <w:rFonts w:hint="eastAsia" w:ascii="宋体" w:hAnsi="宋体" w:cs="宋体"/>
          <w:color w:val="auto"/>
          <w:szCs w:val="21"/>
          <w:highlight w:val="none"/>
        </w:rPr>
      </w:pPr>
      <w:r/>
      <w:bookmarkStart w:id="63" w:name="_Toc104560843"/>
      <w:r/>
      <w:bookmarkStart w:id="64" w:name="_Toc107246219"/>
      <w:r/>
      <w:bookmarkStart w:id="65" w:name="_Toc100905205"/>
      <w:r/>
      <w:bookmarkStart w:id="66" w:name="_Toc103848532"/>
      <w:r/>
      <w:bookmarkStart w:id="67" w:name="_Toc96347865"/>
      <w:r>
        <w:rPr>
          <w:rFonts w:hint="eastAsia" w:ascii="宋体" w:hAnsi="宋体" w:cs="宋体"/>
          <w:b/>
          <w:bCs/>
          <w:color w:val="auto"/>
          <w:szCs w:val="21"/>
          <w:highlight w:val="none"/>
        </w:rPr>
        <w:t xml:space="preserve">5.相关费用</w:t>
      </w:r>
      <w:bookmarkEnd w:id="63"/>
      <w:r/>
      <w:bookmarkEnd w:id="64"/>
      <w:r/>
      <w:bookmarkEnd w:id="65"/>
      <w:r/>
      <w:bookmarkEnd w:id="66"/>
      <w:r/>
      <w:bookmarkEnd w:id="67"/>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5.1</w:t>
      </w:r>
      <w:bookmarkStart w:id="68" w:name="_Toc80264707"/>
      <w:r>
        <w:rPr>
          <w:rFonts w:hint="eastAsia" w:ascii="宋体" w:hAnsi="宋体" w:cs="宋体"/>
          <w:color w:val="auto"/>
          <w:szCs w:val="21"/>
          <w:highlight w:val="none"/>
        </w:rPr>
        <w:t xml:space="preserve">参加投标活动的供应商应自行承担所有与参加投标有关的费用，无论投标过程中的做法和结果如何，采购人在任何情况下均无义务和责任承担这些费用。</w:t>
      </w:r>
      <w:r/>
    </w:p>
    <w:p>
      <w:pPr>
        <w:pStyle w:val="870"/>
        <w:ind w:left="210" w:right="210" w:firstLine="422"/>
        <w:spacing w:before="0" w:after="0" w:line="360" w:lineRule="auto"/>
        <w:rPr>
          <w:rFonts w:hint="eastAsia" w:ascii="宋体" w:hAnsi="宋体" w:cs="宋体"/>
          <w:color w:val="auto"/>
          <w:szCs w:val="21"/>
          <w:highlight w:val="none"/>
        </w:rPr>
      </w:pPr>
      <w:r/>
      <w:bookmarkStart w:id="69" w:name="_Toc103848533"/>
      <w:r/>
      <w:bookmarkStart w:id="70" w:name="_Toc100905206"/>
      <w:r/>
      <w:bookmarkStart w:id="71" w:name="_Toc96347866"/>
      <w:r/>
      <w:bookmarkStart w:id="72" w:name="_Toc104560844"/>
      <w:r/>
      <w:bookmarkStart w:id="73" w:name="_Toc107246220"/>
      <w:r>
        <w:rPr>
          <w:rFonts w:hint="eastAsia" w:ascii="宋体" w:hAnsi="宋体" w:cs="宋体"/>
          <w:b/>
          <w:bCs/>
          <w:color w:val="auto"/>
          <w:szCs w:val="21"/>
          <w:highlight w:val="none"/>
        </w:rPr>
        <w:t xml:space="preserve">6.保密</w:t>
      </w:r>
      <w:bookmarkEnd w:id="69"/>
      <w:r/>
      <w:bookmarkEnd w:id="70"/>
      <w:r/>
      <w:bookmarkEnd w:id="71"/>
      <w:r/>
      <w:bookmarkEnd w:id="72"/>
      <w:r/>
      <w:bookmarkEnd w:id="73"/>
      <w:r/>
      <w:r/>
    </w:p>
    <w:p>
      <w:pPr>
        <w:ind w:firstLine="630"/>
        <w:spacing w:line="360" w:lineRule="auto"/>
        <w:rPr>
          <w:rFonts w:hint="eastAsia" w:ascii="宋体" w:hAnsi="宋体" w:cs="宋体"/>
          <w:color w:val="auto"/>
          <w:szCs w:val="21"/>
          <w:highlight w:val="none"/>
        </w:rPr>
      </w:pPr>
      <w:r/>
      <w:bookmarkStart w:id="74" w:name="_Toc100905207"/>
      <w:r/>
      <w:bookmarkStart w:id="75" w:name="_Toc96347867"/>
      <w:r>
        <w:rPr>
          <w:rFonts w:hint="eastAsia" w:ascii="宋体" w:hAnsi="宋体" w:cs="宋体"/>
          <w:color w:val="auto"/>
          <w:szCs w:val="21"/>
          <w:highlight w:val="none"/>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870"/>
        <w:ind w:left="210" w:right="210" w:firstLine="422"/>
        <w:spacing w:before="0" w:after="0" w:line="360" w:lineRule="auto"/>
        <w:rPr>
          <w:rFonts w:hint="eastAsia" w:ascii="宋体" w:hAnsi="宋体" w:cs="宋体"/>
          <w:color w:val="auto"/>
          <w:szCs w:val="21"/>
          <w:highlight w:val="none"/>
        </w:rPr>
      </w:pPr>
      <w:r/>
      <w:bookmarkStart w:id="76" w:name="_Toc104560845"/>
      <w:r/>
      <w:bookmarkStart w:id="77" w:name="_Toc103848534"/>
      <w:r/>
      <w:bookmarkStart w:id="78" w:name="_Toc107246221"/>
      <w:r>
        <w:rPr>
          <w:rFonts w:hint="eastAsia" w:ascii="宋体" w:hAnsi="宋体" w:cs="宋体"/>
          <w:b/>
          <w:bCs/>
          <w:color w:val="auto"/>
          <w:szCs w:val="21"/>
          <w:highlight w:val="none"/>
        </w:rPr>
        <w:t xml:space="preserve">7.语言文字、计量单位</w:t>
      </w:r>
      <w:bookmarkEnd w:id="74"/>
      <w:r/>
      <w:bookmarkEnd w:id="75"/>
      <w:r/>
      <w:bookmarkEnd w:id="76"/>
      <w:r/>
      <w:bookmarkEnd w:id="77"/>
      <w:r/>
      <w:bookmarkEnd w:id="7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7.1所有文件使用的语言文字为中文。专用术语使用外文的，应附有中文注释。</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7.2所有文件中的计量单位，除招标文件有特殊要求外，应采用国家法定计量单位。</w:t>
      </w:r>
      <w:r/>
    </w:p>
    <w:p>
      <w:pPr>
        <w:pStyle w:val="870"/>
        <w:ind w:left="210" w:right="210" w:firstLine="422"/>
        <w:spacing w:before="0" w:after="0" w:line="360" w:lineRule="auto"/>
        <w:rPr>
          <w:rFonts w:hint="eastAsia" w:ascii="宋体" w:hAnsi="宋体" w:cs="宋体"/>
          <w:color w:val="auto"/>
          <w:szCs w:val="21"/>
          <w:highlight w:val="none"/>
        </w:rPr>
      </w:pPr>
      <w:r/>
      <w:bookmarkStart w:id="79" w:name="_Toc104560846"/>
      <w:r/>
      <w:bookmarkStart w:id="80" w:name="_Toc96347868"/>
      <w:r/>
      <w:bookmarkStart w:id="81" w:name="_Toc100905208"/>
      <w:r/>
      <w:bookmarkStart w:id="82" w:name="_Toc107246222"/>
      <w:r/>
      <w:bookmarkStart w:id="83" w:name="_Toc103848535"/>
      <w:r>
        <w:rPr>
          <w:rFonts w:hint="eastAsia" w:ascii="宋体" w:hAnsi="宋体" w:cs="宋体"/>
          <w:b/>
          <w:bCs/>
          <w:color w:val="auto"/>
          <w:szCs w:val="21"/>
          <w:highlight w:val="none"/>
        </w:rPr>
        <w:t xml:space="preserve">8.现场考察</w:t>
      </w:r>
      <w:bookmarkEnd w:id="79"/>
      <w:r/>
      <w:bookmarkEnd w:id="80"/>
      <w:r/>
      <w:bookmarkEnd w:id="81"/>
      <w:r/>
      <w:bookmarkEnd w:id="82"/>
      <w:r/>
      <w:bookmarkEnd w:id="8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规定现场考察的，供应商须按照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规定的时间、地点参加踏勘，以获得有关编制投标文件和签署合同所涉及现场的资料。供应商承担现场考察所发生的自身费用、责任和风险。</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8.2供应商不按照</w:t>
      </w:r>
      <w:r>
        <w:rPr>
          <w:rFonts w:hint="eastAsia" w:ascii="宋体" w:hAnsi="宋体" w:cs="宋体"/>
          <w:bCs/>
          <w:color w:val="auto"/>
          <w:szCs w:val="21"/>
          <w:highlight w:val="none"/>
        </w:rPr>
        <w:t xml:space="preserve">本须知的规定</w:t>
      </w:r>
      <w:r>
        <w:rPr>
          <w:rFonts w:hint="eastAsia" w:ascii="宋体" w:hAnsi="宋体" w:cs="宋体"/>
          <w:color w:val="auto"/>
          <w:szCs w:val="21"/>
          <w:highlight w:val="none"/>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8.3除非有特殊要求，招标文件不提供项目所在地的自然环境、气候条件、公用设施等情况，供应商被视为熟悉上述与履行合同有关的一切情况。</w:t>
      </w:r>
      <w:r/>
    </w:p>
    <w:p>
      <w:pPr>
        <w:pStyle w:val="870"/>
        <w:ind w:left="210" w:right="210" w:firstLine="422"/>
        <w:spacing w:before="0" w:after="0" w:line="360" w:lineRule="auto"/>
        <w:rPr>
          <w:rFonts w:hint="eastAsia" w:ascii="宋体" w:hAnsi="宋体" w:cs="宋体"/>
          <w:color w:val="auto"/>
          <w:szCs w:val="21"/>
          <w:highlight w:val="none"/>
        </w:rPr>
      </w:pPr>
      <w:r/>
      <w:bookmarkStart w:id="84" w:name="_Toc102117275"/>
      <w:r/>
      <w:bookmarkStart w:id="85" w:name="_Toc107246223"/>
      <w:r>
        <w:rPr>
          <w:rFonts w:hint="eastAsia" w:ascii="宋体" w:hAnsi="宋体" w:cs="宋体"/>
          <w:b/>
          <w:bCs/>
          <w:color w:val="auto"/>
          <w:szCs w:val="21"/>
          <w:highlight w:val="none"/>
        </w:rPr>
        <w:t xml:space="preserve">9.开标前答疑会</w:t>
      </w:r>
      <w:bookmarkEnd w:id="84"/>
      <w:r/>
      <w:bookmarkEnd w:id="85"/>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9.1</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规定召开开标前答疑会的，采购方按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规定的时间和地点召开开标前答疑会，澄清供应商提出的询问。</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9.2供应商应按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规定的时间和形式将提出的询问送达采购方，以便采购方在会议期间澄清，逾期的询问将不被接受。</w:t>
      </w:r>
      <w:r/>
    </w:p>
    <w:p>
      <w:pPr>
        <w:pStyle w:val="870"/>
        <w:ind w:left="210" w:right="210" w:firstLine="422"/>
        <w:spacing w:before="0" w:after="0" w:line="360" w:lineRule="auto"/>
        <w:rPr>
          <w:rFonts w:hint="eastAsia" w:ascii="宋体" w:hAnsi="宋体" w:cs="宋体"/>
          <w:color w:val="auto"/>
          <w:szCs w:val="21"/>
          <w:highlight w:val="none"/>
        </w:rPr>
      </w:pPr>
      <w:r/>
      <w:bookmarkStart w:id="86" w:name="_Toc103848536"/>
      <w:r/>
      <w:bookmarkStart w:id="87" w:name="_Toc107246224"/>
      <w:r/>
      <w:bookmarkStart w:id="88" w:name="_Toc104560847"/>
      <w:r/>
      <w:bookmarkStart w:id="89" w:name="_Toc100905210"/>
      <w:r/>
      <w:bookmarkStart w:id="90" w:name="_Toc96347869"/>
      <w:r>
        <w:rPr>
          <w:rFonts w:hint="eastAsia" w:ascii="宋体" w:hAnsi="宋体" w:cs="宋体"/>
          <w:b/>
          <w:bCs/>
          <w:color w:val="auto"/>
          <w:szCs w:val="21"/>
          <w:highlight w:val="none"/>
        </w:rPr>
        <w:t xml:space="preserve">10.联合体投标</w:t>
      </w:r>
      <w:bookmarkEnd w:id="86"/>
      <w:r/>
      <w:bookmarkEnd w:id="87"/>
      <w:r/>
      <w:bookmarkEnd w:id="88"/>
      <w:r/>
      <w:bookmarkEnd w:id="89"/>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10.1本项目是否接受联合体形式参与详见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10.2供应商为联合体形式的，应遵守以下规定：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（1）联合体各方必须签订联合体协议书，明确联合体牵头人和各方权利、义务及分工、合同工作量比例；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（2）联合体各方均应当符合《中华人民共和国政府采购法》第二十二条第一款规定的条件；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（3）除另有规定外，联合体各方中至少有一方应当符合采购人规定的特定资格条件；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（4）联合体中有同类资质的供应商按照联合体分工承担相同工作的，应当按照资质等级较低的供应商确定资质等级；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（5）以联合体形式参加政府采购活动的，联合体各方不得再单独参加或者与其他供应商另外组成联合体参加同一合同项下的政府采购活动。</w:t>
      </w:r>
      <w:r/>
    </w:p>
    <w:p>
      <w:pPr>
        <w:pStyle w:val="870"/>
        <w:ind w:left="210" w:right="210" w:firstLine="422"/>
        <w:spacing w:before="0" w:after="0" w:line="360" w:lineRule="auto"/>
        <w:rPr>
          <w:rFonts w:hint="eastAsia" w:ascii="宋体" w:hAnsi="宋体" w:cs="宋体"/>
          <w:color w:val="auto"/>
          <w:szCs w:val="21"/>
          <w:highlight w:val="none"/>
        </w:rPr>
      </w:pPr>
      <w:r/>
      <w:bookmarkStart w:id="91" w:name="_Toc100905213"/>
      <w:r/>
      <w:bookmarkStart w:id="92" w:name="_Toc107246225"/>
      <w:r/>
      <w:bookmarkStart w:id="93" w:name="_Toc103848537"/>
      <w:r/>
      <w:bookmarkStart w:id="94" w:name="_Toc104560848"/>
      <w:r/>
      <w:bookmarkStart w:id="95" w:name="_Toc100905211"/>
      <w:r>
        <w:rPr>
          <w:rFonts w:hint="eastAsia" w:ascii="宋体" w:hAnsi="宋体" w:cs="宋体"/>
          <w:b/>
          <w:bCs/>
          <w:color w:val="auto"/>
          <w:szCs w:val="21"/>
          <w:highlight w:val="none"/>
        </w:rPr>
        <w:t xml:space="preserve">11.分包</w:t>
      </w:r>
      <w:bookmarkEnd w:id="91"/>
      <w:r/>
      <w:bookmarkEnd w:id="92"/>
      <w:r/>
      <w:bookmarkEnd w:id="93"/>
      <w:r/>
      <w:bookmarkEnd w:id="94"/>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11.2政府采购合同分包履行的，应当在投标文件中载明分包承担主体，分包承担主体应当具备相应资质条件且不得再次分包，否则投标无效。中</w:t>
      </w:r>
      <w:bookmarkStart w:id="506" w:name="_GoBack"/>
      <w:r/>
      <w:bookmarkEnd w:id="506"/>
      <w:r>
        <w:rPr>
          <w:rFonts w:hint="eastAsia" w:ascii="宋体" w:hAnsi="宋体" w:cs="宋体"/>
          <w:color w:val="auto"/>
          <w:szCs w:val="21"/>
          <w:highlight w:val="none"/>
        </w:rPr>
        <w:t xml:space="preserve">标人就采购项目和分包项目向采购人负责，分包供应商就分包项目承担责任。</w:t>
      </w:r>
      <w:r/>
    </w:p>
    <w:p>
      <w:pPr>
        <w:ind w:firstLine="630"/>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11.3经采购人书面同意可以委托第三方进行制作，具体要求详见采购需求及合同。</w:t>
      </w:r>
      <w:r/>
    </w:p>
    <w:p>
      <w:pPr>
        <w:pStyle w:val="870"/>
        <w:ind w:left="210" w:right="210" w:firstLine="422"/>
        <w:spacing w:before="0" w:after="0" w:line="360" w:lineRule="auto"/>
        <w:rPr>
          <w:rFonts w:hint="eastAsia" w:ascii="宋体" w:hAnsi="宋体" w:cs="宋体"/>
          <w:color w:val="auto"/>
          <w:szCs w:val="21"/>
          <w:highlight w:val="none"/>
        </w:rPr>
      </w:pPr>
      <w:r/>
      <w:bookmarkStart w:id="96" w:name="_Toc107246226"/>
      <w:r/>
      <w:bookmarkStart w:id="97" w:name="_Toc104560849"/>
      <w:r>
        <w:rPr>
          <w:rFonts w:hint="eastAsia" w:ascii="宋体" w:hAnsi="宋体" w:cs="宋体"/>
          <w:b/>
          <w:bCs/>
          <w:color w:val="auto"/>
          <w:szCs w:val="21"/>
          <w:highlight w:val="none"/>
        </w:rPr>
        <w:t xml:space="preserve">12.样品</w:t>
      </w:r>
      <w:bookmarkEnd w:id="96"/>
      <w:r/>
      <w:bookmarkEnd w:id="97"/>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12.1本项目是否要求供应商提供样品，以及样品制作的标准和要求、是否需要随样品提交相关检测报告、样品的提交要求等详见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12.2样品的评审方法以及评审标准等内容见第五章《评标方法与评标标准》。</w:t>
      </w:r>
      <w:bookmarkEnd w:id="90"/>
      <w:r/>
      <w:bookmarkEnd w:id="95"/>
      <w:r/>
      <w:r/>
    </w:p>
    <w:p>
      <w:pPr>
        <w:pStyle w:val="870"/>
        <w:ind w:left="210" w:right="210" w:firstLine="422"/>
        <w:spacing w:before="0" w:after="0" w:line="360" w:lineRule="auto"/>
        <w:rPr>
          <w:rFonts w:hint="eastAsia" w:ascii="宋体" w:hAnsi="宋体" w:cs="宋体"/>
          <w:color w:val="auto"/>
          <w:szCs w:val="21"/>
          <w:highlight w:val="none"/>
        </w:rPr>
      </w:pPr>
      <w:r/>
      <w:bookmarkStart w:id="98" w:name="_Toc107246227"/>
      <w:r/>
      <w:bookmarkStart w:id="99" w:name="_Toc100905214"/>
      <w:r/>
      <w:bookmarkStart w:id="100" w:name="_Toc104560850"/>
      <w:r/>
      <w:bookmarkStart w:id="101" w:name="_Toc103848538"/>
      <w:r>
        <w:rPr>
          <w:rFonts w:hint="eastAsia" w:ascii="宋体" w:hAnsi="宋体" w:cs="宋体"/>
          <w:b/>
          <w:bCs/>
          <w:color w:val="auto"/>
          <w:szCs w:val="21"/>
          <w:highlight w:val="none"/>
        </w:rPr>
        <w:t xml:space="preserve">13.采购进口产品</w:t>
      </w:r>
      <w:bookmarkEnd w:id="98"/>
      <w:r/>
      <w:bookmarkEnd w:id="99"/>
      <w:r/>
      <w:bookmarkEnd w:id="100"/>
      <w:r/>
      <w:bookmarkEnd w:id="101"/>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13.1本项目是否采购进口产品及相关要求见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870"/>
        <w:ind w:left="210" w:right="210" w:firstLine="422"/>
        <w:spacing w:before="0" w:after="0" w:line="360" w:lineRule="auto"/>
        <w:rPr>
          <w:rFonts w:hint="eastAsia" w:ascii="宋体" w:hAnsi="宋体" w:cs="宋体"/>
          <w:color w:val="auto"/>
          <w:szCs w:val="21"/>
          <w:highlight w:val="none"/>
        </w:rPr>
      </w:pPr>
      <w:r/>
      <w:bookmarkStart w:id="102" w:name="_Toc104560851"/>
      <w:r/>
      <w:bookmarkStart w:id="103" w:name="_Toc107246228"/>
      <w:r>
        <w:rPr>
          <w:rFonts w:hint="eastAsia" w:ascii="宋体" w:hAnsi="宋体" w:cs="宋体"/>
          <w:b/>
          <w:bCs/>
          <w:color w:val="auto"/>
          <w:szCs w:val="21"/>
          <w:highlight w:val="none"/>
        </w:rPr>
        <w:t xml:space="preserve">14.采购项目预算及最高限价</w:t>
      </w:r>
      <w:bookmarkEnd w:id="102"/>
      <w:r/>
      <w:bookmarkEnd w:id="10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14.1本项目采购资金已列入政府采购预算，预算金额见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14.2本项目最高限价要求见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870"/>
        <w:ind w:left="210" w:right="210" w:firstLine="422"/>
        <w:spacing w:before="0" w:after="0" w:line="360" w:lineRule="auto"/>
        <w:rPr>
          <w:rFonts w:hint="eastAsia" w:ascii="宋体" w:hAnsi="宋体" w:cs="宋体"/>
          <w:color w:val="auto"/>
          <w:szCs w:val="21"/>
          <w:highlight w:val="none"/>
        </w:rPr>
      </w:pPr>
      <w:r/>
      <w:bookmarkStart w:id="104" w:name="_Toc107246229"/>
      <w:r/>
      <w:bookmarkStart w:id="105" w:name="_Toc104560852"/>
      <w:r>
        <w:rPr>
          <w:rFonts w:hint="eastAsia" w:ascii="宋体" w:hAnsi="宋体" w:cs="宋体"/>
          <w:b/>
          <w:bCs/>
          <w:color w:val="auto"/>
          <w:szCs w:val="21"/>
          <w:highlight w:val="none"/>
        </w:rPr>
        <w:t xml:space="preserve">15. 供应商资格条件</w:t>
      </w:r>
      <w:bookmarkEnd w:id="104"/>
      <w:r/>
      <w:bookmarkEnd w:id="105"/>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15.1</w:t>
      </w:r>
      <w:r>
        <w:rPr>
          <w:rFonts w:hint="eastAsia" w:ascii="宋体" w:hAnsi="宋体" w:cs="宋体"/>
          <w:bCs/>
          <w:color w:val="auto"/>
          <w:szCs w:val="21"/>
          <w:highlight w:val="none"/>
        </w:rPr>
        <w:t xml:space="preserve">供应商</w:t>
      </w:r>
      <w:r>
        <w:rPr>
          <w:rFonts w:hint="eastAsia" w:ascii="宋体" w:hAnsi="宋体" w:cs="宋体"/>
          <w:color w:val="auto"/>
          <w:szCs w:val="21"/>
          <w:highlight w:val="none"/>
        </w:rPr>
        <w:t xml:space="preserve">资格条件见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870"/>
        <w:ind w:left="210" w:right="210" w:firstLine="422"/>
        <w:spacing w:before="0" w:after="0" w:line="360" w:lineRule="auto"/>
        <w:rPr>
          <w:rFonts w:hint="eastAsia" w:ascii="宋体" w:hAnsi="宋体" w:cs="宋体"/>
          <w:color w:val="auto"/>
          <w:szCs w:val="21"/>
          <w:highlight w:val="none"/>
        </w:rPr>
      </w:pPr>
      <w:r/>
      <w:bookmarkStart w:id="106" w:name="_Toc107246230"/>
      <w:r>
        <w:rPr>
          <w:rFonts w:hint="eastAsia" w:ascii="宋体" w:hAnsi="宋体" w:cs="宋体"/>
          <w:b/>
          <w:bCs/>
          <w:color w:val="auto"/>
          <w:szCs w:val="21"/>
          <w:highlight w:val="none"/>
        </w:rPr>
        <w:t xml:space="preserve">二．招标文件</w:t>
      </w:r>
      <w:bookmarkEnd w:id="68"/>
      <w:r/>
      <w:bookmarkEnd w:id="106"/>
      <w:r/>
      <w:r/>
    </w:p>
    <w:p>
      <w:pPr>
        <w:pStyle w:val="870"/>
        <w:ind w:left="210" w:right="210" w:firstLine="422"/>
        <w:spacing w:before="0" w:after="0" w:line="360" w:lineRule="auto"/>
        <w:rPr>
          <w:rFonts w:hint="eastAsia" w:ascii="宋体" w:hAnsi="宋体" w:cs="宋体"/>
          <w:color w:val="auto"/>
          <w:szCs w:val="21"/>
          <w:highlight w:val="none"/>
        </w:rPr>
      </w:pPr>
      <w:r/>
      <w:bookmarkStart w:id="107" w:name="_Toc96347871"/>
      <w:r/>
      <w:bookmarkStart w:id="108" w:name="_Toc103848540"/>
      <w:r/>
      <w:bookmarkStart w:id="109" w:name="_Toc107246231"/>
      <w:r/>
      <w:bookmarkStart w:id="110" w:name="_Toc104560854"/>
      <w:r/>
      <w:bookmarkStart w:id="111" w:name="_Toc100905217"/>
      <w:r>
        <w:rPr>
          <w:rFonts w:hint="eastAsia" w:ascii="宋体" w:hAnsi="宋体" w:cs="宋体"/>
          <w:b/>
          <w:bCs/>
          <w:color w:val="auto"/>
          <w:szCs w:val="21"/>
          <w:highlight w:val="none"/>
        </w:rPr>
        <w:t xml:space="preserve">16.招标文件的构成</w:t>
      </w:r>
      <w:bookmarkEnd w:id="107"/>
      <w:r/>
      <w:bookmarkEnd w:id="108"/>
      <w:r/>
      <w:bookmarkEnd w:id="109"/>
      <w:r/>
      <w:bookmarkEnd w:id="110"/>
      <w:r/>
      <w:bookmarkEnd w:id="111"/>
      <w:r/>
      <w:r/>
    </w:p>
    <w:p>
      <w:pPr>
        <w:pStyle w:val="1087"/>
        <w:ind w:firstLine="630"/>
        <w:rPr>
          <w:rFonts w:hint="eastAsia" w:hAnsi="宋体" w:cs="宋体"/>
          <w:bCs/>
          <w:color w:val="auto"/>
          <w:sz w:val="21"/>
          <w:highlight w:val="none"/>
        </w:rPr>
      </w:pPr>
      <w:r>
        <w:rPr>
          <w:rFonts w:hint="eastAsia" w:hAnsi="宋体" w:cs="宋体"/>
          <w:bCs/>
          <w:color w:val="auto"/>
          <w:sz w:val="21"/>
          <w:highlight w:val="none"/>
        </w:rPr>
        <w:t xml:space="preserve">16.1招标文件各章节的内容如下：</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第一章：招标公告</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第二章：供应商须知</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第三章：政府采购合同条款及格式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第四章：采购需求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第五章：评标方法与评标标准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第六章：</w:t>
      </w:r>
      <w:bookmarkStart w:id="112" w:name="_Toc96347872"/>
      <w:r>
        <w:rPr>
          <w:rFonts w:hint="eastAsia" w:ascii="宋体" w:hAnsi="宋体" w:cs="宋体"/>
          <w:color w:val="auto"/>
          <w:szCs w:val="21"/>
          <w:highlight w:val="none"/>
        </w:rPr>
        <w:t xml:space="preserve">投标文件格式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对招标文件所作的澄清、修改，构成招标文件的组成部分。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lang w:val="zh-CN"/>
        </w:rPr>
        <w:t xml:space="preserve">如标书制作工具中格式和内容与“南京公共采购信息网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江苏政府采购网</w:t>
      </w:r>
      <w:r>
        <w:rPr>
          <w:rFonts w:hint="eastAsia" w:ascii="宋体" w:hAnsi="宋体" w:cs="宋体"/>
          <w:color w:val="auto"/>
          <w:szCs w:val="21"/>
          <w:highlight w:val="none"/>
        </w:rPr>
        <w:t xml:space="preserve">/</w:t>
      </w:r>
      <w:r>
        <w:rPr>
          <w:rFonts w:hint="eastAsia" w:ascii="宋体" w:hAnsi="宋体" w:cs="宋体"/>
          <w:color w:val="auto"/>
          <w:szCs w:val="21"/>
          <w:highlight w:val="none"/>
          <w:lang w:val="zh-CN"/>
        </w:rPr>
        <w:t xml:space="preserve">中国政府采购网”发布的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文件不一致</w:t>
      </w:r>
      <w:r>
        <w:rPr>
          <w:rFonts w:hint="eastAsia" w:ascii="宋体" w:hAnsi="宋体" w:cs="宋体"/>
          <w:color w:val="auto"/>
          <w:szCs w:val="21"/>
          <w:highlight w:val="none"/>
        </w:rPr>
        <w:t xml:space="preserve">的</w:t>
      </w:r>
      <w:r>
        <w:rPr>
          <w:rFonts w:hint="eastAsia" w:ascii="宋体" w:hAnsi="宋体" w:cs="宋体"/>
          <w:color w:val="auto"/>
          <w:szCs w:val="21"/>
          <w:highlight w:val="none"/>
          <w:lang w:val="zh-CN"/>
        </w:rPr>
        <w:t xml:space="preserve">，以</w:t>
      </w:r>
      <w:r>
        <w:rPr>
          <w:rFonts w:hint="eastAsia" w:ascii="宋体" w:hAnsi="宋体" w:cs="宋体"/>
          <w:color w:val="auto"/>
          <w:szCs w:val="21"/>
          <w:highlight w:val="none"/>
        </w:rPr>
        <w:t xml:space="preserve">上述网站</w:t>
      </w:r>
      <w:r>
        <w:rPr>
          <w:rFonts w:hint="eastAsia" w:ascii="宋体" w:hAnsi="宋体" w:cs="宋体"/>
          <w:color w:val="auto"/>
          <w:szCs w:val="21"/>
          <w:highlight w:val="none"/>
          <w:lang w:val="zh-CN"/>
        </w:rPr>
        <w:t xml:space="preserve">发布的</w:t>
      </w:r>
      <w:r>
        <w:rPr>
          <w:rFonts w:hint="eastAsia" w:ascii="宋体" w:hAnsi="宋体" w:cs="宋体"/>
          <w:color w:val="auto"/>
          <w:szCs w:val="21"/>
          <w:highlight w:val="none"/>
        </w:rPr>
        <w:t xml:space="preserve">招标</w:t>
      </w:r>
      <w:r>
        <w:rPr>
          <w:rFonts w:hint="eastAsia" w:ascii="宋体" w:hAnsi="宋体" w:cs="宋体"/>
          <w:color w:val="auto"/>
          <w:szCs w:val="21"/>
          <w:highlight w:val="none"/>
          <w:lang w:val="zh-CN"/>
        </w:rPr>
        <w:t xml:space="preserve">文件为准。</w:t>
      </w:r>
      <w:r/>
    </w:p>
    <w:p>
      <w:pPr>
        <w:ind w:firstLine="42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★招标文件中标注</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w:t>
      </w:r>
      <w:r>
        <w:rPr>
          <w:rFonts w:hint="eastAsia" w:ascii="宋体" w:hAnsi="宋体" w:cs="宋体"/>
          <w:bCs/>
          <w:color w:val="auto"/>
          <w:szCs w:val="21"/>
          <w:highlight w:val="none"/>
        </w:rPr>
        <w:t xml:space="preserve">”</w:t>
      </w:r>
      <w:r>
        <w:rPr>
          <w:rFonts w:hint="eastAsia" w:ascii="宋体" w:hAnsi="宋体" w:cs="宋体"/>
          <w:b/>
          <w:color w:val="auto"/>
          <w:szCs w:val="21"/>
          <w:highlight w:val="none"/>
        </w:rPr>
        <w:t xml:space="preserve">符号的条款为实质性要求条款（即重要条款）。</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16.2供应商应仔细阅读和检查招标文件的全部内容。如发现招标文件内容不全，应及时向采购方提出，以便补齐。</w:t>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16.3</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按照招标文件要求编制投标文件。任何对招标文件的忽略或误解，不能作为投标文件存在缺陷或瑕疵的理由，其风险由</w:t>
      </w:r>
      <w:r>
        <w:rPr>
          <w:rFonts w:hint="eastAsia" w:ascii="宋体" w:hAnsi="宋体" w:cs="宋体"/>
          <w:color w:val="auto"/>
          <w:szCs w:val="21"/>
          <w:highlight w:val="none"/>
        </w:rPr>
        <w:t xml:space="preserve">供应商</w:t>
      </w:r>
      <w:r>
        <w:rPr>
          <w:rFonts w:hint="eastAsia" w:ascii="宋体" w:hAnsi="宋体" w:cs="宋体"/>
          <w:bCs/>
          <w:color w:val="auto"/>
          <w:szCs w:val="21"/>
          <w:highlight w:val="none"/>
        </w:rPr>
        <w:t xml:space="preserve">承担。</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16.4本项目招标文件如包括多个分包，则除非特别说明，招标文件所列各项要求均为各分包通用要求。</w:t>
      </w:r>
      <w:bookmarkEnd w:id="112"/>
      <w:r/>
      <w:r/>
    </w:p>
    <w:p>
      <w:pPr>
        <w:pStyle w:val="870"/>
        <w:ind w:left="210" w:right="210" w:firstLine="422"/>
        <w:spacing w:before="0" w:after="0" w:line="360" w:lineRule="auto"/>
        <w:rPr>
          <w:rFonts w:hint="eastAsia" w:ascii="宋体" w:hAnsi="宋体" w:cs="宋体"/>
          <w:color w:val="auto"/>
          <w:szCs w:val="21"/>
          <w:highlight w:val="none"/>
        </w:rPr>
      </w:pPr>
      <w:r/>
      <w:bookmarkStart w:id="113" w:name="_Toc104560855"/>
      <w:r/>
      <w:bookmarkStart w:id="114" w:name="_Toc107246232"/>
      <w:r/>
      <w:bookmarkStart w:id="115" w:name="_Toc103848541"/>
      <w:r/>
      <w:bookmarkStart w:id="116" w:name="_Toc100905218"/>
      <w:r/>
      <w:bookmarkStart w:id="117" w:name="_Toc96347873"/>
      <w:r>
        <w:rPr>
          <w:rFonts w:hint="eastAsia" w:ascii="宋体" w:hAnsi="宋体" w:cs="宋体"/>
          <w:b/>
          <w:bCs/>
          <w:color w:val="auto"/>
          <w:szCs w:val="21"/>
          <w:highlight w:val="none"/>
        </w:rPr>
        <w:t xml:space="preserve">17.招标文件的澄清或者修改</w:t>
      </w:r>
      <w:bookmarkEnd w:id="113"/>
      <w:r/>
      <w:bookmarkEnd w:id="114"/>
      <w:r/>
      <w:bookmarkEnd w:id="115"/>
      <w:r/>
      <w:bookmarkEnd w:id="116"/>
      <w:r/>
      <w:bookmarkEnd w:id="117"/>
      <w:r/>
      <w:r/>
    </w:p>
    <w:p>
      <w:pPr>
        <w:ind w:firstLine="630"/>
        <w:spacing w:line="360" w:lineRule="auto"/>
        <w:rPr>
          <w:rFonts w:hint="eastAsia" w:ascii="宋体" w:hAnsi="宋体" w:cs="宋体"/>
          <w:color w:val="auto"/>
          <w:szCs w:val="21"/>
          <w:highlight w:val="none"/>
        </w:rPr>
      </w:pPr>
      <w:r/>
      <w:bookmarkStart w:id="118" w:name="_Toc100905219"/>
      <w:r>
        <w:rPr>
          <w:rFonts w:hint="eastAsia" w:ascii="宋体" w:hAnsi="宋体" w:cs="宋体"/>
          <w:color w:val="auto"/>
          <w:szCs w:val="21"/>
          <w:highlight w:val="none"/>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17.3供应商应在提交投标文件截止时间前，关注原公告媒体有关本项目的更正公告，根据更正公告内容自行决定是否需要重新制作和提交投标文件，并承担由此产生的相应责任。</w:t>
      </w:r>
      <w:bookmarkEnd w:id="118"/>
      <w:r/>
      <w:r/>
    </w:p>
    <w:p>
      <w:pPr>
        <w:pStyle w:val="870"/>
        <w:ind w:left="210" w:right="210" w:firstLine="422"/>
        <w:spacing w:before="0" w:after="0" w:line="360" w:lineRule="auto"/>
        <w:rPr>
          <w:rFonts w:hint="eastAsia" w:ascii="宋体" w:hAnsi="宋体" w:cs="宋体"/>
          <w:color w:val="auto"/>
          <w:szCs w:val="21"/>
          <w:highlight w:val="none"/>
        </w:rPr>
      </w:pPr>
      <w:r/>
      <w:bookmarkStart w:id="119" w:name="_Toc91836558"/>
      <w:r/>
      <w:bookmarkStart w:id="120" w:name="_Toc104560856"/>
      <w:r/>
      <w:bookmarkStart w:id="121" w:name="_Toc107246233"/>
      <w:r/>
      <w:bookmarkStart w:id="122" w:name="_Toc80264708"/>
      <w:r>
        <w:rPr>
          <w:rFonts w:hint="eastAsia" w:ascii="宋体" w:hAnsi="宋体" w:cs="宋体"/>
          <w:b/>
          <w:bCs/>
          <w:color w:val="auto"/>
          <w:szCs w:val="21"/>
          <w:highlight w:val="none"/>
        </w:rPr>
        <w:t xml:space="preserve">三．投标文件</w:t>
      </w:r>
      <w:bookmarkEnd w:id="119"/>
      <w:r/>
      <w:bookmarkEnd w:id="120"/>
      <w:r/>
      <w:bookmarkEnd w:id="121"/>
      <w:r/>
      <w:r/>
    </w:p>
    <w:p>
      <w:pPr>
        <w:pStyle w:val="870"/>
        <w:ind w:left="210" w:right="210" w:firstLine="422"/>
        <w:spacing w:before="0" w:after="0" w:line="360" w:lineRule="auto"/>
        <w:rPr>
          <w:rFonts w:hint="eastAsia" w:ascii="宋体" w:hAnsi="宋体" w:cs="宋体"/>
          <w:color w:val="auto"/>
          <w:szCs w:val="21"/>
          <w:highlight w:val="none"/>
        </w:rPr>
      </w:pPr>
      <w:r/>
      <w:bookmarkStart w:id="123" w:name="_Toc104560857"/>
      <w:r/>
      <w:bookmarkStart w:id="124" w:name="_Toc103848543"/>
      <w:r/>
      <w:bookmarkStart w:id="125" w:name="_Toc107246234"/>
      <w:r/>
      <w:bookmarkStart w:id="126" w:name="_Toc96347875"/>
      <w:r/>
      <w:bookmarkStart w:id="127" w:name="_Toc100905221"/>
      <w:r>
        <w:rPr>
          <w:rFonts w:hint="eastAsia" w:ascii="宋体" w:hAnsi="宋体" w:cs="宋体"/>
          <w:b/>
          <w:bCs/>
          <w:color w:val="auto"/>
          <w:szCs w:val="21"/>
          <w:highlight w:val="none"/>
        </w:rPr>
        <w:t xml:space="preserve">18.投标文件的组成</w:t>
      </w:r>
      <w:bookmarkEnd w:id="123"/>
      <w:r/>
      <w:bookmarkEnd w:id="124"/>
      <w:r/>
      <w:bookmarkEnd w:id="125"/>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18.1投标文件由价格及商务部分、技术部分以及其他部分组成，格式见招标文件第六章《投标文件格式》。</w:t>
      </w:r>
      <w:r/>
    </w:p>
    <w:p>
      <w:pPr>
        <w:ind w:firstLine="63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18.2投标文件的价格及商务部分，包括但不限于下列文件：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（2）法定代表人（单位负责人）身份证明，格式见附件。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（3-1）法定代表人（单位负责人）授权委托书（适用于法人/非法人），格式见附件。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（3-2）授权委托书（适用于自然人），格式见附件。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（4）开标一览表，格式见附件。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（5）分项报价表，格式见附件。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（6）商务条款偏离表，格式见附件。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（7）供应商具备投标资格的证明文件（如为南京市政府采购项目，则供应商应按照公告要求提供）：</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（7-1-1）营业执照复印件或自然人的身份证明复印件（或具有同等法律效力的证照），格式见附件。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（a）供应商为企业（包括合伙企业）的，应提供有效的“营业执照”。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（b）供应商为事业单位的，应提供有效的“事业单位法人证书”。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（c）供应商是非企业机构的，应提供有效的“执业许可证”、“登记证书”等证明文件。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（d）供应商是个体工商户的，应提供有效的“个体工商户营业执照”。</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（e）供应商是自然人的，应提供有效的自然人身份证明。</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（f）若本项目允许分支机构参加投标，则分支机构参加投标的，此处可提供该分支机构或其所属法人或其他组织的相应证明文件。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（7-1-2）工商变更登记文件（如需），如发生了单位名称等变更的，需提供工商变更登记文件，格式见附件。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（7-2）财务报表，格式见附件。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（7-3）具有履行合同所必需的设备和专业技术能力的相关证明材料或承诺函，格式见附件。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（7-4）依法缴纳税收的相关材料，格式见附件。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（7-5）依法缴纳社会保障资金的相关材料，格式见附件。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（7-6）参加政府采购活动前三年内，在经营活动中没有重大违法记录，格式见附件。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（7-7）无不良信用记录承诺函（供应商自行查询适用），格式见附件。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（7-8）招标文件要求的其它实质性资格资信证明文件。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（8）《南京市政府采购供应商信用记录表暨信用承诺书》（如需）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（9）投标保证金（如需），格式见附件。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（10）联合体协议书（如需），格式见附件。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（11）分包意向协议（如需），格式见附件。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（12）公章授权书（如需），格式见附件。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（13）供应商参加远程异地开标仪式须知（如需），格式见附件。</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18.3</w:t>
      </w:r>
      <w:r>
        <w:rPr>
          <w:rFonts w:hint="eastAsia" w:ascii="宋体" w:hAnsi="宋体" w:cs="宋体"/>
          <w:b/>
          <w:color w:val="auto"/>
          <w:szCs w:val="21"/>
          <w:highlight w:val="none"/>
          <w:lang w:val="zh-CN"/>
        </w:rPr>
        <w:t xml:space="preserve">投标文件的技术部分，包括但不限于下列文件：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（1）技术方案或服务方案。</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（2）技术条款偏离表，格式见附件。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（3）供应商售后服务承诺（如需）。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（4）用于本项目人员简历表（如需）。</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（5）投标标的物符合招标文件规定的证明文件（如需）。</w:t>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18.4投标文件的其他部分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18.4.1投标文件的其他部分由供应商根据编制投标文件需要提供的其他相关文件组成。</w:t>
      </w:r>
      <w:r/>
    </w:p>
    <w:p>
      <w:pPr>
        <w:pStyle w:val="870"/>
        <w:ind w:left="210" w:right="210" w:firstLine="211"/>
        <w:spacing w:before="0" w:after="0" w:line="360" w:lineRule="auto"/>
        <w:rPr>
          <w:rFonts w:hint="eastAsia" w:ascii="宋体" w:hAnsi="宋体" w:cs="宋体"/>
          <w:color w:val="auto"/>
          <w:szCs w:val="21"/>
          <w:highlight w:val="none"/>
        </w:rPr>
      </w:pPr>
      <w:r/>
      <w:bookmarkStart w:id="128" w:name="_Toc107246235"/>
      <w:r/>
      <w:bookmarkStart w:id="129" w:name="_Toc104560858"/>
      <w:r>
        <w:rPr>
          <w:rFonts w:hint="eastAsia" w:ascii="宋体" w:hAnsi="宋体" w:cs="宋体"/>
          <w:b/>
          <w:bCs/>
          <w:color w:val="auto"/>
          <w:szCs w:val="21"/>
          <w:highlight w:val="none"/>
        </w:rPr>
        <w:t xml:space="preserve">19.投标文件编制的原则</w:t>
      </w:r>
      <w:bookmarkEnd w:id="128"/>
      <w:r/>
      <w:bookmarkEnd w:id="129"/>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19.1</w:t>
      </w:r>
      <w:r>
        <w:rPr>
          <w:rFonts w:hint="eastAsia" w:ascii="宋体" w:hAnsi="宋体" w:cs="宋体"/>
          <w:color w:val="auto"/>
          <w:szCs w:val="21"/>
          <w:highlight w:val="none"/>
        </w:rPr>
        <w:t xml:space="preserve">供应商应在认真阅读招标文件所有内容的基础上，按照招标文件的要求编制完整的投标文件。招标文件中对投标文件格式有要求的，供应商应按格式逐项填写内容。</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19.2</w:t>
      </w:r>
      <w:r>
        <w:rPr>
          <w:rFonts w:hint="eastAsia" w:ascii="宋体" w:hAnsi="宋体" w:cs="宋体"/>
          <w:color w:val="auto"/>
          <w:szCs w:val="21"/>
          <w:highlight w:val="none"/>
        </w:rPr>
        <w:t xml:space="preserve">供应商必须保证投标文件所提供的全部资料真实可靠。</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19.3</w:t>
      </w:r>
      <w:r>
        <w:rPr>
          <w:rFonts w:hint="eastAsia" w:ascii="宋体" w:hAnsi="宋体" w:cs="宋体"/>
          <w:color w:val="auto"/>
          <w:szCs w:val="21"/>
          <w:highlight w:val="none"/>
        </w:rPr>
        <w:t xml:space="preserve">投标文件须对招标文件中的内容做出实质性和完整的响应。</w:t>
      </w:r>
      <w:r/>
    </w:p>
    <w:p>
      <w:pPr>
        <w:pStyle w:val="870"/>
        <w:ind w:left="210" w:right="210" w:firstLine="211"/>
        <w:spacing w:before="0" w:after="0" w:line="360" w:lineRule="auto"/>
        <w:rPr>
          <w:rFonts w:hint="eastAsia" w:ascii="宋体" w:hAnsi="宋体" w:cs="宋体"/>
          <w:color w:val="auto"/>
          <w:szCs w:val="21"/>
          <w:highlight w:val="none"/>
        </w:rPr>
      </w:pPr>
      <w:r/>
      <w:bookmarkStart w:id="130" w:name="_Toc107246236"/>
      <w:r>
        <w:rPr>
          <w:rFonts w:hint="eastAsia" w:ascii="宋体" w:hAnsi="宋体" w:cs="宋体"/>
          <w:b/>
          <w:bCs/>
          <w:color w:val="auto"/>
          <w:szCs w:val="21"/>
          <w:highlight w:val="none"/>
        </w:rPr>
        <w:t xml:space="preserve">20.投标报价</w:t>
      </w:r>
      <w:bookmarkEnd w:id="130"/>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20.1</w:t>
      </w:r>
      <w:r>
        <w:rPr>
          <w:rFonts w:hint="eastAsia" w:ascii="宋体" w:hAnsi="宋体" w:cs="宋体"/>
          <w:color w:val="auto"/>
          <w:szCs w:val="21"/>
          <w:highlight w:val="none"/>
        </w:rPr>
        <w:t xml:space="preserve">所有投标均以人民币报价，应包括国家规定的增值税税金。</w:t>
      </w:r>
      <w:r/>
    </w:p>
    <w:p>
      <w:pPr>
        <w:ind w:firstLine="422"/>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20.2</w:t>
      </w:r>
      <w:r>
        <w:rPr>
          <w:rFonts w:hint="eastAsia" w:ascii="宋体" w:hAnsi="宋体" w:cs="宋体"/>
          <w:b/>
          <w:color w:val="auto"/>
          <w:szCs w:val="21"/>
          <w:highlight w:val="none"/>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auto"/>
          <w:szCs w:val="21"/>
          <w:highlight w:val="none"/>
        </w:rPr>
        <w:t xml:space="preserve">。</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20.3</w:t>
      </w:r>
      <w:r>
        <w:rPr>
          <w:rFonts w:hint="eastAsia" w:ascii="宋体" w:hAnsi="宋体" w:cs="宋体"/>
          <w:color w:val="auto"/>
          <w:szCs w:val="21"/>
          <w:highlight w:val="none"/>
        </w:rPr>
        <w:t xml:space="preserve">供应商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供应商的让利行为。供应商估算错误的风险一律由供应商自行承担。</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20.4供应商要按开标一览表、分项报价表的内容填写投标报价及其它事项。</w:t>
      </w:r>
      <w:r>
        <w:rPr>
          <w:rFonts w:hint="eastAsia" w:ascii="宋体" w:hAnsi="宋体" w:cs="宋体"/>
          <w:b/>
          <w:color w:val="auto"/>
          <w:szCs w:val="21"/>
          <w:highlight w:val="none"/>
        </w:rPr>
        <w:t xml:space="preserve">★开标一览表须加盖公章或电子公章。</w:t>
      </w:r>
      <w:r>
        <w:rPr>
          <w:rFonts w:hint="eastAsia" w:ascii="宋体" w:hAnsi="宋体" w:cs="宋体"/>
          <w:bCs/>
          <w:color w:val="auto"/>
          <w:szCs w:val="21"/>
          <w:highlight w:val="none"/>
        </w:rPr>
        <w:t xml:space="preserve">分项报价表的总价应和开标一览表的投标总价相一致，包括供应商为完成本项目所发生的一切费用相关的所有税费。如分项报价表的总价和开标一览表的投标总价不一致的，按照本须知规定的内容执行。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20.5</w:t>
      </w:r>
      <w:r>
        <w:rPr>
          <w:rFonts w:hint="eastAsia" w:ascii="宋体" w:hAnsi="宋体" w:cs="宋体"/>
          <w:color w:val="auto"/>
          <w:szCs w:val="21"/>
          <w:highlight w:val="none"/>
        </w:rPr>
        <w:t xml:space="preserve">投标报价的其他要求见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bookmarkEnd w:id="126"/>
      <w:r/>
      <w:bookmarkEnd w:id="127"/>
      <w:r/>
      <w:r/>
    </w:p>
    <w:p>
      <w:pPr>
        <w:pStyle w:val="870"/>
        <w:ind w:left="210" w:right="210" w:firstLine="211"/>
        <w:spacing w:before="0" w:after="0" w:line="360" w:lineRule="auto"/>
        <w:rPr>
          <w:rFonts w:hint="eastAsia" w:ascii="宋体" w:hAnsi="宋体" w:cs="宋体"/>
          <w:color w:val="auto"/>
          <w:szCs w:val="21"/>
          <w:highlight w:val="none"/>
        </w:rPr>
      </w:pPr>
      <w:r/>
      <w:bookmarkStart w:id="131" w:name="_Toc107246237"/>
      <w:r/>
      <w:bookmarkStart w:id="132" w:name="_Toc104560859"/>
      <w:r/>
      <w:bookmarkStart w:id="133" w:name="_Toc103848545"/>
      <w:r/>
      <w:bookmarkStart w:id="134" w:name="_Toc100905224"/>
      <w:r/>
      <w:bookmarkStart w:id="135" w:name="_Toc96347878"/>
      <w:r/>
      <w:bookmarkStart w:id="136" w:name="_Toc100905223"/>
      <w:r/>
      <w:bookmarkStart w:id="137" w:name="_Toc103848544"/>
      <w:r>
        <w:rPr>
          <w:rFonts w:hint="eastAsia" w:ascii="宋体" w:hAnsi="宋体" w:cs="宋体"/>
          <w:b/>
          <w:bCs/>
          <w:color w:val="auto"/>
          <w:szCs w:val="21"/>
          <w:highlight w:val="none"/>
        </w:rPr>
        <w:t xml:space="preserve">21.投标有效期</w:t>
      </w:r>
      <w:bookmarkEnd w:id="131"/>
      <w:r/>
      <w:bookmarkEnd w:id="132"/>
      <w:r/>
      <w:bookmarkEnd w:id="133"/>
      <w:r/>
      <w:bookmarkEnd w:id="134"/>
      <w:r/>
      <w:r/>
    </w:p>
    <w:p>
      <w:pPr>
        <w:ind w:firstLine="420"/>
        <w:spacing w:line="360" w:lineRule="auto"/>
        <w:rPr>
          <w:rFonts w:hint="eastAsia" w:ascii="宋体" w:hAnsi="宋体" w:cs="宋体"/>
          <w:b/>
          <w:bCs/>
          <w:color w:val="auto"/>
          <w:szCs w:val="21"/>
          <w:highlight w:val="none"/>
        </w:rPr>
      </w:pPr>
      <w:r>
        <w:rPr>
          <w:rFonts w:hint="eastAsia" w:ascii="宋体" w:hAnsi="宋体" w:cs="宋体"/>
          <w:bCs/>
          <w:color w:val="auto"/>
          <w:szCs w:val="21"/>
          <w:highlight w:val="none"/>
        </w:rPr>
        <w:t xml:space="preserve">21.1投标有效期见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，在此期间投标文件对供应商具有法律约束力，以保证采购人有足够的时间完成评标、定标以及签订合同。投标有效期从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规定的投标截止之日起计算。</w:t>
      </w: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投标有效期不足的，在评标时将其视为无效投标。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21.2特殊情况需延长投标有效期的，采购方可于投标有效期届满之前，要求供应商同意延长有效期，采购方的要求与供应商的答复均应为书面形式。供应商拒绝延长的，其投标在原投标有效期届满后将不再有效，但有权收回其投标保证金；供应商同意延长的，应相应延长其投标保证金的有效期，但不允许修改或撤回投标文件。</w:t>
      </w:r>
      <w:r/>
    </w:p>
    <w:p>
      <w:pPr>
        <w:pStyle w:val="870"/>
        <w:ind w:left="210" w:right="210" w:firstLine="211"/>
        <w:spacing w:before="0" w:after="0" w:line="360" w:lineRule="auto"/>
        <w:rPr>
          <w:rFonts w:hint="eastAsia" w:ascii="宋体" w:hAnsi="宋体" w:cs="宋体"/>
          <w:b/>
          <w:bCs/>
          <w:color w:val="auto"/>
          <w:szCs w:val="21"/>
          <w:highlight w:val="none"/>
        </w:rPr>
      </w:pPr>
      <w:r/>
      <w:bookmarkStart w:id="138" w:name="_Toc104560860"/>
      <w:r/>
      <w:bookmarkStart w:id="139" w:name="_Toc107246238"/>
      <w:r>
        <w:rPr>
          <w:rFonts w:hint="eastAsia" w:ascii="宋体" w:hAnsi="宋体" w:cs="宋体"/>
          <w:b/>
          <w:bCs/>
          <w:color w:val="auto"/>
          <w:szCs w:val="21"/>
          <w:highlight w:val="none"/>
        </w:rPr>
        <w:t xml:space="preserve">22.投标保证金</w:t>
      </w:r>
      <w:bookmarkEnd w:id="135"/>
      <w:r/>
      <w:bookmarkEnd w:id="136"/>
      <w:r/>
      <w:bookmarkEnd w:id="137"/>
      <w:r/>
      <w:bookmarkEnd w:id="138"/>
      <w:r/>
      <w:bookmarkEnd w:id="139"/>
      <w:r/>
      <w:r/>
    </w:p>
    <w:p>
      <w:pPr>
        <w:ind w:firstLine="420"/>
        <w:spacing w:line="360" w:lineRule="auto"/>
        <w:rPr>
          <w:rFonts w:hint="eastAsia" w:ascii="宋体" w:hAnsi="宋体" w:cs="宋体"/>
          <w:bCs/>
          <w:color w:val="auto"/>
          <w:szCs w:val="21"/>
          <w:highlight w:val="none"/>
        </w:rPr>
      </w:pPr>
      <w:r/>
      <w:bookmarkStart w:id="140" w:name="_Toc466452044"/>
      <w:r/>
      <w:bookmarkStart w:id="141" w:name="_Toc68159552"/>
      <w:r/>
      <w:bookmarkStart w:id="142" w:name="_Toc420487862"/>
      <w:r/>
      <w:bookmarkStart w:id="143" w:name="_Toc420657357"/>
      <w:r/>
      <w:bookmarkStart w:id="144" w:name="_Toc519241651"/>
      <w:r/>
      <w:bookmarkStart w:id="145" w:name="_Toc96347879"/>
      <w:r>
        <w:rPr>
          <w:rFonts w:hint="eastAsia" w:ascii="宋体" w:hAnsi="宋体" w:cs="宋体"/>
          <w:bCs/>
          <w:color w:val="auto"/>
          <w:szCs w:val="21"/>
          <w:highlight w:val="none"/>
        </w:rPr>
        <w:t xml:space="preserve">22.1本项目是否交纳投标保证金见</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22.2</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规定交纳投标保证金的，供应商应以支票、汇票、本票或金融机构、担保机构出具的保函等非现金形式，在</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规定的投标截止时间前，向采购方提交</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规定的投标保证金(数额采用四舍五入，计算至元)。投标保证金有效期应与</w:t>
      </w:r>
      <w:r>
        <w:rPr>
          <w:rFonts w:hint="eastAsia" w:ascii="宋体" w:hAnsi="宋体" w:cs="宋体"/>
          <w:b/>
          <w:bCs/>
          <w:color w:val="auto"/>
          <w:szCs w:val="21"/>
          <w:highlight w:val="none"/>
        </w:rPr>
        <w:t xml:space="preserve">供应商须知前附表</w:t>
      </w:r>
      <w:r>
        <w:rPr>
          <w:rFonts w:hint="eastAsia" w:ascii="宋体" w:hAnsi="宋体" w:cs="宋体"/>
          <w:bCs/>
          <w:color w:val="auto"/>
          <w:szCs w:val="21"/>
          <w:highlight w:val="none"/>
        </w:rPr>
        <w:t xml:space="preserve">规定的投标有效期一致。</w:t>
      </w:r>
      <w:r>
        <w:rPr>
          <w:rFonts w:hint="eastAsia" w:ascii="宋体" w:hAnsi="宋体" w:cs="宋体"/>
          <w:b/>
          <w:color w:val="auto"/>
          <w:szCs w:val="21"/>
          <w:highlight w:val="none"/>
        </w:rPr>
        <w:t xml:space="preserve">★供应商未按规定缴纳投标保证金的或</w:t>
      </w:r>
      <w:r>
        <w:rPr>
          <w:rFonts w:hint="eastAsia" w:ascii="宋体" w:hAnsi="宋体" w:cs="宋体"/>
          <w:b/>
          <w:bCs/>
          <w:color w:val="auto"/>
          <w:szCs w:val="21"/>
          <w:highlight w:val="none"/>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22.4未中标的供应商的投标保证金，将在中标通知书发出后5个工作日内退还，但因供应商自身原因导致无法及时退还的除外。</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22.5中标的供应商的投标保证金，将在政府采购合同签订后5个工作日内退还中标人。</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22.6供应商有以下情形之一的，投标保证金可以不予退还（本款仅适用于要求递交投标保证金的项目）：</w:t>
      </w:r>
      <w:bookmarkEnd w:id="140"/>
      <w:r/>
      <w:bookmarkEnd w:id="141"/>
      <w:r/>
      <w:bookmarkEnd w:id="142"/>
      <w:r/>
      <w:bookmarkEnd w:id="143"/>
      <w:r/>
      <w:bookmarkEnd w:id="144"/>
      <w:r/>
      <w:bookmarkEnd w:id="145"/>
      <w:r/>
      <w:r/>
    </w:p>
    <w:p>
      <w:pPr>
        <w:ind w:firstLine="420"/>
        <w:spacing w:line="360" w:lineRule="auto"/>
        <w:rPr>
          <w:rFonts w:hint="eastAsia" w:ascii="宋体" w:hAnsi="宋体" w:cs="宋体"/>
          <w:color w:val="auto"/>
          <w:szCs w:val="21"/>
          <w:highlight w:val="none"/>
        </w:rPr>
      </w:pPr>
      <w:r/>
      <w:bookmarkStart w:id="146" w:name="_Toc100905225"/>
      <w:r/>
      <w:bookmarkStart w:id="147" w:name="_Toc103848546"/>
      <w:r/>
      <w:bookmarkStart w:id="148" w:name="_Toc96347880"/>
      <w:r/>
      <w:bookmarkStart w:id="149" w:name="_Toc104560861"/>
      <w:r>
        <w:rPr>
          <w:rFonts w:hint="eastAsia" w:ascii="宋体" w:hAnsi="宋体" w:cs="宋体"/>
          <w:color w:val="auto"/>
          <w:szCs w:val="21"/>
          <w:highlight w:val="none"/>
        </w:rPr>
        <w:t xml:space="preserve">（1）供应商在招标文件规定的投标有效期内撤销其投标文件；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（2）供应商在投标文件中提供虚假材料的；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（3）供应商在本次采购活动中存在恶意串通行为的；</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（4）中标人未能按规定交纳采购代理服务费；</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（5）中标人在收到中标通知书后，无正当理由不与采购人订立合同，在签订合同时向采购人提出附加条件，或者不按照招标文件要求提交履约保证金（如有）；</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（6）招标文件规定的其他可以不予退还投标保证金的情形。</w:t>
      </w:r>
      <w:r/>
    </w:p>
    <w:p>
      <w:pPr>
        <w:pStyle w:val="870"/>
        <w:ind w:left="210" w:right="210" w:firstLine="420"/>
        <w:spacing w:before="0" w:after="0" w:line="360" w:lineRule="auto"/>
        <w:rPr>
          <w:rFonts w:hint="eastAsia" w:ascii="宋体" w:hAnsi="宋体" w:cs="宋体"/>
          <w:color w:val="auto"/>
          <w:szCs w:val="21"/>
          <w:highlight w:val="none"/>
        </w:rPr>
      </w:pPr>
      <w:r/>
      <w:bookmarkStart w:id="150" w:name="_Toc107246239"/>
      <w:r>
        <w:rPr>
          <w:rFonts w:hint="eastAsia" w:ascii="宋体" w:hAnsi="宋体" w:cs="宋体"/>
          <w:color w:val="auto"/>
          <w:szCs w:val="21"/>
          <w:highlight w:val="none"/>
        </w:rPr>
        <w:t xml:space="preserve">23.投标文件的制作和签署</w:t>
      </w:r>
      <w:bookmarkEnd w:id="146"/>
      <w:r/>
      <w:bookmarkEnd w:id="147"/>
      <w:r/>
      <w:bookmarkEnd w:id="148"/>
      <w:r/>
      <w:bookmarkEnd w:id="149"/>
      <w:r/>
      <w:bookmarkEnd w:id="150"/>
      <w:r/>
      <w:r/>
    </w:p>
    <w:p>
      <w:pPr>
        <w:ind w:firstLine="420"/>
        <w:spacing w:line="360" w:lineRule="auto"/>
        <w:rPr>
          <w:rFonts w:hint="eastAsia" w:ascii="宋体" w:hAnsi="宋体" w:cs="Microsoft New Tai Lue"/>
          <w:bCs/>
          <w:color w:val="auto"/>
          <w:szCs w:val="21"/>
          <w:highlight w:val="none"/>
        </w:rPr>
      </w:pPr>
      <w:r/>
      <w:bookmarkStart w:id="151" w:name="_Toc107246240"/>
      <w:r>
        <w:rPr>
          <w:rFonts w:ascii="宋体" w:hAnsi="宋体" w:cs="Microsoft New Tai Lue"/>
          <w:bCs/>
          <w:color w:val="auto"/>
          <w:szCs w:val="21"/>
          <w:highlight w:val="none"/>
        </w:rPr>
        <w:t xml:space="preserve">23.1</w:t>
      </w:r>
      <w:r>
        <w:rPr>
          <w:rFonts w:ascii="宋体" w:hAnsi="宋体" w:cs="Arial"/>
          <w:color w:val="auto"/>
          <w:szCs w:val="21"/>
          <w:highlight w:val="none"/>
        </w:rPr>
        <w:t xml:space="preserve">供应商应当按照《操作手册》规定，在招标公告规定的投标截止时间前制作并上传电子投标文件。</w:t>
      </w:r>
      <w:r>
        <w:rPr>
          <w:rFonts w:ascii="宋体" w:hAnsi="宋体" w:cs="Arial"/>
          <w:color w:val="auto"/>
          <w:szCs w:val="21"/>
          <w:highlight w:val="none"/>
          <w:lang w:val="zh-CN"/>
        </w:rPr>
        <w:t xml:space="preserve">招标代理机构拒绝接收提交</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文件截止时间后上传的任何电子</w:t>
      </w:r>
      <w:r>
        <w:rPr>
          <w:rFonts w:ascii="宋体" w:hAnsi="宋体" w:cs="Arial"/>
          <w:color w:val="auto"/>
          <w:szCs w:val="21"/>
          <w:highlight w:val="none"/>
        </w:rPr>
        <w:t xml:space="preserve">投标</w:t>
      </w:r>
      <w:r>
        <w:rPr>
          <w:rFonts w:ascii="宋体" w:hAnsi="宋体" w:cs="Arial"/>
          <w:color w:val="auto"/>
          <w:szCs w:val="21"/>
          <w:highlight w:val="none"/>
          <w:lang w:val="zh-CN"/>
        </w:rPr>
        <w:t xml:space="preserve">文件。</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23.2</w:t>
      </w:r>
      <w:r>
        <w:rPr>
          <w:rFonts w:ascii="宋体" w:hAnsi="宋体" w:cs="Segoe UI Symbol"/>
          <w:b/>
          <w:color w:val="auto"/>
          <w:szCs w:val="21"/>
          <w:highlight w:val="none"/>
        </w:rPr>
        <w:t xml:space="preserve">★</w:t>
      </w:r>
      <w:r>
        <w:rPr>
          <w:rFonts w:hint="eastAsia" w:ascii="宋体" w:hAnsi="宋体" w:cs="Microsoft New Tai Lue"/>
          <w:b/>
          <w:bCs/>
          <w:color w:val="auto"/>
          <w:szCs w:val="21"/>
          <w:highlight w:val="none"/>
        </w:rPr>
        <w:t xml:space="preserve">投标文件</w:t>
      </w:r>
      <w:r>
        <w:rPr>
          <w:rFonts w:ascii="宋体" w:hAnsi="宋体" w:cs="Microsoft New Tai Lue"/>
          <w:b/>
          <w:bCs/>
          <w:color w:val="auto"/>
          <w:szCs w:val="21"/>
          <w:highlight w:val="none"/>
        </w:rPr>
        <w:t xml:space="preserve">应加盖公章并由</w:t>
      </w:r>
      <w:r>
        <w:rPr>
          <w:rFonts w:hint="eastAsia" w:ascii="宋体" w:hAnsi="宋体" w:cs="Microsoft New Tai Lue"/>
          <w:b/>
          <w:bCs/>
          <w:color w:val="auto"/>
          <w:szCs w:val="21"/>
          <w:highlight w:val="none"/>
        </w:rPr>
        <w:t xml:space="preserve">供应商</w:t>
      </w:r>
      <w:r>
        <w:rPr>
          <w:rFonts w:ascii="宋体" w:hAnsi="宋体" w:cs="Microsoft New Tai Lue"/>
          <w:b/>
          <w:bCs/>
          <w:color w:val="auto"/>
          <w:szCs w:val="21"/>
          <w:highlight w:val="none"/>
        </w:rPr>
        <w:t xml:space="preserve">法定代表人</w:t>
      </w:r>
      <w:r>
        <w:rPr>
          <w:rFonts w:hint="eastAsia" w:ascii="宋体" w:hAnsi="宋体" w:cs="Microsoft New Tai Lue"/>
          <w:b/>
          <w:bCs/>
          <w:color w:val="auto"/>
          <w:szCs w:val="21"/>
          <w:highlight w:val="none"/>
        </w:rPr>
        <w:t xml:space="preserve">（单位</w:t>
      </w:r>
      <w:r>
        <w:rPr>
          <w:rFonts w:ascii="宋体" w:hAnsi="宋体" w:cs="Microsoft New Tai Lue"/>
          <w:b/>
          <w:bCs/>
          <w:color w:val="auto"/>
          <w:szCs w:val="21"/>
          <w:highlight w:val="none"/>
        </w:rPr>
        <w:t xml:space="preserve">负责人</w:t>
      </w:r>
      <w:r>
        <w:rPr>
          <w:rFonts w:hint="eastAsia" w:ascii="宋体" w:hAnsi="宋体" w:cs="Microsoft New Tai Lue"/>
          <w:b/>
          <w:bCs/>
          <w:color w:val="auto"/>
          <w:szCs w:val="21"/>
          <w:highlight w:val="none"/>
        </w:rPr>
        <w:t xml:space="preserve">）</w:t>
      </w:r>
      <w:r>
        <w:rPr>
          <w:rFonts w:ascii="宋体" w:hAnsi="宋体" w:cs="Microsoft New Tai Lue"/>
          <w:b/>
          <w:bCs/>
          <w:color w:val="auto"/>
          <w:szCs w:val="21"/>
          <w:highlight w:val="none"/>
        </w:rPr>
        <w:t xml:space="preserve">或其授权代表签字。授权代表须提供法定代表人以书面形式出具的</w:t>
      </w:r>
      <w:r>
        <w:rPr>
          <w:rFonts w:hint="eastAsia" w:ascii="宋体" w:hAnsi="宋体" w:cs="Microsoft New Tai Lue"/>
          <w:bCs/>
          <w:color w:val="auto"/>
          <w:szCs w:val="21"/>
          <w:highlight w:val="none"/>
        </w:rPr>
        <w:t xml:space="preserve">“</w:t>
      </w:r>
      <w:r>
        <w:rPr>
          <w:rFonts w:ascii="宋体" w:hAnsi="宋体" w:cs="Microsoft New Tai Lue"/>
          <w:b/>
          <w:bCs/>
          <w:color w:val="auto"/>
          <w:szCs w:val="21"/>
          <w:highlight w:val="none"/>
        </w:rPr>
        <w:t xml:space="preserve">法定代表人授权书”（原件，由</w:t>
      </w:r>
      <w:r>
        <w:rPr>
          <w:rFonts w:hint="eastAsia" w:ascii="宋体" w:hAnsi="宋体" w:cs="Microsoft New Tai Lue"/>
          <w:b/>
          <w:bCs/>
          <w:color w:val="auto"/>
          <w:szCs w:val="21"/>
          <w:highlight w:val="none"/>
        </w:rPr>
        <w:t xml:space="preserve">法定代表人</w:t>
      </w:r>
      <w:r>
        <w:rPr>
          <w:rFonts w:ascii="宋体" w:hAnsi="宋体" w:cs="Microsoft New Tai Lue"/>
          <w:b/>
          <w:bCs/>
          <w:color w:val="auto"/>
          <w:szCs w:val="21"/>
          <w:highlight w:val="none"/>
        </w:rPr>
        <w:t xml:space="preserve">签章并加盖企业公章。）授权其负责本项目投标。</w:t>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23.3投标文件规定盖章的地方，应盖单位公章</w:t>
      </w:r>
      <w:r>
        <w:rPr>
          <w:rFonts w:hint="eastAsia" w:ascii="宋体" w:hAnsi="宋体" w:cs="Microsoft New Tai Lue"/>
          <w:bCs/>
          <w:color w:val="auto"/>
          <w:szCs w:val="21"/>
          <w:highlight w:val="none"/>
        </w:rPr>
        <w:t xml:space="preserve">或电子公章</w:t>
      </w:r>
      <w:r>
        <w:rPr>
          <w:rFonts w:ascii="宋体" w:hAnsi="宋体" w:cs="Microsoft New Tai Lue"/>
          <w:bCs/>
          <w:color w:val="auto"/>
          <w:szCs w:val="21"/>
          <w:highlight w:val="none"/>
        </w:rPr>
        <w:t xml:space="preserve">（文件中的单位盖章、印章、公章等处均仅指与</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名称全称相一致的标准公章</w:t>
      </w:r>
      <w:r>
        <w:rPr>
          <w:rFonts w:hint="eastAsia" w:ascii="宋体" w:hAnsi="宋体" w:cs="Microsoft New Tai Lue"/>
          <w:bCs/>
          <w:color w:val="auto"/>
          <w:szCs w:val="21"/>
          <w:highlight w:val="none"/>
        </w:rPr>
        <w:t xml:space="preserve">，如供应商为自然人可不加盖公章，仅由本人签字）。</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w:t>
      </w:r>
      <w:r>
        <w:rPr>
          <w:rFonts w:ascii="宋体" w:hAnsi="宋体" w:cs="Microsoft New Tai Lue"/>
          <w:bCs/>
          <w:color w:val="auto"/>
          <w:szCs w:val="21"/>
          <w:highlight w:val="none"/>
        </w:rPr>
        <w:t xml:space="preserve">3.4</w:t>
      </w:r>
      <w:r>
        <w:rPr>
          <w:rFonts w:ascii="宋体" w:hAnsi="宋体" w:cs="Segoe UI Symbol"/>
          <w:b/>
          <w:color w:val="auto"/>
          <w:szCs w:val="21"/>
          <w:highlight w:val="none"/>
        </w:rPr>
        <w:t xml:space="preserve">★</w:t>
      </w:r>
      <w:r>
        <w:rPr>
          <w:rFonts w:ascii="宋体" w:hAnsi="宋体" w:cs="Microsoft New Tai Lue"/>
          <w:b/>
          <w:color w:val="auto"/>
          <w:szCs w:val="21"/>
          <w:highlight w:val="none"/>
        </w:rPr>
        <w:t xml:space="preserve">如投标过程中供应商使用其他形式的印章（</w:t>
      </w:r>
      <w:r>
        <w:rPr>
          <w:rFonts w:hint="eastAsia" w:ascii="宋体" w:hAnsi="宋体" w:cs="Microsoft New Tai Lue"/>
          <w:b/>
          <w:color w:val="auto"/>
          <w:szCs w:val="21"/>
          <w:highlight w:val="none"/>
        </w:rPr>
        <w:t xml:space="preserve">如</w:t>
      </w:r>
      <w:r>
        <w:rPr>
          <w:rFonts w:ascii="宋体" w:hAnsi="宋体" w:cs="Microsoft New Tai Lue"/>
          <w:b/>
          <w:color w:val="auto"/>
          <w:szCs w:val="21"/>
          <w:highlight w:val="none"/>
        </w:rPr>
        <w:t xml:space="preserve">带有“专用章”等字样的印章），须提供</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公章授权书</w:t>
      </w:r>
      <w:r>
        <w:rPr>
          <w:rFonts w:hint="eastAsia" w:ascii="宋体" w:hAnsi="宋体" w:cs="Microsoft New Tai Lue"/>
          <w:b/>
          <w:color w:val="auto"/>
          <w:szCs w:val="21"/>
          <w:highlight w:val="none"/>
        </w:rPr>
        <w:t xml:space="preserve">”</w:t>
      </w:r>
      <w:r>
        <w:rPr>
          <w:rFonts w:ascii="宋体" w:hAnsi="宋体"/>
          <w:b/>
          <w:color w:val="auto"/>
          <w:szCs w:val="21"/>
          <w:highlight w:val="none"/>
        </w:rPr>
        <w:t xml:space="preserve">（</w:t>
      </w:r>
      <w:r>
        <w:rPr>
          <w:rFonts w:hint="eastAsia" w:ascii="宋体" w:hAnsi="宋体"/>
          <w:b/>
          <w:color w:val="auto"/>
          <w:szCs w:val="21"/>
          <w:highlight w:val="none"/>
        </w:rPr>
        <w:t xml:space="preserve">格式</w:t>
      </w:r>
      <w:r>
        <w:rPr>
          <w:rFonts w:ascii="宋体" w:hAnsi="宋体"/>
          <w:b/>
          <w:color w:val="auto"/>
          <w:szCs w:val="21"/>
          <w:highlight w:val="none"/>
        </w:rPr>
        <w:t xml:space="preserve">见</w:t>
      </w:r>
      <w:r>
        <w:rPr>
          <w:rFonts w:hint="eastAsia" w:ascii="宋体" w:hAnsi="宋体"/>
          <w:b/>
          <w:color w:val="auto"/>
          <w:szCs w:val="21"/>
          <w:highlight w:val="none"/>
        </w:rPr>
        <w:t xml:space="preserve">后</w:t>
      </w:r>
      <w:r>
        <w:rPr>
          <w:rFonts w:ascii="宋体" w:hAnsi="宋体"/>
          <w:b/>
          <w:color w:val="auto"/>
          <w:szCs w:val="21"/>
          <w:highlight w:val="none"/>
        </w:rPr>
        <w:t xml:space="preserve">）</w:t>
      </w:r>
      <w:r>
        <w:rPr>
          <w:rFonts w:ascii="宋体" w:hAnsi="宋体" w:cs="Microsoft New Tai Lue"/>
          <w:b/>
          <w:color w:val="auto"/>
          <w:szCs w:val="21"/>
          <w:highlight w:val="none"/>
        </w:rPr>
        <w:t xml:space="preserve">，明确</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针对本次项目，</w:t>
      </w:r>
      <w:r>
        <w:rPr>
          <w:rFonts w:hint="eastAsia" w:ascii="宋体" w:hAnsi="宋体" w:cs="Microsoft New Tai Lue"/>
          <w:b/>
          <w:color w:val="auto"/>
          <w:szCs w:val="21"/>
          <w:highlight w:val="none"/>
        </w:rPr>
        <w:t xml:space="preserve">我单位</w:t>
      </w:r>
      <w:r>
        <w:rPr>
          <w:rFonts w:ascii="宋体" w:hAnsi="宋体" w:cs="Microsoft New Tai Lue"/>
          <w:b/>
          <w:color w:val="auto"/>
          <w:szCs w:val="21"/>
          <w:highlight w:val="none"/>
        </w:rPr>
        <w:t xml:space="preserve">专用章作为直接参与投标时相关文件的签章，其效力等同于公章</w:t>
      </w:r>
      <w:r>
        <w:rPr>
          <w:rFonts w:hint="eastAsia" w:ascii="宋体" w:hAnsi="宋体" w:cs="Microsoft New Tai Lue"/>
          <w:b/>
          <w:color w:val="auto"/>
          <w:szCs w:val="21"/>
          <w:highlight w:val="none"/>
        </w:rPr>
        <w:t xml:space="preserve">”</w:t>
      </w:r>
      <w:r>
        <w:rPr>
          <w:rFonts w:ascii="宋体" w:hAnsi="宋体" w:cs="Microsoft New Tai Lue"/>
          <w:b/>
          <w:color w:val="auto"/>
          <w:szCs w:val="21"/>
          <w:highlight w:val="none"/>
        </w:rPr>
        <w:t xml:space="preserve">，</w:t>
      </w:r>
      <w:r>
        <w:rPr>
          <w:rFonts w:hint="eastAsia" w:ascii="宋体" w:hAnsi="宋体" w:cs="Microsoft New Tai Lue"/>
          <w:b/>
          <w:color w:val="auto"/>
          <w:szCs w:val="21"/>
          <w:highlight w:val="none"/>
        </w:rPr>
        <w:t xml:space="preserve">“公章授权书”</w:t>
      </w:r>
      <w:r>
        <w:rPr>
          <w:rFonts w:ascii="宋体" w:hAnsi="宋体" w:cs="Microsoft New Tai Lue"/>
          <w:b/>
          <w:color w:val="auto"/>
          <w:szCs w:val="21"/>
          <w:highlight w:val="none"/>
        </w:rPr>
        <w:t xml:space="preserve">须同时加盖供应商公章及</w:t>
      </w:r>
      <w:r>
        <w:rPr>
          <w:rFonts w:hint="eastAsia" w:ascii="宋体" w:hAnsi="宋体" w:cs="Microsoft New Tai Lue"/>
          <w:b/>
          <w:color w:val="auto"/>
          <w:szCs w:val="21"/>
          <w:highlight w:val="none"/>
        </w:rPr>
        <w:t xml:space="preserve">本次投标使用的</w:t>
      </w:r>
      <w:r>
        <w:rPr>
          <w:rFonts w:ascii="宋体" w:hAnsi="宋体" w:cs="Microsoft New Tai Lue"/>
          <w:b/>
          <w:color w:val="auto"/>
          <w:szCs w:val="21"/>
          <w:highlight w:val="none"/>
        </w:rPr>
        <w:t xml:space="preserve">专用章</w:t>
      </w:r>
      <w:r>
        <w:rPr>
          <w:rFonts w:hint="eastAsia" w:ascii="宋体" w:hAnsi="宋体" w:cs="Microsoft New Tai Lue"/>
          <w:b/>
          <w:color w:val="auto"/>
          <w:szCs w:val="21"/>
          <w:highlight w:val="none"/>
        </w:rPr>
        <w:t xml:space="preserve">，否则不予认可</w:t>
      </w:r>
      <w:r>
        <w:rPr>
          <w:rFonts w:ascii="宋体" w:hAnsi="宋体" w:cs="Microsoft New Tai Lue"/>
          <w:b/>
          <w:color w:val="auto"/>
          <w:szCs w:val="21"/>
          <w:highlight w:val="none"/>
        </w:rPr>
        <w:t xml:space="preserve">。</w:t>
      </w:r>
      <w:r/>
    </w:p>
    <w:p>
      <w:pPr>
        <w:ind w:firstLine="420"/>
        <w:spacing w:line="360" w:lineRule="auto"/>
        <w:rPr>
          <w:rFonts w:hint="eastAsia" w:ascii="宋体" w:hAnsi="宋体"/>
          <w:color w:val="auto"/>
          <w:szCs w:val="21"/>
          <w:highlight w:val="none"/>
        </w:rPr>
      </w:pPr>
      <w:r>
        <w:rPr>
          <w:rFonts w:ascii="宋体" w:hAnsi="宋体" w:cs="Microsoft New Tai Lue"/>
          <w:bCs/>
          <w:color w:val="auto"/>
          <w:szCs w:val="21"/>
          <w:highlight w:val="none"/>
        </w:rPr>
        <w:t xml:space="preserve">23.5除</w:t>
      </w:r>
      <w:r>
        <w:rPr>
          <w:rFonts w:hint="eastAsia" w:ascii="宋体" w:hAnsi="宋体" w:cs="Microsoft New Tai Lue"/>
          <w:bCs/>
          <w:color w:val="auto"/>
          <w:szCs w:val="21"/>
          <w:highlight w:val="none"/>
        </w:rPr>
        <w:t xml:space="preserve">供应商</w:t>
      </w:r>
      <w:r>
        <w:rPr>
          <w:rFonts w:ascii="宋体" w:hAnsi="宋体" w:cs="Microsoft New Tai Lue"/>
          <w:bCs/>
          <w:color w:val="auto"/>
          <w:szCs w:val="21"/>
          <w:highlight w:val="none"/>
        </w:rPr>
        <w:t xml:space="preserve">对错处做必要修改外，投标文件不得行间插字、涂改或增删。如有修改错漏处，必须由法定代表人或其授权代表签字或盖章</w:t>
      </w:r>
      <w:r>
        <w:rPr>
          <w:rFonts w:hint="eastAsia" w:ascii="宋体" w:hAnsi="宋体" w:cs="Microsoft New Tai Lue"/>
          <w:bCs/>
          <w:color w:val="auto"/>
          <w:szCs w:val="21"/>
          <w:highlight w:val="none"/>
        </w:rPr>
        <w:t xml:space="preserve">方有效</w:t>
      </w:r>
      <w:r>
        <w:rPr>
          <w:rFonts w:ascii="宋体" w:hAnsi="宋体" w:cs="Microsoft New Tai Lue"/>
          <w:bCs/>
          <w:color w:val="auto"/>
          <w:szCs w:val="21"/>
          <w:highlight w:val="none"/>
        </w:rPr>
        <w:t xml:space="preserve">。</w:t>
      </w:r>
      <w:r/>
    </w:p>
    <w:p>
      <w:pPr>
        <w:pStyle w:val="870"/>
        <w:ind w:left="210" w:right="210" w:firstLine="211"/>
        <w:spacing w:before="0" w:after="0" w:line="360" w:lineRule="auto"/>
        <w:rPr>
          <w:rFonts w:hint="eastAsia" w:ascii="宋体" w:hAnsi="宋体" w:cs="宋体"/>
          <w:b/>
          <w:bCs/>
          <w:color w:val="auto"/>
          <w:szCs w:val="21"/>
          <w:highlight w:val="none"/>
        </w:rPr>
      </w:pPr>
      <w:r>
        <w:rPr>
          <w:rFonts w:hint="eastAsia" w:ascii="宋体" w:hAnsi="宋体" w:cs="宋体"/>
          <w:b/>
          <w:bCs/>
          <w:color w:val="auto"/>
          <w:szCs w:val="21"/>
          <w:highlight w:val="none"/>
        </w:rPr>
        <w:t xml:space="preserve">四．投标文件的递交</w:t>
      </w:r>
      <w:bookmarkEnd w:id="151"/>
      <w:r/>
      <w:r/>
    </w:p>
    <w:p>
      <w:pPr>
        <w:pStyle w:val="870"/>
        <w:ind w:left="210" w:right="210" w:firstLine="211"/>
        <w:spacing w:before="0" w:after="0" w:line="360" w:lineRule="auto"/>
        <w:rPr>
          <w:rFonts w:hint="eastAsia" w:ascii="宋体" w:hAnsi="宋体" w:cs="Microsoft New Tai Lue"/>
          <w:color w:val="auto"/>
          <w:szCs w:val="21"/>
          <w:highlight w:val="none"/>
        </w:rPr>
      </w:pPr>
      <w:r/>
      <w:bookmarkStart w:id="152" w:name="_Toc100905226"/>
      <w:r/>
      <w:bookmarkStart w:id="153" w:name="_Toc107246241"/>
      <w:r/>
      <w:bookmarkStart w:id="154" w:name="_Toc96347881"/>
      <w:r/>
      <w:bookmarkStart w:id="155" w:name="_Toc104560863"/>
      <w:r/>
      <w:bookmarkStart w:id="156" w:name="_Toc103848548"/>
      <w:r>
        <w:rPr>
          <w:rFonts w:hint="eastAsia" w:ascii="宋体" w:hAnsi="宋体" w:cs="宋体"/>
          <w:b/>
          <w:bCs/>
          <w:color w:val="auto"/>
          <w:szCs w:val="21"/>
          <w:highlight w:val="none"/>
        </w:rPr>
        <w:t xml:space="preserve">24.</w:t>
      </w:r>
      <w:bookmarkEnd w:id="152"/>
      <w:r/>
      <w:bookmarkEnd w:id="153"/>
      <w:r/>
      <w:bookmarkEnd w:id="154"/>
      <w:r/>
      <w:bookmarkEnd w:id="155"/>
      <w:r/>
      <w:bookmarkEnd w:id="156"/>
      <w:r>
        <w:rPr>
          <w:rFonts w:hint="eastAsia" w:ascii="宋体" w:hAnsi="宋体" w:cs="Microsoft New Tai Lue"/>
          <w:b/>
          <w:bCs/>
          <w:color w:val="auto"/>
          <w:szCs w:val="21"/>
          <w:highlight w:val="none"/>
        </w:rPr>
        <w:t xml:space="preserve">投标文件的递交</w:t>
      </w:r>
      <w:bookmarkStart w:id="157" w:name="_Toc11464"/>
      <w:r/>
      <w:bookmarkStart w:id="158" w:name="_Toc97561941"/>
      <w:r/>
      <w:bookmarkStart w:id="159" w:name="_Toc50528805"/>
      <w:r/>
      <w:bookmarkStart w:id="160" w:name="_Toc38931614"/>
      <w:r/>
      <w:bookmarkStart w:id="161" w:name="_Toc89586904"/>
      <w:r/>
      <w:bookmarkStart w:id="162" w:name="_Toc19963"/>
      <w:r/>
      <w:bookmarkStart w:id="163" w:name="_Toc96347882"/>
      <w:r/>
      <w:bookmarkStart w:id="164" w:name="_Toc46939510"/>
      <w:r/>
      <w:bookmarkStart w:id="165" w:name="_Toc38931800"/>
      <w:r/>
      <w:bookmarkStart w:id="166" w:name="_Toc40202948"/>
      <w:r/>
      <w:bookmarkStart w:id="167" w:name="_Toc38933357"/>
      <w:r/>
      <w:bookmarkStart w:id="168" w:name="_Toc48151397"/>
      <w:r/>
      <w:bookmarkStart w:id="169" w:name="_Toc91399404"/>
      <w:r/>
      <w:bookmarkStart w:id="170" w:name="_Toc100905227"/>
      <w:r/>
      <w:bookmarkStart w:id="171" w:name="_Toc46960670"/>
      <w:r/>
      <w:bookmarkStart w:id="172" w:name="_Toc469850063"/>
      <w:r/>
      <w:bookmarkStart w:id="173" w:name="_Toc5042"/>
      <w:r/>
      <w:bookmarkStart w:id="174" w:name="_Toc51928343"/>
      <w:r/>
      <w:bookmarkStart w:id="175" w:name="_Toc4536"/>
      <w:r/>
      <w:bookmarkStart w:id="176" w:name="_Toc103848549"/>
      <w:r/>
      <w:bookmarkStart w:id="177" w:name="_Toc11952"/>
      <w:r/>
      <w:bookmarkStart w:id="178" w:name="_Toc46219699"/>
      <w:r/>
      <w:r/>
    </w:p>
    <w:p>
      <w:pPr>
        <w:ind w:firstLine="420"/>
        <w:spacing w:line="360" w:lineRule="auto"/>
        <w:rPr>
          <w:rFonts w:hint="eastAsia" w:ascii="宋体" w:hAnsi="宋体" w:cs="Microsoft New Tai Lue"/>
          <w:bCs/>
          <w:color w:val="auto"/>
          <w:szCs w:val="21"/>
          <w:highlight w:val="none"/>
        </w:rPr>
      </w:pPr>
      <w:r>
        <w:rPr>
          <w:rFonts w:ascii="宋体" w:hAnsi="宋体" w:cs="Microsoft New Tai Lue"/>
          <w:bCs/>
          <w:color w:val="auto"/>
          <w:szCs w:val="21"/>
          <w:highlight w:val="none"/>
        </w:rPr>
        <w:t xml:space="preserve">供应商应当按照《操作手册》规定，在招标公告规定的投标截止时间前制作并上传电子投标文件。</w:t>
      </w:r>
      <w:r>
        <w:rPr>
          <w:rFonts w:ascii="宋体" w:hAnsi="宋体" w:cs="Microsoft New Tai Lue"/>
          <w:bCs/>
          <w:color w:val="auto"/>
          <w:szCs w:val="21"/>
          <w:highlight w:val="none"/>
          <w:lang w:val="zh-CN"/>
        </w:rPr>
        <w:t xml:space="preserve">招标代理机构拒绝接收提交</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文件截止时间后上传的任何电子</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w:t>
      </w:r>
      <w:r/>
    </w:p>
    <w:p>
      <w:pPr>
        <w:pStyle w:val="870"/>
        <w:ind w:left="210" w:right="210" w:firstLine="211"/>
        <w:spacing w:before="0" w:after="0" w:line="360" w:lineRule="auto"/>
        <w:rPr>
          <w:rFonts w:hint="eastAsia" w:ascii="宋体" w:hAnsi="宋体" w:cs="宋体"/>
          <w:color w:val="auto"/>
          <w:szCs w:val="21"/>
          <w:highlight w:val="none"/>
        </w:rPr>
      </w:pPr>
      <w:r/>
      <w:bookmarkStart w:id="179" w:name="_Toc107246242"/>
      <w:r/>
      <w:bookmarkStart w:id="180" w:name="_Toc104560864"/>
      <w:r>
        <w:rPr>
          <w:rFonts w:hint="eastAsia" w:ascii="宋体" w:hAnsi="宋体" w:cs="宋体"/>
          <w:b/>
          <w:bCs/>
          <w:color w:val="auto"/>
          <w:szCs w:val="21"/>
          <w:highlight w:val="none"/>
        </w:rPr>
        <w:t xml:space="preserve">25.</w:t>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Pr>
          <w:rFonts w:hint="eastAsia" w:ascii="宋体" w:hAnsi="宋体" w:cs="宋体"/>
          <w:b/>
          <w:bCs/>
          <w:color w:val="auto"/>
          <w:szCs w:val="21"/>
          <w:highlight w:val="none"/>
        </w:rPr>
        <w:t xml:space="preserve">投标文件解密</w:t>
      </w:r>
      <w:r/>
    </w:p>
    <w:p>
      <w:pPr>
        <w:ind w:firstLine="420"/>
        <w:spacing w:line="360" w:lineRule="auto"/>
        <w:rPr>
          <w:rFonts w:hint="eastAsia" w:ascii="宋体" w:hAnsi="宋体" w:cs="Microsoft New Tai Lue"/>
          <w:bCs/>
          <w:color w:val="auto"/>
          <w:szCs w:val="21"/>
          <w:highlight w:val="none"/>
          <w:lang w:val="zh-CN"/>
        </w:rPr>
      </w:pPr>
      <w:r/>
      <w:bookmarkStart w:id="181" w:name="_Toc96347883"/>
      <w:r>
        <w:rPr>
          <w:rFonts w:hint="eastAsia" w:ascii="宋体" w:hAnsi="宋体" w:cs="Microsoft New Tai Lue"/>
          <w:bCs/>
          <w:color w:val="auto"/>
          <w:szCs w:val="21"/>
          <w:highlight w:val="none"/>
        </w:rPr>
        <w:t xml:space="preserve">25.1</w:t>
      </w:r>
      <w:r>
        <w:rPr>
          <w:rFonts w:ascii="宋体" w:hAnsi="宋体" w:cs="Microsoft New Tai Lue"/>
          <w:bCs/>
          <w:color w:val="auto"/>
          <w:szCs w:val="21"/>
          <w:highlight w:val="none"/>
        </w:rPr>
        <w:t xml:space="preserve">供应商</w:t>
      </w:r>
      <w:r>
        <w:rPr>
          <w:rFonts w:ascii="宋体" w:hAnsi="宋体" w:cs="Microsoft New Tai Lue"/>
          <w:bCs/>
          <w:color w:val="auto"/>
          <w:szCs w:val="21"/>
          <w:highlight w:val="none"/>
          <w:lang w:val="zh-CN"/>
        </w:rPr>
        <w:t xml:space="preserve">应当按照《操作手册》规定，在“苏采云”系统规定的时间内对</w:t>
      </w:r>
      <w:r>
        <w:rPr>
          <w:rFonts w:ascii="宋体" w:hAnsi="宋体" w:cs="Microsoft New Tai Lue"/>
          <w:bCs/>
          <w:color w:val="auto"/>
          <w:szCs w:val="21"/>
          <w:highlight w:val="none"/>
        </w:rPr>
        <w:t xml:space="preserve">投标</w:t>
      </w:r>
      <w:r>
        <w:rPr>
          <w:rFonts w:ascii="宋体" w:hAnsi="宋体" w:cs="Microsoft New Tai Lue"/>
          <w:bCs/>
          <w:color w:val="auto"/>
          <w:szCs w:val="21"/>
          <w:highlight w:val="none"/>
          <w:lang w:val="zh-CN"/>
        </w:rPr>
        <w:t xml:space="preserve">文件进行解密。</w:t>
      </w:r>
      <w:r/>
    </w:p>
    <w:p>
      <w:pPr>
        <w:ind w:firstLine="420"/>
        <w:spacing w:line="360" w:lineRule="auto"/>
        <w:rPr>
          <w:rFonts w:hint="eastAsia" w:ascii="宋体" w:hAnsi="宋体" w:cs="Microsoft New Tai Lue"/>
          <w:bCs/>
          <w:color w:val="auto"/>
          <w:szCs w:val="21"/>
          <w:highlight w:val="none"/>
        </w:rPr>
      </w:pPr>
      <w:r>
        <w:rPr>
          <w:rFonts w:hint="eastAsia" w:ascii="宋体" w:hAnsi="宋体" w:cs="Microsoft New Tai Lue"/>
          <w:bCs/>
          <w:color w:val="auto"/>
          <w:szCs w:val="21"/>
          <w:highlight w:val="none"/>
        </w:rPr>
        <w:t xml:space="preserve">25.2</w:t>
      </w:r>
      <w:r>
        <w:rPr>
          <w:rFonts w:ascii="宋体" w:hAnsi="宋体" w:cs="Microsoft New Tai Lue"/>
          <w:bCs/>
          <w:color w:val="auto"/>
          <w:szCs w:val="21"/>
          <w:highlight w:val="none"/>
        </w:rPr>
        <w:t xml:space="preserve">供应商应充分考虑网络环境、网络带宽等因素可能对投标产生的影响，如因供应商自身原因造成的电子投标文件解密不成功的，</w:t>
      </w:r>
      <w:r>
        <w:rPr>
          <w:rFonts w:hint="eastAsia" w:ascii="宋体" w:hAnsi="宋体" w:cs="Microsoft New Tai Lue"/>
          <w:bCs/>
          <w:color w:val="auto"/>
          <w:szCs w:val="21"/>
          <w:highlight w:val="none"/>
        </w:rPr>
        <w:t xml:space="preserve">作</w:t>
      </w:r>
      <w:r>
        <w:rPr>
          <w:rFonts w:ascii="宋体" w:hAnsi="宋体" w:cs="Microsoft New Tai Lue"/>
          <w:bCs/>
          <w:color w:val="auto"/>
          <w:szCs w:val="21"/>
          <w:highlight w:val="none"/>
        </w:rPr>
        <w:t xml:space="preserve">无效投标处理。</w:t>
      </w:r>
      <w:r/>
    </w:p>
    <w:p>
      <w:pPr>
        <w:pStyle w:val="870"/>
        <w:ind w:left="210" w:right="210" w:firstLine="211"/>
        <w:spacing w:before="0" w:after="0" w:line="360" w:lineRule="auto"/>
        <w:rPr>
          <w:rFonts w:hint="eastAsia" w:ascii="宋体" w:hAnsi="宋体" w:cs="宋体"/>
          <w:color w:val="auto"/>
          <w:szCs w:val="21"/>
          <w:highlight w:val="none"/>
        </w:rPr>
      </w:pPr>
      <w:r/>
      <w:bookmarkStart w:id="182" w:name="_Toc103848550"/>
      <w:r/>
      <w:bookmarkStart w:id="183" w:name="_Toc107246243"/>
      <w:r/>
      <w:bookmarkStart w:id="184" w:name="_Toc100905228"/>
      <w:r/>
      <w:bookmarkStart w:id="185" w:name="_Toc104560865"/>
      <w:r>
        <w:rPr>
          <w:rFonts w:hint="eastAsia" w:ascii="宋体" w:hAnsi="宋体" w:cs="宋体"/>
          <w:b/>
          <w:bCs/>
          <w:color w:val="auto"/>
          <w:szCs w:val="21"/>
          <w:highlight w:val="none"/>
        </w:rPr>
        <w:t xml:space="preserve">26.投标文件的修改和撤回</w:t>
      </w:r>
      <w:bookmarkEnd w:id="122"/>
      <w:r/>
      <w:bookmarkEnd w:id="181"/>
      <w:r/>
      <w:bookmarkEnd w:id="182"/>
      <w:r/>
      <w:bookmarkEnd w:id="183"/>
      <w:r/>
      <w:bookmarkEnd w:id="184"/>
      <w:r/>
      <w:bookmarkEnd w:id="185"/>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26.1供应商在递交投标文件后，可以修改或撤回其投标文件，但这种修改和撤回，必须在规定的投标截止时间前，以书面形式通知采购方。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26.2供应商对投标文件的补充、修改的内容应当按照采购文件要求签署、盖章后，作为投标文件的组成部分。</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26.3 在投标截止时间之后，供应商不得对其投标文件作任何修改。</w:t>
      </w:r>
      <w:r/>
    </w:p>
    <w:p>
      <w:pPr>
        <w:ind w:firstLine="420"/>
        <w:spacing w:line="360" w:lineRule="auto"/>
        <w:rPr>
          <w:rFonts w:hint="eastAsia" w:ascii="宋体" w:hAnsi="宋体" w:cs="Microsoft New Tai Lue"/>
          <w:bCs/>
          <w:color w:val="auto"/>
          <w:szCs w:val="21"/>
          <w:highlight w:val="none"/>
          <w:lang w:val="zh-CN"/>
        </w:rPr>
      </w:pPr>
      <w:r>
        <w:rPr>
          <w:rFonts w:hint="eastAsia" w:ascii="宋体" w:hAnsi="宋体" w:cs="Microsoft New Tai Lue"/>
          <w:bCs/>
          <w:color w:val="auto"/>
          <w:szCs w:val="21"/>
          <w:highlight w:val="none"/>
          <w:lang w:val="zh-CN"/>
        </w:rPr>
        <w:t xml:space="preserve">26.4 在投标截止时间至采购文件中规定的投标有效期满之间的这段时间内，供应商不得撤回其投标。</w:t>
      </w:r>
      <w:r/>
    </w:p>
    <w:p>
      <w:pPr>
        <w:pStyle w:val="870"/>
        <w:ind w:left="0" w:right="210" w:firstLine="422"/>
        <w:spacing w:before="0" w:after="0" w:line="360" w:lineRule="auto"/>
        <w:rPr>
          <w:rFonts w:hint="eastAsia" w:ascii="宋体" w:hAnsi="宋体" w:cs="宋体"/>
          <w:color w:val="auto"/>
          <w:szCs w:val="21"/>
          <w:highlight w:val="none"/>
        </w:rPr>
      </w:pPr>
      <w:r/>
      <w:bookmarkStart w:id="186" w:name="_Toc104560866"/>
      <w:r/>
      <w:bookmarkStart w:id="187" w:name="_Toc107246244"/>
      <w:r/>
      <w:bookmarkStart w:id="188" w:name="_Toc103848551"/>
      <w:r>
        <w:rPr>
          <w:rFonts w:hint="eastAsia" w:ascii="宋体" w:hAnsi="宋体" w:cs="宋体"/>
          <w:b/>
          <w:bCs/>
          <w:color w:val="auto"/>
          <w:szCs w:val="21"/>
          <w:highlight w:val="none"/>
        </w:rPr>
        <w:t xml:space="preserve">27.诚实信用</w:t>
      </w:r>
      <w:bookmarkEnd w:id="186"/>
      <w:r/>
      <w:bookmarkEnd w:id="187"/>
      <w:r/>
      <w:bookmarkEnd w:id="188"/>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27.1供应商应当遵循公平竞争的原则，不得恶意串通，不得妨碍其他供应商的竞争行为，不得损害采购人或者其他供应商的合法权益。</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27.2在评标过程中发现供应商有上述情形的，评标委员会应当认定其投标无效，并书面报告本级财政部门。</w:t>
      </w:r>
      <w:r/>
    </w:p>
    <w:p>
      <w:pPr>
        <w:pStyle w:val="870"/>
        <w:ind w:left="210" w:right="210" w:firstLine="211"/>
        <w:spacing w:before="0" w:after="0" w:line="360" w:lineRule="auto"/>
        <w:rPr>
          <w:rFonts w:hint="eastAsia" w:ascii="宋体" w:hAnsi="宋体" w:cs="宋体"/>
          <w:color w:val="auto"/>
          <w:szCs w:val="21"/>
          <w:highlight w:val="none"/>
        </w:rPr>
      </w:pPr>
      <w:r/>
      <w:bookmarkStart w:id="189" w:name="_Toc107246245"/>
      <w:r>
        <w:rPr>
          <w:rFonts w:hint="eastAsia" w:ascii="宋体" w:hAnsi="宋体" w:cs="宋体"/>
          <w:b/>
          <w:bCs/>
          <w:color w:val="auto"/>
          <w:szCs w:val="21"/>
          <w:highlight w:val="none"/>
        </w:rPr>
        <w:t xml:space="preserve">五．开标和评标</w:t>
      </w:r>
      <w:bookmarkEnd w:id="189"/>
      <w:r/>
      <w:bookmarkStart w:id="190" w:name="_Toc96347885"/>
      <w:r/>
      <w:r/>
    </w:p>
    <w:p>
      <w:pPr>
        <w:pStyle w:val="870"/>
        <w:ind w:left="210" w:right="210" w:firstLine="211"/>
        <w:spacing w:before="0" w:after="0" w:line="360" w:lineRule="auto"/>
        <w:rPr>
          <w:rFonts w:hint="eastAsia" w:ascii="宋体" w:hAnsi="宋体" w:cs="宋体"/>
          <w:color w:val="auto"/>
          <w:szCs w:val="21"/>
          <w:highlight w:val="none"/>
        </w:rPr>
      </w:pPr>
      <w:r/>
      <w:bookmarkStart w:id="191" w:name="_Toc107246246"/>
      <w:r/>
      <w:bookmarkStart w:id="192" w:name="_Toc104560868"/>
      <w:r/>
      <w:bookmarkStart w:id="193" w:name="_Toc103848553"/>
      <w:r/>
      <w:bookmarkStart w:id="194" w:name="_Toc100905230"/>
      <w:r>
        <w:rPr>
          <w:rFonts w:hint="eastAsia" w:ascii="宋体" w:hAnsi="宋体" w:cs="宋体"/>
          <w:b/>
          <w:bCs/>
          <w:color w:val="auto"/>
          <w:szCs w:val="21"/>
          <w:highlight w:val="none"/>
        </w:rPr>
        <w:t xml:space="preserve">28.开标</w:t>
      </w:r>
      <w:bookmarkEnd w:id="190"/>
      <w:r/>
      <w:bookmarkEnd w:id="191"/>
      <w:r/>
      <w:bookmarkEnd w:id="192"/>
      <w:r/>
      <w:bookmarkEnd w:id="193"/>
      <w:r/>
      <w:bookmarkEnd w:id="194"/>
      <w:r/>
      <w:r/>
    </w:p>
    <w:p>
      <w:pPr>
        <w:ind w:firstLine="420"/>
        <w:spacing w:line="360" w:lineRule="auto"/>
        <w:rPr>
          <w:rFonts w:hint="eastAsia" w:ascii="宋体" w:hAnsi="宋体" w:cs="宋体"/>
          <w:bCs/>
          <w:color w:val="auto"/>
          <w:szCs w:val="21"/>
          <w:highlight w:val="none"/>
        </w:rPr>
      </w:pPr>
      <w:r/>
      <w:bookmarkStart w:id="195" w:name="_Toc107246247"/>
      <w:r/>
      <w:bookmarkStart w:id="196" w:name="_Toc100905231"/>
      <w:r>
        <w:rPr>
          <w:rFonts w:hint="eastAsia" w:ascii="宋体" w:hAnsi="宋体" w:cs="宋体"/>
          <w:bCs/>
          <w:color w:val="auto"/>
          <w:szCs w:val="21"/>
          <w:highlight w:val="none"/>
        </w:rPr>
        <w:t xml:space="preserve">28.1代理机构在招标公告中规定的时间和地点组织公开开标。供应商按照《操作手册》规定参加开标活动，并在“苏采云”系统规定的时间内对投标文件进行解密。“苏采云”系统公布各供应商名称和投标价格。</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28.2 供应商在开标过程中涉及到的投标文件解密、开标结果确认等工作，应按照《操作手册》规定执行。</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28.3供应商不足3家的，不得开标。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28.4供应商如果对开标过程和开标结果有疑义，应当根据《操作手册》规定提出，“苏采云”系统中《开标记录表》公布后5分钟内未提出的，视同认可开标结果。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28.5公开招标数额标准以上的采购项目，投标截止后供应商不足3家或者通过资格审查或符合性审查的供应商不足3家的，除采购任务取消情形外，按照以下方式处理：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28.6供应商未参加开标的，视同认可开标结果。</w:t>
      </w:r>
      <w:r/>
    </w:p>
    <w:p>
      <w:pPr>
        <w:pStyle w:val="870"/>
        <w:ind w:left="210" w:right="210" w:firstLine="211"/>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29.资格性审查</w:t>
      </w:r>
      <w:bookmarkEnd w:id="195"/>
      <w:r/>
      <w:r/>
    </w:p>
    <w:p>
      <w:pPr>
        <w:ind w:firstLine="420"/>
        <w:spacing w:line="360" w:lineRule="auto"/>
        <w:rPr>
          <w:rFonts w:hint="eastAsia" w:ascii="宋体" w:hAnsi="宋体" w:cs="宋体"/>
          <w:bCs/>
          <w:color w:val="auto"/>
          <w:szCs w:val="21"/>
          <w:highlight w:val="none"/>
        </w:rPr>
      </w:pPr>
      <w:r/>
      <w:bookmarkStart w:id="197" w:name="_Toc104560869"/>
      <w:r/>
      <w:bookmarkStart w:id="198" w:name="_Toc103848554"/>
      <w:r>
        <w:rPr>
          <w:rFonts w:hint="eastAsia" w:ascii="宋体" w:hAnsi="宋体" w:cs="宋体"/>
          <w:bCs/>
          <w:color w:val="auto"/>
          <w:szCs w:val="21"/>
          <w:highlight w:val="none"/>
        </w:rPr>
        <w:t xml:space="preserve">29.1投标文件的资格性检查。公开招标采购项目开标结束后，采购人或采购代理机构应依法对供应商的资格进行审查。资格审查合格的供应商不足3家的，不进行评标。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29.2</w:t>
      </w:r>
      <w:r>
        <w:rPr>
          <w:rFonts w:hint="eastAsia" w:ascii="宋体" w:hAnsi="宋体" w:cs="宋体"/>
          <w:b/>
          <w:color w:val="auto"/>
          <w:szCs w:val="21"/>
          <w:highlight w:val="none"/>
        </w:rPr>
        <w:t xml:space="preserve">供应商不具备招标文件规定的供应商资格条件的</w:t>
      </w:r>
      <w:r>
        <w:rPr>
          <w:rFonts w:hint="eastAsia" w:ascii="宋体" w:hAnsi="宋体" w:cs="宋体"/>
          <w:b/>
          <w:bCs/>
          <w:color w:val="auto"/>
          <w:szCs w:val="21"/>
          <w:highlight w:val="none"/>
        </w:rPr>
        <w:t xml:space="preserve">，应在资格审查时按照无效投标处理。</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29.3已经进行资格预审的，可以不再对供应商资格进行审查，资格预审合格的供应商在评标阶段资格发生变化的，应当通知采购方。</w:t>
      </w:r>
      <w:r/>
    </w:p>
    <w:p>
      <w:pPr>
        <w:pStyle w:val="870"/>
        <w:ind w:left="210" w:right="210" w:firstLine="422"/>
        <w:spacing w:before="0" w:after="0" w:line="360" w:lineRule="auto"/>
        <w:rPr>
          <w:rFonts w:hint="eastAsia" w:ascii="宋体" w:hAnsi="宋体" w:cs="宋体"/>
          <w:color w:val="auto"/>
          <w:szCs w:val="21"/>
          <w:highlight w:val="none"/>
        </w:rPr>
      </w:pPr>
      <w:r/>
      <w:bookmarkStart w:id="199" w:name="_Toc107246248"/>
      <w:r>
        <w:rPr>
          <w:rFonts w:hint="eastAsia" w:ascii="宋体" w:hAnsi="宋体" w:cs="宋体"/>
          <w:b/>
          <w:bCs/>
          <w:color w:val="auto"/>
          <w:szCs w:val="21"/>
          <w:highlight w:val="none"/>
        </w:rPr>
        <w:t xml:space="preserve">30.评标</w:t>
      </w:r>
      <w:bookmarkEnd w:id="197"/>
      <w:r/>
      <w:bookmarkEnd w:id="198"/>
      <w:r/>
      <w:bookmarkEnd w:id="199"/>
      <w:r/>
      <w:r/>
    </w:p>
    <w:p>
      <w:pPr>
        <w:pStyle w:val="870"/>
        <w:ind w:left="210" w:right="210" w:firstLine="422"/>
        <w:spacing w:before="0" w:after="0" w:line="360" w:lineRule="auto"/>
        <w:rPr>
          <w:rFonts w:hint="eastAsia" w:ascii="宋体" w:hAnsi="宋体" w:cs="宋体"/>
          <w:color w:val="auto"/>
          <w:szCs w:val="21"/>
          <w:highlight w:val="none"/>
        </w:rPr>
      </w:pPr>
      <w:r/>
      <w:bookmarkStart w:id="200" w:name="_Toc103848555"/>
      <w:r/>
      <w:bookmarkStart w:id="201" w:name="_Toc107246249"/>
      <w:r/>
      <w:bookmarkStart w:id="202" w:name="_Toc104560870"/>
      <w:r>
        <w:rPr>
          <w:rFonts w:hint="eastAsia" w:ascii="宋体" w:hAnsi="宋体" w:cs="宋体"/>
          <w:b/>
          <w:bCs/>
          <w:color w:val="auto"/>
          <w:szCs w:val="21"/>
          <w:highlight w:val="none"/>
        </w:rPr>
        <w:t xml:space="preserve">30.1评标委员会</w:t>
      </w:r>
      <w:bookmarkEnd w:id="200"/>
      <w:r/>
      <w:bookmarkEnd w:id="201"/>
      <w:r/>
      <w:bookmarkEnd w:id="202"/>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30.1.1评标委员会成员组成见</w:t>
      </w:r>
      <w:r>
        <w:rPr>
          <w:rFonts w:hint="eastAsia" w:ascii="宋体" w:hAnsi="宋体" w:cs="宋体"/>
          <w:b/>
          <w:color w:val="auto"/>
          <w:szCs w:val="21"/>
          <w:highlight w:val="none"/>
        </w:rPr>
        <w:t xml:space="preserve">供应商须知前附表</w:t>
      </w:r>
      <w:r>
        <w:rPr>
          <w:rFonts w:hint="eastAsia" w:ascii="宋体" w:hAnsi="宋体" w:cs="宋体"/>
          <w:bCs/>
          <w:color w:val="auto"/>
          <w:szCs w:val="21"/>
          <w:highlight w:val="none"/>
        </w:rPr>
        <w:t xml:space="preserve">，负责具体评标事务，并独立履行职责。</w:t>
      </w:r>
      <w:r/>
    </w:p>
    <w:p>
      <w:pPr>
        <w:pStyle w:val="870"/>
        <w:ind w:left="210" w:right="210" w:firstLine="422"/>
        <w:spacing w:before="0" w:after="0" w:line="360" w:lineRule="auto"/>
        <w:rPr>
          <w:rFonts w:hint="eastAsia" w:ascii="宋体" w:hAnsi="宋体" w:cs="宋体"/>
          <w:color w:val="auto"/>
          <w:szCs w:val="21"/>
          <w:highlight w:val="none"/>
        </w:rPr>
      </w:pPr>
      <w:r/>
      <w:bookmarkStart w:id="203" w:name="_Toc103848556"/>
      <w:r/>
      <w:bookmarkStart w:id="204" w:name="_Toc104560871"/>
      <w:r/>
      <w:bookmarkStart w:id="205" w:name="_Toc107246250"/>
      <w:r>
        <w:rPr>
          <w:rFonts w:hint="eastAsia" w:ascii="宋体" w:hAnsi="宋体" w:cs="宋体"/>
          <w:b/>
          <w:bCs/>
          <w:color w:val="auto"/>
          <w:szCs w:val="21"/>
          <w:highlight w:val="none"/>
        </w:rPr>
        <w:t xml:space="preserve">30.2</w:t>
      </w:r>
      <w:bookmarkEnd w:id="203"/>
      <w:r/>
      <w:bookmarkEnd w:id="204"/>
      <w:r>
        <w:rPr>
          <w:rFonts w:hint="eastAsia" w:ascii="宋体" w:hAnsi="宋体" w:cs="宋体"/>
          <w:b/>
          <w:bCs/>
          <w:color w:val="auto"/>
          <w:szCs w:val="21"/>
          <w:highlight w:val="none"/>
        </w:rPr>
        <w:t xml:space="preserve">符合性审查</w:t>
      </w:r>
      <w:bookmarkEnd w:id="205"/>
      <w:r/>
      <w:r/>
    </w:p>
    <w:p>
      <w:pPr>
        <w:ind w:firstLine="63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30.2.1投标文件的符合性审查。评标委员会对通过资格性检查的供应商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30.2.2如果投标文件没有响应招标文件实质性要求，评标委员会将予以拒绝，供应商不得通过修改或撤销不合要求的偏离或保留而使其投标成为实质性响应的投标。</w:t>
      </w:r>
      <w:r/>
    </w:p>
    <w:p>
      <w:pPr>
        <w:ind w:firstLine="422"/>
        <w:spacing w:line="360" w:lineRule="auto"/>
        <w:rPr>
          <w:rFonts w:hint="eastAsia" w:ascii="宋体" w:hAnsi="宋体" w:cs="宋体"/>
          <w:b/>
          <w:bCs/>
          <w:color w:val="auto"/>
          <w:szCs w:val="21"/>
          <w:highlight w:val="none"/>
        </w:rPr>
      </w:pPr>
      <w:r>
        <w:rPr>
          <w:rFonts w:hint="eastAsia" w:ascii="宋体" w:hAnsi="宋体" w:cs="宋体"/>
          <w:b/>
          <w:color w:val="auto"/>
          <w:szCs w:val="21"/>
          <w:highlight w:val="none"/>
        </w:rPr>
        <w:t xml:space="preserve">★</w:t>
      </w:r>
      <w:r>
        <w:rPr>
          <w:rFonts w:hint="eastAsia" w:ascii="宋体" w:hAnsi="宋体" w:cs="宋体"/>
          <w:b/>
          <w:bCs/>
          <w:color w:val="auto"/>
          <w:szCs w:val="21"/>
          <w:highlight w:val="none"/>
        </w:rPr>
        <w:t xml:space="preserve">30.2.3投标文件有下列情况之一的，在符合性检查时按照无效投标处理：</w:t>
      </w:r>
      <w:bookmarkEnd w:id="196"/>
      <w:r/>
      <w:r/>
    </w:p>
    <w:p>
      <w:pPr>
        <w:ind w:firstLine="420"/>
        <w:spacing w:line="360" w:lineRule="auto"/>
        <w:rPr>
          <w:rFonts w:hint="eastAsia" w:ascii="宋体" w:hAnsi="宋体" w:cs="宋体"/>
          <w:bCs/>
          <w:color w:val="auto"/>
          <w:szCs w:val="21"/>
          <w:highlight w:val="none"/>
        </w:rPr>
      </w:pPr>
      <w:r/>
      <w:bookmarkStart w:id="206" w:name="_Toc104560872"/>
      <w:r/>
      <w:bookmarkStart w:id="207" w:name="_Toc103848557"/>
      <w:r/>
      <w:bookmarkStart w:id="208" w:name="_Toc107246251"/>
      <w:r>
        <w:rPr>
          <w:rFonts w:hint="eastAsia" w:ascii="宋体" w:hAnsi="宋体" w:cs="宋体"/>
          <w:bCs/>
          <w:color w:val="auto"/>
          <w:szCs w:val="21"/>
          <w:highlight w:val="none"/>
        </w:rPr>
        <w:t xml:space="preserve">（1）供应商在“苏采云”系统规定的时间内未成功解密电子投标文件的；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（2）供应商未按照招标文件要求上传电子投标文件的；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（3）同一供应商提交两个（含两个）以上不同的投标报价的；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（4）投标文件未按照招标文件要求签署或盖章的；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（5）不具备招标文件中规定的资格要求的；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（6）报价超过招标文件中规定的预算金额或者最高限价的；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（7）投标文件含有采购人不能接受的附加条件的；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（8）投标文件内容不全或不符合招标文件中规定的其他实质性要求的；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（9）现行法律、法规、规章和招标文件规定的其他无效情形。</w:t>
      </w:r>
      <w:r/>
    </w:p>
    <w:p>
      <w:pPr>
        <w:pStyle w:val="870"/>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30.3投标文件澄清</w:t>
      </w:r>
      <w:bookmarkEnd w:id="206"/>
      <w:r/>
      <w:bookmarkEnd w:id="207"/>
      <w:r/>
      <w:bookmarkEnd w:id="20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30.3.1对于投标文件中含义不明确、同类问题表述不一致或者有明显文字和计算错误的内容，评标委员会应当以书面形式要求供应商作出必要的澄清、说明或者补正。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30.3.2供应商的澄清、说明或者补正应当采用书面形式，并加盖公章，或者由法定代表人或其授权的代表签字。供应商的澄清、说明或者补正不得超出投标文件的范围或者改变投标文件的实质性内容。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30.3.3评标委员会不接受供应商主动提出的澄清、说明。</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30.3.4有效的书面澄清材料，是投标文件的补充材料，成为投标文件的组成部分。</w:t>
      </w:r>
      <w:r/>
    </w:p>
    <w:p>
      <w:pPr>
        <w:pStyle w:val="870"/>
        <w:ind w:left="210" w:right="210" w:firstLine="422"/>
        <w:spacing w:before="0" w:after="0" w:line="360" w:lineRule="auto"/>
        <w:rPr>
          <w:rFonts w:hint="eastAsia" w:ascii="宋体" w:hAnsi="宋体" w:cs="宋体"/>
          <w:color w:val="auto"/>
          <w:szCs w:val="21"/>
          <w:highlight w:val="none"/>
        </w:rPr>
      </w:pPr>
      <w:r/>
      <w:bookmarkStart w:id="209" w:name="_Toc107246252"/>
      <w:r>
        <w:rPr>
          <w:rFonts w:hint="eastAsia" w:ascii="宋体" w:hAnsi="宋体" w:cs="宋体"/>
          <w:b/>
          <w:bCs/>
          <w:color w:val="auto"/>
          <w:szCs w:val="21"/>
          <w:highlight w:val="none"/>
        </w:rPr>
        <w:t xml:space="preserve">30.4</w:t>
      </w:r>
      <w:bookmarkEnd w:id="209"/>
      <w:r>
        <w:rPr>
          <w:rFonts w:hint="eastAsia" w:ascii="宋体" w:hAnsi="宋体" w:cs="宋体"/>
          <w:b/>
          <w:bCs/>
          <w:color w:val="auto"/>
          <w:szCs w:val="21"/>
          <w:highlight w:val="none"/>
        </w:rPr>
        <w:t xml:space="preserve">报价修正</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30.4.1投标文件报价出现前后不一致的，除招标文件另有规定外，按照下列规定修正：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（1）投标文件中开标一览表（报价表）内容与投标文件中相应内容不一致的，以开标一览表（报价表）为准；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（2）大写金额和小写金额不一致的，以大写金额为准；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（3）单价金额小数点或者百分比有明显错位的，以开标一览表的总价为准，并修改单价；</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（4）总价金额与按单价汇总金额不一致的，以单价金额计算结果为准。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同时出现两种以上不一致的，按照前款规定的顺序修正。修正后的报价按照上述规定经供应商确认后产生约束力，供应商不确认的，其投标无效。</w:t>
      </w:r>
      <w:r/>
    </w:p>
    <w:p>
      <w:pPr>
        <w:pStyle w:val="870"/>
        <w:ind w:left="210" w:right="210" w:firstLine="422"/>
        <w:spacing w:before="0" w:after="0" w:line="360" w:lineRule="auto"/>
        <w:rPr>
          <w:rFonts w:hint="eastAsia" w:ascii="宋体" w:hAnsi="宋体" w:cs="宋体"/>
          <w:color w:val="auto"/>
          <w:szCs w:val="21"/>
          <w:highlight w:val="none"/>
        </w:rPr>
      </w:pPr>
      <w:r/>
      <w:bookmarkStart w:id="210" w:name="_Toc107246253"/>
      <w:r/>
      <w:bookmarkStart w:id="211" w:name="_Toc103848558"/>
      <w:r/>
      <w:bookmarkStart w:id="212" w:name="_Toc104560873"/>
      <w:r>
        <w:rPr>
          <w:rFonts w:hint="eastAsia" w:ascii="宋体" w:hAnsi="宋体" w:cs="宋体"/>
          <w:b/>
          <w:bCs/>
          <w:color w:val="auto"/>
          <w:szCs w:val="21"/>
          <w:highlight w:val="none"/>
        </w:rPr>
        <w:t xml:space="preserve">30.5同品牌多家供应商处理原则</w:t>
      </w:r>
      <w:bookmarkEnd w:id="210"/>
      <w:r/>
      <w:bookmarkEnd w:id="211"/>
      <w:r/>
      <w:bookmarkEnd w:id="21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30.5.3非单一产品采购项目，根据采购项目技术构成、产品价格比重等合理确定核心产品，核心产品见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。多家供应商提供的核心产品品牌相同的，按前两款规定处理。</w:t>
      </w:r>
      <w:r/>
    </w:p>
    <w:p>
      <w:pPr>
        <w:pStyle w:val="870"/>
        <w:ind w:left="210" w:right="210" w:firstLine="422"/>
        <w:spacing w:before="0" w:after="0" w:line="360" w:lineRule="auto"/>
        <w:rPr>
          <w:rFonts w:hint="eastAsia" w:ascii="宋体" w:hAnsi="宋体" w:cs="宋体"/>
          <w:color w:val="auto"/>
          <w:szCs w:val="21"/>
          <w:highlight w:val="none"/>
        </w:rPr>
      </w:pPr>
      <w:r/>
      <w:bookmarkStart w:id="213" w:name="_Toc103848559"/>
      <w:r/>
      <w:bookmarkStart w:id="214" w:name="_Toc104560874"/>
      <w:r/>
      <w:bookmarkStart w:id="215" w:name="_Toc107246254"/>
      <w:r>
        <w:rPr>
          <w:rFonts w:hint="eastAsia" w:ascii="宋体" w:hAnsi="宋体" w:cs="宋体"/>
          <w:b/>
          <w:bCs/>
          <w:color w:val="auto"/>
          <w:szCs w:val="21"/>
          <w:highlight w:val="none"/>
        </w:rPr>
        <w:t xml:space="preserve">30.6比较与评价</w:t>
      </w:r>
      <w:bookmarkEnd w:id="213"/>
      <w:r/>
      <w:bookmarkEnd w:id="214"/>
      <w:r/>
      <w:bookmarkEnd w:id="215"/>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30.6.1评标委员会应当按照招标文件中第五章《评标方法和评标标准》，对符合性审查合格的投标文件进行比较与评价。</w:t>
      </w:r>
      <w:r/>
    </w:p>
    <w:p>
      <w:pPr>
        <w:pStyle w:val="870"/>
        <w:ind w:left="210" w:right="210" w:firstLine="422"/>
        <w:spacing w:before="0" w:after="0" w:line="360" w:lineRule="auto"/>
        <w:rPr>
          <w:rFonts w:hint="eastAsia" w:ascii="宋体" w:hAnsi="宋体" w:cs="宋体"/>
          <w:color w:val="auto"/>
          <w:szCs w:val="21"/>
          <w:highlight w:val="none"/>
        </w:rPr>
      </w:pPr>
      <w:r/>
      <w:bookmarkStart w:id="216" w:name="_Toc107246255"/>
      <w:r>
        <w:rPr>
          <w:rFonts w:hint="eastAsia" w:ascii="宋体" w:hAnsi="宋体" w:cs="宋体"/>
          <w:b/>
          <w:bCs/>
          <w:color w:val="auto"/>
          <w:szCs w:val="21"/>
          <w:highlight w:val="none"/>
        </w:rPr>
        <w:t xml:space="preserve">30.7编写评标报告</w:t>
      </w:r>
      <w:bookmarkEnd w:id="216"/>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30.7.1评标委员会根据全体评标成员签字的原始评标记录和评标结果编写评标报告。</w:t>
      </w:r>
      <w:r/>
    </w:p>
    <w:p>
      <w:pPr>
        <w:pStyle w:val="870"/>
        <w:ind w:left="210" w:right="210" w:firstLine="420"/>
        <w:spacing w:before="0" w:after="0" w:line="360" w:lineRule="auto"/>
        <w:tabs>
          <w:tab w:val="left" w:pos="5882" w:leader="none"/>
        </w:tabs>
        <w:rPr>
          <w:rFonts w:hint="eastAsia" w:ascii="宋体" w:hAnsi="宋体" w:cs="宋体"/>
          <w:color w:val="auto"/>
          <w:szCs w:val="21"/>
          <w:highlight w:val="none"/>
        </w:rPr>
      </w:pPr>
      <w:r/>
      <w:bookmarkStart w:id="217" w:name="_Toc104560876"/>
      <w:r/>
      <w:bookmarkStart w:id="218" w:name="_Toc107246256"/>
      <w:r/>
      <w:bookmarkStart w:id="219" w:name="_Toc103848561"/>
      <w:r>
        <w:rPr>
          <w:rFonts w:hint="eastAsia" w:ascii="宋体" w:hAnsi="宋体" w:cs="宋体"/>
          <w:color w:val="auto"/>
          <w:szCs w:val="21"/>
          <w:highlight w:val="none"/>
        </w:rPr>
        <w:t xml:space="preserve">30.8评标过程的保密</w:t>
      </w:r>
      <w:bookmarkEnd w:id="217"/>
      <w:r/>
      <w:bookmarkEnd w:id="218"/>
      <w:r/>
      <w:bookmarkEnd w:id="219"/>
      <w:r>
        <w:rPr>
          <w:rFonts w:hint="eastAsia" w:ascii="宋体" w:hAnsi="宋体" w:cs="宋体"/>
          <w:color w:val="auto"/>
          <w:szCs w:val="21"/>
          <w:highlight w:val="none"/>
        </w:rPr>
        <w:tab/>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30.8.1评标委员会成员名单在评标结果公示前应当保密。</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30.8.2采购方应当采取必要的措施，保证评标在严格保密的情况下进行。</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30.8.3有关人员对评标情况以及在评标过程中获悉的国家秘密、商业秘密负有保密责任。</w:t>
      </w:r>
      <w:r/>
    </w:p>
    <w:p>
      <w:pPr>
        <w:pStyle w:val="870"/>
        <w:ind w:left="210" w:right="210" w:firstLine="422"/>
        <w:spacing w:before="0" w:after="0" w:line="360" w:lineRule="auto"/>
        <w:rPr>
          <w:rFonts w:hint="eastAsia" w:ascii="宋体" w:hAnsi="宋体" w:cs="宋体"/>
          <w:color w:val="auto"/>
          <w:szCs w:val="21"/>
          <w:highlight w:val="none"/>
        </w:rPr>
      </w:pPr>
      <w:r/>
      <w:bookmarkStart w:id="220" w:name="_Toc107246257"/>
      <w:r>
        <w:rPr>
          <w:rFonts w:hint="eastAsia" w:ascii="宋体" w:hAnsi="宋体" w:cs="宋体"/>
          <w:b/>
          <w:bCs/>
          <w:color w:val="auto"/>
          <w:szCs w:val="21"/>
          <w:highlight w:val="none"/>
        </w:rPr>
        <w:t xml:space="preserve">六．确定中标</w:t>
      </w:r>
      <w:bookmarkEnd w:id="220"/>
      <w:r/>
      <w:r/>
    </w:p>
    <w:p>
      <w:pPr>
        <w:pStyle w:val="870"/>
        <w:ind w:left="210" w:right="210" w:firstLine="422"/>
        <w:spacing w:before="0" w:after="0" w:line="360" w:lineRule="auto"/>
        <w:rPr>
          <w:rFonts w:hint="eastAsia" w:ascii="宋体" w:hAnsi="宋体" w:cs="宋体"/>
          <w:b/>
          <w:bCs/>
          <w:color w:val="auto"/>
          <w:szCs w:val="21"/>
          <w:highlight w:val="none"/>
        </w:rPr>
      </w:pPr>
      <w:r/>
      <w:bookmarkStart w:id="221" w:name="_Toc103848563"/>
      <w:r/>
      <w:bookmarkStart w:id="222" w:name="_Toc104560878"/>
      <w:r/>
      <w:bookmarkStart w:id="223" w:name="_Toc107246258"/>
      <w:r>
        <w:rPr>
          <w:rFonts w:hint="eastAsia" w:ascii="宋体" w:hAnsi="宋体" w:cs="宋体"/>
          <w:b/>
          <w:bCs/>
          <w:color w:val="auto"/>
          <w:szCs w:val="21"/>
          <w:highlight w:val="none"/>
        </w:rPr>
        <w:t xml:space="preserve">31.确定中标</w:t>
      </w:r>
      <w:bookmarkEnd w:id="221"/>
      <w:r/>
      <w:bookmarkEnd w:id="222"/>
      <w:r>
        <w:rPr>
          <w:rFonts w:hint="eastAsia" w:ascii="宋体" w:hAnsi="宋体" w:cs="宋体"/>
          <w:b/>
          <w:bCs/>
          <w:color w:val="auto"/>
          <w:szCs w:val="21"/>
          <w:highlight w:val="none"/>
        </w:rPr>
        <w:t xml:space="preserve">人</w:t>
      </w:r>
      <w:bookmarkEnd w:id="22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31.1评委会根据本采购文件规定评分办法与评分标准综合打分，并按综合得分由高到低顺序向项目采购人推荐3名中标候选人。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630"/>
        <w:spacing w:line="360" w:lineRule="auto"/>
        <w:rPr>
          <w:rFonts w:hint="eastAsia" w:ascii="宋体" w:hAnsi="宋体" w:cs="Microsoft New Tai Lue"/>
          <w:color w:val="auto"/>
          <w:szCs w:val="21"/>
          <w:highlight w:val="none"/>
          <w:lang w:val="zh-CN"/>
        </w:rPr>
      </w:pPr>
      <w:r/>
      <w:bookmarkStart w:id="224" w:name="_Toc104560879"/>
      <w:r/>
      <w:bookmarkStart w:id="225" w:name="_Toc107246259"/>
      <w:r/>
      <w:bookmarkStart w:id="226" w:name="_Toc103848564"/>
      <w:r>
        <w:rPr>
          <w:rFonts w:hint="eastAsia" w:ascii="宋体" w:hAnsi="宋体" w:cs="Microsoft New Tai Lue"/>
          <w:color w:val="auto"/>
          <w:szCs w:val="21"/>
          <w:highlight w:val="none"/>
        </w:rPr>
        <w:t xml:space="preserve">3</w:t>
      </w:r>
      <w:r>
        <w:rPr>
          <w:rFonts w:ascii="宋体" w:hAnsi="宋体" w:cs="Microsoft New Tai Lue"/>
          <w:color w:val="auto"/>
          <w:szCs w:val="21"/>
          <w:highlight w:val="none"/>
        </w:rPr>
        <w:t xml:space="preserve">1.4评审结束后，中标</w:t>
      </w:r>
      <w:r>
        <w:rPr>
          <w:rFonts w:hint="eastAsia" w:ascii="宋体" w:hAnsi="宋体" w:cs="Microsoft New Tai Lue"/>
          <w:color w:val="auto"/>
          <w:szCs w:val="21"/>
          <w:highlight w:val="none"/>
        </w:rPr>
        <w:t xml:space="preserve">人</w:t>
      </w:r>
      <w:r>
        <w:rPr>
          <w:rFonts w:ascii="宋体" w:hAnsi="宋体" w:cs="Microsoft New Tai Lue"/>
          <w:color w:val="auto"/>
          <w:szCs w:val="21"/>
          <w:highlight w:val="none"/>
        </w:rPr>
        <w:t xml:space="preserve">名单</w:t>
      </w:r>
      <w:r>
        <w:rPr>
          <w:rFonts w:hint="eastAsia" w:ascii="宋体" w:hAnsi="宋体" w:cs="Microsoft New Tai Lue"/>
          <w:color w:val="auto"/>
          <w:szCs w:val="21"/>
          <w:highlight w:val="none"/>
        </w:rPr>
        <w:t xml:space="preserve">将在</w:t>
      </w:r>
      <w:r>
        <w:rPr>
          <w:rFonts w:ascii="宋体" w:hAnsi="宋体" w:cs="Microsoft New Tai Lue"/>
          <w:color w:val="auto"/>
          <w:szCs w:val="21"/>
          <w:highlight w:val="none"/>
        </w:rPr>
        <w:t xml:space="preserve">省级以上财政部</w:t>
      </w:r>
      <w:r>
        <w:rPr>
          <w:rFonts w:hint="eastAsia" w:ascii="宋体" w:hAnsi="宋体" w:cs="Microsoft New Tai Lue"/>
          <w:color w:val="auto"/>
          <w:szCs w:val="21"/>
          <w:highlight w:val="none"/>
        </w:rPr>
        <w:t xml:space="preserve">门在</w:t>
      </w:r>
      <w:r>
        <w:rPr>
          <w:rFonts w:ascii="宋体" w:hAnsi="宋体" w:cs="Microsoft New Tai Lue"/>
          <w:color w:val="auto"/>
          <w:szCs w:val="21"/>
          <w:highlight w:val="none"/>
        </w:rPr>
        <w:t xml:space="preserve">指定的媒体上公告中标结果，中标公告期为1个工作日</w:t>
      </w:r>
      <w:r>
        <w:rPr>
          <w:rFonts w:hint="eastAsia" w:ascii="宋体" w:hAnsi="宋体" w:cs="Microsoft New Tai Lue"/>
          <w:color w:val="auto"/>
          <w:szCs w:val="21"/>
          <w:highlight w:val="none"/>
        </w:rPr>
        <w:t xml:space="preserve">，</w:t>
      </w:r>
      <w:r>
        <w:rPr>
          <w:rFonts w:ascii="宋体" w:hAnsi="宋体" w:cs="Microsoft New Tai Lue"/>
          <w:color w:val="auto"/>
          <w:szCs w:val="21"/>
          <w:highlight w:val="none"/>
        </w:rPr>
        <w:t xml:space="preserve">公告媒体</w:t>
      </w:r>
      <w:r>
        <w:rPr>
          <w:rFonts w:hint="eastAsia" w:ascii="宋体" w:hAnsi="宋体" w:cs="Microsoft New Tai Lue"/>
          <w:color w:val="auto"/>
          <w:szCs w:val="21"/>
          <w:highlight w:val="none"/>
        </w:rPr>
        <w:t xml:space="preserve">见</w:t>
      </w:r>
      <w:r>
        <w:rPr>
          <w:rFonts w:hint="eastAsia" w:ascii="宋体" w:hAnsi="宋体" w:cs="Microsoft New Tai Lue"/>
          <w:b/>
          <w:color w:val="auto"/>
          <w:szCs w:val="21"/>
          <w:highlight w:val="none"/>
        </w:rPr>
        <w:t xml:space="preserve">供应商</w:t>
      </w:r>
      <w:r>
        <w:rPr>
          <w:rFonts w:ascii="宋体" w:hAnsi="宋体" w:cs="Microsoft New Tai Lue"/>
          <w:b/>
          <w:color w:val="auto"/>
          <w:szCs w:val="21"/>
          <w:highlight w:val="none"/>
        </w:rPr>
        <w:t xml:space="preserve">须知</w:t>
      </w:r>
      <w:r>
        <w:rPr>
          <w:rFonts w:hint="eastAsia" w:ascii="宋体" w:hAnsi="宋体" w:cs="Microsoft New Tai Lue"/>
          <w:b/>
          <w:color w:val="auto"/>
          <w:szCs w:val="21"/>
          <w:highlight w:val="none"/>
        </w:rPr>
        <w:t xml:space="preserve">前附表。</w:t>
      </w:r>
      <w:r>
        <w:rPr>
          <w:rFonts w:hint="eastAsia" w:ascii="宋体" w:hAnsi="宋体" w:cs="Microsoft New Tai Lue"/>
          <w:color w:val="auto"/>
          <w:szCs w:val="21"/>
          <w:highlight w:val="none"/>
        </w:rPr>
        <w:t xml:space="preserve">公告的同时向中标人发出中标通知书。</w:t>
      </w:r>
      <w:r>
        <w:rPr>
          <w:rFonts w:hint="eastAsia" w:ascii="宋体" w:hAnsi="宋体" w:cs="Microsoft New Tai Lue"/>
          <w:color w:val="auto"/>
          <w:szCs w:val="21"/>
          <w:highlight w:val="none"/>
          <w:lang w:val="zh-CN"/>
        </w:rPr>
        <w:t xml:space="preserve">中标人</w:t>
      </w:r>
      <w:r>
        <w:rPr>
          <w:rFonts w:hint="eastAsia" w:ascii="宋体" w:hAnsi="宋体" w:cs="Microsoft New Tai Lue"/>
          <w:color w:val="auto"/>
          <w:szCs w:val="21"/>
          <w:highlight w:val="none"/>
        </w:rPr>
        <w:t xml:space="preserve">可</w:t>
      </w:r>
      <w:r>
        <w:rPr>
          <w:rFonts w:hint="eastAsia" w:ascii="宋体" w:hAnsi="宋体" w:cs="Microsoft New Tai Lue"/>
          <w:color w:val="auto"/>
          <w:szCs w:val="21"/>
          <w:highlight w:val="none"/>
          <w:lang w:val="zh-CN"/>
        </w:rPr>
        <w:t xml:space="preserve">在中标结果公告届满之日起三十日内,登录苏采云系统下载。</w:t>
      </w:r>
      <w:r/>
    </w:p>
    <w:p>
      <w:pPr>
        <w:ind w:firstLine="420"/>
        <w:spacing w:line="360" w:lineRule="auto"/>
        <w:rPr>
          <w:rFonts w:hint="eastAsia" w:ascii="宋体" w:hAnsi="宋体" w:cs="Microsoft New Tai Lue"/>
          <w:color w:val="auto"/>
          <w:szCs w:val="21"/>
          <w:highlight w:val="none"/>
        </w:rPr>
      </w:pPr>
      <w:r>
        <w:rPr>
          <w:rFonts w:hint="eastAsia" w:ascii="宋体" w:hAnsi="宋体" w:cs="Microsoft New Tai Lue"/>
          <w:color w:val="auto"/>
          <w:szCs w:val="21"/>
          <w:highlight w:val="none"/>
          <w:lang w:val="zh-CN"/>
        </w:rPr>
        <w:t xml:space="preserve">因系统存储空间有限，中标结果公告届满之日起三十日后，苏采云系统不再保证提供下载《中标通知书》服务，因未及时下载而造成的不利后果由中标人自行承担。</w:t>
      </w:r>
      <w:r/>
    </w:p>
    <w:p>
      <w:pPr>
        <w:pStyle w:val="870"/>
        <w:ind w:left="210" w:right="210" w:firstLine="422"/>
        <w:spacing w:before="0" w:after="0"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32.中标通知书</w:t>
      </w:r>
      <w:bookmarkEnd w:id="224"/>
      <w:r/>
      <w:bookmarkEnd w:id="225"/>
      <w:r/>
      <w:bookmarkEnd w:id="226"/>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32.1采购代理机构将在中标公告发布的同时向中标人发出中标通知书。</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32.2中标通知书将是合同的组成部分。对采购人和中标人均具有法律效力。</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32.3</w:t>
      </w:r>
      <w:bookmarkStart w:id="227" w:name="_Toc103848560"/>
      <w:r/>
      <w:bookmarkStart w:id="228" w:name="_Toc104560875"/>
      <w:r>
        <w:rPr>
          <w:rFonts w:hint="eastAsia" w:ascii="宋体" w:hAnsi="宋体" w:cs="宋体"/>
          <w:color w:val="auto"/>
          <w:szCs w:val="21"/>
          <w:highlight w:val="none"/>
        </w:rPr>
        <w:t xml:space="preserve">中标通知书发出后，中标人无正当理由不得放弃中标，否则将依法承担法律责任。</w:t>
      </w:r>
      <w:r/>
    </w:p>
    <w:p>
      <w:pPr>
        <w:pStyle w:val="870"/>
        <w:ind w:left="210" w:right="210" w:firstLine="422"/>
        <w:spacing w:before="0" w:after="0" w:line="360" w:lineRule="auto"/>
        <w:rPr>
          <w:rFonts w:hint="eastAsia" w:ascii="宋体" w:hAnsi="宋体" w:cs="宋体"/>
          <w:color w:val="auto"/>
          <w:szCs w:val="21"/>
          <w:highlight w:val="none"/>
        </w:rPr>
      </w:pPr>
      <w:r/>
      <w:bookmarkStart w:id="229" w:name="_Toc107246260"/>
      <w:r>
        <w:rPr>
          <w:rFonts w:hint="eastAsia" w:ascii="宋体" w:hAnsi="宋体" w:cs="宋体"/>
          <w:b/>
          <w:bCs/>
          <w:color w:val="auto"/>
          <w:szCs w:val="21"/>
          <w:highlight w:val="none"/>
        </w:rPr>
        <w:t xml:space="preserve">33.废标</w:t>
      </w:r>
      <w:bookmarkEnd w:id="227"/>
      <w:r/>
      <w:bookmarkEnd w:id="228"/>
      <w:r/>
      <w:bookmarkEnd w:id="229"/>
      <w:r/>
      <w:r/>
    </w:p>
    <w:p>
      <w:pPr>
        <w:ind w:firstLine="422"/>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★33.1出现下列情形之一的，应予废标：</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（1）符合专业条件的供应商或者对招标文件作实质响应的供应商不足三家的；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（2）出现影响采购公正的违法、违规行为的；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（3）供应商的报价均超过了采购预算，采购人不能支付的；</w:t>
      </w:r>
      <w:r/>
    </w:p>
    <w:p>
      <w:pPr>
        <w:ind w:firstLine="42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（4）因重大变故，采购任务取消的。</w:t>
      </w:r>
      <w:r/>
    </w:p>
    <w:p>
      <w:pPr>
        <w:ind w:firstLine="632"/>
        <w:spacing w:line="360" w:lineRule="auto"/>
        <w:rPr>
          <w:rFonts w:hint="eastAsia" w:ascii="宋体" w:hAnsi="宋体" w:cs="宋体"/>
          <w:color w:val="auto"/>
          <w:szCs w:val="21"/>
          <w:highlight w:val="none"/>
        </w:rPr>
      </w:pPr>
      <w:r>
        <w:rPr>
          <w:rFonts w:hint="eastAsia" w:ascii="宋体" w:hAnsi="宋体" w:cs="宋体"/>
          <w:b/>
          <w:bCs/>
          <w:color w:val="auto"/>
          <w:szCs w:val="21"/>
          <w:highlight w:val="none"/>
        </w:rPr>
        <w:t xml:space="preserve">33.2废标后，采购人将废标理由通知所有供应商。</w:t>
      </w:r>
      <w:r/>
    </w:p>
    <w:p>
      <w:pPr>
        <w:pStyle w:val="870"/>
        <w:ind w:left="210" w:right="210" w:firstLine="422"/>
        <w:spacing w:before="0" w:after="0" w:line="360" w:lineRule="auto"/>
        <w:rPr>
          <w:rFonts w:hint="eastAsia" w:ascii="宋体" w:hAnsi="宋体" w:cs="宋体"/>
          <w:color w:val="auto"/>
          <w:szCs w:val="21"/>
          <w:highlight w:val="none"/>
        </w:rPr>
      </w:pPr>
      <w:r/>
      <w:bookmarkStart w:id="230" w:name="_Toc103848565"/>
      <w:r/>
      <w:bookmarkStart w:id="231" w:name="_Toc104560880"/>
      <w:r/>
      <w:bookmarkStart w:id="232" w:name="_Toc107246261"/>
      <w:r/>
      <w:bookmarkStart w:id="233" w:name="_Toc16938553"/>
      <w:r/>
      <w:bookmarkStart w:id="234" w:name="_Toc20823309"/>
      <w:r/>
      <w:bookmarkStart w:id="235" w:name="_Toc513029237"/>
      <w:r>
        <w:rPr>
          <w:rFonts w:hint="eastAsia" w:ascii="宋体" w:hAnsi="宋体" w:cs="宋体"/>
          <w:b/>
          <w:bCs/>
          <w:color w:val="auto"/>
          <w:szCs w:val="21"/>
          <w:highlight w:val="none"/>
        </w:rPr>
        <w:t xml:space="preserve">34.签订合同</w:t>
      </w:r>
      <w:bookmarkEnd w:id="230"/>
      <w:r/>
      <w:bookmarkEnd w:id="231"/>
      <w:r/>
      <w:bookmarkEnd w:id="232"/>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34.2中标人拒绝与采购人签订合同的，采购人可以按照评标报告推荐的中标候选人名单排序，确定下一候选人为中标人，也可以重新开展政府采购活动。</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34.3联合体中标的，联合体各方应当共同与采购人签订合同，就中标项目向采购人承担连带责任。</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34.4政府采购合同不能转包。未经采购人同意，中标人也不得采用分包的形式履行合同，否则采购人有权终止合同。转包或分包造成采购人损失的，中标人应承担相应赔偿责任。</w:t>
      </w:r>
      <w:r/>
    </w:p>
    <w:p>
      <w:pPr>
        <w:pStyle w:val="870"/>
        <w:ind w:left="210" w:right="210" w:firstLine="422"/>
        <w:spacing w:before="0" w:after="0" w:line="360" w:lineRule="auto"/>
        <w:rPr>
          <w:rFonts w:hint="eastAsia" w:ascii="宋体" w:hAnsi="宋体" w:cs="宋体"/>
          <w:color w:val="auto"/>
          <w:szCs w:val="21"/>
          <w:highlight w:val="none"/>
        </w:rPr>
      </w:pPr>
      <w:r/>
      <w:bookmarkStart w:id="236" w:name="_Toc107246262"/>
      <w:r/>
      <w:bookmarkStart w:id="237" w:name="_Toc104560881"/>
      <w:r/>
      <w:bookmarkStart w:id="238" w:name="_Toc103848567"/>
      <w:r>
        <w:rPr>
          <w:rFonts w:hint="eastAsia" w:ascii="宋体" w:hAnsi="宋体" w:cs="宋体"/>
          <w:b/>
          <w:bCs/>
          <w:color w:val="auto"/>
          <w:szCs w:val="21"/>
          <w:highlight w:val="none"/>
        </w:rPr>
        <w:t xml:space="preserve">35.履约保证金</w:t>
      </w:r>
      <w:bookmarkEnd w:id="236"/>
      <w:r/>
      <w:bookmarkEnd w:id="237"/>
      <w:r/>
      <w:bookmarkEnd w:id="238"/>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35.1本项目是否缴纳履约保证金见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35.2</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规定交纳履约保证金的，中标人在签订采购合同前，向采购人提交履约保证金。联合体成交的，履约保证金以联合体各方或联合体中牵头人的名义提交。</w:t>
      </w:r>
      <w:r/>
    </w:p>
    <w:p>
      <w:pPr>
        <w:ind w:firstLine="632"/>
        <w:spacing w:line="360" w:lineRule="auto"/>
        <w:rPr>
          <w:rFonts w:hint="eastAsia" w:ascii="宋体" w:hAnsi="宋体" w:cs="宋体"/>
          <w:color w:val="auto"/>
          <w:szCs w:val="21"/>
          <w:highlight w:val="none"/>
        </w:rPr>
      </w:pPr>
      <w:r>
        <w:rPr>
          <w:rFonts w:hint="eastAsia" w:ascii="宋体" w:hAnsi="宋体" w:cs="宋体"/>
          <w:b/>
          <w:color w:val="auto"/>
          <w:szCs w:val="21"/>
          <w:highlight w:val="none"/>
        </w:rPr>
        <w:t xml:space="preserve">★</w:t>
      </w:r>
      <w:r>
        <w:rPr>
          <w:rFonts w:hint="eastAsia" w:ascii="宋体" w:hAnsi="宋体" w:cs="宋体"/>
          <w:color w:val="auto"/>
          <w:szCs w:val="21"/>
          <w:highlight w:val="none"/>
        </w:rPr>
        <w:t xml:space="preserve">35.3中标人没有按照</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的规定提交履约保证金的，视为放弃中标，其投标保证金不予退还。</w:t>
      </w:r>
      <w:bookmarkEnd w:id="233"/>
      <w:r/>
      <w:bookmarkEnd w:id="234"/>
      <w:r/>
      <w:bookmarkEnd w:id="235"/>
      <w:r/>
      <w:r/>
    </w:p>
    <w:p>
      <w:pPr>
        <w:pStyle w:val="870"/>
        <w:ind w:left="210" w:right="210" w:firstLine="422"/>
        <w:spacing w:before="0" w:after="0" w:line="360" w:lineRule="auto"/>
        <w:rPr>
          <w:rFonts w:hint="eastAsia" w:ascii="宋体" w:hAnsi="宋体" w:cs="宋体"/>
          <w:color w:val="auto"/>
          <w:szCs w:val="21"/>
          <w:highlight w:val="none"/>
        </w:rPr>
      </w:pPr>
      <w:r/>
      <w:bookmarkStart w:id="239" w:name="_Toc107246263"/>
      <w:r>
        <w:rPr>
          <w:rFonts w:hint="eastAsia" w:ascii="宋体" w:hAnsi="宋体" w:cs="宋体"/>
          <w:b/>
          <w:bCs/>
          <w:color w:val="auto"/>
          <w:szCs w:val="21"/>
          <w:highlight w:val="none"/>
        </w:rPr>
        <w:t xml:space="preserve">七．</w:t>
      </w:r>
      <w:bookmarkStart w:id="240" w:name="_Toc103848569"/>
      <w:r>
        <w:rPr>
          <w:rFonts w:hint="eastAsia" w:ascii="宋体" w:hAnsi="宋体" w:cs="宋体"/>
          <w:b/>
          <w:bCs/>
          <w:color w:val="auto"/>
          <w:szCs w:val="21"/>
          <w:highlight w:val="none"/>
        </w:rPr>
        <w:t xml:space="preserve">询问与质疑</w:t>
      </w:r>
      <w:bookmarkEnd w:id="239"/>
      <w:r/>
      <w:bookmarkEnd w:id="240"/>
      <w:r/>
      <w:r/>
    </w:p>
    <w:p>
      <w:pPr>
        <w:pStyle w:val="870"/>
        <w:ind w:left="210" w:right="210" w:firstLine="422"/>
        <w:spacing w:before="0" w:after="0" w:line="360" w:lineRule="auto"/>
        <w:rPr>
          <w:rFonts w:hint="eastAsia" w:ascii="宋体" w:hAnsi="宋体" w:cs="宋体"/>
          <w:color w:val="auto"/>
          <w:szCs w:val="21"/>
          <w:highlight w:val="none"/>
        </w:rPr>
      </w:pPr>
      <w:r/>
      <w:bookmarkStart w:id="241" w:name="_Toc107246264"/>
      <w:r/>
      <w:bookmarkStart w:id="242" w:name="_Toc104560883"/>
      <w:r/>
      <w:bookmarkStart w:id="243" w:name="_Toc102117305"/>
      <w:r>
        <w:rPr>
          <w:rFonts w:hint="eastAsia" w:ascii="宋体" w:hAnsi="宋体" w:cs="宋体"/>
          <w:b/>
          <w:bCs/>
          <w:color w:val="auto"/>
          <w:szCs w:val="21"/>
          <w:highlight w:val="none"/>
        </w:rPr>
        <w:t xml:space="preserve">36.询问</w:t>
      </w:r>
      <w:bookmarkEnd w:id="241"/>
      <w:r/>
      <w:bookmarkEnd w:id="242"/>
      <w:r/>
      <w:bookmarkEnd w:id="24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36.1供应商对政府采购活动事项有疑问的，可依法提出询问，并按</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载明的形式通知采购方。</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36.2采购方对供应商依法提出的询问，在3个工作日内作出答复，但答复的内容不得涉及商业秘密。</w:t>
      </w:r>
      <w:r/>
    </w:p>
    <w:p>
      <w:pPr>
        <w:pStyle w:val="870"/>
        <w:ind w:left="210" w:right="210" w:firstLine="422"/>
        <w:spacing w:before="0" w:after="0" w:line="360" w:lineRule="auto"/>
        <w:rPr>
          <w:rFonts w:hint="eastAsia" w:ascii="宋体" w:hAnsi="宋体" w:cs="宋体"/>
          <w:color w:val="auto"/>
          <w:szCs w:val="21"/>
          <w:highlight w:val="none"/>
        </w:rPr>
      </w:pPr>
      <w:r/>
      <w:bookmarkStart w:id="244" w:name="_Toc107246265"/>
      <w:r/>
      <w:bookmarkStart w:id="245" w:name="_Toc104560884"/>
      <w:r/>
      <w:bookmarkStart w:id="246" w:name="_Toc102117306"/>
      <w:r>
        <w:rPr>
          <w:rFonts w:hint="eastAsia" w:ascii="宋体" w:hAnsi="宋体" w:cs="宋体"/>
          <w:b/>
          <w:bCs/>
          <w:color w:val="auto"/>
          <w:szCs w:val="21"/>
          <w:highlight w:val="none"/>
        </w:rPr>
        <w:t xml:space="preserve">37.质疑</w:t>
      </w:r>
      <w:bookmarkEnd w:id="244"/>
      <w:r/>
      <w:bookmarkEnd w:id="245"/>
      <w:r/>
      <w:bookmarkEnd w:id="246"/>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37.1供应商认为采购文件、采购过程和成交结果使自己的权益受到损害的，可以在知道或者应知其权益受到损害之日起7个工作日内，以</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的要求向采购代理机构提出质疑。采购代理机构将以书面形式答复质疑供应商，但答复的内容不涉及商业秘密。供应商在法定质疑期内针对同一采购程序环节的质疑必须一次性提出。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37.2以联合体形式参加投标的，应当由组成联合体的所有供应商共同提出。</w:t>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37.3质疑函应使用财政部制定的范本文件。</w:t>
      </w:r>
      <w:r/>
    </w:p>
    <w:p>
      <w:pPr>
        <w:pStyle w:val="870"/>
        <w:ind w:left="210" w:right="210" w:firstLine="422"/>
        <w:spacing w:before="0" w:after="0" w:line="360" w:lineRule="auto"/>
        <w:rPr>
          <w:rFonts w:hint="eastAsia" w:ascii="宋体" w:hAnsi="宋体" w:cs="宋体"/>
          <w:color w:val="auto"/>
          <w:szCs w:val="21"/>
          <w:highlight w:val="none"/>
        </w:rPr>
      </w:pPr>
      <w:r/>
      <w:bookmarkStart w:id="247" w:name="_Toc107246266"/>
      <w:r>
        <w:rPr>
          <w:rFonts w:hint="eastAsia" w:ascii="宋体" w:hAnsi="宋体" w:cs="宋体"/>
          <w:b/>
          <w:bCs/>
          <w:color w:val="auto"/>
          <w:szCs w:val="21"/>
          <w:highlight w:val="none"/>
        </w:rPr>
        <w:t xml:space="preserve">八．其他</w:t>
      </w:r>
      <w:bookmarkEnd w:id="247"/>
      <w:r/>
      <w:r/>
    </w:p>
    <w:p>
      <w:pPr>
        <w:pStyle w:val="870"/>
        <w:ind w:left="210" w:right="210" w:firstLine="422"/>
        <w:spacing w:before="0" w:after="0" w:line="360" w:lineRule="auto"/>
        <w:rPr>
          <w:rFonts w:hint="eastAsia" w:ascii="宋体" w:hAnsi="宋体" w:cs="宋体"/>
          <w:color w:val="auto"/>
          <w:szCs w:val="21"/>
          <w:highlight w:val="none"/>
        </w:rPr>
      </w:pPr>
      <w:r/>
      <w:bookmarkStart w:id="248" w:name="_Toc103848572"/>
      <w:r/>
      <w:bookmarkStart w:id="249" w:name="_Toc104560886"/>
      <w:r/>
      <w:bookmarkStart w:id="250" w:name="_Toc107246267"/>
      <w:r>
        <w:rPr>
          <w:rFonts w:hint="eastAsia" w:ascii="宋体" w:hAnsi="宋体" w:cs="宋体"/>
          <w:b/>
          <w:bCs/>
          <w:color w:val="auto"/>
          <w:szCs w:val="21"/>
          <w:highlight w:val="none"/>
        </w:rPr>
        <w:t xml:space="preserve">38.招标代理服务费</w:t>
      </w:r>
      <w:bookmarkEnd w:id="248"/>
      <w:r/>
      <w:bookmarkEnd w:id="249"/>
      <w:r/>
      <w:bookmarkEnd w:id="250"/>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38.1中标人是否交纳投招标代理服务费及相关要求见</w:t>
      </w:r>
      <w:r>
        <w:rPr>
          <w:rFonts w:hint="eastAsia" w:ascii="宋体" w:hAnsi="宋体" w:cs="宋体"/>
          <w:b/>
          <w:color w:val="auto"/>
          <w:szCs w:val="21"/>
          <w:highlight w:val="none"/>
        </w:rPr>
        <w:t xml:space="preserve">供应商须知前附表</w:t>
      </w:r>
      <w:r>
        <w:rPr>
          <w:rFonts w:hint="eastAsia" w:ascii="宋体" w:hAnsi="宋体" w:cs="宋体"/>
          <w:color w:val="auto"/>
          <w:szCs w:val="21"/>
          <w:highlight w:val="none"/>
        </w:rPr>
        <w:t xml:space="preserve">。</w:t>
      </w:r>
      <w:r/>
    </w:p>
    <w:p>
      <w:pPr>
        <w:pStyle w:val="870"/>
        <w:ind w:left="210" w:right="210" w:firstLine="422"/>
        <w:spacing w:before="0" w:after="0" w:line="360" w:lineRule="auto"/>
        <w:rPr>
          <w:rFonts w:hint="eastAsia" w:ascii="宋体" w:hAnsi="宋体" w:cs="宋体"/>
          <w:color w:val="auto"/>
          <w:szCs w:val="21"/>
          <w:highlight w:val="none"/>
        </w:rPr>
      </w:pPr>
      <w:r/>
      <w:bookmarkStart w:id="251" w:name="_Toc107246268"/>
      <w:r/>
      <w:bookmarkStart w:id="252" w:name="_Toc103848573"/>
      <w:r/>
      <w:bookmarkStart w:id="253" w:name="_Toc104560887"/>
      <w:r>
        <w:rPr>
          <w:rFonts w:hint="eastAsia" w:ascii="宋体" w:hAnsi="宋体" w:cs="宋体"/>
          <w:b/>
          <w:bCs/>
          <w:color w:val="auto"/>
          <w:szCs w:val="21"/>
          <w:highlight w:val="none"/>
        </w:rPr>
        <w:t xml:space="preserve">39.其他规定</w:t>
      </w:r>
      <w:bookmarkEnd w:id="251"/>
      <w:r/>
      <w:bookmarkEnd w:id="252"/>
      <w:r/>
      <w:bookmarkEnd w:id="253"/>
      <w:r/>
      <w:r/>
    </w:p>
    <w:p>
      <w:pPr>
        <w:ind w:firstLine="63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39.1投标文件的其他规定见</w:t>
      </w:r>
      <w:r>
        <w:rPr>
          <w:rFonts w:hint="eastAsia" w:ascii="宋体" w:hAnsi="宋体" w:cs="宋体"/>
          <w:b/>
          <w:color w:val="auto"/>
          <w:szCs w:val="21"/>
          <w:highlight w:val="none"/>
        </w:rPr>
        <w:t xml:space="preserve">供应商须知前附</w:t>
      </w:r>
      <w:r>
        <w:rPr>
          <w:rFonts w:hint="eastAsia" w:ascii="宋体" w:hAnsi="宋体" w:cs="宋体"/>
          <w:color w:val="auto"/>
          <w:szCs w:val="21"/>
          <w:highlight w:val="none"/>
        </w:rPr>
        <w:t xml:space="preserve">表。</w:t>
      </w:r>
      <w:r/>
    </w:p>
    <w:p>
      <w:pPr>
        <w:pStyle w:val="870"/>
        <w:ind w:left="210" w:right="210" w:firstLine="422"/>
        <w:spacing w:before="0" w:after="0" w:line="360" w:lineRule="auto"/>
        <w:rPr>
          <w:rFonts w:hint="eastAsia" w:ascii="宋体" w:hAnsi="宋体" w:cs="宋体"/>
          <w:color w:val="auto"/>
          <w:szCs w:val="21"/>
          <w:highlight w:val="none"/>
        </w:rPr>
      </w:pPr>
      <w:r/>
      <w:bookmarkStart w:id="254" w:name="_Toc104560888"/>
      <w:r/>
      <w:bookmarkStart w:id="255" w:name="_Toc103848574"/>
      <w:r/>
      <w:bookmarkStart w:id="256" w:name="_Toc107246269"/>
      <w:r>
        <w:rPr>
          <w:rFonts w:hint="eastAsia" w:ascii="宋体" w:hAnsi="宋体" w:cs="宋体"/>
          <w:b/>
          <w:bCs/>
          <w:color w:val="auto"/>
          <w:szCs w:val="21"/>
          <w:highlight w:val="none"/>
        </w:rPr>
        <w:t xml:space="preserve">40.文件解释权</w:t>
      </w:r>
      <w:bookmarkEnd w:id="254"/>
      <w:r/>
      <w:bookmarkEnd w:id="255"/>
      <w:r/>
      <w:bookmarkEnd w:id="256"/>
      <w:r/>
      <w:r/>
    </w:p>
    <w:p>
      <w:pPr>
        <w:ind w:firstLine="630"/>
        <w:jc w:val="left"/>
        <w:spacing w:line="300" w:lineRule="auto"/>
        <w:rPr>
          <w:rFonts w:ascii="Microsoft New Tai Lue" w:hAnsi="Microsoft New Tai Lue" w:cs="Microsoft New Tai Lue"/>
          <w:color w:val="auto"/>
          <w:szCs w:val="21"/>
          <w:highlight w:val="none"/>
        </w:rPr>
      </w:pPr>
      <w:r>
        <w:rPr>
          <w:rFonts w:hint="eastAsia" w:ascii="宋体" w:hAnsi="宋体" w:cs="宋体"/>
          <w:color w:val="auto"/>
          <w:szCs w:val="21"/>
          <w:highlight w:val="none"/>
        </w:rPr>
        <w:t xml:space="preserve">40.1本招标文件的解释权归采购人（或采购代理机构）所有。</w:t>
      </w:r>
      <w:bookmarkEnd w:id="43"/>
      <w:r/>
      <w:r/>
    </w:p>
    <w:p>
      <w:pPr>
        <w:pStyle w:val="916"/>
        <w:spacing w:line="300" w:lineRule="auto"/>
        <w:rPr>
          <w:rFonts w:ascii="Microsoft New Tai Lue" w:hAnsi="Microsoft New Tai Lue" w:cs="Microsoft New Tai Lue"/>
          <w:color w:val="auto"/>
          <w:highlight w:val="none"/>
        </w:rPr>
      </w:pPr>
      <w:r/>
      <w:bookmarkStart w:id="257" w:name="_Toc91836563"/>
      <w:r>
        <w:rPr>
          <w:rFonts w:ascii="Microsoft New Tai Lue" w:hAnsi="Microsoft New Tai Lue" w:cs="Microsoft New Tai Lue"/>
          <w:color w:val="auto"/>
          <w:highlight w:val="none"/>
        </w:rPr>
        <w:br w:type="page" w:clear="all"/>
      </w:r>
      <w:bookmarkStart w:id="258" w:name="_Toc107246270"/>
      <w:r>
        <w:rPr>
          <w:rFonts w:ascii="Microsoft New Tai Lue" w:hAnsi="Microsoft New Tai Lue" w:cs="Microsoft New Tai Lue"/>
          <w:color w:val="auto"/>
          <w:highlight w:val="none"/>
        </w:rPr>
        <w:t xml:space="preserve">第三章 政府采购合同条款</w:t>
      </w:r>
      <w:bookmarkEnd w:id="257"/>
      <w:r>
        <w:rPr>
          <w:rFonts w:ascii="Microsoft New Tai Lue" w:hAnsi="Microsoft New Tai Lue" w:cs="Microsoft New Tai Lue"/>
          <w:color w:val="auto"/>
          <w:highlight w:val="none"/>
        </w:rPr>
        <w:t xml:space="preserve">及格式</w:t>
      </w:r>
      <w:bookmarkEnd w:id="258"/>
      <w:r/>
      <w:r/>
    </w:p>
    <w:p>
      <w:pPr>
        <w:ind w:firstLine="360"/>
        <w:rPr>
          <w:color w:val="auto"/>
          <w:sz w:val="18"/>
          <w:szCs w:val="18"/>
          <w:highlight w:val="none"/>
        </w:rPr>
      </w:pPr>
      <w:r>
        <w:rPr>
          <w:color w:val="auto"/>
          <w:sz w:val="18"/>
          <w:szCs w:val="18"/>
          <w:highlight w:val="none"/>
        </w:rPr>
        <w:t xml:space="preserve">甲方（需求方）：</w:t>
      </w:r>
      <w:r>
        <w:rPr>
          <w:color w:val="auto"/>
          <w:sz w:val="18"/>
          <w:szCs w:val="18"/>
          <w:highlight w:val="none"/>
          <w:u w:val="single"/>
        </w:rPr>
        <w:t xml:space="preserve">                                    </w:t>
      </w:r>
      <w:r/>
    </w:p>
    <w:p>
      <w:pPr>
        <w:ind w:firstLine="360"/>
        <w:rPr>
          <w:color w:val="auto"/>
          <w:sz w:val="18"/>
          <w:szCs w:val="18"/>
          <w:highlight w:val="none"/>
          <w:u w:val="single"/>
        </w:rPr>
      </w:pPr>
      <w:r>
        <w:rPr>
          <w:color w:val="auto"/>
          <w:sz w:val="18"/>
          <w:szCs w:val="18"/>
          <w:highlight w:val="none"/>
        </w:rPr>
        <w:t xml:space="preserve">乙方（供应方/中标方）：</w:t>
      </w:r>
      <w:r>
        <w:rPr>
          <w:color w:val="auto"/>
          <w:sz w:val="18"/>
          <w:szCs w:val="18"/>
          <w:highlight w:val="none"/>
          <w:u w:val="single"/>
        </w:rPr>
        <w:t xml:space="preserve">  </w:t>
      </w:r>
      <w:bookmarkStart w:id="259" w:name="_Hlk163202958"/>
      <w:r>
        <w:rPr>
          <w:color w:val="auto"/>
          <w:sz w:val="18"/>
          <w:szCs w:val="18"/>
          <w:highlight w:val="none"/>
          <w:u w:val="single"/>
        </w:rPr>
        <w:t xml:space="preserve">                                  </w:t>
      </w:r>
      <w:r/>
    </w:p>
    <w:p>
      <w:pPr>
        <w:ind w:firstLine="360"/>
        <w:rPr>
          <w:color w:val="auto"/>
          <w:sz w:val="18"/>
          <w:szCs w:val="18"/>
          <w:highlight w:val="none"/>
          <w:u w:val="single"/>
        </w:rPr>
      </w:pPr>
      <w:r>
        <w:rPr>
          <w:color w:val="auto"/>
          <w:sz w:val="18"/>
          <w:szCs w:val="18"/>
          <w:highlight w:val="none"/>
          <w:u w:val="single"/>
        </w:rPr>
      </w:r>
      <w:r/>
    </w:p>
    <w:p>
      <w:pPr>
        <w:ind w:firstLine="360"/>
        <w:rPr>
          <w:color w:val="auto"/>
          <w:sz w:val="18"/>
          <w:szCs w:val="18"/>
          <w:highlight w:val="none"/>
        </w:rPr>
      </w:pPr>
      <w:r>
        <w:rPr>
          <w:color w:val="auto"/>
          <w:sz w:val="18"/>
          <w:szCs w:val="18"/>
          <w:highlight w:val="none"/>
        </w:rPr>
        <w:t xml:space="preserve">根据《中华人民共和国政府采购法》、《中华人民共和国民法典》等法律法规的规定，甲乙双方按照本项目（项目名称：</w:t>
      </w:r>
      <w:r>
        <w:rPr>
          <w:color w:val="auto"/>
          <w:sz w:val="18"/>
          <w:szCs w:val="18"/>
          <w:highlight w:val="none"/>
          <w:u w:val="single"/>
        </w:rPr>
        <w:t xml:space="preserve">                           </w:t>
      </w:r>
      <w:r>
        <w:rPr>
          <w:color w:val="auto"/>
          <w:sz w:val="18"/>
          <w:szCs w:val="18"/>
          <w:highlight w:val="none"/>
        </w:rPr>
        <w:t xml:space="preserve">，招标编号：</w:t>
      </w:r>
      <w:r>
        <w:rPr>
          <w:color w:val="auto"/>
          <w:sz w:val="18"/>
          <w:szCs w:val="18"/>
          <w:highlight w:val="none"/>
          <w:u w:val="single"/>
        </w:rPr>
        <w:t xml:space="preserve">                              </w:t>
      </w:r>
      <w:r>
        <w:rPr>
          <w:color w:val="auto"/>
          <w:sz w:val="18"/>
          <w:szCs w:val="18"/>
          <w:highlight w:val="none"/>
        </w:rPr>
        <w:t xml:space="preserve">）的招标结果，一致同意签订本合同并共同遵守。</w:t>
      </w:r>
      <w:bookmarkEnd w:id="259"/>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第一条  合同标的与价格</w:t>
      </w:r>
      <w:r/>
    </w:p>
    <w:p>
      <w:pPr>
        <w:ind w:firstLine="360"/>
        <w:rPr>
          <w:color w:val="auto"/>
          <w:sz w:val="18"/>
          <w:szCs w:val="18"/>
          <w:highlight w:val="none"/>
        </w:rPr>
      </w:pPr>
      <w:r>
        <w:rPr>
          <w:color w:val="auto"/>
          <w:sz w:val="18"/>
          <w:szCs w:val="18"/>
          <w:highlight w:val="none"/>
        </w:rPr>
        <w:t xml:space="preserve">1、乙方负责依照本合同约定向甲方指定的方式、时间、地点供货及提供设计服务。产品及服务清单见下表（下表未能尽列的，详见附件</w:t>
      </w:r>
      <w:r>
        <w:rPr>
          <w:rFonts w:hint="eastAsia"/>
          <w:color w:val="auto"/>
          <w:sz w:val="18"/>
          <w:szCs w:val="18"/>
          <w:highlight w:val="none"/>
        </w:rPr>
        <w:t xml:space="preserve">一</w:t>
      </w:r>
      <w:r>
        <w:rPr>
          <w:color w:val="auto"/>
          <w:sz w:val="18"/>
          <w:szCs w:val="18"/>
          <w:highlight w:val="none"/>
        </w:rPr>
        <w:t xml:space="preserve">：分项报价表）。</w:t>
      </w:r>
      <w:r/>
    </w:p>
    <w:tbl>
      <w:tblPr>
        <w:tblStyle w:val="88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1993"/>
        <w:gridCol w:w="2181"/>
        <w:gridCol w:w="606"/>
        <w:gridCol w:w="606"/>
        <w:gridCol w:w="1210"/>
        <w:gridCol w:w="1332"/>
        <w:gridCol w:w="677"/>
      </w:tblGrid>
      <w:tr>
        <w:trPr>
          <w:jc w:val="center"/>
        </w:trPr>
        <w:tc>
          <w:tcPr>
            <w:tcW w:w="285"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t xml:space="preserve">序号</w:t>
            </w:r>
            <w:r/>
          </w:p>
        </w:tc>
        <w:tc>
          <w:tcPr>
            <w:tcW w:w="1092"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t xml:space="preserve">采购品/服务名称</w:t>
            </w:r>
            <w:r/>
          </w:p>
        </w:tc>
        <w:tc>
          <w:tcPr>
            <w:tcW w:w="1195"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t xml:space="preserve">规格型号/描述</w:t>
            </w:r>
            <w:r/>
          </w:p>
        </w:tc>
        <w:tc>
          <w:tcPr>
            <w:tcW w:w="332"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t xml:space="preserve">单位</w:t>
            </w:r>
            <w:r/>
          </w:p>
        </w:tc>
        <w:tc>
          <w:tcPr>
            <w:tcW w:w="332"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t xml:space="preserve">数量</w:t>
            </w:r>
            <w:r/>
          </w:p>
        </w:tc>
        <w:tc>
          <w:tcPr>
            <w:tcW w:w="663"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t xml:space="preserve">含税单价</w:t>
            </w:r>
            <w:r/>
          </w:p>
          <w:p>
            <w:pPr>
              <w:jc w:val="center"/>
              <w:rPr>
                <w:rFonts w:eastAsia="楷体_GB2312"/>
                <w:color w:val="auto"/>
                <w:sz w:val="18"/>
                <w:szCs w:val="18"/>
                <w:highlight w:val="none"/>
              </w:rPr>
            </w:pPr>
            <w:r>
              <w:rPr>
                <w:rFonts w:eastAsia="楷体_GB2312"/>
                <w:color w:val="auto"/>
                <w:sz w:val="18"/>
                <w:szCs w:val="18"/>
                <w:highlight w:val="none"/>
              </w:rPr>
              <w:t xml:space="preserve">（RMB元）</w:t>
            </w:r>
            <w:r/>
          </w:p>
        </w:tc>
        <w:tc>
          <w:tcPr>
            <w:tcW w:w="730"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t xml:space="preserve">含税总价</w:t>
            </w:r>
            <w:r/>
          </w:p>
          <w:p>
            <w:pPr>
              <w:jc w:val="center"/>
              <w:rPr>
                <w:rFonts w:eastAsia="楷体_GB2312"/>
                <w:color w:val="auto"/>
                <w:sz w:val="18"/>
                <w:szCs w:val="18"/>
                <w:highlight w:val="none"/>
              </w:rPr>
            </w:pPr>
            <w:r>
              <w:rPr>
                <w:rFonts w:eastAsia="楷体_GB2312"/>
                <w:color w:val="auto"/>
                <w:sz w:val="18"/>
                <w:szCs w:val="18"/>
                <w:highlight w:val="none"/>
              </w:rPr>
              <w:t xml:space="preserve">（RMB元）</w:t>
            </w:r>
            <w:r/>
          </w:p>
        </w:tc>
        <w:tc>
          <w:tcPr>
            <w:tcW w:w="371"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t xml:space="preserve">税率</w:t>
            </w:r>
            <w:r/>
          </w:p>
        </w:tc>
      </w:tr>
      <w:tr>
        <w:trPr>
          <w:jc w:val="center"/>
        </w:trPr>
        <w:tc>
          <w:tcPr>
            <w:tcW w:w="285"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t xml:space="preserve">1</w:t>
            </w:r>
            <w:r/>
          </w:p>
        </w:tc>
        <w:tc>
          <w:tcPr>
            <w:tcW w:w="1092"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r>
            <w:r/>
          </w:p>
        </w:tc>
        <w:tc>
          <w:tcPr>
            <w:tcW w:w="1195"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r>
            <w:r/>
          </w:p>
        </w:tc>
        <w:tc>
          <w:tcPr>
            <w:tcW w:w="332"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r>
            <w:r/>
          </w:p>
        </w:tc>
        <w:tc>
          <w:tcPr>
            <w:tcW w:w="332"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r>
            <w:r/>
          </w:p>
        </w:tc>
        <w:tc>
          <w:tcPr>
            <w:tcW w:w="663"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r>
            <w:r/>
          </w:p>
        </w:tc>
        <w:tc>
          <w:tcPr>
            <w:tcW w:w="730"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r>
            <w:r/>
          </w:p>
        </w:tc>
        <w:tc>
          <w:tcPr>
            <w:tcW w:w="371" w:type="pct"/>
            <w:vAlign w:val="center"/>
            <w:textDirection w:val="lrTb"/>
            <w:noWrap w:val="false"/>
          </w:tcPr>
          <w:p>
            <w:pPr>
              <w:jc w:val="center"/>
              <w:rPr>
                <w:rFonts w:eastAsia="楷体_GB2312"/>
                <w:color w:val="auto"/>
                <w:sz w:val="18"/>
                <w:szCs w:val="18"/>
                <w:highlight w:val="none"/>
              </w:rPr>
            </w:pPr>
            <w:r>
              <w:rPr>
                <w:rFonts w:eastAsia="楷体_GB2312"/>
                <w:color w:val="auto"/>
                <w:sz w:val="18"/>
                <w:szCs w:val="18"/>
                <w:highlight w:val="none"/>
              </w:rPr>
            </w:r>
            <w:r/>
          </w:p>
        </w:tc>
      </w:tr>
    </w:tbl>
    <w:p>
      <w:pPr>
        <w:rPr>
          <w:color w:val="auto"/>
          <w:sz w:val="18"/>
          <w:szCs w:val="18"/>
          <w:highlight w:val="none"/>
        </w:rPr>
      </w:pPr>
      <w:r>
        <w:rPr>
          <w:color w:val="auto"/>
          <w:sz w:val="18"/>
          <w:szCs w:val="18"/>
          <w:highlight w:val="none"/>
        </w:rPr>
      </w:r>
      <w:r/>
    </w:p>
    <w:p>
      <w:pPr>
        <w:ind w:firstLine="360"/>
        <w:rPr>
          <w:color w:val="auto"/>
          <w:sz w:val="18"/>
          <w:szCs w:val="18"/>
          <w:highlight w:val="none"/>
        </w:rPr>
      </w:pPr>
      <w:r>
        <w:rPr>
          <w:color w:val="auto"/>
          <w:sz w:val="18"/>
          <w:szCs w:val="18"/>
          <w:highlight w:val="none"/>
        </w:rPr>
        <w:t xml:space="preserve">2、合同总金额为人民币（大写）</w:t>
      </w:r>
      <w:r>
        <w:rPr>
          <w:color w:val="auto"/>
          <w:sz w:val="18"/>
          <w:szCs w:val="18"/>
          <w:highlight w:val="none"/>
          <w:u w:val="single"/>
        </w:rPr>
        <w:t xml:space="preserve">                </w:t>
      </w:r>
      <w:r>
        <w:rPr>
          <w:rFonts w:hint="eastAsia"/>
          <w:color w:val="auto"/>
          <w:sz w:val="18"/>
          <w:szCs w:val="18"/>
          <w:highlight w:val="none"/>
        </w:rPr>
        <w:t xml:space="preserve">元整</w:t>
      </w:r>
      <w:r>
        <w:rPr>
          <w:color w:val="auto"/>
          <w:sz w:val="18"/>
          <w:szCs w:val="18"/>
          <w:highlight w:val="none"/>
        </w:rPr>
        <w:t xml:space="preserve">（包含税款</w:t>
      </w:r>
      <w:r>
        <w:rPr>
          <w:rFonts w:hint="eastAsia"/>
          <w:color w:val="auto"/>
          <w:sz w:val="18"/>
          <w:szCs w:val="18"/>
          <w:highlight w:val="none"/>
        </w:rPr>
        <w:t xml:space="preserve">，小写：人民币</w:t>
      </w:r>
      <w:r>
        <w:rPr>
          <w:color w:val="auto"/>
          <w:sz w:val="18"/>
          <w:szCs w:val="18"/>
          <w:highlight w:val="none"/>
          <w:u w:val="single"/>
        </w:rPr>
        <w:t xml:space="preserve">                </w:t>
      </w:r>
      <w:r>
        <w:rPr>
          <w:rFonts w:hint="eastAsia"/>
          <w:color w:val="auto"/>
          <w:sz w:val="18"/>
          <w:szCs w:val="18"/>
          <w:highlight w:val="none"/>
        </w:rPr>
        <w:t xml:space="preserve">元</w:t>
      </w:r>
      <w:r>
        <w:rPr>
          <w:color w:val="auto"/>
          <w:sz w:val="18"/>
          <w:szCs w:val="18"/>
          <w:highlight w:val="none"/>
        </w:rPr>
        <w:t xml:space="preserve">）。</w:t>
      </w:r>
      <w:r/>
    </w:p>
    <w:p>
      <w:pPr>
        <w:ind w:firstLine="360"/>
        <w:rPr>
          <w:color w:val="auto"/>
          <w:sz w:val="18"/>
          <w:szCs w:val="18"/>
          <w:highlight w:val="none"/>
        </w:rPr>
      </w:pPr>
      <w:r>
        <w:rPr>
          <w:color w:val="auto"/>
          <w:sz w:val="18"/>
          <w:szCs w:val="18"/>
          <w:highlight w:val="none"/>
        </w:rPr>
        <w:t xml:space="preserve">3、乙方按本合同约定以包供货、包运输、包通过验收、包风险、包售后服务等包干方式向甲方提供产品及服务。</w:t>
      </w:r>
      <w:r/>
    </w:p>
    <w:p>
      <w:pPr>
        <w:ind w:firstLine="360"/>
        <w:rPr>
          <w:color w:val="auto"/>
          <w:sz w:val="18"/>
          <w:szCs w:val="18"/>
          <w:highlight w:val="none"/>
        </w:rPr>
      </w:pPr>
      <w:r>
        <w:rPr>
          <w:color w:val="auto"/>
          <w:sz w:val="18"/>
          <w:szCs w:val="18"/>
          <w:highlight w:val="none"/>
        </w:rPr>
        <w:t xml:space="preserve">4、本合同总价款为包干价格，已包含：采购品设计、知识产权、制造、包装、仓储、运输装卸、保险、安装、调试及其材料、验收合格之前保管、售后服务期内备品备件、专用工具、伴随服务、技术图纸资料、人员培训发生的所有含税费用，以及乙方支付给其员工的工资、国家强制缴纳的各种社会保障资金，以及乙方履行本合同所需的其他一切费用（包括但不限于差旅费、住宿费、餐费等）。除合同总价外，甲方无需向乙方支付任何其他费用。</w:t>
      </w:r>
      <w:r/>
    </w:p>
    <w:p>
      <w:pPr>
        <w:ind w:firstLine="360"/>
        <w:rPr>
          <w:color w:val="auto"/>
          <w:sz w:val="18"/>
          <w:szCs w:val="18"/>
          <w:highlight w:val="none"/>
        </w:rPr>
      </w:pPr>
      <w:r>
        <w:rPr>
          <w:color w:val="auto"/>
          <w:sz w:val="18"/>
          <w:szCs w:val="18"/>
          <w:highlight w:val="none"/>
        </w:rPr>
        <w:t xml:space="preserve">5、税率调整约定：当合同约定的税率与国家税法规定及税务机关认定的税率不一致时，以国家税法规定及税务机关认定的税率为准进行调整。调整时以不含税价为基准，执行最新的国家税率。</w:t>
      </w:r>
      <w:r/>
    </w:p>
    <w:p>
      <w:pPr>
        <w:ind w:firstLine="360"/>
        <w:rPr>
          <w:color w:val="auto"/>
          <w:sz w:val="18"/>
          <w:szCs w:val="18"/>
          <w:highlight w:val="none"/>
        </w:rPr>
      </w:pPr>
      <w:r>
        <w:rPr>
          <w:color w:val="auto"/>
          <w:sz w:val="18"/>
          <w:szCs w:val="18"/>
          <w:highlight w:val="none"/>
        </w:rPr>
        <w:t xml:space="preserve">6、结算方法：实际交付物内容和数量以</w:t>
      </w:r>
      <w:r>
        <w:rPr>
          <w:rFonts w:hint="eastAsia"/>
          <w:color w:val="auto"/>
          <w:sz w:val="18"/>
          <w:szCs w:val="18"/>
          <w:highlight w:val="none"/>
        </w:rPr>
        <w:t xml:space="preserve">合同约定的验收标准</w:t>
      </w:r>
      <w:r>
        <w:rPr>
          <w:color w:val="auto"/>
          <w:sz w:val="18"/>
          <w:szCs w:val="18"/>
          <w:highlight w:val="none"/>
        </w:rPr>
        <w:t xml:space="preserve">为准，单价按本合同确定的价格执行。本合同执行期间合同总价款保持不变（因经双方书面确认的变更导致的工作量增减除外）。</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第二条  合同构成文件</w:t>
      </w:r>
      <w:r/>
    </w:p>
    <w:p>
      <w:pPr>
        <w:ind w:firstLine="360"/>
        <w:rPr>
          <w:color w:val="auto"/>
          <w:sz w:val="18"/>
          <w:szCs w:val="18"/>
          <w:highlight w:val="none"/>
        </w:rPr>
      </w:pPr>
      <w:r>
        <w:rPr>
          <w:color w:val="auto"/>
          <w:sz w:val="18"/>
          <w:szCs w:val="18"/>
          <w:highlight w:val="none"/>
        </w:rPr>
        <w:t xml:space="preserve">下列关于</w:t>
      </w:r>
      <w:r>
        <w:rPr>
          <w:rFonts w:hint="eastAsia"/>
          <w:color w:val="auto"/>
          <w:sz w:val="18"/>
          <w:szCs w:val="18"/>
          <w:highlight w:val="none"/>
        </w:rPr>
        <w:t xml:space="preserve">甲方&lt;项目名称：</w:t>
      </w:r>
      <w:r>
        <w:rPr>
          <w:color w:val="auto"/>
          <w:sz w:val="18"/>
          <w:szCs w:val="18"/>
          <w:highlight w:val="none"/>
          <w:u w:val="single"/>
        </w:rPr>
        <w:t xml:space="preserve">          </w:t>
      </w:r>
      <w:r>
        <w:rPr>
          <w:rFonts w:hint="eastAsia"/>
          <w:color w:val="auto"/>
          <w:sz w:val="18"/>
          <w:szCs w:val="18"/>
          <w:highlight w:val="none"/>
        </w:rPr>
        <w:t xml:space="preserve">&gt;</w:t>
      </w:r>
      <w:r>
        <w:rPr>
          <w:color w:val="auto"/>
          <w:sz w:val="18"/>
          <w:szCs w:val="18"/>
          <w:highlight w:val="none"/>
        </w:rPr>
        <w:t xml:space="preserve">标的招投标文件或本次采购活动方式相适应的文件及有关附件是本合同不可分割的组成部分，与本合同具有同等法律效力，解释顺序如下（如有冲突，以排列在先者为准）：</w:t>
      </w:r>
      <w:r/>
    </w:p>
    <w:p>
      <w:pPr>
        <w:ind w:firstLine="360"/>
        <w:rPr>
          <w:color w:val="auto"/>
          <w:sz w:val="18"/>
          <w:szCs w:val="18"/>
          <w:highlight w:val="none"/>
        </w:rPr>
      </w:pPr>
      <w:r>
        <w:rPr>
          <w:color w:val="auto"/>
          <w:sz w:val="18"/>
          <w:szCs w:val="18"/>
          <w:highlight w:val="none"/>
        </w:rPr>
        <w:t xml:space="preserve">（1）本合同书及其补充附件/协议；</w:t>
      </w:r>
      <w:r/>
    </w:p>
    <w:p>
      <w:pPr>
        <w:ind w:firstLine="360"/>
        <w:rPr>
          <w:color w:val="auto"/>
          <w:sz w:val="18"/>
          <w:szCs w:val="18"/>
          <w:highlight w:val="none"/>
        </w:rPr>
      </w:pPr>
      <w:r>
        <w:rPr>
          <w:color w:val="auto"/>
          <w:sz w:val="18"/>
          <w:szCs w:val="18"/>
          <w:highlight w:val="none"/>
        </w:rPr>
        <w:t xml:space="preserve">（2） 中标通知书；</w:t>
      </w:r>
      <w:r/>
    </w:p>
    <w:p>
      <w:pPr>
        <w:ind w:firstLine="360"/>
        <w:rPr>
          <w:color w:val="auto"/>
          <w:sz w:val="18"/>
          <w:szCs w:val="18"/>
          <w:highlight w:val="none"/>
        </w:rPr>
      </w:pPr>
      <w:r>
        <w:rPr>
          <w:color w:val="auto"/>
          <w:sz w:val="18"/>
          <w:szCs w:val="18"/>
          <w:highlight w:val="none"/>
        </w:rPr>
        <w:t xml:space="preserve">（3） 投标承诺书、服务承诺及澄清函件；</w:t>
      </w:r>
      <w:r/>
    </w:p>
    <w:p>
      <w:pPr>
        <w:ind w:firstLine="360"/>
        <w:rPr>
          <w:color w:val="auto"/>
          <w:sz w:val="18"/>
          <w:szCs w:val="18"/>
          <w:highlight w:val="none"/>
        </w:rPr>
      </w:pPr>
      <w:r>
        <w:rPr>
          <w:color w:val="auto"/>
          <w:sz w:val="18"/>
          <w:szCs w:val="18"/>
          <w:highlight w:val="none"/>
        </w:rPr>
        <w:t xml:space="preserve">（4） 投标响应文件及分项报价表；</w:t>
      </w:r>
      <w:r/>
    </w:p>
    <w:p>
      <w:pPr>
        <w:ind w:firstLine="360"/>
        <w:rPr>
          <w:color w:val="auto"/>
          <w:sz w:val="18"/>
          <w:szCs w:val="18"/>
          <w:highlight w:val="none"/>
        </w:rPr>
      </w:pPr>
      <w:r>
        <w:rPr>
          <w:color w:val="auto"/>
          <w:sz w:val="18"/>
          <w:szCs w:val="18"/>
          <w:highlight w:val="none"/>
        </w:rPr>
        <w:t xml:space="preserve">（5） 招标文件（含澄清及修改文件）；</w:t>
      </w:r>
      <w:r/>
    </w:p>
    <w:p>
      <w:pPr>
        <w:ind w:firstLine="360"/>
        <w:rPr>
          <w:color w:val="auto"/>
          <w:sz w:val="18"/>
          <w:szCs w:val="18"/>
          <w:highlight w:val="none"/>
        </w:rPr>
      </w:pPr>
      <w:r>
        <w:rPr>
          <w:color w:val="auto"/>
          <w:sz w:val="18"/>
          <w:szCs w:val="18"/>
          <w:highlight w:val="none"/>
        </w:rPr>
        <w:t xml:space="preserve">（6） 项目实施方案、服务说明、偏离表及说明；</w:t>
      </w:r>
      <w:r/>
    </w:p>
    <w:p>
      <w:pPr>
        <w:ind w:firstLine="360"/>
        <w:rPr>
          <w:color w:val="auto"/>
          <w:sz w:val="18"/>
          <w:szCs w:val="18"/>
          <w:highlight w:val="none"/>
        </w:rPr>
      </w:pPr>
      <w:r>
        <w:rPr>
          <w:color w:val="auto"/>
          <w:sz w:val="18"/>
          <w:szCs w:val="18"/>
          <w:highlight w:val="none"/>
        </w:rPr>
        <w:t xml:space="preserve">（7） 甲乙双方商定的其他正式书面文件。</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第三条  服务范围、内容及设计规格</w:t>
      </w:r>
      <w:r/>
    </w:p>
    <w:p>
      <w:pPr>
        <w:ind w:firstLine="360"/>
        <w:rPr>
          <w:color w:val="auto"/>
          <w:sz w:val="18"/>
          <w:szCs w:val="18"/>
          <w:highlight w:val="none"/>
        </w:rPr>
      </w:pPr>
      <w:r>
        <w:rPr>
          <w:color w:val="auto"/>
          <w:sz w:val="18"/>
          <w:szCs w:val="18"/>
          <w:highlight w:val="none"/>
        </w:rPr>
        <w:t xml:space="preserve">1、乙方应根据本合同条款、招标文件要求以及投标文件承诺，</w:t>
      </w:r>
      <w:r>
        <w:rPr>
          <w:rFonts w:hint="eastAsia"/>
          <w:color w:val="auto"/>
          <w:sz w:val="18"/>
          <w:szCs w:val="18"/>
          <w:highlight w:val="none"/>
        </w:rPr>
        <w:t xml:space="preserve">负责实施</w:t>
      </w:r>
      <w:r>
        <w:rPr>
          <w:color w:val="auto"/>
          <w:sz w:val="18"/>
          <w:szCs w:val="18"/>
          <w:highlight w:val="none"/>
        </w:rPr>
        <w:t xml:space="preserve"> &lt;________________&gt; 项目（以下简称“本项目”）</w:t>
      </w:r>
      <w:r>
        <w:rPr>
          <w:rFonts w:hint="eastAsia"/>
          <w:color w:val="auto"/>
          <w:sz w:val="18"/>
          <w:szCs w:val="18"/>
          <w:highlight w:val="none"/>
        </w:rPr>
        <w:t xml:space="preserve">，并向甲方提交合同构成文件所约定之全部服务及交付物。</w:t>
      </w:r>
      <w:r/>
    </w:p>
    <w:p>
      <w:pPr>
        <w:ind w:firstLine="360"/>
        <w:rPr>
          <w:color w:val="auto"/>
          <w:sz w:val="18"/>
          <w:szCs w:val="18"/>
          <w:highlight w:val="none"/>
        </w:rPr>
      </w:pPr>
      <w:r>
        <w:rPr>
          <w:color w:val="auto"/>
          <w:sz w:val="18"/>
          <w:szCs w:val="18"/>
          <w:highlight w:val="none"/>
        </w:rPr>
        <w:t xml:space="preserve">2、设计规格：指本项目的设计要求、技术参数、功能及性能指标。具体设计规格及要求以本合同第二条确定的合同构成文件（包括但不限于本合同附件/协议、招标文件技术需求、投标文件技术响应等）所约定的内容为准。若不同合同构成文件对同一设计规格的表述或要求存在不一致，应按照第二条约定的合同构成文件解释顺序予以确定。</w:t>
      </w:r>
      <w:r/>
    </w:p>
    <w:p>
      <w:pPr>
        <w:ind w:firstLine="360"/>
        <w:rPr>
          <w:color w:val="auto"/>
          <w:sz w:val="18"/>
          <w:szCs w:val="18"/>
          <w:highlight w:val="none"/>
        </w:rPr>
      </w:pPr>
      <w:r>
        <w:rPr>
          <w:color w:val="auto"/>
          <w:sz w:val="18"/>
          <w:szCs w:val="18"/>
          <w:highlight w:val="none"/>
        </w:rPr>
        <w:t xml:space="preserve">3、乙方将根据承诺的项目进度、设计规格、性能指标，在规定时间内完成开发任务，达到双方约定的功能规格及性能指标，并顺利通过甲方验收审核。</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第四条 交付里程碑与验收标准</w:t>
      </w:r>
      <w:r/>
    </w:p>
    <w:p>
      <w:pPr>
        <w:ind w:firstLine="360"/>
        <w:rPr>
          <w:color w:val="auto"/>
          <w:sz w:val="18"/>
          <w:szCs w:val="18"/>
          <w:highlight w:val="none"/>
        </w:rPr>
      </w:pPr>
      <w:r>
        <w:rPr>
          <w:color w:val="auto"/>
          <w:sz w:val="18"/>
          <w:szCs w:val="18"/>
          <w:highlight w:val="none"/>
        </w:rPr>
        <w:t xml:space="preserve">1、</w:t>
      </w:r>
      <w:r>
        <w:rPr>
          <w:rFonts w:hint="eastAsia"/>
          <w:color w:val="auto"/>
          <w:sz w:val="18"/>
          <w:szCs w:val="18"/>
          <w:highlight w:val="none"/>
        </w:rPr>
        <w:t xml:space="preserve">交付物内容及格式要求：本项目下乙方应提交的所有交付物的具体内容清单、格式规范、技术标准及提交方式，应当严格按照本合同第二条确定的合同构成文件所约定的规范执行。</w:t>
      </w:r>
      <w:r/>
    </w:p>
    <w:p>
      <w:pPr>
        <w:ind w:firstLine="360"/>
        <w:rPr>
          <w:color w:val="auto"/>
          <w:sz w:val="18"/>
          <w:szCs w:val="18"/>
          <w:highlight w:val="none"/>
        </w:rPr>
      </w:pPr>
      <w:r>
        <w:rPr>
          <w:color w:val="auto"/>
          <w:sz w:val="18"/>
          <w:szCs w:val="18"/>
          <w:highlight w:val="none"/>
        </w:rPr>
        <w:t xml:space="preserve">2、</w:t>
      </w:r>
      <w:r>
        <w:rPr>
          <w:rFonts w:hint="eastAsia"/>
          <w:color w:val="auto"/>
          <w:sz w:val="18"/>
          <w:szCs w:val="18"/>
          <w:highlight w:val="none"/>
        </w:rPr>
        <w:t xml:space="preserve">阶段性交付与验收里程碑：本项目的实施应当划分阶段进行。项目的各阶段里程碑划分、关键节点交付时间、阶段性工作内容以及对应的阶段评审与验收标准，具体以本合同第二条确定的合同构成文件所约定的里程碑计划及阶段验收要求为准。</w:t>
      </w:r>
      <w:r/>
    </w:p>
    <w:p>
      <w:pPr>
        <w:ind w:firstLine="360"/>
        <w:rPr>
          <w:color w:val="auto"/>
          <w:sz w:val="18"/>
          <w:szCs w:val="18"/>
          <w:highlight w:val="none"/>
        </w:rPr>
      </w:pPr>
      <w:r>
        <w:rPr>
          <w:color w:val="auto"/>
          <w:sz w:val="18"/>
          <w:szCs w:val="18"/>
          <w:highlight w:val="none"/>
        </w:rPr>
        <w:t xml:space="preserve">3、验收流程与</w:t>
      </w:r>
      <w:r>
        <w:rPr>
          <w:rFonts w:hint="eastAsia"/>
          <w:color w:val="auto"/>
          <w:sz w:val="18"/>
          <w:szCs w:val="18"/>
          <w:highlight w:val="none"/>
        </w:rPr>
        <w:t xml:space="preserve">确认机制</w:t>
      </w:r>
      <w:r>
        <w:rPr>
          <w:color w:val="auto"/>
          <w:sz w:val="18"/>
          <w:szCs w:val="18"/>
          <w:highlight w:val="none"/>
        </w:rPr>
        <w:t xml:space="preserve">：</w:t>
      </w:r>
      <w:r/>
    </w:p>
    <w:p>
      <w:pPr>
        <w:ind w:firstLine="360"/>
        <w:rPr>
          <w:color w:val="auto"/>
          <w:sz w:val="18"/>
          <w:szCs w:val="18"/>
          <w:highlight w:val="none"/>
        </w:rPr>
      </w:pPr>
      <w:r>
        <w:rPr>
          <w:rFonts w:hint="eastAsia"/>
          <w:color w:val="auto"/>
          <w:sz w:val="18"/>
          <w:szCs w:val="18"/>
          <w:highlight w:val="none"/>
        </w:rPr>
        <w:t xml:space="preserve">（1） 乙方完成相应阶段工作后，应向甲方提交该阶段的交付物及验收申请。甲方应在收到申请后的合理期限（具体期限以合同构成文件约定为准，若无约定则为</w:t>
      </w:r>
      <w:r>
        <w:rPr>
          <w:rFonts w:hint="eastAsia"/>
          <w:color w:val="auto"/>
          <w:sz w:val="18"/>
          <w:szCs w:val="18"/>
          <w:highlight w:val="none"/>
          <w:u w:val="single"/>
        </w:rPr>
        <w:t xml:space="preserve"> [5] </w:t>
      </w:r>
      <w:r>
        <w:rPr>
          <w:rFonts w:hint="eastAsia"/>
          <w:color w:val="auto"/>
          <w:sz w:val="18"/>
          <w:szCs w:val="18"/>
          <w:highlight w:val="none"/>
        </w:rPr>
        <w:t xml:space="preserve">个工作日）内组织评审。</w:t>
      </w:r>
      <w:r/>
    </w:p>
    <w:p>
      <w:pPr>
        <w:ind w:firstLine="360"/>
        <w:rPr>
          <w:color w:val="auto"/>
          <w:sz w:val="18"/>
          <w:szCs w:val="18"/>
          <w:highlight w:val="none"/>
        </w:rPr>
      </w:pPr>
      <w:r>
        <w:rPr>
          <w:rFonts w:hint="eastAsia"/>
          <w:color w:val="auto"/>
          <w:sz w:val="18"/>
          <w:szCs w:val="18"/>
          <w:highlight w:val="none"/>
        </w:rPr>
        <w:t xml:space="preserve">（2） 评审通过的，双方项目授权代表签署阶段验收确认书；评审未通过的，乙方须在合同构成文件约定的期限内（若无约定则为</w:t>
      </w:r>
      <w:r>
        <w:rPr>
          <w:rFonts w:hint="eastAsia"/>
          <w:color w:val="auto"/>
          <w:sz w:val="18"/>
          <w:szCs w:val="18"/>
          <w:highlight w:val="none"/>
          <w:u w:val="single"/>
        </w:rPr>
        <w:t xml:space="preserve"> [10] </w:t>
      </w:r>
      <w:r>
        <w:rPr>
          <w:rFonts w:hint="eastAsia"/>
          <w:color w:val="auto"/>
          <w:sz w:val="18"/>
          <w:szCs w:val="18"/>
          <w:highlight w:val="none"/>
        </w:rPr>
        <w:t xml:space="preserve">个工作日）完成整改并重新提交评审。</w:t>
      </w:r>
      <w:r/>
    </w:p>
    <w:p>
      <w:pPr>
        <w:ind w:firstLine="360"/>
        <w:rPr>
          <w:color w:val="auto"/>
          <w:sz w:val="18"/>
          <w:szCs w:val="18"/>
          <w:highlight w:val="none"/>
        </w:rPr>
      </w:pPr>
      <w:r>
        <w:rPr>
          <w:rFonts w:hint="eastAsia"/>
          <w:color w:val="auto"/>
          <w:sz w:val="18"/>
          <w:szCs w:val="18"/>
          <w:highlight w:val="none"/>
        </w:rPr>
        <w:t xml:space="preserve">（3） 乙方提交最终设计成果或生产必要文件时，甲方在收到最终交付物之日起的合理期限（若无约定则为</w:t>
      </w:r>
      <w:r>
        <w:rPr>
          <w:rFonts w:hint="eastAsia"/>
          <w:color w:val="auto"/>
          <w:sz w:val="18"/>
          <w:szCs w:val="18"/>
          <w:highlight w:val="none"/>
          <w:u w:val="single"/>
        </w:rPr>
        <w:t xml:space="preserve"> [15] </w:t>
      </w:r>
      <w:r>
        <w:rPr>
          <w:rFonts w:hint="eastAsia"/>
          <w:color w:val="auto"/>
          <w:sz w:val="18"/>
          <w:szCs w:val="18"/>
          <w:highlight w:val="none"/>
        </w:rPr>
        <w:t xml:space="preserve">日）内进行书面确认。如发现不符，乙方应在收到通知后</w:t>
      </w:r>
      <w:r>
        <w:rPr>
          <w:rFonts w:hint="eastAsia"/>
          <w:color w:val="auto"/>
          <w:sz w:val="18"/>
          <w:szCs w:val="18"/>
          <w:highlight w:val="none"/>
          <w:u w:val="single"/>
        </w:rPr>
        <w:t xml:space="preserve"> [5] </w:t>
      </w:r>
      <w:r>
        <w:rPr>
          <w:rFonts w:hint="eastAsia"/>
          <w:color w:val="auto"/>
          <w:sz w:val="18"/>
          <w:szCs w:val="18"/>
          <w:highlight w:val="none"/>
        </w:rPr>
        <w:t xml:space="preserve">个工作日内完成更正并再次交付。</w:t>
      </w:r>
      <w:r/>
    </w:p>
    <w:p>
      <w:pPr>
        <w:ind w:firstLine="360"/>
        <w:rPr>
          <w:color w:val="auto"/>
          <w:sz w:val="18"/>
          <w:szCs w:val="18"/>
          <w:highlight w:val="none"/>
        </w:rPr>
      </w:pPr>
      <w:r>
        <w:rPr>
          <w:rFonts w:hint="eastAsia"/>
          <w:color w:val="auto"/>
          <w:sz w:val="18"/>
          <w:szCs w:val="18"/>
          <w:highlight w:val="none"/>
        </w:rPr>
        <w:t xml:space="preserve">（4） 所有验收结论应形成问题清单或文字纪要，纳入项目跟踪管理。任何技术或商务指标的免除或偏离，均须经甲方书面确认。</w:t>
      </w:r>
      <w:r/>
    </w:p>
    <w:p>
      <w:pPr>
        <w:ind w:firstLine="360"/>
        <w:rPr>
          <w:color w:val="auto"/>
          <w:sz w:val="18"/>
          <w:szCs w:val="18"/>
          <w:highlight w:val="none"/>
        </w:rPr>
      </w:pPr>
      <w:r>
        <w:rPr>
          <w:rFonts w:hint="eastAsia"/>
          <w:color w:val="auto"/>
          <w:sz w:val="18"/>
          <w:szCs w:val="18"/>
          <w:highlight w:val="none"/>
        </w:rPr>
        <w:t xml:space="preserve">（5） 甲方对本合同项下交付物（包括实物产品，以及设计服务涉及的文档、数据、代码等数字化成果）所进行的任何到货验收、初步检查或阶段性评审，均不免除或减轻乙方对该等货物、服务及工作成果应承担的质量保证、知识产权及安全保密责任。在经甲方最终验收合格并签署正式验收确认书之前：</w:t>
      </w:r>
      <w:r/>
    </w:p>
    <w:p>
      <w:pPr>
        <w:ind w:firstLine="360"/>
        <w:rPr>
          <w:color w:val="auto"/>
          <w:sz w:val="18"/>
          <w:szCs w:val="18"/>
          <w:highlight w:val="none"/>
        </w:rPr>
      </w:pPr>
      <w:r>
        <w:rPr>
          <w:rFonts w:hint="eastAsia"/>
          <w:color w:val="auto"/>
          <w:sz w:val="18"/>
          <w:szCs w:val="18"/>
          <w:highlight w:val="none"/>
        </w:rPr>
        <w:t xml:space="preserve">① 实物交付物（如芯片、晶圆、硬载体、开发板等）因运输、包装、保管不当等导致的毁损、灭失及品质劣化等风险由乙方承担；</w:t>
      </w:r>
      <w:r/>
    </w:p>
    <w:p>
      <w:pPr>
        <w:ind w:firstLine="360"/>
        <w:rPr>
          <w:color w:val="auto"/>
          <w:sz w:val="18"/>
          <w:szCs w:val="18"/>
          <w:highlight w:val="none"/>
        </w:rPr>
      </w:pPr>
      <w:r>
        <w:rPr>
          <w:rFonts w:hint="eastAsia"/>
          <w:color w:val="auto"/>
          <w:sz w:val="18"/>
          <w:szCs w:val="18"/>
          <w:highlight w:val="none"/>
        </w:rPr>
        <w:t xml:space="preserve">② 设计服务及数字化交付物（如设计文档、源程序、数据库、GDS文件等）的数据损坏、丢失、泄密、非授权复制、版本混乱以及侵犯第三方权利等全部风险与法律责任，均由乙方承担。</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w:t>
      </w:r>
      <w:r>
        <w:rPr>
          <w:rFonts w:hint="eastAsia" w:eastAsia="方正黑体简体"/>
          <w:color w:val="auto"/>
          <w:sz w:val="18"/>
          <w:szCs w:val="18"/>
          <w:highlight w:val="none"/>
        </w:rPr>
        <w:t xml:space="preserve">五</w:t>
      </w:r>
      <w:r>
        <w:rPr>
          <w:rFonts w:eastAsia="方正黑体简体"/>
          <w:color w:val="auto"/>
          <w:sz w:val="18"/>
          <w:szCs w:val="18"/>
          <w:highlight w:val="none"/>
        </w:rPr>
        <w:t xml:space="preserve">条  费用及付款方式</w:t>
      </w:r>
      <w:r/>
    </w:p>
    <w:p>
      <w:pPr>
        <w:ind w:firstLine="360"/>
        <w:rPr>
          <w:color w:val="auto"/>
          <w:sz w:val="18"/>
          <w:szCs w:val="18"/>
          <w:highlight w:val="none"/>
        </w:rPr>
      </w:pPr>
      <w:r>
        <w:rPr>
          <w:color w:val="auto"/>
          <w:sz w:val="18"/>
          <w:szCs w:val="18"/>
          <w:highlight w:val="none"/>
        </w:rPr>
        <w:t xml:space="preserve">1、本合同项下所有款项均以人民币支付。采购资金由甲方自行支付。</w:t>
      </w:r>
      <w:r/>
    </w:p>
    <w:p>
      <w:pPr>
        <w:ind w:firstLine="360"/>
        <w:rPr>
          <w:color w:val="auto"/>
          <w:sz w:val="18"/>
          <w:szCs w:val="18"/>
          <w:highlight w:val="none"/>
        </w:rPr>
      </w:pPr>
      <w:r>
        <w:rPr>
          <w:color w:val="auto"/>
          <w:sz w:val="18"/>
          <w:szCs w:val="18"/>
          <w:highlight w:val="none"/>
        </w:rPr>
        <w:t xml:space="preserve">2、本合同总金额的具体费用明细、单价及资金结构详见附件一《分项报价表》。该附件作为本合同不可分割的组成部分，与本合同正文具有同等法律效力，且为款项结算与支付的法定依据。</w:t>
      </w:r>
      <w:r/>
    </w:p>
    <w:p>
      <w:pPr>
        <w:ind w:firstLine="360"/>
        <w:rPr>
          <w:color w:val="auto"/>
          <w:sz w:val="18"/>
          <w:szCs w:val="18"/>
          <w:highlight w:val="none"/>
        </w:rPr>
      </w:pPr>
      <w:r>
        <w:rPr>
          <w:color w:val="auto"/>
          <w:sz w:val="18"/>
          <w:szCs w:val="18"/>
          <w:highlight w:val="none"/>
        </w:rPr>
        <w:t xml:space="preserve">3、具体付款进度及发票开具约定：</w:t>
      </w:r>
      <w:r/>
    </w:p>
    <w:p>
      <w:pPr>
        <w:ind w:firstLine="360"/>
        <w:rPr>
          <w:color w:val="auto"/>
          <w:sz w:val="18"/>
          <w:szCs w:val="18"/>
          <w:highlight w:val="none"/>
        </w:rPr>
      </w:pPr>
      <w:r>
        <w:rPr>
          <w:color w:val="auto"/>
          <w:sz w:val="18"/>
          <w:szCs w:val="18"/>
          <w:highlight w:val="none"/>
        </w:rPr>
        <w:t xml:space="preserve">（1） </w:t>
      </w:r>
      <w:r>
        <w:rPr>
          <w:rFonts w:hint="eastAsia"/>
          <w:color w:val="auto"/>
          <w:sz w:val="18"/>
          <w:szCs w:val="18"/>
          <w:highlight w:val="none"/>
        </w:rPr>
        <w:t xml:space="preserve">第一期付款</w:t>
      </w:r>
      <w:r>
        <w:rPr>
          <w:color w:val="auto"/>
          <w:sz w:val="18"/>
          <w:szCs w:val="18"/>
          <w:highlight w:val="none"/>
        </w:rPr>
        <w:t xml:space="preserve">：本合同签订后，乙方于 [3] 个工作日内向甲方开具对应金额、税率的增值税专用发票。甲方在收到发票后 [</w:t>
      </w:r>
      <w:r>
        <w:rPr>
          <w:rFonts w:hint="eastAsia"/>
          <w:color w:val="auto"/>
          <w:sz w:val="18"/>
          <w:szCs w:val="18"/>
          <w:highlight w:val="none"/>
        </w:rPr>
        <w:t xml:space="preserve">5</w:t>
      </w:r>
      <w:r>
        <w:rPr>
          <w:color w:val="auto"/>
          <w:sz w:val="18"/>
          <w:szCs w:val="18"/>
          <w:highlight w:val="none"/>
        </w:rPr>
        <w:t xml:space="preserve">] 个工作日内，支付</w:t>
      </w:r>
      <w:r>
        <w:rPr>
          <w:rFonts w:hint="eastAsia"/>
          <w:color w:val="auto"/>
          <w:sz w:val="18"/>
          <w:szCs w:val="18"/>
          <w:highlight w:val="none"/>
        </w:rPr>
        <w:t xml:space="preserve">第一期</w:t>
      </w:r>
      <w:r>
        <w:rPr>
          <w:color w:val="auto"/>
          <w:sz w:val="18"/>
          <w:szCs w:val="18"/>
          <w:highlight w:val="none"/>
        </w:rPr>
        <w:t xml:space="preserve">付款费用，即人民币 ________________ 元（大写：________________ 元整）。</w:t>
      </w:r>
      <w:r/>
    </w:p>
    <w:p>
      <w:pPr>
        <w:ind w:firstLine="360"/>
        <w:rPr>
          <w:color w:val="auto"/>
          <w:sz w:val="18"/>
          <w:szCs w:val="18"/>
          <w:highlight w:val="none"/>
        </w:rPr>
      </w:pPr>
      <w:r>
        <w:rPr>
          <w:color w:val="auto"/>
          <w:sz w:val="18"/>
          <w:szCs w:val="18"/>
          <w:highlight w:val="none"/>
        </w:rPr>
        <w:t xml:space="preserve">（2）</w:t>
      </w:r>
      <w:r>
        <w:rPr>
          <w:rFonts w:hint="eastAsia"/>
          <w:color w:val="auto"/>
          <w:sz w:val="18"/>
          <w:szCs w:val="18"/>
          <w:highlight w:val="none"/>
        </w:rPr>
        <w:t xml:space="preserve">第二期付款</w:t>
      </w:r>
      <w:r>
        <w:rPr>
          <w:color w:val="auto"/>
          <w:sz w:val="18"/>
          <w:szCs w:val="18"/>
          <w:highlight w:val="none"/>
        </w:rPr>
        <w:t xml:space="preserve">：</w:t>
      </w:r>
      <w:r>
        <w:rPr>
          <w:color w:val="auto"/>
          <w:sz w:val="18"/>
          <w:szCs w:val="18"/>
          <w:highlight w:val="none"/>
          <w:u w:val="single"/>
        </w:rPr>
        <w:t xml:space="preserve"> </w:t>
      </w:r>
      <w:r>
        <w:rPr>
          <w:rFonts w:hint="eastAsia"/>
          <w:color w:val="auto"/>
          <w:sz w:val="18"/>
          <w:szCs w:val="18"/>
          <w:highlight w:val="none"/>
          <w:u w:val="single"/>
        </w:rPr>
        <w:t xml:space="preserve">乙方后端设计完成，且提交符合合同约定的流片相关</w:t>
      </w:r>
      <w:r>
        <w:rPr>
          <w:color w:val="auto"/>
          <w:sz w:val="18"/>
          <w:szCs w:val="18"/>
          <w:highlight w:val="none"/>
          <w:u w:val="single"/>
        </w:rPr>
        <w:t xml:space="preserve">GDS</w:t>
      </w:r>
      <w:r>
        <w:rPr>
          <w:rFonts w:hint="eastAsia"/>
          <w:color w:val="auto"/>
          <w:sz w:val="18"/>
          <w:szCs w:val="18"/>
          <w:highlight w:val="none"/>
          <w:u w:val="single"/>
        </w:rPr>
        <w:t xml:space="preserve">文件等后端数据交付物，并</w:t>
      </w:r>
      <w:r>
        <w:rPr>
          <w:color w:val="auto"/>
          <w:sz w:val="18"/>
          <w:szCs w:val="18"/>
          <w:highlight w:val="none"/>
          <w:u w:val="single"/>
        </w:rPr>
        <w:t xml:space="preserve">通过甲方评审后</w:t>
      </w:r>
      <w:r>
        <w:rPr>
          <w:color w:val="auto"/>
          <w:sz w:val="18"/>
          <w:szCs w:val="18"/>
          <w:highlight w:val="none"/>
        </w:rPr>
        <w:t xml:space="preserve">，乙方于 [3] 个工作日内向甲方开具对应金额、税率的增值税专用发票。甲方在收到发票后 [</w:t>
      </w:r>
      <w:r>
        <w:rPr>
          <w:rFonts w:hint="eastAsia"/>
          <w:color w:val="auto"/>
          <w:sz w:val="18"/>
          <w:szCs w:val="18"/>
          <w:highlight w:val="none"/>
        </w:rPr>
        <w:t xml:space="preserve">5</w:t>
      </w:r>
      <w:r>
        <w:rPr>
          <w:color w:val="auto"/>
          <w:sz w:val="18"/>
          <w:szCs w:val="18"/>
          <w:highlight w:val="none"/>
        </w:rPr>
        <w:t xml:space="preserve">] 个工作日内，支付</w:t>
      </w:r>
      <w:r>
        <w:rPr>
          <w:color w:val="auto"/>
          <w:sz w:val="18"/>
          <w:szCs w:val="18"/>
          <w:highlight w:val="none"/>
          <w:u w:val="single"/>
        </w:rPr>
        <w:t xml:space="preserve">          </w:t>
      </w:r>
      <w:r>
        <w:rPr>
          <w:color w:val="auto"/>
          <w:sz w:val="18"/>
          <w:szCs w:val="18"/>
          <w:highlight w:val="none"/>
        </w:rPr>
        <w:t xml:space="preserve">费用，即人民币 ________________ 元（大写：________________ 元整）。</w:t>
      </w:r>
      <w:r/>
    </w:p>
    <w:p>
      <w:pPr>
        <w:ind w:firstLine="360"/>
        <w:rPr>
          <w:color w:val="auto"/>
          <w:sz w:val="18"/>
          <w:szCs w:val="18"/>
          <w:highlight w:val="none"/>
        </w:rPr>
      </w:pPr>
      <w:r>
        <w:rPr>
          <w:color w:val="auto"/>
          <w:sz w:val="18"/>
          <w:szCs w:val="18"/>
          <w:highlight w:val="none"/>
        </w:rPr>
        <w:t xml:space="preserve">（4）</w:t>
      </w:r>
      <w:r>
        <w:rPr>
          <w:rFonts w:hint="eastAsia"/>
          <w:color w:val="auto"/>
          <w:sz w:val="18"/>
          <w:szCs w:val="18"/>
          <w:highlight w:val="none"/>
        </w:rPr>
        <w:t xml:space="preserve">第三期付款</w:t>
      </w:r>
      <w:r>
        <w:rPr>
          <w:color w:val="auto"/>
          <w:sz w:val="18"/>
          <w:szCs w:val="18"/>
          <w:highlight w:val="none"/>
        </w:rPr>
        <w:t xml:space="preserve">：</w:t>
      </w:r>
      <w:r>
        <w:rPr>
          <w:color w:val="auto"/>
          <w:sz w:val="18"/>
          <w:szCs w:val="18"/>
          <w:highlight w:val="none"/>
          <w:u w:val="single"/>
        </w:rPr>
        <w:t xml:space="preserve"> </w:t>
      </w:r>
      <w:r>
        <w:rPr>
          <w:rFonts w:hint="eastAsia"/>
          <w:color w:val="auto"/>
          <w:sz w:val="18"/>
          <w:szCs w:val="18"/>
          <w:highlight w:val="none"/>
          <w:u w:val="single"/>
        </w:rPr>
        <w:t xml:space="preserve">乙方提交符合合同约定的全部交付物，且</w:t>
      </w:r>
      <w:r>
        <w:rPr>
          <w:color w:val="auto"/>
          <w:sz w:val="18"/>
          <w:szCs w:val="18"/>
          <w:highlight w:val="none"/>
          <w:u w:val="single"/>
        </w:rPr>
        <w:t xml:space="preserve">通过甲方评审后</w:t>
      </w:r>
      <w:r>
        <w:rPr>
          <w:color w:val="auto"/>
          <w:sz w:val="18"/>
          <w:szCs w:val="18"/>
          <w:highlight w:val="none"/>
        </w:rPr>
        <w:t xml:space="preserve">，乙方于 [3] 个工作日内向甲方开具对应金额、税率的增值税专用发票。甲方在收到发票后 [</w:t>
      </w:r>
      <w:r>
        <w:rPr>
          <w:rFonts w:hint="eastAsia"/>
          <w:color w:val="auto"/>
          <w:sz w:val="18"/>
          <w:szCs w:val="18"/>
          <w:highlight w:val="none"/>
        </w:rPr>
        <w:t xml:space="preserve">5</w:t>
      </w:r>
      <w:r>
        <w:rPr>
          <w:color w:val="auto"/>
          <w:sz w:val="18"/>
          <w:szCs w:val="18"/>
          <w:highlight w:val="none"/>
        </w:rPr>
        <w:t xml:space="preserve">] 个工作日内，支付</w:t>
      </w:r>
      <w:r>
        <w:rPr>
          <w:color w:val="auto"/>
          <w:sz w:val="18"/>
          <w:szCs w:val="18"/>
          <w:highlight w:val="none"/>
          <w:u w:val="single"/>
        </w:rPr>
        <w:t xml:space="preserve">          </w:t>
      </w:r>
      <w:r>
        <w:rPr>
          <w:color w:val="auto"/>
          <w:sz w:val="18"/>
          <w:szCs w:val="18"/>
          <w:highlight w:val="none"/>
        </w:rPr>
        <w:t xml:space="preserve">费用，即人民币 ________________ 元（大写：________________ 元整）。</w:t>
      </w:r>
      <w:r/>
    </w:p>
    <w:p>
      <w:pPr>
        <w:ind w:firstLine="360"/>
        <w:rPr>
          <w:color w:val="auto"/>
          <w:sz w:val="18"/>
          <w:szCs w:val="18"/>
          <w:highlight w:val="none"/>
        </w:rPr>
      </w:pPr>
      <w:r>
        <w:rPr>
          <w:color w:val="auto"/>
          <w:sz w:val="18"/>
          <w:szCs w:val="18"/>
          <w:highlight w:val="none"/>
        </w:rPr>
        <w:t xml:space="preserve">（5）</w:t>
      </w:r>
      <w:r>
        <w:rPr>
          <w:rFonts w:hint="eastAsia"/>
          <w:color w:val="auto"/>
          <w:sz w:val="18"/>
          <w:szCs w:val="18"/>
          <w:highlight w:val="none"/>
        </w:rPr>
        <w:t xml:space="preserve">第四期付款</w:t>
      </w:r>
      <w:r>
        <w:rPr>
          <w:color w:val="auto"/>
          <w:sz w:val="18"/>
          <w:szCs w:val="18"/>
          <w:highlight w:val="none"/>
        </w:rPr>
        <w:t xml:space="preserve">：</w:t>
      </w:r>
      <w:r>
        <w:rPr>
          <w:color w:val="auto"/>
          <w:sz w:val="18"/>
          <w:szCs w:val="18"/>
          <w:highlight w:val="none"/>
          <w:u w:val="single"/>
        </w:rPr>
        <w:t xml:space="preserve">在技术支持期（或质保期）届满，且乙方已按约定完全履行本合同售后服务及技术支持义务、无遗留未解决技术缺陷及质量问题后</w:t>
      </w:r>
      <w:r>
        <w:rPr>
          <w:color w:val="auto"/>
          <w:sz w:val="18"/>
          <w:szCs w:val="18"/>
          <w:highlight w:val="none"/>
        </w:rPr>
        <w:t xml:space="preserve">，乙方于 [3] 个工作日内向甲方开具对应金额、税率的增值税专用发票。甲方在收到发票后 </w:t>
      </w:r>
      <w:r>
        <w:rPr>
          <w:rFonts w:hint="eastAsia"/>
          <w:color w:val="auto"/>
          <w:sz w:val="18"/>
          <w:szCs w:val="18"/>
          <w:highlight w:val="none"/>
        </w:rPr>
        <w:t xml:space="preserve">[5</w:t>
      </w:r>
      <w:r>
        <w:rPr>
          <w:color w:val="auto"/>
          <w:sz w:val="18"/>
          <w:szCs w:val="18"/>
          <w:highlight w:val="none"/>
        </w:rPr>
        <w:t xml:space="preserve">] 个工作日内，支付</w:t>
      </w:r>
      <w:r>
        <w:rPr>
          <w:color w:val="auto"/>
          <w:sz w:val="18"/>
          <w:szCs w:val="18"/>
          <w:highlight w:val="none"/>
          <w:u w:val="single"/>
        </w:rPr>
        <w:t xml:space="preserve">          </w:t>
      </w:r>
      <w:r>
        <w:rPr>
          <w:color w:val="auto"/>
          <w:sz w:val="18"/>
          <w:szCs w:val="18"/>
          <w:highlight w:val="none"/>
        </w:rPr>
        <w:t xml:space="preserve">费用，即人民币 ________________ 元（大写：________________ 元整）。</w:t>
      </w:r>
      <w:r/>
    </w:p>
    <w:p>
      <w:pPr>
        <w:ind w:firstLine="360"/>
        <w:rPr>
          <w:color w:val="auto"/>
          <w:sz w:val="18"/>
          <w:szCs w:val="18"/>
          <w:highlight w:val="none"/>
        </w:rPr>
      </w:pPr>
      <w:r>
        <w:rPr>
          <w:color w:val="auto"/>
          <w:sz w:val="18"/>
          <w:szCs w:val="18"/>
          <w:highlight w:val="none"/>
        </w:rPr>
        <w:t xml:space="preserve">4、发票前置：在甲方支付各阶段</w:t>
      </w:r>
      <w:r>
        <w:rPr>
          <w:rFonts w:hint="eastAsia"/>
          <w:color w:val="auto"/>
          <w:sz w:val="18"/>
          <w:szCs w:val="18"/>
          <w:highlight w:val="none"/>
        </w:rPr>
        <w:t xml:space="preserve">费用</w:t>
      </w:r>
      <w:r>
        <w:rPr>
          <w:color w:val="auto"/>
          <w:sz w:val="18"/>
          <w:szCs w:val="18"/>
          <w:highlight w:val="none"/>
        </w:rPr>
        <w:t xml:space="preserve">前，乙方必须先行向甲方开具中华人民共和国大陆地区有效、等值的增值税专用发票，否则甲方有权顺延付款或扣除相应税金后支付，且该等延迟付款不构成甲方违约，不影响乙方继续履行本合同项下的义务。</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w:t>
      </w:r>
      <w:r>
        <w:rPr>
          <w:rFonts w:hint="eastAsia" w:eastAsia="方正黑体简体"/>
          <w:color w:val="auto"/>
          <w:sz w:val="18"/>
          <w:szCs w:val="18"/>
          <w:highlight w:val="none"/>
        </w:rPr>
        <w:t xml:space="preserve">六</w:t>
      </w:r>
      <w:r>
        <w:rPr>
          <w:rFonts w:eastAsia="方正黑体简体"/>
          <w:color w:val="auto"/>
          <w:sz w:val="18"/>
          <w:szCs w:val="18"/>
          <w:highlight w:val="none"/>
        </w:rPr>
        <w:t xml:space="preserve">条 适用范围与合作机制</w:t>
      </w:r>
      <w:r/>
    </w:p>
    <w:p>
      <w:pPr>
        <w:ind w:firstLine="360"/>
        <w:rPr>
          <w:color w:val="auto"/>
          <w:sz w:val="18"/>
          <w:szCs w:val="18"/>
          <w:highlight w:val="none"/>
        </w:rPr>
      </w:pPr>
      <w:r>
        <w:rPr>
          <w:color w:val="auto"/>
          <w:sz w:val="18"/>
          <w:szCs w:val="18"/>
          <w:highlight w:val="none"/>
        </w:rPr>
        <w:t xml:space="preserve">1、本合同签署后，乙方授予甲方（包含甲方关联公司）在业务经营条件下，使用乙方提供的产品、设计成果及服务的权利。</w:t>
      </w:r>
      <w:r/>
    </w:p>
    <w:p>
      <w:pPr>
        <w:ind w:firstLine="360"/>
        <w:rPr>
          <w:color w:val="auto"/>
          <w:sz w:val="18"/>
          <w:szCs w:val="18"/>
          <w:highlight w:val="none"/>
        </w:rPr>
      </w:pPr>
      <w:r>
        <w:rPr>
          <w:color w:val="auto"/>
          <w:sz w:val="18"/>
          <w:szCs w:val="18"/>
          <w:highlight w:val="none"/>
        </w:rPr>
        <w:t xml:space="preserve">2、关联公司：指甲方现在或将来控制、受其控制或与其共同被控制的任何公司或合法机构。“控制”指直接或间接拥有超过百分之五十（50%）的投票权，或通过投资关系、协议或其他安排拥有实际支配该机构的权利。</w:t>
      </w:r>
      <w:r/>
    </w:p>
    <w:p>
      <w:pPr>
        <w:ind w:firstLine="360"/>
        <w:rPr>
          <w:color w:val="auto"/>
          <w:sz w:val="18"/>
          <w:szCs w:val="18"/>
          <w:highlight w:val="none"/>
        </w:rPr>
      </w:pPr>
      <w:r>
        <w:rPr>
          <w:color w:val="auto"/>
          <w:sz w:val="18"/>
          <w:szCs w:val="18"/>
          <w:highlight w:val="none"/>
        </w:rPr>
        <w:t xml:space="preserve">3、本合同的修订、变更</w:t>
      </w:r>
      <w:r>
        <w:rPr>
          <w:rFonts w:hint="eastAsia"/>
          <w:color w:val="auto"/>
          <w:sz w:val="18"/>
          <w:szCs w:val="18"/>
          <w:highlight w:val="none"/>
        </w:rPr>
        <w:t xml:space="preserve">未</w:t>
      </w:r>
      <w:r>
        <w:rPr>
          <w:color w:val="auto"/>
          <w:sz w:val="18"/>
          <w:szCs w:val="18"/>
          <w:highlight w:val="none"/>
        </w:rPr>
        <w:t xml:space="preserve">经双方书面同意，不具有法律效力。</w:t>
      </w:r>
      <w:r/>
    </w:p>
    <w:p>
      <w:pPr>
        <w:ind w:firstLine="360"/>
        <w:rPr>
          <w:color w:val="auto"/>
          <w:sz w:val="18"/>
          <w:szCs w:val="18"/>
          <w:highlight w:val="none"/>
        </w:rPr>
      </w:pPr>
      <w:r>
        <w:rPr>
          <w:color w:val="auto"/>
          <w:sz w:val="18"/>
          <w:szCs w:val="18"/>
          <w:highlight w:val="none"/>
        </w:rPr>
        <w:t xml:space="preserve">4、甲方有义务积极配合乙方的各项开发工作，为乙方工作提供便利，并指定至少1名项目代表负责项目监督与协调。</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w:t>
      </w:r>
      <w:r>
        <w:rPr>
          <w:rFonts w:hint="eastAsia" w:eastAsia="方正黑体简体"/>
          <w:color w:val="auto"/>
          <w:sz w:val="18"/>
          <w:szCs w:val="18"/>
          <w:highlight w:val="none"/>
        </w:rPr>
        <w:t xml:space="preserve">七</w:t>
      </w:r>
      <w:r>
        <w:rPr>
          <w:rFonts w:eastAsia="方正黑体简体"/>
          <w:color w:val="auto"/>
          <w:sz w:val="18"/>
          <w:szCs w:val="18"/>
          <w:highlight w:val="none"/>
        </w:rPr>
        <w:t xml:space="preserve">条 权利保证与知识产权</w:t>
      </w:r>
      <w:r/>
    </w:p>
    <w:p>
      <w:pPr>
        <w:ind w:firstLine="360"/>
        <w:rPr>
          <w:color w:val="auto"/>
          <w:sz w:val="18"/>
          <w:szCs w:val="18"/>
          <w:highlight w:val="none"/>
        </w:rPr>
      </w:pPr>
      <w:r>
        <w:rPr>
          <w:color w:val="auto"/>
          <w:sz w:val="18"/>
          <w:szCs w:val="18"/>
          <w:highlight w:val="none"/>
        </w:rPr>
        <w:t xml:space="preserve">1、乙方保证对其所供货物及服务（不包含甲方提供之IP）享有完全的所有权或合法的处分权，有权履行本合同。乙方保证甲方及其客户在使用</w:t>
      </w:r>
      <w:r>
        <w:rPr>
          <w:rFonts w:hint="eastAsia"/>
          <w:color w:val="auto"/>
          <w:sz w:val="18"/>
          <w:szCs w:val="18"/>
          <w:highlight w:val="none"/>
        </w:rPr>
        <w:t xml:space="preserve">本</w:t>
      </w:r>
      <w:r>
        <w:rPr>
          <w:color w:val="auto"/>
          <w:sz w:val="18"/>
          <w:szCs w:val="18"/>
          <w:highlight w:val="none"/>
        </w:rPr>
        <w:t xml:space="preserve">合同项下成果或其任何一部分时，在中国境内、合同产品的进口国及销售国不侵犯任何第三人的权利（包括但不限于知识产权、专利权、著作权、商标权、名称权等），免受任何第三方提出权利主张。</w:t>
      </w:r>
      <w:r/>
    </w:p>
    <w:p>
      <w:pPr>
        <w:ind w:firstLine="360"/>
        <w:rPr>
          <w:color w:val="auto"/>
          <w:sz w:val="18"/>
          <w:szCs w:val="18"/>
          <w:highlight w:val="none"/>
        </w:rPr>
      </w:pPr>
      <w:r>
        <w:rPr>
          <w:color w:val="auto"/>
          <w:sz w:val="18"/>
          <w:szCs w:val="18"/>
          <w:highlight w:val="none"/>
        </w:rPr>
        <w:t xml:space="preserve">2、侵权索赔：如有第三方声称甲方或甲方客户因使用本合同项下成果侵犯其权利，除属于本条第</w:t>
      </w:r>
      <w:r>
        <w:rPr>
          <w:rFonts w:hint="eastAsia"/>
          <w:color w:val="auto"/>
          <w:sz w:val="18"/>
          <w:szCs w:val="18"/>
          <w:highlight w:val="none"/>
        </w:rPr>
        <w:t xml:space="preserve">3</w:t>
      </w:r>
      <w:r>
        <w:rPr>
          <w:color w:val="auto"/>
          <w:sz w:val="18"/>
          <w:szCs w:val="18"/>
          <w:highlight w:val="none"/>
        </w:rPr>
        <w:t xml:space="preserve">款约定之因甲方提供IP而豁免乙方责任的情形外，乙方须承担有关判决或和解所确定的全部赔偿金额，并承担甲方因此支出的全部费用（包括但不限于诉讼费、保全费、公证费、律师费、差旅费、鉴定费等）和损失。除非第三方权利人同意甲方或甲方客户继续无偿使用该成果且由乙方承担全部持续使用费用外，乙方须全额退还甲方已付的扣除第三方流片费用后的剩余所有货款</w:t>
      </w:r>
      <w:r>
        <w:rPr>
          <w:rFonts w:hint="eastAsia"/>
          <w:color w:val="auto"/>
          <w:sz w:val="18"/>
          <w:szCs w:val="18"/>
          <w:highlight w:val="none"/>
        </w:rPr>
        <w:t xml:space="preserve">。</w:t>
      </w:r>
      <w:r>
        <w:rPr>
          <w:color w:val="auto"/>
          <w:sz w:val="18"/>
          <w:szCs w:val="18"/>
          <w:highlight w:val="none"/>
        </w:rPr>
        <w:t xml:space="preserve">甲方一旦发生此类诉讼或请求，应及时通知乙方。</w:t>
      </w:r>
      <w:r/>
    </w:p>
    <w:p>
      <w:pPr>
        <w:ind w:firstLine="360"/>
        <w:rPr>
          <w:color w:val="auto"/>
          <w:sz w:val="18"/>
          <w:szCs w:val="18"/>
          <w:highlight w:val="none"/>
        </w:rPr>
      </w:pPr>
      <w:r>
        <w:rPr>
          <w:rFonts w:hint="eastAsia"/>
          <w:color w:val="auto"/>
          <w:sz w:val="18"/>
          <w:szCs w:val="18"/>
          <w:highlight w:val="none"/>
        </w:rPr>
        <w:t xml:space="preserve">3、 甲方提供IP之责任豁免：双方特此确认，本合同项下由甲方直接提供给乙方用于集成或开发的任何IP、代码、文档、设计图纸及相关技术资源（以下统称“甲方提供IP”），其知识产权归属、合法授权、权利瑕疵及侵权风险均由甲方自行负责。若第三方指控、权利主张、纠纷或诉讼系因“甲方提供IP”本身存在权利瑕疵或侵权而直接或主要导致的，则：</w:t>
      </w:r>
      <w:r/>
    </w:p>
    <w:p>
      <w:pPr>
        <w:ind w:firstLine="360"/>
        <w:rPr>
          <w:color w:val="auto"/>
          <w:sz w:val="18"/>
          <w:szCs w:val="18"/>
          <w:highlight w:val="none"/>
        </w:rPr>
      </w:pPr>
      <w:r>
        <w:rPr>
          <w:rFonts w:hint="eastAsia"/>
          <w:color w:val="auto"/>
          <w:sz w:val="18"/>
          <w:szCs w:val="18"/>
          <w:highlight w:val="none"/>
        </w:rPr>
        <w:t xml:space="preserve">（1） 乙方不承担本条第1、2、3款项下的任何赔偿、退款、违约或补救责任，该等侵权责任及由此产生的全部赔偿、和解金、诉讼费、保全费、律师费等损失均由甲方自行承担；</w:t>
      </w:r>
      <w:r/>
    </w:p>
    <w:p>
      <w:pPr>
        <w:ind w:firstLine="360"/>
        <w:rPr>
          <w:color w:val="auto"/>
          <w:sz w:val="18"/>
          <w:szCs w:val="18"/>
          <w:highlight w:val="none"/>
        </w:rPr>
      </w:pPr>
      <w:r>
        <w:rPr>
          <w:rFonts w:hint="eastAsia"/>
          <w:color w:val="auto"/>
          <w:sz w:val="18"/>
          <w:szCs w:val="18"/>
          <w:highlight w:val="none"/>
        </w:rPr>
        <w:t xml:space="preserve">（2） 乙方因协助甲方针对该等侵权指控进行抗辩、配合修改或替换侵权部分所产生的合理研发、调试等人工及外协成本，应由甲方予以全额补偿；</w:t>
      </w:r>
      <w:r/>
    </w:p>
    <w:p>
      <w:pPr>
        <w:ind w:firstLine="360"/>
        <w:rPr>
          <w:color w:val="auto"/>
          <w:sz w:val="18"/>
          <w:szCs w:val="18"/>
          <w:highlight w:val="none"/>
        </w:rPr>
      </w:pPr>
      <w:r>
        <w:rPr>
          <w:rFonts w:hint="eastAsia"/>
          <w:color w:val="auto"/>
          <w:sz w:val="18"/>
          <w:szCs w:val="18"/>
          <w:highlight w:val="none"/>
        </w:rPr>
        <w:t xml:space="preserve">（3） 乙方因此导致的项目开发和交付延误，不构成乙方违约，项目进度里程碑及相应的付款时间节点应当根据实际延误时间相应予以顺延。</w:t>
      </w:r>
      <w:r/>
    </w:p>
    <w:p>
      <w:pPr>
        <w:ind w:firstLine="360"/>
        <w:rPr>
          <w:color w:val="auto"/>
          <w:sz w:val="18"/>
          <w:szCs w:val="18"/>
          <w:highlight w:val="none"/>
        </w:rPr>
      </w:pPr>
      <w:r>
        <w:rPr>
          <w:rFonts w:hint="eastAsia"/>
          <w:color w:val="auto"/>
          <w:sz w:val="18"/>
          <w:szCs w:val="18"/>
          <w:highlight w:val="none"/>
        </w:rPr>
        <w:t xml:space="preserve">4</w:t>
      </w:r>
      <w:r>
        <w:rPr>
          <w:color w:val="auto"/>
          <w:sz w:val="18"/>
          <w:szCs w:val="18"/>
          <w:highlight w:val="none"/>
        </w:rPr>
        <w:t xml:space="preserve">、知识产权归属：</w:t>
      </w:r>
      <w:r/>
    </w:p>
    <w:p>
      <w:pPr>
        <w:ind w:firstLine="360"/>
        <w:rPr>
          <w:color w:val="auto"/>
          <w:sz w:val="18"/>
          <w:szCs w:val="18"/>
          <w:highlight w:val="none"/>
        </w:rPr>
      </w:pPr>
      <w:r>
        <w:rPr>
          <w:color w:val="auto"/>
          <w:sz w:val="18"/>
          <w:szCs w:val="18"/>
          <w:highlight w:val="none"/>
        </w:rPr>
        <w:t xml:space="preserve">（1） 项目执行过程中，为完成本项目，甲方提供的任何代码、文档及其他资源，其所有权和知识产权仍归甲方所有。乙方不得以任何方式向任何第三方开放或泄露，否则甲方有权追究其法律责任并要求索赔。</w:t>
      </w:r>
      <w:r/>
    </w:p>
    <w:p>
      <w:pPr>
        <w:ind w:firstLine="360"/>
        <w:rPr>
          <w:color w:val="auto"/>
          <w:sz w:val="18"/>
          <w:szCs w:val="18"/>
          <w:highlight w:val="none"/>
        </w:rPr>
      </w:pPr>
      <w:r>
        <w:rPr>
          <w:color w:val="auto"/>
          <w:sz w:val="18"/>
          <w:szCs w:val="18"/>
          <w:highlight w:val="none"/>
        </w:rPr>
        <w:t xml:space="preserve">（2） 未经甲方书面同意，乙方不得将本合同项下开发的成果、技术秘密、产品资料及所形成的文档或文献资料以任何形式泄露、转让或许可给任何第三方。</w:t>
      </w:r>
      <w:r/>
    </w:p>
    <w:p>
      <w:pPr>
        <w:ind w:firstLine="360"/>
        <w:rPr>
          <w:color w:val="auto"/>
          <w:sz w:val="18"/>
          <w:szCs w:val="18"/>
          <w:highlight w:val="none"/>
        </w:rPr>
      </w:pPr>
      <w:r>
        <w:rPr>
          <w:color w:val="auto"/>
          <w:sz w:val="18"/>
          <w:szCs w:val="18"/>
          <w:highlight w:val="none"/>
        </w:rPr>
        <w:t xml:space="preserve">（3） 本项目开发的所有技术成果、设计或生产之必要文件/数据、集成电路布局布线（GDS文件）的所有权、专利权、著作权、商业秘密和设计权等，不论有无注册，均完全归属于甲方，此权利适用于全世界范围。未经甲方许可，乙方不得擅自投片。此外，乙方有义务积极配合甲方进行后续的二次投片及各批次流片、量产工作，并根据甲方合理要求及时提供必要的技术支持、设计修正、版图调整及相关数据的再次交付，以保障甲方后续投片工作的顺利实施。乙方因配合上述投片</w:t>
      </w:r>
      <w:r>
        <w:rPr>
          <w:rFonts w:hint="eastAsia"/>
          <w:color w:val="auto"/>
          <w:sz w:val="18"/>
          <w:szCs w:val="18"/>
          <w:highlight w:val="none"/>
        </w:rPr>
        <w:t xml:space="preserve">、</w:t>
      </w:r>
      <w:r>
        <w:rPr>
          <w:color w:val="auto"/>
          <w:sz w:val="18"/>
          <w:szCs w:val="18"/>
          <w:highlight w:val="none"/>
        </w:rPr>
        <w:t xml:space="preserve">后续量产</w:t>
      </w:r>
      <w:r>
        <w:rPr>
          <w:rFonts w:hint="eastAsia"/>
          <w:color w:val="auto"/>
          <w:sz w:val="18"/>
          <w:szCs w:val="18"/>
          <w:highlight w:val="none"/>
        </w:rPr>
        <w:t xml:space="preserve">及设计修正和版图调整等相关</w:t>
      </w:r>
      <w:r>
        <w:rPr>
          <w:color w:val="auto"/>
          <w:sz w:val="18"/>
          <w:szCs w:val="18"/>
          <w:highlight w:val="none"/>
        </w:rPr>
        <w:t xml:space="preserve">工作而产生的额外费用（如有），由双方届时另行书面协商约定。</w:t>
      </w:r>
      <w:r/>
    </w:p>
    <w:p>
      <w:pPr>
        <w:ind w:firstLine="360"/>
        <w:rPr>
          <w:color w:val="auto"/>
          <w:sz w:val="18"/>
          <w:szCs w:val="18"/>
          <w:highlight w:val="none"/>
        </w:rPr>
      </w:pPr>
      <w:r>
        <w:rPr>
          <w:color w:val="auto"/>
          <w:sz w:val="18"/>
          <w:szCs w:val="18"/>
          <w:highlight w:val="none"/>
        </w:rPr>
        <w:t xml:space="preserve">（4）  项目中使用的第三方IP的知识产权归原知识产权所有者所有。项目中使用的乙方自有SoC平台及相关乙方IP之所有权及知识产权仍归乙方所有。但是，乙方特此向甲方（及甲方关联公司）授予针对本项目研制之芯片及其同系列产品（包括但不限于该芯片的衍生版本、升级/改版芯片及同一产品家族后续产品）的、不可撤销的、永久的、免许可费及免版税的产品系列许可使用权（Product Family License）。甲方有权基于该芯片及同系列产品进行</w:t>
      </w:r>
      <w:r>
        <w:rPr>
          <w:rFonts w:hint="eastAsia"/>
          <w:color w:val="auto"/>
          <w:sz w:val="18"/>
          <w:szCs w:val="18"/>
          <w:highlight w:val="none"/>
        </w:rPr>
        <w:t xml:space="preserve">后续的流片、投片、</w:t>
      </w:r>
      <w:r>
        <w:rPr>
          <w:color w:val="auto"/>
          <w:sz w:val="18"/>
          <w:szCs w:val="18"/>
          <w:highlight w:val="none"/>
        </w:rPr>
        <w:t xml:space="preserve">量产、推广及销售，无需为此向乙方额外支付任何IP授权、许可或版税费用。未经乙方事先书面许可，甲方不得将上述乙方自有SoC平台及IP应用于本项目芯片同系列以外的其他芯片产品中，亦无权向任何第三方进行转授权。</w:t>
      </w:r>
      <w:r/>
    </w:p>
    <w:p>
      <w:pPr>
        <w:ind w:firstLine="360"/>
        <w:rPr>
          <w:color w:val="auto"/>
          <w:sz w:val="18"/>
          <w:szCs w:val="18"/>
          <w:highlight w:val="none"/>
        </w:rPr>
      </w:pPr>
      <w:r>
        <w:rPr>
          <w:rFonts w:hint="eastAsia"/>
          <w:color w:val="auto"/>
          <w:sz w:val="18"/>
          <w:szCs w:val="18"/>
          <w:highlight w:val="none"/>
        </w:rPr>
        <w:t xml:space="preserve">5</w:t>
      </w:r>
      <w:r>
        <w:rPr>
          <w:color w:val="auto"/>
          <w:sz w:val="18"/>
          <w:szCs w:val="18"/>
          <w:highlight w:val="none"/>
        </w:rPr>
        <w:t xml:space="preserve">、优先流片与量产代工约定：</w:t>
      </w:r>
      <w:r/>
    </w:p>
    <w:p>
      <w:pPr>
        <w:ind w:firstLine="360"/>
        <w:rPr>
          <w:color w:val="auto"/>
          <w:sz w:val="18"/>
          <w:szCs w:val="18"/>
          <w:highlight w:val="none"/>
        </w:rPr>
      </w:pPr>
      <w:r>
        <w:rPr>
          <w:color w:val="auto"/>
          <w:sz w:val="18"/>
          <w:szCs w:val="18"/>
          <w:highlight w:val="none"/>
        </w:rPr>
        <w:t xml:space="preserve">针对上述芯片及同系列产品后续的流片、投片及量产代工服务，在同等商务合作条件、加工价格、交付周期及技术支持能力的前提下，甲方优先考虑委托乙方（或乙方指定的供应链渠道）负责实施相关的流片、投片及晶圆代工制造业务。乙方在获得该等流片、投片业务后，应履行积极的技术配合及协调义务，以保障后续流片及量产工作顺利推进。</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w:t>
      </w:r>
      <w:r>
        <w:rPr>
          <w:rFonts w:hint="eastAsia" w:eastAsia="方正黑体简体"/>
          <w:color w:val="auto"/>
          <w:sz w:val="18"/>
          <w:szCs w:val="18"/>
          <w:highlight w:val="none"/>
        </w:rPr>
        <w:t xml:space="preserve">八</w:t>
      </w:r>
      <w:r>
        <w:rPr>
          <w:rFonts w:eastAsia="方正黑体简体"/>
          <w:color w:val="auto"/>
          <w:sz w:val="18"/>
          <w:szCs w:val="18"/>
          <w:highlight w:val="none"/>
        </w:rPr>
        <w:t xml:space="preserve">条 质量保证</w:t>
      </w:r>
      <w:r/>
    </w:p>
    <w:p>
      <w:pPr>
        <w:ind w:firstLine="360"/>
        <w:rPr>
          <w:color w:val="auto"/>
          <w:sz w:val="18"/>
          <w:szCs w:val="18"/>
          <w:highlight w:val="none"/>
        </w:rPr>
      </w:pPr>
      <w:r>
        <w:rPr>
          <w:color w:val="auto"/>
          <w:sz w:val="18"/>
          <w:szCs w:val="18"/>
          <w:highlight w:val="none"/>
        </w:rPr>
        <w:t xml:space="preserve">1、设计质量：乙方设计的所有数据必须符合目标工艺官方Sign-off准则，确保零DRC/LVS违例（经甲方书面确认的免除项除外）。</w:t>
      </w:r>
      <w:r/>
    </w:p>
    <w:p>
      <w:pPr>
        <w:ind w:firstLine="360"/>
        <w:rPr>
          <w:color w:val="auto"/>
          <w:sz w:val="18"/>
          <w:szCs w:val="18"/>
          <w:highlight w:val="none"/>
        </w:rPr>
      </w:pPr>
      <w:r>
        <w:rPr>
          <w:color w:val="auto"/>
          <w:sz w:val="18"/>
          <w:szCs w:val="18"/>
          <w:highlight w:val="none"/>
        </w:rPr>
        <w:t xml:space="preserve">2、流片成功率：乙方承诺首次流片</w:t>
      </w:r>
      <w:r>
        <w:rPr>
          <w:rFonts w:hint="eastAsia"/>
          <w:color w:val="auto"/>
          <w:sz w:val="18"/>
          <w:szCs w:val="18"/>
          <w:highlight w:val="none"/>
        </w:rPr>
        <w:t xml:space="preserve">（含一次NTO和一次ECO）功能及性能</w:t>
      </w:r>
      <w:r>
        <w:rPr>
          <w:color w:val="auto"/>
          <w:sz w:val="18"/>
          <w:szCs w:val="18"/>
          <w:highlight w:val="none"/>
        </w:rPr>
        <w:t xml:space="preserve">成功率不低于</w:t>
      </w:r>
      <w:r>
        <w:rPr>
          <w:color w:val="auto"/>
          <w:sz w:val="18"/>
          <w:szCs w:val="18"/>
          <w:highlight w:val="none"/>
          <w:u w:val="single"/>
        </w:rPr>
        <w:t xml:space="preserve">  </w:t>
      </w:r>
      <w:r>
        <w:rPr>
          <w:rFonts w:hint="eastAsia"/>
          <w:color w:val="auto"/>
          <w:sz w:val="18"/>
          <w:szCs w:val="18"/>
          <w:highlight w:val="none"/>
          <w:u w:val="single"/>
        </w:rPr>
        <w:t xml:space="preserve">90 </w:t>
      </w:r>
      <w:r>
        <w:rPr>
          <w:color w:val="auto"/>
          <w:sz w:val="18"/>
          <w:szCs w:val="18"/>
          <w:highlight w:val="none"/>
          <w:u w:val="single"/>
        </w:rPr>
        <w:t xml:space="preserve"> </w:t>
      </w:r>
      <w:r>
        <w:rPr>
          <w:color w:val="auto"/>
          <w:sz w:val="18"/>
          <w:szCs w:val="18"/>
          <w:highlight w:val="none"/>
        </w:rPr>
        <w:t xml:space="preserve">%。如因乙方设计问题导致流片失败，乙方应承担全部返工、重新流片及相关材料费用。</w:t>
      </w:r>
      <w:r/>
    </w:p>
    <w:p>
      <w:pPr>
        <w:ind w:firstLine="360"/>
        <w:rPr>
          <w:color w:val="auto"/>
          <w:sz w:val="18"/>
          <w:szCs w:val="18"/>
          <w:highlight w:val="none"/>
        </w:rPr>
      </w:pPr>
      <w:r>
        <w:rPr>
          <w:color w:val="auto"/>
          <w:sz w:val="18"/>
          <w:szCs w:val="18"/>
          <w:highlight w:val="none"/>
        </w:rPr>
        <w:t xml:space="preserve">3、Bug修复：自芯片回片之日起</w:t>
      </w:r>
      <w:r>
        <w:rPr>
          <w:color w:val="auto"/>
          <w:sz w:val="18"/>
          <w:szCs w:val="18"/>
          <w:highlight w:val="none"/>
          <w:u w:val="single"/>
        </w:rPr>
        <w:t xml:space="preserve">  </w:t>
      </w:r>
      <w:r>
        <w:rPr>
          <w:rFonts w:hint="eastAsia"/>
          <w:color w:val="auto"/>
          <w:sz w:val="18"/>
          <w:szCs w:val="18"/>
          <w:highlight w:val="none"/>
          <w:u w:val="single"/>
        </w:rPr>
        <w:t xml:space="preserve">6 </w:t>
      </w:r>
      <w:r>
        <w:rPr>
          <w:color w:val="auto"/>
          <w:sz w:val="18"/>
          <w:szCs w:val="18"/>
          <w:highlight w:val="none"/>
          <w:u w:val="single"/>
        </w:rPr>
        <w:t xml:space="preserve"> </w:t>
      </w:r>
      <w:r>
        <w:rPr>
          <w:color w:val="auto"/>
          <w:sz w:val="18"/>
          <w:szCs w:val="18"/>
          <w:highlight w:val="none"/>
        </w:rPr>
        <w:t xml:space="preserve">个月内，如因乙方自身设计原因导致芯片出现Bug，乙方应提供免费的修复、重构及技术支持服务。</w:t>
      </w:r>
      <w:r/>
    </w:p>
    <w:p>
      <w:pPr>
        <w:ind w:firstLine="360"/>
        <w:rPr>
          <w:color w:val="auto"/>
          <w:sz w:val="18"/>
          <w:szCs w:val="18"/>
          <w:highlight w:val="none"/>
        </w:rPr>
      </w:pPr>
      <w:r>
        <w:rPr>
          <w:color w:val="auto"/>
          <w:sz w:val="18"/>
          <w:szCs w:val="18"/>
          <w:highlight w:val="none"/>
        </w:rPr>
        <w:t xml:space="preserve">4、文档质量：乙方提供的所有技术文档（包括设计、验证、测试、验收等文档）必须完整、准确、可理解，且文档更新必须与设计变更同步。</w:t>
      </w:r>
      <w:r/>
    </w:p>
    <w:p>
      <w:pPr>
        <w:ind w:firstLine="360"/>
        <w:rPr>
          <w:color w:val="auto"/>
          <w:sz w:val="18"/>
          <w:szCs w:val="18"/>
          <w:highlight w:val="none"/>
        </w:rPr>
      </w:pPr>
      <w:r>
        <w:rPr>
          <w:color w:val="auto"/>
          <w:sz w:val="18"/>
          <w:szCs w:val="18"/>
          <w:highlight w:val="none"/>
        </w:rPr>
        <w:t xml:space="preserve">5、乙方保证货物是全新的、未使用过的原厂正品，完全符合国家标准、行业通行标准及厂方出厂标准，并不低于投标文件的承诺。</w:t>
      </w:r>
      <w:r/>
    </w:p>
    <w:p>
      <w:pPr>
        <w:ind w:firstLine="360"/>
        <w:rPr>
          <w:color w:val="auto"/>
          <w:sz w:val="18"/>
          <w:szCs w:val="18"/>
          <w:highlight w:val="none"/>
        </w:rPr>
      </w:pPr>
      <w:r>
        <w:rPr>
          <w:rFonts w:hint="eastAsia"/>
          <w:color w:val="auto"/>
          <w:sz w:val="18"/>
          <w:szCs w:val="18"/>
          <w:highlight w:val="none"/>
        </w:rPr>
        <w:t xml:space="preserve">6、</w:t>
      </w:r>
      <w:r>
        <w:rPr>
          <w:color w:val="auto"/>
          <w:sz w:val="18"/>
          <w:szCs w:val="18"/>
          <w:highlight w:val="none"/>
        </w:rPr>
        <w:t xml:space="preserve">乙方所提供的</w:t>
      </w:r>
      <w:r>
        <w:rPr>
          <w:rFonts w:hint="eastAsia"/>
          <w:color w:val="auto"/>
          <w:sz w:val="18"/>
          <w:szCs w:val="18"/>
          <w:highlight w:val="none"/>
        </w:rPr>
        <w:t xml:space="preserve">全部交付物</w:t>
      </w:r>
      <w:r>
        <w:rPr>
          <w:color w:val="auto"/>
          <w:sz w:val="18"/>
          <w:szCs w:val="18"/>
          <w:highlight w:val="none"/>
        </w:rPr>
        <w:t xml:space="preserve">，其技术规格与性能指标应与本合同、合同附件及招投标文件（含技术偏离表）保持一致。如有冲突，按第二条约定的合同文件解释顺序执行；无明确约定的，以国家标准、行业规范及半导体通用技术标准为准。</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w:t>
      </w:r>
      <w:r>
        <w:rPr>
          <w:rFonts w:hint="eastAsia" w:eastAsia="方正黑体简体"/>
          <w:color w:val="auto"/>
          <w:sz w:val="18"/>
          <w:szCs w:val="18"/>
          <w:highlight w:val="none"/>
        </w:rPr>
        <w:t xml:space="preserve">九</w:t>
      </w:r>
      <w:r>
        <w:rPr>
          <w:rFonts w:eastAsia="方正黑体简体"/>
          <w:color w:val="auto"/>
          <w:sz w:val="18"/>
          <w:szCs w:val="18"/>
          <w:highlight w:val="none"/>
        </w:rPr>
        <w:t xml:space="preserve">条 售后服务与技术支持</w:t>
      </w:r>
      <w:r/>
    </w:p>
    <w:p>
      <w:pPr>
        <w:ind w:firstLine="360"/>
        <w:rPr>
          <w:color w:val="auto"/>
          <w:sz w:val="18"/>
          <w:szCs w:val="18"/>
          <w:highlight w:val="none"/>
        </w:rPr>
      </w:pPr>
      <w:r>
        <w:rPr>
          <w:color w:val="auto"/>
          <w:sz w:val="18"/>
          <w:szCs w:val="18"/>
          <w:highlight w:val="none"/>
        </w:rPr>
        <w:t xml:space="preserve">1、技术支持期：自芯片回片之日起，乙方提供</w:t>
      </w:r>
      <w:r>
        <w:rPr>
          <w:color w:val="auto"/>
          <w:sz w:val="18"/>
          <w:szCs w:val="18"/>
          <w:highlight w:val="none"/>
          <w:u w:val="single"/>
        </w:rPr>
        <w:t xml:space="preserve">  </w:t>
      </w:r>
      <w:r>
        <w:rPr>
          <w:rFonts w:hint="eastAsia"/>
          <w:color w:val="auto"/>
          <w:sz w:val="18"/>
          <w:szCs w:val="18"/>
          <w:highlight w:val="none"/>
          <w:u w:val="single"/>
        </w:rPr>
        <w:t xml:space="preserve">6</w:t>
      </w:r>
      <w:r>
        <w:rPr>
          <w:color w:val="auto"/>
          <w:sz w:val="18"/>
          <w:szCs w:val="18"/>
          <w:highlight w:val="none"/>
          <w:u w:val="single"/>
        </w:rPr>
        <w:t xml:space="preserve">  </w:t>
      </w:r>
      <w:r>
        <w:rPr>
          <w:color w:val="auto"/>
          <w:sz w:val="18"/>
          <w:szCs w:val="18"/>
          <w:highlight w:val="none"/>
        </w:rPr>
        <w:t xml:space="preserve">个月免费售后及技术支持服务。</w:t>
      </w:r>
      <w:r/>
    </w:p>
    <w:p>
      <w:pPr>
        <w:ind w:firstLine="360"/>
        <w:rPr>
          <w:color w:val="auto"/>
          <w:sz w:val="18"/>
          <w:szCs w:val="18"/>
          <w:highlight w:val="none"/>
        </w:rPr>
      </w:pPr>
      <w:r>
        <w:rPr>
          <w:color w:val="auto"/>
          <w:sz w:val="18"/>
          <w:szCs w:val="18"/>
          <w:highlight w:val="none"/>
        </w:rPr>
        <w:t xml:space="preserve">2、响应时间：对于甲方提出的技术问题，乙方须在</w:t>
      </w:r>
      <w:r>
        <w:rPr>
          <w:color w:val="auto"/>
          <w:sz w:val="18"/>
          <w:szCs w:val="18"/>
          <w:highlight w:val="none"/>
          <w:u w:val="single"/>
        </w:rPr>
        <w:t xml:space="preserve">  </w:t>
      </w:r>
      <w:r>
        <w:rPr>
          <w:rFonts w:hint="eastAsia"/>
          <w:color w:val="auto"/>
          <w:sz w:val="18"/>
          <w:szCs w:val="18"/>
          <w:highlight w:val="none"/>
          <w:u w:val="single"/>
        </w:rPr>
        <w:t xml:space="preserve">24</w:t>
      </w:r>
      <w:r>
        <w:rPr>
          <w:color w:val="auto"/>
          <w:sz w:val="18"/>
          <w:szCs w:val="18"/>
          <w:highlight w:val="none"/>
          <w:u w:val="single"/>
        </w:rPr>
        <w:t xml:space="preserve">  </w:t>
      </w:r>
      <w:r>
        <w:rPr>
          <w:color w:val="auto"/>
          <w:sz w:val="18"/>
          <w:szCs w:val="18"/>
          <w:highlight w:val="none"/>
        </w:rPr>
        <w:t xml:space="preserve">小时内（工作日）进行响应并提供解决方案。</w:t>
      </w:r>
      <w:r/>
    </w:p>
    <w:p>
      <w:pPr>
        <w:ind w:firstLine="360"/>
        <w:rPr>
          <w:color w:val="auto"/>
          <w:sz w:val="18"/>
          <w:szCs w:val="18"/>
          <w:highlight w:val="none"/>
        </w:rPr>
      </w:pPr>
      <w:r>
        <w:rPr>
          <w:color w:val="auto"/>
          <w:sz w:val="18"/>
          <w:szCs w:val="18"/>
          <w:highlight w:val="none"/>
        </w:rPr>
        <w:t xml:space="preserve">3、培训服务：乙方应指派专人为甲方工程师提供芯片使用和调试培训，培训内容应不少于</w:t>
      </w:r>
      <w:r>
        <w:rPr>
          <w:color w:val="auto"/>
          <w:sz w:val="18"/>
          <w:szCs w:val="18"/>
          <w:highlight w:val="none"/>
          <w:u w:val="single"/>
        </w:rPr>
        <w:t xml:space="preserve">  </w:t>
      </w:r>
      <w:r>
        <w:rPr>
          <w:rFonts w:hint="eastAsia"/>
          <w:color w:val="auto"/>
          <w:sz w:val="18"/>
          <w:szCs w:val="18"/>
          <w:highlight w:val="none"/>
          <w:u w:val="single"/>
        </w:rPr>
        <w:t xml:space="preserve">16</w:t>
      </w:r>
      <w:r>
        <w:rPr>
          <w:color w:val="auto"/>
          <w:sz w:val="18"/>
          <w:szCs w:val="18"/>
          <w:highlight w:val="none"/>
          <w:u w:val="single"/>
        </w:rPr>
        <w:t xml:space="preserve">  </w:t>
      </w:r>
      <w:r>
        <w:rPr>
          <w:color w:val="auto"/>
          <w:sz w:val="18"/>
          <w:szCs w:val="18"/>
          <w:highlight w:val="none"/>
        </w:rPr>
        <w:t xml:space="preserve">课时，相关费用已包含在合同总价中。</w:t>
      </w:r>
      <w:r/>
    </w:p>
    <w:p>
      <w:pPr>
        <w:ind w:firstLine="360"/>
        <w:rPr>
          <w:color w:val="auto"/>
          <w:sz w:val="18"/>
          <w:szCs w:val="18"/>
          <w:highlight w:val="none"/>
        </w:rPr>
      </w:pPr>
      <w:r>
        <w:rPr>
          <w:color w:val="auto"/>
          <w:sz w:val="18"/>
          <w:szCs w:val="18"/>
          <w:highlight w:val="none"/>
        </w:rPr>
        <w:t xml:space="preserve">4、</w:t>
      </w:r>
      <w:r>
        <w:rPr>
          <w:rFonts w:hint="eastAsia"/>
          <w:color w:val="auto"/>
          <w:sz w:val="18"/>
          <w:szCs w:val="18"/>
          <w:highlight w:val="none"/>
        </w:rPr>
        <w:t xml:space="preserve">质保与缺陷修复</w:t>
      </w:r>
      <w:r/>
    </w:p>
    <w:p>
      <w:pPr>
        <w:ind w:firstLine="360"/>
        <w:rPr>
          <w:color w:val="auto"/>
          <w:sz w:val="18"/>
          <w:szCs w:val="18"/>
          <w:highlight w:val="none"/>
        </w:rPr>
      </w:pPr>
      <w:r>
        <w:rPr>
          <w:rFonts w:hint="eastAsia"/>
          <w:color w:val="auto"/>
          <w:sz w:val="18"/>
          <w:szCs w:val="18"/>
          <w:highlight w:val="none"/>
        </w:rPr>
        <w:t xml:space="preserve">在技术支持与保修期内，乙方负责对其提供的货物及技术成果承担质量保证和维护责任：</w:t>
      </w:r>
      <w:r/>
    </w:p>
    <w:p>
      <w:pPr>
        <w:ind w:firstLine="360"/>
        <w:rPr>
          <w:color w:val="auto"/>
          <w:sz w:val="18"/>
          <w:szCs w:val="18"/>
          <w:highlight w:val="none"/>
        </w:rPr>
      </w:pPr>
      <w:r>
        <w:rPr>
          <w:rFonts w:hint="eastAsia"/>
          <w:color w:val="auto"/>
          <w:sz w:val="18"/>
          <w:szCs w:val="18"/>
          <w:highlight w:val="none"/>
        </w:rPr>
        <w:t xml:space="preserve">（1） 数字化交付物（如设计数据、GDS、源程序、驱动及SDK等）：如在实际应用中发现系统缺陷或Bug，乙方负责进行无偿的设计优化、代码重构或提供软件补丁等缺陷修复服务，直至完全符合设计规格要求。</w:t>
      </w:r>
      <w:r/>
    </w:p>
    <w:p>
      <w:pPr>
        <w:ind w:firstLine="360"/>
        <w:rPr>
          <w:color w:val="auto"/>
          <w:sz w:val="18"/>
          <w:szCs w:val="18"/>
          <w:highlight w:val="none"/>
        </w:rPr>
      </w:pPr>
      <w:r>
        <w:rPr>
          <w:rFonts w:hint="eastAsia"/>
          <w:color w:val="auto"/>
          <w:sz w:val="18"/>
          <w:szCs w:val="18"/>
          <w:highlight w:val="none"/>
        </w:rPr>
        <w:t xml:space="preserve">（2） 实物交付物（如工程芯片、晶圆、评估板/硬件载体等）：因乙方原因发生性能缺陷或物理损坏的，乙方负责进行无偿重做、更换或返修（不可抗力或甲方人为损坏除外）。若硬件故障在检修</w:t>
      </w:r>
      <w:r>
        <w:rPr>
          <w:rFonts w:hint="eastAsia"/>
          <w:color w:val="auto"/>
          <w:sz w:val="18"/>
          <w:szCs w:val="18"/>
          <w:highlight w:val="none"/>
          <w:u w:val="single"/>
        </w:rPr>
        <w:t xml:space="preserve"> [ 24 ] </w:t>
      </w:r>
      <w:r>
        <w:rPr>
          <w:rFonts w:hint="eastAsia"/>
          <w:color w:val="auto"/>
          <w:sz w:val="18"/>
          <w:szCs w:val="18"/>
          <w:highlight w:val="none"/>
        </w:rPr>
        <w:t xml:space="preserve">工作小时后仍无法排除，乙方应在</w:t>
      </w:r>
      <w:r>
        <w:rPr>
          <w:rFonts w:hint="eastAsia"/>
          <w:color w:val="auto"/>
          <w:sz w:val="18"/>
          <w:szCs w:val="18"/>
          <w:highlight w:val="none"/>
          <w:u w:val="single"/>
        </w:rPr>
        <w:t xml:space="preserve"> [ 72 ] </w:t>
      </w:r>
      <w:r>
        <w:rPr>
          <w:rFonts w:hint="eastAsia"/>
          <w:color w:val="auto"/>
          <w:sz w:val="18"/>
          <w:szCs w:val="18"/>
          <w:highlight w:val="none"/>
        </w:rPr>
        <w:t xml:space="preserve">小时内免费提供不低于故障硬件规格型号档次的备用物（如备用开发板等），或提供相应的临时规避方案供甲方使用，直至原硬件修复。</w:t>
      </w:r>
      <w:r/>
    </w:p>
    <w:p>
      <w:pPr>
        <w:ind w:firstLine="360"/>
        <w:rPr>
          <w:color w:val="auto"/>
          <w:sz w:val="18"/>
          <w:szCs w:val="18"/>
          <w:highlight w:val="none"/>
        </w:rPr>
      </w:pPr>
      <w:r>
        <w:rPr>
          <w:color w:val="auto"/>
          <w:sz w:val="18"/>
          <w:szCs w:val="18"/>
          <w:highlight w:val="none"/>
        </w:rPr>
        <w:t xml:space="preserve">5、</w:t>
      </w:r>
      <w:r>
        <w:rPr>
          <w:rFonts w:hint="eastAsia"/>
          <w:color w:val="auto"/>
          <w:sz w:val="18"/>
          <w:szCs w:val="18"/>
          <w:highlight w:val="none"/>
        </w:rPr>
        <w:t xml:space="preserve">售后服务方式</w:t>
      </w:r>
      <w:r/>
    </w:p>
    <w:p>
      <w:pPr>
        <w:ind w:firstLine="360"/>
        <w:rPr>
          <w:color w:val="auto"/>
          <w:sz w:val="18"/>
          <w:szCs w:val="18"/>
          <w:highlight w:val="none"/>
        </w:rPr>
      </w:pPr>
      <w:r>
        <w:rPr>
          <w:rFonts w:hint="eastAsia"/>
          <w:color w:val="auto"/>
          <w:sz w:val="18"/>
          <w:szCs w:val="18"/>
          <w:highlight w:val="none"/>
        </w:rPr>
        <w:t xml:space="preserve">售后及技术支持服务方式应当根据交付物性质灵活采取以下方式：</w:t>
      </w:r>
      <w:r/>
    </w:p>
    <w:p>
      <w:pPr>
        <w:ind w:firstLine="360"/>
        <w:rPr>
          <w:color w:val="auto"/>
          <w:sz w:val="18"/>
          <w:szCs w:val="18"/>
          <w:highlight w:val="none"/>
        </w:rPr>
      </w:pPr>
      <w:r>
        <w:rPr>
          <w:rFonts w:hint="eastAsia"/>
          <w:color w:val="auto"/>
          <w:sz w:val="18"/>
          <w:szCs w:val="18"/>
          <w:highlight w:val="none"/>
        </w:rPr>
        <w:t xml:space="preserve">（1） 针对数字化交付物：主要通过远程在线支持（如电话、电子邮件、网络即时通讯、视频会议、版本代码库更新、补丁下发等）方式进行；</w:t>
      </w:r>
      <w:r/>
    </w:p>
    <w:p>
      <w:pPr>
        <w:ind w:firstLine="360"/>
        <w:rPr>
          <w:color w:val="auto"/>
          <w:sz w:val="18"/>
          <w:szCs w:val="18"/>
          <w:highlight w:val="none"/>
        </w:rPr>
      </w:pPr>
      <w:r>
        <w:rPr>
          <w:rFonts w:hint="eastAsia"/>
          <w:color w:val="auto"/>
          <w:sz w:val="18"/>
          <w:szCs w:val="18"/>
          <w:highlight w:val="none"/>
        </w:rPr>
        <w:t xml:space="preserve">（2） 针对实物交付物及现场调试需求：可采用快递寄送、乙方技术人员上门现场服务（包括现场Bring Up支持、实验室联调等）等方式。由此产生的一切费用（包括但不限于快递寄送费、技术人员往返差旅费等）均由乙方承担。</w:t>
      </w:r>
      <w:r/>
    </w:p>
    <w:p>
      <w:pPr>
        <w:ind w:firstLine="360"/>
        <w:rPr>
          <w:color w:val="auto"/>
          <w:sz w:val="18"/>
          <w:szCs w:val="18"/>
          <w:highlight w:val="none"/>
        </w:rPr>
      </w:pPr>
      <w:r>
        <w:rPr>
          <w:color w:val="auto"/>
          <w:sz w:val="18"/>
          <w:szCs w:val="18"/>
          <w:highlight w:val="none"/>
        </w:rPr>
        <w:t xml:space="preserve">6、</w:t>
      </w:r>
      <w:r>
        <w:rPr>
          <w:rFonts w:hint="eastAsia"/>
          <w:color w:val="auto"/>
          <w:sz w:val="18"/>
          <w:szCs w:val="18"/>
          <w:highlight w:val="none"/>
        </w:rPr>
        <w:t xml:space="preserve">替代履约与费用抵扣</w:t>
      </w:r>
      <w:r/>
    </w:p>
    <w:p>
      <w:pPr>
        <w:ind w:firstLine="360"/>
        <w:rPr>
          <w:color w:val="auto"/>
          <w:sz w:val="18"/>
          <w:szCs w:val="18"/>
          <w:highlight w:val="none"/>
        </w:rPr>
      </w:pPr>
      <w:r>
        <w:rPr>
          <w:rFonts w:hint="eastAsia"/>
          <w:color w:val="auto"/>
          <w:sz w:val="18"/>
          <w:szCs w:val="18"/>
          <w:highlight w:val="none"/>
        </w:rPr>
        <w:t xml:space="preserve">如乙方未能按约定提供售后支持、缺陷修复、Bug更正服务，或在紧急情况下甲方无法取得联系、乙方无法及时安排解决的，甲方在书面通知乙方后，</w:t>
      </w:r>
      <w:r>
        <w:rPr>
          <w:color w:val="auto"/>
          <w:sz w:val="18"/>
          <w:szCs w:val="18"/>
          <w:highlight w:val="none"/>
        </w:rPr>
        <w:t xml:space="preserve">若乙方在紧急情况下 [48] 小时内（或非紧急情况下 [</w:t>
      </w:r>
      <w:r>
        <w:rPr>
          <w:rFonts w:hint="eastAsia"/>
          <w:color w:val="auto"/>
          <w:sz w:val="18"/>
          <w:szCs w:val="18"/>
          <w:highlight w:val="none"/>
        </w:rPr>
        <w:t xml:space="preserve">5</w:t>
      </w:r>
      <w:r>
        <w:rPr>
          <w:color w:val="auto"/>
          <w:sz w:val="18"/>
          <w:szCs w:val="18"/>
          <w:highlight w:val="none"/>
        </w:rPr>
        <w:t xml:space="preserve">] 个工作日内）未予书面回复、未能提供有效解决方案、拒绝修复或未能在双方约定的期限内完成修复，</w:t>
      </w:r>
      <w:r>
        <w:rPr>
          <w:rFonts w:hint="eastAsia"/>
          <w:color w:val="auto"/>
          <w:sz w:val="18"/>
          <w:szCs w:val="18"/>
          <w:highlight w:val="none"/>
        </w:rPr>
        <w:t xml:space="preserve">甲方有权自行或委托第三方机构对相关数字化交付物（如代码、驱动等）进行修改与缺陷修复，或对实物进行维修、更换及重做。由此产生的实际合理费用及造成的甲方损失（包括另行聘请第三方的技术服务费等），由乙方承担，甲方有权从应付乙方的任何未付款项中直接抵扣，不足部分由乙方另行支付。</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第十条 禁止商业贿赂与诚实信用</w:t>
      </w:r>
      <w:r/>
    </w:p>
    <w:p>
      <w:pPr>
        <w:ind w:firstLine="360"/>
        <w:rPr>
          <w:color w:val="auto"/>
          <w:sz w:val="18"/>
          <w:szCs w:val="18"/>
          <w:highlight w:val="none"/>
        </w:rPr>
      </w:pPr>
      <w:r>
        <w:rPr>
          <w:color w:val="auto"/>
          <w:sz w:val="18"/>
          <w:szCs w:val="18"/>
          <w:highlight w:val="none"/>
        </w:rPr>
        <w:t xml:space="preserve">1、甲乙双方保证严格遵守廉洁自律规定，不向另一方及与本项目有关的任何第三方的工作人员直接或间接给予或收受任何可能影响公正履行合同的礼品、礼金、有价证券、宴请、旅游、娱乐等不正当利益。</w:t>
      </w:r>
      <w:r/>
    </w:p>
    <w:p>
      <w:pPr>
        <w:ind w:firstLine="360"/>
        <w:rPr>
          <w:color w:val="auto"/>
          <w:sz w:val="18"/>
          <w:szCs w:val="18"/>
          <w:highlight w:val="none"/>
        </w:rPr>
      </w:pPr>
      <w:r>
        <w:rPr>
          <w:color w:val="auto"/>
          <w:sz w:val="18"/>
          <w:szCs w:val="18"/>
          <w:highlight w:val="none"/>
        </w:rPr>
        <w:t xml:space="preserve">2、如乙方违反本条规定，经核查属实，甲方有权以书面形式立即终止本合同，乙方应承担由此造成的一切损失，且甲方保留依法追究进一步法律责任的权利。</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第十</w:t>
      </w:r>
      <w:r>
        <w:rPr>
          <w:rFonts w:hint="eastAsia" w:eastAsia="方正黑体简体"/>
          <w:color w:val="auto"/>
          <w:sz w:val="18"/>
          <w:szCs w:val="18"/>
          <w:highlight w:val="none"/>
        </w:rPr>
        <w:t xml:space="preserve">一</w:t>
      </w:r>
      <w:r>
        <w:rPr>
          <w:rFonts w:eastAsia="方正黑体简体"/>
          <w:color w:val="auto"/>
          <w:sz w:val="18"/>
          <w:szCs w:val="18"/>
          <w:highlight w:val="none"/>
        </w:rPr>
        <w:t xml:space="preserve">条 保密责任</w:t>
      </w:r>
      <w:r/>
    </w:p>
    <w:p>
      <w:pPr>
        <w:ind w:firstLine="360"/>
        <w:rPr>
          <w:color w:val="auto"/>
          <w:sz w:val="18"/>
          <w:szCs w:val="18"/>
          <w:highlight w:val="none"/>
        </w:rPr>
      </w:pPr>
      <w:r>
        <w:rPr>
          <w:color w:val="auto"/>
          <w:sz w:val="18"/>
          <w:szCs w:val="18"/>
          <w:highlight w:val="none"/>
        </w:rPr>
        <w:t xml:space="preserve">1、保密信息定义：指甲方向乙方披露的，或乙方在履行合同过程中获得、获知的有关甲方及其关联公司的产品数据、设计、流程、财务、客户、项目开发及定制软件开发等一切未公开的商业秘密、技术资料、图纸、数据及内部情况。</w:t>
      </w:r>
      <w:r/>
    </w:p>
    <w:p>
      <w:pPr>
        <w:ind w:firstLine="360"/>
        <w:rPr>
          <w:color w:val="auto"/>
          <w:sz w:val="18"/>
          <w:szCs w:val="18"/>
          <w:highlight w:val="none"/>
        </w:rPr>
      </w:pPr>
      <w:r>
        <w:rPr>
          <w:color w:val="auto"/>
          <w:sz w:val="18"/>
          <w:szCs w:val="18"/>
          <w:highlight w:val="none"/>
        </w:rPr>
        <w:t xml:space="preserve">2、例外情况：保密信息不包括：（1）通过非乙方原因的公开渠道已公开的信息；（2）由无保密义务的第三方合法提供的信息；（3）在披露前已合法持有的信息；（4）乙方独立开发且不依赖保密信息的内容；（5）甲方书面许可披露的信息；（6）法律法规或有管辖权的法院、政府监管机构强制要求披露的信息。</w:t>
      </w:r>
      <w:r/>
    </w:p>
    <w:p>
      <w:pPr>
        <w:ind w:firstLine="360"/>
        <w:rPr>
          <w:color w:val="auto"/>
          <w:sz w:val="18"/>
          <w:szCs w:val="18"/>
          <w:highlight w:val="none"/>
        </w:rPr>
      </w:pPr>
      <w:r>
        <w:rPr>
          <w:color w:val="auto"/>
          <w:sz w:val="18"/>
          <w:szCs w:val="18"/>
          <w:highlight w:val="none"/>
        </w:rPr>
        <w:t xml:space="preserve">3、保密义务：乙方应对甲方的保密信息严格保密，采取不低于保护自身商业秘密的措施进行妥善保管。乙方仅可在“有必要知道”的范围内向其雇员披露，并确保该等雇员签署相同或更严保密协议。乙方雇员的泄密行为视为乙方的泄密行为，由乙方承担全部责任。</w:t>
      </w:r>
      <w:r/>
    </w:p>
    <w:p>
      <w:pPr>
        <w:ind w:firstLine="360"/>
        <w:rPr>
          <w:color w:val="auto"/>
          <w:sz w:val="18"/>
          <w:szCs w:val="18"/>
          <w:highlight w:val="none"/>
        </w:rPr>
      </w:pPr>
      <w:r>
        <w:rPr>
          <w:color w:val="auto"/>
          <w:sz w:val="18"/>
          <w:szCs w:val="18"/>
          <w:highlight w:val="none"/>
        </w:rPr>
        <w:t xml:space="preserve">4、使用限制：未经甲方事先书面许可，乙方不得将保密信息用于本合同履行以外的任何其他目的，不得向任何第三方披露，也不得利用该信息获取任何专利或其他知识产权。</w:t>
      </w:r>
      <w:r/>
    </w:p>
    <w:p>
      <w:pPr>
        <w:ind w:firstLine="360"/>
        <w:rPr>
          <w:color w:val="auto"/>
          <w:sz w:val="18"/>
          <w:szCs w:val="18"/>
          <w:highlight w:val="none"/>
        </w:rPr>
      </w:pPr>
      <w:r>
        <w:rPr>
          <w:color w:val="auto"/>
          <w:sz w:val="18"/>
          <w:szCs w:val="18"/>
          <w:highlight w:val="none"/>
        </w:rPr>
        <w:t xml:space="preserve">5、保密期限：本保密条款具有独立性，自本合同签署之日起生效，在双方合作期满或合同终止后仍然有效，保密期限自信息披露之日起不少于 [三] 年。若因乙方原因导致项目信息泄露，乙方应承担相应的法律责任并全额赔偿甲方的经济损失。</w:t>
      </w:r>
      <w:r/>
    </w:p>
    <w:p>
      <w:pPr>
        <w:ind w:firstLine="360"/>
        <w:rPr>
          <w:color w:val="auto"/>
          <w:sz w:val="18"/>
          <w:szCs w:val="18"/>
          <w:highlight w:val="none"/>
        </w:rPr>
      </w:pPr>
      <w:r>
        <w:rPr>
          <w:color w:val="auto"/>
          <w:sz w:val="18"/>
          <w:szCs w:val="18"/>
          <w:highlight w:val="none"/>
        </w:rPr>
        <w:t xml:space="preserve">6、泄密违约金：任何一方违反保密约定的，违约方应向守约方支付合同总价 [20]% 的违约金；违约金不足以弥补守约方损失的，应按实际损失予以赔偿。</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第十</w:t>
      </w:r>
      <w:r>
        <w:rPr>
          <w:rFonts w:hint="eastAsia" w:eastAsia="方正黑体简体"/>
          <w:color w:val="auto"/>
          <w:sz w:val="18"/>
          <w:szCs w:val="18"/>
          <w:highlight w:val="none"/>
        </w:rPr>
        <w:t xml:space="preserve">二</w:t>
      </w:r>
      <w:r>
        <w:rPr>
          <w:rFonts w:eastAsia="方正黑体简体"/>
          <w:color w:val="auto"/>
          <w:sz w:val="18"/>
          <w:szCs w:val="18"/>
          <w:highlight w:val="none"/>
        </w:rPr>
        <w:t xml:space="preserve">条 违约责任</w:t>
      </w:r>
      <w:r/>
    </w:p>
    <w:p>
      <w:pPr>
        <w:ind w:firstLine="360"/>
        <w:rPr>
          <w:color w:val="auto"/>
          <w:sz w:val="18"/>
          <w:szCs w:val="18"/>
          <w:highlight w:val="none"/>
        </w:rPr>
      </w:pPr>
      <w:r>
        <w:rPr>
          <w:color w:val="auto"/>
          <w:sz w:val="18"/>
          <w:szCs w:val="18"/>
          <w:highlight w:val="none"/>
        </w:rPr>
        <w:t xml:space="preserve">1、如因甲方原因未在约定的付款期限内支付各阶段款项的，自该笔款项应付款期限届满之次日起的 [10] 个工作日内（宽限期），甲方无需向乙方支付任何逾期违约金，但项目后续所有交付里程碑及交付周期应当根据甲方实际逾期的时间（按工作日对等）相应予以顺延。若甲方逾期付款超过 [10] 个工作日，甲方应自逾期第 [11] 个工作日起，就逾期未付款项按 [每日万分之一] 的标准向乙方支付逾期违约金。每一阶段产生的逾期违约金上限不超过对应阶段款项金额的 [</w:t>
      </w:r>
      <w:r>
        <w:rPr>
          <w:rFonts w:hint="eastAsia"/>
          <w:color w:val="auto"/>
          <w:sz w:val="18"/>
          <w:szCs w:val="18"/>
          <w:highlight w:val="none"/>
        </w:rPr>
        <w:t xml:space="preserve">10</w:t>
      </w:r>
      <w:r>
        <w:rPr>
          <w:color w:val="auto"/>
          <w:sz w:val="18"/>
          <w:szCs w:val="18"/>
          <w:highlight w:val="none"/>
        </w:rPr>
        <w:t xml:space="preserve">]%，且本合同项下所有阶段的逾期付款违约金累计总金额不得超过本合同总金额的 [</w:t>
      </w:r>
      <w:r>
        <w:rPr>
          <w:rFonts w:hint="eastAsia"/>
          <w:color w:val="auto"/>
          <w:sz w:val="18"/>
          <w:szCs w:val="18"/>
          <w:highlight w:val="none"/>
        </w:rPr>
        <w:t xml:space="preserve">10</w:t>
      </w:r>
      <w:r>
        <w:rPr>
          <w:color w:val="auto"/>
          <w:sz w:val="18"/>
          <w:szCs w:val="18"/>
          <w:highlight w:val="none"/>
        </w:rPr>
        <w:t xml:space="preserve">]%。因乙方未先行开具发票、交付物评审未通过、未提交合格证明或处于整改期间等非甲方原因导致的顺延付款，甲方不承担任何违约责任。</w:t>
      </w:r>
      <w:r/>
    </w:p>
    <w:p>
      <w:pPr>
        <w:ind w:firstLine="360"/>
        <w:rPr>
          <w:color w:val="auto"/>
          <w:sz w:val="18"/>
          <w:szCs w:val="18"/>
          <w:highlight w:val="none"/>
        </w:rPr>
      </w:pPr>
      <w:r>
        <w:rPr>
          <w:rFonts w:hint="eastAsia"/>
          <w:color w:val="auto"/>
          <w:sz w:val="18"/>
          <w:szCs w:val="18"/>
          <w:highlight w:val="none"/>
        </w:rPr>
        <w:t xml:space="preserve">2、</w:t>
      </w:r>
      <w:r>
        <w:rPr>
          <w:color w:val="auto"/>
          <w:sz w:val="18"/>
          <w:szCs w:val="18"/>
          <w:highlight w:val="none"/>
        </w:rPr>
        <w:t xml:space="preserve">在乙方无任何违约行为的前提下，如甲方无正当理由拒绝签署各阶段验收确认书、拒绝按约定支付合同款项，或单方面无故终止本合同，导致项目终止的，甲方应向乙方全额支付已完成且经评审合格阶段的对应款项。</w:t>
      </w:r>
      <w:r/>
    </w:p>
    <w:p>
      <w:pPr>
        <w:ind w:firstLine="360"/>
        <w:rPr>
          <w:color w:val="auto"/>
          <w:sz w:val="18"/>
          <w:szCs w:val="18"/>
          <w:highlight w:val="none"/>
        </w:rPr>
      </w:pPr>
      <w:r>
        <w:rPr>
          <w:rFonts w:hint="eastAsia"/>
          <w:color w:val="auto"/>
          <w:sz w:val="18"/>
          <w:szCs w:val="18"/>
          <w:highlight w:val="none"/>
        </w:rPr>
        <w:t xml:space="preserve">3、因甲方原因导致延期的免责与工期顺延：在项目</w:t>
      </w:r>
      <w:r>
        <w:rPr>
          <w:rFonts w:hint="eastAsia"/>
          <w:color w:val="auto"/>
          <w:sz w:val="18"/>
          <w:szCs w:val="18"/>
          <w:highlight w:val="none"/>
        </w:rPr>
        <w:t xml:space="preserve">实施、开发及流片过程中，如因甲方原因（包括但不限于：甲方设计或提供的IP、代码、数据存在技术缺陷或瑕疵；甲方未按约定时间、不完整或不准确地提供项目所需的技术文档、输入文件等资料；或甲方对阶段交付物的评审、确认、联调等配合工作出现拖延）导致项目开发、调试、流片及交付延误的，不视为乙方违约，甲方不得以此追究乙方的任何违约、延期损害赔偿或解除合同的法律责任。此时，项目各阶段交付里程碑、后续付款节点及合同终止期限等，应当根据甲方实际延误的时间（及由此导致的乙方需重新排产、方案调整或整改的合理技术周期）相应予以顺延。</w:t>
      </w:r>
      <w:r/>
    </w:p>
    <w:p>
      <w:pPr>
        <w:ind w:firstLine="360"/>
        <w:rPr>
          <w:color w:val="auto"/>
          <w:sz w:val="18"/>
          <w:szCs w:val="18"/>
          <w:highlight w:val="none"/>
        </w:rPr>
      </w:pPr>
      <w:r>
        <w:rPr>
          <w:rFonts w:hint="eastAsia"/>
          <w:color w:val="auto"/>
          <w:sz w:val="18"/>
          <w:szCs w:val="18"/>
          <w:highlight w:val="none"/>
        </w:rPr>
        <w:t xml:space="preserve">4、乙方因自身原因逾期交付或未按期完成各付款对应项目阶段之服务和交付的，自该款项对应阶段交付期限届满之次日起，就该阶段费用按 [每日千分之五] 的标准向甲方支付逾期违约金。每一阶段款项的逾期违约金上限不超过对应阶段费用的 [20]%，且本合同项下所有阶段的逾期交付违约金累计总金额不得超过本合同总金额的 [20]%。当乙方项目总工期累计逾期天数达到项目总计划开发周期的 [50]%，且在无正当理由或双方在合理期限内无法就后续进度达成书面一致意见的前提下，则</w:t>
      </w:r>
      <w:r>
        <w:rPr>
          <w:color w:val="auto"/>
          <w:sz w:val="18"/>
          <w:szCs w:val="18"/>
          <w:highlight w:val="none"/>
        </w:rPr>
        <w:t xml:space="preserve">视为乙方根本违约，甲方有权依据本条第5款单方解除本合同并执行清算。</w:t>
      </w:r>
      <w:r>
        <w:rPr>
          <w:rFonts w:hint="eastAsia"/>
          <w:color w:val="auto"/>
          <w:sz w:val="18"/>
          <w:szCs w:val="18"/>
          <w:highlight w:val="none"/>
        </w:rPr>
        <w:t xml:space="preserve">在此情况下，甲方不再计收、扣除或追索本款项下累计发生的逾期交付违约金，相关清算完全依据本条第5款之规定执行。</w:t>
      </w:r>
      <w:r/>
    </w:p>
    <w:p>
      <w:pPr>
        <w:ind w:firstLine="360"/>
        <w:rPr>
          <w:color w:val="auto"/>
          <w:sz w:val="18"/>
          <w:szCs w:val="18"/>
          <w:highlight w:val="none"/>
        </w:rPr>
      </w:pPr>
      <w:r>
        <w:rPr>
          <w:rFonts w:hint="eastAsia"/>
          <w:color w:val="auto"/>
          <w:sz w:val="18"/>
          <w:szCs w:val="18"/>
          <w:highlight w:val="none"/>
        </w:rPr>
        <w:t xml:space="preserve">5</w:t>
      </w:r>
      <w:r>
        <w:rPr>
          <w:color w:val="auto"/>
          <w:sz w:val="18"/>
          <w:szCs w:val="18"/>
          <w:highlight w:val="none"/>
        </w:rPr>
        <w:t xml:space="preserve">、</w:t>
      </w:r>
      <w:r>
        <w:rPr>
          <w:rFonts w:hint="eastAsia"/>
          <w:color w:val="auto"/>
          <w:sz w:val="18"/>
          <w:szCs w:val="18"/>
          <w:highlight w:val="none"/>
        </w:rPr>
        <w:t xml:space="preserve">因乙方单方面违约（包括明确拒绝履行、无故停工等），或出现本合同约定的其他被视为乙方根本违约之情形的，甲方有权单方解除本合同，解除通知自送达乙方之日起生效。本合同因前述情形解除后，乙方须在收到解除通知之日起 [10] 个工作日内，无条件向甲方全额退还已收取的全部合同款项，乙方无权就已发生的工作量向甲方追偿或主张任何费用。</w:t>
      </w:r>
      <w:r>
        <w:rPr>
          <w:color w:val="auto"/>
          <w:sz w:val="18"/>
          <w:szCs w:val="18"/>
          <w:highlight w:val="none"/>
        </w:rPr>
        <w:t xml:space="preserve">但若乙方能够向甲方提供其认可的证明文件（包括但不限于向第三方支付的合同/协议、银行付款凭证、发票，以及由该第三方出具的明确不予退还或无法取消的书面声明、通知等）以证实其为履行本合同已向第三方支付且确实无法退回、回收或取消的外部费用，且乙方积极推动并配合该第三方合同继续执行完毕、将该第三方合同项下的全部技术成果、交付物及实物资产（包括所有权、知识产权及相关权益）完整且无瑕疵地移交给甲方，则上述已实际产生且确实无法收回的第三方外部费用可免于退还，否则乙方仍须无条件向甲方全额退还已收取的全部合同款项。</w:t>
      </w:r>
      <w:r/>
    </w:p>
    <w:p>
      <w:pPr>
        <w:ind w:firstLine="360"/>
        <w:rPr>
          <w:color w:val="auto"/>
          <w:sz w:val="18"/>
          <w:szCs w:val="18"/>
          <w:highlight w:val="none"/>
        </w:rPr>
      </w:pPr>
      <w:r>
        <w:rPr>
          <w:rFonts w:hint="eastAsia"/>
          <w:color w:val="auto"/>
          <w:sz w:val="18"/>
          <w:szCs w:val="18"/>
          <w:highlight w:val="none"/>
        </w:rPr>
        <w:t xml:space="preserve">6</w:t>
      </w:r>
      <w:r>
        <w:rPr>
          <w:color w:val="auto"/>
          <w:sz w:val="18"/>
          <w:szCs w:val="18"/>
          <w:highlight w:val="none"/>
        </w:rPr>
        <w:t xml:space="preserve">、在甲方场所履行合同时，乙方人员必须遵守甲方的各项管理规定，每违反一次，乙方应向甲方支付 1000 元</w:t>
      </w:r>
      <w:r>
        <w:rPr>
          <w:rFonts w:hint="eastAsia"/>
          <w:color w:val="auto"/>
          <w:sz w:val="18"/>
          <w:szCs w:val="18"/>
          <w:highlight w:val="none"/>
        </w:rPr>
        <w:t xml:space="preserve">违约</w:t>
      </w:r>
      <w:r>
        <w:rPr>
          <w:color w:val="auto"/>
          <w:sz w:val="18"/>
          <w:szCs w:val="18"/>
          <w:highlight w:val="none"/>
        </w:rPr>
        <w:t xml:space="preserve">金，并承担由此引发的一切损害赔偿责任，甲方可直接在应付款中扣除。</w:t>
      </w:r>
      <w:r/>
    </w:p>
    <w:p>
      <w:pPr>
        <w:ind w:firstLine="360"/>
        <w:rPr>
          <w:color w:val="auto"/>
          <w:sz w:val="18"/>
          <w:szCs w:val="18"/>
          <w:highlight w:val="none"/>
        </w:rPr>
      </w:pPr>
      <w:r>
        <w:rPr>
          <w:rFonts w:hint="eastAsia"/>
          <w:color w:val="auto"/>
          <w:sz w:val="18"/>
          <w:szCs w:val="18"/>
          <w:highlight w:val="none"/>
        </w:rPr>
        <w:t xml:space="preserve">7</w:t>
      </w:r>
      <w:r>
        <w:rPr>
          <w:color w:val="auto"/>
          <w:sz w:val="18"/>
          <w:szCs w:val="18"/>
          <w:highlight w:val="none"/>
        </w:rPr>
        <w:t xml:space="preserve">、</w:t>
      </w:r>
      <w:r>
        <w:rPr>
          <w:rFonts w:hint="eastAsia"/>
          <w:color w:val="auto"/>
          <w:sz w:val="18"/>
          <w:szCs w:val="18"/>
          <w:highlight w:val="none"/>
        </w:rPr>
        <w:t xml:space="preserve">若乙方交付的成果经双方客观验</w:t>
      </w:r>
      <w:r>
        <w:rPr>
          <w:rFonts w:hint="eastAsia"/>
          <w:color w:val="auto"/>
          <w:sz w:val="18"/>
          <w:szCs w:val="18"/>
          <w:highlight w:val="none"/>
        </w:rPr>
        <w:t xml:space="preserve">证与技术评审，确认是因乙方单方面原因造成不符合合同及附件约定的技术规格或验收标准的，甲方有权拒绝签署阶段验收确认书，但须向乙方发出书面拒收通知并附带明确的缺陷清单。乙方应在收到通知后 [15] 个工作日（或双方另行书面约定的合理期限）内进行无偿整改并重新提交。如因整改导致交付延误的，按本条第4款（逾期交付罚则）处理。若经乙方累计 [三] 次整改、修复或重新交付后，确认是因乙方单方面原因造成相关成果仍存在致命/实质性技术缺陷而无法达到合同约定的核心技术指标，导致项目无法继续进行且双方无法达成书面一致意见的，则</w:t>
      </w:r>
      <w:r>
        <w:rPr>
          <w:color w:val="auto"/>
          <w:sz w:val="18"/>
          <w:szCs w:val="18"/>
          <w:highlight w:val="none"/>
        </w:rPr>
        <w:t xml:space="preserve">视为乙方根本违约，甲方有权依据本条第5款单方解除本合同并执行清算</w:t>
      </w:r>
      <w:r>
        <w:rPr>
          <w:rFonts w:hint="eastAsia"/>
          <w:color w:val="auto"/>
          <w:sz w:val="18"/>
          <w:szCs w:val="18"/>
          <w:highlight w:val="none"/>
        </w:rPr>
        <w:t xml:space="preserve">。</w:t>
      </w:r>
      <w:r/>
    </w:p>
    <w:p>
      <w:pPr>
        <w:ind w:firstLine="360"/>
        <w:rPr>
          <w:color w:val="auto"/>
          <w:sz w:val="18"/>
          <w:szCs w:val="18"/>
          <w:highlight w:val="none"/>
        </w:rPr>
      </w:pPr>
      <w:r>
        <w:rPr>
          <w:rFonts w:hint="eastAsia"/>
          <w:color w:val="auto"/>
          <w:sz w:val="18"/>
          <w:szCs w:val="18"/>
          <w:highlight w:val="none"/>
        </w:rPr>
        <w:t xml:space="preserve">8、</w:t>
      </w:r>
      <w:r>
        <w:rPr>
          <w:color w:val="auto"/>
          <w:sz w:val="18"/>
          <w:szCs w:val="18"/>
          <w:highlight w:val="none"/>
        </w:rPr>
        <w:t xml:space="preserve">若乙方无正当理由明确拒绝履行本合同及“服务承诺”约定的售后服务与技术支持义务，经甲方书面催告</w:t>
      </w:r>
      <w:r>
        <w:rPr>
          <w:rFonts w:hint="eastAsia"/>
          <w:color w:val="auto"/>
          <w:sz w:val="18"/>
          <w:szCs w:val="18"/>
          <w:highlight w:val="none"/>
        </w:rPr>
        <w:t xml:space="preserve"> </w:t>
      </w:r>
      <w:r>
        <w:rPr>
          <w:color w:val="auto"/>
          <w:sz w:val="18"/>
          <w:szCs w:val="18"/>
          <w:highlight w:val="none"/>
        </w:rPr>
        <w:t xml:space="preserve">[3] 次仍未整改改善的，乙方应向甲方支付本合同总价款 10% 的违约金。</w:t>
      </w:r>
      <w:r/>
    </w:p>
    <w:p>
      <w:pPr>
        <w:ind w:firstLine="360"/>
        <w:rPr>
          <w:color w:val="auto"/>
          <w:sz w:val="18"/>
          <w:szCs w:val="18"/>
          <w:highlight w:val="none"/>
        </w:rPr>
      </w:pPr>
      <w:r>
        <w:rPr>
          <w:rFonts w:hint="eastAsia"/>
          <w:color w:val="auto"/>
          <w:sz w:val="18"/>
          <w:szCs w:val="18"/>
          <w:highlight w:val="none"/>
        </w:rPr>
        <w:t xml:space="preserve">9</w:t>
      </w:r>
      <w:r>
        <w:rPr>
          <w:color w:val="auto"/>
          <w:sz w:val="18"/>
          <w:szCs w:val="18"/>
          <w:highlight w:val="none"/>
        </w:rPr>
        <w:t xml:space="preserve">、合同解除后，乙方人员及产品必须在收到甲方书面通知之日起</w:t>
      </w:r>
      <w:r>
        <w:rPr>
          <w:color w:val="auto"/>
          <w:sz w:val="18"/>
          <w:szCs w:val="18"/>
          <w:highlight w:val="none"/>
          <w:u w:val="single"/>
        </w:rPr>
        <w:t xml:space="preserve"> 3 </w:t>
      </w:r>
      <w:r>
        <w:rPr>
          <w:color w:val="auto"/>
          <w:sz w:val="18"/>
          <w:szCs w:val="18"/>
          <w:highlight w:val="none"/>
        </w:rPr>
        <w:t xml:space="preserve">个工作日内撤离甲方场所。甲方不承担对乙方留下物资的保管义务。</w:t>
      </w:r>
      <w:r/>
    </w:p>
    <w:p>
      <w:pPr>
        <w:ind w:firstLine="360"/>
        <w:rPr>
          <w:color w:val="auto"/>
          <w:sz w:val="18"/>
          <w:szCs w:val="18"/>
          <w:highlight w:val="none"/>
        </w:rPr>
      </w:pPr>
      <w:r>
        <w:rPr>
          <w:color w:val="auto"/>
          <w:sz w:val="18"/>
          <w:szCs w:val="18"/>
          <w:highlight w:val="none"/>
        </w:rPr>
        <w:t xml:space="preserve">1</w:t>
      </w:r>
      <w:r>
        <w:rPr>
          <w:rFonts w:hint="eastAsia"/>
          <w:color w:val="auto"/>
          <w:sz w:val="18"/>
          <w:szCs w:val="18"/>
          <w:highlight w:val="none"/>
        </w:rPr>
        <w:t xml:space="preserve">0、</w:t>
      </w:r>
      <w:r>
        <w:rPr>
          <w:color w:val="auto"/>
          <w:sz w:val="18"/>
          <w:szCs w:val="18"/>
          <w:highlight w:val="none"/>
        </w:rPr>
        <w:t xml:space="preserve">若乙方存在提供虚假投标文件、虚假承诺等欺诈或不诚信行为，且经政府行政监督部门、行业主管部门或司法机关等作出的行政处罚、通报或生效裁判认定的</w:t>
      </w:r>
      <w:r>
        <w:rPr>
          <w:rFonts w:hint="eastAsia"/>
          <w:color w:val="auto"/>
          <w:sz w:val="18"/>
          <w:szCs w:val="18"/>
          <w:highlight w:val="none"/>
        </w:rPr>
        <w:t xml:space="preserve">，则</w:t>
      </w:r>
      <w:r>
        <w:rPr>
          <w:color w:val="auto"/>
          <w:sz w:val="18"/>
          <w:szCs w:val="18"/>
          <w:highlight w:val="none"/>
        </w:rPr>
        <w:t xml:space="preserve">视为乙方根本违约，甲方有权依据本条第5款单方解除本合同并执行清算；同时，乙方在 [三] 年内不得参加甲方及相关采购机构组织的任何采购活动。</w:t>
      </w:r>
      <w:r/>
    </w:p>
    <w:p>
      <w:pPr>
        <w:ind w:firstLine="360"/>
        <w:rPr>
          <w:color w:val="auto"/>
          <w:sz w:val="18"/>
          <w:szCs w:val="18"/>
          <w:highlight w:val="none"/>
        </w:rPr>
      </w:pPr>
      <w:r>
        <w:rPr>
          <w:rFonts w:hint="eastAsia"/>
          <w:color w:val="auto"/>
          <w:sz w:val="18"/>
          <w:szCs w:val="18"/>
          <w:highlight w:val="none"/>
        </w:rPr>
        <w:t xml:space="preserve">11</w:t>
      </w:r>
      <w:r>
        <w:rPr>
          <w:color w:val="auto"/>
          <w:sz w:val="18"/>
          <w:szCs w:val="18"/>
          <w:highlight w:val="none"/>
        </w:rPr>
        <w:t xml:space="preserve">、违约金扣除及</w:t>
      </w:r>
      <w:r>
        <w:rPr>
          <w:rFonts w:hint="eastAsia"/>
          <w:color w:val="auto"/>
          <w:sz w:val="18"/>
          <w:szCs w:val="18"/>
          <w:highlight w:val="none"/>
        </w:rPr>
        <w:t xml:space="preserve">抵扣</w:t>
      </w:r>
      <w:r>
        <w:rPr>
          <w:color w:val="auto"/>
          <w:sz w:val="18"/>
          <w:szCs w:val="18"/>
          <w:highlight w:val="none"/>
        </w:rPr>
        <w:t xml:space="preserve">：甲方有权在应付乙方的未付款项中直接抵扣乙方应承担的违约金。</w:t>
      </w:r>
      <w:r/>
    </w:p>
    <w:p>
      <w:pPr>
        <w:ind w:firstLine="360"/>
        <w:rPr>
          <w:color w:val="auto"/>
          <w:sz w:val="18"/>
          <w:szCs w:val="18"/>
          <w:highlight w:val="none"/>
        </w:rPr>
      </w:pPr>
      <w:r>
        <w:rPr>
          <w:color w:val="auto"/>
          <w:sz w:val="18"/>
          <w:szCs w:val="18"/>
          <w:highlight w:val="none"/>
        </w:rPr>
        <w:t xml:space="preserve">1</w:t>
      </w:r>
      <w:r>
        <w:rPr>
          <w:rFonts w:hint="eastAsia"/>
          <w:color w:val="auto"/>
          <w:sz w:val="18"/>
          <w:szCs w:val="18"/>
          <w:highlight w:val="none"/>
        </w:rPr>
        <w:t xml:space="preserve">2</w:t>
      </w:r>
      <w:r>
        <w:rPr>
          <w:color w:val="auto"/>
          <w:sz w:val="18"/>
          <w:szCs w:val="18"/>
          <w:highlight w:val="none"/>
        </w:rPr>
        <w:t xml:space="preserve">、追索费用：违约方须承担守约方因追索权利而产生的一切费用（包括但不限于诉讼</w:t>
      </w:r>
      <w:r>
        <w:rPr>
          <w:rFonts w:hint="eastAsia"/>
          <w:color w:val="auto"/>
          <w:sz w:val="18"/>
          <w:szCs w:val="18"/>
          <w:highlight w:val="none"/>
        </w:rPr>
        <w:t xml:space="preserve">费</w:t>
      </w:r>
      <w:r>
        <w:rPr>
          <w:color w:val="auto"/>
          <w:sz w:val="18"/>
          <w:szCs w:val="18"/>
          <w:highlight w:val="none"/>
        </w:rPr>
        <w:t xml:space="preserve">、保全费、保全担保/保险费、律师费、差旅费、公证费、鉴定费等）。</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第十</w:t>
      </w:r>
      <w:r>
        <w:rPr>
          <w:rFonts w:hint="eastAsia" w:eastAsia="方正黑体简体"/>
          <w:color w:val="auto"/>
          <w:sz w:val="18"/>
          <w:szCs w:val="18"/>
          <w:highlight w:val="none"/>
        </w:rPr>
        <w:t xml:space="preserve">三</w:t>
      </w:r>
      <w:r>
        <w:rPr>
          <w:rFonts w:eastAsia="方正黑体简体"/>
          <w:color w:val="auto"/>
          <w:sz w:val="18"/>
          <w:szCs w:val="18"/>
          <w:highlight w:val="none"/>
        </w:rPr>
        <w:t xml:space="preserve">条 项目变更与合同终止</w:t>
      </w:r>
      <w:r/>
    </w:p>
    <w:p>
      <w:pPr>
        <w:ind w:firstLine="360"/>
        <w:rPr>
          <w:color w:val="auto"/>
          <w:sz w:val="18"/>
          <w:szCs w:val="18"/>
          <w:highlight w:val="none"/>
        </w:rPr>
      </w:pPr>
      <w:r>
        <w:rPr>
          <w:color w:val="auto"/>
          <w:sz w:val="18"/>
          <w:szCs w:val="18"/>
          <w:highlight w:val="none"/>
        </w:rPr>
        <w:t xml:space="preserve">1、项目实施期间，如甲方提出需求变更，双方应对该变更产生的时间、费用影响进行评估。需求变更清晰后，双方须签署书面补充协议或由甲方下达新增订单。如因变更导致工作量增加，甲方应按补充协议支付相应费用。</w:t>
      </w:r>
      <w:r/>
    </w:p>
    <w:p>
      <w:pPr>
        <w:ind w:firstLine="360"/>
        <w:rPr>
          <w:color w:val="auto"/>
          <w:sz w:val="18"/>
          <w:szCs w:val="18"/>
          <w:highlight w:val="none"/>
        </w:rPr>
      </w:pPr>
      <w:r>
        <w:rPr>
          <w:color w:val="auto"/>
          <w:sz w:val="18"/>
          <w:szCs w:val="18"/>
          <w:highlight w:val="none"/>
        </w:rPr>
        <w:t xml:space="preserve">2、因变更导致的项目进度调整，须经双方项目经理书面签字确认，双方按调整后的进度计划执行。</w:t>
      </w:r>
      <w:r/>
    </w:p>
    <w:p>
      <w:pPr>
        <w:ind w:firstLine="360"/>
        <w:rPr>
          <w:color w:val="auto"/>
          <w:sz w:val="18"/>
          <w:szCs w:val="18"/>
          <w:highlight w:val="none"/>
        </w:rPr>
      </w:pPr>
      <w:r>
        <w:rPr>
          <w:color w:val="auto"/>
          <w:sz w:val="18"/>
          <w:szCs w:val="18"/>
          <w:highlight w:val="none"/>
        </w:rPr>
        <w:t xml:space="preserve">3、除《中华人民共和国政府采购法》及本合同明确约定的情形外，本合同一经签订，甲乙双方不得擅自变更、中止或终止合同。</w:t>
      </w:r>
      <w:r/>
    </w:p>
    <w:p>
      <w:pPr>
        <w:ind w:firstLine="360"/>
        <w:rPr>
          <w:color w:val="auto"/>
          <w:sz w:val="18"/>
          <w:szCs w:val="18"/>
          <w:highlight w:val="none"/>
        </w:rPr>
      </w:pPr>
      <w:r>
        <w:rPr>
          <w:rFonts w:hint="eastAsia"/>
          <w:color w:val="auto"/>
          <w:sz w:val="18"/>
          <w:szCs w:val="18"/>
          <w:highlight w:val="none"/>
        </w:rPr>
        <w:t xml:space="preserve">4</w:t>
      </w:r>
      <w:r>
        <w:rPr>
          <w:color w:val="auto"/>
          <w:sz w:val="18"/>
          <w:szCs w:val="18"/>
          <w:highlight w:val="none"/>
        </w:rPr>
        <w:t xml:space="preserve">、除不可抗力外，甲乙双方均不得无故放弃或拒绝履行合同。乙方无正当理由放弃或拒绝履行合同的，均视为乙方根本违约，履约保证金（如有）不予退还。</w:t>
      </w:r>
      <w:r/>
    </w:p>
    <w:p>
      <w:pPr>
        <w:ind w:firstLine="360"/>
        <w:rPr>
          <w:color w:val="auto"/>
          <w:sz w:val="18"/>
          <w:szCs w:val="18"/>
          <w:highlight w:val="none"/>
        </w:rPr>
      </w:pPr>
      <w:r>
        <w:rPr>
          <w:rFonts w:hint="eastAsia"/>
          <w:color w:val="auto"/>
          <w:sz w:val="18"/>
          <w:szCs w:val="18"/>
          <w:highlight w:val="none"/>
        </w:rPr>
        <w:t xml:space="preserve">5、</w:t>
      </w:r>
      <w:r>
        <w:rPr>
          <w:color w:val="auto"/>
          <w:sz w:val="18"/>
          <w:szCs w:val="18"/>
          <w:highlight w:val="none"/>
        </w:rPr>
        <w:t xml:space="preserve">乙方不得部分或全部转让其应履行的合同义务或其享有的合同权利。</w:t>
      </w:r>
      <w:r/>
    </w:p>
    <w:p>
      <w:pPr>
        <w:ind w:firstLine="360"/>
        <w:rPr>
          <w:color w:val="auto"/>
          <w:sz w:val="18"/>
          <w:szCs w:val="18"/>
          <w:highlight w:val="none"/>
        </w:rPr>
      </w:pPr>
      <w:r>
        <w:rPr>
          <w:rFonts w:hint="eastAsia"/>
          <w:color w:val="auto"/>
          <w:sz w:val="18"/>
          <w:szCs w:val="18"/>
          <w:highlight w:val="none"/>
        </w:rPr>
        <w:t xml:space="preserve">6</w:t>
      </w:r>
      <w:r>
        <w:rPr>
          <w:color w:val="auto"/>
          <w:sz w:val="18"/>
          <w:szCs w:val="18"/>
          <w:highlight w:val="none"/>
        </w:rPr>
        <w:t xml:space="preserve">、</w:t>
      </w:r>
      <w:r>
        <w:rPr>
          <w:rFonts w:hint="eastAsia"/>
          <w:color w:val="auto"/>
          <w:sz w:val="18"/>
          <w:szCs w:val="18"/>
          <w:highlight w:val="none"/>
        </w:rPr>
        <w:t xml:space="preserve">一方发生其他严重违约行为（因第十二条已约定可立即解除的根本违约情形除外），在收到守约方书面催告后 [20] 日内未能予以纠正或采取有效补救措施的，守约方有权书面通知对方解除本合同。本款项下：因乙方原因导致合同解除的，相关退款、清算及违约金赔偿完全依据第十二条第5款之规定执行；因甲方原因导致合同解除的，完全依据第十二条第2款之规定执行。</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第十</w:t>
      </w:r>
      <w:r>
        <w:rPr>
          <w:rFonts w:hint="eastAsia" w:eastAsia="方正黑体简体"/>
          <w:color w:val="auto"/>
          <w:sz w:val="18"/>
          <w:szCs w:val="18"/>
          <w:highlight w:val="none"/>
        </w:rPr>
        <w:t xml:space="preserve">四</w:t>
      </w:r>
      <w:r>
        <w:rPr>
          <w:rFonts w:eastAsia="方正黑体简体"/>
          <w:color w:val="auto"/>
          <w:sz w:val="18"/>
          <w:szCs w:val="18"/>
          <w:highlight w:val="none"/>
        </w:rPr>
        <w:t xml:space="preserve">条 免责条款与不可抗力</w:t>
      </w:r>
      <w:r/>
    </w:p>
    <w:p>
      <w:pPr>
        <w:ind w:firstLine="360"/>
        <w:rPr>
          <w:color w:val="auto"/>
          <w:sz w:val="18"/>
          <w:szCs w:val="18"/>
          <w:highlight w:val="none"/>
        </w:rPr>
      </w:pPr>
      <w:r>
        <w:rPr>
          <w:color w:val="auto"/>
          <w:sz w:val="18"/>
          <w:szCs w:val="18"/>
          <w:highlight w:val="none"/>
        </w:rPr>
        <w:t xml:space="preserve">1、不可抗力指不能预见、不能避免并不能克服的客观情况，包括重大自然灾害、战争、国家政策重大调整等。</w:t>
      </w:r>
      <w:r/>
    </w:p>
    <w:p>
      <w:pPr>
        <w:ind w:firstLine="360"/>
        <w:rPr>
          <w:color w:val="auto"/>
          <w:sz w:val="18"/>
          <w:szCs w:val="18"/>
          <w:highlight w:val="none"/>
        </w:rPr>
      </w:pPr>
      <w:r>
        <w:rPr>
          <w:color w:val="auto"/>
          <w:sz w:val="18"/>
          <w:szCs w:val="18"/>
          <w:highlight w:val="none"/>
        </w:rPr>
        <w:t xml:space="preserve">2、遭遇不可抗力的一方应立即通知另一方，并于事件发生后 15 日内提供权威机构出具的有效证明文件。双方应本着友好原则协商决定是否免除部分责任、延期履行或终止合同。</w:t>
      </w:r>
      <w:r/>
    </w:p>
    <w:p>
      <w:pPr>
        <w:ind w:firstLine="360"/>
        <w:rPr>
          <w:color w:val="auto"/>
          <w:sz w:val="18"/>
          <w:szCs w:val="18"/>
          <w:highlight w:val="none"/>
        </w:rPr>
      </w:pPr>
      <w:r>
        <w:rPr>
          <w:color w:val="auto"/>
          <w:sz w:val="18"/>
          <w:szCs w:val="18"/>
          <w:highlight w:val="none"/>
        </w:rPr>
        <w:t xml:space="preserve">3、</w:t>
      </w:r>
      <w:r>
        <w:rPr>
          <w:rFonts w:hint="eastAsia"/>
          <w:color w:val="auto"/>
          <w:sz w:val="18"/>
          <w:szCs w:val="18"/>
          <w:highlight w:val="none"/>
        </w:rPr>
        <w:t xml:space="preserve">若不可抗力事件延续 30 日以上，甲方有权单方解除合同。由于遭遇不可抗力方未及时通知或未提供证明导致对方损失扩大的，不免除其相应的违约及赔偿责任。本合同因不可抗力单方解除后，双方应本着公平合理、按实结算的原则按下述方式进行费用结算及善后处理：</w:t>
      </w:r>
      <w:r/>
    </w:p>
    <w:p>
      <w:pPr>
        <w:ind w:firstLine="360"/>
        <w:rPr>
          <w:color w:val="auto"/>
          <w:sz w:val="18"/>
          <w:szCs w:val="18"/>
          <w:highlight w:val="none"/>
        </w:rPr>
      </w:pPr>
      <w:r>
        <w:rPr>
          <w:rFonts w:hint="eastAsia"/>
          <w:color w:val="auto"/>
          <w:sz w:val="18"/>
          <w:szCs w:val="18"/>
          <w:highlight w:val="none"/>
        </w:rPr>
        <w:t xml:space="preserve">（1） 已验收阶段的结算：对于已完成并经甲方评审通过的阶段性技术成果，其所有权和知识产权仍归甲方所有，甲方已支付的对应阶段费用不予退还；若有已评审通过但甲方尚未支付的阶段款项，甲方应在合同解除后 [15] 个工作日内予以结清。</w:t>
      </w:r>
      <w:r/>
    </w:p>
    <w:p>
      <w:pPr>
        <w:ind w:firstLine="360"/>
        <w:rPr>
          <w:color w:val="auto"/>
          <w:sz w:val="18"/>
          <w:szCs w:val="18"/>
          <w:highlight w:val="none"/>
        </w:rPr>
      </w:pPr>
      <w:r>
        <w:rPr>
          <w:rFonts w:hint="eastAsia"/>
          <w:color w:val="auto"/>
          <w:sz w:val="18"/>
          <w:szCs w:val="18"/>
          <w:highlight w:val="none"/>
        </w:rPr>
        <w:t xml:space="preserve">（2） 未验收阶段的按比例结算：对于尚未达到验收里程碑的在研工作成果（如有），双方应按乙方实际已完成的开发工作量比例，或乙方合理发生的设计服务工时成本进行核对与结算，由甲方支付该部分合理费用，同时乙方应将对应阶段的半成品设计数据、中间代码及文档全部提交给甲方。</w:t>
      </w:r>
      <w:r/>
    </w:p>
    <w:p>
      <w:pPr>
        <w:ind w:firstLine="360"/>
        <w:rPr>
          <w:color w:val="auto"/>
          <w:sz w:val="18"/>
          <w:szCs w:val="18"/>
          <w:highlight w:val="none"/>
        </w:rPr>
      </w:pPr>
      <w:r>
        <w:rPr>
          <w:rFonts w:hint="eastAsia"/>
          <w:color w:val="auto"/>
          <w:sz w:val="18"/>
          <w:szCs w:val="18"/>
          <w:highlight w:val="none"/>
        </w:rPr>
        <w:t xml:space="preserve">（3） </w:t>
      </w:r>
      <w:r>
        <w:rPr>
          <w:color w:val="auto"/>
          <w:sz w:val="18"/>
          <w:szCs w:val="18"/>
          <w:highlight w:val="none"/>
        </w:rPr>
        <w:t xml:space="preserve">供应链不可退款项的补偿：针对乙方为履行本合同已向第三方支付</w:t>
      </w:r>
      <w:r>
        <w:rPr>
          <w:color w:val="auto"/>
          <w:sz w:val="18"/>
          <w:szCs w:val="18"/>
          <w:highlight w:val="none"/>
        </w:rPr>
        <w:t xml:space="preserve">，且因合同解除确实无法退还、回收或取消的外部费用，应由甲方予以承担，并全额补偿给乙方。但乙方须向甲方提供其认可的证明文件（包括但不限于向第三方支付的合同/协议、银行付款凭证、发票，以及由该第三方出具的明确不予退还或无法取消的书面声明、通知等），以证实该等费用的实际产生以及确实无法收回。同时，对于上述已由甲方补偿/承担费用的第三方合同，乙方有义务推动并配合该第三方合同继续执行完毕，并将该第三方合同项下的所有技术成果、交付物及实物资产完整移交给甲方，且该等成果及资产的所有权、知识产权及相关权益均完全归甲方所有。</w:t>
      </w:r>
      <w:r/>
    </w:p>
    <w:p>
      <w:pPr>
        <w:ind w:firstLine="360"/>
        <w:rPr>
          <w:color w:val="auto"/>
          <w:sz w:val="18"/>
          <w:szCs w:val="18"/>
          <w:highlight w:val="none"/>
        </w:rPr>
      </w:pPr>
      <w:r>
        <w:rPr>
          <w:rFonts w:hint="eastAsia"/>
          <w:color w:val="auto"/>
          <w:sz w:val="18"/>
          <w:szCs w:val="18"/>
          <w:highlight w:val="none"/>
        </w:rPr>
        <w:t xml:space="preserve">（4） 余款清退：乙方在扣除上述第（1）（2）（3）项下已完成服务费用及代垫外部不可退费用后，应在 [15] 个工作日内将甲方已支付的其余款项（如有）无息退还给甲方。</w:t>
      </w:r>
      <w:r/>
    </w:p>
    <w:p>
      <w:pPr>
        <w:ind w:firstLine="360"/>
        <w:rPr>
          <w:color w:val="auto"/>
          <w:sz w:val="18"/>
          <w:szCs w:val="18"/>
          <w:highlight w:val="none"/>
        </w:rPr>
      </w:pPr>
      <w:r>
        <w:rPr>
          <w:rFonts w:hint="eastAsia"/>
          <w:color w:val="auto"/>
          <w:sz w:val="18"/>
          <w:szCs w:val="18"/>
          <w:highlight w:val="none"/>
        </w:rPr>
        <w:t xml:space="preserve">（5） 损失免责：除上述费用结算与已交付物资退还外，因不可抗力导致合同解除的，双方均无需向对方承担任何违约赔偿责任、停工损失或预期利润可得利益损失。</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第十</w:t>
      </w:r>
      <w:r>
        <w:rPr>
          <w:rFonts w:hint="eastAsia" w:eastAsia="方正黑体简体"/>
          <w:color w:val="auto"/>
          <w:sz w:val="18"/>
          <w:szCs w:val="18"/>
          <w:highlight w:val="none"/>
        </w:rPr>
        <w:t xml:space="preserve">五</w:t>
      </w:r>
      <w:r>
        <w:rPr>
          <w:rFonts w:eastAsia="方正黑体简体"/>
          <w:color w:val="auto"/>
          <w:sz w:val="18"/>
          <w:szCs w:val="18"/>
          <w:highlight w:val="none"/>
        </w:rPr>
        <w:t xml:space="preserve">条 法律适用与争议解决</w:t>
      </w:r>
      <w:r/>
    </w:p>
    <w:p>
      <w:pPr>
        <w:ind w:firstLine="360"/>
        <w:rPr>
          <w:color w:val="auto"/>
          <w:sz w:val="18"/>
          <w:szCs w:val="18"/>
          <w:highlight w:val="none"/>
        </w:rPr>
      </w:pPr>
      <w:r>
        <w:rPr>
          <w:color w:val="auto"/>
          <w:sz w:val="18"/>
          <w:szCs w:val="18"/>
          <w:highlight w:val="none"/>
        </w:rPr>
        <w:t xml:space="preserve">1、本合同的订立、效力、解释、履行和争议解决均适用中华人民共和国大陆地区现行有效的法律法规，并排除一切冲突法的适用。</w:t>
      </w:r>
      <w:r/>
    </w:p>
    <w:p>
      <w:pPr>
        <w:ind w:firstLine="360"/>
        <w:rPr>
          <w:color w:val="auto"/>
          <w:sz w:val="18"/>
          <w:szCs w:val="18"/>
          <w:highlight w:val="none"/>
        </w:rPr>
      </w:pPr>
      <w:r>
        <w:rPr>
          <w:color w:val="auto"/>
          <w:sz w:val="18"/>
          <w:szCs w:val="18"/>
          <w:highlight w:val="none"/>
        </w:rPr>
        <w:t xml:space="preserve">2、因履行本合同引起的或与本合同有关的任何争议，甲乙双方应首先通过友好协商解决；协商不成的，任何一方均有权向甲方所在地有管辖权的人民法院提起诉讼解决。</w:t>
      </w:r>
      <w:r/>
    </w:p>
    <w:p>
      <w:pPr>
        <w:ind w:firstLine="360"/>
        <w:rPr>
          <w:color w:val="auto"/>
          <w:sz w:val="18"/>
          <w:szCs w:val="18"/>
          <w:highlight w:val="none"/>
        </w:rPr>
      </w:pPr>
      <w:r>
        <w:rPr>
          <w:color w:val="auto"/>
          <w:sz w:val="18"/>
          <w:szCs w:val="18"/>
          <w:highlight w:val="none"/>
        </w:rPr>
        <w:t xml:space="preserve">3、在争议解决</w:t>
      </w:r>
      <w:r>
        <w:rPr>
          <w:rFonts w:hint="eastAsia"/>
          <w:color w:val="auto"/>
          <w:sz w:val="18"/>
          <w:szCs w:val="18"/>
          <w:highlight w:val="none"/>
        </w:rPr>
        <w:t xml:space="preserve">及</w:t>
      </w:r>
      <w:r>
        <w:rPr>
          <w:color w:val="auto"/>
          <w:sz w:val="18"/>
          <w:szCs w:val="18"/>
          <w:highlight w:val="none"/>
        </w:rPr>
        <w:t xml:space="preserve">诉讼期间，除争议事项外，本合同其他未涉争议的条款应继续履行。</w:t>
      </w:r>
      <w:r/>
    </w:p>
    <w:p>
      <w:pPr>
        <w:rPr>
          <w:color w:val="auto"/>
          <w:sz w:val="18"/>
          <w:szCs w:val="18"/>
          <w:highlight w:val="none"/>
        </w:rPr>
      </w:pPr>
      <w:r>
        <w:rPr>
          <w:color w:val="auto"/>
          <w:sz w:val="18"/>
          <w:szCs w:val="18"/>
          <w:highlight w:val="none"/>
        </w:rPr>
      </w:r>
      <w:r/>
    </w:p>
    <w:p>
      <w:pPr>
        <w:ind w:firstLine="360"/>
        <w:rPr>
          <w:rFonts w:eastAsia="方正黑体简体"/>
          <w:color w:val="auto"/>
          <w:sz w:val="18"/>
          <w:szCs w:val="18"/>
          <w:highlight w:val="none"/>
        </w:rPr>
        <w:outlineLvl w:val="0"/>
      </w:pPr>
      <w:r>
        <w:rPr>
          <w:rFonts w:eastAsia="方正黑体简体"/>
          <w:color w:val="auto"/>
          <w:sz w:val="18"/>
          <w:szCs w:val="18"/>
          <w:highlight w:val="none"/>
        </w:rPr>
        <w:t xml:space="preserve">第十</w:t>
      </w:r>
      <w:r>
        <w:rPr>
          <w:rFonts w:hint="eastAsia" w:eastAsia="方正黑体简体"/>
          <w:color w:val="auto"/>
          <w:sz w:val="18"/>
          <w:szCs w:val="18"/>
          <w:highlight w:val="none"/>
        </w:rPr>
        <w:t xml:space="preserve">六</w:t>
      </w:r>
      <w:r>
        <w:rPr>
          <w:rFonts w:eastAsia="方正黑体简体"/>
          <w:color w:val="auto"/>
          <w:sz w:val="18"/>
          <w:szCs w:val="18"/>
          <w:highlight w:val="none"/>
        </w:rPr>
        <w:t xml:space="preserve">条 其他约定</w:t>
      </w:r>
      <w:r/>
    </w:p>
    <w:p>
      <w:pPr>
        <w:ind w:firstLine="360"/>
        <w:rPr>
          <w:color w:val="auto"/>
          <w:sz w:val="18"/>
          <w:szCs w:val="18"/>
          <w:highlight w:val="none"/>
        </w:rPr>
      </w:pPr>
      <w:r>
        <w:rPr>
          <w:color w:val="auto"/>
          <w:sz w:val="18"/>
          <w:szCs w:val="18"/>
          <w:highlight w:val="none"/>
        </w:rPr>
        <w:t xml:space="preserve">1、送达地址确认：双方确认本合同签署页所载明的地址、邮箱、传真等为履行合同、送达各类通知及法院诉讼文书的法定送达地址。如有变更，变更方须在变更后</w:t>
      </w:r>
      <w:r>
        <w:rPr>
          <w:color w:val="auto"/>
          <w:sz w:val="18"/>
          <w:szCs w:val="18"/>
          <w:highlight w:val="none"/>
          <w:u w:val="single"/>
        </w:rPr>
        <w:t xml:space="preserve"> 3 </w:t>
      </w:r>
      <w:r>
        <w:rPr>
          <w:color w:val="auto"/>
          <w:sz w:val="18"/>
          <w:szCs w:val="18"/>
          <w:highlight w:val="none"/>
        </w:rPr>
        <w:t xml:space="preserve">日内书面通知对方，否则按原地址送达。因地址有误、拒收或未能及时告知变更导致邮件退回的，退回之日即视为送达之日。</w:t>
      </w:r>
      <w:r/>
    </w:p>
    <w:p>
      <w:pPr>
        <w:ind w:firstLine="360"/>
        <w:rPr>
          <w:color w:val="auto"/>
          <w:sz w:val="18"/>
          <w:szCs w:val="18"/>
          <w:highlight w:val="none"/>
        </w:rPr>
      </w:pPr>
      <w:r>
        <w:rPr>
          <w:color w:val="auto"/>
          <w:sz w:val="18"/>
          <w:szCs w:val="18"/>
          <w:highlight w:val="none"/>
        </w:rPr>
        <w:t xml:space="preserve">2、员工非招揽条款（限制期与许可费）：为保护保密信息和技术积累，在本合同持续期间及合同终止/期满后一年内，任何一方不得主动招揽或雇用另一方的任何雇员。如违反本约定雇用对方雇员，违约方须向守约方支付一笔合理的许可费（非惩罚性罚金），金额为以下两项中金额较高者的3倍：（i）该雇员在原雇主处获得的年度总收入（含股票、奖金、佣金等）；或（ii）该雇员在新雇主处获得的年度总收入。</w:t>
      </w:r>
      <w:r/>
    </w:p>
    <w:p>
      <w:pPr>
        <w:ind w:firstLine="360"/>
        <w:rPr>
          <w:color w:val="auto"/>
          <w:sz w:val="18"/>
          <w:szCs w:val="18"/>
          <w:highlight w:val="none"/>
        </w:rPr>
      </w:pPr>
      <w:r>
        <w:rPr>
          <w:color w:val="auto"/>
          <w:sz w:val="18"/>
          <w:szCs w:val="18"/>
          <w:highlight w:val="none"/>
        </w:rPr>
        <w:t xml:space="preserve">3、本合同自双方签字并盖章之日起生效，合同复印件、扫描件与原合同具有同等法律效力。</w:t>
      </w:r>
      <w:r/>
    </w:p>
    <w:p>
      <w:pPr>
        <w:ind w:firstLine="360"/>
        <w:rPr>
          <w:color w:val="auto"/>
          <w:sz w:val="18"/>
          <w:szCs w:val="18"/>
          <w:highlight w:val="none"/>
        </w:rPr>
      </w:pPr>
      <w:r>
        <w:rPr>
          <w:color w:val="auto"/>
          <w:sz w:val="18"/>
          <w:szCs w:val="18"/>
          <w:highlight w:val="none"/>
        </w:rPr>
        <w:t xml:space="preserve">4、本合同未尽事宜，需经双方协商，签订补充协议。补充协议与本合同具有同等的法律效力。</w:t>
      </w:r>
      <w:r/>
    </w:p>
    <w:p>
      <w:pPr>
        <w:ind w:firstLine="360"/>
        <w:rPr>
          <w:color w:val="auto"/>
          <w:sz w:val="18"/>
          <w:szCs w:val="18"/>
          <w:highlight w:val="none"/>
        </w:rPr>
      </w:pPr>
      <w:r>
        <w:rPr>
          <w:rFonts w:hint="eastAsia"/>
          <w:color w:val="auto"/>
          <w:sz w:val="18"/>
          <w:szCs w:val="18"/>
          <w:highlight w:val="none"/>
        </w:rPr>
        <w:t xml:space="preserve">5</w:t>
      </w:r>
      <w:r>
        <w:rPr>
          <w:color w:val="auto"/>
          <w:sz w:val="18"/>
          <w:szCs w:val="18"/>
          <w:highlight w:val="none"/>
        </w:rPr>
        <w:t xml:space="preserve">、合同文本：本合同一式</w:t>
      </w:r>
      <w:r>
        <w:rPr>
          <w:color w:val="auto"/>
          <w:sz w:val="18"/>
          <w:szCs w:val="18"/>
          <w:highlight w:val="none"/>
          <w:u w:val="single"/>
        </w:rPr>
        <w:t xml:space="preserve"> 陆 </w:t>
      </w:r>
      <w:r>
        <w:rPr>
          <w:color w:val="auto"/>
          <w:sz w:val="18"/>
          <w:szCs w:val="18"/>
          <w:highlight w:val="none"/>
        </w:rPr>
        <w:t xml:space="preserve">份，甲方执</w:t>
      </w:r>
      <w:r>
        <w:rPr>
          <w:color w:val="auto"/>
          <w:sz w:val="18"/>
          <w:szCs w:val="18"/>
          <w:highlight w:val="none"/>
          <w:u w:val="single"/>
        </w:rPr>
        <w:t xml:space="preserve"> 叁 </w:t>
      </w:r>
      <w:r>
        <w:rPr>
          <w:color w:val="auto"/>
          <w:sz w:val="18"/>
          <w:szCs w:val="18"/>
          <w:highlight w:val="none"/>
        </w:rPr>
        <w:t xml:space="preserve">份，乙方执</w:t>
      </w:r>
      <w:r>
        <w:rPr>
          <w:color w:val="auto"/>
          <w:sz w:val="18"/>
          <w:szCs w:val="18"/>
          <w:highlight w:val="none"/>
          <w:u w:val="single"/>
        </w:rPr>
        <w:t xml:space="preserve"> 叁 </w:t>
      </w:r>
      <w:r>
        <w:rPr>
          <w:color w:val="auto"/>
          <w:sz w:val="18"/>
          <w:szCs w:val="18"/>
          <w:highlight w:val="none"/>
        </w:rPr>
        <w:t xml:space="preserve">份，每份具有同等法律效力。</w:t>
      </w:r>
      <w:r/>
    </w:p>
    <w:p>
      <w:pPr>
        <w:ind w:firstLine="360"/>
        <w:rPr>
          <w:color w:val="auto"/>
          <w:sz w:val="18"/>
          <w:szCs w:val="18"/>
          <w:highlight w:val="none"/>
        </w:rPr>
      </w:pPr>
      <w:r>
        <w:rPr>
          <w:rFonts w:hint="eastAsia"/>
          <w:color w:val="auto"/>
          <w:sz w:val="18"/>
          <w:szCs w:val="18"/>
          <w:highlight w:val="none"/>
        </w:rPr>
        <w:t xml:space="preserve">6</w:t>
      </w:r>
      <w:r>
        <w:rPr>
          <w:color w:val="auto"/>
          <w:sz w:val="18"/>
          <w:szCs w:val="18"/>
          <w:highlight w:val="none"/>
        </w:rPr>
        <w:t xml:space="preserve">、合同附件是本合同的组成部分，与本合同有同等法律效力。</w:t>
      </w:r>
      <w:r/>
    </w:p>
    <w:p>
      <w:pPr>
        <w:ind w:firstLine="360"/>
        <w:rPr>
          <w:color w:val="auto"/>
          <w:sz w:val="18"/>
          <w:szCs w:val="18"/>
          <w:highlight w:val="none"/>
        </w:rPr>
      </w:pPr>
      <w:r>
        <w:rPr>
          <w:rFonts w:hint="eastAsia"/>
          <w:color w:val="auto"/>
          <w:sz w:val="18"/>
          <w:szCs w:val="18"/>
          <w:highlight w:val="none"/>
        </w:rPr>
        <w:t xml:space="preserve">7</w:t>
      </w:r>
      <w:r>
        <w:rPr>
          <w:color w:val="auto"/>
          <w:sz w:val="18"/>
          <w:szCs w:val="18"/>
          <w:highlight w:val="none"/>
        </w:rPr>
        <w:t xml:space="preserve">、合同附件一：</w:t>
      </w:r>
      <w:r>
        <w:rPr>
          <w:color w:val="auto"/>
          <w:sz w:val="18"/>
          <w:szCs w:val="18"/>
          <w:highlight w:val="none"/>
          <w:u w:val="single"/>
        </w:rPr>
        <w:t xml:space="preserve">   分项报价表</w:t>
      </w:r>
      <w:r>
        <w:rPr>
          <w:rFonts w:hint="eastAsia"/>
          <w:color w:val="auto"/>
          <w:sz w:val="18"/>
          <w:szCs w:val="18"/>
          <w:highlight w:val="none"/>
          <w:u w:val="single"/>
        </w:rPr>
        <w:t xml:space="preserve">  </w:t>
      </w:r>
      <w:r>
        <w:rPr>
          <w:color w:val="auto"/>
          <w:sz w:val="18"/>
          <w:szCs w:val="18"/>
          <w:highlight w:val="none"/>
        </w:rPr>
        <w:t xml:space="preserve">。</w:t>
      </w:r>
      <w:r/>
    </w:p>
    <w:p>
      <w:pPr>
        <w:ind w:firstLine="360"/>
        <w:rPr>
          <w:color w:val="auto"/>
          <w:sz w:val="18"/>
          <w:szCs w:val="18"/>
          <w:highlight w:val="none"/>
        </w:rPr>
      </w:pPr>
      <w:r>
        <w:rPr>
          <w:rFonts w:hint="eastAsia"/>
          <w:color w:val="auto"/>
          <w:sz w:val="18"/>
          <w:szCs w:val="18"/>
          <w:highlight w:val="none"/>
        </w:rPr>
        <w:t xml:space="preserve">8</w:t>
      </w:r>
      <w:r>
        <w:rPr>
          <w:color w:val="auto"/>
          <w:sz w:val="18"/>
          <w:szCs w:val="18"/>
          <w:highlight w:val="none"/>
        </w:rPr>
        <w:t xml:space="preserve">、合同附件</w:t>
      </w:r>
      <w:r>
        <w:rPr>
          <w:rFonts w:hint="eastAsia"/>
          <w:color w:val="auto"/>
          <w:sz w:val="18"/>
          <w:szCs w:val="18"/>
          <w:highlight w:val="none"/>
        </w:rPr>
        <w:t xml:space="preserve">二</w:t>
      </w:r>
      <w:r>
        <w:rPr>
          <w:color w:val="auto"/>
          <w:sz w:val="18"/>
          <w:szCs w:val="18"/>
          <w:highlight w:val="none"/>
        </w:rPr>
        <w:t xml:space="preserve">：</w:t>
      </w:r>
      <w:r>
        <w:rPr>
          <w:color w:val="auto"/>
          <w:sz w:val="18"/>
          <w:szCs w:val="18"/>
          <w:highlight w:val="none"/>
          <w:u w:val="single"/>
        </w:rPr>
        <w:t xml:space="preserve">   </w:t>
      </w:r>
      <w:r>
        <w:rPr>
          <w:rFonts w:hint="eastAsia"/>
          <w:color w:val="auto"/>
          <w:sz w:val="18"/>
          <w:szCs w:val="18"/>
          <w:highlight w:val="none"/>
          <w:u w:val="single"/>
        </w:rPr>
        <w:t xml:space="preserve">技术协议书  </w:t>
      </w:r>
      <w:r>
        <w:rPr>
          <w:color w:val="auto"/>
          <w:sz w:val="18"/>
          <w:szCs w:val="18"/>
          <w:highlight w:val="none"/>
        </w:rPr>
        <w:t xml:space="preserve">。</w:t>
      </w:r>
      <w:r/>
    </w:p>
    <w:p>
      <w:pPr>
        <w:ind w:firstLine="360"/>
        <w:rPr>
          <w:color w:val="auto"/>
          <w:sz w:val="18"/>
          <w:szCs w:val="18"/>
          <w:highlight w:val="none"/>
        </w:rPr>
      </w:pPr>
      <w:r>
        <w:rPr>
          <w:color w:val="auto"/>
          <w:sz w:val="18"/>
          <w:szCs w:val="18"/>
          <w:highlight w:val="none"/>
        </w:rPr>
      </w:r>
      <w:r/>
    </w:p>
    <w:p>
      <w:pPr>
        <w:ind w:firstLine="360"/>
        <w:rPr>
          <w:color w:val="auto"/>
          <w:sz w:val="18"/>
          <w:szCs w:val="18"/>
          <w:highlight w:val="none"/>
        </w:rPr>
      </w:pPr>
      <w:r>
        <w:rPr>
          <w:rFonts w:hint="eastAsia"/>
          <w:color w:val="auto"/>
          <w:sz w:val="18"/>
          <w:szCs w:val="18"/>
          <w:highlight w:val="none"/>
        </w:rPr>
        <w:t xml:space="preserve">（以下无正文。）</w:t>
      </w:r>
      <w:r/>
    </w:p>
    <w:p>
      <w:pPr>
        <w:rPr>
          <w:color w:val="auto"/>
          <w:sz w:val="18"/>
          <w:szCs w:val="18"/>
          <w:highlight w:val="none"/>
        </w:rPr>
      </w:pPr>
      <w:r>
        <w:rPr>
          <w:color w:val="auto"/>
          <w:sz w:val="18"/>
          <w:szCs w:val="18"/>
          <w:highlight w:val="none"/>
        </w:rPr>
      </w:r>
      <w:r/>
    </w:p>
    <w:p>
      <w:pPr>
        <w:rPr>
          <w:color w:val="auto"/>
          <w:sz w:val="18"/>
          <w:szCs w:val="18"/>
          <w:highlight w:val="none"/>
        </w:rPr>
      </w:pPr>
      <w:r>
        <w:rPr>
          <w:color w:val="auto"/>
          <w:sz w:val="18"/>
          <w:szCs w:val="18"/>
          <w:highlight w:val="none"/>
        </w:rPr>
      </w:r>
      <w:r/>
    </w:p>
    <w:p>
      <w:pPr>
        <w:rPr>
          <w:rFonts w:eastAsia="楷体_GB2312"/>
          <w:color w:val="auto"/>
          <w:highlight w:val="none"/>
        </w:rPr>
      </w:pPr>
      <w:r>
        <w:rPr>
          <w:rFonts w:hint="eastAsia" w:eastAsia="楷体_GB2312"/>
          <w:color w:val="auto"/>
          <w:highlight w:val="none"/>
        </w:rPr>
        <w:t xml:space="preserve">甲方：</w:t>
      </w:r>
      <w:r/>
    </w:p>
    <w:p>
      <w:pPr>
        <w:rPr>
          <w:rFonts w:eastAsia="楷体_GB2312"/>
          <w:color w:val="auto"/>
          <w:highlight w:val="none"/>
        </w:rPr>
      </w:pPr>
      <w:r>
        <w:rPr>
          <w:rFonts w:eastAsia="楷体_GB2312"/>
          <w:color w:val="auto"/>
          <w:highlight w:val="none"/>
        </w:rPr>
        <w:t xml:space="preserve">法人/委托代理人： </w:t>
      </w:r>
      <w:r/>
    </w:p>
    <w:p>
      <w:pPr>
        <w:rPr>
          <w:rFonts w:eastAsia="楷体_GB2312"/>
          <w:color w:val="auto"/>
          <w:highlight w:val="none"/>
        </w:rPr>
      </w:pPr>
      <w:r>
        <w:rPr>
          <w:rFonts w:eastAsia="楷体_GB2312"/>
          <w:color w:val="auto"/>
          <w:highlight w:val="none"/>
        </w:rPr>
        <w:t xml:space="preserve">经办人（签字）： </w:t>
      </w:r>
      <w:r/>
    </w:p>
    <w:p>
      <w:pPr>
        <w:rPr>
          <w:rFonts w:eastAsia="楷体_GB2312"/>
          <w:color w:val="auto"/>
          <w:highlight w:val="none"/>
        </w:rPr>
      </w:pPr>
      <w:r>
        <w:rPr>
          <w:rFonts w:eastAsia="楷体_GB2312"/>
          <w:color w:val="auto"/>
          <w:highlight w:val="none"/>
        </w:rPr>
        <w:t xml:space="preserve">电话： </w:t>
      </w:r>
      <w:r/>
    </w:p>
    <w:p>
      <w:pPr>
        <w:rPr>
          <w:rFonts w:eastAsia="楷体_GB2312"/>
          <w:color w:val="auto"/>
          <w:highlight w:val="none"/>
        </w:rPr>
      </w:pPr>
      <w:r>
        <w:rPr>
          <w:rFonts w:eastAsia="楷体_GB2312"/>
          <w:color w:val="auto"/>
          <w:highlight w:val="none"/>
        </w:rPr>
        <w:t xml:space="preserve">传真： </w:t>
      </w:r>
      <w:r/>
    </w:p>
    <w:p>
      <w:pPr>
        <w:rPr>
          <w:rFonts w:eastAsia="楷体_GB2312"/>
          <w:color w:val="auto"/>
          <w:highlight w:val="none"/>
        </w:rPr>
      </w:pPr>
      <w:r>
        <w:rPr>
          <w:rFonts w:eastAsia="楷体_GB2312"/>
          <w:color w:val="auto"/>
          <w:highlight w:val="none"/>
        </w:rPr>
        <w:t xml:space="preserve">开户行： </w:t>
      </w:r>
      <w:r/>
    </w:p>
    <w:p>
      <w:pPr>
        <w:rPr>
          <w:rFonts w:eastAsia="楷体_GB2312"/>
          <w:color w:val="auto"/>
          <w:highlight w:val="none"/>
        </w:rPr>
      </w:pPr>
      <w:r>
        <w:rPr>
          <w:rFonts w:eastAsia="楷体_GB2312"/>
          <w:color w:val="auto"/>
          <w:highlight w:val="none"/>
        </w:rPr>
        <w:t xml:space="preserve">帐号： </w:t>
      </w:r>
      <w:r/>
    </w:p>
    <w:p>
      <w:pPr>
        <w:rPr>
          <w:rFonts w:eastAsia="楷体_GB2312"/>
          <w:color w:val="auto"/>
          <w:highlight w:val="none"/>
        </w:rPr>
      </w:pPr>
      <w:r>
        <w:rPr>
          <w:rFonts w:eastAsia="楷体_GB2312"/>
          <w:color w:val="auto"/>
          <w:highlight w:val="none"/>
        </w:rPr>
        <w:t xml:space="preserve">税号： </w:t>
      </w:r>
      <w:r/>
    </w:p>
    <w:p>
      <w:pPr>
        <w:rPr>
          <w:rFonts w:eastAsia="楷体_GB2312"/>
          <w:color w:val="auto"/>
          <w:highlight w:val="none"/>
        </w:rPr>
      </w:pPr>
      <w:r>
        <w:rPr>
          <w:rFonts w:eastAsia="楷体_GB2312"/>
          <w:color w:val="auto"/>
          <w:highlight w:val="none"/>
        </w:rPr>
        <w:t xml:space="preserve">地址： </w:t>
      </w:r>
      <w:r/>
    </w:p>
    <w:p>
      <w:pPr>
        <w:rPr>
          <w:rFonts w:eastAsia="楷体_GB2312"/>
          <w:color w:val="auto"/>
          <w:highlight w:val="none"/>
        </w:rPr>
      </w:pPr>
      <w:r>
        <w:rPr>
          <w:rFonts w:eastAsia="楷体_GB2312"/>
          <w:color w:val="auto"/>
          <w:highlight w:val="none"/>
        </w:rPr>
        <w:t xml:space="preserve">邮编： </w:t>
      </w:r>
      <w:r/>
    </w:p>
    <w:p>
      <w:pPr>
        <w:rPr>
          <w:rFonts w:eastAsia="楷体_GB2312"/>
          <w:color w:val="auto"/>
          <w:highlight w:val="none"/>
        </w:rPr>
      </w:pPr>
      <w:r>
        <w:rPr>
          <w:rFonts w:eastAsia="楷体_GB2312"/>
          <w:color w:val="auto"/>
          <w:highlight w:val="none"/>
        </w:rPr>
        <w:t xml:space="preserve">签署日期：</w:t>
      </w:r>
      <w:r/>
    </w:p>
    <w:p>
      <w:pPr>
        <w:rPr>
          <w:rFonts w:eastAsia="楷体_GB2312"/>
          <w:color w:val="auto"/>
          <w:highlight w:val="none"/>
        </w:rPr>
      </w:pPr>
      <w:r>
        <w:rPr>
          <w:rFonts w:eastAsia="楷体_GB2312"/>
          <w:color w:val="auto"/>
          <w:highlight w:val="none"/>
        </w:rPr>
      </w:r>
      <w:r/>
    </w:p>
    <w:p>
      <w:pPr>
        <w:rPr>
          <w:rFonts w:eastAsia="楷体_GB2312"/>
          <w:color w:val="auto"/>
          <w:highlight w:val="none"/>
        </w:rPr>
      </w:pPr>
      <w:r>
        <w:rPr>
          <w:rFonts w:hint="eastAsia" w:eastAsia="楷体_GB2312"/>
          <w:color w:val="auto"/>
          <w:highlight w:val="none"/>
        </w:rPr>
        <w:t xml:space="preserve">乙方：</w:t>
      </w:r>
      <w:r/>
    </w:p>
    <w:p>
      <w:pPr>
        <w:rPr>
          <w:rFonts w:eastAsia="楷体_GB2312"/>
          <w:color w:val="auto"/>
          <w:highlight w:val="none"/>
        </w:rPr>
      </w:pPr>
      <w:r>
        <w:rPr>
          <w:rFonts w:eastAsia="楷体_GB2312"/>
          <w:color w:val="auto"/>
          <w:highlight w:val="none"/>
        </w:rPr>
        <w:t xml:space="preserve">法人/委托代理人： </w:t>
      </w:r>
      <w:r/>
    </w:p>
    <w:p>
      <w:pPr>
        <w:rPr>
          <w:rFonts w:eastAsia="楷体_GB2312"/>
          <w:color w:val="auto"/>
          <w:highlight w:val="none"/>
        </w:rPr>
      </w:pPr>
      <w:r>
        <w:rPr>
          <w:rFonts w:eastAsia="楷体_GB2312"/>
          <w:color w:val="auto"/>
          <w:highlight w:val="none"/>
        </w:rPr>
        <w:t xml:space="preserve">经办人（签字）： </w:t>
      </w:r>
      <w:r/>
    </w:p>
    <w:p>
      <w:pPr>
        <w:rPr>
          <w:rFonts w:eastAsia="楷体_GB2312"/>
          <w:color w:val="auto"/>
          <w:highlight w:val="none"/>
        </w:rPr>
      </w:pPr>
      <w:r>
        <w:rPr>
          <w:rFonts w:eastAsia="楷体_GB2312"/>
          <w:color w:val="auto"/>
          <w:highlight w:val="none"/>
        </w:rPr>
        <w:t xml:space="preserve">电话： </w:t>
      </w:r>
      <w:r/>
    </w:p>
    <w:p>
      <w:pPr>
        <w:rPr>
          <w:rFonts w:eastAsia="楷体_GB2312"/>
          <w:color w:val="auto"/>
          <w:highlight w:val="none"/>
        </w:rPr>
      </w:pPr>
      <w:r>
        <w:rPr>
          <w:rFonts w:eastAsia="楷体_GB2312"/>
          <w:color w:val="auto"/>
          <w:highlight w:val="none"/>
        </w:rPr>
        <w:t xml:space="preserve">传真： </w:t>
      </w:r>
      <w:r/>
    </w:p>
    <w:p>
      <w:pPr>
        <w:rPr>
          <w:rFonts w:eastAsia="楷体_GB2312"/>
          <w:color w:val="auto"/>
          <w:highlight w:val="none"/>
        </w:rPr>
      </w:pPr>
      <w:r>
        <w:rPr>
          <w:rFonts w:eastAsia="楷体_GB2312"/>
          <w:color w:val="auto"/>
          <w:highlight w:val="none"/>
        </w:rPr>
        <w:t xml:space="preserve">开户行： </w:t>
      </w:r>
      <w:r/>
    </w:p>
    <w:p>
      <w:pPr>
        <w:rPr>
          <w:rFonts w:eastAsia="楷体_GB2312"/>
          <w:color w:val="auto"/>
          <w:highlight w:val="none"/>
        </w:rPr>
      </w:pPr>
      <w:r>
        <w:rPr>
          <w:rFonts w:eastAsia="楷体_GB2312"/>
          <w:color w:val="auto"/>
          <w:highlight w:val="none"/>
        </w:rPr>
        <w:t xml:space="preserve">帐号： </w:t>
      </w:r>
      <w:r/>
    </w:p>
    <w:p>
      <w:pPr>
        <w:rPr>
          <w:rFonts w:eastAsia="楷体_GB2312"/>
          <w:color w:val="auto"/>
          <w:highlight w:val="none"/>
        </w:rPr>
      </w:pPr>
      <w:r>
        <w:rPr>
          <w:rFonts w:eastAsia="楷体_GB2312"/>
          <w:color w:val="auto"/>
          <w:highlight w:val="none"/>
        </w:rPr>
        <w:t xml:space="preserve">税号： </w:t>
      </w:r>
      <w:r/>
    </w:p>
    <w:p>
      <w:pPr>
        <w:rPr>
          <w:rFonts w:eastAsia="楷体_GB2312"/>
          <w:color w:val="auto"/>
          <w:highlight w:val="none"/>
        </w:rPr>
      </w:pPr>
      <w:r>
        <w:rPr>
          <w:rFonts w:eastAsia="楷体_GB2312"/>
          <w:color w:val="auto"/>
          <w:highlight w:val="none"/>
        </w:rPr>
        <w:t xml:space="preserve">地址： </w:t>
      </w:r>
      <w:r/>
    </w:p>
    <w:p>
      <w:pPr>
        <w:rPr>
          <w:rFonts w:eastAsia="楷体_GB2312"/>
          <w:color w:val="auto"/>
          <w:highlight w:val="none"/>
        </w:rPr>
      </w:pPr>
      <w:r>
        <w:rPr>
          <w:rFonts w:eastAsia="楷体_GB2312"/>
          <w:color w:val="auto"/>
          <w:highlight w:val="none"/>
        </w:rPr>
        <w:t xml:space="preserve">邮编： </w:t>
      </w:r>
      <w:r/>
    </w:p>
    <w:p>
      <w:pPr>
        <w:rPr>
          <w:rFonts w:eastAsia="楷体_GB2312"/>
          <w:color w:val="auto"/>
          <w:highlight w:val="none"/>
        </w:rPr>
      </w:pPr>
      <w:r>
        <w:rPr>
          <w:rFonts w:eastAsia="楷体_GB2312"/>
          <w:color w:val="auto"/>
          <w:highlight w:val="none"/>
        </w:rPr>
        <w:t xml:space="preserve">签署日期： </w:t>
      </w:r>
      <w:r/>
    </w:p>
    <w:p>
      <w:pPr>
        <w:rPr>
          <w:color w:val="auto"/>
          <w:highlight w:val="none"/>
        </w:rPr>
      </w:pPr>
      <w:r>
        <w:rPr>
          <w:color w:val="auto"/>
          <w:highlight w:val="none"/>
        </w:rPr>
      </w:r>
      <w:r/>
    </w:p>
    <w:p>
      <w:pPr>
        <w:rPr>
          <w:color w:val="auto"/>
          <w:highlight w:val="none"/>
        </w:rPr>
      </w:pPr>
      <w:r>
        <w:rPr>
          <w:color w:val="auto"/>
          <w:highlight w:val="none"/>
        </w:rPr>
      </w:r>
      <w:r/>
    </w:p>
    <w:p>
      <w:pPr>
        <w:rPr>
          <w:rFonts w:hint="eastAsia" w:asciiTheme="majorEastAsia" w:hAnsiTheme="majorEastAsia" w:eastAsiaTheme="majorEastAsia"/>
          <w:b/>
          <w:color w:val="auto"/>
          <w:szCs w:val="21"/>
          <w:highlight w:val="none"/>
        </w:rPr>
      </w:pPr>
      <w:r>
        <w:rPr>
          <w:rFonts w:hint="eastAsia" w:asciiTheme="majorEastAsia" w:hAnsiTheme="majorEastAsia" w:eastAsiaTheme="majorEastAsia"/>
          <w:b/>
          <w:color w:val="auto"/>
          <w:szCs w:val="21"/>
          <w:highlight w:val="none"/>
        </w:rPr>
      </w:r>
      <w:r/>
    </w:p>
    <w:p>
      <w:pPr>
        <w:rPr>
          <w:rFonts w:hint="eastAsia" w:asciiTheme="majorEastAsia" w:hAnsiTheme="majorEastAsia" w:eastAsiaTheme="majorEastAsia"/>
          <w:b/>
          <w:color w:val="auto"/>
          <w:sz w:val="36"/>
          <w:highlight w:val="none"/>
        </w:rPr>
      </w:pPr>
      <w:r>
        <w:rPr>
          <w:rFonts w:hint="eastAsia" w:asciiTheme="majorEastAsia" w:hAnsiTheme="majorEastAsia" w:eastAsiaTheme="majorEastAsia"/>
          <w:b/>
          <w:color w:val="auto"/>
          <w:sz w:val="36"/>
          <w:highlight w:val="none"/>
        </w:rPr>
      </w:r>
      <w:r/>
    </w:p>
    <w:p>
      <w:pPr>
        <w:rPr>
          <w:rFonts w:hint="eastAsia" w:ascii="宋体" w:hAnsi="宋体"/>
          <w:color w:val="auto"/>
          <w:sz w:val="24"/>
          <w:szCs w:val="21"/>
          <w:highlight w:val="none"/>
          <w:lang w:bidi="ar"/>
        </w:rPr>
      </w:pPr>
      <w:r>
        <w:rPr>
          <w:rFonts w:hint="eastAsia" w:ascii="宋体" w:hAnsi="宋体"/>
          <w:color w:val="auto"/>
          <w:sz w:val="24"/>
          <w:szCs w:val="21"/>
          <w:highlight w:val="none"/>
          <w:lang w:bidi="ar"/>
        </w:rPr>
      </w:r>
      <w:r/>
    </w:p>
    <w:p>
      <w:pPr>
        <w:ind w:firstLine="480"/>
        <w:rPr>
          <w:rFonts w:hint="eastAsia" w:ascii="宋体" w:hAnsi="宋体"/>
          <w:color w:val="auto"/>
          <w:sz w:val="24"/>
          <w:szCs w:val="21"/>
          <w:highlight w:val="none"/>
          <w:lang w:bidi="ar"/>
        </w:rPr>
      </w:pPr>
      <w:r>
        <w:rPr>
          <w:rFonts w:hint="eastAsia" w:ascii="宋体" w:hAnsi="宋体"/>
          <w:color w:val="auto"/>
          <w:sz w:val="24"/>
          <w:szCs w:val="21"/>
          <w:highlight w:val="none"/>
          <w:lang w:bidi="ar"/>
        </w:rPr>
      </w:r>
      <w:r/>
    </w:p>
    <w:p>
      <w:pPr>
        <w:ind w:firstLine="420"/>
        <w:jc w:val="left"/>
        <w:spacing w:line="360" w:lineRule="auto"/>
        <w:rPr>
          <w:rFonts w:hint="eastAsia" w:ascii="宋体" w:hAnsi="宋体"/>
          <w:color w:val="auto"/>
          <w:szCs w:val="21"/>
          <w:highlight w:val="none"/>
        </w:rPr>
      </w:pPr>
      <w:r>
        <w:rPr>
          <w:rFonts w:hint="eastAsia" w:ascii="宋体" w:hAnsi="宋体"/>
          <w:color w:val="auto"/>
          <w:szCs w:val="21"/>
          <w:highlight w:val="none"/>
        </w:rPr>
      </w:r>
      <w:r/>
    </w:p>
    <w:p>
      <w:pPr>
        <w:pStyle w:val="916"/>
        <w:spacing w:line="300" w:lineRule="auto"/>
        <w:rPr>
          <w:rFonts w:ascii="Microsoft New Tai Lue" w:hAnsi="Microsoft New Tai Lue" w:cs="Microsoft New Tai Lue"/>
          <w:color w:val="auto"/>
          <w:highlight w:val="none"/>
        </w:rPr>
      </w:pPr>
      <w:r>
        <w:rPr>
          <w:rFonts w:hint="eastAsia" w:ascii="宋体" w:hAnsi="宋体" w:cs="宋体"/>
          <w:color w:val="auto"/>
          <w:szCs w:val="21"/>
          <w:highlight w:val="none"/>
          <w:lang w:val="zh-CN"/>
        </w:rPr>
        <w:br w:type="page" w:clear="all"/>
      </w:r>
      <w:bookmarkStart w:id="260" w:name="_Toc107246271"/>
      <w:r/>
      <w:bookmarkStart w:id="261" w:name="_Toc91836564"/>
      <w:r>
        <w:rPr>
          <w:rFonts w:ascii="Microsoft New Tai Lue" w:hAnsi="Microsoft New Tai Lue" w:cs="Microsoft New Tai Lue"/>
          <w:color w:val="auto"/>
          <w:highlight w:val="none"/>
        </w:rPr>
        <w:t xml:space="preserve">第四章 采购需求</w:t>
      </w:r>
      <w:bookmarkEnd w:id="260"/>
      <w:r/>
      <w:bookmarkEnd w:id="261"/>
      <w:r/>
      <w:r/>
    </w:p>
    <w:p>
      <w:pPr>
        <w:rPr>
          <w:rFonts w:ascii="Microsoft New Tai Lue" w:hAnsi="Microsoft New Tai Lue" w:cs="Microsoft New Tai Lue"/>
          <w:color w:val="auto"/>
          <w:highlight w:val="none"/>
        </w:rPr>
      </w:pPr>
      <w:r/>
      <w:bookmarkStart w:id="262" w:name="_Toc107246272"/>
      <w:r/>
      <w:r/>
    </w:p>
    <w:p>
      <w:pPr>
        <w:spacing w:line="269" w:lineRule="auto"/>
        <w:rPr>
          <w:rFonts w:ascii="Arial"/>
          <w:color w:val="auto"/>
          <w:highlight w:val="none"/>
        </w:rPr>
      </w:pPr>
      <w:r>
        <w:rPr>
          <w:rFonts w:ascii="Arial"/>
          <w:color w:val="auto"/>
          <w:highlight w:val="none"/>
        </w:rPr>
      </w:r>
      <w:r/>
    </w:p>
    <w:p>
      <w:pPr>
        <w:pStyle w:val="891"/>
        <w:ind w:left="13"/>
        <w:spacing w:before="78" w:line="219" w:lineRule="auto"/>
        <w:rPr>
          <w:color w:val="auto"/>
          <w:highlight w:val="none"/>
        </w:rPr>
        <w:outlineLvl w:val="1"/>
      </w:pPr>
      <w:r>
        <w:rPr>
          <w:b/>
          <w:bCs/>
          <w:color w:val="auto"/>
          <w:spacing w:val="-4"/>
          <w:highlight w:val="none"/>
        </w:rPr>
        <w:t xml:space="preserve">一、采购标的</w:t>
      </w:r>
      <w:r/>
    </w:p>
    <w:p>
      <w:pPr>
        <w:spacing w:line="111" w:lineRule="exact"/>
        <w:rPr>
          <w:color w:val="auto"/>
          <w:highlight w:val="none"/>
        </w:rPr>
      </w:pPr>
      <w:r>
        <w:rPr>
          <w:color w:val="auto"/>
          <w:highlight w:val="none"/>
        </w:rPr>
      </w:r>
      <w:r/>
    </w:p>
    <w:tbl>
      <w:tblPr>
        <w:tblStyle w:val="1120"/>
        <w:tblW w:w="9150" w:type="dxa"/>
        <w:tblInd w:w="-1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00"/>
        <w:gridCol w:w="5800"/>
        <w:gridCol w:w="2650"/>
      </w:tblGrid>
      <w:tr>
        <w:trPr>
          <w:trHeight w:val="480"/>
        </w:trPr>
        <w:tc>
          <w:tcPr>
            <w:tcW w:w="700" w:type="dxa"/>
            <w:textDirection w:val="lrTb"/>
            <w:noWrap w:val="false"/>
          </w:tcPr>
          <w:p>
            <w:pPr>
              <w:pStyle w:val="1128"/>
              <w:jc w:val="center"/>
              <w:spacing w:before="40" w:line="221" w:lineRule="auto"/>
              <w:rPr>
                <w:rFonts w:hint="eastAsia"/>
                <w:color w:val="auto"/>
                <w:sz w:val="24"/>
                <w:szCs w:val="24"/>
                <w:highlight w:val="none"/>
              </w:rPr>
            </w:pPr>
            <w:r>
              <w:rPr>
                <w:b/>
                <w:bCs/>
                <w:color w:val="auto"/>
                <w:spacing w:val="-8"/>
                <w:sz w:val="24"/>
                <w:szCs w:val="24"/>
                <w:highlight w:val="none"/>
              </w:rPr>
              <w:t xml:space="preserve">包号</w:t>
            </w:r>
            <w:r/>
          </w:p>
        </w:tc>
        <w:tc>
          <w:tcPr>
            <w:tcW w:w="5800" w:type="dxa"/>
            <w:textDirection w:val="lrTb"/>
            <w:noWrap w:val="false"/>
          </w:tcPr>
          <w:p>
            <w:pPr>
              <w:pStyle w:val="1128"/>
              <w:ind w:left="2623"/>
              <w:spacing w:before="43" w:line="220" w:lineRule="auto"/>
              <w:rPr>
                <w:rFonts w:hint="eastAsia"/>
                <w:color w:val="auto"/>
                <w:sz w:val="24"/>
                <w:szCs w:val="24"/>
                <w:highlight w:val="none"/>
              </w:rPr>
            </w:pPr>
            <w:r>
              <w:rPr>
                <w:b/>
                <w:bCs/>
                <w:color w:val="auto"/>
                <w:spacing w:val="-5"/>
                <w:sz w:val="24"/>
                <w:szCs w:val="24"/>
                <w:highlight w:val="none"/>
              </w:rPr>
              <w:t xml:space="preserve">标的名称</w:t>
            </w:r>
            <w:r/>
          </w:p>
        </w:tc>
        <w:tc>
          <w:tcPr>
            <w:tcW w:w="2650" w:type="dxa"/>
            <w:textDirection w:val="lrTb"/>
            <w:noWrap w:val="false"/>
          </w:tcPr>
          <w:p>
            <w:pPr>
              <w:pStyle w:val="1128"/>
              <w:jc w:val="center"/>
              <w:spacing w:before="43" w:line="219" w:lineRule="auto"/>
              <w:rPr>
                <w:rFonts w:hint="eastAsia"/>
                <w:color w:val="auto"/>
                <w:sz w:val="24"/>
                <w:szCs w:val="24"/>
                <w:highlight w:val="none"/>
              </w:rPr>
            </w:pPr>
            <w:r>
              <w:rPr>
                <w:b/>
                <w:bCs/>
                <w:color w:val="auto"/>
                <w:spacing w:val="-9"/>
                <w:sz w:val="24"/>
                <w:szCs w:val="24"/>
                <w:highlight w:val="none"/>
              </w:rPr>
              <w:t xml:space="preserve">数量</w:t>
            </w:r>
            <w:r/>
          </w:p>
        </w:tc>
      </w:tr>
      <w:tr>
        <w:trPr>
          <w:trHeight w:val="473"/>
        </w:trPr>
        <w:tc>
          <w:tcPr>
            <w:tcW w:w="700" w:type="dxa"/>
            <w:textDirection w:val="lrTb"/>
            <w:noWrap w:val="false"/>
          </w:tcPr>
          <w:p>
            <w:pPr>
              <w:pStyle w:val="1128"/>
              <w:jc w:val="center"/>
              <w:spacing w:before="37"/>
              <w:rPr>
                <w:rFonts w:hint="eastAsia"/>
                <w:color w:val="auto"/>
                <w:sz w:val="24"/>
                <w:szCs w:val="24"/>
                <w:highlight w:val="none"/>
              </w:rPr>
            </w:pPr>
            <w:r>
              <w:rPr>
                <w:color w:val="auto"/>
                <w:spacing w:val="-6"/>
                <w:sz w:val="24"/>
                <w:szCs w:val="24"/>
                <w:highlight w:val="none"/>
              </w:rPr>
              <w:t xml:space="preserve">01</w:t>
            </w:r>
            <w:r/>
          </w:p>
        </w:tc>
        <w:tc>
          <w:tcPr>
            <w:tcW w:w="5800" w:type="dxa"/>
            <w:textDirection w:val="lrTb"/>
            <w:noWrap w:val="false"/>
          </w:tcPr>
          <w:p>
            <w:pPr>
              <w:pStyle w:val="1128"/>
              <w:jc w:val="center"/>
              <w:spacing w:before="115" w:line="219" w:lineRule="auto"/>
              <w:rPr>
                <w:rFonts w:hint="eastAsia"/>
                <w:color w:val="auto"/>
                <w:sz w:val="24"/>
                <w:szCs w:val="24"/>
                <w:highlight w:val="none"/>
                <w:lang w:eastAsia="zh-CN"/>
              </w:rPr>
            </w:pPr>
            <w:r>
              <w:rPr>
                <w:rFonts w:hint="eastAsia"/>
                <w:color w:val="auto"/>
                <w:sz w:val="24"/>
                <w:szCs w:val="24"/>
                <w:highlight w:val="none"/>
                <w:lang w:eastAsia="zh-CN"/>
              </w:rPr>
              <w:t xml:space="preserve">QJ1H-SoC芯片设计和流片服务</w:t>
            </w:r>
            <w:r/>
          </w:p>
        </w:tc>
        <w:tc>
          <w:tcPr>
            <w:tcW w:w="2650" w:type="dxa"/>
            <w:textDirection w:val="lrTb"/>
            <w:noWrap w:val="false"/>
          </w:tcPr>
          <w:p>
            <w:pPr>
              <w:pStyle w:val="1128"/>
              <w:jc w:val="center"/>
              <w:spacing w:before="114" w:line="220" w:lineRule="auto"/>
              <w:rPr>
                <w:rFonts w:hint="eastAsia"/>
                <w:color w:val="auto"/>
                <w:sz w:val="24"/>
                <w:szCs w:val="24"/>
                <w:highlight w:val="none"/>
              </w:rPr>
            </w:pPr>
            <w:r>
              <w:rPr>
                <w:color w:val="auto"/>
                <w:spacing w:val="-14"/>
                <w:sz w:val="24"/>
                <w:szCs w:val="24"/>
                <w:highlight w:val="none"/>
              </w:rPr>
              <w:t xml:space="preserve">1</w:t>
            </w:r>
            <w:r>
              <w:rPr>
                <w:color w:val="auto"/>
                <w:spacing w:val="-47"/>
                <w:sz w:val="24"/>
                <w:szCs w:val="24"/>
                <w:highlight w:val="none"/>
              </w:rPr>
              <w:t xml:space="preserve"> </w:t>
            </w:r>
            <w:r>
              <w:rPr>
                <w:color w:val="auto"/>
                <w:spacing w:val="-14"/>
                <w:sz w:val="24"/>
                <w:szCs w:val="24"/>
                <w:highlight w:val="none"/>
              </w:rPr>
              <w:t xml:space="preserve">项</w:t>
            </w:r>
            <w:r/>
          </w:p>
        </w:tc>
      </w:tr>
    </w:tbl>
    <w:p>
      <w:pPr>
        <w:spacing w:line="317" w:lineRule="auto"/>
        <w:rPr>
          <w:rFonts w:ascii="Arial"/>
          <w:color w:val="auto"/>
          <w:highlight w:val="none"/>
        </w:rPr>
      </w:pPr>
      <w:r>
        <w:rPr>
          <w:rFonts w:ascii="Arial"/>
          <w:color w:val="auto"/>
          <w:highlight w:val="none"/>
        </w:rPr>
      </w:r>
      <w:r/>
    </w:p>
    <w:p>
      <w:pPr>
        <w:pStyle w:val="1130"/>
        <w:keepNext w:val="0"/>
        <w:spacing w:before="0"/>
        <w:rPr>
          <w:color w:val="auto"/>
          <w:highlight w:val="none"/>
        </w:rPr>
      </w:pPr>
      <w:r>
        <w:rPr>
          <w:rFonts w:hint="eastAsia" w:ascii="宋体" w:hAnsi="宋体" w:eastAsia="宋体" w:cs="宋体"/>
          <w:color w:val="auto"/>
          <w:sz w:val="24"/>
          <w:highlight w:val="none"/>
        </w:rPr>
        <w:t xml:space="preserve">工作量清单表</w:t>
      </w:r>
      <w:r/>
    </w:p>
    <w:tbl>
      <w:tblPr>
        <w:tblStyle w:val="88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81"/>
        <w:gridCol w:w="1579"/>
        <w:gridCol w:w="2748"/>
        <w:gridCol w:w="1467"/>
        <w:gridCol w:w="2660"/>
      </w:tblGrid>
      <w:tr>
        <w:trPr>
          <w:trHeight w:val="300"/>
        </w:trPr>
        <w:tc>
          <w:tcPr>
            <w:tcBorders>
              <w:top w:val="single" w:color="auto"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费用项目</w:t>
            </w:r>
            <w:r/>
          </w:p>
        </w:tc>
        <w:tc>
          <w:tcPr>
            <w:tcBorders>
              <w:top w:val="single" w:color="auto"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费用子项</w:t>
            </w:r>
            <w:r/>
          </w:p>
        </w:tc>
        <w:tc>
          <w:tcPr>
            <w:tcBorders>
              <w:top w:val="single" w:color="auto"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费用金额（万元）</w:t>
            </w:r>
            <w:r/>
          </w:p>
        </w:tc>
        <w:tc>
          <w:tcPr>
            <w:tcBorders>
              <w:top w:val="single" w:color="auto" w:sz="4" w:space="0"/>
              <w:left w:val="none" w:color="000000" w:sz="4" w:space="0"/>
              <w:bottom w:val="single" w:color="auto" w:sz="4" w:space="0"/>
              <w:right w:val="single" w:color="auto" w:sz="4" w:space="0"/>
            </w:tcBorders>
            <w:tcW w:w="1456" w:type="pct"/>
            <w:vAlign w:val="center"/>
            <w:textDirection w:val="lrTb"/>
            <w:noWrap w:val="false"/>
          </w:tcPr>
          <w:p>
            <w:pPr>
              <w:jc w:val="left"/>
              <w:widowControl/>
              <w:rPr>
                <w:rFonts w:eastAsia="等线"/>
                <w:color w:val="auto"/>
                <w:sz w:val="24"/>
                <w:highlight w:val="none"/>
              </w:rPr>
            </w:pPr>
            <w:r>
              <w:rPr>
                <w:rFonts w:ascii="宋体" w:hAnsi="宋体"/>
                <w:color w:val="auto"/>
                <w:sz w:val="24"/>
                <w:highlight w:val="none"/>
              </w:rPr>
              <w:t xml:space="preserve">备注</w:t>
            </w:r>
            <w:r/>
          </w:p>
        </w:tc>
      </w:tr>
      <w:tr>
        <w:trPr>
          <w:trHeight w:val="6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t xml:space="preserve">1</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b/>
                <w:bCs/>
                <w:color w:val="auto"/>
                <w:sz w:val="24"/>
                <w:highlight w:val="none"/>
              </w:rPr>
            </w:pPr>
            <w:r>
              <w:rPr>
                <w:rFonts w:ascii="宋体" w:hAnsi="宋体"/>
                <w:b/>
                <w:bCs/>
                <w:color w:val="auto"/>
                <w:sz w:val="24"/>
                <w:highlight w:val="none"/>
              </w:rPr>
              <w:t xml:space="preserve">通用模块集成</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（小计）</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jc w:val="left"/>
              <w:widowControl/>
              <w:rPr>
                <w:color w:val="auto"/>
                <w:sz w:val="24"/>
                <w:highlight w:val="none"/>
              </w:rPr>
            </w:pPr>
            <w:r>
              <w:rPr>
                <w:rFonts w:ascii="宋体" w:hAnsi="宋体"/>
                <w:color w:val="auto"/>
                <w:sz w:val="24"/>
                <w:highlight w:val="none"/>
              </w:rPr>
              <w:t xml:space="preserve">工作内容见</w:t>
            </w:r>
            <w:r>
              <w:rPr>
                <w:rFonts w:hint="eastAsia" w:ascii="宋体" w:hAnsi="宋体"/>
                <w:color w:val="auto"/>
                <w:sz w:val="24"/>
                <w:highlight w:val="none"/>
              </w:rPr>
              <w:t xml:space="preserve">需求</w:t>
            </w:r>
            <w:r/>
          </w:p>
        </w:tc>
      </w:tr>
      <w:tr>
        <w:trPr>
          <w:trHeight w:val="94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1.1</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IP</w:t>
            </w:r>
            <w:r>
              <w:rPr>
                <w:rFonts w:ascii="宋体" w:hAnsi="宋体"/>
                <w:color w:val="auto"/>
                <w:sz w:val="24"/>
                <w:highlight w:val="none"/>
              </w:rPr>
              <w:t xml:space="preserve">授权费</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授权内容：除</w:t>
            </w:r>
            <w:r>
              <w:rPr>
                <w:rFonts w:eastAsia="等线"/>
                <w:color w:val="auto"/>
                <w:sz w:val="24"/>
                <w:highlight w:val="none"/>
              </w:rPr>
              <w:t xml:space="preserve">IVPS</w:t>
            </w:r>
            <w:r>
              <w:rPr>
                <w:rFonts w:ascii="宋体" w:hAnsi="宋体"/>
                <w:color w:val="auto"/>
                <w:sz w:val="24"/>
                <w:highlight w:val="none"/>
              </w:rPr>
              <w:t xml:space="preserve">和</w:t>
            </w:r>
            <w:r>
              <w:rPr>
                <w:rFonts w:eastAsia="等线"/>
                <w:color w:val="auto"/>
                <w:sz w:val="24"/>
                <w:highlight w:val="none"/>
              </w:rPr>
              <w:t xml:space="preserve">VMIS</w:t>
            </w:r>
            <w:r>
              <w:rPr>
                <w:rFonts w:ascii="宋体" w:hAnsi="宋体"/>
                <w:color w:val="auto"/>
                <w:sz w:val="24"/>
                <w:highlight w:val="none"/>
              </w:rPr>
              <w:t xml:space="preserve">外本项目所需其余所有</w:t>
            </w:r>
            <w:r>
              <w:rPr>
                <w:rFonts w:eastAsia="等线"/>
                <w:color w:val="auto"/>
                <w:sz w:val="24"/>
                <w:highlight w:val="none"/>
              </w:rPr>
              <w:t xml:space="preserve">IP</w:t>
            </w:r>
            <w:r>
              <w:rPr>
                <w:rFonts w:ascii="宋体" w:hAnsi="宋体"/>
                <w:color w:val="auto"/>
                <w:sz w:val="24"/>
                <w:highlight w:val="none"/>
              </w:rPr>
              <w:t xml:space="preserve">授权方式：单产品永久授权</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1.2</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目标工艺检查</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1.3</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设计环境搭建</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1.4</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CPU</w:t>
            </w:r>
            <w:r>
              <w:rPr>
                <w:rFonts w:ascii="宋体" w:hAnsi="宋体"/>
                <w:color w:val="auto"/>
                <w:sz w:val="24"/>
                <w:highlight w:val="none"/>
              </w:rPr>
              <w:t xml:space="preserve">子系统开发</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1.5</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NPU</w:t>
            </w:r>
            <w:r>
              <w:rPr>
                <w:rFonts w:ascii="宋体" w:hAnsi="宋体"/>
                <w:color w:val="auto"/>
                <w:sz w:val="24"/>
                <w:highlight w:val="none"/>
              </w:rPr>
              <w:t xml:space="preserve">集成</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1.6</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其他通用模块集成</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1.7</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视觉模型推理子系统（</w:t>
            </w:r>
            <w:r>
              <w:rPr>
                <w:rFonts w:eastAsia="等线"/>
                <w:color w:val="auto"/>
                <w:sz w:val="24"/>
                <w:highlight w:val="none"/>
              </w:rPr>
              <w:t xml:space="preserve">VMIS</w:t>
            </w:r>
            <w:r>
              <w:rPr>
                <w:rFonts w:ascii="宋体" w:hAnsi="宋体"/>
                <w:color w:val="auto"/>
                <w:sz w:val="24"/>
                <w:highlight w:val="none"/>
              </w:rPr>
              <w:t xml:space="preserve">）</w:t>
            </w:r>
            <w:r>
              <w:rPr>
                <w:rFonts w:eastAsia="等线"/>
                <w:color w:val="auto"/>
                <w:sz w:val="24"/>
                <w:highlight w:val="none"/>
              </w:rPr>
              <w:t xml:space="preserve">IP</w:t>
            </w:r>
            <w:r>
              <w:rPr>
                <w:rFonts w:ascii="宋体" w:hAnsi="宋体"/>
                <w:color w:val="auto"/>
                <w:sz w:val="24"/>
                <w:highlight w:val="none"/>
              </w:rPr>
              <w:t xml:space="preserve">集成</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hint="eastAsia" w:ascii="宋体" w:hAnsi="宋体"/>
                <w:color w:val="auto"/>
                <w:sz w:val="24"/>
                <w:highlight w:val="none"/>
              </w:rPr>
              <w:t xml:space="preserve">采购</w:t>
            </w:r>
            <w:r>
              <w:rPr>
                <w:rFonts w:ascii="宋体" w:hAnsi="宋体"/>
                <w:color w:val="auto"/>
                <w:sz w:val="24"/>
                <w:highlight w:val="none"/>
              </w:rPr>
              <w:t xml:space="preserve">方配合提供</w:t>
            </w:r>
            <w:r>
              <w:rPr>
                <w:rFonts w:eastAsia="等线"/>
                <w:color w:val="auto"/>
                <w:sz w:val="24"/>
                <w:highlight w:val="none"/>
              </w:rPr>
              <w:t xml:space="preserve">IP</w:t>
            </w:r>
            <w:r>
              <w:rPr>
                <w:rFonts w:ascii="宋体" w:hAnsi="宋体"/>
                <w:color w:val="auto"/>
                <w:sz w:val="24"/>
                <w:highlight w:val="none"/>
              </w:rPr>
              <w:t xml:space="preserve">加密</w:t>
            </w:r>
            <w:r>
              <w:rPr>
                <w:rFonts w:eastAsia="等线"/>
                <w:color w:val="auto"/>
                <w:sz w:val="24"/>
                <w:highlight w:val="none"/>
              </w:rPr>
              <w:t xml:space="preserve">RTL</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1.8</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智能视觉处理子系统（</w:t>
            </w:r>
            <w:r>
              <w:rPr>
                <w:rFonts w:eastAsia="等线"/>
                <w:color w:val="auto"/>
                <w:sz w:val="24"/>
                <w:highlight w:val="none"/>
              </w:rPr>
              <w:t xml:space="preserve">IVPS</w:t>
            </w:r>
            <w:r>
              <w:rPr>
                <w:rFonts w:ascii="宋体" w:hAnsi="宋体"/>
                <w:color w:val="auto"/>
                <w:sz w:val="24"/>
                <w:highlight w:val="none"/>
              </w:rPr>
              <w:t xml:space="preserve">）</w:t>
            </w:r>
            <w:r>
              <w:rPr>
                <w:rFonts w:eastAsia="等线"/>
                <w:color w:val="auto"/>
                <w:sz w:val="24"/>
                <w:highlight w:val="none"/>
              </w:rPr>
              <w:t xml:space="preserve">IP</w:t>
            </w:r>
            <w:r>
              <w:rPr>
                <w:rFonts w:ascii="宋体" w:hAnsi="宋体"/>
                <w:color w:val="auto"/>
                <w:sz w:val="24"/>
                <w:highlight w:val="none"/>
              </w:rPr>
              <w:t xml:space="preserve">集成</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hint="eastAsia" w:ascii="宋体" w:hAnsi="宋体"/>
                <w:color w:val="auto"/>
                <w:sz w:val="24"/>
                <w:highlight w:val="none"/>
              </w:rPr>
              <w:t xml:space="preserve">采购</w:t>
            </w:r>
            <w:r>
              <w:rPr>
                <w:rFonts w:ascii="宋体" w:hAnsi="宋体"/>
                <w:color w:val="auto"/>
                <w:sz w:val="24"/>
                <w:highlight w:val="none"/>
              </w:rPr>
              <w:t xml:space="preserve">方配合提供</w:t>
            </w:r>
            <w:r>
              <w:rPr>
                <w:rFonts w:eastAsia="等线"/>
                <w:color w:val="auto"/>
                <w:sz w:val="24"/>
                <w:highlight w:val="none"/>
              </w:rPr>
              <w:t xml:space="preserve">IP</w:t>
            </w:r>
            <w:r>
              <w:rPr>
                <w:rFonts w:ascii="宋体" w:hAnsi="宋体"/>
                <w:color w:val="auto"/>
                <w:sz w:val="24"/>
                <w:highlight w:val="none"/>
              </w:rPr>
              <w:t xml:space="preserve">加密</w:t>
            </w:r>
            <w:r>
              <w:rPr>
                <w:rFonts w:eastAsia="等线"/>
                <w:color w:val="auto"/>
                <w:sz w:val="24"/>
                <w:highlight w:val="none"/>
              </w:rPr>
              <w:t xml:space="preserve">RTL</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1.9</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SoC</w:t>
            </w:r>
            <w:r>
              <w:rPr>
                <w:rFonts w:ascii="宋体" w:hAnsi="宋体"/>
                <w:color w:val="auto"/>
                <w:sz w:val="24"/>
                <w:highlight w:val="none"/>
              </w:rPr>
              <w:t xml:space="preserve">系统开发集成</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1.10</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功能仿真验证</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1.11</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视觉模型推理子系统（</w:t>
            </w:r>
            <w:r>
              <w:rPr>
                <w:rFonts w:eastAsia="等线"/>
                <w:color w:val="auto"/>
                <w:sz w:val="24"/>
                <w:highlight w:val="none"/>
              </w:rPr>
              <w:t xml:space="preserve">VMIS</w:t>
            </w:r>
            <w:r>
              <w:rPr>
                <w:rFonts w:ascii="宋体" w:hAnsi="宋体"/>
                <w:color w:val="auto"/>
                <w:sz w:val="24"/>
                <w:highlight w:val="none"/>
              </w:rPr>
              <w:t xml:space="preserve">）功能验证</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1.12</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智能视觉处理子系统（</w:t>
            </w:r>
            <w:r>
              <w:rPr>
                <w:rFonts w:eastAsia="等线"/>
                <w:color w:val="auto"/>
                <w:sz w:val="24"/>
                <w:highlight w:val="none"/>
              </w:rPr>
              <w:t xml:space="preserve">IVPS</w:t>
            </w:r>
            <w:r>
              <w:rPr>
                <w:rFonts w:ascii="宋体" w:hAnsi="宋体"/>
                <w:color w:val="auto"/>
                <w:sz w:val="24"/>
                <w:highlight w:val="none"/>
              </w:rPr>
              <w:t xml:space="preserve">）功能验证</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1.13</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FPGA</w:t>
            </w:r>
            <w:r>
              <w:rPr>
                <w:rFonts w:ascii="宋体" w:hAnsi="宋体"/>
                <w:color w:val="auto"/>
                <w:sz w:val="24"/>
                <w:highlight w:val="none"/>
              </w:rPr>
              <w:t xml:space="preserve">原型验证</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6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t xml:space="preserve">2</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b/>
                <w:bCs/>
                <w:color w:val="auto"/>
                <w:sz w:val="24"/>
                <w:highlight w:val="none"/>
              </w:rPr>
            </w:pPr>
            <w:r>
              <w:rPr>
                <w:rFonts w:ascii="宋体" w:hAnsi="宋体"/>
                <w:b/>
                <w:bCs/>
                <w:color w:val="auto"/>
                <w:sz w:val="24"/>
                <w:highlight w:val="none"/>
              </w:rPr>
              <w:t xml:space="preserve">后端物理设计</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（小计）</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color w:val="auto"/>
                <w:sz w:val="24"/>
                <w:highlight w:val="none"/>
              </w:rPr>
            </w:pPr>
            <w:r>
              <w:rPr>
                <w:rFonts w:ascii="宋体" w:hAnsi="宋体"/>
                <w:color w:val="auto"/>
                <w:sz w:val="24"/>
                <w:highlight w:val="none"/>
              </w:rPr>
              <w:t xml:space="preserve">工作内容见</w:t>
            </w:r>
            <w:r>
              <w:rPr>
                <w:rFonts w:hint="eastAsia" w:ascii="宋体" w:hAnsi="宋体"/>
                <w:color w:val="auto"/>
                <w:sz w:val="24"/>
                <w:highlight w:val="none"/>
              </w:rPr>
              <w:t xml:space="preserve">需求</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2.1</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逻辑综合</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2.2</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形式验证</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2.3</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DFT</w:t>
            </w:r>
            <w:r>
              <w:rPr>
                <w:rFonts w:ascii="宋体" w:hAnsi="宋体"/>
                <w:color w:val="auto"/>
                <w:sz w:val="24"/>
                <w:highlight w:val="none"/>
              </w:rPr>
              <w:t xml:space="preserve">设计</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2.4</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布局规划</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2.5</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电源网络设计</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2.6</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时钟树综合</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2.7</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布局布线（</w:t>
            </w:r>
            <w:r>
              <w:rPr>
                <w:rFonts w:eastAsia="等线"/>
                <w:color w:val="auto"/>
                <w:sz w:val="24"/>
                <w:highlight w:val="none"/>
              </w:rPr>
              <w:t xml:space="preserve">PnR</w:t>
            </w:r>
            <w:r>
              <w:rPr>
                <w:rFonts w:ascii="宋体" w:hAnsi="宋体"/>
                <w:color w:val="auto"/>
                <w:sz w:val="24"/>
                <w:highlight w:val="none"/>
              </w:rPr>
              <w:t xml:space="preserve">）</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2.8</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时序签核</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2.9</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后仿真</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2.10</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物理验证</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2.11</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ESD/SSO</w:t>
            </w:r>
            <w:r>
              <w:rPr>
                <w:rFonts w:ascii="宋体" w:hAnsi="宋体"/>
                <w:color w:val="auto"/>
                <w:sz w:val="24"/>
                <w:highlight w:val="none"/>
              </w:rPr>
              <w:t xml:space="preserve">检查</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2.12</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功耗</w:t>
            </w:r>
            <w:r>
              <w:rPr>
                <w:rFonts w:eastAsia="等线"/>
                <w:color w:val="auto"/>
                <w:sz w:val="24"/>
                <w:highlight w:val="none"/>
              </w:rPr>
              <w:t xml:space="preserve">/</w:t>
            </w:r>
            <w:r>
              <w:rPr>
                <w:rFonts w:ascii="宋体" w:hAnsi="宋体"/>
                <w:color w:val="auto"/>
                <w:sz w:val="24"/>
                <w:highlight w:val="none"/>
              </w:rPr>
              <w:t xml:space="preserve">电源网络分析</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125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t xml:space="preserve">3</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b/>
                <w:bCs/>
                <w:color w:val="auto"/>
                <w:sz w:val="24"/>
                <w:highlight w:val="none"/>
              </w:rPr>
            </w:pPr>
            <w:r>
              <w:rPr>
                <w:rFonts w:ascii="宋体" w:hAnsi="宋体"/>
                <w:b/>
                <w:bCs/>
                <w:color w:val="auto"/>
                <w:sz w:val="24"/>
                <w:highlight w:val="none"/>
              </w:rPr>
              <w:t xml:space="preserve">流片</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流片费用</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工作内容见</w:t>
            </w:r>
            <w:r>
              <w:rPr>
                <w:rFonts w:hint="eastAsia" w:ascii="宋体" w:hAnsi="宋体"/>
                <w:color w:val="auto"/>
                <w:sz w:val="24"/>
                <w:highlight w:val="none"/>
              </w:rPr>
              <w:t xml:space="preserve">需求，</w:t>
            </w:r>
            <w:r>
              <w:rPr>
                <w:rFonts w:eastAsia="等线"/>
                <w:color w:val="auto"/>
                <w:sz w:val="24"/>
                <w:highlight w:val="none"/>
              </w:rPr>
              <w:t xml:space="preserve">SMIC40LL Full Mask NTO</w:t>
            </w:r>
            <w:r>
              <w:rPr>
                <w:rFonts w:ascii="宋体" w:hAnsi="宋体"/>
                <w:color w:val="auto"/>
                <w:sz w:val="24"/>
                <w:highlight w:val="none"/>
              </w:rPr>
              <w:t xml:space="preserve">工程流片，</w:t>
            </w:r>
            <w:r>
              <w:rPr>
                <w:rFonts w:eastAsia="等线"/>
                <w:color w:val="auto"/>
                <w:sz w:val="24"/>
                <w:highlight w:val="none"/>
              </w:rPr>
              <w:t xml:space="preserve">baseline</w:t>
            </w:r>
            <w:r>
              <w:rPr>
                <w:rFonts w:ascii="宋体" w:hAnsi="宋体"/>
                <w:color w:val="auto"/>
                <w:sz w:val="24"/>
                <w:highlight w:val="none"/>
              </w:rPr>
              <w:t xml:space="preserve">一次流片，</w:t>
            </w:r>
            <w:r>
              <w:rPr>
                <w:rFonts w:eastAsia="等线"/>
                <w:color w:val="auto"/>
                <w:sz w:val="24"/>
                <w:highlight w:val="none"/>
              </w:rPr>
              <w:t xml:space="preserve">12 wafer</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t xml:space="preserve">4</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b/>
                <w:bCs/>
                <w:color w:val="auto"/>
                <w:sz w:val="24"/>
                <w:highlight w:val="none"/>
              </w:rPr>
            </w:pPr>
            <w:r>
              <w:rPr>
                <w:rFonts w:ascii="宋体" w:hAnsi="宋体"/>
                <w:b/>
                <w:bCs/>
                <w:color w:val="auto"/>
                <w:sz w:val="24"/>
                <w:highlight w:val="none"/>
              </w:rPr>
              <w:t xml:space="preserve">封装</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（小计）</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color w:val="auto"/>
                <w:sz w:val="24"/>
                <w:highlight w:val="none"/>
              </w:rPr>
            </w:pPr>
            <w:r>
              <w:rPr>
                <w:rFonts w:ascii="宋体" w:hAnsi="宋体"/>
                <w:color w:val="auto"/>
                <w:sz w:val="24"/>
                <w:highlight w:val="none"/>
              </w:rPr>
              <w:t xml:space="preserve">工作内容见</w:t>
            </w:r>
            <w:r>
              <w:rPr>
                <w:rFonts w:hint="eastAsia" w:ascii="宋体" w:hAnsi="宋体"/>
                <w:color w:val="auto"/>
                <w:sz w:val="24"/>
                <w:highlight w:val="none"/>
              </w:rPr>
              <w:t xml:space="preserve">需求</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4.1</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WBBGA</w:t>
            </w:r>
            <w:r>
              <w:rPr>
                <w:rFonts w:ascii="宋体" w:hAnsi="宋体"/>
                <w:color w:val="auto"/>
                <w:sz w:val="24"/>
                <w:highlight w:val="none"/>
              </w:rPr>
              <w:t xml:space="preserve">封装设计</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4.2</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KGD</w:t>
            </w:r>
            <w:r>
              <w:rPr>
                <w:rFonts w:ascii="宋体" w:hAnsi="宋体"/>
                <w:color w:val="auto"/>
                <w:sz w:val="24"/>
                <w:highlight w:val="none"/>
              </w:rPr>
              <w:t xml:space="preserve">合封</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包括基板加工，封装样片制造，</w:t>
            </w:r>
            <w:r>
              <w:rPr>
                <w:rFonts w:eastAsia="等线"/>
                <w:color w:val="auto"/>
                <w:sz w:val="24"/>
                <w:highlight w:val="none"/>
              </w:rPr>
              <w:t xml:space="preserve">500</w:t>
            </w:r>
            <w:r>
              <w:rPr>
                <w:rFonts w:ascii="宋体" w:hAnsi="宋体"/>
                <w:color w:val="auto"/>
                <w:sz w:val="24"/>
                <w:highlight w:val="none"/>
              </w:rPr>
              <w:t xml:space="preserve">颗</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4.3</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EVB</w:t>
            </w:r>
            <w:r>
              <w:rPr>
                <w:rFonts w:ascii="宋体" w:hAnsi="宋体"/>
                <w:color w:val="auto"/>
                <w:sz w:val="24"/>
                <w:highlight w:val="none"/>
              </w:rPr>
              <w:t xml:space="preserve">开发</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包括</w:t>
            </w:r>
            <w:r>
              <w:rPr>
                <w:rFonts w:eastAsia="等线"/>
                <w:color w:val="auto"/>
                <w:sz w:val="24"/>
                <w:highlight w:val="none"/>
              </w:rPr>
              <w:t xml:space="preserve">EVB</w:t>
            </w:r>
            <w:r>
              <w:rPr>
                <w:rFonts w:ascii="宋体" w:hAnsi="宋体"/>
                <w:color w:val="auto"/>
                <w:sz w:val="24"/>
                <w:highlight w:val="none"/>
              </w:rPr>
              <w:t xml:space="preserve">设计以及</w:t>
            </w:r>
            <w:r>
              <w:rPr>
                <w:rFonts w:eastAsia="等线"/>
                <w:color w:val="auto"/>
                <w:sz w:val="24"/>
                <w:highlight w:val="none"/>
              </w:rPr>
              <w:t xml:space="preserve">30</w:t>
            </w:r>
            <w:r>
              <w:rPr>
                <w:rFonts w:ascii="宋体" w:hAnsi="宋体"/>
                <w:color w:val="auto"/>
                <w:sz w:val="24"/>
                <w:highlight w:val="none"/>
              </w:rPr>
              <w:t xml:space="preserve">块</w:t>
            </w:r>
            <w:r>
              <w:rPr>
                <w:rFonts w:eastAsia="等线"/>
                <w:color w:val="auto"/>
                <w:sz w:val="24"/>
                <w:highlight w:val="none"/>
              </w:rPr>
              <w:t xml:space="preserve">EVB</w:t>
            </w:r>
            <w:r>
              <w:rPr>
                <w:rFonts w:ascii="宋体" w:hAnsi="宋体"/>
                <w:color w:val="auto"/>
                <w:sz w:val="24"/>
                <w:highlight w:val="none"/>
              </w:rPr>
              <w:t xml:space="preserve">板子制造</w:t>
            </w:r>
            <w:r/>
          </w:p>
        </w:tc>
      </w:tr>
      <w:tr>
        <w:trPr>
          <w:trHeight w:val="6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t xml:space="preserve">5</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b/>
                <w:bCs/>
                <w:color w:val="auto"/>
                <w:sz w:val="24"/>
                <w:highlight w:val="none"/>
              </w:rPr>
            </w:pPr>
            <w:r>
              <w:rPr>
                <w:rFonts w:ascii="宋体" w:hAnsi="宋体"/>
                <w:b/>
                <w:bCs/>
                <w:color w:val="auto"/>
                <w:sz w:val="24"/>
                <w:highlight w:val="none"/>
              </w:rPr>
              <w:t xml:space="preserve">回片测试验证</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（小计）</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工作内容见</w:t>
            </w:r>
            <w:r>
              <w:rPr>
                <w:rFonts w:hint="eastAsia" w:ascii="宋体" w:hAnsi="宋体"/>
                <w:color w:val="auto"/>
                <w:sz w:val="24"/>
                <w:highlight w:val="none"/>
              </w:rPr>
              <w:t xml:space="preserve">需求</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5.1</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驱动及</w:t>
            </w:r>
            <w:r>
              <w:rPr>
                <w:rFonts w:eastAsia="等线"/>
                <w:color w:val="auto"/>
                <w:sz w:val="24"/>
                <w:highlight w:val="none"/>
              </w:rPr>
              <w:t xml:space="preserve">SDK</w:t>
            </w:r>
            <w:r>
              <w:rPr>
                <w:rFonts w:ascii="宋体" w:hAnsi="宋体"/>
                <w:color w:val="auto"/>
                <w:sz w:val="24"/>
                <w:highlight w:val="none"/>
              </w:rPr>
              <w:t xml:space="preserve">支持</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5.2</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回片</w:t>
            </w:r>
            <w:r>
              <w:rPr>
                <w:rFonts w:eastAsia="等线"/>
                <w:color w:val="auto"/>
                <w:sz w:val="24"/>
                <w:highlight w:val="none"/>
              </w:rPr>
              <w:t xml:space="preserve">Bring UP</w:t>
            </w:r>
            <w:r>
              <w:rPr>
                <w:rFonts w:ascii="宋体" w:hAnsi="宋体"/>
                <w:color w:val="auto"/>
                <w:sz w:val="24"/>
                <w:highlight w:val="none"/>
              </w:rPr>
              <w:t xml:space="preserve">测试</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5.3</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功能测试</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5.4</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性能测试</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5.5</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压力与可靠性测试</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5.6</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功耗测试</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2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5.7</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color w:val="auto"/>
                <w:sz w:val="24"/>
                <w:highlight w:val="none"/>
              </w:rPr>
            </w:pPr>
            <w:r>
              <w:rPr>
                <w:rFonts w:ascii="宋体" w:hAnsi="宋体"/>
                <w:color w:val="auto"/>
                <w:sz w:val="24"/>
                <w:highlight w:val="none"/>
              </w:rPr>
              <w:t xml:space="preserve">工程板（</w:t>
            </w:r>
            <w:r>
              <w:rPr>
                <w:rFonts w:eastAsia="等线"/>
                <w:color w:val="auto"/>
                <w:sz w:val="24"/>
                <w:highlight w:val="none"/>
              </w:rPr>
              <w:t xml:space="preserve">EVB</w:t>
            </w:r>
            <w:r>
              <w:rPr>
                <w:rFonts w:ascii="宋体" w:hAnsi="宋体"/>
                <w:color w:val="auto"/>
                <w:sz w:val="24"/>
                <w:highlight w:val="none"/>
              </w:rPr>
              <w:t xml:space="preserve">）支持</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color w:val="auto"/>
                <w:sz w:val="24"/>
                <w:highlight w:val="none"/>
              </w:rPr>
            </w:pPr>
            <w:r>
              <w:rPr>
                <w:rFonts w:eastAsia="等线"/>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r>
        <w:trPr>
          <w:trHeight w:val="310"/>
        </w:trPr>
        <w:tc>
          <w:tcPr>
            <w:tcBorders>
              <w:top w:val="none" w:color="000000" w:sz="4" w:space="0"/>
              <w:left w:val="single" w:color="auto" w:sz="4" w:space="0"/>
              <w:bottom w:val="single" w:color="auto" w:sz="4" w:space="0"/>
              <w:right w:val="single" w:color="auto" w:sz="4" w:space="0"/>
            </w:tcBorders>
            <w:tcW w:w="373"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864"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c>
          <w:tcPr>
            <w:tcBorders>
              <w:top w:val="none" w:color="000000" w:sz="4" w:space="0"/>
              <w:left w:val="none" w:color="000000" w:sz="4" w:space="0"/>
              <w:bottom w:val="single" w:color="auto" w:sz="4" w:space="0"/>
              <w:right w:val="single" w:color="auto" w:sz="4" w:space="0"/>
            </w:tcBorders>
            <w:tcW w:w="1504" w:type="pct"/>
            <w:vAlign w:val="center"/>
            <w:textDirection w:val="lrTb"/>
            <w:noWrap w:val="false"/>
          </w:tcPr>
          <w:p>
            <w:pPr>
              <w:widowControl/>
              <w:rPr>
                <w:rFonts w:eastAsia="等线"/>
                <w:b/>
                <w:bCs/>
                <w:color w:val="auto"/>
                <w:sz w:val="24"/>
                <w:highlight w:val="none"/>
              </w:rPr>
            </w:pPr>
            <w:r>
              <w:rPr>
                <w:rFonts w:ascii="宋体" w:hAnsi="宋体"/>
                <w:b/>
                <w:bCs/>
                <w:color w:val="auto"/>
                <w:sz w:val="24"/>
                <w:highlight w:val="none"/>
              </w:rPr>
              <w:t xml:space="preserve">合计</w:t>
            </w:r>
            <w:r>
              <w:rPr>
                <w:rFonts w:hint="eastAsia" w:ascii="宋体" w:hAnsi="宋体"/>
                <w:b/>
                <w:bCs/>
                <w:color w:val="auto"/>
                <w:sz w:val="24"/>
                <w:highlight w:val="none"/>
              </w:rPr>
              <w:t xml:space="preserve">（金额万元）</w:t>
            </w:r>
            <w:r>
              <w:rPr>
                <w:rFonts w:ascii="宋体" w:hAnsi="宋体"/>
                <w:b/>
                <w:bCs/>
                <w:color w:val="auto"/>
                <w:sz w:val="24"/>
                <w:highlight w:val="none"/>
              </w:rPr>
              <w:t xml:space="preserve">：</w:t>
            </w:r>
            <w:r/>
          </w:p>
        </w:tc>
        <w:tc>
          <w:tcPr>
            <w:tcBorders>
              <w:top w:val="none" w:color="000000" w:sz="4" w:space="0"/>
              <w:left w:val="none" w:color="000000" w:sz="4" w:space="0"/>
              <w:bottom w:val="single" w:color="auto" w:sz="4" w:space="0"/>
              <w:right w:val="single" w:color="auto" w:sz="4" w:space="0"/>
            </w:tcBorders>
            <w:tcW w:w="803" w:type="pct"/>
            <w:vAlign w:val="center"/>
            <w:textDirection w:val="lrTb"/>
            <w:noWrap w:val="false"/>
          </w:tcPr>
          <w:p>
            <w:pPr>
              <w:widowControl/>
              <w:rPr>
                <w:rFonts w:eastAsia="等线"/>
                <w:b/>
                <w:bCs/>
                <w:color w:val="auto"/>
                <w:sz w:val="24"/>
                <w:highlight w:val="none"/>
              </w:rPr>
            </w:pPr>
            <w:r>
              <w:rPr>
                <w:rFonts w:eastAsia="等线"/>
                <w:b/>
                <w:bCs/>
                <w:color w:val="auto"/>
                <w:sz w:val="24"/>
                <w:highlight w:val="none"/>
              </w:rPr>
            </w:r>
            <w:r/>
          </w:p>
        </w:tc>
        <w:tc>
          <w:tcPr>
            <w:tcBorders>
              <w:top w:val="none" w:color="000000" w:sz="4" w:space="0"/>
              <w:left w:val="none" w:color="000000" w:sz="4" w:space="0"/>
              <w:bottom w:val="single" w:color="auto" w:sz="4" w:space="0"/>
              <w:right w:val="single" w:color="auto" w:sz="4" w:space="0"/>
            </w:tcBorders>
            <w:tcW w:w="1456" w:type="pct"/>
            <w:vAlign w:val="center"/>
            <w:textDirection w:val="lrTb"/>
            <w:noWrap w:val="false"/>
          </w:tcPr>
          <w:p>
            <w:pPr>
              <w:widowControl/>
              <w:rPr>
                <w:rFonts w:eastAsia="等线"/>
                <w:color w:val="auto"/>
                <w:sz w:val="24"/>
                <w:highlight w:val="none"/>
              </w:rPr>
            </w:pPr>
            <w:r>
              <w:rPr>
                <w:rFonts w:eastAsia="等线"/>
                <w:color w:val="auto"/>
                <w:sz w:val="24"/>
                <w:highlight w:val="none"/>
              </w:rPr>
              <w:t xml:space="preserve">　</w:t>
            </w:r>
            <w:r/>
          </w:p>
        </w:tc>
      </w:tr>
    </w:tbl>
    <w:p>
      <w:pPr>
        <w:spacing w:line="317" w:lineRule="auto"/>
        <w:rPr>
          <w:rFonts w:ascii="Arial"/>
          <w:color w:val="auto"/>
          <w:highlight w:val="none"/>
        </w:rPr>
      </w:pPr>
      <w:r>
        <w:rPr>
          <w:rFonts w:ascii="Arial"/>
          <w:color w:val="auto"/>
          <w:highlight w:val="none"/>
        </w:rPr>
      </w:r>
      <w:r/>
    </w:p>
    <w:p>
      <w:pPr>
        <w:pStyle w:val="891"/>
        <w:ind w:left="13"/>
        <w:spacing w:before="78" w:line="219" w:lineRule="auto"/>
        <w:rPr>
          <w:color w:val="auto"/>
          <w:highlight w:val="none"/>
        </w:rPr>
        <w:outlineLvl w:val="1"/>
      </w:pPr>
      <w:r>
        <w:rPr>
          <w:b/>
          <w:bCs/>
          <w:color w:val="auto"/>
          <w:spacing w:val="-4"/>
          <w:highlight w:val="none"/>
        </w:rPr>
        <w:t xml:space="preserve">二．商务要求</w:t>
      </w:r>
      <w:r/>
    </w:p>
    <w:p>
      <w:pPr>
        <w:pStyle w:val="891"/>
        <w:ind w:left="510"/>
        <w:spacing w:before="145" w:line="219" w:lineRule="auto"/>
        <w:rPr>
          <w:color w:val="auto"/>
          <w:highlight w:val="none"/>
        </w:rPr>
      </w:pPr>
      <w:r>
        <w:rPr>
          <w:b/>
          <w:bCs/>
          <w:color w:val="auto"/>
          <w:spacing w:val="-4"/>
          <w:highlight w:val="none"/>
        </w:rPr>
        <w:t xml:space="preserve">1.</w:t>
      </w:r>
      <w:r>
        <w:rPr>
          <w:color w:val="auto"/>
          <w:spacing w:val="-4"/>
          <w:highlight w:val="none"/>
        </w:rPr>
        <w:t xml:space="preserve"> </w:t>
      </w:r>
      <w:r>
        <w:rPr>
          <w:b/>
          <w:bCs/>
          <w:color w:val="auto"/>
          <w:spacing w:val="-4"/>
          <w:highlight w:val="none"/>
        </w:rPr>
        <w:t xml:space="preserve">交付（实施）的时间和地点</w:t>
      </w:r>
      <w:r/>
    </w:p>
    <w:p>
      <w:pPr>
        <w:pStyle w:val="891"/>
        <w:ind w:left="501"/>
        <w:spacing w:before="184" w:line="219" w:lineRule="auto"/>
        <w:rPr>
          <w:color w:val="auto"/>
          <w:sz w:val="20"/>
          <w:szCs w:val="20"/>
          <w:highlight w:val="none"/>
        </w:rPr>
      </w:pPr>
      <w:r>
        <w:rPr>
          <w:color w:val="auto"/>
          <w:spacing w:val="1"/>
          <w:highlight w:val="none"/>
        </w:rPr>
        <w:t xml:space="preserve">时间：</w:t>
      </w:r>
      <w:r>
        <w:rPr>
          <w:rFonts w:hint="eastAsia"/>
          <w:color w:val="auto"/>
          <w:spacing w:val="1"/>
          <w:highlight w:val="none"/>
        </w:rPr>
        <w:t xml:space="preserve">计划进度要求后附</w:t>
      </w:r>
      <w:r>
        <w:rPr>
          <w:color w:val="auto"/>
          <w:spacing w:val="1"/>
          <w:sz w:val="20"/>
          <w:szCs w:val="20"/>
          <w:highlight w:val="none"/>
        </w:rPr>
        <w:t xml:space="preserve">。</w:t>
      </w:r>
      <w:r/>
    </w:p>
    <w:p>
      <w:pPr>
        <w:pStyle w:val="891"/>
        <w:ind w:left="489"/>
        <w:spacing w:before="180" w:line="219" w:lineRule="auto"/>
        <w:rPr>
          <w:color w:val="auto"/>
          <w:spacing w:val="-1"/>
          <w:highlight w:val="none"/>
        </w:rPr>
      </w:pPr>
      <w:r>
        <w:rPr>
          <w:color w:val="auto"/>
          <w:spacing w:val="-1"/>
          <w:highlight w:val="none"/>
        </w:rPr>
        <w:t xml:space="preserve">地点：</w:t>
      </w:r>
      <w:r>
        <w:rPr>
          <w:rFonts w:hint="eastAsia"/>
          <w:color w:val="auto"/>
          <w:spacing w:val="-1"/>
          <w:highlight w:val="none"/>
        </w:rPr>
        <w:t xml:space="preserve">江苏省南京市采购人指定地点</w:t>
      </w:r>
      <w:r>
        <w:rPr>
          <w:color w:val="auto"/>
          <w:spacing w:val="-1"/>
          <w:highlight w:val="none"/>
        </w:rPr>
        <w:t xml:space="preserve">。</w:t>
      </w:r>
      <w:r/>
    </w:p>
    <w:p>
      <w:pPr>
        <w:pStyle w:val="891"/>
        <w:ind w:left="489"/>
        <w:spacing w:before="180" w:line="219" w:lineRule="auto"/>
        <w:rPr>
          <w:color w:val="auto"/>
          <w:spacing w:val="-1"/>
          <w:highlight w:val="none"/>
        </w:rPr>
      </w:pPr>
      <w:r>
        <w:rPr>
          <w:color w:val="auto"/>
          <w:spacing w:val="-1"/>
          <w:highlight w:val="none"/>
        </w:rPr>
      </w:r>
      <w:r/>
    </w:p>
    <w:p>
      <w:pPr>
        <w:pStyle w:val="891"/>
        <w:ind w:left="495"/>
        <w:spacing w:before="184" w:line="219" w:lineRule="auto"/>
        <w:rPr>
          <w:color w:val="auto"/>
          <w:highlight w:val="none"/>
        </w:rPr>
      </w:pPr>
      <w:r>
        <w:rPr>
          <w:b/>
          <w:bCs/>
          <w:color w:val="auto"/>
          <w:spacing w:val="-4"/>
          <w:highlight w:val="none"/>
        </w:rPr>
        <w:t xml:space="preserve">2.</w:t>
      </w:r>
      <w:r>
        <w:rPr>
          <w:color w:val="auto"/>
          <w:spacing w:val="-4"/>
          <w:highlight w:val="none"/>
        </w:rPr>
        <w:t xml:space="preserve"> </w:t>
      </w:r>
      <w:r>
        <w:rPr>
          <w:b/>
          <w:bCs/>
          <w:color w:val="auto"/>
          <w:spacing w:val="-4"/>
          <w:highlight w:val="none"/>
        </w:rPr>
        <w:t xml:space="preserve">付款条件</w:t>
      </w:r>
      <w:r/>
    </w:p>
    <w:p>
      <w:pPr>
        <w:pStyle w:val="891"/>
        <w:ind w:left="10" w:firstLine="560"/>
        <w:spacing w:before="1" w:line="359" w:lineRule="auto"/>
        <w:rPr>
          <w:color w:val="auto"/>
          <w:spacing w:val="-12"/>
          <w:szCs w:val="21"/>
          <w:highlight w:val="none"/>
        </w:rPr>
      </w:pPr>
      <w:r>
        <w:rPr>
          <w:rFonts w:hint="eastAsia"/>
          <w:color w:val="auto"/>
          <w:spacing w:val="-12"/>
          <w:szCs w:val="21"/>
          <w:highlight w:val="none"/>
        </w:rPr>
        <w:t xml:space="preserve">（1）第一期付款：本合同签订后，乙方于 [3] 个工作日内向甲方开具对应金额、税率的增值税专用发票。甲方在收到发票后 [5] 个工作日内，支付第一期付款费用（</w:t>
      </w:r>
      <w:r>
        <w:rPr>
          <w:color w:val="auto"/>
          <w:spacing w:val="1"/>
          <w:szCs w:val="21"/>
          <w:highlight w:val="none"/>
        </w:rPr>
        <w:t xml:space="preserve">不超过合同总价</w:t>
      </w:r>
      <w:r>
        <w:rPr>
          <w:color w:val="auto"/>
          <w:spacing w:val="-6"/>
          <w:szCs w:val="21"/>
          <w:highlight w:val="none"/>
        </w:rPr>
        <w:t xml:space="preserve">的</w:t>
      </w:r>
      <w:r>
        <w:rPr>
          <w:color w:val="auto"/>
          <w:spacing w:val="-56"/>
          <w:szCs w:val="21"/>
          <w:highlight w:val="none"/>
        </w:rPr>
        <w:t xml:space="preserve"> </w:t>
      </w:r>
      <w:r>
        <w:rPr>
          <w:color w:val="auto"/>
          <w:spacing w:val="-6"/>
          <w:szCs w:val="21"/>
          <w:highlight w:val="none"/>
        </w:rPr>
        <w:t xml:space="preserve">60%</w:t>
      </w:r>
      <w:r>
        <w:rPr>
          <w:rFonts w:hint="eastAsia"/>
          <w:color w:val="auto"/>
          <w:spacing w:val="-12"/>
          <w:szCs w:val="21"/>
          <w:highlight w:val="none"/>
        </w:rPr>
        <w:t xml:space="preserve">），即人民币 ________________ 元（大写：________________ 元整）。</w:t>
      </w:r>
      <w:r/>
    </w:p>
    <w:p>
      <w:pPr>
        <w:pStyle w:val="891"/>
        <w:ind w:left="10" w:firstLine="560"/>
        <w:spacing w:before="1" w:line="359" w:lineRule="auto"/>
        <w:rPr>
          <w:color w:val="auto"/>
          <w:spacing w:val="-12"/>
          <w:szCs w:val="21"/>
          <w:highlight w:val="none"/>
        </w:rPr>
      </w:pPr>
      <w:r>
        <w:rPr>
          <w:rFonts w:hint="eastAsia"/>
          <w:color w:val="auto"/>
          <w:spacing w:val="-12"/>
          <w:szCs w:val="21"/>
          <w:highlight w:val="none"/>
        </w:rPr>
        <w:t xml:space="preserve">（2）第二期付款： </w:t>
      </w:r>
      <w:r>
        <w:rPr>
          <w:rFonts w:hint="eastAsia"/>
          <w:color w:val="auto"/>
          <w:spacing w:val="-12"/>
          <w:szCs w:val="21"/>
          <w:highlight w:val="none"/>
          <w:u w:val="single"/>
        </w:rPr>
        <w:t xml:space="preserve">乙方后端设计完成，且提交符合合同约定的流片相关GDS文件等后端数据交付物，并通过甲方评审后，</w:t>
      </w:r>
      <w:r>
        <w:rPr>
          <w:rFonts w:hint="eastAsia"/>
          <w:color w:val="auto"/>
          <w:spacing w:val="-12"/>
          <w:szCs w:val="21"/>
          <w:highlight w:val="none"/>
        </w:rPr>
        <w:t xml:space="preserve">乙方于 [3] 个工作日内向甲方开具对应金额、税率的增值税专用发票。甲方在收到发票后 [5] 个工作日内，支付</w:t>
      </w:r>
      <w:r>
        <w:rPr>
          <w:rFonts w:hint="eastAsia"/>
          <w:color w:val="auto"/>
          <w:spacing w:val="-12"/>
          <w:szCs w:val="21"/>
          <w:highlight w:val="none"/>
          <w:u w:val="single"/>
        </w:rPr>
        <w:t xml:space="preserve">          </w:t>
      </w:r>
      <w:r>
        <w:rPr>
          <w:rFonts w:hint="eastAsia"/>
          <w:color w:val="auto"/>
          <w:spacing w:val="-12"/>
          <w:szCs w:val="21"/>
          <w:highlight w:val="none"/>
        </w:rPr>
        <w:t xml:space="preserve">费用（</w:t>
      </w:r>
      <w:r>
        <w:rPr>
          <w:rFonts w:hint="eastAsia"/>
          <w:color w:val="auto"/>
          <w:spacing w:val="1"/>
          <w:szCs w:val="21"/>
          <w:highlight w:val="none"/>
        </w:rPr>
        <w:t xml:space="preserve">至</w:t>
      </w:r>
      <w:r>
        <w:rPr>
          <w:color w:val="auto"/>
          <w:spacing w:val="1"/>
          <w:szCs w:val="21"/>
          <w:highlight w:val="none"/>
        </w:rPr>
        <w:t xml:space="preserve">合同总价</w:t>
      </w:r>
      <w:r>
        <w:rPr>
          <w:color w:val="auto"/>
          <w:spacing w:val="-6"/>
          <w:szCs w:val="21"/>
          <w:highlight w:val="none"/>
        </w:rPr>
        <w:t xml:space="preserve">的</w:t>
      </w:r>
      <w:r>
        <w:rPr>
          <w:color w:val="auto"/>
          <w:spacing w:val="-56"/>
          <w:szCs w:val="21"/>
          <w:highlight w:val="none"/>
        </w:rPr>
        <w:t xml:space="preserve"> </w:t>
      </w:r>
      <w:r>
        <w:rPr>
          <w:rFonts w:hint="eastAsia"/>
          <w:color w:val="auto"/>
          <w:spacing w:val="-6"/>
          <w:szCs w:val="21"/>
          <w:highlight w:val="none"/>
        </w:rPr>
        <w:t xml:space="preserve">9</w:t>
      </w:r>
      <w:r>
        <w:rPr>
          <w:color w:val="auto"/>
          <w:spacing w:val="-6"/>
          <w:szCs w:val="21"/>
          <w:highlight w:val="none"/>
        </w:rPr>
        <w:t xml:space="preserve">0%</w:t>
      </w:r>
      <w:r>
        <w:rPr>
          <w:rFonts w:hint="eastAsia"/>
          <w:color w:val="auto"/>
          <w:spacing w:val="-12"/>
          <w:szCs w:val="21"/>
          <w:highlight w:val="none"/>
        </w:rPr>
        <w:t xml:space="preserve">），即人民币 ________________ 元（大写：________________ 元整）。</w:t>
      </w:r>
      <w:r/>
    </w:p>
    <w:p>
      <w:pPr>
        <w:pStyle w:val="891"/>
        <w:ind w:left="10" w:firstLine="560"/>
        <w:spacing w:before="1" w:line="359" w:lineRule="auto"/>
        <w:rPr>
          <w:color w:val="auto"/>
          <w:spacing w:val="-12"/>
          <w:szCs w:val="21"/>
          <w:highlight w:val="none"/>
        </w:rPr>
      </w:pPr>
      <w:r>
        <w:rPr>
          <w:rFonts w:hint="eastAsia"/>
          <w:color w:val="auto"/>
          <w:spacing w:val="-12"/>
          <w:szCs w:val="21"/>
          <w:highlight w:val="none"/>
        </w:rPr>
        <w:t xml:space="preserve">（4）第三期付款：</w:t>
      </w:r>
      <w:r>
        <w:rPr>
          <w:rFonts w:hint="eastAsia"/>
          <w:color w:val="auto"/>
          <w:spacing w:val="-12"/>
          <w:szCs w:val="21"/>
          <w:highlight w:val="none"/>
          <w:u w:val="single"/>
        </w:rPr>
        <w:t xml:space="preserve"> 乙方提交符合合同约定的全部交付物，且通过甲方评审后，</w:t>
      </w:r>
      <w:r>
        <w:rPr>
          <w:rFonts w:hint="eastAsia"/>
          <w:color w:val="auto"/>
          <w:spacing w:val="-12"/>
          <w:szCs w:val="21"/>
          <w:highlight w:val="none"/>
        </w:rPr>
        <w:t xml:space="preserve">乙方于 [3] 个工作日内向甲方开具对应金额、税率的增值税专用发票。甲方在收到发票后 [5] 个工作日内，支付 </w:t>
      </w:r>
      <w:r>
        <w:rPr>
          <w:rFonts w:hint="eastAsia"/>
          <w:color w:val="auto"/>
          <w:spacing w:val="-12"/>
          <w:szCs w:val="21"/>
          <w:highlight w:val="none"/>
          <w:u w:val="single"/>
        </w:rPr>
        <w:t xml:space="preserve">         </w:t>
      </w:r>
      <w:r>
        <w:rPr>
          <w:rFonts w:hint="eastAsia"/>
          <w:color w:val="auto"/>
          <w:spacing w:val="-12"/>
          <w:szCs w:val="21"/>
          <w:highlight w:val="none"/>
        </w:rPr>
        <w:t xml:space="preserve">费用（至合同总价的95%），即人民币 ________________ 元（大写：________________ 元整）。</w:t>
      </w:r>
      <w:r/>
    </w:p>
    <w:p>
      <w:pPr>
        <w:pStyle w:val="891"/>
        <w:ind w:left="10" w:firstLine="560"/>
        <w:spacing w:before="1" w:line="359" w:lineRule="auto"/>
        <w:rPr>
          <w:color w:val="auto"/>
          <w:spacing w:val="-12"/>
          <w:szCs w:val="21"/>
          <w:highlight w:val="none"/>
        </w:rPr>
      </w:pPr>
      <w:r>
        <w:rPr>
          <w:rFonts w:hint="eastAsia"/>
          <w:color w:val="auto"/>
          <w:spacing w:val="-12"/>
          <w:szCs w:val="21"/>
          <w:highlight w:val="none"/>
        </w:rPr>
        <w:t xml:space="preserve">（5）第四期付款：</w:t>
      </w:r>
      <w:r>
        <w:rPr>
          <w:rFonts w:hint="eastAsia"/>
          <w:color w:val="auto"/>
          <w:spacing w:val="-12"/>
          <w:szCs w:val="21"/>
          <w:highlight w:val="none"/>
          <w:u w:val="single"/>
        </w:rPr>
        <w:t xml:space="preserve">在技术支持期（或质保期）届满，且乙方已按约定完全履行本合同售后服务及技术支持义务、无遗留未解决技术缺陷及质量问题后，</w:t>
      </w:r>
      <w:r>
        <w:rPr>
          <w:rFonts w:hint="eastAsia"/>
          <w:color w:val="auto"/>
          <w:spacing w:val="-12"/>
          <w:szCs w:val="21"/>
          <w:highlight w:val="none"/>
        </w:rPr>
        <w:t xml:space="preserve">乙方于 [3] 个工作日内向甲方开具对应金额、税率的增值税专用发票。甲方在收到发票后 [5] 个工作日内，支付</w:t>
      </w:r>
      <w:r>
        <w:rPr>
          <w:rFonts w:hint="eastAsia"/>
          <w:color w:val="auto"/>
          <w:spacing w:val="-12"/>
          <w:szCs w:val="21"/>
          <w:highlight w:val="none"/>
          <w:u w:val="single"/>
        </w:rPr>
        <w:t xml:space="preserve">          </w:t>
      </w:r>
      <w:r>
        <w:rPr>
          <w:rFonts w:hint="eastAsia"/>
          <w:color w:val="auto"/>
          <w:spacing w:val="-12"/>
          <w:szCs w:val="21"/>
          <w:highlight w:val="none"/>
        </w:rPr>
        <w:t xml:space="preserve">费用（剩余尾款），即人民币 ________________ 元（大写：________________ 元整）。</w:t>
      </w:r>
      <w:r/>
    </w:p>
    <w:p>
      <w:pPr>
        <w:pStyle w:val="891"/>
        <w:ind w:left="10" w:firstLine="560"/>
        <w:spacing w:before="1" w:line="359" w:lineRule="auto"/>
        <w:rPr>
          <w:color w:val="auto"/>
          <w:spacing w:val="-2"/>
          <w:szCs w:val="21"/>
          <w:highlight w:val="none"/>
        </w:rPr>
      </w:pPr>
      <w:r>
        <w:rPr>
          <w:color w:val="auto"/>
          <w:spacing w:val="-1"/>
          <w:szCs w:val="21"/>
          <w:highlight w:val="none"/>
        </w:rPr>
        <w:t xml:space="preserve">若根据本合同约定乙方应当支付违约金和/或承担赔偿责任，则甲方有权从任何一笔付款中直接扣除相应金额。</w:t>
      </w:r>
      <w:r/>
    </w:p>
    <w:p>
      <w:pPr>
        <w:pStyle w:val="891"/>
        <w:ind w:left="432"/>
        <w:spacing w:before="183" w:line="219" w:lineRule="auto"/>
        <w:rPr>
          <w:color w:val="auto"/>
          <w:spacing w:val="-2"/>
          <w:highlight w:val="none"/>
        </w:rPr>
      </w:pPr>
      <w:r>
        <w:rPr>
          <w:color w:val="auto"/>
          <w:spacing w:val="-2"/>
          <w:highlight w:val="none"/>
        </w:rPr>
      </w:r>
      <w:r/>
    </w:p>
    <w:p>
      <w:pPr>
        <w:pStyle w:val="891"/>
        <w:ind w:left="497"/>
        <w:spacing w:before="78" w:line="219" w:lineRule="auto"/>
        <w:rPr>
          <w:color w:val="auto"/>
          <w:highlight w:val="none"/>
        </w:rPr>
      </w:pPr>
      <w:r>
        <w:rPr>
          <w:b/>
          <w:bCs/>
          <w:color w:val="auto"/>
          <w:spacing w:val="-3"/>
          <w:highlight w:val="none"/>
        </w:rPr>
        <w:t xml:space="preserve">3.</w:t>
      </w:r>
      <w:r>
        <w:rPr>
          <w:color w:val="auto"/>
          <w:spacing w:val="-3"/>
          <w:highlight w:val="none"/>
        </w:rPr>
        <w:t xml:space="preserve"> </w:t>
      </w:r>
      <w:r>
        <w:rPr>
          <w:b/>
          <w:bCs/>
          <w:color w:val="auto"/>
          <w:spacing w:val="-3"/>
          <w:highlight w:val="none"/>
        </w:rPr>
        <w:t xml:space="preserve">售后服务（质保期）</w:t>
      </w:r>
      <w:r/>
    </w:p>
    <w:p>
      <w:pPr>
        <w:pStyle w:val="891"/>
        <w:ind w:left="9" w:right="61" w:firstLine="484"/>
        <w:spacing w:before="184" w:line="360" w:lineRule="auto"/>
        <w:rPr>
          <w:color w:val="auto"/>
          <w:highlight w:val="none"/>
        </w:rPr>
      </w:pPr>
      <w:r>
        <w:rPr>
          <w:rFonts w:hint="eastAsia"/>
          <w:color w:val="auto"/>
          <w:highlight w:val="none"/>
        </w:rPr>
        <w:t xml:space="preserve">质保：</w:t>
      </w:r>
      <w:r/>
    </w:p>
    <w:p>
      <w:pPr>
        <w:pStyle w:val="891"/>
        <w:ind w:left="9" w:right="61" w:firstLine="484"/>
        <w:spacing w:before="184" w:line="360" w:lineRule="auto"/>
        <w:rPr>
          <w:color w:val="auto"/>
          <w:highlight w:val="none"/>
        </w:rPr>
      </w:pPr>
      <w:r>
        <w:rPr>
          <w:rFonts w:hint="eastAsia"/>
          <w:color w:val="auto"/>
          <w:highlight w:val="none"/>
        </w:rPr>
        <w:t xml:space="preserve">（1）设计质量：所有设计数据符合SMIC官方Sign-off准则，零DRC/LVS违例（经需求方确认的免除项除外）。</w:t>
      </w:r>
      <w:r/>
    </w:p>
    <w:p>
      <w:pPr>
        <w:pStyle w:val="891"/>
        <w:ind w:left="9" w:right="61" w:firstLine="484"/>
        <w:spacing w:before="184" w:line="360" w:lineRule="auto"/>
        <w:rPr>
          <w:color w:val="auto"/>
          <w:highlight w:val="none"/>
        </w:rPr>
      </w:pPr>
      <w:r>
        <w:rPr>
          <w:rFonts w:hint="eastAsia"/>
          <w:color w:val="auto"/>
          <w:highlight w:val="none"/>
        </w:rPr>
        <w:t xml:space="preserve">（2）流片成功率：承诺首次流片</w:t>
      </w:r>
      <w:r>
        <w:rPr>
          <w:color w:val="auto"/>
          <w:highlight w:val="none"/>
        </w:rPr>
        <w:t xml:space="preserve">（含一次NTO和一次ECO）</w:t>
      </w:r>
      <w:r>
        <w:rPr>
          <w:rFonts w:hint="eastAsia"/>
          <w:color w:val="auto"/>
          <w:highlight w:val="none"/>
        </w:rPr>
        <w:t xml:space="preserve">成功率≥90%，如因设计问题导致流片失败，供应商承担返工费用。</w:t>
      </w:r>
      <w:r/>
    </w:p>
    <w:p>
      <w:pPr>
        <w:pStyle w:val="891"/>
        <w:ind w:left="9" w:right="61" w:firstLine="484"/>
        <w:spacing w:before="184" w:line="360" w:lineRule="auto"/>
        <w:rPr>
          <w:color w:val="auto"/>
          <w:highlight w:val="none"/>
        </w:rPr>
      </w:pPr>
      <w:r>
        <w:rPr>
          <w:rFonts w:hint="eastAsia"/>
          <w:color w:val="auto"/>
          <w:highlight w:val="none"/>
        </w:rPr>
        <w:t xml:space="preserve">（3）Bug修复：芯片回片后6个月内，对因设计导致的Bug提供免费修复服务。</w:t>
      </w:r>
      <w:r/>
    </w:p>
    <w:p>
      <w:pPr>
        <w:pStyle w:val="891"/>
        <w:ind w:left="9" w:right="61" w:firstLine="484"/>
        <w:spacing w:before="184" w:line="360" w:lineRule="auto"/>
        <w:rPr>
          <w:color w:val="auto"/>
          <w:highlight w:val="none"/>
        </w:rPr>
      </w:pPr>
      <w:r>
        <w:rPr>
          <w:rFonts w:hint="eastAsia"/>
          <w:color w:val="auto"/>
          <w:highlight w:val="none"/>
        </w:rPr>
        <w:t xml:space="preserve">（4）文档质量：所有技术文档完整、准确、可理解，文档更新与设计变更同步。</w:t>
      </w:r>
      <w:r/>
    </w:p>
    <w:p>
      <w:pPr>
        <w:pStyle w:val="891"/>
        <w:ind w:left="9" w:right="61" w:firstLine="484"/>
        <w:spacing w:before="184" w:line="360" w:lineRule="auto"/>
        <w:rPr>
          <w:color w:val="auto"/>
          <w:highlight w:val="none"/>
        </w:rPr>
      </w:pPr>
      <w:r>
        <w:rPr>
          <w:rFonts w:hint="eastAsia"/>
          <w:color w:val="auto"/>
          <w:highlight w:val="none"/>
        </w:rPr>
        <w:t xml:space="preserve">售后服务：</w:t>
      </w:r>
      <w:r/>
    </w:p>
    <w:p>
      <w:pPr>
        <w:pStyle w:val="891"/>
        <w:ind w:left="9" w:right="61" w:firstLine="484"/>
        <w:spacing w:before="184" w:line="360" w:lineRule="auto"/>
        <w:rPr>
          <w:color w:val="auto"/>
          <w:highlight w:val="none"/>
        </w:rPr>
      </w:pPr>
      <w:r>
        <w:rPr>
          <w:rFonts w:hint="eastAsia"/>
          <w:color w:val="auto"/>
          <w:highlight w:val="none"/>
        </w:rPr>
        <w:t xml:space="preserve">（1）技术支持期：芯片回片后6个月免费技术支持。</w:t>
      </w:r>
      <w:r/>
    </w:p>
    <w:p>
      <w:pPr>
        <w:pStyle w:val="891"/>
        <w:ind w:left="9" w:right="61" w:firstLine="484"/>
        <w:spacing w:before="184" w:line="360" w:lineRule="auto"/>
        <w:rPr>
          <w:color w:val="auto"/>
          <w:highlight w:val="none"/>
        </w:rPr>
      </w:pPr>
      <w:r>
        <w:rPr>
          <w:rFonts w:hint="eastAsia"/>
          <w:color w:val="auto"/>
          <w:highlight w:val="none"/>
        </w:rPr>
        <w:t xml:space="preserve">（2）响应时间：对甲方技术问题的响应时间≤24小时（工作日）。</w:t>
      </w:r>
      <w:r/>
    </w:p>
    <w:p>
      <w:pPr>
        <w:pStyle w:val="891"/>
        <w:ind w:left="9" w:right="61" w:firstLine="484"/>
        <w:spacing w:before="184" w:line="360" w:lineRule="auto"/>
        <w:rPr>
          <w:color w:val="auto"/>
          <w:highlight w:val="none"/>
        </w:rPr>
      </w:pPr>
      <w:r>
        <w:rPr>
          <w:rFonts w:hint="eastAsia"/>
          <w:color w:val="auto"/>
          <w:highlight w:val="none"/>
        </w:rPr>
        <w:t xml:space="preserve">（3）培训服务：为甲方工程师提供芯片使用和调试培训（不少于16课时）。</w:t>
      </w:r>
      <w:r/>
    </w:p>
    <w:p>
      <w:pPr>
        <w:pStyle w:val="891"/>
        <w:ind w:left="497"/>
        <w:spacing w:before="78" w:line="219" w:lineRule="auto"/>
        <w:rPr>
          <w:b/>
          <w:bCs/>
          <w:color w:val="auto"/>
          <w:spacing w:val="-3"/>
          <w:highlight w:val="none"/>
        </w:rPr>
      </w:pPr>
      <w:r/>
      <w:bookmarkStart w:id="263" w:name="_Toc234244226"/>
      <w:r>
        <w:rPr>
          <w:rFonts w:hint="eastAsia"/>
          <w:b/>
          <w:bCs/>
          <w:color w:val="auto"/>
          <w:spacing w:val="-3"/>
          <w:highlight w:val="none"/>
        </w:rPr>
        <w:t xml:space="preserve">4. 知识产权</w:t>
      </w:r>
      <w:bookmarkEnd w:id="263"/>
      <w:r/>
      <w:r/>
    </w:p>
    <w:p>
      <w:pPr>
        <w:pStyle w:val="891"/>
        <w:ind w:left="9" w:right="61" w:firstLine="484"/>
        <w:spacing w:before="184" w:line="360" w:lineRule="auto"/>
        <w:rPr>
          <w:color w:val="auto"/>
          <w:highlight w:val="none"/>
        </w:rPr>
      </w:pPr>
      <w:r>
        <w:rPr>
          <w:rFonts w:hint="eastAsia"/>
          <w:color w:val="auto"/>
          <w:highlight w:val="none"/>
        </w:rPr>
        <w:t xml:space="preserve">项目执行过程中，为完成本项目，需求方提供任何代码、文档及其它资源，供应商不得以任何方式，向任何第三方机构或者组织开放，否则需求方有权追究责任及索赔。 </w:t>
      </w:r>
      <w:r/>
    </w:p>
    <w:p>
      <w:pPr>
        <w:pStyle w:val="891"/>
        <w:ind w:left="9" w:right="61" w:firstLine="484"/>
        <w:spacing w:before="184" w:line="360" w:lineRule="auto"/>
        <w:rPr>
          <w:color w:val="auto"/>
          <w:highlight w:val="none"/>
        </w:rPr>
      </w:pPr>
      <w:r>
        <w:rPr>
          <w:rFonts w:hint="eastAsia"/>
          <w:color w:val="auto"/>
          <w:highlight w:val="none"/>
        </w:rPr>
        <w:t xml:space="preserve">未经需求方同意，供应商不得将本合同项下开发的成果、技术资料、产品资料及所形成的文档或文献资料以任何形式泄露、转让或许可给任何第三方。 </w:t>
      </w:r>
      <w:r/>
    </w:p>
    <w:p>
      <w:pPr>
        <w:pStyle w:val="891"/>
        <w:ind w:left="9" w:right="61" w:firstLine="484"/>
        <w:spacing w:before="184" w:line="360" w:lineRule="auto"/>
        <w:rPr>
          <w:color w:val="auto"/>
          <w:highlight w:val="none"/>
        </w:rPr>
      </w:pPr>
      <w:r>
        <w:rPr>
          <w:rFonts w:hint="eastAsia"/>
          <w:color w:val="auto"/>
          <w:highlight w:val="none"/>
        </w:rPr>
        <w:t xml:space="preserve">本项目所有技术成果均归属于需求方。</w:t>
      </w:r>
      <w:r/>
    </w:p>
    <w:p>
      <w:pPr>
        <w:pStyle w:val="891"/>
        <w:ind w:left="9" w:right="61" w:firstLine="484"/>
        <w:spacing w:before="184" w:line="360" w:lineRule="auto"/>
        <w:rPr>
          <w:color w:val="auto"/>
          <w:highlight w:val="none"/>
        </w:rPr>
      </w:pPr>
      <w:r>
        <w:rPr>
          <w:rFonts w:hint="eastAsia"/>
          <w:color w:val="auto"/>
          <w:highlight w:val="none"/>
        </w:rPr>
        <w:t xml:space="preserve">本项目的集成电路布局布线（GDS 文件）与需求方产品设计或生产之必要文件或数据的所有权、专利权、著作权、商标权（含服务商标）、商业信息和设计权，不论有无注册，并包括相关之申请及注册权和所有与上述相同或类似的运用和保护的权利，此权利适用于全世界范围。项目中使用的IP的知识产权归原知识产权所有者所有。项目中使用的SoC平台的知识产权归供应方所有。 </w:t>
      </w:r>
      <w:r/>
    </w:p>
    <w:p>
      <w:pPr>
        <w:pStyle w:val="891"/>
        <w:ind w:left="9" w:right="61" w:firstLine="484"/>
        <w:spacing w:before="184" w:line="360" w:lineRule="auto"/>
        <w:rPr>
          <w:color w:val="auto"/>
          <w:highlight w:val="none"/>
        </w:rPr>
      </w:pPr>
      <w:r>
        <w:rPr>
          <w:rFonts w:hint="eastAsia"/>
          <w:color w:val="auto"/>
          <w:highlight w:val="none"/>
        </w:rPr>
        <w:t xml:space="preserve">本项目的知识产权均归属于需求方。未经需求方许可不得投片。</w:t>
      </w:r>
      <w:r/>
    </w:p>
    <w:p>
      <w:pPr>
        <w:pStyle w:val="891"/>
        <w:ind w:left="9"/>
        <w:spacing w:before="79" w:line="219" w:lineRule="auto"/>
        <w:rPr>
          <w:color w:val="auto"/>
          <w:highlight w:val="none"/>
        </w:rPr>
        <w:outlineLvl w:val="1"/>
      </w:pPr>
      <w:r>
        <w:rPr>
          <w:b/>
          <w:bCs/>
          <w:color w:val="auto"/>
          <w:spacing w:val="-4"/>
          <w:highlight w:val="none"/>
        </w:rPr>
        <w:t xml:space="preserve">三．技术要求</w:t>
      </w:r>
      <w:r/>
    </w:p>
    <w:p>
      <w:pPr>
        <w:spacing w:line="306" w:lineRule="auto"/>
        <w:rPr>
          <w:rFonts w:ascii="Arial"/>
          <w:color w:val="auto"/>
          <w:highlight w:val="none"/>
        </w:rPr>
      </w:pPr>
      <w:r>
        <w:rPr>
          <w:rFonts w:ascii="Arial"/>
          <w:color w:val="auto"/>
          <w:highlight w:val="none"/>
        </w:rPr>
      </w:r>
      <w:r/>
    </w:p>
    <w:p>
      <w:pPr>
        <w:pStyle w:val="891"/>
        <w:ind w:left="27"/>
        <w:spacing w:before="78" w:line="219" w:lineRule="auto"/>
        <w:rPr>
          <w:color w:val="auto"/>
          <w:highlight w:val="none"/>
        </w:rPr>
        <w:outlineLvl w:val="1"/>
      </w:pPr>
      <w:r>
        <w:rPr>
          <w:b/>
          <w:bCs/>
          <w:color w:val="auto"/>
          <w:spacing w:val="-7"/>
          <w:highlight w:val="none"/>
        </w:rPr>
        <w:t xml:space="preserve">1．基本要求</w:t>
      </w:r>
      <w:r/>
    </w:p>
    <w:p>
      <w:pPr>
        <w:spacing w:line="304" w:lineRule="auto"/>
        <w:rPr>
          <w:rFonts w:ascii="Arial"/>
          <w:color w:val="auto"/>
          <w:highlight w:val="none"/>
        </w:rPr>
      </w:pPr>
      <w:r>
        <w:rPr>
          <w:rFonts w:ascii="Arial"/>
          <w:color w:val="auto"/>
          <w:highlight w:val="none"/>
        </w:rPr>
      </w:r>
      <w:r/>
    </w:p>
    <w:p>
      <w:pPr>
        <w:pStyle w:val="891"/>
        <w:ind w:left="27"/>
        <w:spacing w:before="79" w:line="219" w:lineRule="auto"/>
        <w:rPr>
          <w:color w:val="auto"/>
          <w:highlight w:val="none"/>
        </w:rPr>
        <w:outlineLvl w:val="1"/>
      </w:pPr>
      <w:r>
        <w:rPr>
          <w:b/>
          <w:bCs/>
          <w:color w:val="auto"/>
          <w:spacing w:val="-4"/>
          <w:highlight w:val="none"/>
        </w:rPr>
        <w:t xml:space="preserve">1.1</w:t>
      </w:r>
      <w:r>
        <w:rPr>
          <w:color w:val="auto"/>
          <w:spacing w:val="-4"/>
          <w:highlight w:val="none"/>
        </w:rPr>
        <w:t xml:space="preserve"> </w:t>
      </w:r>
      <w:r>
        <w:rPr>
          <w:b/>
          <w:bCs/>
          <w:color w:val="auto"/>
          <w:spacing w:val="-4"/>
          <w:highlight w:val="none"/>
        </w:rPr>
        <w:t xml:space="preserve">采购标的需实现的功能或者目标</w:t>
      </w:r>
      <w:r/>
    </w:p>
    <w:p>
      <w:pPr>
        <w:pStyle w:val="891"/>
        <w:ind w:left="9" w:right="61" w:firstLine="484"/>
        <w:spacing w:before="184" w:line="360" w:lineRule="auto"/>
        <w:rPr>
          <w:color w:val="auto"/>
          <w:highlight w:val="none"/>
        </w:rPr>
      </w:pPr>
      <w:r>
        <w:rPr>
          <w:rFonts w:hint="eastAsia"/>
          <w:color w:val="auto"/>
          <w:highlight w:val="none"/>
        </w:rPr>
        <w:t xml:space="preserve">本项目最终采购目标是完成第一代端侧智能芯片（QJ1H-SoC）的工程化实现，形成满足采购人芯片规格定义、具备流片、封装、测试验证条件并通过验收的芯片样片及配套设计成果，为后续产业化应用和批量生产提供技术支撑。</w:t>
      </w:r>
      <w:r/>
    </w:p>
    <w:p>
      <w:pPr>
        <w:pStyle w:val="891"/>
        <w:ind w:left="21" w:firstLine="408"/>
        <w:spacing w:before="148" w:line="219" w:lineRule="auto"/>
        <w:rPr>
          <w:color w:val="auto"/>
          <w:highlight w:val="none"/>
        </w:rPr>
      </w:pPr>
      <w:r>
        <w:rPr>
          <w:color w:val="auto"/>
          <w:spacing w:val="-3"/>
          <w:highlight w:val="none"/>
        </w:rPr>
        <w:t xml:space="preserve">（一）需求概述</w:t>
      </w:r>
      <w:r/>
    </w:p>
    <w:p>
      <w:pPr>
        <w:ind w:firstLine="420"/>
        <w:spacing w:line="360" w:lineRule="auto"/>
        <w:rPr>
          <w:color w:val="auto"/>
          <w:highlight w:val="none"/>
        </w:rPr>
      </w:pPr>
      <w:r>
        <w:rPr>
          <w:rFonts w:hint="eastAsia"/>
          <w:color w:val="auto"/>
          <w:highlight w:val="none"/>
        </w:rPr>
        <w:t xml:space="preserve">第一代端侧智能芯片（后文中简称“QJ1H-SoC”）的全流程设计包括：芯片规格定义、核心IP前端设计、通用模块集成、后端物理设计、流片、封装及回片测试验证。</w:t>
      </w:r>
      <w:r/>
    </w:p>
    <w:p>
      <w:pPr>
        <w:ind w:firstLine="420"/>
        <w:spacing w:line="360" w:lineRule="auto"/>
        <w:rPr>
          <w:color w:val="auto"/>
          <w:highlight w:val="none"/>
        </w:rPr>
      </w:pPr>
      <w:r>
        <w:rPr>
          <w:rFonts w:hint="eastAsia"/>
          <w:color w:val="auto"/>
          <w:highlight w:val="none"/>
        </w:rPr>
        <w:t xml:space="preserve">本项目拟采购涉及的内容为：通用模块集成、后端物理设计、流片、封装及回片测试验证。</w:t>
      </w:r>
      <w:r/>
    </w:p>
    <w:p>
      <w:pPr>
        <w:ind w:firstLine="420"/>
        <w:spacing w:line="360" w:lineRule="auto"/>
        <w:rPr>
          <w:color w:val="auto"/>
          <w:highlight w:val="none"/>
        </w:rPr>
      </w:pPr>
      <w:r>
        <w:rPr>
          <w:rFonts w:hint="eastAsia"/>
          <w:color w:val="auto"/>
          <w:highlight w:val="none"/>
        </w:rPr>
        <w:t xml:space="preserve">其中拟采购的内容需按照我方的芯片规格定义进行设计，并集成我方提供的核心IP。</w:t>
      </w:r>
      <w:r/>
    </w:p>
    <w:p>
      <w:pPr>
        <w:ind w:firstLine="420"/>
        <w:spacing w:line="360" w:lineRule="auto"/>
        <w:rPr>
          <w:color w:val="auto"/>
          <w:highlight w:val="none"/>
        </w:rPr>
      </w:pPr>
      <w:r>
        <w:rPr>
          <w:rFonts w:hint="eastAsia"/>
          <w:color w:val="auto"/>
          <w:highlight w:val="none"/>
        </w:rPr>
        <w:t xml:space="preserve">我方提供智能视觉处理子系统（IVPS） IP和视觉模型推理子系统（VMIS） IP的前端设计加密RTL文件，QJ1H-SoC芯片的其余IP均由外协方提供，授权方式为：单产品永久授权。</w:t>
      </w:r>
      <w:r/>
    </w:p>
    <w:p>
      <w:pPr>
        <w:ind w:firstLine="420"/>
        <w:spacing w:line="360" w:lineRule="auto"/>
        <w:rPr>
          <w:color w:val="auto"/>
          <w:highlight w:val="none"/>
        </w:rPr>
      </w:pPr>
      <w:r>
        <w:rPr>
          <w:rFonts w:hint="eastAsia"/>
          <w:color w:val="auto"/>
          <w:highlight w:val="none"/>
        </w:rPr>
        <w:t xml:space="preserve">说明：</w:t>
      </w:r>
      <w:r/>
    </w:p>
    <w:p>
      <w:pPr>
        <w:ind w:firstLine="420"/>
        <w:spacing w:line="360" w:lineRule="auto"/>
        <w:rPr>
          <w:color w:val="auto"/>
          <w:highlight w:val="none"/>
        </w:rPr>
      </w:pPr>
      <w:r>
        <w:rPr>
          <w:rFonts w:hint="eastAsia"/>
          <w:color w:val="auto"/>
          <w:highlight w:val="none"/>
        </w:rPr>
        <w:t xml:space="preserve">单产品永久授权：外协方保留IP所有权，授予我方在本项目所研制芯片产品中的永久使用权。我方有权基于该芯片进行后续流片、量产和销售，无需额外支付授权费用。未经外协方书面许可，我方不得将该IP应用于其他芯片产品或向第三方转授权。</w:t>
      </w:r>
      <w:r/>
    </w:p>
    <w:p>
      <w:pPr>
        <w:pStyle w:val="891"/>
        <w:ind w:left="579" w:hanging="286"/>
        <w:spacing w:before="2" w:line="359" w:lineRule="auto"/>
        <w:rPr>
          <w:color w:val="auto"/>
          <w:highlight w:val="none"/>
        </w:rPr>
      </w:pPr>
      <w:r>
        <w:rPr>
          <w:rFonts w:hint="eastAsia"/>
          <w:color w:val="auto"/>
          <w:highlight w:val="none"/>
        </w:rPr>
        <w:t xml:space="preserve">（二）采购目标</w:t>
      </w:r>
      <w:r/>
    </w:p>
    <w:p>
      <w:pPr>
        <w:pStyle w:val="891"/>
        <w:ind w:firstLine="420"/>
        <w:spacing w:before="2" w:line="359" w:lineRule="auto"/>
        <w:rPr>
          <w:color w:val="auto"/>
          <w:highlight w:val="none"/>
        </w:rPr>
      </w:pPr>
      <w:r>
        <w:rPr>
          <w:rFonts w:hint="eastAsia"/>
          <w:color w:val="auto"/>
          <w:highlight w:val="none"/>
        </w:rPr>
        <w:t xml:space="preserve">本项目旨在完成第一代端侧智能芯片（QJ1H-SoC）的工程化开发，完成通用模块集成、后端物理设计、流片、封装及回片测试验证等工作，形成满足项目技术指标要求、具备工程应用能力的芯片样片，为后续产品定型、批量生产及行业应用奠定基础。</w:t>
      </w:r>
      <w:r/>
    </w:p>
    <w:p>
      <w:pPr>
        <w:pStyle w:val="891"/>
        <w:ind w:left="579" w:hanging="286"/>
        <w:spacing w:before="2" w:line="359" w:lineRule="auto"/>
        <w:rPr>
          <w:color w:val="auto"/>
          <w:highlight w:val="none"/>
        </w:rPr>
      </w:pPr>
      <w:r>
        <w:rPr>
          <w:rFonts w:hint="eastAsia"/>
          <w:color w:val="auto"/>
          <w:highlight w:val="none"/>
        </w:rPr>
        <w:t xml:space="preserve">通过本项目实施，应实现以下目标：</w:t>
      </w:r>
      <w:r/>
    </w:p>
    <w:p>
      <w:pPr>
        <w:pStyle w:val="891"/>
        <w:ind w:left="579" w:hanging="286"/>
        <w:spacing w:before="2" w:line="359" w:lineRule="auto"/>
        <w:rPr>
          <w:color w:val="auto"/>
          <w:highlight w:val="none"/>
        </w:rPr>
      </w:pPr>
      <w:r>
        <w:rPr>
          <w:rFonts w:hint="eastAsia"/>
          <w:color w:val="auto"/>
          <w:highlight w:val="none"/>
        </w:rPr>
        <w:t xml:space="preserve">（1）完成QJ1H-SoC芯片工程化设计。按照采购人提供的芯片规格定义及核心IP，完成SoC级系统集成、设计实现及后端物理设计，形成满足流片要求的完整设计数据，并通过设计规则检查（DRC）、版图与原理图一致性检查（LVS）、静态时序分析（STA）、形式验证（FV）等设计签核，具备流片条件。</w:t>
      </w:r>
      <w:r/>
    </w:p>
    <w:p>
      <w:pPr>
        <w:pStyle w:val="891"/>
        <w:ind w:left="579" w:hanging="286"/>
        <w:spacing w:before="2" w:line="359" w:lineRule="auto"/>
        <w:rPr>
          <w:color w:val="auto"/>
          <w:highlight w:val="none"/>
        </w:rPr>
      </w:pPr>
      <w:r>
        <w:rPr>
          <w:rFonts w:hint="eastAsia"/>
          <w:color w:val="auto"/>
          <w:highlight w:val="none"/>
        </w:rPr>
        <w:t xml:space="preserve">（2）完成芯片制造及封装验证。完成晶圆流片、封装、回片测试及芯片功能验证，交付符合合同约定数量和封装形式的工程样片。</w:t>
      </w:r>
      <w:r/>
    </w:p>
    <w:p>
      <w:pPr>
        <w:pStyle w:val="891"/>
        <w:ind w:left="579" w:hanging="286"/>
        <w:spacing w:before="2" w:line="359" w:lineRule="auto"/>
        <w:rPr>
          <w:color w:val="auto"/>
          <w:highlight w:val="none"/>
        </w:rPr>
      </w:pPr>
      <w:r>
        <w:rPr>
          <w:rFonts w:hint="eastAsia"/>
          <w:color w:val="auto"/>
          <w:highlight w:val="none"/>
        </w:rPr>
        <w:t xml:space="preserve">（3）实现芯片既定技术功能。芯片应完成采购人规定功能模块的集成，实现各模块之间的正常协同工作，满足芯片规格定义中对接口、性能、功耗、可靠性等技术指标要求，并通过采购人组织的功能测试和验收。</w:t>
      </w:r>
      <w:r/>
    </w:p>
    <w:p>
      <w:pPr>
        <w:pStyle w:val="891"/>
        <w:ind w:left="579" w:hanging="286"/>
        <w:spacing w:before="2" w:line="359" w:lineRule="auto"/>
        <w:rPr>
          <w:color w:val="auto"/>
          <w:highlight w:val="none"/>
        </w:rPr>
      </w:pPr>
      <w:r>
        <w:rPr>
          <w:rFonts w:hint="eastAsia"/>
          <w:color w:val="auto"/>
          <w:highlight w:val="none"/>
        </w:rPr>
        <w:t xml:space="preserve">（4）形成完整工程交付成果。完成设计数据库、版图数据（GDSII）、流片资料、封装资料、测试报告、设计文档、验证报告及其他合同约定成果交付，为后续芯片量产、产品迭代和工程应用提供完整技术基础。</w:t>
      </w:r>
      <w:r/>
    </w:p>
    <w:p>
      <w:pPr>
        <w:pStyle w:val="891"/>
        <w:ind w:left="579" w:hanging="286"/>
        <w:spacing w:before="2" w:line="359" w:lineRule="auto"/>
        <w:rPr>
          <w:color w:val="auto"/>
          <w:highlight w:val="none"/>
        </w:rPr>
      </w:pPr>
      <w:r>
        <w:rPr>
          <w:rFonts w:hint="eastAsia"/>
          <w:color w:val="auto"/>
          <w:highlight w:val="none"/>
        </w:rPr>
        <w:t xml:space="preserve">（5）保障知识产权合法合规。完成除采购人提供核心IP外的相关IP授权及集成工作，确保授权范围满足本项目后续流片、量产及销售需要，不存在影响采购人正常使用的知识产权风险。</w:t>
      </w:r>
      <w:r/>
    </w:p>
    <w:p>
      <w:pPr>
        <w:spacing w:line="359" w:lineRule="auto"/>
        <w:rPr>
          <w:color w:val="auto"/>
          <w:highlight w:val="none"/>
        </w:rPr>
        <w:sectPr>
          <w:headerReference w:type="default" r:id="rId9"/>
          <w:footerReference w:type="default" r:id="rId13"/>
          <w:footnotePr/>
          <w:endnotePr/>
          <w:type w:val="nextPage"/>
          <w:pgSz w:w="11907" w:h="16840" w:orient="portrait"/>
          <w:pgMar w:top="1166" w:right="1071" w:bottom="1026" w:left="1701" w:header="829" w:footer="864" w:gutter="0"/>
          <w:cols w:num="1" w:sep="0" w:space="720" w:equalWidth="1"/>
          <w:docGrid w:linePitch="360"/>
        </w:sectPr>
      </w:pPr>
      <w:r>
        <w:rPr>
          <w:color w:val="auto"/>
          <w:highlight w:val="none"/>
        </w:rPr>
      </w:r>
      <w:r/>
    </w:p>
    <w:p>
      <w:pPr>
        <w:pStyle w:val="891"/>
        <w:ind w:left="27"/>
        <w:spacing w:before="286" w:line="219" w:lineRule="auto"/>
        <w:rPr>
          <w:color w:val="auto"/>
          <w:highlight w:val="none"/>
        </w:rPr>
        <w:outlineLvl w:val="1"/>
      </w:pPr>
      <w:r>
        <w:rPr>
          <w:b/>
          <w:bCs/>
          <w:color w:val="auto"/>
          <w:spacing w:val="-3"/>
          <w:highlight w:val="none"/>
        </w:rPr>
        <w:t xml:space="preserve">1.2</w:t>
      </w:r>
      <w:r>
        <w:rPr>
          <w:color w:val="auto"/>
          <w:spacing w:val="-3"/>
          <w:highlight w:val="none"/>
        </w:rPr>
        <w:t xml:space="preserve"> </w:t>
      </w:r>
      <w:r>
        <w:rPr>
          <w:b/>
          <w:bCs/>
          <w:color w:val="auto"/>
          <w:spacing w:val="-3"/>
          <w:highlight w:val="none"/>
        </w:rPr>
        <w:t xml:space="preserve">需执行的国家相关标准、行业标准、地方标准或者其他标准、规范</w:t>
      </w:r>
      <w:r/>
    </w:p>
    <w:p>
      <w:pPr>
        <w:pStyle w:val="891"/>
        <w:ind w:left="11" w:firstLine="480"/>
        <w:spacing w:before="146" w:line="360" w:lineRule="auto"/>
        <w:rPr>
          <w:color w:val="auto"/>
          <w:highlight w:val="none"/>
        </w:rPr>
      </w:pPr>
      <w:r>
        <w:rPr>
          <w:color w:val="auto"/>
          <w:spacing w:val="-2"/>
          <w:highlight w:val="none"/>
        </w:rPr>
        <w:t xml:space="preserve">投标人提供的设备和附件应符合标准的最新版本，未予规定部分需符合国家有关标</w:t>
      </w:r>
      <w:r>
        <w:rPr>
          <w:color w:val="auto"/>
          <w:spacing w:val="-1"/>
          <w:highlight w:val="none"/>
        </w:rPr>
        <w:t xml:space="preserve">准、规定，有矛盾时，按照较高标准执行。</w:t>
      </w:r>
      <w:r/>
    </w:p>
    <w:p>
      <w:pPr>
        <w:spacing w:line="278" w:lineRule="auto"/>
        <w:rPr>
          <w:rFonts w:ascii="Arial"/>
          <w:color w:val="auto"/>
          <w:highlight w:val="none"/>
        </w:rPr>
      </w:pPr>
      <w:r>
        <w:rPr>
          <w:rFonts w:ascii="Arial"/>
          <w:color w:val="auto"/>
          <w:highlight w:val="none"/>
        </w:rPr>
      </w:r>
      <w:r/>
    </w:p>
    <w:p>
      <w:pPr>
        <w:pStyle w:val="891"/>
        <w:ind w:left="132"/>
        <w:spacing w:before="78" w:line="219" w:lineRule="auto"/>
        <w:rPr>
          <w:color w:val="auto"/>
          <w:highlight w:val="none"/>
        </w:rPr>
        <w:outlineLvl w:val="1"/>
      </w:pPr>
      <w:r>
        <w:rPr>
          <w:b/>
          <w:bCs/>
          <w:color w:val="auto"/>
          <w:spacing w:val="-3"/>
          <w:highlight w:val="none"/>
        </w:rPr>
        <w:t xml:space="preserve">2.</w:t>
      </w:r>
      <w:r>
        <w:rPr>
          <w:color w:val="auto"/>
          <w:spacing w:val="-3"/>
          <w:highlight w:val="none"/>
        </w:rPr>
        <w:t xml:space="preserve"> </w:t>
      </w:r>
      <w:r>
        <w:rPr>
          <w:b/>
          <w:bCs/>
          <w:color w:val="auto"/>
          <w:spacing w:val="-3"/>
          <w:highlight w:val="none"/>
        </w:rPr>
        <w:t xml:space="preserve">服务内容及要求</w:t>
      </w:r>
      <w:r/>
    </w:p>
    <w:p>
      <w:pPr>
        <w:spacing w:line="306" w:lineRule="auto"/>
        <w:rPr>
          <w:rFonts w:ascii="Arial"/>
          <w:color w:val="auto"/>
          <w:highlight w:val="none"/>
        </w:rPr>
      </w:pPr>
      <w:r>
        <w:rPr>
          <w:rFonts w:ascii="Arial"/>
          <w:color w:val="auto"/>
          <w:highlight w:val="none"/>
        </w:rPr>
      </w:r>
      <w:r/>
    </w:p>
    <w:p>
      <w:pPr>
        <w:pStyle w:val="891"/>
        <w:ind w:left="12"/>
        <w:spacing w:before="78" w:line="219" w:lineRule="auto"/>
        <w:rPr>
          <w:color w:val="auto"/>
          <w:highlight w:val="none"/>
        </w:rPr>
        <w:outlineLvl w:val="1"/>
      </w:pPr>
      <w:r>
        <w:rPr>
          <w:b/>
          <w:bCs/>
          <w:color w:val="auto"/>
          <w:spacing w:val="-2"/>
          <w:highlight w:val="none"/>
        </w:rPr>
        <w:t xml:space="preserve">2.1采购标的需满足的服务标准、期限、</w:t>
      </w:r>
      <w:r>
        <w:rPr>
          <w:b/>
          <w:bCs/>
          <w:color w:val="auto"/>
          <w:spacing w:val="-3"/>
          <w:highlight w:val="none"/>
        </w:rPr>
        <w:t xml:space="preserve">效率等要求</w:t>
      </w:r>
      <w:r/>
    </w:p>
    <w:p>
      <w:pPr>
        <w:pStyle w:val="872"/>
        <w:keepLines w:val="0"/>
        <w:keepNext w:val="0"/>
        <w:spacing w:before="120" w:after="120" w:line="400" w:lineRule="exact"/>
        <w:rPr>
          <w:rFonts w:hint="eastAsia" w:ascii="宋体" w:hAnsi="宋体" w:cs="宋体"/>
          <w:color w:val="auto"/>
          <w:sz w:val="21"/>
          <w:szCs w:val="21"/>
          <w:highlight w:val="none"/>
        </w:rPr>
      </w:pPr>
      <w:r/>
      <w:bookmarkStart w:id="264" w:name="_Toc234244183"/>
      <w:r/>
      <w:bookmarkStart w:id="265" w:name="_Toc197717624"/>
      <w:r>
        <w:rPr>
          <w:rFonts w:hint="eastAsia" w:ascii="宋体" w:hAnsi="宋体" w:cs="宋体"/>
          <w:color w:val="auto"/>
          <w:sz w:val="21"/>
          <w:szCs w:val="21"/>
          <w:highlight w:val="none"/>
        </w:rPr>
        <w:t xml:space="preserve">2.1.1 QJ1H-SoC芯片规格要求</w:t>
      </w:r>
      <w:bookmarkEnd w:id="264"/>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66" w:name="_Toc234244184"/>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.1 </w:t>
      </w:r>
      <w:r>
        <w:rPr>
          <w:rFonts w:hint="eastAsia" w:ascii="宋体" w:hAnsi="宋体" w:cs="宋体"/>
          <w:color w:val="auto"/>
          <w:sz w:val="21"/>
          <w:szCs w:val="21"/>
          <w:highlight w:val="none"/>
        </w:rPr>
        <w:t xml:space="preserve">处理器</w:t>
      </w:r>
      <w:r>
        <w:rPr>
          <w:rFonts w:hint="eastAsia" w:ascii="宋体" w:hAnsi="宋体" w:cs="宋体"/>
          <w:bCs w:val="0"/>
          <w:color w:val="auto"/>
          <w:sz w:val="21"/>
          <w:szCs w:val="21"/>
          <w:highlight w:val="none"/>
        </w:rPr>
        <w:t xml:space="preserve">内核</w:t>
      </w:r>
      <w:bookmarkEnd w:id="266"/>
      <w:r/>
      <w:r/>
    </w:p>
    <w:p>
      <w:pPr>
        <w:numPr>
          <w:ilvl w:val="0"/>
          <w:numId w:val="3"/>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RISC处理器，时钟主频最高900MHz (TT corner, 1.1v, 85℃)</w:t>
      </w:r>
      <w:r/>
    </w:p>
    <w:p>
      <w:pPr>
        <w:numPr>
          <w:ilvl w:val="0"/>
          <w:numId w:val="3"/>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32KBI-CACHE、32KBD-CACHE、256KBL2Cache</w:t>
      </w:r>
      <w:r/>
    </w:p>
    <w:p>
      <w:pPr>
        <w:numPr>
          <w:ilvl w:val="0"/>
          <w:numId w:val="3"/>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支持SIMD加速，集成FPU处理单元</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67" w:name="_Toc234244185"/>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.2 NPU</w:t>
      </w:r>
      <w:bookmarkEnd w:id="267"/>
      <w:r/>
      <w:r/>
    </w:p>
    <w:p>
      <w:pPr>
        <w:ind w:firstLine="428"/>
        <w:spacing w:line="360" w:lineRule="auto"/>
        <w:rPr>
          <w:rFonts w:hint="eastAsia" w:ascii="宋体" w:hAnsi="宋体" w:cs="宋体"/>
          <w:bCs/>
          <w:color w:val="auto"/>
          <w:szCs w:val="21"/>
          <w:highlight w:val="none"/>
        </w:rPr>
      </w:pPr>
      <w:r>
        <w:rPr>
          <w:color w:val="auto"/>
          <w:spacing w:val="7"/>
          <w:sz w:val="20"/>
          <w:szCs w:val="20"/>
          <w:highlight w:val="none"/>
        </w:rPr>
        <w:t xml:space="preserve">▲</w:t>
      </w:r>
      <w:r>
        <w:rPr>
          <w:rFonts w:hint="eastAsia" w:ascii="宋体" w:hAnsi="宋体" w:cs="宋体"/>
          <w:bCs/>
          <w:color w:val="auto"/>
          <w:szCs w:val="21"/>
          <w:highlight w:val="none"/>
        </w:rPr>
        <w:t xml:space="preserve">0.5TOPS通用算力(TT corner, 1.1v, 85℃)</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68" w:name="_Toc234244186"/>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.3 视觉模型推理子系统（VMIS）</w:t>
      </w:r>
      <w:bookmarkEnd w:id="268"/>
      <w:r/>
      <w:r/>
    </w:p>
    <w:p>
      <w:pPr>
        <w:numPr>
          <w:ilvl w:val="0"/>
          <w:numId w:val="4"/>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需求方提供前端设计文件，外协方支持集成；含端侧推理控制器、存算融合神经网络处理器、特征图处理引擎、视觉后处理引擎、专用DMA协处理器、片上存储缓冲层和片上互连架构</w:t>
      </w:r>
      <w:r/>
    </w:p>
    <w:p>
      <w:pPr>
        <w:numPr>
          <w:ilvl w:val="0"/>
          <w:numId w:val="4"/>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2TOPS专用算力(TT corner, 1.1v, 85℃)；</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69" w:name="_Toc234244187"/>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.4 智能视觉处理子系统（IVPS）</w:t>
      </w:r>
      <w:bookmarkEnd w:id="269"/>
      <w:r/>
      <w:r/>
    </w:p>
    <w:p>
      <w:pPr>
        <w:numPr>
          <w:ilvl w:val="0"/>
          <w:numId w:val="5"/>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需求方提供前端设计文件，外协方支持集成；含ISP处理器和AI-ISP处理器</w:t>
      </w:r>
      <w:r/>
    </w:p>
    <w:p>
      <w:pPr>
        <w:numPr>
          <w:ilvl w:val="0"/>
          <w:numId w:val="5"/>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最大支持16bit 5M@30FPS(TT corner, 1.1v, 85℃)</w:t>
      </w:r>
      <w:r/>
    </w:p>
    <w:p>
      <w:pPr>
        <w:numPr>
          <w:ilvl w:val="0"/>
          <w:numId w:val="5"/>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支持 Mono / Bayer 格式 RAW 输入</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0" w:name="_Toc234244188"/>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.5 视频编解码</w:t>
      </w:r>
      <w:bookmarkEnd w:id="270"/>
      <w:r/>
      <w:r/>
    </w:p>
    <w:p>
      <w:pPr>
        <w:numPr>
          <w:ilvl w:val="0"/>
          <w:numId w:val="6"/>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H.264/H.265编码:BP/MP/HP，MainProfile</w:t>
      </w:r>
      <w:r/>
    </w:p>
    <w:p>
      <w:pPr>
        <w:numPr>
          <w:ilvl w:val="0"/>
          <w:numId w:val="6"/>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H.264/H.265解码</w:t>
      </w:r>
      <w:r/>
    </w:p>
    <w:p>
      <w:pPr>
        <w:numPr>
          <w:ilvl w:val="0"/>
          <w:numId w:val="6"/>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JPEG编解码</w:t>
      </w:r>
      <w:r/>
    </w:p>
    <w:p>
      <w:pPr>
        <w:numPr>
          <w:ilvl w:val="0"/>
          <w:numId w:val="6"/>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实时编码能力: 5M@12fps/4M@15fps/3M@20fps/1080P@30fps</w:t>
      </w:r>
      <w:r/>
    </w:p>
    <w:p>
      <w:pPr>
        <w:numPr>
          <w:ilvl w:val="0"/>
          <w:numId w:val="6"/>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实时解码能力:1080P@30fps</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1" w:name="_Toc234244189"/>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.6 2D图形处理</w:t>
      </w:r>
      <w:bookmarkEnd w:id="271"/>
      <w:r/>
      <w:r/>
    </w:p>
    <w:p>
      <w:pPr>
        <w:numPr>
          <w:ilvl w:val="0"/>
          <w:numId w:val="7"/>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图形缩放功能</w:t>
      </w:r>
      <w:r/>
    </w:p>
    <w:p>
      <w:pPr>
        <w:numPr>
          <w:ilvl w:val="0"/>
          <w:numId w:val="7"/>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图形叠加</w:t>
      </w:r>
      <w:r/>
    </w:p>
    <w:p>
      <w:pPr>
        <w:numPr>
          <w:ilvl w:val="0"/>
          <w:numId w:val="7"/>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图像90、180、270度旋转</w:t>
      </w:r>
      <w:r/>
    </w:p>
    <w:p>
      <w:pPr>
        <w:numPr>
          <w:ilvl w:val="0"/>
          <w:numId w:val="7"/>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多区域OSD叠加</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2" w:name="_Toc234244190"/>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.7 视频输入输出接口</w:t>
      </w:r>
      <w:bookmarkEnd w:id="272"/>
      <w:r/>
      <w:r/>
    </w:p>
    <w:p>
      <w:pPr>
        <w:numPr>
          <w:ilvl w:val="0"/>
          <w:numId w:val="8"/>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支持1路MIPI D-PHY和1路DVP 1080P30帧接口输入</w:t>
      </w:r>
      <w:r/>
    </w:p>
    <w:p>
      <w:pPr>
        <w:numPr>
          <w:ilvl w:val="0"/>
          <w:numId w:val="8"/>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支持8/10/12/16bit Bayer时序视频输入</w:t>
      </w:r>
      <w:r/>
    </w:p>
    <w:p>
      <w:pPr>
        <w:numPr>
          <w:ilvl w:val="0"/>
          <w:numId w:val="8"/>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支持BT601、BT.656、BT.1120视频输入</w:t>
      </w:r>
      <w:r/>
    </w:p>
    <w:p>
      <w:pPr>
        <w:numPr>
          <w:ilvl w:val="0"/>
          <w:numId w:val="8"/>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单路输入支持的最大分辨率为5MP</w:t>
      </w:r>
      <w:r/>
    </w:p>
    <w:p>
      <w:pPr>
        <w:numPr>
          <w:ilvl w:val="0"/>
          <w:numId w:val="8"/>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支持8bit/24bitRGB并行输出</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3" w:name="_Toc234244191"/>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.8 音频接口</w:t>
      </w:r>
      <w:bookmarkEnd w:id="273"/>
      <w:r/>
      <w:r/>
    </w:p>
    <w:p>
      <w:pPr>
        <w:numPr>
          <w:ilvl w:val="0"/>
          <w:numId w:val="9"/>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2路Sigma-Delta ADC：支持模拟音频或MIC输入, ADC采样率8K~48KHz</w:t>
      </w:r>
      <w:r/>
    </w:p>
    <w:p>
      <w:pPr>
        <w:numPr>
          <w:ilvl w:val="0"/>
          <w:numId w:val="9"/>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支持4路PDM数字麦克风</w:t>
      </w:r>
      <w:r/>
    </w:p>
    <w:p>
      <w:pPr>
        <w:numPr>
          <w:ilvl w:val="0"/>
          <w:numId w:val="9"/>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2路Sigma-Delta DAC：支持立体声, DAC采样率8K~96KHz</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4" w:name="_Toc234244192"/>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.9 安全功能</w:t>
      </w:r>
      <w:bookmarkEnd w:id="274"/>
      <w:r/>
      <w:r/>
    </w:p>
    <w:p>
      <w:pPr>
        <w:numPr>
          <w:ilvl w:val="0"/>
          <w:numId w:val="10"/>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硬件加密：支持AES/SHA/PKA/CRC</w:t>
      </w:r>
      <w:r/>
    </w:p>
    <w:p>
      <w:pPr>
        <w:numPr>
          <w:ilvl w:val="0"/>
          <w:numId w:val="10"/>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内置硬件随机数发生机；内置OTP存储。</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5" w:name="_Toc234244193"/>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.10 外围接口</w:t>
      </w:r>
      <w:bookmarkEnd w:id="275"/>
      <w:r>
        <w:rPr>
          <w:rFonts w:hint="eastAsia" w:ascii="宋体" w:hAnsi="宋体" w:cs="宋体"/>
          <w:bCs w:val="0"/>
          <w:color w:val="auto"/>
          <w:sz w:val="21"/>
          <w:szCs w:val="21"/>
          <w:highlight w:val="none"/>
        </w:rPr>
        <w:t xml:space="preserve"> </w:t>
      </w:r>
      <w:r/>
    </w:p>
    <w:p>
      <w:pPr>
        <w:numPr>
          <w:ilvl w:val="0"/>
          <w:numId w:val="11"/>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I2C、SPI、UART、SAR ADC、USB2.0、SDIO</w:t>
      </w:r>
      <w:r/>
    </w:p>
    <w:p>
      <w:pPr>
        <w:numPr>
          <w:ilvl w:val="0"/>
          <w:numId w:val="11"/>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EMAC接口，支持RMII模式,10M/100Mbps</w:t>
      </w:r>
      <w:r>
        <w:rPr>
          <w:rFonts w:hint="eastAsia" w:ascii="宋体" w:hAnsi="宋体" w:cs="宋体"/>
          <w:bCs/>
          <w:color w:val="auto"/>
          <w:szCs w:val="21"/>
          <w:highlight w:val="none"/>
        </w:rPr>
        <w:tab/>
      </w:r>
      <w:r/>
    </w:p>
    <w:p>
      <w:pPr>
        <w:numPr>
          <w:ilvl w:val="0"/>
          <w:numId w:val="11"/>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多个GPIO接口</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6" w:name="_Toc234244194"/>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.11 存储器接口</w:t>
      </w:r>
      <w:bookmarkEnd w:id="276"/>
      <w:r>
        <w:rPr>
          <w:rFonts w:hint="eastAsia" w:ascii="宋体" w:hAnsi="宋体" w:cs="宋体"/>
          <w:bCs w:val="0"/>
          <w:color w:val="auto"/>
          <w:sz w:val="21"/>
          <w:szCs w:val="21"/>
          <w:highlight w:val="none"/>
        </w:rPr>
        <w:t xml:space="preserve"> </w:t>
      </w:r>
      <w:r/>
    </w:p>
    <w:p>
      <w:pPr>
        <w:numPr>
          <w:ilvl w:val="0"/>
          <w:numId w:val="1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支持eMMC/QSPI FLASH 接口</w:t>
      </w:r>
      <w:r/>
    </w:p>
    <w:p>
      <w:pPr>
        <w:numPr>
          <w:ilvl w:val="0"/>
          <w:numId w:val="1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DDR：内封32位LPDDR2 KGD 1Gbit</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7" w:name="_Toc234244195"/>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.12 芯片封装</w:t>
      </w:r>
      <w:bookmarkEnd w:id="277"/>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color w:val="auto"/>
          <w:spacing w:val="7"/>
          <w:sz w:val="20"/>
          <w:szCs w:val="20"/>
          <w:highlight w:val="none"/>
        </w:rPr>
        <w:t xml:space="preserve">▲</w:t>
      </w:r>
      <w:r>
        <w:rPr>
          <w:rFonts w:hint="eastAsia" w:ascii="宋体" w:hAnsi="宋体" w:cs="宋体"/>
          <w:color w:val="auto"/>
          <w:szCs w:val="21"/>
          <w:highlight w:val="none"/>
        </w:rPr>
        <w:t xml:space="preserve">合封LPDDR2 1Gb KGD，32bit位宽，WBBGA，管脚数200~300。</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8" w:name="_Toc234244196"/>
      <w:r>
        <w:rPr>
          <w:rFonts w:hint="eastAsia" w:ascii="宋体" w:hAnsi="宋体" w:cs="宋体"/>
          <w:bCs w:val="0"/>
          <w:color w:val="auto"/>
          <w:sz w:val="21"/>
          <w:szCs w:val="21"/>
          <w:highlight w:val="none"/>
        </w:rPr>
        <w:t xml:space="preserve">3.1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.13 芯片温湿度规格</w:t>
      </w:r>
      <w:bookmarkEnd w:id="278"/>
      <w:r/>
      <w:r/>
    </w:p>
    <w:p>
      <w:pPr>
        <w:numPr>
          <w:ilvl w:val="0"/>
          <w:numId w:val="13"/>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贮存温湿度（未开封/防潮袋内）；</w:t>
      </w:r>
      <w:r>
        <w:rPr>
          <w:rFonts w:hint="eastAsia" w:ascii="宋体" w:hAnsi="宋体" w:cs="宋体"/>
          <w:bCs/>
          <w:color w:val="auto"/>
          <w:szCs w:val="21"/>
          <w:highlight w:val="none"/>
        </w:rPr>
        <w:t xml:space="preserve">温度：-4</w:t>
      </w:r>
      <w:r>
        <w:rPr>
          <w:rStyle w:val="920"/>
          <w:rFonts w:hint="eastAsia" w:ascii="宋体" w:hAnsi="宋体" w:cs="宋体"/>
          <w:b w:val="0"/>
          <w:bCs w:val="0"/>
          <w:color w:val="auto"/>
          <w:spacing w:val="8"/>
          <w:szCs w:val="21"/>
          <w:highlight w:val="none"/>
          <w:shd w:val="clear" w:color="auto" w:fill="ffffff"/>
        </w:rPr>
        <w:t xml:space="preserve">0°C ~ +85°C；</w:t>
      </w:r>
      <w:r>
        <w:rPr>
          <w:rFonts w:hint="eastAsia" w:ascii="宋体" w:hAnsi="宋体" w:cs="宋体"/>
          <w:bCs/>
          <w:color w:val="auto"/>
          <w:szCs w:val="21"/>
          <w:highlight w:val="none"/>
        </w:rPr>
        <w:t xml:space="preserve">湿度：</w:t>
      </w:r>
      <w:r>
        <w:rPr>
          <w:rStyle w:val="920"/>
          <w:rFonts w:hint="eastAsia" w:ascii="宋体" w:hAnsi="宋体" w:cs="宋体"/>
          <w:b w:val="0"/>
          <w:bCs w:val="0"/>
          <w:color w:val="auto"/>
          <w:spacing w:val="8"/>
          <w:szCs w:val="21"/>
          <w:highlight w:val="none"/>
          <w:shd w:val="clear" w:color="auto" w:fill="ffffff"/>
        </w:rPr>
        <w:t xml:space="preserve">≤10% RH；</w:t>
      </w:r>
      <w:r/>
    </w:p>
    <w:p>
      <w:pPr>
        <w:ind w:left="881"/>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工作环境</w:t>
      </w:r>
      <w:r>
        <w:rPr>
          <w:rFonts w:hint="eastAsia" w:ascii="宋体" w:hAnsi="宋体" w:cs="宋体"/>
          <w:bCs/>
          <w:color w:val="auto"/>
          <w:szCs w:val="21"/>
          <w:highlight w:val="none"/>
        </w:rPr>
        <w:t xml:space="preserve">温度：-4</w:t>
      </w:r>
      <w:r>
        <w:rPr>
          <w:rStyle w:val="920"/>
          <w:rFonts w:hint="eastAsia" w:ascii="宋体" w:hAnsi="宋体" w:cs="宋体"/>
          <w:b w:val="0"/>
          <w:bCs w:val="0"/>
          <w:color w:val="auto"/>
          <w:spacing w:val="8"/>
          <w:szCs w:val="21"/>
          <w:highlight w:val="none"/>
          <w:shd w:val="clear" w:color="auto" w:fill="ffffff"/>
        </w:rPr>
        <w:t xml:space="preserve">0°C ~ +85°C；</w:t>
      </w:r>
      <w:r/>
    </w:p>
    <w:p>
      <w:pPr>
        <w:ind w:left="881"/>
        <w:spacing w:line="360" w:lineRule="auto"/>
        <w:rPr>
          <w:rFonts w:hint="eastAsia" w:ascii="宋体" w:hAnsi="宋体" w:cs="宋体"/>
          <w:bCs/>
          <w:color w:val="auto"/>
          <w:szCs w:val="21"/>
          <w:highlight w:val="none"/>
        </w:rPr>
      </w:pPr>
      <w:r>
        <w:rPr>
          <w:rFonts w:hint="eastAsia" w:ascii="宋体" w:hAnsi="宋体" w:cs="宋体"/>
          <w:color w:val="auto"/>
          <w:szCs w:val="21"/>
          <w:highlight w:val="none"/>
        </w:rPr>
        <w:t xml:space="preserve">结温</w:t>
      </w:r>
      <w:r>
        <w:rPr>
          <w:rFonts w:hint="eastAsia" w:ascii="宋体" w:hAnsi="宋体" w:cs="宋体"/>
          <w:bCs/>
          <w:color w:val="auto"/>
          <w:szCs w:val="21"/>
          <w:highlight w:val="none"/>
        </w:rPr>
        <w:t xml:space="preserve">：-4</w:t>
      </w:r>
      <w:r>
        <w:rPr>
          <w:rStyle w:val="920"/>
          <w:rFonts w:hint="eastAsia" w:ascii="宋体" w:hAnsi="宋体" w:cs="宋体"/>
          <w:b w:val="0"/>
          <w:bCs w:val="0"/>
          <w:color w:val="auto"/>
          <w:spacing w:val="8"/>
          <w:szCs w:val="21"/>
          <w:highlight w:val="none"/>
          <w:shd w:val="clear" w:color="auto" w:fill="ffffff"/>
        </w:rPr>
        <w:t xml:space="preserve">0°C ~ +125°C。</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79" w:name="_Toc234244197"/>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.14 芯片功耗规格</w:t>
      </w:r>
      <w:bookmarkEnd w:id="279"/>
      <w:r/>
      <w:r/>
    </w:p>
    <w:p>
      <w:pPr>
        <w:numPr>
          <w:ilvl w:val="0"/>
          <w:numId w:val="14"/>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Deep sleep power（RTC + wake-up IO）&lt; 50 uA；</w:t>
      </w:r>
      <w:r/>
    </w:p>
    <w:p>
      <w:pPr>
        <w:ind w:left="881"/>
        <w:spacing w:line="360" w:lineRule="auto"/>
        <w:rPr>
          <w:rFonts w:hint="eastAsia" w:ascii="宋体" w:hAnsi="宋体" w:cs="宋体"/>
          <w:color w:val="auto"/>
          <w:szCs w:val="21"/>
          <w:highlight w:val="none"/>
        </w:rPr>
      </w:pPr>
      <w:r>
        <w:rPr>
          <w:rFonts w:hint="eastAsia" w:ascii="宋体" w:hAnsi="宋体" w:cs="宋体"/>
          <w:bCs/>
          <w:color w:val="auto"/>
          <w:szCs w:val="21"/>
          <w:highlight w:val="none"/>
        </w:rPr>
        <w:t xml:space="preserve">峰值功耗 &lt; 2 W @ </w:t>
      </w:r>
      <w:r>
        <w:rPr>
          <w:rFonts w:hint="eastAsia" w:ascii="宋体" w:hAnsi="宋体" w:cs="宋体"/>
          <w:color w:val="auto"/>
          <w:szCs w:val="21"/>
          <w:highlight w:val="none"/>
        </w:rPr>
        <w:t xml:space="preserve">85°C；</w:t>
      </w:r>
      <w:r/>
    </w:p>
    <w:p>
      <w:pPr>
        <w:ind w:left="881"/>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热阻系数 </w:t>
      </w:r>
      <w:r>
        <w:rPr>
          <w:rFonts w:hint="eastAsia" w:ascii="宋体" w:hAnsi="宋体" w:cs="宋体"/>
          <w:color w:val="auto"/>
          <w:szCs w:val="21"/>
          <w:highlight w:val="none"/>
        </w:rPr>
        <w:t xml:space="preserve">10 ~ 15 °C/W。</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80" w:name="_Toc234244198"/>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.15 焊接工艺</w:t>
      </w:r>
      <w:bookmarkEnd w:id="280"/>
      <w:r/>
      <w:r/>
    </w:p>
    <w:p>
      <w:p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    </w:t>
      </w:r>
      <w:r>
        <w:rPr>
          <w:rStyle w:val="920"/>
          <w:rFonts w:hint="eastAsia" w:ascii="宋体" w:hAnsi="宋体" w:cs="宋体"/>
          <w:b w:val="0"/>
          <w:bCs w:val="0"/>
          <w:color w:val="auto"/>
          <w:spacing w:val="8"/>
          <w:szCs w:val="21"/>
          <w:highlight w:val="none"/>
          <w:shd w:val="clear" w:color="auto" w:fill="ffffff"/>
        </w:rPr>
        <w:t xml:space="preserve">无铅回流焊（Pb-Free），峰值温度245 ~ 260°C，MSL3</w:t>
      </w:r>
      <w:r/>
    </w:p>
    <w:p>
      <w:pPr>
        <w:pStyle w:val="873"/>
        <w:keepLines w:val="0"/>
        <w:keepNext w:val="0"/>
        <w:spacing w:before="0" w:after="0" w:line="360" w:lineRule="auto"/>
        <w:rPr>
          <w:rFonts w:hint="eastAsia" w:ascii="宋体" w:hAnsi="宋体" w:cs="宋体"/>
          <w:bCs w:val="0"/>
          <w:color w:val="auto"/>
          <w:sz w:val="21"/>
          <w:szCs w:val="21"/>
          <w:highlight w:val="none"/>
        </w:rPr>
      </w:pPr>
      <w:r/>
      <w:bookmarkStart w:id="281" w:name="_Toc234244199"/>
      <w:r>
        <w:rPr>
          <w:rFonts w:hint="eastAsia" w:ascii="宋体" w:hAnsi="宋体" w:cs="宋体"/>
          <w:bCs w:val="0"/>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bCs w:val="0"/>
          <w:color w:val="auto"/>
          <w:sz w:val="21"/>
          <w:szCs w:val="21"/>
          <w:highlight w:val="none"/>
        </w:rPr>
        <w:t xml:space="preserve">.16 ESD RATINGS</w:t>
      </w:r>
      <w:bookmarkEnd w:id="281"/>
      <w:r/>
      <w:r/>
    </w:p>
    <w:p>
      <w:pPr>
        <w:ind w:firstLine="452"/>
        <w:spacing w:line="360" w:lineRule="auto"/>
        <w:rPr>
          <w:rFonts w:hint="eastAsia" w:ascii="宋体" w:hAnsi="宋体" w:cs="宋体"/>
          <w:bCs/>
          <w:color w:val="auto"/>
          <w:szCs w:val="21"/>
          <w:highlight w:val="none"/>
        </w:rPr>
      </w:pPr>
      <w:r>
        <w:rPr>
          <w:rFonts w:hint="eastAsia" w:ascii="宋体" w:hAnsi="宋体" w:cs="宋体"/>
          <w:color w:val="auto"/>
          <w:spacing w:val="8"/>
          <w:szCs w:val="21"/>
          <w:highlight w:val="none"/>
          <w:shd w:val="clear" w:color="auto" w:fill="ffffff"/>
        </w:rPr>
        <w:t xml:space="preserve">±</w:t>
      </w:r>
      <w:r>
        <w:rPr>
          <w:rFonts w:hint="eastAsia" w:ascii="宋体" w:hAnsi="宋体" w:cs="宋体"/>
          <w:bCs/>
          <w:color w:val="auto"/>
          <w:szCs w:val="21"/>
          <w:highlight w:val="none"/>
        </w:rPr>
        <w:t xml:space="preserve">2KV(HBM), </w:t>
      </w:r>
      <w:r>
        <w:rPr>
          <w:rFonts w:hint="eastAsia" w:ascii="宋体" w:hAnsi="宋体" w:cs="宋体"/>
          <w:color w:val="auto"/>
          <w:spacing w:val="8"/>
          <w:szCs w:val="21"/>
          <w:highlight w:val="none"/>
          <w:shd w:val="clear" w:color="auto" w:fill="ffffff"/>
        </w:rPr>
        <w:t xml:space="preserve">±250 V(CDM)</w:t>
      </w:r>
      <w:r/>
    </w:p>
    <w:p>
      <w:pPr>
        <w:pStyle w:val="873"/>
        <w:keepLines w:val="0"/>
        <w:keepNext w:val="0"/>
        <w:spacing w:before="0" w:after="0" w:line="360" w:lineRule="auto"/>
        <w:rPr>
          <w:rFonts w:hint="eastAsia" w:ascii="宋体" w:hAnsi="宋体" w:cs="宋体"/>
          <w:color w:val="auto"/>
          <w:sz w:val="21"/>
          <w:szCs w:val="21"/>
          <w:highlight w:val="none"/>
        </w:rPr>
      </w:pPr>
      <w:r/>
      <w:bookmarkStart w:id="282" w:name="_Toc234244200"/>
      <w:r>
        <w:rPr>
          <w:rFonts w:hint="eastAsia" w:ascii="宋体" w:hAnsi="宋体" w:cs="宋体"/>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.17 芯片工艺节点</w:t>
      </w:r>
      <w:bookmarkEnd w:id="282"/>
      <w:r/>
      <w:r/>
    </w:p>
    <w:p>
      <w:pPr>
        <w:ind w:firstLine="420"/>
        <w:spacing w:line="360" w:lineRule="auto"/>
        <w:rPr>
          <w:rFonts w:hint="eastAsia" w:ascii="宋体" w:hAnsi="宋体" w:cs="宋体"/>
          <w:color w:val="auto"/>
          <w:szCs w:val="21"/>
          <w:highlight w:val="none"/>
        </w:rPr>
      </w:pPr>
      <w:r>
        <w:rPr>
          <w:color w:val="auto"/>
          <w:spacing w:val="7"/>
          <w:sz w:val="20"/>
          <w:szCs w:val="20"/>
          <w:highlight w:val="none"/>
        </w:rPr>
        <w:t xml:space="preserve">▲</w:t>
      </w:r>
      <w:r>
        <w:rPr>
          <w:rFonts w:hint="eastAsia" w:ascii="宋体" w:hAnsi="宋体" w:cs="宋体"/>
          <w:color w:val="auto"/>
          <w:szCs w:val="21"/>
          <w:highlight w:val="none"/>
        </w:rPr>
        <w:t xml:space="preserve">芯片工艺节点为SMIC40LL。</w:t>
      </w:r>
      <w:r/>
    </w:p>
    <w:p>
      <w:pPr>
        <w:pStyle w:val="873"/>
        <w:keepLines w:val="0"/>
        <w:keepNext w:val="0"/>
        <w:spacing w:before="0" w:after="0" w:line="360" w:lineRule="auto"/>
        <w:rPr>
          <w:rFonts w:hint="eastAsia" w:ascii="宋体" w:hAnsi="宋体" w:cs="宋体"/>
          <w:color w:val="auto"/>
          <w:sz w:val="21"/>
          <w:szCs w:val="21"/>
          <w:highlight w:val="none"/>
        </w:rPr>
      </w:pPr>
      <w:r/>
      <w:bookmarkStart w:id="283" w:name="_Toc234244201"/>
      <w:r>
        <w:rPr>
          <w:rFonts w:hint="eastAsia" w:ascii="宋体" w:hAnsi="宋体" w:cs="宋体"/>
          <w:color w:val="auto"/>
          <w:sz w:val="21"/>
          <w:szCs w:val="21"/>
          <w:highlight w:val="none"/>
        </w:rPr>
        <w:t xml:space="preserve">2.1</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.18 芯片面积</w:t>
      </w:r>
      <w:bookmarkEnd w:id="283"/>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40~50mm²。</w:t>
      </w:r>
      <w:r/>
    </w:p>
    <w:p>
      <w:pPr>
        <w:pStyle w:val="872"/>
        <w:keepLines w:val="0"/>
        <w:keepNext w:val="0"/>
        <w:spacing w:before="120" w:after="120" w:line="400" w:lineRule="exact"/>
        <w:rPr>
          <w:rFonts w:hint="eastAsia" w:ascii="宋体" w:hAnsi="宋体" w:cs="宋体"/>
          <w:color w:val="auto"/>
          <w:sz w:val="21"/>
          <w:szCs w:val="21"/>
          <w:highlight w:val="none"/>
        </w:rPr>
      </w:pPr>
      <w:r/>
      <w:bookmarkStart w:id="284" w:name="_Toc234244202"/>
      <w:r>
        <w:rPr>
          <w:rFonts w:hint="eastAsia" w:ascii="宋体" w:hAnsi="宋体" w:cs="宋体"/>
          <w:color w:val="auto"/>
          <w:sz w:val="21"/>
          <w:szCs w:val="21"/>
          <w:highlight w:val="none"/>
        </w:rPr>
        <w:t xml:space="preserve">2.1.2通用模块集成要求</w:t>
      </w:r>
      <w:bookmarkEnd w:id="284"/>
      <w:r/>
      <w:r/>
    </w:p>
    <w:p>
      <w:pPr>
        <w:pStyle w:val="873"/>
        <w:keepLines w:val="0"/>
        <w:keepNext w:val="0"/>
        <w:spacing w:before="0" w:after="0" w:line="360" w:lineRule="auto"/>
        <w:rPr>
          <w:rFonts w:hint="eastAsia" w:ascii="宋体" w:hAnsi="宋体" w:cs="宋体"/>
          <w:color w:val="auto"/>
          <w:sz w:val="21"/>
          <w:szCs w:val="21"/>
          <w:highlight w:val="none"/>
        </w:rPr>
      </w:pPr>
      <w:r/>
      <w:bookmarkStart w:id="285" w:name="_Toc234244203"/>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.2.1 系统与架构设计要求</w:t>
      </w:r>
      <w:bookmarkEnd w:id="285"/>
      <w:r/>
      <w:r/>
    </w:p>
    <w:p>
      <w:pPr>
        <w:numPr>
          <w:ilvl w:val="0"/>
          <w:numId w:val="15"/>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根据芯片规格要求，负责通用模块选型和整体集成设计，包括RISC、总线互连、存储体系、时钟与复位策略、电源域划分等；</w:t>
      </w:r>
      <w:r/>
    </w:p>
    <w:p>
      <w:pPr>
        <w:numPr>
          <w:ilvl w:val="0"/>
          <w:numId w:val="15"/>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PDK检查，检查目标工艺PDK的完整性、功能性检查，包括工艺文件、设计规则、RC模型、物理验证runset等；确保PDK版本是目标工艺的最新版本，所有runset文件齐全；提供PDK完整性检查报告并100%覆盖所有PDK组件；</w:t>
      </w:r>
      <w:r/>
    </w:p>
    <w:p>
      <w:pPr>
        <w:numPr>
          <w:ilvl w:val="0"/>
          <w:numId w:val="15"/>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需求方IP检查，对需求方提供的智能视觉处理子系统（IVPS）和视觉模型推理子系统（VMIS） IP进行数据完整性检查，使之符合芯片规格、目标工艺要求；</w:t>
      </w:r>
      <w:r/>
    </w:p>
    <w:p>
      <w:pPr>
        <w:numPr>
          <w:ilvl w:val="0"/>
          <w:numId w:val="15"/>
        </w:numPr>
        <w:spacing w:line="360" w:lineRule="auto"/>
        <w:rPr>
          <w:rFonts w:hint="eastAsia" w:ascii="宋体" w:hAnsi="宋体" w:cs="宋体"/>
          <w:color w:val="auto"/>
          <w:szCs w:val="21"/>
          <w:highlight w:val="none"/>
        </w:rPr>
      </w:pPr>
      <w:r>
        <w:rPr>
          <w:color w:val="auto"/>
          <w:spacing w:val="7"/>
          <w:sz w:val="20"/>
          <w:szCs w:val="20"/>
          <w:highlight w:val="none"/>
        </w:rPr>
        <w:t xml:space="preserve">▲</w:t>
      </w:r>
      <w:r>
        <w:rPr>
          <w:rFonts w:hint="eastAsia" w:ascii="宋体" w:hAnsi="宋体" w:cs="宋体"/>
          <w:color w:val="auto"/>
          <w:szCs w:val="21"/>
          <w:highlight w:val="none"/>
        </w:rPr>
        <w:t xml:space="preserve">应选取经过目标工艺流片验证的SoC集成设计方案作为本芯片方案设计参考，且参考方案与本方案的项目相似度不小于90%；</w:t>
      </w:r>
      <w:r/>
    </w:p>
    <w:p>
      <w:pPr>
        <w:numPr>
          <w:ilvl w:val="0"/>
          <w:numId w:val="15"/>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合并整体架构、需求方IP，并制定软硬件协同设计方案，最终完成《QJ1H-SoC芯片架构设计方案》。</w:t>
      </w:r>
      <w:r/>
    </w:p>
    <w:p>
      <w:pPr>
        <w:pStyle w:val="873"/>
        <w:keepLines w:val="0"/>
        <w:keepNext w:val="0"/>
        <w:spacing w:before="0" w:after="0" w:line="360" w:lineRule="auto"/>
        <w:rPr>
          <w:rFonts w:hint="eastAsia" w:ascii="宋体" w:hAnsi="宋体" w:cs="宋体"/>
          <w:color w:val="auto"/>
          <w:sz w:val="21"/>
          <w:szCs w:val="21"/>
          <w:highlight w:val="none"/>
        </w:rPr>
      </w:pPr>
      <w:r/>
      <w:bookmarkStart w:id="286" w:name="_Toc234244204"/>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.2.2 前端设计与验证</w:t>
      </w:r>
      <w:bookmarkEnd w:id="286"/>
      <w:r/>
      <w:r/>
    </w:p>
    <w:p>
      <w:pPr>
        <w:pStyle w:val="874"/>
        <w:ind w:left="424"/>
        <w:keepLines w:val="0"/>
        <w:keepNext w:val="0"/>
        <w:rPr>
          <w:rFonts w:hint="eastAsia" w:cs="宋体"/>
          <w:color w:val="auto"/>
          <w:sz w:val="21"/>
          <w:szCs w:val="21"/>
          <w:highlight w:val="none"/>
        </w:rPr>
      </w:pPr>
      <w:r>
        <w:rPr>
          <w:rFonts w:hint="eastAsia" w:cs="宋体"/>
          <w:color w:val="auto"/>
          <w:sz w:val="21"/>
          <w:szCs w:val="21"/>
          <w:highlight w:val="none"/>
        </w:rPr>
        <w:t xml:space="preserve">2.1.2.2.1 前端设计与验证内容</w:t>
      </w:r>
      <w:r/>
    </w:p>
    <w:p>
      <w:pPr>
        <w:numPr>
          <w:ilvl w:val="0"/>
          <w:numId w:val="16"/>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设计环境搭建：建立RTL设计、仿真、综合的统一环境；</w:t>
      </w:r>
      <w:r/>
    </w:p>
    <w:p>
      <w:pPr>
        <w:numPr>
          <w:ilvl w:val="0"/>
          <w:numId w:val="16"/>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CPU子系统开发：RISC处理器集成，含Cache、L2、SIMD/FPU等；</w:t>
      </w:r>
      <w:r/>
    </w:p>
    <w:p>
      <w:pPr>
        <w:numPr>
          <w:ilvl w:val="0"/>
          <w:numId w:val="16"/>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NPU集成：集成不少于0.5TOPS通用算力的NPU，支持640x640图像输入；</w:t>
      </w:r>
      <w:r/>
    </w:p>
    <w:p>
      <w:pPr>
        <w:numPr>
          <w:ilvl w:val="0"/>
          <w:numId w:val="16"/>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其他通用模块集成：完成编解码和2D图形处理的设计和集成；</w:t>
      </w:r>
      <w:r/>
    </w:p>
    <w:p>
      <w:pPr>
        <w:numPr>
          <w:ilvl w:val="0"/>
          <w:numId w:val="16"/>
        </w:numPr>
        <w:spacing w:line="360" w:lineRule="auto"/>
        <w:rPr>
          <w:rFonts w:hint="eastAsia" w:ascii="宋体" w:hAnsi="宋体" w:cs="宋体"/>
          <w:color w:val="auto"/>
          <w:szCs w:val="21"/>
          <w:highlight w:val="none"/>
        </w:rPr>
      </w:pPr>
      <w:r>
        <w:rPr>
          <w:color w:val="auto"/>
          <w:spacing w:val="7"/>
          <w:sz w:val="20"/>
          <w:szCs w:val="20"/>
          <w:highlight w:val="none"/>
        </w:rPr>
        <w:t xml:space="preserve">▲</w:t>
      </w:r>
      <w:r>
        <w:rPr>
          <w:rFonts w:hint="eastAsia" w:ascii="宋体" w:hAnsi="宋体" w:cs="宋体"/>
          <w:color w:val="auto"/>
          <w:szCs w:val="21"/>
          <w:highlight w:val="none"/>
        </w:rPr>
        <w:t xml:space="preserve">视觉模型推理子系统（VMIS）集成：集成需求方提供的视觉模型推理子系统IP 加密RTL，完成接口适配和系统级联调；</w:t>
      </w:r>
      <w:r/>
    </w:p>
    <w:p>
      <w:pPr>
        <w:numPr>
          <w:ilvl w:val="0"/>
          <w:numId w:val="16"/>
        </w:numPr>
        <w:spacing w:line="360" w:lineRule="auto"/>
        <w:rPr>
          <w:rFonts w:hint="eastAsia" w:ascii="宋体" w:hAnsi="宋体" w:cs="宋体"/>
          <w:color w:val="auto"/>
          <w:szCs w:val="21"/>
          <w:highlight w:val="none"/>
        </w:rPr>
      </w:pPr>
      <w:r>
        <w:rPr>
          <w:color w:val="auto"/>
          <w:spacing w:val="7"/>
          <w:sz w:val="20"/>
          <w:szCs w:val="20"/>
          <w:highlight w:val="none"/>
        </w:rPr>
        <w:t xml:space="preserve">▲</w:t>
      </w:r>
      <w:r>
        <w:rPr>
          <w:rFonts w:hint="eastAsia" w:ascii="宋体" w:hAnsi="宋体" w:cs="宋体"/>
          <w:color w:val="auto"/>
          <w:szCs w:val="21"/>
          <w:highlight w:val="none"/>
        </w:rPr>
        <w:t xml:space="preserve">智能视觉处理子系统（IVPS）集成：集成需求方提供的智能视觉处理子系统IP加密RTL，完成与NPU、VMIS、编解码的数据通路设计；</w:t>
      </w:r>
      <w:r/>
    </w:p>
    <w:p>
      <w:pPr>
        <w:numPr>
          <w:ilvl w:val="0"/>
          <w:numId w:val="16"/>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SoC开发集成：完成总线架构、存储控制器、外设接口、安全模块的顶层集成；</w:t>
      </w:r>
      <w:r/>
    </w:p>
    <w:p>
      <w:pPr>
        <w:numPr>
          <w:ilvl w:val="0"/>
          <w:numId w:val="16"/>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功能仿真验证：模块级（UT）、子系统级、系统级功能仿真；</w:t>
      </w:r>
      <w:r/>
    </w:p>
    <w:p>
      <w:pPr>
        <w:numPr>
          <w:ilvl w:val="0"/>
          <w:numId w:val="16"/>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视觉模型推理子系统（VMIS）功能验证：验证视觉模型推理子系统视觉模型算子的计算正确性、数据吞吐率；</w:t>
      </w:r>
      <w:r/>
    </w:p>
    <w:p>
      <w:pPr>
        <w:numPr>
          <w:ilvl w:val="0"/>
          <w:numId w:val="16"/>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智能视觉处理子系统（IVPS）功能验证：验证智能视觉处理子系统数据通路正确性，与存储、NPU、VMIS、编解码的协同工作效率；</w:t>
      </w:r>
      <w:r/>
    </w:p>
    <w:p>
      <w:pPr>
        <w:numPr>
          <w:ilvl w:val="0"/>
          <w:numId w:val="16"/>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FPGA原型验证：在外协方平台进行FPGA原型验证（需求方针对其提供的IP部分可配合参与）。</w:t>
      </w:r>
      <w:r/>
    </w:p>
    <w:p>
      <w:pPr>
        <w:pStyle w:val="874"/>
        <w:ind w:left="424"/>
        <w:keepLines w:val="0"/>
        <w:keepNext w:val="0"/>
        <w:rPr>
          <w:rFonts w:hint="eastAsia" w:cs="宋体"/>
          <w:color w:val="auto"/>
          <w:sz w:val="21"/>
          <w:szCs w:val="21"/>
          <w:highlight w:val="none"/>
        </w:rPr>
      </w:pPr>
      <w:r>
        <w:rPr>
          <w:rFonts w:hint="eastAsia" w:cs="宋体"/>
          <w:color w:val="auto"/>
          <w:sz w:val="21"/>
          <w:szCs w:val="21"/>
          <w:highlight w:val="none"/>
        </w:rPr>
        <w:t xml:space="preserve">2.1.2.2.2 前端设计与验证要求</w:t>
      </w:r>
      <w:r/>
    </w:p>
    <w:p>
      <w:pPr>
        <w:numPr>
          <w:ilvl w:val="0"/>
          <w:numId w:val="17"/>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SoC芯片的前端设计指标需满足QJ1H-SoC芯片规格要求；</w:t>
      </w:r>
      <w:r/>
    </w:p>
    <w:p>
      <w:pPr>
        <w:numPr>
          <w:ilvl w:val="0"/>
          <w:numId w:val="17"/>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模块级验证：每个模块独立完成UT测试；</w:t>
      </w:r>
      <w:r/>
    </w:p>
    <w:p>
      <w:pPr>
        <w:numPr>
          <w:ilvl w:val="0"/>
          <w:numId w:val="17"/>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子系统验证：CPU子系统、NPU、视觉模型推理子系统（VMIS）、智能视觉处理子系统（IVPS）、编解码、存储、外设等分别验证；</w:t>
      </w:r>
      <w:r/>
    </w:p>
    <w:p>
      <w:pPr>
        <w:numPr>
          <w:ilvl w:val="0"/>
          <w:numId w:val="17"/>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系统级验证：完整SoC集成测试，含Boot、操作系统运行、典型应用负载；</w:t>
      </w:r>
      <w:r/>
    </w:p>
    <w:p>
      <w:pPr>
        <w:numPr>
          <w:ilvl w:val="0"/>
          <w:numId w:val="17"/>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视觉模型推理子系统（VMIS）专项测试：验证视觉模型推理子系统视觉模型算子在各种输入条件下的计算正确性、时序性能；</w:t>
      </w:r>
      <w:r/>
    </w:p>
    <w:p>
      <w:pPr>
        <w:numPr>
          <w:ilvl w:val="0"/>
          <w:numId w:val="17"/>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智能视觉处理子系统（IVPS）专项测试：验证ISP处理器和AI-ISP处理器在各种输入条件下的计算正确性、时序性能、与存储/NPU/VMIS/编解码的协同效率；</w:t>
      </w:r>
      <w:r/>
    </w:p>
    <w:p>
      <w:pPr>
        <w:numPr>
          <w:ilvl w:val="0"/>
          <w:numId w:val="17"/>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功能仿真代码覆盖率（Code Coverage）：行覆盖率≥95%，分支覆盖率≥90%，表达式覆盖率≥90%；</w:t>
      </w:r>
      <w:r/>
    </w:p>
    <w:p>
      <w:pPr>
        <w:numPr>
          <w:ilvl w:val="0"/>
          <w:numId w:val="17"/>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功能仿真功能覆盖率（Functional Coverage）：≥95%；</w:t>
      </w:r>
      <w:r/>
    </w:p>
    <w:p>
      <w:pPr>
        <w:numPr>
          <w:ilvl w:val="0"/>
          <w:numId w:val="17"/>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FPGA原型验证：覆盖典型应用场景，软件部分按照“驱动及SDK支持”要求执行。</w:t>
      </w:r>
      <w:r/>
    </w:p>
    <w:p>
      <w:pPr>
        <w:pStyle w:val="872"/>
        <w:keepLines w:val="0"/>
        <w:keepNext w:val="0"/>
        <w:spacing w:before="120" w:after="120" w:line="400" w:lineRule="exact"/>
        <w:rPr>
          <w:rFonts w:hint="eastAsia" w:ascii="宋体" w:hAnsi="宋体" w:cs="宋体"/>
          <w:color w:val="auto"/>
          <w:sz w:val="21"/>
          <w:szCs w:val="21"/>
          <w:highlight w:val="none"/>
        </w:rPr>
      </w:pPr>
      <w:r/>
      <w:bookmarkStart w:id="287" w:name="_Toc234244205"/>
      <w:r>
        <w:rPr>
          <w:rFonts w:hint="eastAsia" w:ascii="宋体" w:hAnsi="宋体" w:cs="宋体"/>
          <w:color w:val="auto"/>
          <w:sz w:val="21"/>
          <w:szCs w:val="21"/>
          <w:highlight w:val="none"/>
        </w:rPr>
        <w:t xml:space="preserve">2.1.3后端物理设计要求</w:t>
      </w:r>
      <w:bookmarkEnd w:id="287"/>
      <w:r/>
      <w:r/>
    </w:p>
    <w:p>
      <w:pPr>
        <w:pStyle w:val="873"/>
        <w:keepLines w:val="0"/>
        <w:keepNext w:val="0"/>
        <w:spacing w:before="0" w:after="0" w:line="360" w:lineRule="auto"/>
        <w:rPr>
          <w:rFonts w:hint="eastAsia" w:ascii="宋体" w:hAnsi="宋体" w:cs="宋体"/>
          <w:color w:val="auto"/>
          <w:sz w:val="21"/>
          <w:szCs w:val="21"/>
          <w:highlight w:val="none"/>
        </w:rPr>
      </w:pPr>
      <w:r/>
      <w:bookmarkStart w:id="288" w:name="_Toc234244206"/>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.3.1 后端物理设计内容</w:t>
      </w:r>
      <w:bookmarkEnd w:id="288"/>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逻辑综合（Logic Synthesis）：在目标工艺和约束条件（时序、面积、功耗）下，将RTL代码转换为由标准单元和IP核构成的门级网表，并进行时序优化；</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形式验证（Formal Verification）：功能等价性检查，通过数学方法严格证明综合后的门级网表与原始RTL代码在逻辑功能上的一致性，确保综合过程没有引入功能性错误；</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DFT设计：在电路中插入可测试性设计逻辑，主要包括扫描链、存储器内建自测试、Test Compression、Boundary Scan等，以便在芯片制造后能进行生产测试和故障诊断；</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布局规划：规划芯片版图的宏观结构，包含摆放I/O单元、硬核（如处理器核、存储器），定义标准单元放置区域，以及规划电源网络等；</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电源网络设计：进行详细的电源地网络布线，并通过电源完整性分析确保芯片内部各处的电压降和电迁移满足可靠性要求；</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时钟树综合：构建并优化时钟分布网络，确保时钟信号到达各个时序元件（寄存器）的延迟偏差最小，满足时序收敛要求；</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布局布线（PnR）：利用EDA工具完成单元布局和信号走线，以完成物理设计和定制版图设计，并进行仿真验证和迭代优化以解决拥塞问题、满足时序和功耗约束； </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时序签核：在寄生参数提取后，对带寄生参数的网表进行全芯片静态时序分析（STA），完成Sign-off级时序收敛验证，确保在所有工作模式（功能、测试）、所有工艺角下都没有时序违例；</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后仿真（Gate-level Simulation）：基于SDF的时序仿真验证；</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物理验证：DRC/LVS/ERC/DFM全项检查；</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ESD/SSO检查：静电放电保护和同时开关噪声分析；</w:t>
      </w:r>
      <w:r/>
    </w:p>
    <w:p>
      <w:pPr>
        <w:numPr>
          <w:ilvl w:val="0"/>
          <w:numId w:val="18"/>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功耗/电源网络分析：IR Drop、EM分析，电源完整性验证；</w:t>
      </w:r>
      <w:r/>
    </w:p>
    <w:p>
      <w:pPr>
        <w:pStyle w:val="873"/>
        <w:keepLines w:val="0"/>
        <w:keepNext w:val="0"/>
        <w:spacing w:before="0" w:after="0" w:line="360" w:lineRule="auto"/>
        <w:rPr>
          <w:rFonts w:hint="eastAsia" w:ascii="宋体" w:hAnsi="宋体" w:cs="宋体"/>
          <w:color w:val="auto"/>
          <w:sz w:val="21"/>
          <w:szCs w:val="21"/>
          <w:highlight w:val="none"/>
        </w:rPr>
      </w:pPr>
      <w:r/>
      <w:bookmarkStart w:id="289" w:name="_Toc234244207"/>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.3.2 后端物理设计要求</w:t>
      </w:r>
      <w:bookmarkEnd w:id="289"/>
      <w:r/>
      <w:r/>
    </w:p>
    <w:p>
      <w:pPr>
        <w:numPr>
          <w:ilvl w:val="0"/>
          <w:numId w:val="19"/>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STA Sign-off：依照SMIC官方Sign-off准则，所有PVT角下满足时序要求；</w:t>
      </w:r>
      <w:r/>
    </w:p>
    <w:p>
      <w:pPr>
        <w:numPr>
          <w:ilvl w:val="0"/>
          <w:numId w:val="19"/>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ATPG测试覆盖率： stuck-at fault覆盖率≥99%，transition fault覆盖率≥85%；</w:t>
      </w:r>
      <w:r/>
    </w:p>
    <w:p>
      <w:pPr>
        <w:numPr>
          <w:ilvl w:val="0"/>
          <w:numId w:val="19"/>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物理验证：零DRC/LVS违例，ERC/DFM违例需经需求方确认方可免除；</w:t>
      </w:r>
      <w:r/>
    </w:p>
    <w:p>
      <w:pPr>
        <w:numPr>
          <w:ilvl w:val="0"/>
          <w:numId w:val="19"/>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功耗分析：完成静态功耗和动态功耗分析，结果满足规格书指标；</w:t>
      </w:r>
      <w:r/>
    </w:p>
    <w:p>
      <w:pPr>
        <w:numPr>
          <w:ilvl w:val="0"/>
          <w:numId w:val="19"/>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封装设计：支持合封LPDDR2 KGD的WBBGA封装，管脚数根据实际需求确定；</w:t>
      </w:r>
      <w:r/>
    </w:p>
    <w:p>
      <w:pPr>
        <w:numPr>
          <w:ilvl w:val="0"/>
          <w:numId w:val="19"/>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后仿真：零时序违例，所有场景功能正确；</w:t>
      </w:r>
      <w:r/>
    </w:p>
    <w:p>
      <w:pPr>
        <w:numPr>
          <w:ilvl w:val="0"/>
          <w:numId w:val="19"/>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DRC验证：全芯片零违例；</w:t>
      </w:r>
      <w:r/>
    </w:p>
    <w:p>
      <w:pPr>
        <w:ind w:left="88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LVS验证：网表与版图一致性通过；</w:t>
      </w:r>
      <w:r/>
    </w:p>
    <w:p>
      <w:pPr>
        <w:ind w:left="88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ERC验证：电气规则零违例；</w:t>
      </w:r>
      <w:r/>
    </w:p>
    <w:p>
      <w:pPr>
        <w:ind w:left="884"/>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DFM验证：可制造性分析通过SMIC标准。</w:t>
      </w:r>
      <w:r/>
    </w:p>
    <w:p>
      <w:pPr>
        <w:pStyle w:val="872"/>
        <w:keepLines w:val="0"/>
        <w:keepNext w:val="0"/>
        <w:spacing w:before="120" w:after="120" w:line="400" w:lineRule="exact"/>
        <w:rPr>
          <w:rFonts w:hint="eastAsia" w:ascii="宋体" w:hAnsi="宋体" w:cs="宋体"/>
          <w:color w:val="auto"/>
          <w:sz w:val="21"/>
          <w:szCs w:val="21"/>
          <w:highlight w:val="none"/>
        </w:rPr>
      </w:pPr>
      <w:r/>
      <w:bookmarkStart w:id="290" w:name="_Toc234244208"/>
      <w:r>
        <w:rPr>
          <w:rFonts w:hint="eastAsia" w:ascii="宋体" w:hAnsi="宋体" w:cs="宋体"/>
          <w:color w:val="auto"/>
          <w:sz w:val="21"/>
          <w:szCs w:val="21"/>
          <w:highlight w:val="none"/>
        </w:rPr>
        <w:t xml:space="preserve">2.1.4流片及封装要求</w:t>
      </w:r>
      <w:bookmarkEnd w:id="290"/>
      <w:r/>
      <w:r/>
    </w:p>
    <w:p>
      <w:pPr>
        <w:pStyle w:val="873"/>
        <w:keepLines w:val="0"/>
        <w:keepNext w:val="0"/>
        <w:spacing w:before="0" w:after="0" w:line="360" w:lineRule="auto"/>
        <w:rPr>
          <w:rFonts w:hint="eastAsia" w:ascii="宋体" w:hAnsi="宋体" w:cs="宋体"/>
          <w:color w:val="auto"/>
          <w:sz w:val="21"/>
          <w:szCs w:val="21"/>
          <w:highlight w:val="none"/>
        </w:rPr>
      </w:pPr>
      <w:r/>
      <w:bookmarkStart w:id="291" w:name="_Toc234244209"/>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.4.1 流片及封装内容</w:t>
      </w:r>
      <w:bookmarkEnd w:id="291"/>
      <w:r/>
      <w:r/>
    </w:p>
    <w:p>
      <w:pPr>
        <w:numPr>
          <w:ilvl w:val="0"/>
          <w:numId w:val="20"/>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提供Full Mask工程批流片的完整服务；</w:t>
      </w:r>
      <w:r/>
    </w:p>
    <w:p>
      <w:pPr>
        <w:numPr>
          <w:ilvl w:val="0"/>
          <w:numId w:val="20"/>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流片数据准备：GDS数据交付、Mask数据生成、Foundry接口对接；</w:t>
      </w:r>
      <w:r/>
    </w:p>
    <w:p>
      <w:pPr>
        <w:numPr>
          <w:ilvl w:val="0"/>
          <w:numId w:val="20"/>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NTO（New Tape-Out）服务：SMIC Foundry工程流片服务，Baseline；</w:t>
      </w:r>
      <w:r/>
    </w:p>
    <w:p>
      <w:pPr>
        <w:numPr>
          <w:ilvl w:val="0"/>
          <w:numId w:val="20"/>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封装设计：封装规格设计、基板版图、绑定设计。</w:t>
      </w:r>
      <w:r/>
    </w:p>
    <w:p>
      <w:pPr>
        <w:numPr>
          <w:ilvl w:val="0"/>
          <w:numId w:val="20"/>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工程批样片加工：Wafer加工、划片；</w:t>
      </w:r>
      <w:r/>
    </w:p>
    <w:p>
      <w:pPr>
        <w:numPr>
          <w:ilvl w:val="0"/>
          <w:numId w:val="20"/>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封装及样板开发：KGD合封、工程板（EVB）开发。</w:t>
      </w:r>
      <w:r/>
    </w:p>
    <w:p>
      <w:pPr>
        <w:pStyle w:val="873"/>
        <w:keepLines w:val="0"/>
        <w:keepNext w:val="0"/>
        <w:spacing w:before="0" w:after="0" w:line="360" w:lineRule="auto"/>
        <w:rPr>
          <w:rFonts w:hint="eastAsia" w:ascii="宋体" w:hAnsi="宋体" w:cs="宋体"/>
          <w:color w:val="auto"/>
          <w:sz w:val="21"/>
          <w:szCs w:val="21"/>
          <w:highlight w:val="none"/>
        </w:rPr>
      </w:pPr>
      <w:r/>
      <w:bookmarkStart w:id="292" w:name="_Toc234244210"/>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.4.2 流片及封装要求</w:t>
      </w:r>
      <w:bookmarkEnd w:id="292"/>
      <w:r/>
      <w:r/>
    </w:p>
    <w:p>
      <w:pPr>
        <w:numPr>
          <w:ilvl w:val="0"/>
          <w:numId w:val="21"/>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流片代工厂资质要求；</w:t>
      </w:r>
      <w:r/>
    </w:p>
    <w:p>
      <w:pPr>
        <w:numPr>
          <w:ilvl w:val="0"/>
          <w:numId w:val="22"/>
        </w:numPr>
        <w:jc w:val="left"/>
        <w:spacing w:line="360" w:lineRule="auto"/>
        <w:shd w:val="clear" w:color="auto" w:fill="ffffff"/>
        <w:widowControl/>
        <w:rPr>
          <w:rFonts w:hint="eastAsia" w:ascii="宋体" w:hAnsi="宋体" w:cs="宋体"/>
          <w:color w:val="auto"/>
          <w:szCs w:val="21"/>
          <w:highlight w:val="none"/>
        </w:rPr>
      </w:pPr>
      <w:r>
        <w:rPr>
          <w:rStyle w:val="920"/>
          <w:rFonts w:hint="eastAsia" w:ascii="宋体" w:hAnsi="宋体" w:cs="宋体"/>
          <w:b w:val="0"/>
          <w:bCs w:val="0"/>
          <w:color w:val="auto"/>
          <w:szCs w:val="21"/>
          <w:highlight w:val="none"/>
          <w:shd w:val="clear" w:color="auto" w:fill="ffffff"/>
        </w:rPr>
        <w:t xml:space="preserve">工艺节点认证</w:t>
      </w:r>
      <w:r>
        <w:rPr>
          <w:rFonts w:hint="eastAsia" w:ascii="宋体" w:hAnsi="宋体" w:cs="宋体"/>
          <w:color w:val="auto"/>
          <w:szCs w:val="21"/>
          <w:highlight w:val="none"/>
          <w:shd w:val="clear" w:color="auto" w:fill="ffffff"/>
        </w:rPr>
        <w:t xml:space="preserve">：代工厂须具备成熟的</w:t>
      </w:r>
      <w:r>
        <w:rPr>
          <w:rStyle w:val="920"/>
          <w:rFonts w:hint="eastAsia" w:ascii="宋体" w:hAnsi="宋体" w:cs="宋体"/>
          <w:b w:val="0"/>
          <w:bCs w:val="0"/>
          <w:color w:val="auto"/>
          <w:szCs w:val="21"/>
          <w:highlight w:val="none"/>
          <w:shd w:val="clear" w:color="auto" w:fill="ffffff"/>
        </w:rPr>
        <w:t xml:space="preserve">40nm低漏电（Low Leakage）工艺平台</w:t>
      </w:r>
      <w:r>
        <w:rPr>
          <w:rFonts w:hint="eastAsia" w:ascii="宋体" w:hAnsi="宋体" w:cs="宋体"/>
          <w:color w:val="auto"/>
          <w:szCs w:val="21"/>
          <w:highlight w:val="none"/>
          <w:shd w:val="clear" w:color="auto" w:fill="ffffff"/>
        </w:rPr>
        <w:t xml:space="preserve">量产能力，工艺PDK版本不低于成熟量产版本（如SMIC 40LL v2.1或同等），并提供完整的Design Rule、SPICE模型、SRAM Compiler及标准单元库（支持HVT/SVT/LVT三种阈值电压选项）</w:t>
      </w:r>
      <w:r/>
    </w:p>
    <w:p>
      <w:pPr>
        <w:numPr>
          <w:ilvl w:val="0"/>
          <w:numId w:val="22"/>
        </w:num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产能保障：代工厂须确保稳定且充足的产能配额，具备每月不少于5,000片的40nm产能支撑能力，以保障产品上市后的批量供货。</w:t>
      </w:r>
      <w:r/>
    </w:p>
    <w:p>
      <w:pPr>
        <w:numPr>
          <w:ilvl w:val="0"/>
          <w:numId w:val="21"/>
        </w:numPr>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封装代工厂资质要求；</w:t>
      </w:r>
      <w:r/>
    </w:p>
    <w:p>
      <w:pPr>
        <w:numPr>
          <w:ilvl w:val="0"/>
          <w:numId w:val="22"/>
        </w:num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WBBGA量产产线认证：代工厂须具备成熟的WBBGA（WLCSP）全自动量产产线，产线通过车规级或工业级认证，且该产线持续量产WBBGA产品不少于3年，具备稳定的工艺窗口（Process Window）控制能力。</w:t>
      </w:r>
      <w:r/>
    </w:p>
    <w:p>
      <w:pPr>
        <w:numPr>
          <w:ilvl w:val="0"/>
          <w:numId w:val="22"/>
        </w:numPr>
        <w:jc w:val="left"/>
        <w:spacing w:line="360" w:lineRule="auto"/>
        <w:shd w:val="clear" w:color="auto" w:fill="ffffff"/>
        <w:widowControl/>
        <w:rPr>
          <w:rFonts w:hint="eastAsia" w:ascii="宋体" w:hAnsi="宋体" w:cs="宋体"/>
          <w:color w:val="auto"/>
          <w:szCs w:val="21"/>
          <w:highlight w:val="none"/>
        </w:rPr>
      </w:pPr>
      <w:r>
        <w:rPr>
          <w:rFonts w:hint="eastAsia" w:ascii="宋体" w:hAnsi="宋体" w:cs="宋体"/>
          <w:color w:val="auto"/>
          <w:szCs w:val="21"/>
          <w:highlight w:val="none"/>
        </w:rPr>
        <w:t xml:space="preserve">封装尺寸覆盖能力：代工厂须具备封装体尺寸5mm×5mm至15mm×15mm的WBBGA加工能力，ball pitch支持 0.4mm和0.5mm 两种规格。</w:t>
      </w:r>
      <w:r/>
    </w:p>
    <w:p>
      <w:pPr>
        <w:pStyle w:val="872"/>
        <w:keepLines w:val="0"/>
        <w:keepNext w:val="0"/>
        <w:spacing w:before="120" w:after="120" w:line="400" w:lineRule="exact"/>
        <w:rPr>
          <w:rFonts w:hint="eastAsia" w:ascii="宋体" w:hAnsi="宋体" w:cs="宋体"/>
          <w:color w:val="auto"/>
          <w:sz w:val="21"/>
          <w:szCs w:val="21"/>
          <w:highlight w:val="none"/>
        </w:rPr>
      </w:pPr>
      <w:r/>
      <w:bookmarkStart w:id="293" w:name="_Toc234244211"/>
      <w:r>
        <w:rPr>
          <w:rFonts w:hint="eastAsia" w:ascii="宋体" w:hAnsi="宋体" w:cs="宋体"/>
          <w:color w:val="auto"/>
          <w:sz w:val="21"/>
          <w:szCs w:val="21"/>
          <w:highlight w:val="none"/>
        </w:rPr>
        <w:t xml:space="preserve">2.1.5回片测试验证要求</w:t>
      </w:r>
      <w:bookmarkEnd w:id="293"/>
      <w:r/>
      <w:r/>
    </w:p>
    <w:p>
      <w:pPr>
        <w:pStyle w:val="873"/>
        <w:keepLines w:val="0"/>
        <w:keepNext w:val="0"/>
        <w:spacing w:before="0" w:after="0" w:line="360" w:lineRule="auto"/>
        <w:rPr>
          <w:rFonts w:hint="eastAsia" w:ascii="宋体" w:hAnsi="宋体" w:cs="宋体"/>
          <w:color w:val="auto"/>
          <w:sz w:val="21"/>
          <w:szCs w:val="21"/>
          <w:highlight w:val="none"/>
        </w:rPr>
      </w:pPr>
      <w:r/>
      <w:bookmarkStart w:id="294" w:name="_Toc234244212"/>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.5.1 驱动及SDK支持</w:t>
      </w:r>
      <w:bookmarkEnd w:id="294"/>
      <w:r/>
      <w:r/>
    </w:p>
    <w:p>
      <w:pPr>
        <w:numPr>
          <w:ilvl w:val="0"/>
          <w:numId w:val="23"/>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Datasheet交付：提供各模块的寄存器描述和编程指南；</w:t>
      </w:r>
      <w:r/>
    </w:p>
    <w:p>
      <w:pPr>
        <w:numPr>
          <w:ilvl w:val="0"/>
          <w:numId w:val="23"/>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参考驱动源码：提供各模块的参考驱动程序源代码；</w:t>
      </w:r>
      <w:r/>
    </w:p>
    <w:p>
      <w:pPr>
        <w:numPr>
          <w:ilvl w:val="0"/>
          <w:numId w:val="23"/>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SDK移植支持：协助需求方完成SDK的移植和适配；</w:t>
      </w:r>
      <w:r/>
    </w:p>
    <w:p>
      <w:pPr>
        <w:numPr>
          <w:ilvl w:val="0"/>
          <w:numId w:val="23"/>
        </w:numPr>
        <w:ind w:left="884" w:hanging="442"/>
        <w:spacing w:line="360" w:lineRule="auto"/>
        <w:rPr>
          <w:rFonts w:hint="eastAsia" w:ascii="宋体" w:hAnsi="宋体" w:cs="宋体"/>
          <w:color w:val="auto"/>
          <w:szCs w:val="21"/>
          <w:highlight w:val="none"/>
        </w:rPr>
      </w:pPr>
      <w:r>
        <w:rPr>
          <w:color w:val="auto"/>
          <w:spacing w:val="7"/>
          <w:sz w:val="20"/>
          <w:szCs w:val="20"/>
          <w:highlight w:val="none"/>
        </w:rPr>
        <w:t xml:space="preserve">▲</w:t>
      </w:r>
      <w:r>
        <w:rPr>
          <w:rFonts w:hint="eastAsia" w:ascii="宋体" w:hAnsi="宋体" w:cs="宋体"/>
          <w:color w:val="auto"/>
          <w:szCs w:val="21"/>
          <w:highlight w:val="none"/>
        </w:rPr>
        <w:t xml:space="preserve">开发板支持：提供4块同类型项目（与QJ1H-SoC规格相似度不小于90%）的开发板及SDK源码供需求方工程师参与项目研发。</w:t>
      </w:r>
      <w:r/>
    </w:p>
    <w:p>
      <w:pPr>
        <w:pStyle w:val="873"/>
        <w:keepLines w:val="0"/>
        <w:keepNext w:val="0"/>
        <w:spacing w:before="0" w:after="0" w:line="360" w:lineRule="auto"/>
        <w:rPr>
          <w:rFonts w:hint="eastAsia" w:ascii="宋体" w:hAnsi="宋体" w:cs="宋体"/>
          <w:color w:val="auto"/>
          <w:sz w:val="21"/>
          <w:szCs w:val="21"/>
          <w:highlight w:val="none"/>
        </w:rPr>
      </w:pPr>
      <w:r/>
      <w:bookmarkStart w:id="295" w:name="_Toc234244213"/>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.5.2 回片Bring UP及验证内容</w:t>
      </w:r>
      <w:bookmarkEnd w:id="295"/>
      <w:r/>
      <w:r/>
    </w:p>
    <w:p>
      <w:pPr>
        <w:numPr>
          <w:ilvl w:val="0"/>
          <w:numId w:val="24"/>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芯片Bring Up：上电初始化、基本功能验证。</w:t>
      </w:r>
      <w:r/>
    </w:p>
    <w:p>
      <w:pPr>
        <w:numPr>
          <w:ilvl w:val="0"/>
          <w:numId w:val="24"/>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工程板（EVB）支持：提供工程板原理图源文件、PCB图源文件、Gerber源文件、BOM源文件、PCB加工及焊接工艺文件、样板。</w:t>
      </w:r>
      <w:r/>
    </w:p>
    <w:p>
      <w:pPr>
        <w:numPr>
          <w:ilvl w:val="0"/>
          <w:numId w:val="24"/>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系统验证：完整系统级功能验证。</w:t>
      </w:r>
      <w:r/>
    </w:p>
    <w:p>
      <w:pPr>
        <w:numPr>
          <w:ilvl w:val="0"/>
          <w:numId w:val="24"/>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芯片验证报告：提交完整的芯片验证报告。</w:t>
      </w:r>
      <w:r/>
    </w:p>
    <w:p>
      <w:pPr>
        <w:pStyle w:val="873"/>
        <w:keepLines w:val="0"/>
        <w:keepNext w:val="0"/>
        <w:spacing w:before="0" w:after="0" w:line="360" w:lineRule="auto"/>
        <w:rPr>
          <w:rFonts w:hint="eastAsia" w:ascii="宋体" w:hAnsi="宋体" w:cs="宋体"/>
          <w:color w:val="auto"/>
          <w:sz w:val="21"/>
          <w:szCs w:val="21"/>
          <w:highlight w:val="none"/>
        </w:rPr>
      </w:pPr>
      <w:r/>
      <w:bookmarkStart w:id="296" w:name="_Toc234244214"/>
      <w:r>
        <w:rPr>
          <w:rFonts w:hint="eastAsia" w:ascii="宋体" w:hAnsi="宋体" w:cs="宋体"/>
          <w:color w:val="auto"/>
          <w:sz w:val="21"/>
          <w:szCs w:val="21"/>
          <w:highlight w:val="none"/>
        </w:rPr>
        <w:t xml:space="preserve">2</w:t>
      </w:r>
      <w:r>
        <w:rPr>
          <w:rFonts w:hint="eastAsia" w:ascii="宋体" w:hAnsi="宋体" w:eastAsia="宋体" w:cs="宋体"/>
          <w:color w:val="auto"/>
          <w:sz w:val="21"/>
          <w:szCs w:val="21"/>
          <w:highlight w:val="none"/>
        </w:rPr>
        <w:t xml:space="preserve">.1</w:t>
      </w:r>
      <w:r>
        <w:rPr>
          <w:rFonts w:hint="eastAsia" w:ascii="宋体" w:hAnsi="宋体" w:cs="宋体"/>
          <w:color w:val="auto"/>
          <w:sz w:val="21"/>
          <w:szCs w:val="21"/>
          <w:highlight w:val="none"/>
        </w:rPr>
        <w:t xml:space="preserve">.5.3 回片测试验证要求</w:t>
      </w:r>
      <w:bookmarkEnd w:id="296"/>
      <w:r/>
      <w:r/>
    </w:p>
    <w:p>
      <w:pPr>
        <w:numPr>
          <w:ilvl w:val="0"/>
          <w:numId w:val="25"/>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上电测试：芯片上电初始化正常，各电源域电压稳定；</w:t>
      </w:r>
      <w:r/>
    </w:p>
    <w:p>
      <w:pPr>
        <w:numPr>
          <w:ilvl w:val="0"/>
          <w:numId w:val="25"/>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功能测试：所有模块功能正常，外设接口通信正常；</w:t>
      </w:r>
      <w:r/>
    </w:p>
    <w:p>
      <w:pPr>
        <w:numPr>
          <w:ilvl w:val="0"/>
          <w:numId w:val="25"/>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性能测试：CPU/Dhrystone、视觉模型推理子系统推理帧率、存储带宽等关键指标达标；</w:t>
      </w:r>
      <w:r/>
    </w:p>
    <w:p>
      <w:pPr>
        <w:numPr>
          <w:ilvl w:val="0"/>
          <w:numId w:val="25"/>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压力与可靠性测试：进行高低温、长时运行、电压拉偏、ESD等测试，评估芯片在极限条件下的鲁棒性；</w:t>
      </w:r>
      <w:r/>
    </w:p>
    <w:p>
      <w:pPr>
        <w:numPr>
          <w:ilvl w:val="0"/>
          <w:numId w:val="25"/>
        </w:numPr>
        <w:ind w:left="884" w:hanging="442"/>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功耗测试：待机/典型/峰值功耗满足规格书指标。</w:t>
      </w:r>
      <w:r/>
    </w:p>
    <w:p>
      <w:pPr>
        <w:pStyle w:val="872"/>
        <w:keepLines w:val="0"/>
        <w:keepNext w:val="0"/>
        <w:spacing w:before="120" w:after="120" w:line="400" w:lineRule="exact"/>
        <w:rPr>
          <w:rFonts w:hint="eastAsia" w:ascii="宋体" w:hAnsi="宋体" w:cs="宋体"/>
          <w:color w:val="auto"/>
          <w:sz w:val="21"/>
          <w:szCs w:val="21"/>
          <w:highlight w:val="none"/>
        </w:rPr>
      </w:pPr>
      <w:r/>
      <w:bookmarkStart w:id="297" w:name="_Toc234244215"/>
      <w:r>
        <w:rPr>
          <w:rFonts w:hint="eastAsia" w:ascii="宋体" w:hAnsi="宋体" w:cs="宋体"/>
          <w:color w:val="auto"/>
          <w:sz w:val="21"/>
          <w:szCs w:val="21"/>
          <w:highlight w:val="none"/>
        </w:rPr>
        <w:t xml:space="preserve">2.1.6 开发环境要求</w:t>
      </w:r>
      <w:bookmarkEnd w:id="297"/>
      <w:r/>
      <w:r/>
    </w:p>
    <w:p>
      <w:pPr>
        <w:pStyle w:val="872"/>
        <w:keepLines w:val="0"/>
        <w:keepNext w:val="0"/>
        <w:spacing w:before="0" w:after="0" w:line="360" w:lineRule="auto"/>
        <w:rPr>
          <w:rFonts w:hint="eastAsia" w:ascii="宋体" w:hAnsi="宋体" w:cs="宋体"/>
          <w:color w:val="auto"/>
          <w:sz w:val="21"/>
          <w:szCs w:val="21"/>
          <w:highlight w:val="none"/>
        </w:rPr>
      </w:pPr>
      <w:r/>
      <w:bookmarkStart w:id="298" w:name="_Toc234244216"/>
      <w:r>
        <w:rPr>
          <w:rFonts w:hint="eastAsia" w:ascii="宋体" w:hAnsi="宋体" w:cs="宋体"/>
          <w:color w:val="auto"/>
          <w:sz w:val="21"/>
          <w:szCs w:val="21"/>
          <w:highlight w:val="none"/>
        </w:rPr>
        <w:t xml:space="preserve">2.1.6.1 硬件环境</w:t>
      </w:r>
      <w:bookmarkEnd w:id="298"/>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EDA服务器：不少于3台高性能服务器，每台配置≥64核CPU、≥512GB内存、≥10TB存储；工作站：提供2台高性能工作站供需求方工程师使用，配置≥32核CPU、≥128GB内存、专业显卡；网络环境：提供VPN账号供需求方远程参与项目，网络带宽≥100Mbps；FPGA原型验证平台：支持完整SoC原型验证的FPGA平台（Xilinx Virtex UltraScale+或同等）。</w:t>
      </w:r>
      <w:r/>
    </w:p>
    <w:p>
      <w:pPr>
        <w:pStyle w:val="872"/>
        <w:keepLines w:val="0"/>
        <w:keepNext w:val="0"/>
        <w:spacing w:before="0" w:after="0" w:line="360" w:lineRule="auto"/>
        <w:rPr>
          <w:rFonts w:hint="eastAsia" w:ascii="宋体" w:hAnsi="宋体" w:cs="宋体"/>
          <w:color w:val="auto"/>
          <w:sz w:val="21"/>
          <w:szCs w:val="21"/>
          <w:highlight w:val="none"/>
        </w:rPr>
      </w:pPr>
      <w:r/>
      <w:bookmarkStart w:id="299" w:name="_Toc234244217"/>
      <w:r>
        <w:rPr>
          <w:rFonts w:hint="eastAsia" w:ascii="宋体" w:hAnsi="宋体" w:cs="宋体"/>
          <w:color w:val="auto"/>
          <w:sz w:val="21"/>
          <w:szCs w:val="21"/>
          <w:highlight w:val="none"/>
        </w:rPr>
        <w:t xml:space="preserve">2.1.6.2 软件环境</w:t>
      </w:r>
      <w:bookmarkEnd w:id="299"/>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外协方提供完善的软件环境，包括前端设计、后端设计、验证、物理验证、DFT等，保证项目的顺利实施。</w:t>
      </w:r>
      <w:bookmarkEnd w:id="265"/>
      <w:r/>
      <w:r/>
    </w:p>
    <w:p>
      <w:pPr>
        <w:spacing w:line="307" w:lineRule="auto"/>
        <w:rPr>
          <w:rFonts w:ascii="Arial"/>
          <w:color w:val="auto"/>
          <w:highlight w:val="none"/>
        </w:rPr>
      </w:pPr>
      <w:r>
        <w:rPr>
          <w:rFonts w:ascii="Arial"/>
          <w:color w:val="auto"/>
          <w:highlight w:val="none"/>
        </w:rPr>
      </w:r>
      <w:r/>
    </w:p>
    <w:p>
      <w:pPr>
        <w:pStyle w:val="891"/>
        <w:ind w:left="12"/>
        <w:spacing w:before="78" w:line="219" w:lineRule="auto"/>
        <w:rPr>
          <w:b/>
          <w:bCs/>
          <w:color w:val="auto"/>
          <w:spacing w:val="-2"/>
          <w:highlight w:val="none"/>
        </w:rPr>
        <w:outlineLvl w:val="1"/>
      </w:pPr>
      <w:r>
        <w:rPr>
          <w:b/>
          <w:bCs/>
          <w:color w:val="auto"/>
          <w:spacing w:val="-2"/>
          <w:highlight w:val="none"/>
        </w:rPr>
        <w:t xml:space="preserve">2.2 采购标的的其他技术、服务等要求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（一） 投标人责任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（1）整个项目的组织和管理。</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（2）提供“交付内容 ”中的交付件。</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（3）基于人员资源的情况和需求变化的流程，提供额外的设计服务将需要合作双方的书面同意。</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（4）本项目中声明的其他职责。</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（二）采购人责任</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（1）在指定的时间内提供数据。</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（2）除非特殊情况外,  采购人应在投标人提出变动需求、问题报告后的两个工作日内及时做出对投标人要求的相关决定。</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（三）投标人要求</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（1）投标人设计团队主要成员应具有丰富的研发经验。</w:t>
      </w:r>
      <w:r/>
    </w:p>
    <w:p>
      <w:pPr>
        <w:ind w:firstLine="420"/>
        <w:spacing w:line="360" w:lineRule="auto"/>
        <w:rPr>
          <w:color w:val="auto"/>
          <w:highlight w:val="none"/>
        </w:rPr>
      </w:pPr>
      <w:r>
        <w:rPr>
          <w:rFonts w:hint="eastAsia" w:ascii="宋体" w:hAnsi="宋体" w:cs="宋体"/>
          <w:color w:val="auto"/>
          <w:szCs w:val="21"/>
          <w:highlight w:val="none"/>
        </w:rPr>
        <w:t xml:space="preserve">（2）★案例宣传，</w:t>
      </w:r>
      <w:r>
        <w:rPr>
          <w:color w:val="auto"/>
          <w:spacing w:val="-1"/>
          <w:highlight w:val="none"/>
        </w:rPr>
        <w:t xml:space="preserve">未经采购人许可与授权，投标人不得将本项目公开以及应用于</w:t>
      </w:r>
      <w:r>
        <w:rPr>
          <w:color w:val="auto"/>
          <w:spacing w:val="-2"/>
          <w:highlight w:val="none"/>
        </w:rPr>
        <w:t xml:space="preserve">投标人的宣传。</w:t>
      </w:r>
      <w:r/>
    </w:p>
    <w:p>
      <w:pPr>
        <w:spacing w:line="272" w:lineRule="auto"/>
        <w:rPr>
          <w:rFonts w:ascii="Arial"/>
          <w:color w:val="auto"/>
          <w:highlight w:val="none"/>
        </w:rPr>
      </w:pPr>
      <w:r>
        <w:rPr>
          <w:rFonts w:ascii="Arial"/>
          <w:color w:val="auto"/>
          <w:highlight w:val="none"/>
        </w:rPr>
      </w:r>
      <w:r/>
    </w:p>
    <w:p>
      <w:pPr>
        <w:pStyle w:val="891"/>
        <w:ind w:left="12"/>
        <w:spacing w:before="78" w:line="219" w:lineRule="auto"/>
        <w:rPr>
          <w:b/>
          <w:bCs/>
          <w:color w:val="auto"/>
          <w:spacing w:val="-2"/>
          <w:highlight w:val="none"/>
        </w:rPr>
        <w:outlineLvl w:val="1"/>
      </w:pPr>
      <w:r>
        <w:rPr>
          <w:b/>
          <w:bCs/>
          <w:color w:val="auto"/>
          <w:spacing w:val="-2"/>
          <w:highlight w:val="none"/>
        </w:rPr>
        <w:t xml:space="preserve">2.3需由供应商提供设计方案、解决方案或者组织方案</w:t>
      </w:r>
      <w:r/>
    </w:p>
    <w:p>
      <w:pPr>
        <w:spacing w:line="307" w:lineRule="auto"/>
        <w:rPr>
          <w:rFonts w:ascii="Arial"/>
          <w:color w:val="auto"/>
          <w:highlight w:val="none"/>
        </w:rPr>
      </w:pPr>
      <w:r>
        <w:rPr>
          <w:rFonts w:ascii="Arial"/>
          <w:color w:val="auto"/>
          <w:highlight w:val="none"/>
        </w:rPr>
      </w:r>
      <w:r/>
    </w:p>
    <w:p>
      <w:pPr>
        <w:pStyle w:val="891"/>
        <w:ind w:left="12"/>
        <w:spacing w:before="79" w:line="220" w:lineRule="auto"/>
        <w:rPr>
          <w:color w:val="auto"/>
          <w:highlight w:val="none"/>
        </w:rPr>
        <w:outlineLvl w:val="2"/>
      </w:pPr>
      <w:r>
        <w:rPr>
          <w:b/>
          <w:bCs/>
          <w:color w:val="auto"/>
          <w:spacing w:val="-3"/>
          <w:highlight w:val="none"/>
        </w:rPr>
        <w:t xml:space="preserve">2.3.1项目实施方案</w:t>
      </w:r>
      <w:r/>
    </w:p>
    <w:p>
      <w:pPr>
        <w:pStyle w:val="891"/>
        <w:ind w:left="55" w:firstLine="438"/>
        <w:spacing w:before="146" w:line="360" w:lineRule="auto"/>
        <w:rPr>
          <w:color w:val="auto"/>
          <w:highlight w:val="none"/>
        </w:rPr>
      </w:pPr>
      <w:r>
        <w:rPr>
          <w:color w:val="auto"/>
          <w:spacing w:val="-2"/>
          <w:highlight w:val="none"/>
        </w:rPr>
        <w:t xml:space="preserve">功能、应用场景、目标：投标人应针对本项目实际情况结合过往经验分析并指出项目实施过程中潜在的困难点、风险点，并能够给出妥善的实施方案。</w:t>
      </w:r>
      <w:r/>
    </w:p>
    <w:p>
      <w:pPr>
        <w:spacing w:line="277" w:lineRule="auto"/>
        <w:rPr>
          <w:rFonts w:ascii="Arial"/>
          <w:color w:val="auto"/>
          <w:highlight w:val="none"/>
        </w:rPr>
      </w:pPr>
      <w:r>
        <w:rPr>
          <w:rFonts w:ascii="Arial"/>
          <w:color w:val="auto"/>
          <w:highlight w:val="none"/>
        </w:rPr>
      </w:r>
      <w:r/>
    </w:p>
    <w:p>
      <w:pPr>
        <w:pStyle w:val="891"/>
        <w:ind w:left="12"/>
        <w:spacing w:before="79" w:line="219" w:lineRule="auto"/>
        <w:rPr>
          <w:color w:val="auto"/>
          <w:highlight w:val="none"/>
        </w:rPr>
        <w:outlineLvl w:val="2"/>
      </w:pPr>
      <w:r>
        <w:rPr>
          <w:b/>
          <w:bCs/>
          <w:color w:val="auto"/>
          <w:spacing w:val="-3"/>
          <w:highlight w:val="none"/>
        </w:rPr>
        <w:t xml:space="preserve">2.3.2售后服务方案</w:t>
      </w:r>
      <w:r/>
    </w:p>
    <w:p>
      <w:pPr>
        <w:pStyle w:val="891"/>
        <w:ind w:left="55" w:firstLine="438"/>
        <w:spacing w:before="146" w:line="360" w:lineRule="auto"/>
        <w:rPr>
          <w:color w:val="auto"/>
          <w:spacing w:val="-2"/>
          <w:highlight w:val="none"/>
        </w:rPr>
      </w:pPr>
      <w:r>
        <w:rPr>
          <w:color w:val="auto"/>
          <w:spacing w:val="-2"/>
          <w:highlight w:val="none"/>
        </w:rPr>
        <w:t xml:space="preserve">功能、应用场景、目标：投标人制定合理完善的售后服务解决方案，按照国家有关要求及本项目实际情况，最大限度的保证本项目所购设备质保期内外均可以连续、稳定运行。</w:t>
      </w:r>
      <w:r/>
    </w:p>
    <w:p>
      <w:pPr>
        <w:spacing w:line="219" w:lineRule="auto"/>
        <w:rPr>
          <w:color w:val="auto"/>
          <w:highlight w:val="none"/>
        </w:rPr>
      </w:pPr>
      <w:r>
        <w:rPr>
          <w:color w:val="auto"/>
          <w:highlight w:val="none"/>
        </w:rPr>
      </w:r>
      <w:r/>
    </w:p>
    <w:p>
      <w:pPr>
        <w:pStyle w:val="891"/>
        <w:ind w:left="12"/>
        <w:spacing w:before="78" w:line="220" w:lineRule="auto"/>
        <w:rPr>
          <w:color w:val="auto"/>
          <w:highlight w:val="none"/>
        </w:rPr>
        <w:outlineLvl w:val="2"/>
      </w:pPr>
      <w:r>
        <w:rPr>
          <w:b/>
          <w:bCs/>
          <w:color w:val="auto"/>
          <w:spacing w:val="-4"/>
          <w:highlight w:val="none"/>
        </w:rPr>
        <w:t xml:space="preserve">2.3.3定制方案</w:t>
      </w:r>
      <w:r/>
    </w:p>
    <w:p>
      <w:pPr>
        <w:pStyle w:val="891"/>
        <w:ind w:left="14" w:firstLine="479"/>
        <w:spacing w:before="146" w:line="360" w:lineRule="auto"/>
        <w:rPr>
          <w:color w:val="auto"/>
          <w:highlight w:val="none"/>
        </w:rPr>
      </w:pPr>
      <w:r>
        <w:rPr>
          <w:color w:val="auto"/>
          <w:spacing w:val="-2"/>
          <w:highlight w:val="none"/>
        </w:rPr>
        <w:t xml:space="preserve">功能、应用场景、目标：投标人应为本项目提供定制设计方案，包括但不限于基于</w:t>
      </w:r>
      <w:r>
        <w:rPr>
          <w:color w:val="auto"/>
          <w:spacing w:val="-1"/>
          <w:highlight w:val="none"/>
        </w:rPr>
        <w:t xml:space="preserve">安全核心集成</w:t>
      </w:r>
      <w:r>
        <w:rPr>
          <w:color w:val="auto"/>
          <w:spacing w:val="-38"/>
          <w:highlight w:val="none"/>
        </w:rPr>
        <w:t xml:space="preserve"> </w:t>
      </w:r>
      <w:r>
        <w:rPr>
          <w:color w:val="auto"/>
          <w:spacing w:val="-1"/>
          <w:highlight w:val="none"/>
        </w:rPr>
        <w:t xml:space="preserve">IP、安全核心的后端设计及流片、安全核心封装</w:t>
      </w:r>
      <w:r>
        <w:rPr>
          <w:color w:val="auto"/>
          <w:spacing w:val="-2"/>
          <w:highlight w:val="none"/>
        </w:rPr>
        <w:t xml:space="preserve">测试方案。</w:t>
      </w:r>
      <w:r/>
    </w:p>
    <w:p>
      <w:pPr>
        <w:spacing w:line="277" w:lineRule="auto"/>
        <w:rPr>
          <w:rFonts w:ascii="Arial"/>
          <w:color w:val="auto"/>
          <w:highlight w:val="none"/>
        </w:rPr>
      </w:pPr>
      <w:r>
        <w:rPr>
          <w:rFonts w:ascii="Arial"/>
          <w:color w:val="auto"/>
          <w:highlight w:val="none"/>
        </w:rPr>
      </w:r>
      <w:r/>
    </w:p>
    <w:p>
      <w:pPr>
        <w:pStyle w:val="891"/>
        <w:ind w:left="132"/>
        <w:spacing w:before="78" w:line="219" w:lineRule="auto"/>
        <w:rPr>
          <w:b/>
          <w:bCs/>
          <w:color w:val="auto"/>
          <w:spacing w:val="-3"/>
          <w:highlight w:val="none"/>
        </w:rPr>
        <w:outlineLvl w:val="1"/>
      </w:pPr>
      <w:r>
        <w:rPr>
          <w:b/>
          <w:bCs/>
          <w:color w:val="auto"/>
          <w:spacing w:val="-3"/>
          <w:highlight w:val="none"/>
        </w:rPr>
        <w:t xml:space="preserve">3. 履约验收方案</w:t>
      </w:r>
      <w:r/>
    </w:p>
    <w:p>
      <w:pPr>
        <w:pStyle w:val="871"/>
        <w:ind w:firstLine="414"/>
        <w:keepLines w:val="0"/>
        <w:keepNext w:val="0"/>
        <w:spacing w:before="120" w:after="120" w:line="400" w:lineRule="exact"/>
        <w:rPr>
          <w:rFonts w:ascii="Times New Roman" w:hAnsi="Times New Roman"/>
          <w:color w:val="auto"/>
          <w:szCs w:val="30"/>
          <w:highlight w:val="none"/>
        </w:rPr>
      </w:pPr>
      <w:r/>
      <w:bookmarkStart w:id="300" w:name="_Toc234244219"/>
      <w:r/>
      <w:bookmarkStart w:id="301" w:name="_Toc197717646"/>
      <w:r>
        <w:rPr>
          <w:rFonts w:hint="eastAsia" w:ascii="Times New Roman" w:hAnsi="Times New Roman" w:eastAsia="宋体"/>
          <w:color w:val="auto"/>
          <w:spacing w:val="-2"/>
          <w:sz w:val="21"/>
          <w:szCs w:val="24"/>
          <w:highlight w:val="none"/>
        </w:rPr>
        <w:t xml:space="preserve">3.1计划进度要求</w:t>
      </w:r>
      <w:bookmarkEnd w:id="300"/>
      <w:r/>
      <w:bookmarkEnd w:id="301"/>
      <w:r/>
      <w:r/>
    </w:p>
    <w:p>
      <w:pPr>
        <w:pStyle w:val="873"/>
        <w:keepLines w:val="0"/>
        <w:keepNext w:val="0"/>
        <w:rPr>
          <w:rFonts w:ascii="Times New Roman" w:hAnsi="Times New Roman" w:eastAsia="宋体" w:cs="Times New Roman"/>
          <w:color w:val="auto"/>
          <w:spacing w:val="-4"/>
          <w:sz w:val="21"/>
          <w:szCs w:val="24"/>
          <w:highlight w:val="none"/>
        </w:rPr>
      </w:pPr>
      <w:r>
        <w:rPr>
          <w:rFonts w:hint="eastAsia" w:ascii="Times New Roman" w:hAnsi="Times New Roman" w:eastAsia="宋体" w:cs="Times New Roman"/>
          <w:color w:val="auto"/>
          <w:spacing w:val="-4"/>
          <w:sz w:val="21"/>
          <w:szCs w:val="24"/>
          <w:highlight w:val="none"/>
        </w:rPr>
        <w:t xml:space="preserve">3.1.1供应商在项目中标后的7个工作日内，必须组织专业人员前往项目现场开展全面需求对接工作。</w:t>
      </w:r>
      <w:r/>
    </w:p>
    <w:p>
      <w:pPr>
        <w:pStyle w:val="873"/>
        <w:keepLines w:val="0"/>
        <w:keepNext w:val="0"/>
        <w:rPr>
          <w:rFonts w:ascii="Times New Roman" w:hAnsi="Times New Roman" w:eastAsia="宋体" w:cs="Times New Roman"/>
          <w:color w:val="auto"/>
          <w:spacing w:val="-4"/>
          <w:sz w:val="21"/>
          <w:szCs w:val="24"/>
          <w:highlight w:val="none"/>
        </w:rPr>
      </w:pPr>
      <w:r>
        <w:rPr>
          <w:rFonts w:hint="eastAsia" w:ascii="Times New Roman" w:hAnsi="Times New Roman" w:eastAsia="宋体" w:cs="Times New Roman"/>
          <w:color w:val="auto"/>
          <w:spacing w:val="-4"/>
          <w:sz w:val="21"/>
          <w:szCs w:val="24"/>
          <w:highlight w:val="none"/>
        </w:rPr>
        <w:t xml:space="preserve">3.1.2供应商在项目中标后的7个工作日内，需向需求方提供详细的项目方案及实施计划，包括但不限于规格设计、架构设计以及进度计划。且进度计划需满足如下要求：</w:t>
      </w:r>
      <w:r/>
    </w:p>
    <w:tbl>
      <w:tblPr>
        <w:tblStyle w:val="880"/>
        <w:tblW w:w="5088" w:type="pct"/>
        <w:tblInd w:w="-7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32"/>
        <w:gridCol w:w="2297"/>
        <w:gridCol w:w="3698"/>
      </w:tblGrid>
      <w:tr>
        <w:trPr/>
        <w:tc>
          <w:tcPr>
            <w:tcW w:w="1673" w:type="dxa"/>
            <w:textDirection w:val="lrTb"/>
            <w:noWrap w:val="false"/>
          </w:tcPr>
          <w:p>
            <w:pPr>
              <w:jc w:val="center"/>
              <w:spacing w:before="60" w:after="60"/>
              <w:rPr>
                <w:color w:val="auto"/>
                <w:highlight w:val="none"/>
              </w:rPr>
            </w:pPr>
            <w:r>
              <w:rPr>
                <w:rFonts w:cs="Calibri"/>
                <w:b/>
                <w:color w:val="auto"/>
                <w:sz w:val="20"/>
                <w:szCs w:val="22"/>
                <w:highlight w:val="none"/>
              </w:rPr>
              <w:t xml:space="preserve">阶段编号</w:t>
            </w:r>
            <w:r/>
          </w:p>
        </w:tc>
        <w:tc>
          <w:tcPr>
            <w:tcW w:w="2134" w:type="dxa"/>
            <w:textDirection w:val="lrTb"/>
            <w:noWrap w:val="false"/>
          </w:tcPr>
          <w:p>
            <w:pPr>
              <w:jc w:val="center"/>
              <w:spacing w:before="60" w:after="60"/>
              <w:rPr>
                <w:color w:val="auto"/>
                <w:highlight w:val="none"/>
              </w:rPr>
            </w:pPr>
            <w:r>
              <w:rPr>
                <w:rFonts w:cs="Calibri"/>
                <w:b/>
                <w:color w:val="auto"/>
                <w:sz w:val="20"/>
                <w:szCs w:val="22"/>
                <w:highlight w:val="none"/>
              </w:rPr>
              <w:t xml:space="preserve">阶段名称</w:t>
            </w:r>
            <w:r/>
          </w:p>
        </w:tc>
        <w:tc>
          <w:tcPr>
            <w:tcW w:w="2299" w:type="dxa"/>
            <w:textDirection w:val="lrTb"/>
            <w:noWrap w:val="false"/>
          </w:tcPr>
          <w:p>
            <w:pPr>
              <w:jc w:val="center"/>
              <w:spacing w:before="60" w:after="60"/>
              <w:rPr>
                <w:color w:val="auto"/>
                <w:highlight w:val="none"/>
              </w:rPr>
            </w:pPr>
            <w:r>
              <w:rPr>
                <w:rFonts w:cs="Calibri"/>
                <w:b/>
                <w:color w:val="auto"/>
                <w:sz w:val="20"/>
                <w:szCs w:val="22"/>
                <w:highlight w:val="none"/>
              </w:rPr>
              <w:t xml:space="preserve">周期</w:t>
            </w:r>
            <w:r/>
          </w:p>
        </w:tc>
        <w:tc>
          <w:tcPr>
            <w:tcW w:w="3703" w:type="dxa"/>
            <w:textDirection w:val="lrTb"/>
            <w:noWrap w:val="false"/>
          </w:tcPr>
          <w:p>
            <w:pPr>
              <w:jc w:val="center"/>
              <w:spacing w:before="60" w:after="60"/>
              <w:rPr>
                <w:color w:val="auto"/>
                <w:highlight w:val="none"/>
              </w:rPr>
            </w:pPr>
            <w:r>
              <w:rPr>
                <w:rFonts w:cs="Calibri"/>
                <w:b/>
                <w:color w:val="auto"/>
                <w:sz w:val="20"/>
                <w:szCs w:val="22"/>
                <w:highlight w:val="none"/>
              </w:rPr>
              <w:t xml:space="preserve">关键里程碑</w:t>
            </w:r>
            <w:r/>
          </w:p>
        </w:tc>
      </w:tr>
      <w:tr>
        <w:trPr/>
        <w:tc>
          <w:tcPr>
            <w:tcW w:w="1673" w:type="dxa"/>
            <w:textDirection w:val="lrTb"/>
            <w:noWrap w:val="false"/>
          </w:tcPr>
          <w:p>
            <w:pPr>
              <w:jc w:val="center"/>
              <w:spacing w:before="40" w:after="40"/>
              <w:rPr>
                <w:color w:val="auto"/>
                <w:highlight w:val="none"/>
              </w:rPr>
            </w:pPr>
            <w:r>
              <w:rPr>
                <w:rFonts w:cs="Calibri"/>
                <w:color w:val="auto"/>
                <w:sz w:val="20"/>
                <w:szCs w:val="22"/>
                <w:highlight w:val="none"/>
              </w:rPr>
              <w:t xml:space="preserve">T0</w:t>
            </w:r>
            <w:r/>
          </w:p>
        </w:tc>
        <w:tc>
          <w:tcPr>
            <w:tcW w:w="2134" w:type="dxa"/>
            <w:textDirection w:val="lrTb"/>
            <w:noWrap w:val="false"/>
          </w:tcPr>
          <w:p>
            <w:pPr>
              <w:jc w:val="center"/>
              <w:spacing w:before="40" w:after="40"/>
              <w:rPr>
                <w:color w:val="auto"/>
                <w:highlight w:val="none"/>
              </w:rPr>
            </w:pPr>
            <w:r>
              <w:rPr>
                <w:rFonts w:cs="Calibri"/>
                <w:color w:val="auto"/>
                <w:sz w:val="20"/>
                <w:szCs w:val="22"/>
                <w:highlight w:val="none"/>
              </w:rPr>
              <w:t xml:space="preserve">数据准备</w:t>
            </w:r>
            <w:r/>
          </w:p>
        </w:tc>
        <w:tc>
          <w:tcPr>
            <w:tcW w:w="2299" w:type="dxa"/>
            <w:textDirection w:val="lrTb"/>
            <w:noWrap w:val="false"/>
          </w:tcPr>
          <w:p>
            <w:pPr>
              <w:jc w:val="center"/>
              <w:spacing w:before="40" w:after="40"/>
              <w:rPr>
                <w:color w:val="auto"/>
                <w:highlight w:val="none"/>
              </w:rPr>
            </w:pPr>
            <w:r>
              <w:rPr>
                <w:rFonts w:cs="Calibri"/>
                <w:color w:val="auto"/>
                <w:sz w:val="20"/>
                <w:szCs w:val="22"/>
                <w:highlight w:val="none"/>
              </w:rPr>
              <w:t xml:space="preserve">2周</w:t>
            </w:r>
            <w:r/>
          </w:p>
        </w:tc>
        <w:tc>
          <w:tcPr>
            <w:tcW w:w="3703" w:type="dxa"/>
            <w:textDirection w:val="lrTb"/>
            <w:noWrap w:val="false"/>
          </w:tcPr>
          <w:p>
            <w:pPr>
              <w:jc w:val="center"/>
              <w:spacing w:before="40" w:after="40"/>
              <w:rPr>
                <w:color w:val="auto"/>
                <w:highlight w:val="none"/>
              </w:rPr>
            </w:pPr>
            <w:r>
              <w:rPr>
                <w:rFonts w:cs="Calibri"/>
                <w:color w:val="auto"/>
                <w:sz w:val="20"/>
                <w:szCs w:val="22"/>
                <w:highlight w:val="none"/>
              </w:rPr>
              <w:t xml:space="preserve">PDK</w:t>
            </w:r>
            <w:r>
              <w:rPr>
                <w:rFonts w:hint="eastAsia" w:cs="Calibri"/>
                <w:color w:val="auto"/>
                <w:sz w:val="20"/>
                <w:szCs w:val="22"/>
                <w:highlight w:val="none"/>
              </w:rPr>
              <w:t xml:space="preserve">等</w:t>
            </w:r>
            <w:r>
              <w:rPr>
                <w:rFonts w:cs="Calibri"/>
                <w:color w:val="auto"/>
                <w:sz w:val="20"/>
                <w:szCs w:val="22"/>
                <w:highlight w:val="none"/>
              </w:rPr>
              <w:t xml:space="preserve">数据检查报告完成</w:t>
            </w:r>
            <w:r/>
          </w:p>
        </w:tc>
      </w:tr>
      <w:tr>
        <w:trPr/>
        <w:tc>
          <w:tcPr>
            <w:tcW w:w="1673" w:type="dxa"/>
            <w:textDirection w:val="lrTb"/>
            <w:noWrap w:val="false"/>
          </w:tcPr>
          <w:p>
            <w:pPr>
              <w:jc w:val="center"/>
              <w:spacing w:before="40" w:after="40"/>
              <w:rPr>
                <w:color w:val="auto"/>
                <w:highlight w:val="none"/>
              </w:rPr>
            </w:pPr>
            <w:r>
              <w:rPr>
                <w:rFonts w:cs="Calibri"/>
                <w:color w:val="auto"/>
                <w:sz w:val="20"/>
                <w:szCs w:val="22"/>
                <w:highlight w:val="none"/>
              </w:rPr>
              <w:t xml:space="preserve">T1</w:t>
            </w:r>
            <w:r/>
          </w:p>
        </w:tc>
        <w:tc>
          <w:tcPr>
            <w:tcW w:w="2134" w:type="dxa"/>
            <w:textDirection w:val="lrTb"/>
            <w:noWrap w:val="false"/>
          </w:tcPr>
          <w:p>
            <w:pPr>
              <w:jc w:val="center"/>
              <w:spacing w:before="40" w:after="40"/>
              <w:rPr>
                <w:color w:val="auto"/>
                <w:highlight w:val="none"/>
              </w:rPr>
            </w:pPr>
            <w:r>
              <w:rPr>
                <w:rFonts w:cs="Calibri"/>
                <w:color w:val="auto"/>
                <w:sz w:val="20"/>
                <w:szCs w:val="22"/>
                <w:highlight w:val="none"/>
              </w:rPr>
              <w:t xml:space="preserve">SoC设计</w:t>
            </w:r>
            <w:r/>
          </w:p>
        </w:tc>
        <w:tc>
          <w:tcPr>
            <w:tcW w:w="2299" w:type="dxa"/>
            <w:textDirection w:val="lrTb"/>
            <w:noWrap w:val="false"/>
          </w:tcPr>
          <w:p>
            <w:pPr>
              <w:jc w:val="center"/>
              <w:spacing w:before="40" w:after="40"/>
              <w:rPr>
                <w:color w:val="auto"/>
                <w:highlight w:val="none"/>
              </w:rPr>
            </w:pPr>
            <w:r>
              <w:rPr>
                <w:rFonts w:cs="Calibri"/>
                <w:color w:val="auto"/>
                <w:sz w:val="20"/>
                <w:szCs w:val="22"/>
                <w:highlight w:val="none"/>
              </w:rPr>
              <w:t xml:space="preserve">7周</w:t>
            </w:r>
            <w:r/>
          </w:p>
        </w:tc>
        <w:tc>
          <w:tcPr>
            <w:tcW w:w="3703" w:type="dxa"/>
            <w:textDirection w:val="lrTb"/>
            <w:noWrap w:val="false"/>
          </w:tcPr>
          <w:p>
            <w:pPr>
              <w:jc w:val="center"/>
              <w:spacing w:before="40" w:after="40"/>
              <w:rPr>
                <w:color w:val="auto"/>
                <w:highlight w:val="none"/>
              </w:rPr>
            </w:pPr>
            <w:r>
              <w:rPr>
                <w:rFonts w:cs="Calibri"/>
                <w:color w:val="auto"/>
                <w:sz w:val="20"/>
                <w:szCs w:val="22"/>
                <w:highlight w:val="none"/>
              </w:rPr>
              <w:t xml:space="preserve">规格书/设计方案评审通过</w:t>
            </w:r>
            <w:r/>
          </w:p>
        </w:tc>
      </w:tr>
      <w:tr>
        <w:trPr/>
        <w:tc>
          <w:tcPr>
            <w:tcW w:w="1673" w:type="dxa"/>
            <w:textDirection w:val="lrTb"/>
            <w:noWrap w:val="false"/>
          </w:tcPr>
          <w:p>
            <w:pPr>
              <w:jc w:val="center"/>
              <w:spacing w:before="40" w:after="40"/>
              <w:rPr>
                <w:color w:val="auto"/>
                <w:highlight w:val="none"/>
              </w:rPr>
            </w:pPr>
            <w:r>
              <w:rPr>
                <w:rFonts w:cs="Calibri"/>
                <w:color w:val="auto"/>
                <w:sz w:val="20"/>
                <w:szCs w:val="22"/>
                <w:highlight w:val="none"/>
              </w:rPr>
              <w:t xml:space="preserve">T2</w:t>
            </w:r>
            <w:r/>
          </w:p>
        </w:tc>
        <w:tc>
          <w:tcPr>
            <w:tcW w:w="2134" w:type="dxa"/>
            <w:textDirection w:val="lrTb"/>
            <w:noWrap w:val="false"/>
          </w:tcPr>
          <w:p>
            <w:pPr>
              <w:jc w:val="center"/>
              <w:spacing w:before="40" w:after="40"/>
              <w:rPr>
                <w:color w:val="auto"/>
                <w:highlight w:val="none"/>
              </w:rPr>
            </w:pPr>
            <w:r>
              <w:rPr>
                <w:rFonts w:cs="Calibri"/>
                <w:color w:val="auto"/>
                <w:sz w:val="20"/>
                <w:szCs w:val="22"/>
                <w:highlight w:val="none"/>
              </w:rPr>
              <w:t xml:space="preserve">SoC验证</w:t>
            </w:r>
            <w:r/>
          </w:p>
        </w:tc>
        <w:tc>
          <w:tcPr>
            <w:tcW w:w="2299" w:type="dxa"/>
            <w:textDirection w:val="lrTb"/>
            <w:noWrap w:val="false"/>
          </w:tcPr>
          <w:p>
            <w:pPr>
              <w:jc w:val="center"/>
              <w:spacing w:before="40" w:after="40"/>
              <w:rPr>
                <w:color w:val="auto"/>
                <w:highlight w:val="none"/>
              </w:rPr>
            </w:pPr>
            <w:r>
              <w:rPr>
                <w:rFonts w:cs="Calibri"/>
                <w:color w:val="auto"/>
                <w:sz w:val="20"/>
                <w:szCs w:val="22"/>
                <w:highlight w:val="none"/>
              </w:rPr>
              <w:t xml:space="preserve">17周</w:t>
            </w:r>
            <w:r/>
          </w:p>
        </w:tc>
        <w:tc>
          <w:tcPr>
            <w:tcW w:w="3703" w:type="dxa"/>
            <w:textDirection w:val="lrTb"/>
            <w:noWrap w:val="false"/>
          </w:tcPr>
          <w:p>
            <w:pPr>
              <w:jc w:val="center"/>
              <w:spacing w:before="40" w:after="40"/>
              <w:rPr>
                <w:color w:val="auto"/>
                <w:highlight w:val="none"/>
              </w:rPr>
            </w:pPr>
            <w:r>
              <w:rPr>
                <w:rFonts w:cs="Calibri"/>
                <w:color w:val="auto"/>
                <w:sz w:val="20"/>
                <w:szCs w:val="22"/>
                <w:highlight w:val="none"/>
              </w:rPr>
              <w:t xml:space="preserve">功能验证报告通过</w:t>
            </w:r>
            <w:r/>
          </w:p>
        </w:tc>
      </w:tr>
      <w:tr>
        <w:trPr/>
        <w:tc>
          <w:tcPr>
            <w:tcW w:w="1673" w:type="dxa"/>
            <w:textDirection w:val="lrTb"/>
            <w:noWrap w:val="false"/>
          </w:tcPr>
          <w:p>
            <w:pPr>
              <w:jc w:val="center"/>
              <w:spacing w:before="40" w:after="40"/>
              <w:rPr>
                <w:color w:val="auto"/>
                <w:highlight w:val="none"/>
              </w:rPr>
            </w:pPr>
            <w:r>
              <w:rPr>
                <w:rFonts w:cs="Calibri"/>
                <w:color w:val="auto"/>
                <w:sz w:val="20"/>
                <w:szCs w:val="22"/>
                <w:highlight w:val="none"/>
              </w:rPr>
              <w:t xml:space="preserve">T3</w:t>
            </w:r>
            <w:r/>
          </w:p>
        </w:tc>
        <w:tc>
          <w:tcPr>
            <w:tcW w:w="2134" w:type="dxa"/>
            <w:textDirection w:val="lrTb"/>
            <w:noWrap w:val="false"/>
          </w:tcPr>
          <w:p>
            <w:pPr>
              <w:jc w:val="center"/>
              <w:spacing w:before="40" w:after="40"/>
              <w:rPr>
                <w:color w:val="auto"/>
                <w:highlight w:val="none"/>
              </w:rPr>
            </w:pPr>
            <w:r>
              <w:rPr>
                <w:rFonts w:cs="Calibri"/>
                <w:color w:val="auto"/>
                <w:sz w:val="20"/>
                <w:szCs w:val="22"/>
                <w:highlight w:val="none"/>
              </w:rPr>
              <w:t xml:space="preserve">后端实现</w:t>
            </w:r>
            <w:r/>
          </w:p>
        </w:tc>
        <w:tc>
          <w:tcPr>
            <w:tcW w:w="2299" w:type="dxa"/>
            <w:textDirection w:val="lrTb"/>
            <w:noWrap w:val="false"/>
          </w:tcPr>
          <w:p>
            <w:pPr>
              <w:jc w:val="center"/>
              <w:spacing w:before="40" w:after="40"/>
              <w:rPr>
                <w:color w:val="auto"/>
                <w:highlight w:val="none"/>
              </w:rPr>
            </w:pPr>
            <w:r>
              <w:rPr>
                <w:rFonts w:cs="Calibri"/>
                <w:color w:val="auto"/>
                <w:sz w:val="20"/>
                <w:szCs w:val="22"/>
                <w:highlight w:val="none"/>
              </w:rPr>
              <w:t xml:space="preserve">12周</w:t>
            </w:r>
            <w:r/>
          </w:p>
        </w:tc>
        <w:tc>
          <w:tcPr>
            <w:tcW w:w="3703" w:type="dxa"/>
            <w:textDirection w:val="lrTb"/>
            <w:noWrap w:val="false"/>
          </w:tcPr>
          <w:p>
            <w:pPr>
              <w:jc w:val="center"/>
              <w:spacing w:before="40" w:after="40"/>
              <w:rPr>
                <w:color w:val="auto"/>
                <w:highlight w:val="none"/>
              </w:rPr>
            </w:pPr>
            <w:r>
              <w:rPr>
                <w:rFonts w:cs="Calibri"/>
                <w:color w:val="auto"/>
                <w:sz w:val="20"/>
                <w:szCs w:val="22"/>
                <w:highlight w:val="none"/>
              </w:rPr>
              <w:t xml:space="preserve">STA Sign-off完成</w:t>
            </w:r>
            <w:r/>
          </w:p>
        </w:tc>
      </w:tr>
      <w:tr>
        <w:trPr/>
        <w:tc>
          <w:tcPr>
            <w:tcW w:w="1673" w:type="dxa"/>
            <w:textDirection w:val="lrTb"/>
            <w:noWrap w:val="false"/>
          </w:tcPr>
          <w:p>
            <w:pPr>
              <w:jc w:val="center"/>
              <w:spacing w:before="40" w:after="40"/>
              <w:rPr>
                <w:color w:val="auto"/>
                <w:highlight w:val="none"/>
              </w:rPr>
            </w:pPr>
            <w:r>
              <w:rPr>
                <w:rFonts w:cs="Calibri"/>
                <w:color w:val="auto"/>
                <w:sz w:val="20"/>
                <w:szCs w:val="22"/>
                <w:highlight w:val="none"/>
              </w:rPr>
              <w:t xml:space="preserve">T4</w:t>
            </w:r>
            <w:r/>
          </w:p>
        </w:tc>
        <w:tc>
          <w:tcPr>
            <w:tcW w:w="2134" w:type="dxa"/>
            <w:textDirection w:val="lrTb"/>
            <w:noWrap w:val="false"/>
          </w:tcPr>
          <w:p>
            <w:pPr>
              <w:jc w:val="center"/>
              <w:spacing w:before="40" w:after="40"/>
              <w:rPr>
                <w:color w:val="auto"/>
                <w:highlight w:val="none"/>
              </w:rPr>
            </w:pPr>
            <w:r>
              <w:rPr>
                <w:rFonts w:cs="Calibri"/>
                <w:color w:val="auto"/>
                <w:sz w:val="20"/>
                <w:szCs w:val="22"/>
                <w:highlight w:val="none"/>
              </w:rPr>
              <w:t xml:space="preserve">Full Mask流片</w:t>
            </w:r>
            <w:r/>
          </w:p>
        </w:tc>
        <w:tc>
          <w:tcPr>
            <w:tcW w:w="2299" w:type="dxa"/>
            <w:textDirection w:val="lrTb"/>
            <w:noWrap w:val="false"/>
          </w:tcPr>
          <w:p>
            <w:pPr>
              <w:jc w:val="center"/>
              <w:spacing w:before="40" w:after="40"/>
              <w:rPr>
                <w:color w:val="auto"/>
                <w:highlight w:val="none"/>
              </w:rPr>
            </w:pPr>
            <w:r>
              <w:rPr>
                <w:rFonts w:cs="Calibri"/>
                <w:color w:val="auto"/>
                <w:sz w:val="20"/>
                <w:szCs w:val="22"/>
                <w:highlight w:val="none"/>
              </w:rPr>
              <w:t xml:space="preserve">13周</w:t>
            </w:r>
            <w:r/>
          </w:p>
        </w:tc>
        <w:tc>
          <w:tcPr>
            <w:tcW w:w="3703" w:type="dxa"/>
            <w:textDirection w:val="lrTb"/>
            <w:noWrap w:val="false"/>
          </w:tcPr>
          <w:p>
            <w:pPr>
              <w:jc w:val="center"/>
              <w:spacing w:before="40" w:after="40"/>
              <w:rPr>
                <w:color w:val="auto"/>
                <w:highlight w:val="none"/>
              </w:rPr>
            </w:pPr>
            <w:r>
              <w:rPr>
                <w:rFonts w:cs="Calibri"/>
                <w:color w:val="auto"/>
                <w:sz w:val="20"/>
                <w:szCs w:val="22"/>
                <w:highlight w:val="none"/>
              </w:rPr>
              <w:t xml:space="preserve">流片数据交付/投片</w:t>
            </w:r>
            <w:r/>
          </w:p>
        </w:tc>
      </w:tr>
      <w:tr>
        <w:trPr/>
        <w:tc>
          <w:tcPr>
            <w:tcW w:w="1673" w:type="dxa"/>
            <w:textDirection w:val="lrTb"/>
            <w:noWrap w:val="false"/>
          </w:tcPr>
          <w:p>
            <w:pPr>
              <w:jc w:val="center"/>
              <w:spacing w:before="40" w:after="40"/>
              <w:rPr>
                <w:color w:val="auto"/>
                <w:highlight w:val="none"/>
              </w:rPr>
            </w:pPr>
            <w:r>
              <w:rPr>
                <w:rFonts w:cs="Calibri"/>
                <w:color w:val="auto"/>
                <w:sz w:val="20"/>
                <w:szCs w:val="22"/>
                <w:highlight w:val="none"/>
              </w:rPr>
              <w:t xml:space="preserve">T5</w:t>
            </w:r>
            <w:r/>
          </w:p>
        </w:tc>
        <w:tc>
          <w:tcPr>
            <w:tcW w:w="2134" w:type="dxa"/>
            <w:textDirection w:val="lrTb"/>
            <w:noWrap w:val="false"/>
          </w:tcPr>
          <w:p>
            <w:pPr>
              <w:jc w:val="center"/>
              <w:spacing w:before="40" w:after="40"/>
              <w:rPr>
                <w:color w:val="auto"/>
                <w:highlight w:val="none"/>
              </w:rPr>
            </w:pPr>
            <w:r>
              <w:rPr>
                <w:rFonts w:cs="Calibri"/>
                <w:color w:val="auto"/>
                <w:sz w:val="20"/>
                <w:szCs w:val="22"/>
                <w:highlight w:val="none"/>
              </w:rPr>
              <w:t xml:space="preserve">驱动及SDK</w:t>
            </w:r>
            <w:r/>
          </w:p>
        </w:tc>
        <w:tc>
          <w:tcPr>
            <w:tcW w:w="2299" w:type="dxa"/>
            <w:textDirection w:val="lrTb"/>
            <w:noWrap w:val="false"/>
          </w:tcPr>
          <w:p>
            <w:pPr>
              <w:jc w:val="center"/>
              <w:spacing w:before="40" w:after="40"/>
              <w:rPr>
                <w:color w:val="auto"/>
                <w:highlight w:val="none"/>
              </w:rPr>
            </w:pPr>
            <w:r>
              <w:rPr>
                <w:rFonts w:cs="Calibri"/>
                <w:color w:val="auto"/>
                <w:sz w:val="20"/>
                <w:szCs w:val="22"/>
                <w:highlight w:val="none"/>
              </w:rPr>
              <w:t xml:space="preserve">4周</w:t>
            </w:r>
            <w:r/>
          </w:p>
        </w:tc>
        <w:tc>
          <w:tcPr>
            <w:tcW w:w="3703" w:type="dxa"/>
            <w:textDirection w:val="lrTb"/>
            <w:noWrap w:val="false"/>
          </w:tcPr>
          <w:p>
            <w:pPr>
              <w:jc w:val="center"/>
              <w:spacing w:before="40" w:after="40"/>
              <w:rPr>
                <w:color w:val="auto"/>
                <w:highlight w:val="none"/>
              </w:rPr>
            </w:pPr>
            <w:r>
              <w:rPr>
                <w:rFonts w:cs="Calibri"/>
                <w:color w:val="auto"/>
                <w:sz w:val="20"/>
                <w:szCs w:val="22"/>
                <w:highlight w:val="none"/>
              </w:rPr>
              <w:t xml:space="preserve">SDK/参考驱动交付</w:t>
            </w:r>
            <w:r/>
          </w:p>
        </w:tc>
      </w:tr>
      <w:tr>
        <w:trPr/>
        <w:tc>
          <w:tcPr>
            <w:tcW w:w="1673" w:type="dxa"/>
            <w:textDirection w:val="lrTb"/>
            <w:noWrap w:val="false"/>
          </w:tcPr>
          <w:p>
            <w:pPr>
              <w:jc w:val="center"/>
              <w:spacing w:before="40" w:after="40"/>
              <w:rPr>
                <w:color w:val="auto"/>
                <w:highlight w:val="none"/>
              </w:rPr>
            </w:pPr>
            <w:r>
              <w:rPr>
                <w:rFonts w:cs="Calibri"/>
                <w:color w:val="auto"/>
                <w:sz w:val="20"/>
                <w:szCs w:val="22"/>
                <w:highlight w:val="none"/>
              </w:rPr>
              <w:t xml:space="preserve">T6</w:t>
            </w:r>
            <w:r/>
          </w:p>
        </w:tc>
        <w:tc>
          <w:tcPr>
            <w:tcW w:w="2134" w:type="dxa"/>
            <w:textDirection w:val="lrTb"/>
            <w:noWrap w:val="false"/>
          </w:tcPr>
          <w:p>
            <w:pPr>
              <w:jc w:val="center"/>
              <w:spacing w:before="40" w:after="40"/>
              <w:rPr>
                <w:color w:val="auto"/>
                <w:highlight w:val="none"/>
              </w:rPr>
            </w:pPr>
            <w:r>
              <w:rPr>
                <w:rFonts w:cs="Calibri"/>
                <w:color w:val="auto"/>
                <w:sz w:val="20"/>
                <w:szCs w:val="22"/>
                <w:highlight w:val="none"/>
              </w:rPr>
              <w:t xml:space="preserve">Bring Up验证</w:t>
            </w:r>
            <w:r/>
          </w:p>
        </w:tc>
        <w:tc>
          <w:tcPr>
            <w:tcW w:w="2299" w:type="dxa"/>
            <w:textDirection w:val="lrTb"/>
            <w:noWrap w:val="false"/>
          </w:tcPr>
          <w:p>
            <w:pPr>
              <w:jc w:val="center"/>
              <w:spacing w:before="40" w:after="40"/>
              <w:rPr>
                <w:color w:val="auto"/>
                <w:highlight w:val="none"/>
              </w:rPr>
            </w:pPr>
            <w:r>
              <w:rPr>
                <w:rFonts w:cs="Calibri"/>
                <w:color w:val="auto"/>
                <w:sz w:val="20"/>
                <w:szCs w:val="22"/>
                <w:highlight w:val="none"/>
              </w:rPr>
              <w:t xml:space="preserve">2周</w:t>
            </w:r>
            <w:r/>
          </w:p>
        </w:tc>
        <w:tc>
          <w:tcPr>
            <w:tcW w:w="3703" w:type="dxa"/>
            <w:textDirection w:val="lrTb"/>
            <w:noWrap w:val="false"/>
          </w:tcPr>
          <w:p>
            <w:pPr>
              <w:jc w:val="center"/>
              <w:spacing w:before="40" w:after="40"/>
              <w:rPr>
                <w:color w:val="auto"/>
                <w:highlight w:val="none"/>
              </w:rPr>
            </w:pPr>
            <w:r>
              <w:rPr>
                <w:rFonts w:cs="Calibri"/>
                <w:color w:val="auto"/>
                <w:sz w:val="20"/>
                <w:szCs w:val="22"/>
                <w:highlight w:val="none"/>
              </w:rPr>
              <w:t xml:space="preserve">芯片验证报告通过</w:t>
            </w:r>
            <w:r/>
          </w:p>
        </w:tc>
      </w:tr>
      <w:tr>
        <w:trPr/>
        <w:tc>
          <w:tcPr>
            <w:tcW w:w="1673" w:type="dxa"/>
            <w:textDirection w:val="lrTb"/>
            <w:noWrap w:val="false"/>
          </w:tcPr>
          <w:p>
            <w:pPr>
              <w:jc w:val="center"/>
              <w:spacing w:before="60" w:after="60"/>
              <w:rPr>
                <w:color w:val="auto"/>
                <w:highlight w:val="none"/>
              </w:rPr>
            </w:pPr>
            <w:r>
              <w:rPr>
                <w:rFonts w:cs="Calibri"/>
                <w:b/>
                <w:color w:val="auto"/>
                <w:sz w:val="20"/>
                <w:szCs w:val="22"/>
                <w:highlight w:val="none"/>
              </w:rPr>
              <w:t xml:space="preserve">合计</w:t>
            </w:r>
            <w:r/>
          </w:p>
        </w:tc>
        <w:tc>
          <w:tcPr>
            <w:tcW w:w="2134" w:type="dxa"/>
            <w:textDirection w:val="lrTb"/>
            <w:noWrap w:val="false"/>
          </w:tcPr>
          <w:p>
            <w:pPr>
              <w:jc w:val="center"/>
              <w:spacing w:before="60" w:after="60"/>
              <w:rPr>
                <w:color w:val="auto"/>
                <w:highlight w:val="none"/>
              </w:rPr>
            </w:pPr>
            <w:r>
              <w:rPr>
                <w:rFonts w:cs="Calibri"/>
                <w:b/>
                <w:color w:val="auto"/>
                <w:sz w:val="20"/>
                <w:szCs w:val="22"/>
                <w:highlight w:val="none"/>
              </w:rPr>
              <w:t xml:space="preserve">~34周</w:t>
            </w:r>
            <w:r/>
          </w:p>
        </w:tc>
        <w:tc>
          <w:tcPr>
            <w:tcW w:w="2299" w:type="dxa"/>
            <w:textDirection w:val="lrTb"/>
            <w:noWrap w:val="false"/>
          </w:tcPr>
          <w:p>
            <w:pPr>
              <w:jc w:val="center"/>
              <w:spacing w:before="60" w:after="60"/>
              <w:rPr>
                <w:color w:val="auto"/>
                <w:highlight w:val="none"/>
              </w:rPr>
            </w:pPr>
            <w:r>
              <w:rPr>
                <w:rFonts w:cs="Calibri"/>
                <w:b/>
                <w:color w:val="auto"/>
                <w:sz w:val="20"/>
                <w:szCs w:val="22"/>
                <w:highlight w:val="none"/>
              </w:rPr>
              <w:t xml:space="preserve">TIME1+19周投片，+15周回片</w:t>
            </w:r>
            <w:r/>
          </w:p>
        </w:tc>
        <w:tc>
          <w:tcPr>
            <w:tcW w:w="3703" w:type="dxa"/>
            <w:textDirection w:val="lrTb"/>
            <w:noWrap w:val="false"/>
          </w:tcPr>
          <w:p>
            <w:pPr>
              <w:jc w:val="center"/>
              <w:spacing w:before="60" w:after="60"/>
              <w:rPr>
                <w:color w:val="auto"/>
                <w:highlight w:val="none"/>
              </w:rPr>
            </w:pPr>
            <w:r>
              <w:rPr>
                <w:color w:val="auto"/>
                <w:highlight w:val="none"/>
              </w:rPr>
            </w:r>
            <w:r/>
          </w:p>
        </w:tc>
      </w:tr>
    </w:tbl>
    <w:p>
      <w:pPr>
        <w:pStyle w:val="883"/>
        <w:ind w:firstLine="420"/>
        <w:rPr>
          <w:color w:val="auto"/>
          <w:sz w:val="21"/>
          <w:szCs w:val="21"/>
          <w:highlight w:val="none"/>
        </w:rPr>
      </w:pPr>
      <w:r>
        <w:rPr>
          <w:rFonts w:hint="eastAsia"/>
          <w:color w:val="auto"/>
          <w:sz w:val="21"/>
          <w:szCs w:val="21"/>
          <w:highlight w:val="none"/>
        </w:rPr>
        <w:t xml:space="preserve">关键里程碑：</w:t>
      </w:r>
      <w:r/>
    </w:p>
    <w:p>
      <w:pPr>
        <w:pStyle w:val="883"/>
        <w:ind w:firstLine="420"/>
        <w:rPr>
          <w:color w:val="auto"/>
          <w:sz w:val="21"/>
          <w:szCs w:val="21"/>
          <w:highlight w:val="none"/>
        </w:rPr>
      </w:pPr>
      <w:r>
        <w:rPr>
          <w:rFonts w:hint="eastAsia"/>
          <w:color w:val="auto"/>
          <w:sz w:val="21"/>
          <w:szCs w:val="21"/>
          <w:highlight w:val="none"/>
        </w:rPr>
        <w:t xml:space="preserve">1.</w:t>
      </w:r>
      <w:r>
        <w:rPr>
          <w:rFonts w:hint="eastAsia"/>
          <w:color w:val="auto"/>
          <w:sz w:val="21"/>
          <w:szCs w:val="21"/>
          <w:highlight w:val="none"/>
        </w:rPr>
        <w:tab/>
      </w:r>
      <w:r>
        <w:rPr>
          <w:rFonts w:hint="eastAsia"/>
          <w:color w:val="auto"/>
          <w:sz w:val="21"/>
          <w:szCs w:val="21"/>
          <w:highlight w:val="none"/>
        </w:rPr>
        <w:t xml:space="preserve">TIME1 = 本合同签订日期（项目正式开始）。</w:t>
      </w:r>
      <w:r/>
    </w:p>
    <w:p>
      <w:pPr>
        <w:pStyle w:val="883"/>
        <w:ind w:firstLine="420"/>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rPr>
        <w:tab/>
      </w:r>
      <w:r>
        <w:rPr>
          <w:rFonts w:hint="eastAsia"/>
          <w:color w:val="auto"/>
          <w:sz w:val="21"/>
          <w:szCs w:val="21"/>
          <w:highlight w:val="none"/>
        </w:rPr>
        <w:t xml:space="preserve">TIME2 = TIME1 + 19周（Full Mask投片时间）。</w:t>
      </w:r>
      <w:r/>
    </w:p>
    <w:p>
      <w:pPr>
        <w:pStyle w:val="883"/>
        <w:ind w:firstLine="420"/>
        <w:rPr>
          <w:color w:val="auto"/>
          <w:sz w:val="21"/>
          <w:szCs w:val="21"/>
          <w:highlight w:val="none"/>
        </w:rPr>
      </w:pPr>
      <w:r>
        <w:rPr>
          <w:rFonts w:hint="eastAsia"/>
          <w:color w:val="auto"/>
          <w:sz w:val="21"/>
          <w:szCs w:val="21"/>
          <w:highlight w:val="none"/>
        </w:rPr>
        <w:t xml:space="preserve">3.</w:t>
      </w:r>
      <w:r>
        <w:rPr>
          <w:rFonts w:hint="eastAsia"/>
          <w:color w:val="auto"/>
          <w:sz w:val="21"/>
          <w:szCs w:val="21"/>
          <w:highlight w:val="none"/>
        </w:rPr>
        <w:tab/>
      </w:r>
      <w:r>
        <w:rPr>
          <w:rFonts w:hint="eastAsia"/>
          <w:color w:val="auto"/>
          <w:sz w:val="21"/>
          <w:szCs w:val="21"/>
          <w:highlight w:val="none"/>
        </w:rPr>
        <w:t xml:space="preserve">TIME3 = TIME2 + 15周（芯片回片时间）。</w:t>
      </w:r>
      <w:r/>
    </w:p>
    <w:p>
      <w:pPr>
        <w:pStyle w:val="883"/>
        <w:ind w:firstLine="420"/>
        <w:rPr>
          <w:color w:val="auto"/>
          <w:sz w:val="21"/>
          <w:szCs w:val="21"/>
          <w:highlight w:val="none"/>
        </w:rPr>
      </w:pPr>
      <w:r>
        <w:rPr>
          <w:rFonts w:hint="eastAsia"/>
          <w:color w:val="auto"/>
          <w:sz w:val="21"/>
          <w:szCs w:val="21"/>
          <w:highlight w:val="none"/>
        </w:rPr>
        <w:t xml:space="preserve">各阶段根据实际实施进程需要可并行开展，总周期需控制在34周左右。</w:t>
      </w:r>
      <w:r/>
    </w:p>
    <w:p>
      <w:pPr>
        <w:pStyle w:val="873"/>
        <w:keepLines w:val="0"/>
        <w:keepNext w:val="0"/>
        <w:rPr>
          <w:rFonts w:ascii="Times New Roman" w:hAnsi="Times New Roman" w:eastAsia="宋体" w:cs="Times New Roman"/>
          <w:color w:val="auto"/>
          <w:spacing w:val="-4"/>
          <w:sz w:val="21"/>
          <w:szCs w:val="24"/>
          <w:highlight w:val="none"/>
        </w:rPr>
      </w:pPr>
      <w:r>
        <w:rPr>
          <w:rFonts w:hint="eastAsia" w:ascii="Times New Roman" w:hAnsi="Times New Roman" w:eastAsia="宋体" w:cs="Times New Roman"/>
          <w:color w:val="auto"/>
          <w:spacing w:val="-4"/>
          <w:sz w:val="21"/>
          <w:szCs w:val="24"/>
          <w:highlight w:val="none"/>
        </w:rPr>
        <w:t xml:space="preserve">3.1.3需求方将在收到方案及计划后的7个工作日内完成评审工作。评审通过后，双方立即启动合同签订流程，中标供应商按照合同规定内容组织开展生产流程，并严格按照合同要求的进度要求进行验收和交付。</w:t>
      </w:r>
      <w:r/>
    </w:p>
    <w:p>
      <w:pPr>
        <w:pStyle w:val="873"/>
        <w:keepLines w:val="0"/>
        <w:keepNext w:val="0"/>
        <w:rPr>
          <w:rFonts w:hint="eastAsia"/>
          <w:color w:val="auto"/>
          <w:highlight w:val="none"/>
        </w:rPr>
      </w:pPr>
      <w:r>
        <w:rPr>
          <w:rFonts w:hint="eastAsia" w:ascii="Times New Roman" w:hAnsi="Times New Roman" w:eastAsia="宋体" w:cs="Times New Roman"/>
          <w:color w:val="auto"/>
          <w:spacing w:val="-4"/>
          <w:sz w:val="21"/>
          <w:szCs w:val="24"/>
          <w:highlight w:val="none"/>
        </w:rPr>
        <w:t xml:space="preserve">3.1.4供应商依据合同技术协议内容按时完成阶段性任务，在实施过程中必须紧密配合需求方项目进度要求，灵活调整实施节奏。整个实施周期自合同签订之日起计算，不得超过250天。在实施期间，供应商应每周向甲方提交实施进度报告，以便需求方实时掌握项目进展情况。</w:t>
      </w:r>
      <w:r/>
    </w:p>
    <w:p>
      <w:pPr>
        <w:pStyle w:val="871"/>
        <w:ind w:firstLine="414"/>
        <w:keepLines w:val="0"/>
        <w:keepNext w:val="0"/>
        <w:spacing w:before="120" w:after="120" w:line="400" w:lineRule="exact"/>
        <w:tabs>
          <w:tab w:val="left" w:pos="615" w:leader="none"/>
        </w:tabs>
        <w:rPr>
          <w:rFonts w:ascii="Times New Roman" w:hAnsi="Times New Roman"/>
          <w:color w:val="auto"/>
          <w:szCs w:val="30"/>
          <w:highlight w:val="none"/>
        </w:rPr>
      </w:pPr>
      <w:r/>
      <w:bookmarkStart w:id="302" w:name="_Toc234244220"/>
      <w:r/>
      <w:bookmarkStart w:id="303" w:name="_Toc197717647"/>
      <w:r>
        <w:rPr>
          <w:rFonts w:hint="eastAsia" w:ascii="Times New Roman" w:hAnsi="Times New Roman" w:eastAsia="宋体"/>
          <w:color w:val="auto"/>
          <w:spacing w:val="-2"/>
          <w:sz w:val="21"/>
          <w:szCs w:val="24"/>
          <w:highlight w:val="none"/>
        </w:rPr>
        <w:t xml:space="preserve">3.2验收要求</w:t>
      </w:r>
      <w:bookmarkEnd w:id="302"/>
      <w:r/>
      <w:bookmarkEnd w:id="303"/>
      <w:r/>
      <w:bookmarkStart w:id="304" w:name="_Toc197710030"/>
      <w:r/>
      <w:bookmarkEnd w:id="304"/>
      <w:r/>
      <w:bookmarkStart w:id="305" w:name="_Toc197710080"/>
      <w:r/>
      <w:bookmarkEnd w:id="305"/>
      <w:r/>
      <w:bookmarkStart w:id="306" w:name="_Toc197709821"/>
      <w:r/>
      <w:bookmarkEnd w:id="306"/>
      <w:r/>
      <w:bookmarkStart w:id="307" w:name="_Toc197709768"/>
      <w:r/>
      <w:bookmarkEnd w:id="307"/>
      <w:r/>
      <w:bookmarkStart w:id="308" w:name="_Toc197709977"/>
      <w:r/>
      <w:bookmarkEnd w:id="308"/>
      <w:r/>
      <w:bookmarkStart w:id="309" w:name="_Toc197711514"/>
      <w:r/>
      <w:bookmarkEnd w:id="309"/>
      <w:r/>
      <w:bookmarkStart w:id="310" w:name="_Toc197710084"/>
      <w:r/>
      <w:bookmarkEnd w:id="310"/>
      <w:r/>
      <w:bookmarkStart w:id="311" w:name="_Toc197711400"/>
      <w:r/>
      <w:bookmarkEnd w:id="311"/>
      <w:r/>
      <w:bookmarkStart w:id="312" w:name="_Toc197709973"/>
      <w:r/>
      <w:bookmarkEnd w:id="312"/>
      <w:r/>
      <w:bookmarkStart w:id="313" w:name="_Toc197710026"/>
      <w:r/>
      <w:bookmarkEnd w:id="313"/>
      <w:r/>
      <w:bookmarkStart w:id="314" w:name="_Toc197709764"/>
      <w:r/>
      <w:bookmarkEnd w:id="314"/>
      <w:r/>
      <w:bookmarkStart w:id="315" w:name="_Toc197713186"/>
      <w:r/>
      <w:bookmarkEnd w:id="315"/>
      <w:r/>
      <w:bookmarkStart w:id="316" w:name="_Toc197713182"/>
      <w:r/>
      <w:bookmarkEnd w:id="316"/>
      <w:r/>
      <w:bookmarkStart w:id="317" w:name="_Toc197711404"/>
      <w:r/>
      <w:bookmarkEnd w:id="317"/>
      <w:r/>
      <w:bookmarkStart w:id="318" w:name="_Toc197709817"/>
      <w:r/>
      <w:bookmarkEnd w:id="318"/>
      <w:r/>
      <w:bookmarkStart w:id="319" w:name="_Toc197711510"/>
      <w:r/>
      <w:bookmarkEnd w:id="319"/>
      <w:r/>
      <w:r/>
    </w:p>
    <w:p>
      <w:pPr>
        <w:pStyle w:val="872"/>
        <w:keepLines w:val="0"/>
        <w:keepNext w:val="0"/>
        <w:spacing w:before="0" w:after="0" w:line="360" w:lineRule="auto"/>
        <w:rPr>
          <w:color w:val="auto"/>
          <w:szCs w:val="28"/>
          <w:highlight w:val="none"/>
        </w:rPr>
      </w:pPr>
      <w:r/>
      <w:bookmarkStart w:id="320" w:name="_Toc197717648"/>
      <w:r/>
      <w:bookmarkStart w:id="321" w:name="_Toc234244221"/>
      <w:r>
        <w:rPr>
          <w:rFonts w:hint="eastAsia"/>
          <w:color w:val="auto"/>
          <w:spacing w:val="-4"/>
          <w:sz w:val="21"/>
          <w:szCs w:val="24"/>
          <w:highlight w:val="none"/>
        </w:rPr>
        <w:t xml:space="preserve">3.2.1</w:t>
      </w:r>
      <w:bookmarkEnd w:id="320"/>
      <w:r>
        <w:rPr>
          <w:rFonts w:hint="eastAsia"/>
          <w:color w:val="auto"/>
          <w:spacing w:val="-4"/>
          <w:sz w:val="21"/>
          <w:szCs w:val="24"/>
          <w:highlight w:val="none"/>
        </w:rPr>
        <w:t xml:space="preserve"> 阶段验收标准</w:t>
      </w:r>
      <w:bookmarkEnd w:id="321"/>
      <w:r/>
      <w:r/>
    </w:p>
    <w:p>
      <w:pPr>
        <w:pStyle w:val="873"/>
        <w:numPr>
          <w:ilvl w:val="3"/>
          <w:numId w:val="26"/>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数据准备阶段：PDK等数据检查报告通过需求方评审。</w:t>
      </w:r>
      <w:r/>
    </w:p>
    <w:p>
      <w:pPr>
        <w:pStyle w:val="873"/>
        <w:numPr>
          <w:ilvl w:val="3"/>
          <w:numId w:val="26"/>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SoC设计阶段：芯片规格书和设计方案通过需求方评审。</w:t>
      </w:r>
      <w:r/>
    </w:p>
    <w:p>
      <w:pPr>
        <w:pStyle w:val="873"/>
        <w:numPr>
          <w:ilvl w:val="3"/>
          <w:numId w:val="26"/>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SoC验证阶段：评审报告、功能验证清单和验收报告通过需求方评审。</w:t>
      </w:r>
      <w:r/>
    </w:p>
    <w:p>
      <w:pPr>
        <w:pStyle w:val="873"/>
        <w:numPr>
          <w:ilvl w:val="3"/>
          <w:numId w:val="26"/>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后端实现阶段：评审报告、ATPG测试覆盖率报告、后仿验收报告、功耗分析报告通过需求方评审。</w:t>
      </w:r>
      <w:r/>
    </w:p>
    <w:p>
      <w:pPr>
        <w:pStyle w:val="873"/>
        <w:numPr>
          <w:ilvl w:val="3"/>
          <w:numId w:val="26"/>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流片服务阶段：顺利流片，芯片功能测试通过。</w:t>
      </w:r>
      <w:r/>
    </w:p>
    <w:p>
      <w:pPr>
        <w:pStyle w:val="873"/>
        <w:numPr>
          <w:ilvl w:val="3"/>
          <w:numId w:val="26"/>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驱动SDK阶段：Datasheet、参考驱动及SDK源码通过需求方验收。</w:t>
      </w:r>
      <w:r/>
    </w:p>
    <w:p>
      <w:pPr>
        <w:pStyle w:val="873"/>
        <w:numPr>
          <w:ilvl w:val="3"/>
          <w:numId w:val="26"/>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Bring Up阶段：芯片工作正常，芯片验证报告通过需求方评审。</w:t>
      </w:r>
      <w:r/>
    </w:p>
    <w:p>
      <w:pPr>
        <w:pStyle w:val="872"/>
        <w:keepLines w:val="0"/>
        <w:keepNext w:val="0"/>
        <w:spacing w:before="0" w:after="0" w:line="360" w:lineRule="auto"/>
        <w:rPr>
          <w:color w:val="auto"/>
          <w:szCs w:val="28"/>
          <w:highlight w:val="none"/>
        </w:rPr>
      </w:pPr>
      <w:r/>
      <w:bookmarkStart w:id="322" w:name="_Toc197717649"/>
      <w:r/>
      <w:bookmarkStart w:id="323" w:name="_Toc234244222"/>
      <w:r>
        <w:rPr>
          <w:rFonts w:hint="eastAsia"/>
          <w:color w:val="auto"/>
          <w:spacing w:val="-4"/>
          <w:sz w:val="21"/>
          <w:szCs w:val="24"/>
          <w:highlight w:val="none"/>
        </w:rPr>
        <w:t xml:space="preserve">3.2.2</w:t>
      </w:r>
      <w:bookmarkEnd w:id="322"/>
      <w:r>
        <w:rPr>
          <w:rFonts w:hint="eastAsia"/>
          <w:color w:val="auto"/>
          <w:spacing w:val="-4"/>
          <w:sz w:val="21"/>
          <w:szCs w:val="24"/>
          <w:highlight w:val="none"/>
        </w:rPr>
        <w:t xml:space="preserve"> 验收流程</w:t>
      </w:r>
      <w:bookmarkEnd w:id="323"/>
      <w:r/>
      <w:r/>
    </w:p>
    <w:p>
      <w:pPr>
        <w:pStyle w:val="873"/>
        <w:numPr>
          <w:ilvl w:val="3"/>
          <w:numId w:val="27"/>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供应商提交阶段交付物和验收申请。</w:t>
      </w:r>
      <w:r/>
    </w:p>
    <w:p>
      <w:pPr>
        <w:pStyle w:val="873"/>
        <w:numPr>
          <w:ilvl w:val="3"/>
          <w:numId w:val="27"/>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需求方在收到申请后5个工作日内组织评审。</w:t>
      </w:r>
      <w:r/>
    </w:p>
    <w:p>
      <w:pPr>
        <w:pStyle w:val="873"/>
        <w:numPr>
          <w:ilvl w:val="3"/>
          <w:numId w:val="27"/>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评审通过：双方签署阶段验收确认书。</w:t>
      </w:r>
      <w:r/>
    </w:p>
    <w:p>
      <w:pPr>
        <w:pStyle w:val="873"/>
        <w:numPr>
          <w:ilvl w:val="3"/>
          <w:numId w:val="27"/>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评审不通过：供应商需在10个工作日内完成整改并重新提交。</w:t>
      </w:r>
      <w:r/>
    </w:p>
    <w:p>
      <w:pPr>
        <w:pStyle w:val="873"/>
        <w:numPr>
          <w:ilvl w:val="3"/>
          <w:numId w:val="27"/>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任何免除违反项需经需求方书面确认。</w:t>
      </w:r>
      <w:r/>
    </w:p>
    <w:p>
      <w:pPr>
        <w:pStyle w:val="873"/>
        <w:numPr>
          <w:ilvl w:val="3"/>
          <w:numId w:val="27"/>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所有阶段验收数据及评审结论，均由双方人员在场签字；验收问题形成问题清单或文字纪要（问题，整改措施及整改完成时间），纳入到项目持续管理跟踪。</w:t>
      </w:r>
      <w:r/>
    </w:p>
    <w:p>
      <w:pPr>
        <w:pStyle w:val="873"/>
        <w:numPr>
          <w:ilvl w:val="3"/>
          <w:numId w:val="27"/>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若因不可抗力因素造成需求方不能到现场验收时，双方协商验收方式。</w:t>
      </w:r>
      <w:r/>
    </w:p>
    <w:p>
      <w:pPr>
        <w:pStyle w:val="871"/>
        <w:ind w:firstLine="414"/>
        <w:keepLines w:val="0"/>
        <w:keepNext w:val="0"/>
        <w:spacing w:before="120" w:after="120" w:line="400" w:lineRule="exact"/>
        <w:rPr>
          <w:rFonts w:ascii="Times New Roman" w:hAnsi="Times New Roman"/>
          <w:color w:val="auto"/>
          <w:szCs w:val="30"/>
          <w:highlight w:val="none"/>
        </w:rPr>
      </w:pPr>
      <w:r/>
      <w:bookmarkStart w:id="324" w:name="_Toc197717650"/>
      <w:r/>
      <w:bookmarkStart w:id="325" w:name="_Toc234244223"/>
      <w:r>
        <w:rPr>
          <w:rFonts w:hint="eastAsia" w:ascii="Times New Roman" w:hAnsi="Times New Roman" w:eastAsia="宋体"/>
          <w:color w:val="auto"/>
          <w:spacing w:val="-2"/>
          <w:sz w:val="21"/>
          <w:szCs w:val="24"/>
          <w:highlight w:val="none"/>
        </w:rPr>
        <w:t xml:space="preserve">3.3交付要求</w:t>
      </w:r>
      <w:bookmarkEnd w:id="324"/>
      <w:r/>
      <w:bookmarkEnd w:id="325"/>
      <w:r/>
      <w:bookmarkStart w:id="326" w:name="_Toc197710088"/>
      <w:r/>
      <w:bookmarkEnd w:id="326"/>
      <w:r/>
      <w:bookmarkStart w:id="327" w:name="_Toc197709772"/>
      <w:r/>
      <w:bookmarkEnd w:id="327"/>
      <w:r/>
      <w:bookmarkStart w:id="328" w:name="_Toc197711408"/>
      <w:r/>
      <w:bookmarkEnd w:id="328"/>
      <w:r/>
      <w:bookmarkStart w:id="329" w:name="_Toc197711518"/>
      <w:r/>
      <w:bookmarkEnd w:id="329"/>
      <w:r/>
      <w:bookmarkStart w:id="330" w:name="_Toc197709981"/>
      <w:r/>
      <w:bookmarkEnd w:id="330"/>
      <w:r/>
      <w:bookmarkStart w:id="331" w:name="_Toc197709825"/>
      <w:r/>
      <w:bookmarkEnd w:id="331"/>
      <w:r/>
      <w:bookmarkStart w:id="332" w:name="_Toc197710034"/>
      <w:r/>
      <w:bookmarkEnd w:id="332"/>
      <w:r/>
      <w:bookmarkStart w:id="333" w:name="_Toc197713190"/>
      <w:r/>
      <w:bookmarkEnd w:id="333"/>
      <w:r/>
      <w:r/>
    </w:p>
    <w:p>
      <w:pPr>
        <w:pStyle w:val="872"/>
        <w:keepLines w:val="0"/>
        <w:keepNext w:val="0"/>
        <w:spacing w:before="0" w:after="0" w:line="360" w:lineRule="auto"/>
        <w:rPr>
          <w:color w:val="auto"/>
          <w:szCs w:val="28"/>
          <w:highlight w:val="none"/>
        </w:rPr>
      </w:pPr>
      <w:r/>
      <w:bookmarkStart w:id="334" w:name="_Toc234244224"/>
      <w:r/>
      <w:bookmarkStart w:id="335" w:name="_Toc197717651"/>
      <w:r>
        <w:rPr>
          <w:rFonts w:hint="eastAsia"/>
          <w:color w:val="auto"/>
          <w:spacing w:val="-4"/>
          <w:sz w:val="21"/>
          <w:szCs w:val="24"/>
          <w:highlight w:val="none"/>
        </w:rPr>
        <w:t xml:space="preserve">3.3.1交付内容</w:t>
      </w:r>
      <w:bookmarkEnd w:id="334"/>
      <w:r/>
      <w:bookmarkEnd w:id="335"/>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供应商在各阶段验收通过后，需向需求方提供以下交付物：</w:t>
      </w:r>
      <w:r/>
    </w:p>
    <w:tbl>
      <w:tblPr>
        <w:tblStyle w:val="880"/>
        <w:tblW w:w="4982" w:type="pct"/>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1500"/>
        <w:gridCol w:w="7088"/>
      </w:tblGrid>
      <w:tr>
        <w:trPr/>
        <w:tc>
          <w:tcPr>
            <w:tcW w:w="1007" w:type="dxa"/>
            <w:textDirection w:val="lrTb"/>
            <w:noWrap w:val="false"/>
          </w:tcPr>
          <w:p>
            <w:pPr>
              <w:jc w:val="center"/>
              <w:spacing w:before="60" w:after="60"/>
              <w:rPr>
                <w:rFonts w:hint="eastAsia" w:ascii="宋体" w:hAnsi="宋体" w:cs="宋体"/>
                <w:color w:val="auto"/>
                <w:szCs w:val="21"/>
                <w:highlight w:val="none"/>
              </w:rPr>
            </w:pPr>
            <w:r>
              <w:rPr>
                <w:rFonts w:hint="eastAsia" w:ascii="宋体" w:hAnsi="宋体" w:cs="宋体"/>
                <w:b/>
                <w:color w:val="auto"/>
                <w:szCs w:val="21"/>
                <w:highlight w:val="none"/>
              </w:rPr>
              <w:t xml:space="preserve">阶段</w:t>
            </w:r>
            <w:r/>
          </w:p>
        </w:tc>
        <w:tc>
          <w:tcPr>
            <w:tcW w:w="1502" w:type="dxa"/>
            <w:textDirection w:val="lrTb"/>
            <w:noWrap w:val="false"/>
          </w:tcPr>
          <w:p>
            <w:pPr>
              <w:jc w:val="center"/>
              <w:spacing w:before="60" w:after="60"/>
              <w:rPr>
                <w:rFonts w:hint="eastAsia" w:ascii="宋体" w:hAnsi="宋体" w:cs="宋体"/>
                <w:color w:val="auto"/>
                <w:szCs w:val="21"/>
                <w:highlight w:val="none"/>
              </w:rPr>
            </w:pPr>
            <w:r>
              <w:rPr>
                <w:rFonts w:hint="eastAsia" w:ascii="宋体" w:hAnsi="宋体" w:cs="宋体"/>
                <w:b/>
                <w:color w:val="auto"/>
                <w:szCs w:val="21"/>
                <w:highlight w:val="none"/>
              </w:rPr>
              <w:t xml:space="preserve">交付物类别</w:t>
            </w:r>
            <w:r/>
          </w:p>
        </w:tc>
        <w:tc>
          <w:tcPr>
            <w:tcW w:w="7097" w:type="dxa"/>
            <w:textDirection w:val="lrTb"/>
            <w:noWrap w:val="false"/>
          </w:tcPr>
          <w:p>
            <w:pPr>
              <w:jc w:val="center"/>
              <w:spacing w:before="60" w:after="60"/>
              <w:rPr>
                <w:rFonts w:hint="eastAsia" w:ascii="宋体" w:hAnsi="宋体" w:cs="宋体"/>
                <w:color w:val="auto"/>
                <w:szCs w:val="21"/>
                <w:highlight w:val="none"/>
              </w:rPr>
            </w:pPr>
            <w:r>
              <w:rPr>
                <w:rFonts w:hint="eastAsia" w:ascii="宋体" w:hAnsi="宋体" w:cs="宋体"/>
                <w:b/>
                <w:color w:val="auto"/>
                <w:szCs w:val="21"/>
                <w:highlight w:val="none"/>
              </w:rPr>
              <w:t xml:space="preserve">交付物清单</w:t>
            </w:r>
            <w:r/>
          </w:p>
        </w:tc>
      </w:tr>
      <w:tr>
        <w:trPr/>
        <w:tc>
          <w:tcPr>
            <w:tcW w:w="100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T0</w:t>
            </w:r>
            <w:r/>
          </w:p>
        </w:tc>
        <w:tc>
          <w:tcPr>
            <w:tcW w:w="1502"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检查报告</w:t>
            </w:r>
            <w:r/>
          </w:p>
        </w:tc>
        <w:tc>
          <w:tcPr>
            <w:tcW w:w="709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PDK检查报告、数据检查报告、设计环境配置报告</w:t>
            </w:r>
            <w:r/>
          </w:p>
        </w:tc>
      </w:tr>
      <w:tr>
        <w:trPr/>
        <w:tc>
          <w:tcPr>
            <w:tcW w:w="100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T1</w:t>
            </w:r>
            <w:r/>
          </w:p>
        </w:tc>
        <w:tc>
          <w:tcPr>
            <w:tcW w:w="1502"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设计文档</w:t>
            </w:r>
            <w:r/>
          </w:p>
        </w:tc>
        <w:tc>
          <w:tcPr>
            <w:tcW w:w="709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芯片规格书和设计方案</w:t>
            </w:r>
            <w:r/>
          </w:p>
        </w:tc>
      </w:tr>
      <w:tr>
        <w:trPr/>
        <w:tc>
          <w:tcPr>
            <w:tcW w:w="100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T2</w:t>
            </w:r>
            <w:r/>
          </w:p>
        </w:tc>
        <w:tc>
          <w:tcPr>
            <w:tcW w:w="1502"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验证报告</w:t>
            </w:r>
            <w:r/>
          </w:p>
        </w:tc>
        <w:tc>
          <w:tcPr>
            <w:tcW w:w="709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评审报告、功能验证清单、覆盖率报告</w:t>
            </w:r>
            <w:r/>
          </w:p>
        </w:tc>
      </w:tr>
      <w:tr>
        <w:trPr/>
        <w:tc>
          <w:tcPr>
            <w:tcW w:w="100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T3</w:t>
            </w:r>
            <w:r/>
          </w:p>
        </w:tc>
        <w:tc>
          <w:tcPr>
            <w:tcW w:w="1502"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后端数据</w:t>
            </w:r>
            <w:r/>
          </w:p>
        </w:tc>
        <w:tc>
          <w:tcPr>
            <w:tcW w:w="709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评审报告、ATPG覆盖率报告、Pad坐标、功耗分析报告、最终门级网表及SDF、后仿验收报告、GDS数据、封装设计文件、过程Log文件</w:t>
            </w:r>
            <w:r/>
          </w:p>
        </w:tc>
      </w:tr>
      <w:tr>
        <w:trPr/>
        <w:tc>
          <w:tcPr>
            <w:tcW w:w="100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T4</w:t>
            </w:r>
            <w:r/>
          </w:p>
        </w:tc>
        <w:tc>
          <w:tcPr>
            <w:tcW w:w="1502"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实物/数据</w:t>
            </w:r>
            <w:r/>
          </w:p>
        </w:tc>
        <w:tc>
          <w:tcPr>
            <w:tcW w:w="709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测试通过的工程批芯片（12wafer，含大概10000颗芯片。封装片500颗）</w:t>
            </w:r>
            <w:r/>
          </w:p>
        </w:tc>
      </w:tr>
      <w:tr>
        <w:trPr/>
        <w:tc>
          <w:tcPr>
            <w:tcW w:w="100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T5</w:t>
            </w:r>
            <w:r/>
          </w:p>
        </w:tc>
        <w:tc>
          <w:tcPr>
            <w:tcW w:w="1502"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软件包</w:t>
            </w:r>
            <w:r/>
          </w:p>
        </w:tc>
        <w:tc>
          <w:tcPr>
            <w:tcW w:w="709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参考驱动和SDK源码、及相关文档</w:t>
            </w:r>
            <w:r/>
          </w:p>
        </w:tc>
      </w:tr>
      <w:tr>
        <w:trPr/>
        <w:tc>
          <w:tcPr>
            <w:tcW w:w="100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T6</w:t>
            </w:r>
            <w:r/>
          </w:p>
        </w:tc>
        <w:tc>
          <w:tcPr>
            <w:tcW w:w="1502"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验证报告</w:t>
            </w:r>
            <w:r/>
          </w:p>
        </w:tc>
        <w:tc>
          <w:tcPr>
            <w:tcW w:w="7097" w:type="dxa"/>
            <w:textDirection w:val="lrTb"/>
            <w:noWrap w:val="false"/>
          </w:tcPr>
          <w:p>
            <w:pPr>
              <w:jc w:val="center"/>
              <w:spacing w:before="40" w:after="40"/>
              <w:rPr>
                <w:rFonts w:hint="eastAsia" w:ascii="宋体" w:hAnsi="宋体" w:cs="宋体"/>
                <w:color w:val="auto"/>
                <w:szCs w:val="21"/>
                <w:highlight w:val="none"/>
              </w:rPr>
            </w:pPr>
            <w:r>
              <w:rPr>
                <w:rFonts w:hint="eastAsia" w:ascii="宋体" w:hAnsi="宋体" w:cs="宋体"/>
                <w:color w:val="auto"/>
                <w:szCs w:val="21"/>
                <w:highlight w:val="none"/>
              </w:rPr>
              <w:t xml:space="preserve">芯片验证报告、Bring Up总结报告、EVB相关源文件及样板30块</w:t>
            </w:r>
            <w:r/>
          </w:p>
        </w:tc>
      </w:tr>
    </w:tbl>
    <w:p>
      <w:pPr>
        <w:rPr>
          <w:color w:val="auto"/>
          <w:highlight w:val="none"/>
        </w:rPr>
      </w:pPr>
      <w:r>
        <w:rPr>
          <w:color w:val="auto"/>
          <w:highlight w:val="none"/>
        </w:rPr>
      </w:r>
      <w:r/>
    </w:p>
    <w:p>
      <w:pPr>
        <w:pStyle w:val="872"/>
        <w:keepLines w:val="0"/>
        <w:keepNext w:val="0"/>
        <w:spacing w:before="0" w:after="0" w:line="360" w:lineRule="auto"/>
        <w:rPr>
          <w:color w:val="auto"/>
          <w:szCs w:val="28"/>
          <w:highlight w:val="none"/>
        </w:rPr>
      </w:pPr>
      <w:r/>
      <w:bookmarkStart w:id="336" w:name="_Toc234244225"/>
      <w:r/>
      <w:bookmarkStart w:id="337" w:name="_Toc197717652"/>
      <w:r>
        <w:rPr>
          <w:rFonts w:hint="eastAsia"/>
          <w:color w:val="auto"/>
          <w:spacing w:val="-4"/>
          <w:sz w:val="21"/>
          <w:szCs w:val="24"/>
          <w:highlight w:val="none"/>
        </w:rPr>
        <w:t xml:space="preserve">3.3.2交付物格式要求</w:t>
      </w:r>
      <w:bookmarkEnd w:id="336"/>
      <w:r/>
      <w:bookmarkEnd w:id="337"/>
      <w:r/>
      <w:r/>
    </w:p>
    <w:p>
      <w:pPr>
        <w:pStyle w:val="873"/>
        <w:numPr>
          <w:ilvl w:val="3"/>
          <w:numId w:val="28"/>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设计文档：Microsoft Word或PDF格式。</w:t>
      </w:r>
      <w:r/>
    </w:p>
    <w:p>
      <w:pPr>
        <w:pStyle w:val="873"/>
        <w:numPr>
          <w:ilvl w:val="3"/>
          <w:numId w:val="28"/>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设计数据：符合SMIC40LL PDK标准的格式。</w:t>
      </w:r>
      <w:r/>
    </w:p>
    <w:p>
      <w:pPr>
        <w:pStyle w:val="873"/>
        <w:numPr>
          <w:ilvl w:val="3"/>
          <w:numId w:val="28"/>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测试报告：含测试环境、测试用例、测试结果、问题清单。</w:t>
      </w:r>
      <w:r/>
    </w:p>
    <w:p>
      <w:pPr>
        <w:pStyle w:val="873"/>
        <w:numPr>
          <w:ilvl w:val="3"/>
          <w:numId w:val="28"/>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所有交付物需提交至需求方指定的版本管理系统（SVN/Git）。</w:t>
      </w:r>
      <w:r/>
    </w:p>
    <w:p>
      <w:pPr>
        <w:pStyle w:val="873"/>
        <w:numPr>
          <w:ilvl w:val="3"/>
          <w:numId w:val="28"/>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实物交付发货前必须在发货厂家包装防护良好，供应商应对因包装不当而造成的损坏和损伤负责</w:t>
      </w:r>
      <w:r>
        <w:rPr>
          <w:rFonts w:hint="eastAsia"/>
          <w:color w:val="auto"/>
          <w:highlight w:val="none"/>
        </w:rPr>
        <w:t xml:space="preserve">。</w:t>
      </w:r>
      <w:r/>
    </w:p>
    <w:p>
      <w:pPr>
        <w:pStyle w:val="872"/>
        <w:keepLines w:val="0"/>
        <w:keepNext w:val="0"/>
        <w:spacing w:before="0" w:after="0" w:line="360" w:lineRule="auto"/>
        <w:rPr>
          <w:color w:val="auto"/>
          <w:spacing w:val="-4"/>
          <w:sz w:val="21"/>
          <w:szCs w:val="24"/>
          <w:highlight w:val="none"/>
        </w:rPr>
      </w:pPr>
      <w:r/>
      <w:bookmarkStart w:id="338" w:name="_Toc234244231"/>
      <w:r>
        <w:rPr>
          <w:rFonts w:hint="eastAsia"/>
          <w:color w:val="auto"/>
          <w:spacing w:val="-4"/>
          <w:sz w:val="21"/>
          <w:szCs w:val="24"/>
          <w:highlight w:val="none"/>
        </w:rPr>
        <w:t xml:space="preserve">3.3.3 违约责任</w:t>
      </w:r>
      <w:bookmarkEnd w:id="338"/>
      <w:r/>
      <w:r/>
    </w:p>
    <w:p>
      <w:pPr>
        <w:pStyle w:val="873"/>
        <w:numPr>
          <w:ilvl w:val="3"/>
          <w:numId w:val="29"/>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质量违约：因设计缺陷导致流片失败，供应商承担重新流片的全部费用。</w:t>
      </w:r>
      <w:r/>
    </w:p>
    <w:p>
      <w:pPr>
        <w:pStyle w:val="873"/>
        <w:numPr>
          <w:ilvl w:val="3"/>
          <w:numId w:val="29"/>
        </w:numPr>
        <w:keepLines w:val="0"/>
        <w:keepNext w:val="0"/>
        <w:spacing w:line="240" w:lineRule="auto"/>
        <w:rPr>
          <w:rFonts w:ascii="Times New Roman" w:hAnsi="Times New Roman" w:eastAsia="宋体" w:cs="Times New Roman"/>
          <w:b w:val="0"/>
          <w:bCs w:val="0"/>
          <w:color w:val="auto"/>
          <w:spacing w:val="-2"/>
          <w:sz w:val="21"/>
          <w:szCs w:val="24"/>
          <w:highlight w:val="none"/>
        </w:rPr>
      </w:pPr>
      <w:r>
        <w:rPr>
          <w:rFonts w:hint="eastAsia" w:ascii="Times New Roman" w:hAnsi="Times New Roman" w:eastAsia="宋体" w:cs="Times New Roman"/>
          <w:b w:val="0"/>
          <w:bCs w:val="0"/>
          <w:color w:val="auto"/>
          <w:spacing w:val="-2"/>
          <w:sz w:val="21"/>
          <w:szCs w:val="24"/>
          <w:highlight w:val="none"/>
        </w:rPr>
        <w:t xml:space="preserve">数据安全责任：因供应商原因导致项目信息泄露，供应商承担相应的法律责任和经济赔偿。</w:t>
      </w:r>
      <w:r/>
    </w:p>
    <w:p>
      <w:pPr>
        <w:pStyle w:val="883"/>
        <w:ind w:firstLine="480"/>
        <w:rPr>
          <w:color w:val="auto"/>
          <w:highlight w:val="none"/>
        </w:rPr>
        <w:sectPr>
          <w:headerReference w:type="default" r:id="rId10"/>
          <w:footerReference w:type="default" r:id="rId14"/>
          <w:footnotePr/>
          <w:endnotePr/>
          <w:type w:val="nextPage"/>
          <w:pgSz w:w="11906" w:h="16838" w:orient="portrait"/>
          <w:pgMar w:top="1440" w:right="1133" w:bottom="1440" w:left="1134" w:header="851" w:footer="992" w:gutter="0"/>
          <w:cols w:num="1" w:sep="0" w:space="720" w:equalWidth="1"/>
          <w:docGrid w:linePitch="360"/>
        </w:sectPr>
      </w:pPr>
      <w:r>
        <w:rPr>
          <w:color w:val="auto"/>
          <w:highlight w:val="none"/>
        </w:rPr>
      </w:r>
      <w:r/>
    </w:p>
    <w:p>
      <w:pPr>
        <w:pStyle w:val="916"/>
        <w:spacing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第五章 评标方法与评标标准</w:t>
      </w:r>
      <w:bookmarkEnd w:id="262"/>
      <w:r/>
      <w:r/>
    </w:p>
    <w:p>
      <w:pPr>
        <w:spacing w:line="440" w:lineRule="exact"/>
        <w:rPr>
          <w:rFonts w:hint="eastAsia" w:ascii="宋体" w:hAnsi="宋体" w:cs="宋体"/>
          <w:b/>
          <w:bCs/>
          <w:color w:val="auto"/>
          <w:szCs w:val="21"/>
          <w:highlight w:val="none"/>
        </w:rPr>
      </w:pPr>
      <w:r>
        <w:rPr>
          <w:rFonts w:ascii="宋体" w:hAnsi="宋体"/>
          <w:color w:val="auto"/>
          <w:szCs w:val="21"/>
          <w:highlight w:val="none"/>
        </w:rPr>
        <w:t xml:space="preserve">本</w:t>
      </w:r>
      <w:r>
        <w:rPr>
          <w:rFonts w:hint="eastAsia" w:ascii="宋体" w:hAnsi="宋体"/>
          <w:color w:val="auto"/>
          <w:szCs w:val="21"/>
          <w:highlight w:val="none"/>
        </w:rPr>
        <w:t xml:space="preserve">项目采用综合评分法确定中标候选人。评标委员会将按以下评标办法和标准进行评分。总分值为</w:t>
      </w:r>
      <w:r>
        <w:rPr>
          <w:rFonts w:ascii="宋体" w:hAnsi="宋体"/>
          <w:color w:val="auto"/>
          <w:szCs w:val="21"/>
          <w:highlight w:val="none"/>
        </w:rPr>
        <w:t xml:space="preserve">100分，小</w:t>
      </w:r>
      <w:r>
        <w:rPr>
          <w:rFonts w:hint="eastAsia" w:ascii="宋体" w:hAnsi="宋体"/>
          <w:color w:val="auto"/>
          <w:szCs w:val="21"/>
          <w:highlight w:val="none"/>
        </w:rPr>
        <w:t xml:space="preserve">数点后保留两位。</w:t>
      </w:r>
      <w:r/>
    </w:p>
    <w:p>
      <w:pPr>
        <w:pStyle w:val="870"/>
        <w:ind w:left="0" w:right="210"/>
        <w:jc w:val="center"/>
        <w:spacing w:before="0" w:after="0"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评分细则</w:t>
      </w:r>
      <w:r/>
    </w:p>
    <w:tbl>
      <w:tblPr>
        <w:tblStyle w:val="1120"/>
        <w:tblW w:w="10222" w:type="dxa"/>
        <w:tblInd w:w="-32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189"/>
        <w:gridCol w:w="8444"/>
        <w:gridCol w:w="589"/>
      </w:tblGrid>
      <w:tr>
        <w:trPr>
          <w:trHeight w:val="297"/>
        </w:trPr>
        <w:tc>
          <w:tcPr>
            <w:tcW w:w="1189" w:type="dxa"/>
            <w:textDirection w:val="lrTb"/>
            <w:noWrap w:val="false"/>
          </w:tcPr>
          <w:p>
            <w:pPr>
              <w:pStyle w:val="1128"/>
              <w:ind w:left="59"/>
              <w:jc w:val="center"/>
              <w:spacing w:before="50" w:line="218" w:lineRule="auto"/>
              <w:rPr>
                <w:rFonts w:hint="eastAsia"/>
                <w:color w:val="auto"/>
                <w:sz w:val="20"/>
                <w:szCs w:val="20"/>
                <w:highlight w:val="none"/>
              </w:rPr>
            </w:pPr>
            <w:r>
              <w:rPr>
                <w:b/>
                <w:bCs/>
                <w:color w:val="auto"/>
                <w:spacing w:val="6"/>
                <w:sz w:val="20"/>
                <w:szCs w:val="20"/>
                <w:highlight w:val="none"/>
              </w:rPr>
              <w:t xml:space="preserve">评分因素</w:t>
            </w:r>
            <w:r/>
          </w:p>
        </w:tc>
        <w:tc>
          <w:tcPr>
            <w:tcW w:w="8444" w:type="dxa"/>
            <w:textDirection w:val="lrTb"/>
            <w:noWrap w:val="false"/>
          </w:tcPr>
          <w:p>
            <w:pPr>
              <w:pStyle w:val="1128"/>
              <w:jc w:val="center"/>
              <w:spacing w:before="50" w:line="218" w:lineRule="auto"/>
              <w:rPr>
                <w:rFonts w:hint="eastAsia"/>
                <w:color w:val="auto"/>
                <w:sz w:val="20"/>
                <w:szCs w:val="20"/>
                <w:highlight w:val="none"/>
              </w:rPr>
            </w:pPr>
            <w:r>
              <w:rPr>
                <w:b/>
                <w:bCs/>
                <w:color w:val="auto"/>
                <w:spacing w:val="6"/>
                <w:sz w:val="20"/>
                <w:szCs w:val="20"/>
                <w:highlight w:val="none"/>
              </w:rPr>
              <w:t xml:space="preserve">评分说明</w:t>
            </w:r>
            <w:r/>
          </w:p>
        </w:tc>
        <w:tc>
          <w:tcPr>
            <w:tcW w:w="589" w:type="dxa"/>
            <w:textDirection w:val="lrTb"/>
            <w:noWrap w:val="false"/>
          </w:tcPr>
          <w:p>
            <w:pPr>
              <w:pStyle w:val="1128"/>
              <w:jc w:val="center"/>
              <w:spacing w:before="50" w:line="218" w:lineRule="auto"/>
              <w:rPr>
                <w:rFonts w:hint="eastAsia"/>
                <w:color w:val="auto"/>
                <w:sz w:val="20"/>
                <w:szCs w:val="20"/>
                <w:highlight w:val="none"/>
              </w:rPr>
            </w:pPr>
            <w:r>
              <w:rPr>
                <w:b/>
                <w:bCs/>
                <w:color w:val="auto"/>
                <w:spacing w:val="2"/>
                <w:sz w:val="20"/>
                <w:szCs w:val="20"/>
                <w:highlight w:val="none"/>
              </w:rPr>
              <w:t xml:space="preserve">分值</w:t>
            </w:r>
            <w:r/>
          </w:p>
        </w:tc>
      </w:tr>
      <w:tr>
        <w:trPr>
          <w:trHeight w:val="1382"/>
        </w:trPr>
        <w:tc>
          <w:tcPr>
            <w:tcW w:w="1189" w:type="dxa"/>
            <w:vAlign w:val="center"/>
            <w:textDirection w:val="lrTb"/>
            <w:noWrap w:val="false"/>
          </w:tcPr>
          <w:p>
            <w:pPr>
              <w:pStyle w:val="1128"/>
              <w:jc w:val="center"/>
              <w:spacing w:before="65" w:line="226" w:lineRule="auto"/>
              <w:rPr>
                <w:rFonts w:hint="eastAsia"/>
                <w:color w:val="auto"/>
                <w:sz w:val="20"/>
                <w:szCs w:val="20"/>
                <w:highlight w:val="none"/>
              </w:rPr>
            </w:pPr>
            <w:r>
              <w:rPr>
                <w:color w:val="auto"/>
                <w:spacing w:val="6"/>
                <w:sz w:val="20"/>
                <w:szCs w:val="20"/>
                <w:highlight w:val="none"/>
              </w:rPr>
              <w:t xml:space="preserve">投标报价</w:t>
            </w:r>
            <w:r/>
          </w:p>
        </w:tc>
        <w:tc>
          <w:tcPr>
            <w:tcW w:w="8444" w:type="dxa"/>
            <w:textDirection w:val="lrTb"/>
            <w:noWrap w:val="false"/>
          </w:tcPr>
          <w:p>
            <w:pPr>
              <w:pStyle w:val="1128"/>
              <w:ind w:left="21" w:right="12" w:hanging="2"/>
              <w:spacing w:before="46"/>
              <w:rPr>
                <w:rFonts w:hint="eastAsia"/>
                <w:color w:val="auto"/>
                <w:sz w:val="20"/>
                <w:szCs w:val="20"/>
                <w:highlight w:val="none"/>
                <w:lang w:eastAsia="zh-CN"/>
              </w:rPr>
            </w:pPr>
            <w:r>
              <w:rPr>
                <w:color w:val="auto"/>
                <w:spacing w:val="8"/>
                <w:sz w:val="20"/>
                <w:szCs w:val="20"/>
                <w:highlight w:val="none"/>
                <w:lang w:eastAsia="zh-CN"/>
              </w:rPr>
              <w:t xml:space="preserve">满足招标文件要求且投标价格最低的投标报价为评标基准价，其价格分为满</w:t>
            </w:r>
            <w:r>
              <w:rPr>
                <w:color w:val="auto"/>
                <w:spacing w:val="9"/>
                <w:sz w:val="20"/>
                <w:szCs w:val="20"/>
                <w:highlight w:val="none"/>
                <w:lang w:eastAsia="zh-CN"/>
              </w:rPr>
              <w:t xml:space="preserve">分。其他投标人的价格分统一按照下列公式计算：</w:t>
            </w:r>
            <w:r/>
          </w:p>
          <w:p>
            <w:pPr>
              <w:pStyle w:val="1128"/>
              <w:ind w:left="22"/>
              <w:spacing w:before="1"/>
              <w:rPr>
                <w:rFonts w:hint="eastAsia"/>
                <w:color w:val="auto"/>
                <w:sz w:val="20"/>
                <w:szCs w:val="20"/>
                <w:highlight w:val="none"/>
                <w:lang w:eastAsia="zh-CN"/>
              </w:rPr>
            </w:pPr>
            <w:r>
              <w:rPr>
                <w:color w:val="auto"/>
                <w:spacing w:val="8"/>
                <w:sz w:val="20"/>
                <w:szCs w:val="20"/>
                <w:highlight w:val="none"/>
                <w:lang w:eastAsia="zh-CN"/>
              </w:rPr>
              <w:t xml:space="preserve">投标报价得分</w:t>
            </w:r>
            <w:r>
              <w:rPr>
                <w:color w:val="auto"/>
                <w:spacing w:val="-12"/>
                <w:sz w:val="20"/>
                <w:szCs w:val="20"/>
                <w:highlight w:val="none"/>
                <w:lang w:eastAsia="zh-CN"/>
              </w:rPr>
              <w:t xml:space="preserve">＝（</w:t>
            </w:r>
            <w:r>
              <w:rPr>
                <w:color w:val="auto"/>
                <w:spacing w:val="8"/>
                <w:sz w:val="20"/>
                <w:szCs w:val="20"/>
                <w:highlight w:val="none"/>
                <w:lang w:eastAsia="zh-CN"/>
              </w:rPr>
              <w:t xml:space="preserve">评标基准价/投标报价）</w:t>
            </w:r>
            <w:r>
              <w:rPr>
                <w:color w:val="auto"/>
                <w:spacing w:val="-52"/>
                <w:sz w:val="20"/>
                <w:szCs w:val="20"/>
                <w:highlight w:val="none"/>
                <w:lang w:eastAsia="zh-CN"/>
              </w:rPr>
              <w:t xml:space="preserve"> </w:t>
            </w:r>
            <w:r>
              <w:rPr>
                <w:color w:val="auto"/>
                <w:spacing w:val="8"/>
                <w:sz w:val="20"/>
                <w:szCs w:val="20"/>
                <w:highlight w:val="none"/>
                <w:lang w:eastAsia="zh-CN"/>
              </w:rPr>
              <w:t xml:space="preserve">×30。</w:t>
            </w:r>
            <w:r/>
          </w:p>
          <w:p>
            <w:pPr>
              <w:pStyle w:val="1128"/>
              <w:ind w:left="20" w:right="12"/>
              <w:spacing w:before="26"/>
              <w:rPr>
                <w:rFonts w:hint="eastAsia"/>
                <w:color w:val="auto"/>
                <w:sz w:val="20"/>
                <w:szCs w:val="20"/>
                <w:highlight w:val="none"/>
                <w:lang w:eastAsia="zh-CN"/>
              </w:rPr>
            </w:pPr>
            <w:r>
              <w:rPr>
                <w:color w:val="auto"/>
                <w:spacing w:val="8"/>
                <w:sz w:val="20"/>
                <w:szCs w:val="20"/>
                <w:highlight w:val="none"/>
                <w:lang w:eastAsia="zh-CN"/>
              </w:rPr>
              <w:t xml:space="preserve">此处投标报价指经过报价修正，及因落实政府采购政策进行价格调整后的报价，详见第四章《评标程序、评标方法和评标标准》2</w:t>
            </w:r>
            <w:r>
              <w:rPr>
                <w:color w:val="auto"/>
                <w:spacing w:val="7"/>
                <w:sz w:val="20"/>
                <w:szCs w:val="20"/>
                <w:highlight w:val="none"/>
                <w:lang w:eastAsia="zh-CN"/>
              </w:rPr>
              <w:t xml:space="preserve">.4</w:t>
            </w:r>
            <w:r>
              <w:rPr>
                <w:color w:val="auto"/>
                <w:spacing w:val="-41"/>
                <w:sz w:val="20"/>
                <w:szCs w:val="20"/>
                <w:highlight w:val="none"/>
                <w:lang w:eastAsia="zh-CN"/>
              </w:rPr>
              <w:t xml:space="preserve"> </w:t>
            </w:r>
            <w:r>
              <w:rPr>
                <w:color w:val="auto"/>
                <w:spacing w:val="7"/>
                <w:sz w:val="20"/>
                <w:szCs w:val="20"/>
                <w:highlight w:val="none"/>
                <w:lang w:eastAsia="zh-CN"/>
              </w:rPr>
              <w:t xml:space="preserve">及</w:t>
            </w:r>
            <w:r>
              <w:rPr>
                <w:color w:val="auto"/>
                <w:spacing w:val="-35"/>
                <w:sz w:val="20"/>
                <w:szCs w:val="20"/>
                <w:highlight w:val="none"/>
                <w:lang w:eastAsia="zh-CN"/>
              </w:rPr>
              <w:t xml:space="preserve"> </w:t>
            </w:r>
            <w:r>
              <w:rPr>
                <w:color w:val="auto"/>
                <w:spacing w:val="7"/>
                <w:sz w:val="20"/>
                <w:szCs w:val="20"/>
                <w:highlight w:val="none"/>
                <w:lang w:eastAsia="zh-CN"/>
              </w:rPr>
              <w:t xml:space="preserve">2.5。</w:t>
            </w:r>
            <w:r/>
          </w:p>
        </w:tc>
        <w:tc>
          <w:tcPr>
            <w:tcW w:w="589" w:type="dxa"/>
            <w:textDirection w:val="lrTb"/>
            <w:noWrap w:val="false"/>
          </w:tcPr>
          <w:p>
            <w:pPr>
              <w:jc w:val="center"/>
              <w:spacing w:line="367" w:lineRule="auto"/>
              <w:rPr>
                <w:rFonts w:ascii="Arial"/>
                <w:color w:val="auto"/>
                <w:highlight w:val="none"/>
                <w:lang w:eastAsia="zh-CN"/>
              </w:rPr>
            </w:pPr>
            <w:r>
              <w:rPr>
                <w:rFonts w:ascii="Arial"/>
                <w:color w:val="auto"/>
                <w:highlight w:val="none"/>
                <w:lang w:eastAsia="zh-CN"/>
              </w:rPr>
            </w:r>
            <w:r/>
          </w:p>
          <w:p>
            <w:pPr>
              <w:pStyle w:val="1128"/>
              <w:jc w:val="center"/>
              <w:spacing w:before="65" w:line="269" w:lineRule="exact"/>
              <w:rPr>
                <w:rFonts w:hint="eastAsia"/>
                <w:color w:val="auto"/>
                <w:sz w:val="20"/>
                <w:szCs w:val="20"/>
                <w:highlight w:val="none"/>
              </w:rPr>
            </w:pPr>
            <w:r>
              <w:rPr>
                <w:color w:val="auto"/>
                <w:spacing w:val="-3"/>
                <w:position w:val="1"/>
                <w:sz w:val="20"/>
                <w:szCs w:val="20"/>
                <w:highlight w:val="none"/>
              </w:rPr>
              <w:t xml:space="preserve">30</w:t>
            </w:r>
            <w:r/>
          </w:p>
        </w:tc>
      </w:tr>
      <w:tr>
        <w:trPr>
          <w:trHeight w:val="885"/>
        </w:trPr>
        <w:tc>
          <w:tcPr>
            <w:tcW w:w="1189" w:type="dxa"/>
            <w:vAlign w:val="center"/>
            <w:textDirection w:val="lrTb"/>
            <w:noWrap w:val="false"/>
          </w:tcPr>
          <w:p>
            <w:pPr>
              <w:pStyle w:val="1128"/>
              <w:jc w:val="center"/>
              <w:spacing w:before="65" w:line="226" w:lineRule="auto"/>
              <w:rPr>
                <w:rFonts w:hint="eastAsia"/>
                <w:color w:val="auto"/>
                <w:spacing w:val="6"/>
                <w:sz w:val="20"/>
                <w:szCs w:val="20"/>
                <w:highlight w:val="none"/>
              </w:rPr>
            </w:pPr>
            <w:r>
              <w:rPr>
                <w:rFonts w:hint="eastAsia"/>
                <w:color w:val="auto"/>
                <w:spacing w:val="6"/>
                <w:sz w:val="20"/>
                <w:szCs w:val="20"/>
                <w:highlight w:val="none"/>
                <w:lang w:eastAsia="zh-CN"/>
              </w:rPr>
              <w:t xml:space="preserve">体系认证</w:t>
            </w:r>
            <w:r/>
          </w:p>
        </w:tc>
        <w:tc>
          <w:tcPr>
            <w:tcW w:w="8444" w:type="dxa"/>
            <w:textDirection w:val="lrTb"/>
            <w:noWrap w:val="false"/>
          </w:tcPr>
          <w:p>
            <w:pPr>
              <w:pStyle w:val="1128"/>
              <w:ind w:left="21" w:right="12" w:hanging="2"/>
              <w:spacing w:before="46"/>
              <w:rPr>
                <w:rFonts w:hint="eastAsia"/>
                <w:color w:val="auto"/>
                <w:spacing w:val="8"/>
                <w:sz w:val="20"/>
                <w:szCs w:val="20"/>
                <w:highlight w:val="none"/>
                <w:lang w:eastAsia="zh-CN"/>
              </w:rPr>
            </w:pPr>
            <w:r>
              <w:rPr>
                <w:rFonts w:hint="eastAsia"/>
                <w:color w:val="auto"/>
                <w:spacing w:val="8"/>
                <w:sz w:val="20"/>
                <w:szCs w:val="20"/>
                <w:highlight w:val="none"/>
                <w:lang w:eastAsia="zh-CN"/>
              </w:rPr>
              <w:t xml:space="preserve">投标人提供</w:t>
            </w:r>
            <w:r>
              <w:rPr>
                <w:color w:val="auto"/>
                <w:spacing w:val="8"/>
                <w:sz w:val="20"/>
                <w:szCs w:val="20"/>
                <w:highlight w:val="none"/>
                <w:lang w:eastAsia="zh-CN"/>
              </w:rPr>
              <w:t xml:space="preserve">有效的ISO9001（GB/T19001）质量管理体系认证证书，认证范围应包含"端侧智能芯片设计"或覆盖端侧智能芯片设计业务（如人工智能芯片、边缘智能芯片、AI SoC、端侧AI芯片等相关设计业务）</w:t>
            </w:r>
            <w:r>
              <w:rPr>
                <w:rFonts w:hint="eastAsia"/>
                <w:color w:val="auto"/>
                <w:spacing w:val="8"/>
                <w:sz w:val="20"/>
                <w:szCs w:val="20"/>
                <w:highlight w:val="none"/>
                <w:lang w:val="en-US" w:eastAsia="zh-CN"/>
              </w:rPr>
              <w:t xml:space="preserve">得2分</w:t>
            </w:r>
            <w:r>
              <w:rPr>
                <w:rFonts w:hint="eastAsia"/>
                <w:color w:val="auto"/>
                <w:spacing w:val="8"/>
                <w:sz w:val="20"/>
                <w:szCs w:val="20"/>
                <w:highlight w:val="none"/>
                <w:lang w:eastAsia="zh-CN"/>
              </w:rPr>
              <w:t xml:space="preserve">，未提供不得分。（提供复印件并加盖公章）</w:t>
            </w:r>
            <w:r/>
          </w:p>
        </w:tc>
        <w:tc>
          <w:tcPr>
            <w:tcW w:w="589" w:type="dxa"/>
            <w:vAlign w:val="center"/>
            <w:textDirection w:val="lrTb"/>
            <w:noWrap w:val="false"/>
          </w:tcPr>
          <w:p>
            <w:pPr>
              <w:jc w:val="center"/>
              <w:spacing w:line="367" w:lineRule="auto"/>
              <w:rPr>
                <w:rFonts w:ascii="Arial"/>
                <w:color w:val="auto"/>
                <w:highlight w:val="none"/>
                <w:lang w:eastAsia="en-US"/>
              </w:rPr>
            </w:pPr>
            <w:r>
              <w:rPr>
                <w:rFonts w:hint="eastAsia" w:ascii="Arial"/>
                <w:color w:val="auto"/>
                <w:highlight w:val="none"/>
                <w:lang w:eastAsia="en-US"/>
              </w:rPr>
              <w:t xml:space="preserve">2</w:t>
            </w:r>
            <w:r/>
          </w:p>
        </w:tc>
      </w:tr>
      <w:tr>
        <w:trPr>
          <w:trHeight w:val="1033"/>
        </w:trPr>
        <w:tc>
          <w:tcPr>
            <w:tcW w:w="1189" w:type="dxa"/>
            <w:vAlign w:val="center"/>
            <w:textDirection w:val="lrTb"/>
            <w:noWrap w:val="false"/>
          </w:tcPr>
          <w:p>
            <w:pPr>
              <w:pStyle w:val="1128"/>
              <w:jc w:val="center"/>
              <w:spacing w:before="65" w:line="228" w:lineRule="auto"/>
              <w:rPr>
                <w:rFonts w:hint="eastAsia"/>
                <w:color w:val="auto"/>
                <w:sz w:val="20"/>
                <w:szCs w:val="20"/>
                <w:highlight w:val="none"/>
              </w:rPr>
            </w:pPr>
            <w:r>
              <w:rPr>
                <w:color w:val="auto"/>
                <w:spacing w:val="7"/>
                <w:sz w:val="20"/>
                <w:szCs w:val="20"/>
                <w:highlight w:val="none"/>
              </w:rPr>
              <w:t xml:space="preserve">类似业绩</w:t>
            </w:r>
            <w:r/>
          </w:p>
        </w:tc>
        <w:tc>
          <w:tcPr>
            <w:tcW w:w="8444" w:type="dxa"/>
            <w:textDirection w:val="lrTb"/>
            <w:noWrap w:val="false"/>
          </w:tcPr>
          <w:p>
            <w:pPr>
              <w:pStyle w:val="1128"/>
              <w:ind w:left="23" w:right="12" w:hanging="3"/>
              <w:spacing w:before="46"/>
              <w:rPr>
                <w:rFonts w:hint="eastAsia"/>
                <w:color w:val="auto"/>
                <w:sz w:val="20"/>
                <w:szCs w:val="20"/>
                <w:highlight w:val="none"/>
                <w:lang w:eastAsia="zh-CN"/>
              </w:rPr>
            </w:pPr>
            <w:r>
              <w:rPr>
                <w:color w:val="auto"/>
                <w:spacing w:val="5"/>
                <w:sz w:val="20"/>
                <w:szCs w:val="20"/>
                <w:highlight w:val="none"/>
                <w:lang w:eastAsia="zh-CN"/>
              </w:rPr>
              <w:t xml:space="preserve">提供投标人近</w:t>
            </w:r>
            <w:r>
              <w:rPr>
                <w:color w:val="auto"/>
                <w:spacing w:val="-35"/>
                <w:sz w:val="20"/>
                <w:szCs w:val="20"/>
                <w:highlight w:val="none"/>
                <w:lang w:eastAsia="zh-CN"/>
              </w:rPr>
              <w:t xml:space="preserve"> </w:t>
            </w:r>
            <w:r>
              <w:rPr>
                <w:color w:val="auto"/>
                <w:spacing w:val="5"/>
                <w:sz w:val="20"/>
                <w:szCs w:val="20"/>
                <w:highlight w:val="none"/>
                <w:lang w:eastAsia="zh-CN"/>
              </w:rPr>
              <w:t xml:space="preserve">3</w:t>
            </w:r>
            <w:r>
              <w:rPr>
                <w:color w:val="auto"/>
                <w:spacing w:val="-37"/>
                <w:sz w:val="20"/>
                <w:szCs w:val="20"/>
                <w:highlight w:val="none"/>
                <w:lang w:eastAsia="zh-CN"/>
              </w:rPr>
              <w:t xml:space="preserve"> </w:t>
            </w:r>
            <w:r>
              <w:rPr>
                <w:color w:val="auto"/>
                <w:spacing w:val="5"/>
                <w:sz w:val="20"/>
                <w:szCs w:val="20"/>
                <w:highlight w:val="none"/>
                <w:lang w:eastAsia="zh-CN"/>
              </w:rPr>
              <w:t xml:space="preserve">年（202</w:t>
            </w:r>
            <w:r>
              <w:rPr>
                <w:rFonts w:hint="eastAsia"/>
                <w:color w:val="auto"/>
                <w:spacing w:val="5"/>
                <w:sz w:val="20"/>
                <w:szCs w:val="20"/>
                <w:highlight w:val="none"/>
                <w:lang w:eastAsia="zh-CN"/>
              </w:rPr>
              <w:t xml:space="preserve">3</w:t>
            </w:r>
            <w:r>
              <w:rPr>
                <w:color w:val="auto"/>
                <w:spacing w:val="-40"/>
                <w:sz w:val="20"/>
                <w:szCs w:val="20"/>
                <w:highlight w:val="none"/>
                <w:lang w:eastAsia="zh-CN"/>
              </w:rPr>
              <w:t xml:space="preserve"> </w:t>
            </w:r>
            <w:r>
              <w:rPr>
                <w:color w:val="auto"/>
                <w:spacing w:val="5"/>
                <w:sz w:val="20"/>
                <w:szCs w:val="20"/>
                <w:highlight w:val="none"/>
                <w:lang w:eastAsia="zh-CN"/>
              </w:rPr>
              <w:t xml:space="preserve">年</w:t>
            </w:r>
            <w:r>
              <w:rPr>
                <w:color w:val="auto"/>
                <w:spacing w:val="-24"/>
                <w:sz w:val="20"/>
                <w:szCs w:val="20"/>
                <w:highlight w:val="none"/>
                <w:lang w:eastAsia="zh-CN"/>
              </w:rPr>
              <w:t xml:space="preserve"> </w:t>
            </w:r>
            <w:r>
              <w:rPr>
                <w:rFonts w:hint="eastAsia"/>
                <w:color w:val="auto"/>
                <w:spacing w:val="5"/>
                <w:sz w:val="20"/>
                <w:szCs w:val="20"/>
                <w:highlight w:val="none"/>
                <w:lang w:eastAsia="zh-CN"/>
              </w:rPr>
              <w:t xml:space="preserve">8</w:t>
            </w:r>
            <w:r>
              <w:rPr>
                <w:color w:val="auto"/>
                <w:spacing w:val="5"/>
                <w:sz w:val="20"/>
                <w:szCs w:val="20"/>
                <w:highlight w:val="none"/>
                <w:lang w:eastAsia="zh-CN"/>
              </w:rPr>
              <w:t xml:space="preserve">月</w:t>
            </w:r>
            <w:r>
              <w:rPr>
                <w:color w:val="auto"/>
                <w:spacing w:val="-24"/>
                <w:sz w:val="20"/>
                <w:szCs w:val="20"/>
                <w:highlight w:val="none"/>
                <w:lang w:eastAsia="zh-CN"/>
              </w:rPr>
              <w:t xml:space="preserve"> </w:t>
            </w:r>
            <w:r>
              <w:rPr>
                <w:color w:val="auto"/>
                <w:spacing w:val="5"/>
                <w:sz w:val="20"/>
                <w:szCs w:val="20"/>
                <w:highlight w:val="none"/>
                <w:lang w:eastAsia="zh-CN"/>
              </w:rPr>
              <w:t xml:space="preserve">1 日至</w:t>
            </w:r>
            <w:r>
              <w:rPr>
                <w:color w:val="auto"/>
                <w:spacing w:val="4"/>
                <w:sz w:val="20"/>
                <w:szCs w:val="20"/>
                <w:highlight w:val="none"/>
                <w:lang w:eastAsia="zh-CN"/>
              </w:rPr>
              <w:t xml:space="preserve">本项目投标截止日期，以合同签订</w:t>
            </w:r>
            <w:r>
              <w:rPr>
                <w:color w:val="auto"/>
                <w:spacing w:val="7"/>
                <w:sz w:val="20"/>
                <w:szCs w:val="20"/>
                <w:highlight w:val="none"/>
                <w:lang w:eastAsia="zh-CN"/>
              </w:rPr>
              <w:t xml:space="preserve">日期为准）与本项目同类的项目业绩，每提供一份有效的业绩得</w:t>
            </w:r>
            <w:r>
              <w:rPr>
                <w:color w:val="auto"/>
                <w:spacing w:val="-24"/>
                <w:sz w:val="20"/>
                <w:szCs w:val="20"/>
                <w:highlight w:val="none"/>
                <w:lang w:eastAsia="zh-CN"/>
              </w:rPr>
              <w:t xml:space="preserve"> </w:t>
            </w:r>
            <w:r>
              <w:rPr>
                <w:rFonts w:hint="eastAsia"/>
                <w:color w:val="auto"/>
                <w:spacing w:val="7"/>
                <w:sz w:val="20"/>
                <w:szCs w:val="20"/>
                <w:highlight w:val="none"/>
                <w:lang w:eastAsia="zh-CN"/>
              </w:rPr>
              <w:t xml:space="preserve">2</w:t>
            </w:r>
            <w:r>
              <w:rPr>
                <w:color w:val="auto"/>
                <w:spacing w:val="-35"/>
                <w:sz w:val="20"/>
                <w:szCs w:val="20"/>
                <w:highlight w:val="none"/>
                <w:lang w:eastAsia="zh-CN"/>
              </w:rPr>
              <w:t xml:space="preserve"> </w:t>
            </w:r>
            <w:r>
              <w:rPr>
                <w:color w:val="auto"/>
                <w:spacing w:val="7"/>
                <w:sz w:val="20"/>
                <w:szCs w:val="20"/>
                <w:highlight w:val="none"/>
                <w:lang w:eastAsia="zh-CN"/>
              </w:rPr>
              <w:t xml:space="preserve">分，</w:t>
            </w:r>
            <w:r>
              <w:rPr>
                <w:color w:val="auto"/>
                <w:spacing w:val="6"/>
                <w:sz w:val="20"/>
                <w:szCs w:val="20"/>
                <w:highlight w:val="none"/>
                <w:lang w:eastAsia="zh-CN"/>
              </w:rPr>
              <w:t xml:space="preserve">满分</w:t>
            </w:r>
            <w:r>
              <w:rPr>
                <w:rFonts w:hint="eastAsia"/>
                <w:color w:val="auto"/>
                <w:spacing w:val="-4"/>
                <w:sz w:val="20"/>
                <w:szCs w:val="20"/>
                <w:highlight w:val="none"/>
                <w:lang w:eastAsia="zh-CN"/>
              </w:rPr>
              <w:t xml:space="preserve">4</w:t>
            </w:r>
            <w:r>
              <w:rPr>
                <w:color w:val="auto"/>
                <w:spacing w:val="-4"/>
                <w:sz w:val="20"/>
                <w:szCs w:val="20"/>
                <w:highlight w:val="none"/>
                <w:lang w:eastAsia="zh-CN"/>
              </w:rPr>
              <w:t xml:space="preserve">分。</w:t>
            </w:r>
            <w:r/>
          </w:p>
          <w:p>
            <w:pPr>
              <w:pStyle w:val="1128"/>
              <w:ind w:left="19"/>
              <w:rPr>
                <w:rFonts w:hint="eastAsia"/>
                <w:color w:val="auto"/>
                <w:spacing w:val="2"/>
                <w:sz w:val="20"/>
                <w:szCs w:val="20"/>
                <w:highlight w:val="none"/>
                <w:lang w:eastAsia="zh-CN"/>
              </w:rPr>
            </w:pPr>
            <w:r>
              <w:rPr>
                <w:color w:val="auto"/>
                <w:spacing w:val="2"/>
                <w:sz w:val="20"/>
                <w:szCs w:val="20"/>
                <w:highlight w:val="none"/>
                <w:lang w:eastAsia="zh-CN"/>
              </w:rPr>
              <w:t xml:space="preserve">注：</w:t>
            </w:r>
            <w:r>
              <w:rPr>
                <w:rFonts w:hint="eastAsia"/>
                <w:color w:val="auto"/>
                <w:spacing w:val="2"/>
                <w:sz w:val="20"/>
                <w:szCs w:val="20"/>
                <w:highlight w:val="none"/>
                <w:lang w:eastAsia="zh-CN"/>
              </w:rPr>
              <w:t xml:space="preserve">1）</w:t>
            </w:r>
            <w:r>
              <w:rPr>
                <w:color w:val="auto"/>
                <w:spacing w:val="2"/>
                <w:sz w:val="20"/>
                <w:szCs w:val="20"/>
                <w:highlight w:val="none"/>
                <w:lang w:eastAsia="zh-CN"/>
              </w:rPr>
              <w:t xml:space="preserve">同类项目业绩是指采用与本项目目标工艺节点相同或更先进工艺节点的SMIC工艺平台定制芯片设计、流片（投片）或合作开发项目。</w:t>
            </w:r>
            <w:r/>
          </w:p>
          <w:p>
            <w:pPr>
              <w:pStyle w:val="1128"/>
              <w:ind w:left="19"/>
              <w:rPr>
                <w:rFonts w:hint="eastAsia"/>
                <w:color w:val="auto"/>
                <w:sz w:val="20"/>
                <w:szCs w:val="20"/>
                <w:highlight w:val="none"/>
                <w:lang w:eastAsia="zh-CN"/>
              </w:rPr>
            </w:pPr>
            <w:r>
              <w:rPr>
                <w:rFonts w:hint="eastAsia"/>
                <w:color w:val="auto"/>
                <w:spacing w:val="2"/>
                <w:sz w:val="20"/>
                <w:szCs w:val="20"/>
                <w:highlight w:val="none"/>
                <w:lang w:eastAsia="zh-CN"/>
              </w:rPr>
              <w:t xml:space="preserve">2）</w:t>
            </w:r>
            <w:r>
              <w:rPr>
                <w:color w:val="auto"/>
                <w:spacing w:val="2"/>
                <w:sz w:val="20"/>
                <w:szCs w:val="20"/>
                <w:highlight w:val="none"/>
                <w:lang w:eastAsia="zh-CN"/>
              </w:rPr>
              <w:t xml:space="preserve">每份业绩须同时提供与客户签订的项目合同及对应SMIC投片合同（或能够证明完成SMIC投片的其他证明材料）关键页复印件，且需提供能够证明上述两份合同之间存在对应关系的相关佐证材料（如项目编号一致、产品型号匹配、时间逻辑吻合等）。其中，合同关键页应至少包含合同甲乙双方、合同标的（能够体现项目内容）、双方签字或盖章页及合同签订日期，否则不予认可。</w:t>
            </w:r>
            <w:r/>
          </w:p>
        </w:tc>
        <w:tc>
          <w:tcPr>
            <w:tcW w:w="589" w:type="dxa"/>
            <w:vAlign w:val="center"/>
            <w:textDirection w:val="lrTb"/>
            <w:noWrap w:val="false"/>
          </w:tcPr>
          <w:p>
            <w:pPr>
              <w:pStyle w:val="1128"/>
              <w:jc w:val="center"/>
              <w:spacing w:before="65" w:line="269" w:lineRule="exact"/>
              <w:rPr>
                <w:rFonts w:hint="eastAsia"/>
                <w:color w:val="auto"/>
                <w:sz w:val="20"/>
                <w:szCs w:val="20"/>
                <w:highlight w:val="none"/>
                <w:lang w:eastAsia="zh-CN"/>
              </w:rPr>
            </w:pPr>
            <w:r>
              <w:rPr>
                <w:rFonts w:hint="eastAsia"/>
                <w:color w:val="auto"/>
                <w:position w:val="1"/>
                <w:sz w:val="20"/>
                <w:szCs w:val="20"/>
                <w:highlight w:val="none"/>
                <w:lang w:eastAsia="zh-CN"/>
              </w:rPr>
              <w:t xml:space="preserve">4</w:t>
            </w:r>
            <w:r/>
          </w:p>
        </w:tc>
      </w:tr>
      <w:tr>
        <w:trPr>
          <w:trHeight w:val="2061"/>
        </w:trPr>
        <w:tc>
          <w:tcPr>
            <w:tcW w:w="1189" w:type="dxa"/>
            <w:vAlign w:val="center"/>
            <w:textDirection w:val="lrTb"/>
            <w:noWrap w:val="false"/>
          </w:tcPr>
          <w:p>
            <w:pPr>
              <w:pStyle w:val="1128"/>
              <w:jc w:val="center"/>
              <w:spacing w:before="65" w:line="228" w:lineRule="auto"/>
              <w:rPr>
                <w:rFonts w:hint="eastAsia"/>
                <w:color w:val="auto"/>
                <w:sz w:val="20"/>
                <w:szCs w:val="20"/>
                <w:highlight w:val="none"/>
              </w:rPr>
            </w:pPr>
            <w:r>
              <w:rPr>
                <w:color w:val="auto"/>
                <w:spacing w:val="7"/>
                <w:sz w:val="20"/>
                <w:szCs w:val="20"/>
                <w:highlight w:val="none"/>
              </w:rPr>
              <w:t xml:space="preserve">技术性能</w:t>
            </w:r>
            <w:r/>
          </w:p>
        </w:tc>
        <w:tc>
          <w:tcPr>
            <w:tcW w:w="8444" w:type="dxa"/>
            <w:textDirection w:val="lrTb"/>
            <w:noWrap w:val="false"/>
          </w:tcPr>
          <w:p>
            <w:pPr>
              <w:pStyle w:val="1128"/>
              <w:ind w:left="22"/>
              <w:spacing w:before="44"/>
              <w:rPr>
                <w:rFonts w:hint="eastAsia"/>
                <w:color w:val="auto"/>
                <w:sz w:val="20"/>
                <w:szCs w:val="20"/>
                <w:highlight w:val="none"/>
                <w:lang w:eastAsia="zh-CN"/>
              </w:rPr>
            </w:pPr>
            <w:r>
              <w:rPr>
                <w:color w:val="auto"/>
                <w:spacing w:val="6"/>
                <w:sz w:val="20"/>
                <w:szCs w:val="20"/>
                <w:highlight w:val="none"/>
                <w:lang w:eastAsia="zh-CN"/>
              </w:rPr>
              <w:t xml:space="preserve">投标文件对采购需求</w:t>
            </w:r>
            <w:r>
              <w:rPr>
                <w:color w:val="auto"/>
                <w:spacing w:val="-20"/>
                <w:sz w:val="20"/>
                <w:szCs w:val="20"/>
                <w:highlight w:val="none"/>
                <w:lang w:eastAsia="zh-CN"/>
              </w:rPr>
              <w:t xml:space="preserve"> </w:t>
            </w:r>
            <w:r>
              <w:rPr>
                <w:color w:val="auto"/>
                <w:spacing w:val="6"/>
                <w:sz w:val="20"/>
                <w:szCs w:val="20"/>
                <w:highlight w:val="none"/>
                <w:lang w:eastAsia="zh-CN"/>
              </w:rPr>
              <w:t xml:space="preserve">2.1</w:t>
            </w:r>
            <w:r>
              <w:rPr>
                <w:color w:val="auto"/>
                <w:spacing w:val="-18"/>
                <w:sz w:val="20"/>
                <w:szCs w:val="20"/>
                <w:highlight w:val="none"/>
                <w:lang w:eastAsia="zh-CN"/>
              </w:rPr>
              <w:t xml:space="preserve"> </w:t>
            </w:r>
            <w:r>
              <w:rPr>
                <w:color w:val="auto"/>
                <w:spacing w:val="6"/>
                <w:sz w:val="20"/>
                <w:szCs w:val="20"/>
                <w:highlight w:val="none"/>
                <w:lang w:eastAsia="zh-CN"/>
              </w:rPr>
              <w:t xml:space="preserve">中各项的响应情况：</w:t>
            </w:r>
            <w:r/>
          </w:p>
          <w:p>
            <w:pPr>
              <w:pStyle w:val="1128"/>
              <w:ind w:left="29"/>
              <w:spacing w:before="27"/>
              <w:rPr>
                <w:rFonts w:hint="eastAsia"/>
                <w:color w:val="auto"/>
                <w:sz w:val="20"/>
                <w:szCs w:val="20"/>
                <w:highlight w:val="none"/>
                <w:lang w:eastAsia="zh-CN"/>
              </w:rPr>
            </w:pPr>
            <w:r>
              <w:rPr>
                <w:color w:val="auto"/>
                <w:spacing w:val="4"/>
                <w:sz w:val="20"/>
                <w:szCs w:val="20"/>
                <w:highlight w:val="none"/>
                <w:lang w:eastAsia="zh-CN"/>
              </w:rPr>
              <w:t xml:space="preserve">（1）全部技术指标均无负偏离，且响应内容完整、明确，得38分；</w:t>
            </w:r>
            <w:r>
              <w:rPr>
                <w:color w:val="auto"/>
                <w:spacing w:val="8"/>
                <w:sz w:val="20"/>
                <w:szCs w:val="20"/>
                <w:highlight w:val="none"/>
                <w:lang w:eastAsia="zh-CN"/>
              </w:rPr>
              <w:t xml:space="preserve">（2）</w:t>
            </w:r>
            <w:r>
              <w:rPr>
                <w:rFonts w:hint="eastAsia"/>
                <w:color w:val="auto"/>
                <w:spacing w:val="8"/>
                <w:sz w:val="20"/>
                <w:szCs w:val="20"/>
                <w:highlight w:val="none"/>
                <w:lang w:eastAsia="zh-CN"/>
              </w:rPr>
              <w:t xml:space="preserve">一般性指标（未带标记</w:t>
            </w:r>
            <w:r>
              <w:rPr>
                <w:rFonts w:hint="eastAsia"/>
                <w:color w:val="auto"/>
                <w:spacing w:val="-2"/>
                <w:sz w:val="20"/>
                <w:szCs w:val="20"/>
                <w:highlight w:val="none"/>
                <w:lang w:eastAsia="zh-CN"/>
              </w:rPr>
              <w:t xml:space="preserve">）（</w:t>
            </w:r>
            <w:r>
              <w:rPr>
                <w:rFonts w:hint="eastAsia"/>
                <w:color w:val="auto"/>
                <w:spacing w:val="8"/>
                <w:sz w:val="20"/>
                <w:szCs w:val="20"/>
                <w:highlight w:val="none"/>
                <w:lang w:eastAsia="zh-CN"/>
              </w:rPr>
              <w:t xml:space="preserve">共100项</w:t>
            </w:r>
            <w:r>
              <w:rPr>
                <w:rFonts w:hint="eastAsia"/>
                <w:color w:val="auto"/>
                <w:spacing w:val="-2"/>
                <w:sz w:val="20"/>
                <w:szCs w:val="20"/>
                <w:highlight w:val="none"/>
                <w:lang w:eastAsia="zh-CN"/>
              </w:rPr>
              <w:t xml:space="preserve">），</w:t>
            </w:r>
            <w:r>
              <w:rPr>
                <w:color w:val="auto"/>
                <w:spacing w:val="8"/>
                <w:sz w:val="20"/>
                <w:szCs w:val="20"/>
                <w:highlight w:val="none"/>
                <w:lang w:eastAsia="zh-CN"/>
              </w:rPr>
              <w:t xml:space="preserve">该部分满分10分。每有1项一般性技术指标条款存在负偏离，扣0.</w:t>
            </w:r>
            <w:r>
              <w:rPr>
                <w:rFonts w:hint="eastAsia"/>
                <w:color w:val="auto"/>
                <w:spacing w:val="8"/>
                <w:sz w:val="20"/>
                <w:szCs w:val="20"/>
                <w:highlight w:val="none"/>
                <w:lang w:eastAsia="zh-CN"/>
              </w:rPr>
              <w:t xml:space="preserve">1</w:t>
            </w:r>
            <w:r>
              <w:rPr>
                <w:color w:val="auto"/>
                <w:spacing w:val="8"/>
                <w:sz w:val="20"/>
                <w:szCs w:val="20"/>
                <w:highlight w:val="none"/>
                <w:lang w:eastAsia="zh-CN"/>
              </w:rPr>
              <w:t xml:space="preserve">分，累计扣分，扣完该部分分值为止</w:t>
            </w:r>
            <w:r>
              <w:rPr>
                <w:rFonts w:hint="eastAsia"/>
                <w:color w:val="auto"/>
                <w:spacing w:val="3"/>
                <w:sz w:val="20"/>
                <w:szCs w:val="20"/>
                <w:highlight w:val="none"/>
                <w:lang w:eastAsia="zh-CN"/>
              </w:rPr>
              <w:t xml:space="preserve">；</w:t>
            </w:r>
            <w:r>
              <w:rPr>
                <w:color w:val="auto"/>
                <w:spacing w:val="7"/>
                <w:sz w:val="20"/>
                <w:szCs w:val="20"/>
                <w:highlight w:val="none"/>
                <w:lang w:eastAsia="zh-CN"/>
              </w:rPr>
              <w:t xml:space="preserve">（3）带“▲</w:t>
            </w:r>
            <w:r>
              <w:rPr>
                <w:color w:val="auto"/>
                <w:spacing w:val="-66"/>
                <w:sz w:val="20"/>
                <w:szCs w:val="20"/>
                <w:highlight w:val="none"/>
                <w:lang w:eastAsia="zh-CN"/>
              </w:rPr>
              <w:t xml:space="preserve"> </w:t>
            </w:r>
            <w:r>
              <w:rPr>
                <w:color w:val="auto"/>
                <w:spacing w:val="7"/>
                <w:sz w:val="20"/>
                <w:szCs w:val="20"/>
                <w:highlight w:val="none"/>
                <w:lang w:eastAsia="zh-CN"/>
              </w:rPr>
              <w:t xml:space="preserve">”号标记的条款（共</w:t>
            </w:r>
            <w:r>
              <w:rPr>
                <w:rFonts w:hint="eastAsia"/>
                <w:color w:val="auto"/>
                <w:spacing w:val="-36"/>
                <w:sz w:val="20"/>
                <w:szCs w:val="20"/>
                <w:highlight w:val="none"/>
                <w:lang w:eastAsia="zh-CN"/>
              </w:rPr>
              <w:t xml:space="preserve"> 7</w:t>
            </w:r>
            <w:r>
              <w:rPr>
                <w:color w:val="auto"/>
                <w:spacing w:val="7"/>
                <w:sz w:val="20"/>
                <w:szCs w:val="20"/>
                <w:highlight w:val="none"/>
                <w:lang w:eastAsia="zh-CN"/>
              </w:rPr>
              <w:t xml:space="preserve">项</w:t>
            </w:r>
            <w:r>
              <w:rPr>
                <w:color w:val="auto"/>
                <w:spacing w:val="5"/>
                <w:sz w:val="20"/>
                <w:szCs w:val="20"/>
                <w:highlight w:val="none"/>
                <w:lang w:eastAsia="zh-CN"/>
              </w:rPr>
              <w:t xml:space="preserve">）</w:t>
            </w:r>
            <w:r>
              <w:rPr>
                <w:color w:val="auto"/>
                <w:spacing w:val="-59"/>
                <w:sz w:val="20"/>
                <w:szCs w:val="20"/>
                <w:highlight w:val="none"/>
                <w:lang w:eastAsia="zh-CN"/>
              </w:rPr>
              <w:t xml:space="preserve"> </w:t>
            </w:r>
            <w:r>
              <w:rPr>
                <w:color w:val="auto"/>
                <w:spacing w:val="5"/>
                <w:sz w:val="20"/>
                <w:szCs w:val="20"/>
                <w:highlight w:val="none"/>
                <w:lang w:eastAsia="zh-CN"/>
              </w:rPr>
              <w:t xml:space="preserve">，</w:t>
            </w:r>
            <w:r>
              <w:rPr>
                <w:color w:val="auto"/>
                <w:spacing w:val="7"/>
                <w:sz w:val="20"/>
                <w:szCs w:val="20"/>
                <w:highlight w:val="none"/>
                <w:lang w:eastAsia="zh-CN"/>
              </w:rPr>
              <w:t xml:space="preserve">该部分满分28分。每有1项带“▲”号技术指标条款存在负偏离，扣4分，累计扣分，扣完该部分分值为止</w:t>
            </w:r>
            <w:r>
              <w:rPr>
                <w:color w:val="auto"/>
                <w:spacing w:val="4"/>
                <w:sz w:val="20"/>
                <w:szCs w:val="20"/>
                <w:highlight w:val="none"/>
                <w:lang w:eastAsia="zh-CN"/>
              </w:rPr>
              <w:t xml:space="preserve">；</w:t>
            </w:r>
            <w:r/>
          </w:p>
          <w:p>
            <w:pPr>
              <w:pStyle w:val="1128"/>
              <w:ind w:left="20" w:right="74" w:hanging="1"/>
              <w:spacing w:before="1"/>
              <w:rPr>
                <w:rFonts w:hint="eastAsia"/>
                <w:color w:val="auto"/>
                <w:sz w:val="20"/>
                <w:szCs w:val="20"/>
                <w:highlight w:val="none"/>
              </w:rPr>
            </w:pPr>
            <w:r>
              <w:rPr>
                <w:color w:val="auto"/>
                <w:spacing w:val="9"/>
                <w:sz w:val="20"/>
                <w:szCs w:val="20"/>
                <w:highlight w:val="none"/>
                <w:lang w:eastAsia="zh-CN"/>
              </w:rPr>
              <w:t xml:space="preserve">注：1）凡标有最低一级序号的指标项即为一项技术条款，无论是否隶属于</w:t>
            </w:r>
            <w:r>
              <w:rPr>
                <w:color w:val="auto"/>
                <w:spacing w:val="6"/>
                <w:sz w:val="20"/>
                <w:szCs w:val="20"/>
                <w:highlight w:val="none"/>
                <w:lang w:eastAsia="zh-CN"/>
              </w:rPr>
              <w:t xml:space="preserve">上一级编号。</w:t>
            </w:r>
            <w:r>
              <w:rPr>
                <w:color w:val="auto"/>
                <w:spacing w:val="11"/>
                <w:sz w:val="20"/>
                <w:szCs w:val="20"/>
                <w:highlight w:val="none"/>
                <w:lang w:eastAsia="zh-CN"/>
              </w:rPr>
              <w:t xml:space="preserve">2）投标人需在采购需求偏离表中对技术要求的所有内容进行点对点应答，应在引用本招标文件的基础上,进行逐条逐项答复、说明或解释。</w:t>
            </w:r>
            <w:r>
              <w:rPr>
                <w:color w:val="auto"/>
                <w:spacing w:val="11"/>
                <w:sz w:val="20"/>
                <w:szCs w:val="20"/>
                <w:highlight w:val="none"/>
              </w:rPr>
              <w:t xml:space="preserve">投标文件</w:t>
            </w:r>
            <w:r>
              <w:rPr>
                <w:color w:val="auto"/>
                <w:spacing w:val="8"/>
                <w:sz w:val="20"/>
                <w:szCs w:val="20"/>
                <w:highlight w:val="none"/>
              </w:rPr>
              <w:t xml:space="preserve">中漏报技术条款视为负偏离。</w:t>
            </w:r>
            <w:r/>
          </w:p>
        </w:tc>
        <w:tc>
          <w:tcPr>
            <w:tcW w:w="589" w:type="dxa"/>
            <w:vAlign w:val="center"/>
            <w:textDirection w:val="lrTb"/>
            <w:noWrap w:val="false"/>
          </w:tcPr>
          <w:p>
            <w:pPr>
              <w:pStyle w:val="1128"/>
              <w:jc w:val="center"/>
              <w:spacing w:before="65" w:line="268" w:lineRule="exact"/>
              <w:rPr>
                <w:rFonts w:hint="eastAsia"/>
                <w:color w:val="auto"/>
                <w:sz w:val="20"/>
                <w:szCs w:val="20"/>
                <w:highlight w:val="none"/>
                <w:lang w:eastAsia="zh-CN"/>
              </w:rPr>
            </w:pPr>
            <w:r>
              <w:rPr>
                <w:rFonts w:hint="eastAsia"/>
                <w:color w:val="auto"/>
                <w:spacing w:val="2"/>
                <w:position w:val="1"/>
                <w:sz w:val="20"/>
                <w:szCs w:val="20"/>
                <w:highlight w:val="none"/>
                <w:lang w:eastAsia="zh-CN"/>
              </w:rPr>
              <w:t xml:space="preserve">38</w:t>
            </w:r>
            <w:r/>
          </w:p>
        </w:tc>
      </w:tr>
      <w:tr>
        <w:trPr>
          <w:trHeight w:val="1420"/>
        </w:trPr>
        <w:tc>
          <w:tcPr>
            <w:tcBorders>
              <w:bottom w:val="none" w:color="000000" w:sz="4" w:space="0"/>
            </w:tcBorders>
            <w:tcW w:w="1189" w:type="dxa"/>
            <w:vAlign w:val="center"/>
            <w:vMerge w:val="restart"/>
            <w:textDirection w:val="lrTb"/>
            <w:noWrap w:val="false"/>
          </w:tcPr>
          <w:p>
            <w:pPr>
              <w:pStyle w:val="1128"/>
              <w:jc w:val="center"/>
              <w:spacing w:before="65" w:line="228" w:lineRule="auto"/>
              <w:rPr>
                <w:rFonts w:hint="eastAsia"/>
                <w:color w:val="auto"/>
                <w:sz w:val="20"/>
                <w:szCs w:val="20"/>
                <w:highlight w:val="none"/>
              </w:rPr>
            </w:pPr>
            <w:r>
              <w:rPr>
                <w:color w:val="auto"/>
                <w:spacing w:val="6"/>
                <w:sz w:val="20"/>
                <w:szCs w:val="20"/>
                <w:highlight w:val="none"/>
              </w:rPr>
              <w:t xml:space="preserve">定制方案</w:t>
            </w:r>
            <w:r/>
          </w:p>
        </w:tc>
        <w:tc>
          <w:tcPr>
            <w:tcW w:w="8444" w:type="dxa"/>
            <w:textDirection w:val="lrTb"/>
            <w:noWrap w:val="false"/>
          </w:tcPr>
          <w:p>
            <w:pPr>
              <w:pStyle w:val="1128"/>
              <w:ind w:left="22"/>
              <w:spacing w:before="47"/>
              <w:rPr>
                <w:rFonts w:hint="eastAsia"/>
                <w:color w:val="auto"/>
                <w:sz w:val="20"/>
                <w:szCs w:val="20"/>
                <w:highlight w:val="none"/>
                <w:lang w:eastAsia="zh-CN"/>
              </w:rPr>
            </w:pPr>
            <w:r>
              <w:rPr>
                <w:color w:val="auto"/>
                <w:spacing w:val="8"/>
                <w:sz w:val="20"/>
                <w:szCs w:val="20"/>
                <w:highlight w:val="none"/>
                <w:lang w:eastAsia="zh-CN"/>
              </w:rPr>
              <w:t xml:space="preserve">投标人为本项目提供基于安全核心集成</w:t>
            </w:r>
            <w:r>
              <w:rPr>
                <w:color w:val="auto"/>
                <w:spacing w:val="-27"/>
                <w:sz w:val="20"/>
                <w:szCs w:val="20"/>
                <w:highlight w:val="none"/>
                <w:lang w:eastAsia="zh-CN"/>
              </w:rPr>
              <w:t xml:space="preserve"> </w:t>
            </w:r>
            <w:r>
              <w:rPr>
                <w:color w:val="auto"/>
                <w:sz w:val="20"/>
                <w:szCs w:val="20"/>
                <w:highlight w:val="none"/>
                <w:lang w:eastAsia="zh-CN"/>
              </w:rPr>
              <w:t xml:space="preserve">IP</w:t>
            </w:r>
            <w:r>
              <w:rPr>
                <w:color w:val="auto"/>
                <w:spacing w:val="-37"/>
                <w:sz w:val="20"/>
                <w:szCs w:val="20"/>
                <w:highlight w:val="none"/>
                <w:lang w:eastAsia="zh-CN"/>
              </w:rPr>
              <w:t xml:space="preserve"> </w:t>
            </w:r>
            <w:r>
              <w:rPr>
                <w:color w:val="auto"/>
                <w:spacing w:val="8"/>
                <w:sz w:val="20"/>
                <w:szCs w:val="20"/>
                <w:highlight w:val="none"/>
                <w:lang w:eastAsia="zh-CN"/>
              </w:rPr>
              <w:t xml:space="preserve">设计</w:t>
            </w:r>
            <w:r>
              <w:rPr>
                <w:color w:val="auto"/>
                <w:spacing w:val="7"/>
                <w:sz w:val="20"/>
                <w:szCs w:val="20"/>
                <w:highlight w:val="none"/>
                <w:lang w:eastAsia="zh-CN"/>
              </w:rPr>
              <w:t xml:space="preserve">方案：</w:t>
            </w:r>
            <w:r/>
          </w:p>
          <w:p>
            <w:pPr>
              <w:pStyle w:val="1128"/>
              <w:ind w:left="20" w:right="63" w:firstLine="14"/>
              <w:spacing w:before="28"/>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9"/>
                <w:sz w:val="20"/>
                <w:szCs w:val="20"/>
                <w:highlight w:val="none"/>
                <w:lang w:eastAsia="zh-CN"/>
              </w:rPr>
              <w:t xml:space="preserve">1）定制设计方案完整，符合项目特点，技术路线先进合理、设计可靠的，</w:t>
            </w:r>
            <w:r>
              <w:rPr>
                <w:color w:val="auto"/>
                <w:spacing w:val="-2"/>
                <w:sz w:val="20"/>
                <w:szCs w:val="20"/>
                <w:highlight w:val="none"/>
                <w:lang w:eastAsia="zh-CN"/>
              </w:rPr>
              <w:t xml:space="preserve">得</w:t>
            </w:r>
            <w:r>
              <w:rPr>
                <w:rFonts w:hint="eastAsia"/>
                <w:color w:val="auto"/>
                <w:spacing w:val="-2"/>
                <w:sz w:val="20"/>
                <w:szCs w:val="20"/>
                <w:highlight w:val="none"/>
                <w:lang w:eastAsia="zh-CN"/>
              </w:rPr>
              <w:t xml:space="preserve">4</w:t>
            </w:r>
            <w:r>
              <w:rPr>
                <w:color w:val="auto"/>
                <w:spacing w:val="-36"/>
                <w:sz w:val="20"/>
                <w:szCs w:val="20"/>
                <w:highlight w:val="none"/>
                <w:lang w:eastAsia="zh-CN"/>
              </w:rPr>
              <w:t xml:space="preserve"> </w:t>
            </w:r>
            <w:r>
              <w:rPr>
                <w:color w:val="auto"/>
                <w:spacing w:val="-2"/>
                <w:sz w:val="20"/>
                <w:szCs w:val="20"/>
                <w:highlight w:val="none"/>
                <w:lang w:eastAsia="zh-CN"/>
              </w:rPr>
              <w:t xml:space="preserve">分；</w:t>
            </w:r>
            <w:r/>
          </w:p>
          <w:p>
            <w:pPr>
              <w:pStyle w:val="1128"/>
              <w:ind w:left="22"/>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7"/>
                <w:sz w:val="20"/>
                <w:szCs w:val="20"/>
                <w:highlight w:val="none"/>
                <w:lang w:eastAsia="zh-CN"/>
              </w:rPr>
              <w:t xml:space="preserve">2）设计方案基本完整，技术路线合理、设计可靠，得</w:t>
            </w:r>
            <w:r>
              <w:rPr>
                <w:color w:val="auto"/>
                <w:spacing w:val="-14"/>
                <w:sz w:val="20"/>
                <w:szCs w:val="20"/>
                <w:highlight w:val="none"/>
                <w:lang w:eastAsia="zh-CN"/>
              </w:rPr>
              <w:t xml:space="preserve"> </w:t>
            </w:r>
            <w:r>
              <w:rPr>
                <w:rFonts w:hint="eastAsia"/>
                <w:color w:val="auto"/>
                <w:spacing w:val="7"/>
                <w:sz w:val="20"/>
                <w:szCs w:val="20"/>
                <w:highlight w:val="none"/>
                <w:lang w:eastAsia="zh-CN"/>
              </w:rPr>
              <w:t xml:space="preserve">2</w:t>
            </w:r>
            <w:r>
              <w:rPr>
                <w:color w:val="auto"/>
                <w:spacing w:val="7"/>
                <w:sz w:val="20"/>
                <w:szCs w:val="20"/>
                <w:highlight w:val="none"/>
                <w:lang w:eastAsia="zh-CN"/>
              </w:rPr>
              <w:t xml:space="preserve">分；</w:t>
            </w:r>
            <w:r/>
          </w:p>
          <w:p>
            <w:pPr>
              <w:pStyle w:val="1128"/>
              <w:ind w:left="23"/>
              <w:spacing w:before="25"/>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7"/>
                <w:sz w:val="20"/>
                <w:szCs w:val="20"/>
                <w:highlight w:val="none"/>
                <w:lang w:eastAsia="zh-CN"/>
              </w:rPr>
              <w:t xml:space="preserve">3）设计方案过于简单，或明显针对性不足的，得</w:t>
            </w:r>
            <w:r>
              <w:rPr>
                <w:color w:val="auto"/>
                <w:spacing w:val="-19"/>
                <w:sz w:val="20"/>
                <w:szCs w:val="20"/>
                <w:highlight w:val="none"/>
                <w:lang w:eastAsia="zh-CN"/>
              </w:rPr>
              <w:t xml:space="preserve"> </w:t>
            </w:r>
            <w:r>
              <w:rPr>
                <w:color w:val="auto"/>
                <w:spacing w:val="7"/>
                <w:sz w:val="20"/>
                <w:szCs w:val="20"/>
                <w:highlight w:val="none"/>
                <w:lang w:eastAsia="zh-CN"/>
              </w:rPr>
              <w:t xml:space="preserve">1</w:t>
            </w:r>
            <w:r>
              <w:rPr>
                <w:color w:val="auto"/>
                <w:spacing w:val="-38"/>
                <w:sz w:val="20"/>
                <w:szCs w:val="20"/>
                <w:highlight w:val="none"/>
                <w:lang w:eastAsia="zh-CN"/>
              </w:rPr>
              <w:t xml:space="preserve"> </w:t>
            </w:r>
            <w:r>
              <w:rPr>
                <w:color w:val="auto"/>
                <w:spacing w:val="7"/>
                <w:sz w:val="20"/>
                <w:szCs w:val="20"/>
                <w:highlight w:val="none"/>
                <w:lang w:eastAsia="zh-CN"/>
              </w:rPr>
              <w:t xml:space="preserve">分；</w:t>
            </w:r>
            <w:r/>
          </w:p>
          <w:p>
            <w:pPr>
              <w:pStyle w:val="1128"/>
              <w:ind w:left="18"/>
              <w:spacing w:before="26"/>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8"/>
                <w:sz w:val="20"/>
                <w:szCs w:val="20"/>
                <w:highlight w:val="none"/>
                <w:lang w:eastAsia="zh-CN"/>
              </w:rPr>
              <w:t xml:space="preserve">4）未提供定制设计方案或设计方案有重大缺陷，得</w:t>
            </w:r>
            <w:r>
              <w:rPr>
                <w:color w:val="auto"/>
                <w:spacing w:val="-35"/>
                <w:sz w:val="20"/>
                <w:szCs w:val="20"/>
                <w:highlight w:val="none"/>
                <w:lang w:eastAsia="zh-CN"/>
              </w:rPr>
              <w:t xml:space="preserve"> </w:t>
            </w:r>
            <w:r>
              <w:rPr>
                <w:color w:val="auto"/>
                <w:spacing w:val="7"/>
                <w:sz w:val="20"/>
                <w:szCs w:val="20"/>
                <w:highlight w:val="none"/>
                <w:lang w:eastAsia="zh-CN"/>
              </w:rPr>
              <w:t xml:space="preserve">0</w:t>
            </w:r>
            <w:r>
              <w:rPr>
                <w:color w:val="auto"/>
                <w:spacing w:val="-35"/>
                <w:sz w:val="20"/>
                <w:szCs w:val="20"/>
                <w:highlight w:val="none"/>
                <w:lang w:eastAsia="zh-CN"/>
              </w:rPr>
              <w:t xml:space="preserve"> </w:t>
            </w:r>
            <w:r>
              <w:rPr>
                <w:color w:val="auto"/>
                <w:spacing w:val="7"/>
                <w:sz w:val="20"/>
                <w:szCs w:val="20"/>
                <w:highlight w:val="none"/>
                <w:lang w:eastAsia="zh-CN"/>
              </w:rPr>
              <w:t xml:space="preserve">分。</w:t>
            </w:r>
            <w:r/>
          </w:p>
        </w:tc>
        <w:tc>
          <w:tcPr>
            <w:tcW w:w="589" w:type="dxa"/>
            <w:textDirection w:val="lrTb"/>
            <w:noWrap w:val="false"/>
          </w:tcPr>
          <w:p>
            <w:pPr>
              <w:jc w:val="center"/>
              <w:spacing w:line="330" w:lineRule="auto"/>
              <w:rPr>
                <w:rFonts w:ascii="Arial"/>
                <w:color w:val="auto"/>
                <w:highlight w:val="none"/>
                <w:lang w:eastAsia="zh-CN"/>
              </w:rPr>
            </w:pPr>
            <w:r>
              <w:rPr>
                <w:rFonts w:ascii="Arial"/>
                <w:color w:val="auto"/>
                <w:highlight w:val="none"/>
                <w:lang w:eastAsia="zh-CN"/>
              </w:rPr>
            </w:r>
            <w:r/>
          </w:p>
          <w:p>
            <w:pPr>
              <w:jc w:val="center"/>
              <w:spacing w:line="330" w:lineRule="auto"/>
              <w:rPr>
                <w:rFonts w:ascii="Arial"/>
                <w:color w:val="auto"/>
                <w:highlight w:val="none"/>
                <w:lang w:eastAsia="zh-CN"/>
              </w:rPr>
            </w:pPr>
            <w:r>
              <w:rPr>
                <w:rFonts w:ascii="Arial"/>
                <w:color w:val="auto"/>
                <w:highlight w:val="none"/>
                <w:lang w:eastAsia="zh-CN"/>
              </w:rPr>
            </w:r>
            <w:r/>
          </w:p>
          <w:p>
            <w:pPr>
              <w:pStyle w:val="1128"/>
              <w:jc w:val="center"/>
              <w:spacing w:before="65" w:line="270" w:lineRule="exact"/>
              <w:rPr>
                <w:rFonts w:hint="eastAsia"/>
                <w:color w:val="auto"/>
                <w:sz w:val="20"/>
                <w:szCs w:val="20"/>
                <w:highlight w:val="none"/>
                <w:lang w:eastAsia="zh-CN"/>
              </w:rPr>
            </w:pPr>
            <w:r>
              <w:rPr>
                <w:rFonts w:hint="eastAsia"/>
                <w:color w:val="auto"/>
                <w:position w:val="1"/>
                <w:sz w:val="20"/>
                <w:szCs w:val="20"/>
                <w:highlight w:val="none"/>
                <w:lang w:eastAsia="zh-CN"/>
              </w:rPr>
              <w:t xml:space="preserve">4</w:t>
            </w:r>
            <w:r/>
          </w:p>
        </w:tc>
      </w:tr>
      <w:tr>
        <w:trPr>
          <w:trHeight w:val="1392"/>
        </w:trPr>
        <w:tc>
          <w:tcPr>
            <w:tcBorders>
              <w:top w:val="none" w:color="000000" w:sz="4" w:space="0"/>
              <w:bottom w:val="none" w:color="000000" w:sz="4" w:space="0"/>
            </w:tcBorders>
            <w:tcW w:w="1189" w:type="dxa"/>
            <w:vAlign w:val="center"/>
            <w:vMerge w:val="continue"/>
            <w:textDirection w:val="lrTb"/>
            <w:noWrap w:val="false"/>
          </w:tcPr>
          <w:p>
            <w:pPr>
              <w:jc w:val="center"/>
              <w:rPr>
                <w:rFonts w:ascii="Arial"/>
                <w:color w:val="auto"/>
                <w:highlight w:val="none"/>
                <w:lang w:eastAsia="en-US"/>
              </w:rPr>
            </w:pPr>
            <w:r>
              <w:rPr>
                <w:rFonts w:ascii="Arial"/>
                <w:color w:val="auto"/>
                <w:highlight w:val="none"/>
                <w:lang w:eastAsia="en-US"/>
              </w:rPr>
            </w:r>
            <w:r/>
          </w:p>
        </w:tc>
        <w:tc>
          <w:tcPr>
            <w:tcW w:w="8444" w:type="dxa"/>
            <w:textDirection w:val="lrTb"/>
            <w:noWrap w:val="false"/>
          </w:tcPr>
          <w:p>
            <w:pPr>
              <w:pStyle w:val="1128"/>
              <w:ind w:left="22"/>
              <w:spacing w:before="50"/>
              <w:rPr>
                <w:rFonts w:hint="eastAsia"/>
                <w:color w:val="auto"/>
                <w:sz w:val="20"/>
                <w:szCs w:val="20"/>
                <w:highlight w:val="none"/>
                <w:lang w:eastAsia="zh-CN"/>
              </w:rPr>
            </w:pPr>
            <w:r>
              <w:rPr>
                <w:color w:val="auto"/>
                <w:spacing w:val="9"/>
                <w:sz w:val="20"/>
                <w:szCs w:val="20"/>
                <w:highlight w:val="none"/>
                <w:lang w:eastAsia="zh-CN"/>
              </w:rPr>
              <w:t xml:space="preserve">投标人为本项目提供安全核心的后端设计及流片设计方案：</w:t>
            </w:r>
            <w:r/>
          </w:p>
          <w:p>
            <w:pPr>
              <w:pStyle w:val="1128"/>
              <w:ind w:left="20" w:right="63" w:firstLine="14"/>
              <w:spacing w:before="26"/>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9"/>
                <w:sz w:val="20"/>
                <w:szCs w:val="20"/>
                <w:highlight w:val="none"/>
                <w:lang w:eastAsia="zh-CN"/>
              </w:rPr>
              <w:t xml:space="preserve">1）定制设计方案完整，符合项目特点，技术路线先进合理、设计可靠的，</w:t>
            </w:r>
            <w:r>
              <w:rPr>
                <w:color w:val="auto"/>
                <w:spacing w:val="-2"/>
                <w:sz w:val="20"/>
                <w:szCs w:val="20"/>
                <w:highlight w:val="none"/>
                <w:lang w:eastAsia="zh-CN"/>
              </w:rPr>
              <w:t xml:space="preserve">得</w:t>
            </w:r>
            <w:r>
              <w:rPr>
                <w:color w:val="auto"/>
                <w:spacing w:val="-37"/>
                <w:sz w:val="20"/>
                <w:szCs w:val="20"/>
                <w:highlight w:val="none"/>
                <w:lang w:eastAsia="zh-CN"/>
              </w:rPr>
              <w:t xml:space="preserve"> </w:t>
            </w:r>
            <w:r>
              <w:rPr>
                <w:rFonts w:hint="eastAsia"/>
                <w:color w:val="auto"/>
                <w:spacing w:val="-2"/>
                <w:sz w:val="20"/>
                <w:szCs w:val="20"/>
                <w:highlight w:val="none"/>
                <w:lang w:eastAsia="zh-CN"/>
              </w:rPr>
              <w:t xml:space="preserve">4</w:t>
            </w:r>
            <w:r>
              <w:rPr>
                <w:color w:val="auto"/>
                <w:spacing w:val="-2"/>
                <w:sz w:val="20"/>
                <w:szCs w:val="20"/>
                <w:highlight w:val="none"/>
                <w:lang w:eastAsia="zh-CN"/>
              </w:rPr>
              <w:t xml:space="preserve">分；</w:t>
            </w:r>
            <w:r/>
          </w:p>
          <w:p>
            <w:pPr>
              <w:pStyle w:val="1128"/>
              <w:ind w:left="22"/>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7"/>
                <w:sz w:val="20"/>
                <w:szCs w:val="20"/>
                <w:highlight w:val="none"/>
                <w:lang w:eastAsia="zh-CN"/>
              </w:rPr>
              <w:t xml:space="preserve">2）设计方案基本完整，技术路线合理、设计可靠，得</w:t>
            </w:r>
            <w:r>
              <w:rPr>
                <w:color w:val="auto"/>
                <w:spacing w:val="-14"/>
                <w:sz w:val="20"/>
                <w:szCs w:val="20"/>
                <w:highlight w:val="none"/>
                <w:lang w:eastAsia="zh-CN"/>
              </w:rPr>
              <w:t xml:space="preserve"> </w:t>
            </w:r>
            <w:r>
              <w:rPr>
                <w:rFonts w:hint="eastAsia"/>
                <w:color w:val="auto"/>
                <w:spacing w:val="7"/>
                <w:sz w:val="20"/>
                <w:szCs w:val="20"/>
                <w:highlight w:val="none"/>
                <w:lang w:eastAsia="zh-CN"/>
              </w:rPr>
              <w:t xml:space="preserve">2</w:t>
            </w:r>
            <w:r>
              <w:rPr>
                <w:color w:val="auto"/>
                <w:spacing w:val="7"/>
                <w:sz w:val="20"/>
                <w:szCs w:val="20"/>
                <w:highlight w:val="none"/>
                <w:lang w:eastAsia="zh-CN"/>
              </w:rPr>
              <w:t xml:space="preserve">分；</w:t>
            </w:r>
            <w:r/>
          </w:p>
          <w:p>
            <w:pPr>
              <w:pStyle w:val="1128"/>
              <w:ind w:left="23"/>
              <w:spacing w:before="25"/>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7"/>
                <w:sz w:val="20"/>
                <w:szCs w:val="20"/>
                <w:highlight w:val="none"/>
                <w:lang w:eastAsia="zh-CN"/>
              </w:rPr>
              <w:t xml:space="preserve">3）设计方案过于简单，或明显针对性不足的，得</w:t>
            </w:r>
            <w:r>
              <w:rPr>
                <w:color w:val="auto"/>
                <w:spacing w:val="-19"/>
                <w:sz w:val="20"/>
                <w:szCs w:val="20"/>
                <w:highlight w:val="none"/>
                <w:lang w:eastAsia="zh-CN"/>
              </w:rPr>
              <w:t xml:space="preserve"> </w:t>
            </w:r>
            <w:r>
              <w:rPr>
                <w:color w:val="auto"/>
                <w:spacing w:val="7"/>
                <w:sz w:val="20"/>
                <w:szCs w:val="20"/>
                <w:highlight w:val="none"/>
                <w:lang w:eastAsia="zh-CN"/>
              </w:rPr>
              <w:t xml:space="preserve">1</w:t>
            </w:r>
            <w:r>
              <w:rPr>
                <w:color w:val="auto"/>
                <w:spacing w:val="-38"/>
                <w:sz w:val="20"/>
                <w:szCs w:val="20"/>
                <w:highlight w:val="none"/>
                <w:lang w:eastAsia="zh-CN"/>
              </w:rPr>
              <w:t xml:space="preserve"> </w:t>
            </w:r>
            <w:r>
              <w:rPr>
                <w:color w:val="auto"/>
                <w:spacing w:val="7"/>
                <w:sz w:val="20"/>
                <w:szCs w:val="20"/>
                <w:highlight w:val="none"/>
                <w:lang w:eastAsia="zh-CN"/>
              </w:rPr>
              <w:t xml:space="preserve">分；</w:t>
            </w:r>
            <w:r/>
          </w:p>
          <w:p>
            <w:pPr>
              <w:pStyle w:val="1128"/>
              <w:ind w:left="18"/>
              <w:spacing w:before="27"/>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8"/>
                <w:sz w:val="20"/>
                <w:szCs w:val="20"/>
                <w:highlight w:val="none"/>
                <w:lang w:eastAsia="zh-CN"/>
              </w:rPr>
              <w:t xml:space="preserve">4）未提供定制设计方案或设计方案有重大缺陷，得</w:t>
            </w:r>
            <w:r>
              <w:rPr>
                <w:color w:val="auto"/>
                <w:spacing w:val="-35"/>
                <w:sz w:val="20"/>
                <w:szCs w:val="20"/>
                <w:highlight w:val="none"/>
                <w:lang w:eastAsia="zh-CN"/>
              </w:rPr>
              <w:t xml:space="preserve"> </w:t>
            </w:r>
            <w:r>
              <w:rPr>
                <w:color w:val="auto"/>
                <w:spacing w:val="7"/>
                <w:sz w:val="20"/>
                <w:szCs w:val="20"/>
                <w:highlight w:val="none"/>
                <w:lang w:eastAsia="zh-CN"/>
              </w:rPr>
              <w:t xml:space="preserve">0</w:t>
            </w:r>
            <w:r>
              <w:rPr>
                <w:color w:val="auto"/>
                <w:spacing w:val="-35"/>
                <w:sz w:val="20"/>
                <w:szCs w:val="20"/>
                <w:highlight w:val="none"/>
                <w:lang w:eastAsia="zh-CN"/>
              </w:rPr>
              <w:t xml:space="preserve"> </w:t>
            </w:r>
            <w:r>
              <w:rPr>
                <w:color w:val="auto"/>
                <w:spacing w:val="7"/>
                <w:sz w:val="20"/>
                <w:szCs w:val="20"/>
                <w:highlight w:val="none"/>
                <w:lang w:eastAsia="zh-CN"/>
              </w:rPr>
              <w:t xml:space="preserve">分。</w:t>
            </w:r>
            <w:r/>
          </w:p>
        </w:tc>
        <w:tc>
          <w:tcPr>
            <w:tcW w:w="589" w:type="dxa"/>
            <w:textDirection w:val="lrTb"/>
            <w:noWrap w:val="false"/>
          </w:tcPr>
          <w:p>
            <w:pPr>
              <w:jc w:val="center"/>
              <w:spacing w:line="330" w:lineRule="auto"/>
              <w:rPr>
                <w:rFonts w:ascii="Arial"/>
                <w:color w:val="auto"/>
                <w:highlight w:val="none"/>
                <w:lang w:eastAsia="zh-CN"/>
              </w:rPr>
            </w:pPr>
            <w:r>
              <w:rPr>
                <w:rFonts w:ascii="Arial"/>
                <w:color w:val="auto"/>
                <w:highlight w:val="none"/>
                <w:lang w:eastAsia="zh-CN"/>
              </w:rPr>
            </w:r>
            <w:r/>
          </w:p>
          <w:p>
            <w:pPr>
              <w:jc w:val="center"/>
              <w:spacing w:line="330" w:lineRule="auto"/>
              <w:rPr>
                <w:rFonts w:ascii="Arial"/>
                <w:color w:val="auto"/>
                <w:highlight w:val="none"/>
                <w:lang w:eastAsia="zh-CN"/>
              </w:rPr>
            </w:pPr>
            <w:r>
              <w:rPr>
                <w:rFonts w:ascii="Arial"/>
                <w:color w:val="auto"/>
                <w:highlight w:val="none"/>
                <w:lang w:eastAsia="zh-CN"/>
              </w:rPr>
            </w:r>
            <w:r/>
          </w:p>
          <w:p>
            <w:pPr>
              <w:pStyle w:val="1128"/>
              <w:jc w:val="center"/>
              <w:spacing w:before="65" w:line="270" w:lineRule="exact"/>
              <w:rPr>
                <w:rFonts w:hint="eastAsia"/>
                <w:color w:val="auto"/>
                <w:sz w:val="20"/>
                <w:szCs w:val="20"/>
                <w:highlight w:val="none"/>
                <w:lang w:eastAsia="zh-CN"/>
              </w:rPr>
            </w:pPr>
            <w:r>
              <w:rPr>
                <w:rFonts w:hint="eastAsia"/>
                <w:color w:val="auto"/>
                <w:position w:val="1"/>
                <w:sz w:val="20"/>
                <w:szCs w:val="20"/>
                <w:highlight w:val="none"/>
                <w:lang w:eastAsia="zh-CN"/>
              </w:rPr>
              <w:t xml:space="preserve">4</w:t>
            </w:r>
            <w:r/>
          </w:p>
        </w:tc>
      </w:tr>
      <w:tr>
        <w:trPr>
          <w:trHeight w:val="1419"/>
        </w:trPr>
        <w:tc>
          <w:tcPr>
            <w:tcBorders>
              <w:top w:val="none" w:color="000000" w:sz="4" w:space="0"/>
            </w:tcBorders>
            <w:tcW w:w="1189" w:type="dxa"/>
            <w:vAlign w:val="center"/>
            <w:vMerge w:val="continue"/>
            <w:textDirection w:val="lrTb"/>
            <w:noWrap w:val="false"/>
          </w:tcPr>
          <w:p>
            <w:pPr>
              <w:jc w:val="center"/>
              <w:rPr>
                <w:rFonts w:ascii="Arial"/>
                <w:color w:val="auto"/>
                <w:highlight w:val="none"/>
                <w:lang w:eastAsia="en-US"/>
              </w:rPr>
            </w:pPr>
            <w:r>
              <w:rPr>
                <w:rFonts w:ascii="Arial"/>
                <w:color w:val="auto"/>
                <w:highlight w:val="none"/>
                <w:lang w:eastAsia="en-US"/>
              </w:rPr>
            </w:r>
            <w:r/>
          </w:p>
        </w:tc>
        <w:tc>
          <w:tcPr>
            <w:tcW w:w="8444" w:type="dxa"/>
            <w:textDirection w:val="lrTb"/>
            <w:noWrap w:val="false"/>
          </w:tcPr>
          <w:p>
            <w:pPr>
              <w:pStyle w:val="1128"/>
              <w:ind w:left="22"/>
              <w:spacing w:before="50"/>
              <w:rPr>
                <w:rFonts w:hint="eastAsia"/>
                <w:color w:val="auto"/>
                <w:sz w:val="20"/>
                <w:szCs w:val="20"/>
                <w:highlight w:val="none"/>
                <w:lang w:eastAsia="zh-CN"/>
              </w:rPr>
            </w:pPr>
            <w:r>
              <w:rPr>
                <w:color w:val="auto"/>
                <w:spacing w:val="9"/>
                <w:sz w:val="20"/>
                <w:szCs w:val="20"/>
                <w:highlight w:val="none"/>
                <w:lang w:eastAsia="zh-CN"/>
              </w:rPr>
              <w:t xml:space="preserve">投标人为本项目提供安全核心封装测试设计方案：</w:t>
            </w:r>
            <w:r/>
          </w:p>
          <w:p>
            <w:pPr>
              <w:pStyle w:val="1128"/>
              <w:ind w:left="20" w:right="63" w:firstLine="14"/>
              <w:spacing w:before="26"/>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9"/>
                <w:sz w:val="20"/>
                <w:szCs w:val="20"/>
                <w:highlight w:val="none"/>
                <w:lang w:eastAsia="zh-CN"/>
              </w:rPr>
              <w:t xml:space="preserve">1）定制设计方案完整，符合项目特点，技术路线先进合理、设计可靠的，</w:t>
            </w:r>
            <w:r>
              <w:rPr>
                <w:color w:val="auto"/>
                <w:spacing w:val="-2"/>
                <w:sz w:val="20"/>
                <w:szCs w:val="20"/>
                <w:highlight w:val="none"/>
                <w:lang w:eastAsia="zh-CN"/>
              </w:rPr>
              <w:t xml:space="preserve">得</w:t>
            </w:r>
            <w:r>
              <w:rPr>
                <w:color w:val="auto"/>
                <w:spacing w:val="-37"/>
                <w:sz w:val="20"/>
                <w:szCs w:val="20"/>
                <w:highlight w:val="none"/>
                <w:lang w:eastAsia="zh-CN"/>
              </w:rPr>
              <w:t xml:space="preserve"> </w:t>
            </w:r>
            <w:r>
              <w:rPr>
                <w:rFonts w:hint="eastAsia"/>
                <w:color w:val="auto"/>
                <w:spacing w:val="-2"/>
                <w:sz w:val="20"/>
                <w:szCs w:val="20"/>
                <w:highlight w:val="none"/>
                <w:lang w:eastAsia="zh-CN"/>
              </w:rPr>
              <w:t xml:space="preserve">4</w:t>
            </w:r>
            <w:r>
              <w:rPr>
                <w:color w:val="auto"/>
                <w:spacing w:val="-36"/>
                <w:sz w:val="20"/>
                <w:szCs w:val="20"/>
                <w:highlight w:val="none"/>
                <w:lang w:eastAsia="zh-CN"/>
              </w:rPr>
              <w:t xml:space="preserve"> </w:t>
            </w:r>
            <w:r>
              <w:rPr>
                <w:color w:val="auto"/>
                <w:spacing w:val="-2"/>
                <w:sz w:val="20"/>
                <w:szCs w:val="20"/>
                <w:highlight w:val="none"/>
                <w:lang w:eastAsia="zh-CN"/>
              </w:rPr>
              <w:t xml:space="preserve">分；</w:t>
            </w:r>
            <w:r/>
          </w:p>
          <w:p>
            <w:pPr>
              <w:pStyle w:val="1128"/>
              <w:ind w:left="22"/>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7"/>
                <w:sz w:val="20"/>
                <w:szCs w:val="20"/>
                <w:highlight w:val="none"/>
                <w:lang w:eastAsia="zh-CN"/>
              </w:rPr>
              <w:t xml:space="preserve">2）设计方案基本完整，技术路线合理、设计可靠，得</w:t>
            </w:r>
            <w:r>
              <w:rPr>
                <w:color w:val="auto"/>
                <w:spacing w:val="-14"/>
                <w:sz w:val="20"/>
                <w:szCs w:val="20"/>
                <w:highlight w:val="none"/>
                <w:lang w:eastAsia="zh-CN"/>
              </w:rPr>
              <w:t xml:space="preserve"> </w:t>
            </w:r>
            <w:r>
              <w:rPr>
                <w:rFonts w:hint="eastAsia"/>
                <w:color w:val="auto"/>
                <w:spacing w:val="7"/>
                <w:sz w:val="20"/>
                <w:szCs w:val="20"/>
                <w:highlight w:val="none"/>
                <w:lang w:eastAsia="zh-CN"/>
              </w:rPr>
              <w:t xml:space="preserve">2</w:t>
            </w:r>
            <w:r>
              <w:rPr>
                <w:color w:val="auto"/>
                <w:spacing w:val="-38"/>
                <w:sz w:val="20"/>
                <w:szCs w:val="20"/>
                <w:highlight w:val="none"/>
                <w:lang w:eastAsia="zh-CN"/>
              </w:rPr>
              <w:t xml:space="preserve"> </w:t>
            </w:r>
            <w:r>
              <w:rPr>
                <w:color w:val="auto"/>
                <w:spacing w:val="7"/>
                <w:sz w:val="20"/>
                <w:szCs w:val="20"/>
                <w:highlight w:val="none"/>
                <w:lang w:eastAsia="zh-CN"/>
              </w:rPr>
              <w:t xml:space="preserve">分；</w:t>
            </w:r>
            <w:r/>
          </w:p>
          <w:p>
            <w:pPr>
              <w:pStyle w:val="1128"/>
              <w:ind w:left="23"/>
              <w:spacing w:before="27"/>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7"/>
                <w:sz w:val="20"/>
                <w:szCs w:val="20"/>
                <w:highlight w:val="none"/>
                <w:lang w:eastAsia="zh-CN"/>
              </w:rPr>
              <w:t xml:space="preserve">3）设计方案过于简单，或明显针对性不足的，得</w:t>
            </w:r>
            <w:r>
              <w:rPr>
                <w:color w:val="auto"/>
                <w:spacing w:val="-19"/>
                <w:sz w:val="20"/>
                <w:szCs w:val="20"/>
                <w:highlight w:val="none"/>
                <w:lang w:eastAsia="zh-CN"/>
              </w:rPr>
              <w:t xml:space="preserve"> </w:t>
            </w:r>
            <w:r>
              <w:rPr>
                <w:color w:val="auto"/>
                <w:spacing w:val="7"/>
                <w:sz w:val="20"/>
                <w:szCs w:val="20"/>
                <w:highlight w:val="none"/>
                <w:lang w:eastAsia="zh-CN"/>
              </w:rPr>
              <w:t xml:space="preserve">1</w:t>
            </w:r>
            <w:r>
              <w:rPr>
                <w:color w:val="auto"/>
                <w:spacing w:val="-38"/>
                <w:sz w:val="20"/>
                <w:szCs w:val="20"/>
                <w:highlight w:val="none"/>
                <w:lang w:eastAsia="zh-CN"/>
              </w:rPr>
              <w:t xml:space="preserve"> </w:t>
            </w:r>
            <w:r>
              <w:rPr>
                <w:color w:val="auto"/>
                <w:spacing w:val="7"/>
                <w:sz w:val="20"/>
                <w:szCs w:val="20"/>
                <w:highlight w:val="none"/>
                <w:lang w:eastAsia="zh-CN"/>
              </w:rPr>
              <w:t xml:space="preserve">分；</w:t>
            </w:r>
            <w:r/>
          </w:p>
          <w:p>
            <w:pPr>
              <w:pStyle w:val="1128"/>
              <w:ind w:left="18"/>
              <w:spacing w:before="25"/>
              <w:rPr>
                <w:rFonts w:hint="eastAsia"/>
                <w:color w:val="auto"/>
                <w:sz w:val="20"/>
                <w:szCs w:val="20"/>
                <w:highlight w:val="none"/>
                <w:lang w:eastAsia="zh-CN"/>
              </w:rPr>
            </w:pPr>
            <w:r>
              <w:rPr>
                <w:rFonts w:hint="eastAsia"/>
                <w:color w:val="auto"/>
                <w:spacing w:val="9"/>
                <w:sz w:val="20"/>
                <w:szCs w:val="20"/>
                <w:highlight w:val="none"/>
                <w:lang w:eastAsia="zh-CN"/>
              </w:rPr>
              <w:t xml:space="preserve">（</w:t>
            </w:r>
            <w:r>
              <w:rPr>
                <w:color w:val="auto"/>
                <w:spacing w:val="8"/>
                <w:sz w:val="20"/>
                <w:szCs w:val="20"/>
                <w:highlight w:val="none"/>
                <w:lang w:eastAsia="zh-CN"/>
              </w:rPr>
              <w:t xml:space="preserve">4）未提供定制设计方案或设计方案有重大缺陷，得</w:t>
            </w:r>
            <w:r>
              <w:rPr>
                <w:color w:val="auto"/>
                <w:spacing w:val="-35"/>
                <w:sz w:val="20"/>
                <w:szCs w:val="20"/>
                <w:highlight w:val="none"/>
                <w:lang w:eastAsia="zh-CN"/>
              </w:rPr>
              <w:t xml:space="preserve"> </w:t>
            </w:r>
            <w:r>
              <w:rPr>
                <w:color w:val="auto"/>
                <w:spacing w:val="7"/>
                <w:sz w:val="20"/>
                <w:szCs w:val="20"/>
                <w:highlight w:val="none"/>
                <w:lang w:eastAsia="zh-CN"/>
              </w:rPr>
              <w:t xml:space="preserve">0</w:t>
            </w:r>
            <w:r>
              <w:rPr>
                <w:color w:val="auto"/>
                <w:spacing w:val="-35"/>
                <w:sz w:val="20"/>
                <w:szCs w:val="20"/>
                <w:highlight w:val="none"/>
                <w:lang w:eastAsia="zh-CN"/>
              </w:rPr>
              <w:t xml:space="preserve"> </w:t>
            </w:r>
            <w:r>
              <w:rPr>
                <w:color w:val="auto"/>
                <w:spacing w:val="7"/>
                <w:sz w:val="20"/>
                <w:szCs w:val="20"/>
                <w:highlight w:val="none"/>
                <w:lang w:eastAsia="zh-CN"/>
              </w:rPr>
              <w:t xml:space="preserve">分。</w:t>
            </w:r>
            <w:r/>
          </w:p>
        </w:tc>
        <w:tc>
          <w:tcPr>
            <w:tcW w:w="589" w:type="dxa"/>
            <w:textDirection w:val="lrTb"/>
            <w:noWrap w:val="false"/>
          </w:tcPr>
          <w:p>
            <w:pPr>
              <w:jc w:val="center"/>
              <w:spacing w:line="330" w:lineRule="auto"/>
              <w:rPr>
                <w:rFonts w:ascii="Arial"/>
                <w:color w:val="auto"/>
                <w:highlight w:val="none"/>
                <w:lang w:eastAsia="zh-CN"/>
              </w:rPr>
            </w:pPr>
            <w:r>
              <w:rPr>
                <w:rFonts w:ascii="Arial"/>
                <w:color w:val="auto"/>
                <w:highlight w:val="none"/>
                <w:lang w:eastAsia="zh-CN"/>
              </w:rPr>
            </w:r>
            <w:r/>
          </w:p>
          <w:p>
            <w:pPr>
              <w:jc w:val="center"/>
              <w:spacing w:line="330" w:lineRule="auto"/>
              <w:rPr>
                <w:rFonts w:ascii="Arial"/>
                <w:color w:val="auto"/>
                <w:highlight w:val="none"/>
                <w:lang w:eastAsia="zh-CN"/>
              </w:rPr>
            </w:pPr>
            <w:r>
              <w:rPr>
                <w:rFonts w:ascii="Arial"/>
                <w:color w:val="auto"/>
                <w:highlight w:val="none"/>
                <w:lang w:eastAsia="zh-CN"/>
              </w:rPr>
            </w:r>
            <w:r/>
          </w:p>
          <w:p>
            <w:pPr>
              <w:pStyle w:val="1128"/>
              <w:jc w:val="center"/>
              <w:spacing w:before="66" w:line="270" w:lineRule="exact"/>
              <w:rPr>
                <w:rFonts w:hint="eastAsia"/>
                <w:color w:val="auto"/>
                <w:sz w:val="20"/>
                <w:szCs w:val="20"/>
                <w:highlight w:val="none"/>
                <w:lang w:eastAsia="zh-CN"/>
              </w:rPr>
            </w:pPr>
            <w:r>
              <w:rPr>
                <w:rFonts w:hint="eastAsia"/>
                <w:color w:val="auto"/>
                <w:position w:val="1"/>
                <w:sz w:val="20"/>
                <w:szCs w:val="20"/>
                <w:highlight w:val="none"/>
                <w:lang w:eastAsia="zh-CN"/>
              </w:rPr>
              <w:t xml:space="preserve">4</w:t>
            </w:r>
            <w:r/>
          </w:p>
        </w:tc>
      </w:tr>
      <w:tr>
        <w:trPr>
          <w:trHeight w:val="2093"/>
        </w:trPr>
        <w:tc>
          <w:tcPr>
            <w:tcW w:w="1189" w:type="dxa"/>
            <w:vAlign w:val="center"/>
            <w:textDirection w:val="lrTb"/>
            <w:noWrap w:val="false"/>
          </w:tcPr>
          <w:p>
            <w:pPr>
              <w:pStyle w:val="1128"/>
              <w:ind w:right="55"/>
              <w:jc w:val="center"/>
              <w:spacing w:before="65" w:line="254" w:lineRule="auto"/>
              <w:rPr>
                <w:rFonts w:hint="eastAsia"/>
                <w:color w:val="auto"/>
                <w:sz w:val="20"/>
                <w:szCs w:val="20"/>
                <w:highlight w:val="none"/>
              </w:rPr>
            </w:pPr>
            <w:r>
              <w:rPr>
                <w:color w:val="auto"/>
                <w:spacing w:val="7"/>
                <w:sz w:val="20"/>
                <w:szCs w:val="20"/>
                <w:highlight w:val="none"/>
              </w:rPr>
              <w:t xml:space="preserve">售后服务</w:t>
            </w:r>
            <w:r>
              <w:rPr>
                <w:color w:val="auto"/>
                <w:spacing w:val="4"/>
                <w:sz w:val="20"/>
                <w:szCs w:val="20"/>
                <w:highlight w:val="none"/>
              </w:rPr>
              <w:t xml:space="preserve">方案</w:t>
            </w:r>
            <w:r/>
          </w:p>
        </w:tc>
        <w:tc>
          <w:tcPr>
            <w:tcW w:w="8444" w:type="dxa"/>
            <w:textDirection w:val="lrTb"/>
            <w:noWrap w:val="false"/>
          </w:tcPr>
          <w:p>
            <w:pPr>
              <w:pStyle w:val="1128"/>
              <w:ind w:left="21" w:right="12"/>
              <w:spacing w:before="52"/>
              <w:rPr>
                <w:rFonts w:hint="eastAsia"/>
                <w:color w:val="auto"/>
                <w:sz w:val="20"/>
                <w:szCs w:val="20"/>
                <w:highlight w:val="none"/>
                <w:lang w:eastAsia="zh-CN"/>
              </w:rPr>
            </w:pPr>
            <w:r>
              <w:rPr>
                <w:color w:val="auto"/>
                <w:spacing w:val="8"/>
                <w:sz w:val="20"/>
                <w:szCs w:val="20"/>
                <w:highlight w:val="none"/>
                <w:lang w:eastAsia="zh-CN"/>
              </w:rPr>
              <w:t xml:space="preserve">投标人应针对本项目提供关于质保期限、故障响应时间等内容的售后服务方案，并在投标文件中明确列出：</w:t>
            </w:r>
            <w:r/>
          </w:p>
          <w:p>
            <w:pPr>
              <w:pStyle w:val="1128"/>
              <w:ind w:left="22" w:right="12" w:firstLine="34"/>
              <w:spacing w:before="1"/>
              <w:rPr>
                <w:rFonts w:hint="eastAsia"/>
                <w:color w:val="auto"/>
                <w:spacing w:val="10"/>
                <w:sz w:val="20"/>
                <w:szCs w:val="20"/>
                <w:highlight w:val="none"/>
                <w:lang w:eastAsia="zh-CN"/>
              </w:rPr>
            </w:pPr>
            <w:r>
              <w:rPr>
                <w:color w:val="auto"/>
                <w:spacing w:val="10"/>
                <w:sz w:val="20"/>
                <w:szCs w:val="20"/>
                <w:highlight w:val="none"/>
                <w:lang w:eastAsia="zh-CN"/>
              </w:rPr>
              <w:t xml:space="preserve">(1)售后服务方案满足或优于项目要求的，服务体系完善，服务内容</w:t>
            </w:r>
            <w:r>
              <w:rPr>
                <w:color w:val="auto"/>
                <w:spacing w:val="9"/>
                <w:sz w:val="20"/>
                <w:szCs w:val="20"/>
                <w:highlight w:val="none"/>
                <w:lang w:eastAsia="zh-CN"/>
              </w:rPr>
              <w:t xml:space="preserve">有针对</w:t>
            </w:r>
            <w:r>
              <w:rPr>
                <w:color w:val="auto"/>
                <w:spacing w:val="1"/>
                <w:sz w:val="20"/>
                <w:szCs w:val="20"/>
                <w:highlight w:val="none"/>
                <w:lang w:eastAsia="zh-CN"/>
              </w:rPr>
              <w:t xml:space="preserve">性，得</w:t>
            </w:r>
            <w:r>
              <w:rPr>
                <w:color w:val="auto"/>
                <w:spacing w:val="-24"/>
                <w:sz w:val="20"/>
                <w:szCs w:val="20"/>
                <w:highlight w:val="none"/>
                <w:lang w:eastAsia="zh-CN"/>
              </w:rPr>
              <w:t xml:space="preserve"> </w:t>
            </w:r>
            <w:r>
              <w:rPr>
                <w:rFonts w:hint="eastAsia"/>
                <w:color w:val="auto"/>
                <w:spacing w:val="1"/>
                <w:sz w:val="20"/>
                <w:szCs w:val="20"/>
                <w:highlight w:val="none"/>
                <w:lang w:eastAsia="zh-CN"/>
              </w:rPr>
              <w:t xml:space="preserve">4</w:t>
            </w:r>
            <w:r>
              <w:rPr>
                <w:color w:val="auto"/>
                <w:spacing w:val="1"/>
                <w:sz w:val="20"/>
                <w:szCs w:val="20"/>
                <w:highlight w:val="none"/>
                <w:lang w:eastAsia="zh-CN"/>
              </w:rPr>
              <w:t xml:space="preserve">分；</w:t>
            </w:r>
            <w:r/>
          </w:p>
          <w:p>
            <w:pPr>
              <w:pStyle w:val="1128"/>
              <w:ind w:left="19" w:right="12" w:firstLine="36"/>
              <w:spacing w:before="52"/>
              <w:rPr>
                <w:rFonts w:hint="eastAsia"/>
                <w:color w:val="auto"/>
                <w:sz w:val="20"/>
                <w:szCs w:val="20"/>
                <w:highlight w:val="none"/>
                <w:lang w:eastAsia="zh-CN"/>
              </w:rPr>
            </w:pPr>
            <w:r>
              <w:rPr>
                <w:color w:val="auto"/>
                <w:spacing w:val="9"/>
                <w:sz w:val="20"/>
                <w:szCs w:val="20"/>
                <w:highlight w:val="none"/>
                <w:lang w:eastAsia="zh-CN"/>
              </w:rPr>
              <w:t xml:space="preserve">(2)售后服务方案基本满足项目要求，服务体系基本完善（略有不足</w:t>
            </w:r>
            <w:r>
              <w:rPr>
                <w:color w:val="auto"/>
                <w:spacing w:val="24"/>
                <w:sz w:val="20"/>
                <w:szCs w:val="20"/>
                <w:highlight w:val="none"/>
                <w:lang w:eastAsia="zh-CN"/>
              </w:rPr>
              <w:t xml:space="preserve">），</w:t>
            </w:r>
            <w:r>
              <w:rPr>
                <w:color w:val="auto"/>
                <w:spacing w:val="9"/>
                <w:sz w:val="20"/>
                <w:szCs w:val="20"/>
                <w:highlight w:val="none"/>
                <w:lang w:eastAsia="zh-CN"/>
              </w:rPr>
              <w:t xml:space="preserve">承</w:t>
            </w:r>
            <w:r>
              <w:rPr>
                <w:color w:val="auto"/>
                <w:spacing w:val="6"/>
                <w:sz w:val="20"/>
                <w:szCs w:val="20"/>
                <w:highlight w:val="none"/>
                <w:lang w:eastAsia="zh-CN"/>
              </w:rPr>
              <w:t xml:space="preserve">诺服务内容具有一定的针对性，得</w:t>
            </w:r>
            <w:r>
              <w:rPr>
                <w:color w:val="auto"/>
                <w:spacing w:val="-13"/>
                <w:sz w:val="20"/>
                <w:szCs w:val="20"/>
                <w:highlight w:val="none"/>
                <w:lang w:eastAsia="zh-CN"/>
              </w:rPr>
              <w:t xml:space="preserve"> </w:t>
            </w:r>
            <w:r>
              <w:rPr>
                <w:rFonts w:hint="eastAsia"/>
                <w:color w:val="auto"/>
                <w:spacing w:val="6"/>
                <w:sz w:val="20"/>
                <w:szCs w:val="20"/>
                <w:highlight w:val="none"/>
                <w:lang w:eastAsia="zh-CN"/>
              </w:rPr>
              <w:t xml:space="preserve">2</w:t>
            </w:r>
            <w:r>
              <w:rPr>
                <w:color w:val="auto"/>
                <w:spacing w:val="6"/>
                <w:sz w:val="20"/>
                <w:szCs w:val="20"/>
                <w:highlight w:val="none"/>
                <w:lang w:eastAsia="zh-CN"/>
              </w:rPr>
              <w:t xml:space="preserve">分；</w:t>
            </w:r>
            <w:r/>
          </w:p>
          <w:p>
            <w:pPr>
              <w:pStyle w:val="1128"/>
              <w:ind w:left="22" w:right="12" w:firstLine="34"/>
              <w:rPr>
                <w:rFonts w:hint="eastAsia"/>
                <w:color w:val="auto"/>
                <w:sz w:val="20"/>
                <w:szCs w:val="20"/>
                <w:highlight w:val="none"/>
                <w:lang w:eastAsia="zh-CN"/>
              </w:rPr>
            </w:pPr>
            <w:r>
              <w:rPr>
                <w:color w:val="auto"/>
                <w:spacing w:val="10"/>
                <w:sz w:val="20"/>
                <w:szCs w:val="20"/>
                <w:highlight w:val="none"/>
                <w:lang w:eastAsia="zh-CN"/>
              </w:rPr>
              <w:t xml:space="preserve">(3)售后服务方案基本满足项目要求，服务体系不完善，承诺服务内</w:t>
            </w:r>
            <w:r>
              <w:rPr>
                <w:color w:val="auto"/>
                <w:spacing w:val="9"/>
                <w:sz w:val="20"/>
                <w:szCs w:val="20"/>
                <w:highlight w:val="none"/>
                <w:lang w:eastAsia="zh-CN"/>
              </w:rPr>
              <w:t xml:space="preserve">容针对</w:t>
            </w:r>
            <w:r>
              <w:rPr>
                <w:color w:val="auto"/>
                <w:spacing w:val="4"/>
                <w:sz w:val="20"/>
                <w:szCs w:val="20"/>
                <w:highlight w:val="none"/>
                <w:lang w:eastAsia="zh-CN"/>
              </w:rPr>
              <w:t xml:space="preserve">性欠佳，得</w:t>
            </w:r>
            <w:r>
              <w:rPr>
                <w:color w:val="auto"/>
                <w:spacing w:val="-37"/>
                <w:sz w:val="20"/>
                <w:szCs w:val="20"/>
                <w:highlight w:val="none"/>
                <w:lang w:eastAsia="zh-CN"/>
              </w:rPr>
              <w:t xml:space="preserve"> </w:t>
            </w:r>
            <w:r>
              <w:rPr>
                <w:rFonts w:hint="eastAsia"/>
                <w:color w:val="auto"/>
                <w:spacing w:val="4"/>
                <w:sz w:val="20"/>
                <w:szCs w:val="20"/>
                <w:highlight w:val="none"/>
                <w:lang w:eastAsia="zh-CN"/>
              </w:rPr>
              <w:t xml:space="preserve">1</w:t>
            </w:r>
            <w:r>
              <w:rPr>
                <w:color w:val="auto"/>
                <w:spacing w:val="4"/>
                <w:sz w:val="20"/>
                <w:szCs w:val="20"/>
                <w:highlight w:val="none"/>
                <w:lang w:eastAsia="zh-CN"/>
              </w:rPr>
              <w:t xml:space="preserve">分；</w:t>
            </w:r>
            <w:r/>
          </w:p>
          <w:p>
            <w:pPr>
              <w:pStyle w:val="1128"/>
              <w:ind w:left="56"/>
              <w:rPr>
                <w:rFonts w:hint="eastAsia"/>
                <w:color w:val="auto"/>
                <w:sz w:val="20"/>
                <w:szCs w:val="20"/>
                <w:highlight w:val="none"/>
                <w:lang w:eastAsia="zh-CN"/>
              </w:rPr>
            </w:pPr>
            <w:r>
              <w:rPr>
                <w:color w:val="auto"/>
                <w:spacing w:val="6"/>
                <w:sz w:val="20"/>
                <w:szCs w:val="20"/>
                <w:highlight w:val="none"/>
                <w:lang w:eastAsia="zh-CN"/>
              </w:rPr>
              <w:t xml:space="preserve">(4)售后服务方案无法满足项目要求或未提供的，得</w:t>
            </w:r>
            <w:r>
              <w:rPr>
                <w:color w:val="auto"/>
                <w:spacing w:val="-30"/>
                <w:sz w:val="20"/>
                <w:szCs w:val="20"/>
                <w:highlight w:val="none"/>
                <w:lang w:eastAsia="zh-CN"/>
              </w:rPr>
              <w:t xml:space="preserve"> </w:t>
            </w:r>
            <w:r>
              <w:rPr>
                <w:color w:val="auto"/>
                <w:spacing w:val="6"/>
                <w:sz w:val="20"/>
                <w:szCs w:val="20"/>
                <w:highlight w:val="none"/>
                <w:lang w:eastAsia="zh-CN"/>
              </w:rPr>
              <w:t xml:space="preserve">0</w:t>
            </w:r>
            <w:r>
              <w:rPr>
                <w:color w:val="auto"/>
                <w:spacing w:val="-35"/>
                <w:sz w:val="20"/>
                <w:szCs w:val="20"/>
                <w:highlight w:val="none"/>
                <w:lang w:eastAsia="zh-CN"/>
              </w:rPr>
              <w:t xml:space="preserve"> </w:t>
            </w:r>
            <w:r>
              <w:rPr>
                <w:color w:val="auto"/>
                <w:spacing w:val="6"/>
                <w:sz w:val="20"/>
                <w:szCs w:val="20"/>
                <w:highlight w:val="none"/>
                <w:lang w:eastAsia="zh-CN"/>
              </w:rPr>
              <w:t xml:space="preserve">分。</w:t>
            </w:r>
            <w:r/>
          </w:p>
        </w:tc>
        <w:tc>
          <w:tcPr>
            <w:tcW w:w="589" w:type="dxa"/>
            <w:textDirection w:val="lrTb"/>
            <w:noWrap w:val="false"/>
          </w:tcPr>
          <w:p>
            <w:pPr>
              <w:jc w:val="center"/>
              <w:spacing w:line="391" w:lineRule="auto"/>
              <w:rPr>
                <w:rFonts w:ascii="Arial"/>
                <w:color w:val="auto"/>
                <w:highlight w:val="none"/>
                <w:lang w:eastAsia="zh-CN"/>
              </w:rPr>
            </w:pPr>
            <w:r>
              <w:rPr>
                <w:rFonts w:ascii="Arial"/>
                <w:color w:val="auto"/>
                <w:highlight w:val="none"/>
                <w:lang w:eastAsia="zh-CN"/>
              </w:rPr>
            </w:r>
            <w:r/>
          </w:p>
          <w:p>
            <w:pPr>
              <w:pStyle w:val="1128"/>
              <w:jc w:val="center"/>
              <w:spacing w:before="65" w:line="268" w:lineRule="exact"/>
              <w:rPr>
                <w:rFonts w:hint="eastAsia"/>
                <w:color w:val="auto"/>
                <w:sz w:val="20"/>
                <w:szCs w:val="20"/>
                <w:highlight w:val="none"/>
                <w:lang w:eastAsia="zh-CN"/>
              </w:rPr>
            </w:pPr>
            <w:r>
              <w:rPr>
                <w:rFonts w:hint="eastAsia"/>
                <w:color w:val="auto"/>
                <w:spacing w:val="-3"/>
                <w:position w:val="1"/>
                <w:sz w:val="20"/>
                <w:szCs w:val="20"/>
                <w:highlight w:val="none"/>
                <w:lang w:eastAsia="zh-CN"/>
              </w:rPr>
              <w:t xml:space="preserve">4</w:t>
            </w:r>
            <w:r/>
          </w:p>
        </w:tc>
      </w:tr>
      <w:tr>
        <w:trPr>
          <w:trHeight w:val="1960"/>
        </w:trPr>
        <w:tc>
          <w:tcPr>
            <w:tcW w:w="1189" w:type="dxa"/>
            <w:vAlign w:val="center"/>
            <w:textDirection w:val="lrTb"/>
            <w:noWrap w:val="false"/>
          </w:tcPr>
          <w:p>
            <w:pPr>
              <w:pStyle w:val="1128"/>
              <w:ind w:right="55"/>
              <w:jc w:val="center"/>
              <w:spacing w:before="65" w:line="254" w:lineRule="auto"/>
              <w:rPr>
                <w:rFonts w:hint="eastAsia"/>
                <w:color w:val="auto"/>
                <w:sz w:val="20"/>
                <w:szCs w:val="20"/>
                <w:highlight w:val="none"/>
              </w:rPr>
            </w:pPr>
            <w:r>
              <w:rPr>
                <w:color w:val="auto"/>
                <w:spacing w:val="6"/>
                <w:sz w:val="20"/>
                <w:szCs w:val="20"/>
                <w:highlight w:val="none"/>
              </w:rPr>
              <w:t xml:space="preserve">项目实施</w:t>
            </w:r>
            <w:r>
              <w:rPr>
                <w:color w:val="auto"/>
                <w:spacing w:val="4"/>
                <w:sz w:val="20"/>
                <w:szCs w:val="20"/>
                <w:highlight w:val="none"/>
              </w:rPr>
              <w:t xml:space="preserve">方案</w:t>
            </w:r>
            <w:r/>
          </w:p>
        </w:tc>
        <w:tc>
          <w:tcPr>
            <w:tcW w:w="8444" w:type="dxa"/>
            <w:textDirection w:val="lrTb"/>
            <w:noWrap w:val="false"/>
          </w:tcPr>
          <w:p>
            <w:pPr>
              <w:pStyle w:val="1128"/>
              <w:ind w:left="18" w:right="12" w:firstLine="3"/>
              <w:spacing w:before="47"/>
              <w:rPr>
                <w:rFonts w:hint="eastAsia"/>
                <w:color w:val="auto"/>
                <w:sz w:val="20"/>
                <w:szCs w:val="20"/>
                <w:highlight w:val="none"/>
                <w:lang w:eastAsia="zh-CN"/>
              </w:rPr>
            </w:pPr>
            <w:r>
              <w:rPr>
                <w:color w:val="auto"/>
                <w:spacing w:val="8"/>
                <w:sz w:val="20"/>
                <w:szCs w:val="20"/>
                <w:highlight w:val="none"/>
                <w:lang w:eastAsia="zh-CN"/>
              </w:rPr>
              <w:t xml:space="preserve">投标人应针对本项目提供关于进度控制，交货、安装、调试等内容的项目实</w:t>
            </w:r>
            <w:r>
              <w:rPr>
                <w:color w:val="auto"/>
                <w:spacing w:val="5"/>
                <w:sz w:val="20"/>
                <w:szCs w:val="20"/>
                <w:highlight w:val="none"/>
                <w:lang w:eastAsia="zh-CN"/>
              </w:rPr>
              <w:t xml:space="preserve">施方案：</w:t>
            </w:r>
            <w:r/>
          </w:p>
          <w:p>
            <w:pPr>
              <w:pStyle w:val="1128"/>
              <w:ind w:left="22" w:right="12" w:firstLine="34"/>
              <w:rPr>
                <w:rFonts w:hint="eastAsia"/>
                <w:color w:val="auto"/>
                <w:sz w:val="20"/>
                <w:szCs w:val="20"/>
                <w:highlight w:val="none"/>
                <w:lang w:eastAsia="zh-CN"/>
              </w:rPr>
            </w:pPr>
            <w:r>
              <w:rPr>
                <w:color w:val="auto"/>
                <w:spacing w:val="10"/>
                <w:sz w:val="20"/>
                <w:szCs w:val="20"/>
                <w:highlight w:val="none"/>
                <w:lang w:eastAsia="zh-CN"/>
              </w:rPr>
              <w:t xml:space="preserve">(1)方案内容全面、明确重点，详细合理、有针对性、贴近项目需求</w:t>
            </w:r>
            <w:r>
              <w:rPr>
                <w:color w:val="auto"/>
                <w:spacing w:val="9"/>
                <w:sz w:val="20"/>
                <w:szCs w:val="20"/>
                <w:highlight w:val="none"/>
                <w:lang w:eastAsia="zh-CN"/>
              </w:rPr>
              <w:t xml:space="preserve">，为该项目提出合理化建议，重点、难点分析全面；技术措施可靠、有保障，得</w:t>
            </w:r>
            <w:r>
              <w:rPr>
                <w:color w:val="auto"/>
                <w:spacing w:val="-34"/>
                <w:sz w:val="20"/>
                <w:szCs w:val="20"/>
                <w:highlight w:val="none"/>
                <w:lang w:eastAsia="zh-CN"/>
              </w:rPr>
              <w:t xml:space="preserve"> </w:t>
            </w:r>
            <w:r>
              <w:rPr>
                <w:rFonts w:hint="eastAsia"/>
                <w:color w:val="auto"/>
                <w:spacing w:val="9"/>
                <w:sz w:val="20"/>
                <w:szCs w:val="20"/>
                <w:highlight w:val="none"/>
                <w:lang w:eastAsia="zh-CN"/>
              </w:rPr>
              <w:t xml:space="preserve">4</w:t>
            </w:r>
            <w:r>
              <w:rPr>
                <w:color w:val="auto"/>
                <w:spacing w:val="-1"/>
                <w:sz w:val="20"/>
                <w:szCs w:val="20"/>
                <w:highlight w:val="none"/>
                <w:lang w:eastAsia="zh-CN"/>
              </w:rPr>
              <w:t xml:space="preserve">分；</w:t>
            </w:r>
            <w:r/>
          </w:p>
          <w:p>
            <w:pPr>
              <w:pStyle w:val="1128"/>
              <w:ind w:left="20" w:right="12" w:firstLine="35"/>
              <w:rPr>
                <w:rFonts w:hint="eastAsia"/>
                <w:color w:val="auto"/>
                <w:sz w:val="20"/>
                <w:szCs w:val="20"/>
                <w:highlight w:val="none"/>
                <w:lang w:eastAsia="zh-CN"/>
              </w:rPr>
            </w:pPr>
            <w:r>
              <w:rPr>
                <w:color w:val="auto"/>
                <w:spacing w:val="10"/>
                <w:sz w:val="20"/>
                <w:szCs w:val="20"/>
                <w:highlight w:val="none"/>
                <w:lang w:eastAsia="zh-CN"/>
              </w:rPr>
              <w:t xml:space="preserve">(2)方案内容基本全面，但存在部分非核心工作表述不清晰，常规通</w:t>
            </w:r>
            <w:r>
              <w:rPr>
                <w:color w:val="auto"/>
                <w:spacing w:val="9"/>
                <w:sz w:val="20"/>
                <w:szCs w:val="20"/>
                <w:highlight w:val="none"/>
                <w:lang w:eastAsia="zh-CN"/>
              </w:rPr>
              <w:t xml:space="preserve">用，有</w:t>
            </w:r>
            <w:r>
              <w:rPr>
                <w:color w:val="auto"/>
                <w:spacing w:val="5"/>
                <w:sz w:val="20"/>
                <w:szCs w:val="20"/>
                <w:highlight w:val="none"/>
                <w:lang w:eastAsia="zh-CN"/>
              </w:rPr>
              <w:t xml:space="preserve">重难点分析，技术措施，得</w:t>
            </w:r>
            <w:r>
              <w:rPr>
                <w:rFonts w:hint="eastAsia"/>
                <w:color w:val="auto"/>
                <w:spacing w:val="-11"/>
                <w:sz w:val="20"/>
                <w:szCs w:val="20"/>
                <w:highlight w:val="none"/>
                <w:lang w:eastAsia="zh-CN"/>
              </w:rPr>
              <w:t xml:space="preserve">2</w:t>
            </w:r>
            <w:r>
              <w:rPr>
                <w:color w:val="auto"/>
                <w:spacing w:val="5"/>
                <w:sz w:val="20"/>
                <w:szCs w:val="20"/>
                <w:highlight w:val="none"/>
                <w:lang w:eastAsia="zh-CN"/>
              </w:rPr>
              <w:t xml:space="preserve">分；</w:t>
            </w:r>
            <w:r/>
          </w:p>
          <w:p>
            <w:pPr>
              <w:pStyle w:val="1128"/>
              <w:ind w:left="56"/>
              <w:rPr>
                <w:rFonts w:hint="eastAsia"/>
                <w:color w:val="auto"/>
                <w:sz w:val="20"/>
                <w:szCs w:val="20"/>
                <w:highlight w:val="none"/>
              </w:rPr>
            </w:pPr>
            <w:r>
              <w:rPr>
                <w:color w:val="auto"/>
                <w:spacing w:val="3"/>
                <w:sz w:val="20"/>
                <w:szCs w:val="20"/>
                <w:highlight w:val="none"/>
              </w:rPr>
              <w:t xml:space="preserve">(3)方案有缺陷或疏漏的，得</w:t>
            </w:r>
            <w:r>
              <w:rPr>
                <w:color w:val="auto"/>
                <w:spacing w:val="-19"/>
                <w:sz w:val="20"/>
                <w:szCs w:val="20"/>
                <w:highlight w:val="none"/>
              </w:rPr>
              <w:t xml:space="preserve"> </w:t>
            </w:r>
            <w:r>
              <w:rPr>
                <w:color w:val="auto"/>
                <w:spacing w:val="3"/>
                <w:sz w:val="20"/>
                <w:szCs w:val="20"/>
                <w:highlight w:val="none"/>
              </w:rPr>
              <w:t xml:space="preserve">1</w:t>
            </w:r>
            <w:r>
              <w:rPr>
                <w:color w:val="auto"/>
                <w:spacing w:val="-35"/>
                <w:sz w:val="20"/>
                <w:szCs w:val="20"/>
                <w:highlight w:val="none"/>
              </w:rPr>
              <w:t xml:space="preserve"> </w:t>
            </w:r>
            <w:r>
              <w:rPr>
                <w:color w:val="auto"/>
                <w:spacing w:val="3"/>
                <w:sz w:val="20"/>
                <w:szCs w:val="20"/>
                <w:highlight w:val="none"/>
              </w:rPr>
              <w:t xml:space="preserve">分；</w:t>
            </w:r>
            <w:r/>
          </w:p>
          <w:p>
            <w:pPr>
              <w:pStyle w:val="1128"/>
              <w:ind w:left="56"/>
              <w:spacing w:before="27"/>
              <w:rPr>
                <w:rFonts w:hint="eastAsia"/>
                <w:color w:val="auto"/>
                <w:sz w:val="20"/>
                <w:szCs w:val="20"/>
                <w:highlight w:val="none"/>
              </w:rPr>
            </w:pPr>
            <w:r>
              <w:rPr>
                <w:color w:val="auto"/>
                <w:spacing w:val="4"/>
                <w:sz w:val="20"/>
                <w:szCs w:val="20"/>
                <w:highlight w:val="none"/>
              </w:rPr>
              <w:t xml:space="preserve">(4)未提供或方案不可行，得</w:t>
            </w:r>
            <w:r>
              <w:rPr>
                <w:color w:val="auto"/>
                <w:spacing w:val="-36"/>
                <w:sz w:val="20"/>
                <w:szCs w:val="20"/>
                <w:highlight w:val="none"/>
              </w:rPr>
              <w:t xml:space="preserve"> </w:t>
            </w:r>
            <w:r>
              <w:rPr>
                <w:color w:val="auto"/>
                <w:spacing w:val="4"/>
                <w:sz w:val="20"/>
                <w:szCs w:val="20"/>
                <w:highlight w:val="none"/>
              </w:rPr>
              <w:t xml:space="preserve">0</w:t>
            </w:r>
            <w:r>
              <w:rPr>
                <w:color w:val="auto"/>
                <w:spacing w:val="-35"/>
                <w:sz w:val="20"/>
                <w:szCs w:val="20"/>
                <w:highlight w:val="none"/>
              </w:rPr>
              <w:t xml:space="preserve"> </w:t>
            </w:r>
            <w:r>
              <w:rPr>
                <w:color w:val="auto"/>
                <w:spacing w:val="4"/>
                <w:sz w:val="20"/>
                <w:szCs w:val="20"/>
                <w:highlight w:val="none"/>
              </w:rPr>
              <w:t xml:space="preserve">分。</w:t>
            </w:r>
            <w:r/>
          </w:p>
        </w:tc>
        <w:tc>
          <w:tcPr>
            <w:tcW w:w="589" w:type="dxa"/>
            <w:vAlign w:val="center"/>
            <w:textDirection w:val="lrTb"/>
            <w:noWrap w:val="false"/>
          </w:tcPr>
          <w:p>
            <w:pPr>
              <w:pStyle w:val="1128"/>
              <w:jc w:val="center"/>
              <w:spacing w:before="65" w:line="270" w:lineRule="exact"/>
              <w:rPr>
                <w:rFonts w:hint="eastAsia"/>
                <w:color w:val="auto"/>
                <w:position w:val="1"/>
                <w:sz w:val="20"/>
                <w:szCs w:val="20"/>
                <w:highlight w:val="none"/>
                <w:lang w:eastAsia="zh-CN"/>
              </w:rPr>
            </w:pPr>
            <w:r>
              <w:rPr>
                <w:rFonts w:hint="eastAsia"/>
                <w:color w:val="auto"/>
                <w:position w:val="1"/>
                <w:sz w:val="20"/>
                <w:szCs w:val="20"/>
                <w:highlight w:val="none"/>
                <w:lang w:eastAsia="zh-CN"/>
              </w:rPr>
              <w:t xml:space="preserve">4</w:t>
            </w:r>
            <w:r/>
          </w:p>
        </w:tc>
      </w:tr>
      <w:tr>
        <w:trPr>
          <w:trHeight w:val="818"/>
        </w:trPr>
        <w:tc>
          <w:tcPr>
            <w:tcW w:w="1189" w:type="dxa"/>
            <w:vAlign w:val="center"/>
            <w:textDirection w:val="lrTb"/>
            <w:noWrap w:val="false"/>
          </w:tcPr>
          <w:p>
            <w:pPr>
              <w:pStyle w:val="1128"/>
              <w:ind w:right="55"/>
              <w:jc w:val="center"/>
              <w:spacing w:before="65" w:line="254" w:lineRule="auto"/>
              <w:rPr>
                <w:rFonts w:hint="eastAsia"/>
                <w:color w:val="auto"/>
                <w:spacing w:val="6"/>
                <w:sz w:val="20"/>
                <w:szCs w:val="20"/>
                <w:highlight w:val="none"/>
              </w:rPr>
            </w:pPr>
            <w:r>
              <w:rPr>
                <w:rFonts w:hint="eastAsia"/>
                <w:color w:val="auto"/>
                <w:spacing w:val="6"/>
                <w:sz w:val="20"/>
                <w:szCs w:val="20"/>
                <w:highlight w:val="none"/>
                <w:lang w:eastAsia="zh-CN"/>
              </w:rPr>
              <w:t xml:space="preserve">项目实施周期</w:t>
            </w:r>
            <w:r/>
          </w:p>
        </w:tc>
        <w:tc>
          <w:tcPr>
            <w:tcW w:w="8444" w:type="dxa"/>
            <w:textDirection w:val="lrTb"/>
            <w:noWrap w:val="false"/>
          </w:tcPr>
          <w:p>
            <w:pPr>
              <w:pStyle w:val="1128"/>
              <w:ind w:left="18" w:right="12" w:firstLine="3"/>
              <w:spacing w:before="47"/>
              <w:rPr>
                <w:rFonts w:hint="eastAsia"/>
                <w:color w:val="auto"/>
                <w:spacing w:val="8"/>
                <w:sz w:val="20"/>
                <w:szCs w:val="20"/>
                <w:highlight w:val="none"/>
                <w:lang w:eastAsia="zh-CN"/>
              </w:rPr>
            </w:pPr>
            <w:r>
              <w:rPr>
                <w:color w:val="auto"/>
                <w:spacing w:val="8"/>
                <w:sz w:val="20"/>
                <w:szCs w:val="20"/>
                <w:highlight w:val="none"/>
                <w:lang w:eastAsia="zh-CN"/>
              </w:rPr>
              <w:t xml:space="preserve">项目实施周期要求为合同签订之日起250日历天。投标人在确保满足项目技术指标、质量要求和验收要求的前提下，承诺缩短项目实施周期的，每提前30日历天加</w:t>
            </w:r>
            <w:r>
              <w:rPr>
                <w:rFonts w:hint="eastAsia"/>
                <w:color w:val="auto"/>
                <w:spacing w:val="8"/>
                <w:sz w:val="20"/>
                <w:szCs w:val="20"/>
                <w:highlight w:val="none"/>
                <w:lang w:eastAsia="zh-CN"/>
              </w:rPr>
              <w:t xml:space="preserve">3</w:t>
            </w:r>
            <w:r>
              <w:rPr>
                <w:color w:val="auto"/>
                <w:spacing w:val="8"/>
                <w:sz w:val="20"/>
                <w:szCs w:val="20"/>
                <w:highlight w:val="none"/>
                <w:lang w:eastAsia="zh-CN"/>
              </w:rPr>
              <w:t xml:space="preserve">分，最高加</w:t>
            </w:r>
            <w:r>
              <w:rPr>
                <w:rFonts w:hint="eastAsia"/>
                <w:color w:val="auto"/>
                <w:spacing w:val="8"/>
                <w:sz w:val="20"/>
                <w:szCs w:val="20"/>
                <w:highlight w:val="none"/>
                <w:lang w:eastAsia="zh-CN"/>
              </w:rPr>
              <w:t xml:space="preserve">6</w:t>
            </w:r>
            <w:r>
              <w:rPr>
                <w:color w:val="auto"/>
                <w:spacing w:val="8"/>
                <w:sz w:val="20"/>
                <w:szCs w:val="20"/>
                <w:highlight w:val="none"/>
                <w:lang w:eastAsia="zh-CN"/>
              </w:rPr>
              <w:t xml:space="preserve">分；不足30日历天的不计分。</w:t>
            </w:r>
            <w:r/>
          </w:p>
        </w:tc>
        <w:tc>
          <w:tcPr>
            <w:tcW w:w="589" w:type="dxa"/>
            <w:vAlign w:val="center"/>
            <w:textDirection w:val="lrTb"/>
            <w:noWrap w:val="false"/>
          </w:tcPr>
          <w:p>
            <w:pPr>
              <w:pStyle w:val="1128"/>
              <w:jc w:val="center"/>
              <w:spacing w:before="65" w:line="270" w:lineRule="exact"/>
              <w:rPr>
                <w:rFonts w:hint="eastAsia"/>
                <w:color w:val="auto"/>
                <w:position w:val="1"/>
                <w:sz w:val="20"/>
                <w:szCs w:val="20"/>
                <w:highlight w:val="none"/>
                <w:lang w:eastAsia="zh-CN"/>
              </w:rPr>
            </w:pPr>
            <w:r>
              <w:rPr>
                <w:rFonts w:hint="eastAsia"/>
                <w:color w:val="auto"/>
                <w:position w:val="1"/>
                <w:sz w:val="20"/>
                <w:szCs w:val="20"/>
                <w:highlight w:val="none"/>
                <w:lang w:eastAsia="zh-CN"/>
              </w:rPr>
              <w:t xml:space="preserve">6</w:t>
            </w:r>
            <w:r/>
          </w:p>
        </w:tc>
      </w:tr>
    </w:tbl>
    <w:p>
      <w:pPr>
        <w:rPr>
          <w:rFonts w:ascii="Arial"/>
          <w:color w:val="auto"/>
          <w:highlight w:val="none"/>
        </w:rPr>
      </w:pPr>
      <w:r>
        <w:rPr>
          <w:rFonts w:ascii="Arial"/>
          <w:color w:val="auto"/>
          <w:highlight w:val="none"/>
        </w:rPr>
      </w:r>
      <w:r/>
    </w:p>
    <w:p>
      <w:pPr>
        <w:spacing w:line="300" w:lineRule="auto"/>
        <w:tabs>
          <w:tab w:val="left" w:pos="1080" w:leader="none"/>
          <w:tab w:val="left" w:pos="1589" w:leader="none"/>
        </w:tabs>
        <w:rPr>
          <w:rFonts w:hint="eastAsia" w:ascii="宋体" w:hAnsi="宋体" w:cs="宋体"/>
          <w:b/>
          <w:bCs/>
          <w:color w:val="auto"/>
          <w:szCs w:val="21"/>
          <w:highlight w:val="none"/>
        </w:rPr>
      </w:pPr>
      <w:r>
        <w:rPr>
          <w:rFonts w:hint="eastAsia" w:ascii="宋体" w:hAnsi="宋体" w:cs="宋体"/>
          <w:b/>
          <w:bCs/>
          <w:color w:val="auto"/>
          <w:szCs w:val="21"/>
          <w:highlight w:val="none"/>
        </w:rPr>
        <w:t xml:space="preserve">注：</w:t>
      </w:r>
      <w:r/>
    </w:p>
    <w:p>
      <w:pPr>
        <w:ind w:firstLine="420"/>
        <w:spacing w:line="300" w:lineRule="auto"/>
        <w:tabs>
          <w:tab w:val="left" w:pos="1080" w:leader="none"/>
          <w:tab w:val="left" w:pos="1589" w:leader="none"/>
        </w:tabs>
        <w:rPr>
          <w:rFonts w:hint="eastAsia" w:ascii="宋体" w:hAnsi="宋体" w:cs="宋体"/>
          <w:color w:val="auto"/>
          <w:szCs w:val="21"/>
          <w:highlight w:val="none"/>
        </w:rPr>
      </w:pPr>
      <w:r/>
      <w:bookmarkStart w:id="339" w:name="_Toc91836565"/>
      <w:r>
        <w:rPr>
          <w:rFonts w:hint="eastAsia" w:ascii="宋体" w:hAnsi="宋体" w:cs="宋体"/>
          <w:color w:val="auto"/>
          <w:szCs w:val="21"/>
          <w:highlight w:val="none"/>
        </w:rPr>
        <w:t xml:space="preserve">落实政府采购政策的价格调整：符合第二章《投标人须知》4条规定情形的，可以享受中小企业扶持政策，用扣除后的价格参加评审。投标人不得违反《中华人民共和国反不正当竞争法》的规定，以低于成本的价格销售货物或服务，否则应对其价格构成情况做出详细说明并提供相关证明资料。评标委员会针对异常低价投标（响应）审查程序（见投标人须知前附表 第40.1款 “异常低价处理”）。</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1.对于未预留份额专门面向中小企业采购的采购项目，以及预留份额项目中的非预留部分采购包，对小微企业报价给予</w:t>
      </w:r>
      <w:r>
        <w:rPr>
          <w:rFonts w:hint="eastAsia" w:ascii="宋体" w:hAnsi="宋体" w:cs="宋体"/>
          <w:color w:val="auto"/>
          <w:szCs w:val="21"/>
          <w:highlight w:val="none"/>
          <w:u w:val="single"/>
        </w:rPr>
        <w:t xml:space="preserve">10</w:t>
      </w:r>
      <w:r>
        <w:rPr>
          <w:rFonts w:hint="eastAsia" w:ascii="宋体" w:hAnsi="宋体" w:cs="宋体"/>
          <w:color w:val="auto"/>
          <w:szCs w:val="21"/>
          <w:highlight w:val="none"/>
        </w:rPr>
        <w:t xml:space="preserve">%的扣除，用扣除后的价格参加评审。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2.“支持本国产品政策”“对本国产品的报价，对投标价格给予20%的扣除”，对应描述如下：</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根据《国务院办公厅关于在政府采购中实施本国产品标准及相关政策的通知》、关于贯彻落实《国务院办公厅关于在政府采购中实施本国产品标准及相关政策的通知》的意见，需对本国产品的报价给予价格扣除，用扣除后的价格参与评审，提供《关于符合本国产品标准的声明函》：</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2.1.政府采购活动中既有本国产品又有非本国产品参与竞争的，依法对本国产品给予价格评审优惠，对本国产品的报价给予20%的价格扣除，用扣除后的价格参与评审。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2.4.评审中发现《符合本国产品标准的声明函》内容含义不明确、同类事项与投标（响应）文件表述不一致或者有明显文字错误等情况的，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p>
    <w:p>
      <w:pPr>
        <w:ind w:firstLine="420"/>
        <w:spacing w:line="300" w:lineRule="auto"/>
        <w:tabs>
          <w:tab w:val="left" w:pos="1080" w:leader="none"/>
          <w:tab w:val="left" w:pos="1589"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4.</w:t>
      </w:r>
      <w:r>
        <w:rPr>
          <w:rFonts w:ascii="Microsoft New Tai Lue" w:hAnsi="Microsoft New Tai Lue" w:cs="Microsoft New Tai Lue"/>
          <w:color w:val="auto"/>
          <w:szCs w:val="21"/>
          <w:highlight w:val="none"/>
        </w:rPr>
        <w:t xml:space="preserve">组成联合体或者接受分包的小微企业与联合体内其他企业、分包企业之间存在直接控股、管理关系的，不享受价格扣除优惠政策。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5.</w:t>
      </w:r>
      <w:r>
        <w:rPr>
          <w:rFonts w:ascii="Microsoft New Tai Lue" w:hAnsi="Microsoft New Tai Lue" w:cs="Microsoft New Tai Lue"/>
          <w:color w:val="auto"/>
          <w:szCs w:val="21"/>
          <w:highlight w:val="none"/>
        </w:rPr>
        <w:t xml:space="preserve">价格扣除比例对小型企业和微型企业同等对待，不作区分。</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6.</w:t>
      </w:r>
      <w:r>
        <w:rPr>
          <w:rFonts w:ascii="Microsoft New Tai Lue" w:hAnsi="Microsoft New Tai Lue" w:cs="Microsoft New Tai Lue"/>
          <w:color w:val="auto"/>
          <w:szCs w:val="21"/>
          <w:highlight w:val="none"/>
        </w:rPr>
        <w:t xml:space="preserve">中小企业参加政府采购活动，应当按照招标文件给定的格式出具《中小企业声明函》，否则不得享受相关中小企业扶持政策。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7.</w:t>
      </w:r>
      <w:r>
        <w:rPr>
          <w:rFonts w:ascii="Microsoft New Tai Lue" w:hAnsi="Microsoft New Tai Lue" w:cs="Microsoft New Tai Lue"/>
          <w:color w:val="auto"/>
          <w:szCs w:val="21"/>
          <w:highlight w:val="none"/>
        </w:rPr>
        <w:t xml:space="preserve">监狱企业提供了由省级以上监狱管理局、戒毒管理局（含新疆生产建设兵团）出具的属于监狱企业的证明文件的，视同小微企业。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8.</w:t>
      </w:r>
      <w:r>
        <w:rPr>
          <w:rFonts w:ascii="Microsoft New Tai Lue" w:hAnsi="Microsoft New Tai Lue" w:cs="Microsoft New Tai Lue"/>
          <w:color w:val="auto"/>
          <w:szCs w:val="21"/>
          <w:highlight w:val="none"/>
        </w:rPr>
        <w:t xml:space="preserve">残疾人福利性单位按招标文件要求提供了《残疾人福利性单位声明函》（见附件）的，视同小微企业。</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9.</w:t>
      </w:r>
      <w:r>
        <w:rPr>
          <w:rFonts w:ascii="Microsoft New Tai Lue" w:hAnsi="Microsoft New Tai Lue" w:cs="Microsoft New Tai Lue"/>
          <w:color w:val="auto"/>
          <w:szCs w:val="21"/>
          <w:highlight w:val="none"/>
        </w:rPr>
        <w:t xml:space="preserve">若投标人同时属于小型或微型企业、监狱企业、残疾人福利性单位中的两种及以上，将不重复享受小微企业价格扣减的优惠政策。</w:t>
      </w:r>
      <w:r/>
    </w:p>
    <w:p>
      <w:pPr>
        <w:ind w:firstLine="420"/>
        <w:spacing w:line="300" w:lineRule="auto"/>
        <w:tabs>
          <w:tab w:val="left" w:pos="1080" w:leader="none"/>
          <w:tab w:val="left" w:pos="1589" w:leader="none"/>
        </w:tabs>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10.</w:t>
      </w:r>
      <w:r>
        <w:rPr>
          <w:rFonts w:ascii="Microsoft New Tai Lue" w:hAnsi="Microsoft New Tai Lue" w:cs="Microsoft New Tai Lue"/>
          <w:color w:val="auto"/>
          <w:szCs w:val="21"/>
          <w:highlight w:val="none"/>
        </w:rPr>
        <w:t xml:space="preserve">非政府强制采购的节能产品或环境标志产品，依据品目清单和认证证书实施政府优先采购。优先采购的具体规定（如涉及）。</w:t>
      </w:r>
      <w:r/>
    </w:p>
    <w:p>
      <w:pPr>
        <w:ind w:firstLine="420"/>
        <w:jc w:val="left"/>
        <w:spacing w:before="19" w:line="500" w:lineRule="exact"/>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12.上述缺陷是指内容缺失，不适用于本项目，表述不完整或不合理或前后不一致内容矛盾，语句有仅有框架或标题，涉及的规范及标准错误，针对性不足等任意一种情形。</w:t>
      </w:r>
      <w:r/>
    </w:p>
    <w:p>
      <w:pPr>
        <w:ind w:firstLine="420"/>
        <w:jc w:val="left"/>
        <w:spacing w:before="19" w:line="500" w:lineRule="exact"/>
        <w:widowControl/>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11.</w:t>
      </w:r>
      <w:r>
        <w:rPr>
          <w:rFonts w:ascii="Microsoft New Tai Lue" w:hAnsi="Microsoft New Tai Lue" w:cs="Microsoft New Tai Lue"/>
          <w:color w:val="auto"/>
          <w:szCs w:val="21"/>
          <w:highlight w:val="none"/>
        </w:rPr>
        <w:t xml:space="preserve">关于无线局域网认证产品政府采购清单中的产品，优先采购的具体规定（如涉及）</w:t>
      </w:r>
      <w:r/>
    </w:p>
    <w:p>
      <w:pPr>
        <w:ind w:firstLine="420"/>
        <w:jc w:val="center"/>
        <w:spacing w:before="19" w:line="500" w:lineRule="exact"/>
        <w:widowControl/>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40" w:name="_Toc107246273"/>
      <w:r>
        <w:rPr>
          <w:rFonts w:ascii="Microsoft New Tai Lue" w:hAnsi="Microsoft New Tai Lue" w:cs="Microsoft New Tai Lue"/>
          <w:b/>
          <w:bCs/>
          <w:color w:val="auto"/>
          <w:sz w:val="32"/>
          <w:szCs w:val="32"/>
          <w:highlight w:val="none"/>
        </w:rPr>
        <w:t xml:space="preserve">第六章 </w:t>
      </w:r>
      <w:bookmarkEnd w:id="339"/>
      <w:r>
        <w:rPr>
          <w:rFonts w:hint="eastAsia" w:ascii="Microsoft New Tai Lue" w:hAnsi="Microsoft New Tai Lue" w:cs="Microsoft New Tai Lue"/>
          <w:b/>
          <w:bCs/>
          <w:color w:val="auto"/>
          <w:sz w:val="32"/>
          <w:szCs w:val="32"/>
          <w:highlight w:val="none"/>
        </w:rPr>
        <w:t xml:space="preserve">投标文件格式</w:t>
      </w:r>
      <w:bookmarkEnd w:id="340"/>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r>
      <w:r/>
    </w:p>
    <w:p>
      <w:pPr>
        <w:spacing w:line="36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注：请投标人按照以下文件的要求格式、内容，顺序制作投标文件，并请编制目录及页码，否则可能将影响对投标文件的评价。</w:t>
      </w:r>
      <w:r/>
    </w:p>
    <w:p>
      <w:pPr>
        <w:pStyle w:val="1107"/>
        <w:ind w:firstLine="0"/>
        <w:spacing w:line="265" w:lineRule="atLeast"/>
        <w:shd w:val="clear" w:color="auto" w:fill="ffffff"/>
        <w:rPr>
          <w:rFonts w:ascii="Microsoft New Tai Lue" w:hAnsi="Microsoft New Tai Lue" w:eastAsia="宋体" w:cs="Microsoft New Tai Lue"/>
          <w:b/>
          <w:color w:val="auto"/>
          <w:sz w:val="24"/>
          <w:highlight w:val="none"/>
        </w:rPr>
      </w:pPr>
      <w:r>
        <w:rPr>
          <w:rFonts w:ascii="Microsoft New Tai Lue" w:hAnsi="Microsoft New Tai Lue" w:eastAsia="宋体" w:cs="Microsoft New Tai Lue"/>
          <w:b/>
          <w:color w:val="auto"/>
          <w:sz w:val="24"/>
          <w:highlight w:val="none"/>
        </w:rPr>
      </w:r>
      <w:r/>
    </w:p>
    <w:p>
      <w:pPr>
        <w:ind w:firstLine="480"/>
        <w:jc w:val="left"/>
        <w:spacing w:before="100" w:after="100" w:line="360" w:lineRule="auto"/>
        <w:rPr>
          <w:rFonts w:ascii="Microsoft New Tai Lue" w:hAnsi="Microsoft New Tai Lue" w:cs="Microsoft New Tai Lue"/>
          <w:color w:val="auto"/>
          <w:sz w:val="24"/>
          <w:highlight w:val="none"/>
        </w:rPr>
      </w:pPr>
      <w:r/>
      <w:bookmarkStart w:id="341" w:name="_Toc96347900"/>
      <w:r>
        <w:rPr>
          <w:rFonts w:ascii="Microsoft New Tai Lue" w:hAnsi="Microsoft New Tai Lue" w:cs="Microsoft New Tai Lue"/>
          <w:color w:val="auto"/>
          <w:sz w:val="24"/>
          <w:highlight w:val="none"/>
        </w:rPr>
        <w:br w:type="page" w:clear="all"/>
      </w:r>
      <w:r>
        <w:rPr>
          <w:rFonts w:ascii="Microsoft New Tai Lue" w:hAnsi="Microsoft New Tai Lue" w:cs="Microsoft New Tai Lue"/>
          <w:b/>
          <w:color w:val="auto"/>
          <w:sz w:val="40"/>
          <w:szCs w:val="60"/>
          <w:highlight w:val="none"/>
        </w:rPr>
        <w:t xml:space="preserve">附件</w:t>
      </w:r>
      <w:r/>
    </w:p>
    <w:p>
      <w:pPr>
        <w:ind w:left="0" w:right="0" w:firstLine="0"/>
        <w:jc w:val="center"/>
        <w:spacing w:before="0" w:after="0"/>
        <w:rPr>
          <w:rFonts w:ascii="宋体" w:hAnsi="宋体" w:eastAsia="宋体" w:cs="宋体"/>
          <w:b/>
          <w:color w:val="auto"/>
          <w:sz w:val="72"/>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投标文件</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0"/>
        <w:jc w:val="center"/>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项 目 名 称：</w:t>
      </w:r>
      <w:r>
        <w:rPr>
          <w:rFonts w:ascii="宋体" w:hAnsi="宋体" w:eastAsia="宋体" w:cs="宋体"/>
          <w:b/>
          <w:color w:val="auto"/>
          <w:sz w:val="36"/>
          <w:highlight w:val="none"/>
          <w:u w:val="single"/>
        </w:rPr>
        <w:t xml:space="preserve">               </w:t>
      </w:r>
      <w:r/>
    </w:p>
    <w:p>
      <w:pPr>
        <w:ind w:left="0" w:right="0" w:firstLine="1084"/>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招 标 编 号：</w:t>
      </w:r>
      <w:r>
        <w:rPr>
          <w:rFonts w:ascii="宋体" w:hAnsi="宋体" w:eastAsia="宋体" w:cs="宋体"/>
          <w:b/>
          <w:color w:val="auto"/>
          <w:sz w:val="36"/>
          <w:highlight w:val="none"/>
          <w:u w:val="single"/>
        </w:rPr>
        <w:t xml:space="preserve">               </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投标人名称 ：</w:t>
      </w:r>
      <w:r>
        <w:rPr>
          <w:rFonts w:ascii="宋体" w:hAnsi="宋体" w:eastAsia="宋体" w:cs="宋体"/>
          <w:b/>
          <w:color w:val="auto"/>
          <w:sz w:val="36"/>
          <w:highlight w:val="none"/>
          <w:u w:val="single"/>
        </w:rPr>
        <w:t xml:space="preserve">（加盖CA电子公章）</w:t>
      </w:r>
      <w:r/>
    </w:p>
    <w:p>
      <w:pPr>
        <w:ind w:left="0" w:right="0" w:firstLine="0"/>
        <w:jc w:val="both"/>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rPr>
        <w:t xml:space="preserve">   日期 ：</w:t>
      </w:r>
      <w:r>
        <w:rPr>
          <w:rFonts w:ascii="宋体" w:hAnsi="宋体" w:eastAsia="宋体" w:cs="宋体"/>
          <w:b/>
          <w:color w:val="auto"/>
          <w:sz w:val="36"/>
          <w:highlight w:val="none"/>
          <w:u w:val="single"/>
        </w:rPr>
        <w:t xml:space="preserve">               </w:t>
      </w:r>
      <w:r/>
    </w:p>
    <w:p>
      <w:pPr>
        <w:ind w:left="0" w:right="0" w:firstLine="0"/>
        <w:jc w:val="center"/>
        <w:spacing w:before="0" w:after="0" w:line="43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highlight w:val="none"/>
        </w:rPr>
        <w:t xml:space="preserve"> </w:t>
      </w:r>
      <w:r/>
    </w:p>
    <w:p>
      <w:pPr>
        <w:jc w:val="left"/>
        <w:rPr>
          <w:color w:val="auto"/>
          <w:highlight w:val="none"/>
        </w:rPr>
      </w:pPr>
      <w:r>
        <w:rPr>
          <w:color w:val="auto"/>
          <w:highlight w:val="none"/>
        </w:rPr>
      </w:r>
      <w:r/>
    </w:p>
    <w:p>
      <w:pPr>
        <w:rPr>
          <w:rFonts w:ascii="Microsoft New Tai Lue" w:hAnsi="Microsoft New Tai Lue" w:cs="Microsoft New Tai Lue"/>
          <w:b/>
          <w:color w:val="auto"/>
          <w:sz w:val="32"/>
          <w:highlight w:val="none"/>
        </w:rPr>
      </w:pPr>
      <w:r>
        <w:rPr>
          <w:rFonts w:ascii="Microsoft New Tai Lue" w:hAnsi="Microsoft New Tai Lue" w:cs="Microsoft New Tai Lue"/>
          <w:b/>
          <w:color w:val="auto"/>
          <w:sz w:val="32"/>
          <w:highlight w:val="none"/>
        </w:rPr>
        <w:br w:type="page" w:clear="all"/>
      </w:r>
      <w:r/>
    </w:p>
    <w:p>
      <w:pPr>
        <w:pStyle w:val="896"/>
        <w:jc w:val="center"/>
        <w:spacing w:before="156" w:line="360" w:lineRule="exact"/>
        <w:rPr>
          <w:rFonts w:ascii="Microsoft New Tai Lue" w:hAnsi="Microsoft New Tai Lue" w:cs="Microsoft New Tai Lue"/>
          <w:b/>
          <w:color w:val="auto"/>
          <w:sz w:val="28"/>
          <w:highlight w:val="none"/>
        </w:rPr>
      </w:pPr>
      <w:r>
        <w:rPr>
          <w:rFonts w:ascii="Microsoft New Tai Lue" w:hAnsi="Microsoft New Tai Lue" w:cs="Microsoft New Tai Lue"/>
          <w:b/>
          <w:color w:val="auto"/>
          <w:sz w:val="32"/>
          <w:highlight w:val="none"/>
        </w:rPr>
        <w:t xml:space="preserve">目录</w:t>
      </w:r>
      <w:r/>
    </w:p>
    <w:p>
      <w:pPr>
        <w:pStyle w:val="89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一</w:t>
      </w:r>
      <w:r>
        <w:rPr>
          <w:rFonts w:ascii="Microsoft New Tai Lue" w:hAnsi="Microsoft New Tai Lue" w:cs="Microsoft New Tai Lue"/>
          <w:b/>
          <w:color w:val="auto"/>
          <w:highlight w:val="none"/>
        </w:rPr>
        <w:t xml:space="preserve">、</w:t>
      </w:r>
      <w:r>
        <w:rPr>
          <w:rFonts w:hint="eastAsia" w:ascii="Microsoft New Tai Lue" w:hAnsi="Microsoft New Tai Lue" w:cs="Microsoft New Tai Lue"/>
          <w:b/>
          <w:color w:val="auto"/>
          <w:highlight w:val="none"/>
        </w:rPr>
        <w:t xml:space="preserve">价格</w:t>
      </w:r>
      <w:r>
        <w:rPr>
          <w:rFonts w:ascii="Microsoft New Tai Lue" w:hAnsi="Microsoft New Tai Lue" w:cs="Microsoft New Tai Lue"/>
          <w:b/>
          <w:color w:val="auto"/>
          <w:highlight w:val="none"/>
        </w:rPr>
        <w:t xml:space="preserve">及</w:t>
      </w:r>
      <w:r>
        <w:rPr>
          <w:rFonts w:hint="eastAsia" w:ascii="Microsoft New Tai Lue" w:hAnsi="Microsoft New Tai Lue" w:cs="Microsoft New Tai Lue"/>
          <w:b/>
          <w:color w:val="auto"/>
          <w:highlight w:val="none"/>
        </w:rPr>
        <w:t xml:space="preserve">商务部分</w:t>
      </w:r>
      <w:r/>
    </w:p>
    <w:p>
      <w:pPr>
        <w:jc w:val="left"/>
        <w:spacing w:line="300" w:lineRule="exact"/>
        <w:rPr>
          <w:color w:val="auto"/>
          <w:szCs w:val="21"/>
          <w:highlight w:val="none"/>
        </w:rPr>
      </w:pPr>
      <w:r>
        <w:rPr>
          <w:rFonts w:hint="eastAsia"/>
          <w:color w:val="auto"/>
          <w:szCs w:val="21"/>
          <w:highlight w:val="none"/>
        </w:rPr>
        <w:t xml:space="preserve">（1）投标函，格式见附件。</w:t>
      </w:r>
      <w:r/>
    </w:p>
    <w:p>
      <w:pPr>
        <w:jc w:val="left"/>
        <w:spacing w:line="300" w:lineRule="exact"/>
        <w:rPr>
          <w:color w:val="auto"/>
          <w:szCs w:val="21"/>
          <w:highlight w:val="none"/>
        </w:rPr>
      </w:pPr>
      <w:r>
        <w:rPr>
          <w:rFonts w:hint="eastAsia"/>
          <w:color w:val="auto"/>
          <w:szCs w:val="21"/>
          <w:highlight w:val="none"/>
        </w:rPr>
        <w:t xml:space="preserve">（2）法定代表人（单位负责人）身份证明，格式见附件。</w:t>
      </w:r>
      <w:r/>
    </w:p>
    <w:p>
      <w:pPr>
        <w:jc w:val="left"/>
        <w:spacing w:line="300" w:lineRule="exact"/>
        <w:rPr>
          <w:color w:val="auto"/>
          <w:szCs w:val="21"/>
          <w:highlight w:val="none"/>
        </w:rPr>
      </w:pPr>
      <w:r>
        <w:rPr>
          <w:rFonts w:hint="eastAsia"/>
          <w:color w:val="auto"/>
          <w:szCs w:val="21"/>
          <w:highlight w:val="none"/>
        </w:rPr>
        <w:t xml:space="preserve">（3）法定代表人（单位负责人）授权委托书（适用于法人/非法人），格式见附件。</w:t>
      </w:r>
      <w:r/>
    </w:p>
    <w:p>
      <w:pPr>
        <w:jc w:val="left"/>
        <w:spacing w:line="300" w:lineRule="exact"/>
        <w:rPr>
          <w:color w:val="auto"/>
          <w:szCs w:val="21"/>
          <w:highlight w:val="none"/>
        </w:rPr>
      </w:pPr>
      <w:r>
        <w:rPr>
          <w:rFonts w:hint="eastAsia"/>
          <w:color w:val="auto"/>
          <w:szCs w:val="21"/>
          <w:highlight w:val="none"/>
        </w:rPr>
        <w:t xml:space="preserve">（4）开标一览表，格式见附件。</w:t>
      </w:r>
      <w:r/>
    </w:p>
    <w:p>
      <w:pPr>
        <w:jc w:val="left"/>
        <w:spacing w:line="300" w:lineRule="exact"/>
        <w:rPr>
          <w:color w:val="auto"/>
          <w:szCs w:val="21"/>
          <w:highlight w:val="none"/>
        </w:rPr>
      </w:pPr>
      <w:r>
        <w:rPr>
          <w:rFonts w:hint="eastAsia"/>
          <w:color w:val="auto"/>
          <w:szCs w:val="21"/>
          <w:highlight w:val="none"/>
        </w:rPr>
        <w:t xml:space="preserve">（5）分项报价表，格式见附件。</w:t>
      </w:r>
      <w:r/>
    </w:p>
    <w:p>
      <w:pPr>
        <w:jc w:val="left"/>
        <w:spacing w:line="300" w:lineRule="exact"/>
        <w:rPr>
          <w:color w:val="auto"/>
          <w:szCs w:val="21"/>
          <w:highlight w:val="none"/>
        </w:rPr>
      </w:pPr>
      <w:r>
        <w:rPr>
          <w:rFonts w:hint="eastAsia"/>
          <w:color w:val="auto"/>
          <w:szCs w:val="21"/>
          <w:highlight w:val="none"/>
        </w:rPr>
        <w:t xml:space="preserve">（6）商务条款偏离表，格式见附件。</w:t>
      </w:r>
      <w:r/>
    </w:p>
    <w:p>
      <w:pPr>
        <w:jc w:val="left"/>
        <w:spacing w:line="300" w:lineRule="exact"/>
        <w:rPr>
          <w:color w:val="auto"/>
          <w:szCs w:val="21"/>
          <w:highlight w:val="none"/>
        </w:rPr>
      </w:pPr>
      <w:r>
        <w:rPr>
          <w:rFonts w:hint="eastAsia"/>
          <w:color w:val="auto"/>
          <w:szCs w:val="21"/>
          <w:highlight w:val="none"/>
        </w:rPr>
        <w:t xml:space="preserve">（7）投标人具备投标资格的证明文件（按要求提供）：</w:t>
      </w:r>
      <w:r/>
    </w:p>
    <w:p>
      <w:pPr>
        <w:jc w:val="left"/>
        <w:spacing w:line="300" w:lineRule="exact"/>
        <w:rPr>
          <w:color w:val="auto"/>
          <w:szCs w:val="21"/>
          <w:highlight w:val="none"/>
        </w:rPr>
      </w:pPr>
      <w:r>
        <w:rPr>
          <w:rFonts w:hint="eastAsia"/>
          <w:color w:val="auto"/>
          <w:szCs w:val="21"/>
          <w:highlight w:val="none"/>
        </w:rPr>
        <w:t xml:space="preserve">（7-1-1）营业执照复印件或自然人的身份证明复印件（或具有同等法律效力的证照），格式见附件。</w:t>
      </w:r>
      <w:r/>
    </w:p>
    <w:p>
      <w:pPr>
        <w:ind w:firstLine="210"/>
        <w:jc w:val="left"/>
        <w:spacing w:line="300" w:lineRule="exact"/>
        <w:rPr>
          <w:color w:val="auto"/>
          <w:szCs w:val="21"/>
          <w:highlight w:val="none"/>
        </w:rPr>
      </w:pPr>
      <w:r>
        <w:rPr>
          <w:rFonts w:hint="eastAsia"/>
          <w:color w:val="auto"/>
          <w:szCs w:val="21"/>
          <w:highlight w:val="none"/>
        </w:rPr>
        <w:t xml:space="preserve">（a）投标人为企业（包括合伙企业）的，应提供有效的“营业执照”。</w:t>
      </w:r>
      <w:r/>
    </w:p>
    <w:p>
      <w:pPr>
        <w:ind w:firstLine="210"/>
        <w:jc w:val="left"/>
        <w:spacing w:line="300" w:lineRule="exact"/>
        <w:rPr>
          <w:color w:val="auto"/>
          <w:szCs w:val="21"/>
          <w:highlight w:val="none"/>
        </w:rPr>
      </w:pPr>
      <w:r>
        <w:rPr>
          <w:rFonts w:hint="eastAsia"/>
          <w:color w:val="auto"/>
          <w:szCs w:val="21"/>
          <w:highlight w:val="none"/>
        </w:rPr>
        <w:t xml:space="preserve">（b）投标人为事业单位的，应提供有效的“事业单位法人证书”。</w:t>
      </w:r>
      <w:r/>
    </w:p>
    <w:p>
      <w:pPr>
        <w:ind w:firstLine="210"/>
        <w:jc w:val="left"/>
        <w:spacing w:line="300" w:lineRule="exact"/>
        <w:rPr>
          <w:color w:val="auto"/>
          <w:szCs w:val="21"/>
          <w:highlight w:val="none"/>
        </w:rPr>
      </w:pPr>
      <w:r>
        <w:rPr>
          <w:rFonts w:hint="eastAsia"/>
          <w:color w:val="auto"/>
          <w:szCs w:val="21"/>
          <w:highlight w:val="none"/>
        </w:rPr>
        <w:t xml:space="preserve">（c）投标人是非企业机构的，应提供有效的“执业许可证”、“登记证书”等证明文件。</w:t>
      </w:r>
      <w:r/>
    </w:p>
    <w:p>
      <w:pPr>
        <w:ind w:firstLine="210"/>
        <w:jc w:val="left"/>
        <w:spacing w:line="300" w:lineRule="exact"/>
        <w:rPr>
          <w:color w:val="auto"/>
          <w:szCs w:val="21"/>
          <w:highlight w:val="none"/>
        </w:rPr>
      </w:pPr>
      <w:r>
        <w:rPr>
          <w:rFonts w:hint="eastAsia"/>
          <w:color w:val="auto"/>
          <w:szCs w:val="21"/>
          <w:highlight w:val="none"/>
        </w:rPr>
        <w:t xml:space="preserve">（d）投标人是个体工商户的，应提供有效的“个体工商户营业执照”。</w:t>
      </w:r>
      <w:r/>
    </w:p>
    <w:p>
      <w:pPr>
        <w:ind w:firstLine="210"/>
        <w:jc w:val="left"/>
        <w:spacing w:line="300" w:lineRule="exact"/>
        <w:rPr>
          <w:color w:val="auto"/>
          <w:szCs w:val="21"/>
          <w:highlight w:val="none"/>
        </w:rPr>
      </w:pPr>
      <w:r>
        <w:rPr>
          <w:rFonts w:hint="eastAsia"/>
          <w:color w:val="auto"/>
          <w:szCs w:val="21"/>
          <w:highlight w:val="none"/>
        </w:rPr>
        <w:t xml:space="preserve">（e）投标人是自然人的，应提供有效的自然人身份证明。</w:t>
      </w:r>
      <w:r/>
    </w:p>
    <w:p>
      <w:pPr>
        <w:ind w:firstLine="210"/>
        <w:jc w:val="left"/>
        <w:spacing w:line="300" w:lineRule="exact"/>
        <w:rPr>
          <w:color w:val="auto"/>
          <w:szCs w:val="21"/>
          <w:highlight w:val="none"/>
        </w:rPr>
      </w:pPr>
      <w:r>
        <w:rPr>
          <w:rFonts w:hint="eastAsia"/>
          <w:color w:val="auto"/>
          <w:szCs w:val="21"/>
          <w:highlight w:val="none"/>
        </w:rPr>
        <w:t xml:space="preserve">（f）若本项目允许分支机构参加投标，则分支机构参加投标的，此处可提供该分支机构或其所属法人或其他组织的相应证明文件。</w:t>
      </w:r>
      <w:r/>
    </w:p>
    <w:p>
      <w:pPr>
        <w:jc w:val="left"/>
        <w:spacing w:line="300" w:lineRule="exact"/>
        <w:rPr>
          <w:color w:val="auto"/>
          <w:szCs w:val="21"/>
          <w:highlight w:val="none"/>
        </w:rPr>
      </w:pPr>
      <w:r>
        <w:rPr>
          <w:rFonts w:hint="eastAsia"/>
          <w:color w:val="auto"/>
          <w:szCs w:val="21"/>
          <w:highlight w:val="none"/>
        </w:rPr>
        <w:t xml:space="preserve">（7-1-2）工商变更登记文件（如需），如发生了单位名称等变更的，需提供工商变更登记文件，格式见附件。</w:t>
      </w:r>
      <w:r/>
    </w:p>
    <w:p>
      <w:pPr>
        <w:jc w:val="left"/>
        <w:spacing w:line="300" w:lineRule="exact"/>
        <w:rPr>
          <w:color w:val="auto"/>
          <w:szCs w:val="21"/>
          <w:highlight w:val="none"/>
        </w:rPr>
      </w:pPr>
      <w:r>
        <w:rPr>
          <w:rFonts w:hint="eastAsia"/>
          <w:color w:val="auto"/>
          <w:szCs w:val="21"/>
          <w:highlight w:val="none"/>
        </w:rPr>
        <w:t xml:space="preserve">（7-2）财务报表，格式见附件。</w:t>
      </w:r>
      <w:r/>
    </w:p>
    <w:p>
      <w:pPr>
        <w:jc w:val="left"/>
        <w:spacing w:line="300" w:lineRule="exact"/>
        <w:rPr>
          <w:color w:val="auto"/>
          <w:szCs w:val="21"/>
          <w:highlight w:val="none"/>
        </w:rPr>
      </w:pPr>
      <w:r>
        <w:rPr>
          <w:rFonts w:hint="eastAsia"/>
          <w:color w:val="auto"/>
          <w:szCs w:val="21"/>
          <w:highlight w:val="none"/>
        </w:rPr>
        <w:t xml:space="preserve">（7-3）具有履行合同所必需的设备和专业技术能力的相关证明材料或承诺函，格式见附件。</w:t>
      </w:r>
      <w:r/>
    </w:p>
    <w:p>
      <w:pPr>
        <w:jc w:val="left"/>
        <w:spacing w:line="300" w:lineRule="exact"/>
        <w:rPr>
          <w:color w:val="auto"/>
          <w:szCs w:val="21"/>
          <w:highlight w:val="none"/>
        </w:rPr>
      </w:pPr>
      <w:r>
        <w:rPr>
          <w:rFonts w:hint="eastAsia"/>
          <w:color w:val="auto"/>
          <w:szCs w:val="21"/>
          <w:highlight w:val="none"/>
        </w:rPr>
        <w:t xml:space="preserve">（7-4）依法缴纳税收的相关材料，格式见附件。</w:t>
      </w:r>
      <w:r/>
    </w:p>
    <w:p>
      <w:pPr>
        <w:jc w:val="left"/>
        <w:spacing w:line="300" w:lineRule="exact"/>
        <w:rPr>
          <w:color w:val="auto"/>
          <w:szCs w:val="21"/>
          <w:highlight w:val="none"/>
        </w:rPr>
      </w:pPr>
      <w:r>
        <w:rPr>
          <w:rFonts w:hint="eastAsia"/>
          <w:color w:val="auto"/>
          <w:szCs w:val="21"/>
          <w:highlight w:val="none"/>
        </w:rPr>
        <w:t xml:space="preserve">（7-5）依法缴纳社会保障资金的相关材料，格式见附件。</w:t>
      </w:r>
      <w:r/>
    </w:p>
    <w:p>
      <w:pPr>
        <w:jc w:val="left"/>
        <w:spacing w:line="300" w:lineRule="exact"/>
        <w:rPr>
          <w:color w:val="auto"/>
          <w:szCs w:val="21"/>
          <w:highlight w:val="none"/>
        </w:rPr>
      </w:pPr>
      <w:r>
        <w:rPr>
          <w:rFonts w:hint="eastAsia"/>
          <w:color w:val="auto"/>
          <w:szCs w:val="21"/>
          <w:highlight w:val="none"/>
        </w:rPr>
        <w:t xml:space="preserve">（7-6）参加政府采购活动前三年内，在经营活动中没有重大违法记录，格式见附件。</w:t>
      </w:r>
      <w:r/>
    </w:p>
    <w:p>
      <w:pPr>
        <w:jc w:val="left"/>
        <w:spacing w:line="300" w:lineRule="exact"/>
        <w:rPr>
          <w:color w:val="auto"/>
          <w:szCs w:val="21"/>
          <w:highlight w:val="none"/>
        </w:rPr>
      </w:pPr>
      <w:r>
        <w:rPr>
          <w:rFonts w:hint="eastAsia"/>
          <w:color w:val="auto"/>
          <w:szCs w:val="21"/>
          <w:highlight w:val="none"/>
        </w:rPr>
        <w:t xml:space="preserve">（7-7）无不良信用记录承诺函（投标人自行查询适用），格式见附件。</w:t>
      </w:r>
      <w:r/>
    </w:p>
    <w:p>
      <w:pPr>
        <w:jc w:val="left"/>
        <w:spacing w:line="300" w:lineRule="exact"/>
        <w:rPr>
          <w:color w:val="auto"/>
          <w:szCs w:val="21"/>
          <w:highlight w:val="none"/>
        </w:rPr>
      </w:pPr>
      <w:r>
        <w:rPr>
          <w:rFonts w:hint="eastAsia"/>
          <w:color w:val="auto"/>
          <w:szCs w:val="21"/>
          <w:highlight w:val="none"/>
        </w:rPr>
        <w:t xml:space="preserve">（7-8）招标文件要求的其它实质性资格资信证明文件。</w:t>
      </w:r>
      <w:r/>
    </w:p>
    <w:p>
      <w:pPr>
        <w:jc w:val="left"/>
        <w:spacing w:line="300" w:lineRule="exact"/>
        <w:rPr>
          <w:color w:val="auto"/>
          <w:szCs w:val="21"/>
          <w:highlight w:val="none"/>
        </w:rPr>
      </w:pPr>
      <w:r>
        <w:rPr>
          <w:rFonts w:hint="eastAsia"/>
          <w:color w:val="auto"/>
          <w:szCs w:val="21"/>
          <w:highlight w:val="none"/>
        </w:rPr>
        <w:t xml:space="preserve">（8）《承诺书》（如需）</w:t>
      </w:r>
      <w:r/>
    </w:p>
    <w:p>
      <w:pPr>
        <w:jc w:val="left"/>
        <w:spacing w:line="300" w:lineRule="exact"/>
        <w:rPr>
          <w:color w:val="auto"/>
          <w:szCs w:val="21"/>
          <w:highlight w:val="none"/>
        </w:rPr>
      </w:pPr>
      <w:r>
        <w:rPr>
          <w:rFonts w:hint="eastAsia"/>
          <w:color w:val="auto"/>
          <w:szCs w:val="21"/>
          <w:highlight w:val="none"/>
        </w:rPr>
        <w:t xml:space="preserve">（9）投标保证金（如需），格式见附件。</w:t>
      </w:r>
      <w:r/>
    </w:p>
    <w:p>
      <w:pPr>
        <w:jc w:val="left"/>
        <w:spacing w:line="300" w:lineRule="exact"/>
        <w:rPr>
          <w:color w:val="auto"/>
          <w:szCs w:val="21"/>
          <w:highlight w:val="none"/>
        </w:rPr>
      </w:pPr>
      <w:r>
        <w:rPr>
          <w:rFonts w:hint="eastAsia"/>
          <w:color w:val="auto"/>
          <w:szCs w:val="21"/>
          <w:highlight w:val="none"/>
        </w:rPr>
        <w:t xml:space="preserve">（10）联合体协议书（如需），格式见附件。</w:t>
      </w:r>
      <w:r/>
    </w:p>
    <w:p>
      <w:pPr>
        <w:jc w:val="left"/>
        <w:spacing w:line="300" w:lineRule="exact"/>
        <w:rPr>
          <w:color w:val="auto"/>
          <w:szCs w:val="21"/>
          <w:highlight w:val="none"/>
        </w:rPr>
      </w:pPr>
      <w:r>
        <w:rPr>
          <w:rFonts w:hint="eastAsia"/>
          <w:color w:val="auto"/>
          <w:szCs w:val="21"/>
          <w:highlight w:val="none"/>
        </w:rPr>
        <w:t xml:space="preserve">（11）分包意向协议（如需），格式见附件。</w:t>
      </w:r>
      <w:r/>
    </w:p>
    <w:p>
      <w:pPr>
        <w:jc w:val="left"/>
        <w:spacing w:line="300" w:lineRule="exact"/>
        <w:rPr>
          <w:color w:val="auto"/>
          <w:szCs w:val="21"/>
          <w:highlight w:val="none"/>
        </w:rPr>
      </w:pPr>
      <w:r>
        <w:rPr>
          <w:rFonts w:hint="eastAsia"/>
          <w:color w:val="auto"/>
          <w:szCs w:val="21"/>
          <w:highlight w:val="none"/>
        </w:rPr>
        <w:t xml:space="preserve">（12）公章授权书（如需），格式见附件。</w:t>
      </w:r>
      <w:r/>
    </w:p>
    <w:p>
      <w:pPr>
        <w:pStyle w:val="89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二</w:t>
      </w:r>
      <w:r>
        <w:rPr>
          <w:rFonts w:ascii="Microsoft New Tai Lue" w:hAnsi="Microsoft New Tai Lue" w:cs="Microsoft New Tai Lue"/>
          <w:b/>
          <w:color w:val="auto"/>
          <w:highlight w:val="none"/>
        </w:rPr>
        <w:t xml:space="preserve">、技术部分</w:t>
      </w:r>
      <w:r/>
    </w:p>
    <w:p>
      <w:pPr>
        <w:jc w:val="left"/>
        <w:spacing w:line="300" w:lineRule="exact"/>
        <w:rPr>
          <w:color w:val="auto"/>
          <w:szCs w:val="21"/>
          <w:highlight w:val="none"/>
        </w:rPr>
      </w:pPr>
      <w:r>
        <w:rPr>
          <w:color w:val="auto"/>
          <w:szCs w:val="21"/>
          <w:highlight w:val="none"/>
        </w:rPr>
        <w:t xml:space="preserve">（1）技术方案或服务方案</w:t>
      </w:r>
      <w:r/>
    </w:p>
    <w:p>
      <w:pPr>
        <w:jc w:val="left"/>
        <w:spacing w:line="300" w:lineRule="exact"/>
        <w:rPr>
          <w:color w:val="auto"/>
          <w:szCs w:val="21"/>
          <w:highlight w:val="none"/>
        </w:rPr>
      </w:pPr>
      <w:r>
        <w:rPr>
          <w:color w:val="auto"/>
          <w:szCs w:val="21"/>
          <w:highlight w:val="none"/>
        </w:rPr>
        <w:t xml:space="preserve">（2）技术</w:t>
      </w:r>
      <w:r>
        <w:rPr>
          <w:rFonts w:hint="eastAsia"/>
          <w:color w:val="auto"/>
          <w:szCs w:val="21"/>
          <w:highlight w:val="none"/>
        </w:rPr>
        <w:t xml:space="preserve">条款</w:t>
      </w:r>
      <w:r>
        <w:rPr>
          <w:color w:val="auto"/>
          <w:szCs w:val="21"/>
          <w:highlight w:val="none"/>
        </w:rPr>
        <w:t xml:space="preserve">偏离表</w:t>
      </w:r>
      <w:r/>
    </w:p>
    <w:p>
      <w:pPr>
        <w:jc w:val="left"/>
        <w:spacing w:line="300" w:lineRule="exact"/>
        <w:rPr>
          <w:color w:val="auto"/>
          <w:szCs w:val="21"/>
          <w:highlight w:val="none"/>
        </w:rPr>
      </w:pPr>
      <w:r>
        <w:rPr>
          <w:color w:val="auto"/>
          <w:szCs w:val="21"/>
          <w:highlight w:val="none"/>
        </w:rPr>
        <w:t xml:space="preserve">（3）投标人售后服务承诺</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（4）用于本项目人员简历表</w:t>
      </w:r>
      <w:r>
        <w:rPr>
          <w:rFonts w:hint="eastAsia"/>
          <w:color w:val="auto"/>
          <w:szCs w:val="21"/>
          <w:highlight w:val="none"/>
        </w:rPr>
        <w:t xml:space="preserve">（如需）</w:t>
      </w:r>
      <w:r/>
    </w:p>
    <w:p>
      <w:pPr>
        <w:jc w:val="left"/>
        <w:spacing w:line="300" w:lineRule="exact"/>
        <w:rPr>
          <w:color w:val="auto"/>
          <w:szCs w:val="21"/>
          <w:highlight w:val="none"/>
        </w:rPr>
      </w:pPr>
      <w:r>
        <w:rPr>
          <w:color w:val="auto"/>
          <w:szCs w:val="21"/>
          <w:highlight w:val="none"/>
        </w:rPr>
        <w:t xml:space="preserve">（5）投标标的物符合招标文件规定的证明文件</w:t>
      </w:r>
      <w:r>
        <w:rPr>
          <w:rFonts w:hint="eastAsia"/>
          <w:color w:val="auto"/>
          <w:szCs w:val="21"/>
          <w:highlight w:val="none"/>
        </w:rPr>
        <w:t xml:space="preserve">（如需）</w:t>
      </w:r>
      <w:r/>
    </w:p>
    <w:p>
      <w:pPr>
        <w:pStyle w:val="896"/>
        <w:spacing w:before="156" w:line="300" w:lineRule="exact"/>
        <w:rPr>
          <w:rFonts w:ascii="Microsoft New Tai Lue" w:hAnsi="Microsoft New Tai Lue" w:cs="Microsoft New Tai Lue"/>
          <w:b/>
          <w:color w:val="auto"/>
          <w:highlight w:val="none"/>
        </w:rPr>
      </w:pPr>
      <w:r>
        <w:rPr>
          <w:rFonts w:hint="eastAsia" w:ascii="Microsoft New Tai Lue" w:hAnsi="Microsoft New Tai Lue" w:cs="Microsoft New Tai Lue"/>
          <w:b/>
          <w:color w:val="auto"/>
          <w:highlight w:val="none"/>
        </w:rPr>
        <w:t xml:space="preserve">三</w:t>
      </w:r>
      <w:r>
        <w:rPr>
          <w:rFonts w:ascii="Microsoft New Tai Lue" w:hAnsi="Microsoft New Tai Lue" w:cs="Microsoft New Tai Lue"/>
          <w:b/>
          <w:color w:val="auto"/>
          <w:highlight w:val="none"/>
        </w:rPr>
        <w:t xml:space="preserve">、其他部分</w:t>
      </w:r>
      <w:r/>
    </w:p>
    <w:p>
      <w:pPr>
        <w:jc w:val="left"/>
        <w:spacing w:line="300" w:lineRule="exact"/>
        <w:rPr>
          <w:color w:val="auto"/>
          <w:szCs w:val="21"/>
          <w:highlight w:val="none"/>
        </w:rPr>
      </w:pPr>
      <w:r>
        <w:rPr>
          <w:color w:val="auto"/>
          <w:szCs w:val="21"/>
          <w:highlight w:val="none"/>
        </w:rPr>
        <w:t xml:space="preserve">（1）提供符合政府采购政策的证明材料</w:t>
      </w:r>
      <w:r/>
    </w:p>
    <w:p>
      <w:pPr>
        <w:jc w:val="left"/>
        <w:spacing w:line="300" w:lineRule="exact"/>
        <w:rPr>
          <w:color w:val="auto"/>
          <w:szCs w:val="21"/>
          <w:highlight w:val="none"/>
        </w:rPr>
      </w:pPr>
      <w:r>
        <w:rPr>
          <w:color w:val="auto"/>
          <w:szCs w:val="21"/>
          <w:highlight w:val="none"/>
        </w:rPr>
        <w:t xml:space="preserve">（2）投标人认为需提供的其他文件或证明材料</w:t>
      </w:r>
      <w:r/>
    </w:p>
    <w:p>
      <w:pPr>
        <w:jc w:val="left"/>
        <w:spacing w:line="300" w:lineRule="exact"/>
        <w:rPr>
          <w:color w:val="auto"/>
          <w:szCs w:val="21"/>
          <w:highlight w:val="none"/>
        </w:rPr>
      </w:pPr>
      <w:r>
        <w:rPr>
          <w:color w:val="auto"/>
          <w:szCs w:val="21"/>
          <w:highlight w:val="none"/>
        </w:rPr>
        <w:t xml:space="preserve">（3）要求投标人提交的其他文件材料或证明材料</w:t>
      </w:r>
      <w:r/>
    </w:p>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342" w:name="_Toc46960714"/>
      <w:r/>
      <w:bookmarkStart w:id="343" w:name="_Toc114845418"/>
      <w:r/>
      <w:bookmarkStart w:id="344" w:name="_Toc112660675"/>
      <w:r/>
      <w:bookmarkStart w:id="345" w:name="_Toc51928380"/>
      <w:r/>
      <w:bookmarkStart w:id="346" w:name="_Toc113285517"/>
      <w:r/>
      <w:bookmarkStart w:id="347" w:name="_Toc38933385"/>
      <w:r/>
      <w:bookmarkStart w:id="348" w:name="_Toc35553014"/>
      <w:r/>
      <w:bookmarkStart w:id="349" w:name="_Toc38931828"/>
      <w:r/>
      <w:bookmarkStart w:id="350" w:name="_Toc46219744"/>
      <w:r/>
      <w:bookmarkStart w:id="351" w:name="_Toc24150"/>
      <w:r/>
      <w:bookmarkStart w:id="352" w:name="_Toc27578"/>
      <w:r/>
      <w:bookmarkStart w:id="353" w:name="_Toc48151457"/>
      <w:r/>
      <w:bookmarkStart w:id="354" w:name="_Toc19433"/>
      <w:r/>
      <w:bookmarkStart w:id="355" w:name="_Toc113285635"/>
      <w:r/>
      <w:bookmarkStart w:id="356" w:name="_Toc46939555"/>
      <w:r/>
      <w:bookmarkStart w:id="357" w:name="_Toc50528847"/>
      <w:r/>
      <w:bookmarkStart w:id="358" w:name="_Toc38931642"/>
      <w:r/>
      <w:bookmarkStart w:id="359" w:name="_Toc112660571"/>
      <w:r/>
      <w:bookmarkStart w:id="360" w:name="_Toc32274"/>
      <w:r/>
      <w:bookmarkStart w:id="361" w:name="_Toc40202978"/>
      <w:r>
        <w:rPr>
          <w:rFonts w:hint="eastAsia" w:ascii="Microsoft New Tai Lue" w:hAnsi="Microsoft New Tai Lue" w:cs="Microsoft New Tai Lue"/>
          <w:b/>
          <w:bCs/>
          <w:color w:val="auto"/>
          <w:sz w:val="32"/>
          <w:szCs w:val="32"/>
          <w:highlight w:val="none"/>
        </w:rPr>
        <w:t xml:space="preserve">资格及符合性审查索引表</w:t>
      </w:r>
      <w:r/>
    </w:p>
    <w:p>
      <w:pPr>
        <w:pStyle w:val="896"/>
        <w:ind w:firstLine="420"/>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投标人按照招标文件要求，列出投标文件对应响应内容的页码及响应情况。如因文件编制混乱，页码错误或页码对应的材料不符等问题导致投标被否决等不利后果由投标人承担（具体要求以采购文件为准）。</w:t>
      </w:r>
      <w:r/>
    </w:p>
    <w:tbl>
      <w:tblPr>
        <w:tblStyle w:val="880"/>
        <w:tblW w:w="10614" w:type="dxa"/>
        <w:tblInd w:w="-1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19"/>
        <w:gridCol w:w="7663"/>
        <w:gridCol w:w="1192"/>
        <w:gridCol w:w="1240"/>
      </w:tblGrid>
      <w:tr>
        <w:trPr>
          <w:trHeight w:val="1063"/>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序号</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招标文件要求提供材料</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w:t>
            </w:r>
            <w:r>
              <w:rPr>
                <w:rFonts w:ascii="Microsoft New Tai Lue" w:hAnsi="Microsoft New Tai Lue" w:cs="Microsoft New Tai Lue"/>
                <w:color w:val="auto"/>
                <w:highlight w:val="none"/>
              </w:rPr>
              <w:t xml:space="preserve">页码</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b/>
                <w:bCs/>
                <w:color w:val="auto"/>
                <w:szCs w:val="44"/>
                <w:highlight w:val="none"/>
              </w:rPr>
              <w:t xml:space="preserve">申请人的资格要求</w:t>
            </w:r>
            <w:r>
              <w:rPr>
                <w:rFonts w:hint="eastAsia" w:ascii="Microsoft New Tai Lue" w:hAnsi="Microsoft New Tai Lue" w:cs="Microsoft New Tai Lue"/>
                <w:b/>
                <w:bCs/>
                <w:color w:val="auto"/>
                <w:szCs w:val="44"/>
                <w:highlight w:val="none"/>
              </w:rPr>
              <w:t xml:space="preserve">（须提供的证明材料以 招标公告（招标文件第2页：</w:t>
            </w:r>
            <w:r>
              <w:rPr>
                <w:rFonts w:ascii="Microsoft New Tai Lue" w:hAnsi="Microsoft New Tai Lue" w:cs="Microsoft New Tai Lue"/>
                <w:b/>
                <w:bCs/>
                <w:color w:val="auto"/>
                <w:szCs w:val="44"/>
                <w:highlight w:val="none"/>
              </w:rPr>
              <w:t xml:space="preserve">二、申请人的资格要求</w:t>
            </w:r>
            <w:r>
              <w:rPr>
                <w:rFonts w:hint="eastAsia" w:ascii="Microsoft New Tai Lue" w:hAnsi="Microsoft New Tai Lue" w:cs="Microsoft New Tai Lue"/>
                <w:b/>
                <w:bCs/>
                <w:color w:val="auto"/>
                <w:szCs w:val="44"/>
                <w:highlight w:val="none"/>
              </w:rPr>
              <w:t xml:space="preserve">）载明为准，本索引表格式仅供参考）</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资格审查要求1：具有独立承担民事责任的能力（提供法人或者其他组织的营业执照等证明文件，自然人的身份证明，或具有同等法律效力的证照）</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资格审查要求2：</w:t>
            </w:r>
            <w:r>
              <w:rPr>
                <w:rFonts w:hint="eastAsia" w:ascii="Microsoft New Tai Lue" w:hAnsi="Microsoft New Tai Lue" w:cs="Microsoft New Tai Lue"/>
                <w:bCs/>
                <w:color w:val="auto"/>
                <w:highlight w:val="none"/>
              </w:rPr>
              <w:t xml:space="preserve">具有良好的商业信誉和健全的财务会计制度</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14"/>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资格审查要求3：具有履行合同所必需的设备和专业技术能力（提供具备履行合同所必需的设备和专业技术能力的证明材料或承诺函，由供应商根据项目需求提供说明材料或承诺）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资格审查要求4：有依法缴纳税收和社会保障资金的良好记录（提供本次采购活动前12个月内，至少1个月缴纳税收和社会保险的凭证，依法享受免缴、缓缴的，提供证明材料，或提供承诺）</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5：参加政府采购活动前三年内，在经营活动中没有重大违法记录（提供声明函原件，重大违法记录是指供应商因违法经营受到刑事处罚或责令停产停业、吊销许可证或者执照、较大数额罚款等行政处罚）</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资格审查要求6：</w:t>
            </w:r>
            <w:r>
              <w:rPr>
                <w:rFonts w:hint="eastAsia" w:ascii="Microsoft New Tai Lue" w:hAnsi="Microsoft New Tai Lue" w:cs="Microsoft New Tai Lue"/>
                <w:bCs/>
                <w:color w:val="auto"/>
                <w:highlight w:val="none"/>
              </w:rPr>
              <w:t xml:space="preserve">法律、行政法规规定的其他条件</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本项目的特定资格要求：单位负责人为同一人或者存在直接控股、管理关系的不同供应商，不得参加同一合同项下的政府采购活动。除单一来源项目外，凡为采购项目提供整体设计、规范编制或者项目管理、监理、检测等服务的供应商不得再参加本项目的采购活动。通过“信用中国”网站（http://www.creditchina.gov.cn）、中国政府采购网（www.ccgp.gov.cn）查询供应商在投标截止时间前的信用记录，通过以上查询渠道，供应商未被列入失信被执行人、重大税收违法案件当事人名单、政府采购严重违法失信行为记录。</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b/>
                <w:bCs/>
                <w:color w:val="auto"/>
                <w:highlight w:val="none"/>
              </w:rPr>
              <w:t xml:space="preserve">符合性审查要求</w:t>
            </w:r>
            <w:r/>
          </w:p>
        </w:tc>
        <w:tc>
          <w:tcPr>
            <w:tcBorders>
              <w:top w:val="single" w:color="auto" w:sz="4" w:space="0"/>
              <w:left w:val="single" w:color="auto" w:sz="4" w:space="0"/>
              <w:bottom w:val="single" w:color="auto" w:sz="4" w:space="0"/>
              <w:right w:val="single" w:color="auto" w:sz="4" w:space="0"/>
            </w:tcBorders>
            <w:tcW w:w="119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2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2.1</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按照招标文件规定要求签署、盖章</w:t>
            </w:r>
            <w:r/>
          </w:p>
        </w:tc>
        <w:tc>
          <w:tcPr>
            <w:gridSpan w:val="2"/>
            <w:tcBorders>
              <w:top w:val="single" w:color="auto" w:sz="4" w:space="0"/>
              <w:left w:val="single" w:color="auto" w:sz="4" w:space="0"/>
              <w:right w:val="single" w:color="auto" w:sz="4" w:space="0"/>
            </w:tcBorders>
            <w:tcW w:w="2432" w:type="dxa"/>
            <w:vMerge w:val="restart"/>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供应商递交投标文件前自行逐条对照招标文件要求检查确认即可，最终以评标委员会判定为准。</w:t>
            </w:r>
            <w:r>
              <w:rPr>
                <w:rFonts w:hint="eastAsia" w:ascii="Microsoft New Tai Lue" w:hAnsi="Microsoft New Tai Lue" w:cs="Microsoft New Tai Lue"/>
                <w:color w:val="auto"/>
                <w:highlight w:val="none"/>
                <w:u w:val="single"/>
              </w:rPr>
              <w:t xml:space="preserve">请供应商特别注意本项目是否设置了分项内容的最高限价。</w:t>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2.2</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报价未超过招标文件中规定的预算金额或者最高限价</w:t>
            </w:r>
            <w:r/>
          </w:p>
        </w:tc>
        <w:tc>
          <w:tcPr>
            <w:gridSpan w:val="2"/>
            <w:tcBorders>
              <w:left w:val="single" w:color="auto" w:sz="4" w:space="0"/>
              <w:right w:val="single" w:color="auto" w:sz="4" w:space="0"/>
            </w:tcBorders>
            <w:tcW w:w="2432" w:type="dxa"/>
            <w:vMerge w:val="continue"/>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2.3</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投标文件中承诺的投标有效期满足招标文件中载明的投标有效期的</w:t>
            </w:r>
            <w:r/>
          </w:p>
        </w:tc>
        <w:tc>
          <w:tcPr>
            <w:gridSpan w:val="2"/>
            <w:tcBorders>
              <w:left w:val="single" w:color="auto" w:sz="4" w:space="0"/>
              <w:right w:val="single" w:color="auto" w:sz="4" w:space="0"/>
            </w:tcBorders>
            <w:tcW w:w="2432" w:type="dxa"/>
            <w:vMerge w:val="continue"/>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2.4</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按照招标文件规定提交投标保证金的（招标文件未要求提交投标保证金的除外）</w:t>
            </w:r>
            <w:r/>
          </w:p>
        </w:tc>
        <w:tc>
          <w:tcPr>
            <w:gridSpan w:val="2"/>
            <w:tcBorders>
              <w:left w:val="single" w:color="auto" w:sz="4" w:space="0"/>
              <w:right w:val="single" w:color="auto" w:sz="4" w:space="0"/>
            </w:tcBorders>
            <w:tcW w:w="2432" w:type="dxa"/>
            <w:vMerge w:val="continue"/>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2.5</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投标文件不含有采购人不能接受的附加条件的</w:t>
            </w:r>
            <w:r/>
          </w:p>
        </w:tc>
        <w:tc>
          <w:tcPr>
            <w:gridSpan w:val="2"/>
            <w:tcBorders>
              <w:left w:val="single" w:color="auto" w:sz="4" w:space="0"/>
              <w:right w:val="single" w:color="auto" w:sz="4" w:space="0"/>
            </w:tcBorders>
            <w:tcW w:w="2432" w:type="dxa"/>
            <w:vMerge w:val="continue"/>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2.6</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投标文件符合招标文件中规定的其它实质性要求的</w:t>
            </w:r>
            <w:r/>
          </w:p>
        </w:tc>
        <w:tc>
          <w:tcPr>
            <w:gridSpan w:val="2"/>
            <w:tcBorders>
              <w:left w:val="single" w:color="auto" w:sz="4" w:space="0"/>
              <w:right w:val="single" w:color="auto" w:sz="4" w:space="0"/>
            </w:tcBorders>
            <w:tcW w:w="2432" w:type="dxa"/>
            <w:vMerge w:val="continue"/>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2.7</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没有现行法律、法规、规章和招标文件规定的其他无效情形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2.8</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没有提供虚假材料谋取中标的情形；</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与采购人、其他供应商或者采购代理机构恶意串通的；</w:t>
            </w:r>
            <w:r/>
          </w:p>
        </w:tc>
        <w:tc>
          <w:tcPr>
            <w:gridSpan w:val="2"/>
            <w:tcBorders>
              <w:left w:val="single" w:color="auto" w:sz="4" w:space="0"/>
              <w:right w:val="single" w:color="auto" w:sz="4" w:space="0"/>
            </w:tcBorders>
            <w:tcW w:w="2432" w:type="dxa"/>
            <w:vMerge w:val="restart"/>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供应商递交投标文件前自行逐条对照招标文件要求检查确认即可，最终以评标委员会及审计部门判定为准。</w:t>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2.9</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没有与其他供应商串通投标的情形，串通投标包括但不限于以下情形：</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（1）不同投标供应商的投标文件由同一单位或个人编制的，以及投标使用同一加密锁或具有相同Mac地址的；</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（2）不同投标供应商委托同一单位或个人办理投标事宜的；</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（3）不同投标供应商的投标文件载明的项目管理成员为同一人的；</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（4）不同投标供应商的投标文件异常一致或投标呈规律性差异的；</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（5）不同投标供应商的投标文件混装、签章混用的；</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（6）不同投标供应商的投标保证金从同一单位或个人的账户转出的；</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（7）国家法律法规规定的其他情形。</w:t>
            </w:r>
            <w:r/>
          </w:p>
        </w:tc>
        <w:tc>
          <w:tcPr>
            <w:gridSpan w:val="2"/>
            <w:tcBorders>
              <w:left w:val="single" w:color="auto" w:sz="4" w:space="0"/>
              <w:bottom w:val="single" w:color="auto" w:sz="4" w:space="0"/>
              <w:right w:val="single" w:color="auto" w:sz="4" w:space="0"/>
            </w:tcBorders>
            <w:tcW w:w="2432" w:type="dxa"/>
            <w:vMerge w:val="continue"/>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89"/>
        </w:trPr>
        <w:tc>
          <w:tcPr>
            <w:tcBorders>
              <w:top w:val="single" w:color="auto" w:sz="4" w:space="0"/>
              <w:left w:val="single" w:color="auto" w:sz="4" w:space="0"/>
              <w:bottom w:val="single" w:color="auto" w:sz="4" w:space="0"/>
              <w:right w:val="single" w:color="auto" w:sz="4" w:space="0"/>
            </w:tcBorders>
            <w:tcW w:w="51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7663" w:type="dxa"/>
            <w:vAlign w:val="center"/>
            <w:textDirection w:val="lrTb"/>
            <w:noWrap w:val="false"/>
          </w:tcPr>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w:t>
            </w:r>
            <w:r/>
          </w:p>
        </w:tc>
        <w:tc>
          <w:tcPr>
            <w:gridSpan w:val="2"/>
            <w:tcBorders>
              <w:top w:val="single" w:color="auto" w:sz="4" w:space="0"/>
              <w:left w:val="single" w:color="auto" w:sz="4" w:space="0"/>
              <w:bottom w:val="single" w:color="auto" w:sz="4" w:space="0"/>
              <w:right w:val="single" w:color="auto" w:sz="4" w:space="0"/>
            </w:tcBorders>
            <w:tcW w:w="2432"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r/>
    </w:p>
    <w:p>
      <w:pPr>
        <w:pStyle w:val="896"/>
        <w:jc w:val="center"/>
        <w:spacing w:before="156" w:line="360" w:lineRule="auto"/>
        <w:rPr>
          <w:rFonts w:ascii="Microsoft New Tai Lue" w:hAnsi="Microsoft New Tai Lue" w:cs="Microsoft New Tai Lue"/>
          <w:color w:val="auto"/>
          <w:sz w:val="30"/>
          <w:szCs w:val="30"/>
          <w:highlight w:val="none"/>
        </w:rPr>
      </w:pPr>
      <w:r>
        <w:rPr>
          <w:rFonts w:hint="eastAsia" w:ascii="Microsoft New Tai Lue" w:hAnsi="Microsoft New Tai Lue" w:cs="Microsoft New Tai Lue"/>
          <w:b/>
          <w:bCs/>
          <w:color w:val="auto"/>
          <w:sz w:val="32"/>
          <w:szCs w:val="32"/>
          <w:highlight w:val="none"/>
        </w:rPr>
        <w:t xml:space="preserve">评标索引表</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r/>
    </w:p>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投标人按照第三章评标办法 综合评估法评标细则所列评分内容，列出投标文件对应响应内容的页码</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及响应情况。如因文件编制混乱，页码错误或页码对应的材料不符等问题导致失分等不利后果由投标人</w:t>
      </w:r>
      <w:r/>
    </w:p>
    <w:p>
      <w:pPr>
        <w:pStyle w:val="896"/>
        <w:jc w:val="left"/>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承担。</w:t>
      </w:r>
      <w:r/>
    </w:p>
    <w:tbl>
      <w:tblPr>
        <w:tblStyle w:val="880"/>
        <w:tblW w:w="105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79"/>
        <w:gridCol w:w="3538"/>
        <w:gridCol w:w="2750"/>
        <w:gridCol w:w="1740"/>
      </w:tblGrid>
      <w:tr>
        <w:trPr>
          <w:trHeight w:val="1093"/>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评分因素</w:t>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评分标准</w:t>
            </w:r>
            <w:r/>
          </w:p>
        </w:tc>
        <w:tc>
          <w:tcPr>
            <w:tcBorders>
              <w:top w:val="single" w:color="auto" w:sz="4" w:space="0"/>
              <w:left w:val="single" w:color="auto" w:sz="4" w:space="0"/>
              <w:bottom w:val="single" w:color="auto" w:sz="4" w:space="0"/>
              <w:right w:val="single" w:color="auto" w:sz="4" w:space="0"/>
            </w:tcBorders>
            <w:tcW w:w="2750"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投标人响应情况（是否响应）</w:t>
            </w:r>
            <w:r/>
          </w:p>
        </w:tc>
        <w:tc>
          <w:tcPr>
            <w:tcBorders>
              <w:top w:val="single" w:color="auto" w:sz="4" w:space="0"/>
              <w:left w:val="single" w:color="auto" w:sz="4" w:space="0"/>
              <w:bottom w:val="single" w:color="auto" w:sz="4" w:space="0"/>
              <w:right w:val="single" w:color="auto" w:sz="4" w:space="0"/>
            </w:tcBorders>
            <w:tcW w:w="1740"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hint="eastAsia" w:ascii="Microsoft New Tai Lue" w:hAnsi="Microsoft New Tai Lue" w:cs="Microsoft New Tai Lue"/>
                <w:color w:val="auto"/>
                <w:highlight w:val="none"/>
              </w:rPr>
              <w:t xml:space="preserve">投标文件</w:t>
            </w:r>
            <w:r>
              <w:rPr>
                <w:rFonts w:ascii="Microsoft New Tai Lue" w:hAnsi="Microsoft New Tai Lue" w:cs="Microsoft New Tai Lue"/>
                <w:color w:val="auto"/>
                <w:highlight w:val="none"/>
              </w:rPr>
              <w:t xml:space="preserve">中对应</w:t>
            </w:r>
            <w:r>
              <w:rPr>
                <w:rFonts w:hint="eastAsia" w:ascii="Microsoft New Tai Lue" w:hAnsi="Microsoft New Tai Lue" w:cs="Microsoft New Tai Lue"/>
                <w:color w:val="auto"/>
                <w:highlight w:val="none"/>
              </w:rPr>
              <w:t xml:space="preserve">材料所在</w:t>
            </w:r>
            <w:r>
              <w:rPr>
                <w:rFonts w:ascii="Microsoft New Tai Lue" w:hAnsi="Microsoft New Tai Lue" w:cs="Microsoft New Tai Lue"/>
                <w:color w:val="auto"/>
                <w:highlight w:val="none"/>
              </w:rPr>
              <w:t xml:space="preserve">页码</w:t>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78"/>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49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r>
        <w:trPr>
          <w:trHeight w:val="502"/>
        </w:trPr>
        <w:tc>
          <w:tcPr>
            <w:tcBorders>
              <w:top w:val="single" w:color="auto" w:sz="4" w:space="0"/>
              <w:left w:val="single" w:color="auto" w:sz="4" w:space="0"/>
              <w:bottom w:val="single" w:color="auto" w:sz="4" w:space="0"/>
              <w:right w:val="single" w:color="auto" w:sz="4" w:space="0"/>
            </w:tcBorders>
            <w:tcW w:w="2479"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3538" w:type="dxa"/>
            <w:vAlign w:val="center"/>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275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c>
          <w:tcPr>
            <w:tcBorders>
              <w:top w:val="single" w:color="auto" w:sz="4" w:space="0"/>
              <w:left w:val="single" w:color="auto" w:sz="4" w:space="0"/>
              <w:bottom w:val="single" w:color="auto" w:sz="4" w:space="0"/>
              <w:right w:val="single" w:color="auto" w:sz="4" w:space="0"/>
            </w:tcBorders>
            <w:tcW w:w="1740" w:type="dxa"/>
            <w:textDirection w:val="lrTb"/>
            <w:noWrap w:val="false"/>
          </w:tcPr>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tc>
      </w:tr>
    </w:tbl>
    <w:p>
      <w:pPr>
        <w:pStyle w:val="896"/>
        <w:jc w:val="center"/>
        <w:spacing w:before="156" w:line="30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End w:id="341"/>
      <w:r/>
      <w:r/>
    </w:p>
    <w:p>
      <w:pPr>
        <w:pStyle w:val="916"/>
        <w:numPr>
          <w:ilvl w:val="0"/>
          <w:numId w:val="30"/>
        </w:numPr>
        <w:spacing w:before="0" w:line="280" w:lineRule="exact"/>
        <w:rPr>
          <w:rFonts w:ascii="Microsoft New Tai Lue" w:hAnsi="Microsoft New Tai Lue" w:cs="Microsoft New Tai Lue"/>
          <w:color w:val="auto"/>
          <w:sz w:val="28"/>
          <w:szCs w:val="24"/>
          <w:highlight w:val="none"/>
        </w:rPr>
      </w:pPr>
      <w:r/>
      <w:bookmarkStart w:id="362" w:name="_Toc107246274"/>
      <w:r/>
      <w:bookmarkStart w:id="363" w:name="_Toc104560897"/>
      <w:r/>
      <w:bookmarkStart w:id="364" w:name="_Toc103848582"/>
      <w:r/>
      <w:bookmarkStart w:id="365" w:name="_Toc104560893"/>
      <w:r>
        <w:rPr>
          <w:rFonts w:hint="eastAsia" w:ascii="Microsoft New Tai Lue" w:hAnsi="Microsoft New Tai Lue" w:cs="Microsoft New Tai Lue"/>
          <w:color w:val="auto"/>
          <w:sz w:val="28"/>
          <w:szCs w:val="24"/>
          <w:highlight w:val="none"/>
        </w:rPr>
        <w:t xml:space="preserve">价格</w:t>
      </w:r>
      <w:r>
        <w:rPr>
          <w:rFonts w:ascii="Microsoft New Tai Lue" w:hAnsi="Microsoft New Tai Lue" w:cs="Microsoft New Tai Lue"/>
          <w:color w:val="auto"/>
          <w:sz w:val="28"/>
          <w:szCs w:val="24"/>
          <w:highlight w:val="none"/>
        </w:rPr>
        <w:t xml:space="preserve">及商务部分</w:t>
      </w:r>
      <w:bookmarkEnd w:id="362"/>
      <w:r/>
      <w:bookmarkEnd w:id="363"/>
      <w:r/>
      <w:bookmarkEnd w:id="364"/>
      <w:r/>
      <w:r/>
    </w:p>
    <w:p>
      <w:pPr>
        <w:rPr>
          <w:color w:val="auto"/>
          <w:highlight w:val="none"/>
        </w:rPr>
      </w:pPr>
      <w:r>
        <w:rPr>
          <w:color w:val="auto"/>
          <w:highlight w:val="none"/>
        </w:rPr>
      </w:r>
      <w:r/>
    </w:p>
    <w:p>
      <w:pPr>
        <w:pStyle w:val="916"/>
        <w:spacing w:before="0" w:line="280" w:lineRule="exact"/>
        <w:rPr>
          <w:rFonts w:ascii="Microsoft New Tai Lue" w:hAnsi="Microsoft New Tai Lue" w:cs="Microsoft New Tai Lue"/>
          <w:color w:val="auto"/>
          <w:sz w:val="28"/>
          <w:szCs w:val="24"/>
          <w:highlight w:val="none"/>
        </w:rPr>
      </w:pPr>
      <w:r/>
      <w:bookmarkStart w:id="366" w:name="_Toc107246275"/>
      <w:r>
        <w:rPr>
          <w:rFonts w:hint="eastAsia" w:ascii="Microsoft New Tai Lue" w:hAnsi="Microsoft New Tai Lue" w:cs="Microsoft New Tai Lue"/>
          <w:b w:val="0"/>
          <w:color w:val="auto"/>
          <w:sz w:val="24"/>
          <w:highlight w:val="none"/>
        </w:rPr>
        <w:t xml:space="preserve">（1）</w:t>
      </w:r>
      <w:r>
        <w:rPr>
          <w:rFonts w:hint="eastAsia" w:ascii="Microsoft New Tai Lue" w:hAnsi="Microsoft New Tai Lue" w:cs="Microsoft New Tai Lue"/>
          <w:color w:val="auto"/>
          <w:sz w:val="28"/>
          <w:szCs w:val="24"/>
          <w:highlight w:val="none"/>
        </w:rPr>
        <w:t xml:space="preserve">投标函</w:t>
      </w:r>
      <w:bookmarkEnd w:id="365"/>
      <w:r/>
      <w:bookmarkEnd w:id="366"/>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bookmarkStart w:id="367" w:name="_Toc103848580"/>
      <w:r/>
      <w:bookmarkStart w:id="368" w:name="_Toc96347902"/>
      <w:r>
        <w:rPr>
          <w:rFonts w:ascii="宋体" w:hAnsi="宋体" w:eastAsia="宋体" w:cs="宋体"/>
          <w:color w:val="auto"/>
          <w:sz w:val="24"/>
          <w:highlight w:val="none"/>
        </w:rPr>
        <w:t xml:space="preserve">致：</w:t>
      </w:r>
      <w:r>
        <w:rPr>
          <w:color w:val="auto"/>
          <w:szCs w:val="21"/>
          <w:highlight w:val="none"/>
          <w:u w:val="single"/>
        </w:rPr>
        <w:t xml:space="preserve">                      </w:t>
      </w:r>
      <w:r>
        <w:rPr>
          <w:rFonts w:hint="eastAsia"/>
          <w:color w:val="auto"/>
          <w:szCs w:val="21"/>
          <w:highlight w:val="none"/>
        </w:rPr>
        <w:t xml:space="preserve">（采购</w:t>
      </w:r>
      <w:r>
        <w:rPr>
          <w:color w:val="auto"/>
          <w:szCs w:val="21"/>
          <w:highlight w:val="none"/>
        </w:rPr>
        <w:t xml:space="preserve">人）</w:t>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根据贵方的JZCG-G</w:t>
      </w:r>
      <w:r>
        <w:rPr>
          <w:rFonts w:ascii="宋体" w:hAnsi="宋体" w:eastAsia="宋体" w:cs="宋体"/>
          <w:color w:val="auto"/>
          <w:sz w:val="36"/>
          <w:highlight w:val="none"/>
          <w:u w:val="single"/>
        </w:rPr>
        <w:t xml:space="preserve">            </w:t>
      </w:r>
      <w:r>
        <w:rPr>
          <w:rFonts w:ascii="宋体" w:hAnsi="宋体" w:eastAsia="宋体" w:cs="宋体"/>
          <w:color w:val="auto"/>
          <w:sz w:val="24"/>
          <w:highlight w:val="none"/>
        </w:rPr>
        <w:t xml:space="preserve">号招标文件，正式授权下述签字人_________________(姓名)代表我方______________（投标人的名称），全权处理本次项目投标的有关事宜。</w:t>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据此函，__________签字人兹宣布同意如下：</w:t>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1.按招标文件规定的各项要求，向买方提供所需服务（包含与服务相关的货物）。</w:t>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2.我们完全理解贵方不一定将合同授予最低报价的投标人。</w:t>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4.我们同意从规定的开标日期起遵循本投标文件，并在规定的投标有效期期满之前均具有约束力。</w:t>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left="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7.与本投标有关的正式通讯地址为：</w:t>
      </w:r>
      <w:r/>
    </w:p>
    <w:p>
      <w:pPr>
        <w:ind w:left="42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地址：</w:t>
      </w:r>
      <w:r/>
    </w:p>
    <w:p>
      <w:pPr>
        <w:ind w:left="42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邮编：</w:t>
      </w:r>
      <w:r/>
    </w:p>
    <w:p>
      <w:pPr>
        <w:ind w:left="42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电话：</w:t>
      </w:r>
      <w:r/>
    </w:p>
    <w:p>
      <w:pPr>
        <w:ind w:left="42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传真：</w:t>
      </w:r>
      <w:r/>
    </w:p>
    <w:p>
      <w:pPr>
        <w:ind w:left="42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投标人开户行：</w:t>
      </w:r>
      <w:r/>
    </w:p>
    <w:p>
      <w:pPr>
        <w:ind w:left="420" w:right="0" w:firstLine="0"/>
        <w:spacing w:before="0" w:after="0" w:line="419"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账户： </w:t>
      </w:r>
      <w:r/>
    </w:p>
    <w:p>
      <w:pPr>
        <w:pStyle w:val="916"/>
        <w:spacing w:before="0"/>
        <w:rPr>
          <w:rFonts w:ascii="Microsoft New Tai Lue" w:hAnsi="Microsoft New Tai Lue" w:cs="Microsoft New Tai Lue"/>
          <w:bCs w:val="0"/>
          <w:color w:val="auto"/>
          <w:sz w:val="24"/>
          <w:szCs w:val="24"/>
          <w:highlight w:val="none"/>
        </w:rPr>
      </w:pPr>
      <w:r>
        <w:rPr>
          <w:rFonts w:ascii="宋体" w:hAnsi="宋体" w:eastAsia="宋体" w:cs="宋体"/>
          <w:color w:val="auto"/>
          <w:sz w:val="24"/>
          <w:highlight w:val="none"/>
        </w:rPr>
        <w:t xml:space="preserve">日期：________年____月____日</w:t>
      </w:r>
      <w:r>
        <w:rPr>
          <w:bCs w:val="0"/>
          <w:color w:val="auto"/>
          <w:highlight w:val="none"/>
        </w:rPr>
        <w:br w:type="page" w:clear="all"/>
      </w:r>
      <w:bookmarkStart w:id="369" w:name="_Toc104560898"/>
      <w:r/>
      <w:bookmarkStart w:id="370" w:name="_Toc103848583"/>
      <w:r/>
      <w:bookmarkStart w:id="371" w:name="_Toc107246276"/>
      <w:r>
        <w:rPr>
          <w:rFonts w:ascii="Microsoft New Tai Lue" w:hAnsi="Microsoft New Tai Lue" w:cs="Microsoft New Tai Lue"/>
          <w:bCs w:val="0"/>
          <w:color w:val="auto"/>
          <w:sz w:val="24"/>
          <w:szCs w:val="24"/>
          <w:highlight w:val="none"/>
        </w:rPr>
        <w:t xml:space="preserve">（2）</w:t>
      </w:r>
      <w:bookmarkEnd w:id="369"/>
      <w:r/>
      <w:bookmarkEnd w:id="370"/>
      <w:r>
        <w:rPr>
          <w:rFonts w:hint="eastAsia" w:ascii="Microsoft New Tai Lue" w:hAnsi="Microsoft New Tai Lue" w:cs="Microsoft New Tai Lue"/>
          <w:bCs w:val="0"/>
          <w:color w:val="auto"/>
          <w:sz w:val="24"/>
          <w:szCs w:val="24"/>
          <w:highlight w:val="none"/>
        </w:rPr>
        <w:t xml:space="preserve">法定代表人（单位负责人）身份证明</w:t>
      </w:r>
      <w:bookmarkEnd w:id="371"/>
      <w:r/>
      <w:r/>
    </w:p>
    <w:p>
      <w:pPr>
        <w:pStyle w:val="89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91"/>
        <w:ind w:left="1236" w:hanging="396"/>
        <w:tabs>
          <w:tab w:val="left" w:pos="4228" w:leader="none"/>
        </w:tabs>
        <w:rPr>
          <w:rFonts w:ascii="Microsoft New Tai Lue" w:hAnsi="Microsoft New Tai Lue" w:cs="Microsoft New Tai Lue"/>
          <w:color w:val="auto"/>
          <w:spacing w:val="-1"/>
          <w:highlight w:val="none"/>
        </w:rPr>
      </w:pPr>
      <w:r>
        <w:rPr>
          <w:rFonts w:ascii="Microsoft New Tai Lue" w:hAnsi="Microsoft New Tai Lue" w:cs="Microsoft New Tai Lue"/>
          <w:color w:val="auto"/>
          <w:spacing w:val="-1"/>
          <w:highlight w:val="none"/>
        </w:rPr>
      </w:r>
      <w:r/>
    </w:p>
    <w:p>
      <w:pPr>
        <w:pStyle w:val="891"/>
        <w:ind w:firstLine="420"/>
        <w:tabs>
          <w:tab w:val="left" w:pos="4228" w:leader="none"/>
        </w:tabs>
        <w:rPr>
          <w:rFonts w:eastAsia="Times New Roman"/>
          <w:color w:val="auto"/>
          <w:highlight w:val="none"/>
        </w:rPr>
      </w:pPr>
      <w:r>
        <w:rPr>
          <w:rFonts w:hint="eastAsia"/>
          <w:color w:val="auto"/>
          <w:highlight w:val="none"/>
        </w:rPr>
        <w:t xml:space="preserve">投标人</w:t>
      </w:r>
      <w:r>
        <w:rPr>
          <w:color w:val="auto"/>
          <w:highlight w:val="none"/>
        </w:rPr>
        <w:t xml:space="preserve">名</w:t>
      </w:r>
      <w:r>
        <w:rPr>
          <w:color w:val="auto"/>
          <w:spacing w:val="-3"/>
          <w:highlight w:val="none"/>
        </w:rPr>
        <w:t xml:space="preserve">称</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891"/>
        <w:ind w:firstLine="420"/>
        <w:spacing w:before="170"/>
        <w:tabs>
          <w:tab w:val="left" w:pos="2712" w:leader="none"/>
          <w:tab w:val="left" w:pos="4183" w:leader="none"/>
          <w:tab w:val="left" w:pos="5652" w:leader="none"/>
          <w:tab w:val="left" w:pos="7169" w:leader="none"/>
        </w:tabs>
        <w:rPr>
          <w:rFonts w:eastAsia="Times New Roman"/>
          <w:color w:val="auto"/>
          <w:highlight w:val="none"/>
        </w:rPr>
      </w:pPr>
      <w:r>
        <w:rPr>
          <w:color w:val="auto"/>
          <w:highlight w:val="none"/>
        </w:rPr>
        <w:t xml:space="preserve">姓名</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性别</w:t>
      </w:r>
      <w:r>
        <w:rPr>
          <w:color w:val="auto"/>
          <w:spacing w:val="-3"/>
          <w:highlight w:val="none"/>
        </w:rPr>
        <w:t xml:space="preserve">：</w:t>
      </w:r>
      <w:r>
        <w:rPr>
          <w:color w:val="auto"/>
          <w:spacing w:val="-3"/>
          <w:highlight w:val="none"/>
          <w:u w:val="single"/>
        </w:rPr>
        <w:t xml:space="preserve"> </w:t>
      </w:r>
      <w:r>
        <w:rPr>
          <w:color w:val="auto"/>
          <w:spacing w:val="-3"/>
          <w:highlight w:val="none"/>
          <w:u w:val="single"/>
        </w:rPr>
        <w:tab/>
      </w:r>
      <w:r>
        <w:rPr>
          <w:color w:val="auto"/>
          <w:highlight w:val="none"/>
        </w:rPr>
        <w:t xml:space="preserve">年</w:t>
      </w:r>
      <w:r>
        <w:rPr>
          <w:color w:val="auto"/>
          <w:spacing w:val="-3"/>
          <w:highlight w:val="none"/>
        </w:rPr>
        <w:t xml:space="preserve">龄</w:t>
      </w:r>
      <w:r>
        <w:rPr>
          <w:color w:val="auto"/>
          <w:highlight w:val="none"/>
        </w:rPr>
        <w:t xml:space="preserve">：</w:t>
      </w:r>
      <w:r>
        <w:rPr>
          <w:color w:val="auto"/>
          <w:highlight w:val="none"/>
          <w:u w:val="single"/>
        </w:rPr>
        <w:t xml:space="preserve"> </w:t>
      </w:r>
      <w:r>
        <w:rPr>
          <w:color w:val="auto"/>
          <w:highlight w:val="none"/>
          <w:u w:val="single"/>
        </w:rPr>
        <w:tab/>
      </w:r>
      <w:r>
        <w:rPr>
          <w:color w:val="auto"/>
          <w:spacing w:val="-1"/>
          <w:highlight w:val="none"/>
        </w:rPr>
        <w:t xml:space="preserve">职</w:t>
      </w:r>
      <w:r>
        <w:rPr>
          <w:color w:val="auto"/>
          <w:spacing w:val="-3"/>
          <w:highlight w:val="none"/>
        </w:rPr>
        <w:t xml:space="preserve">务</w:t>
      </w:r>
      <w:r>
        <w:rPr>
          <w:color w:val="auto"/>
          <w:highlight w:val="none"/>
        </w:rPr>
        <w:t xml:space="preserve">：</w:t>
      </w:r>
      <w:r>
        <w:rPr>
          <w:rFonts w:eastAsia="Times New Roman"/>
          <w:color w:val="auto"/>
          <w:highlight w:val="none"/>
          <w:u w:val="single"/>
        </w:rPr>
        <w:t xml:space="preserve"> </w:t>
      </w:r>
      <w:r>
        <w:rPr>
          <w:rFonts w:eastAsia="Times New Roman"/>
          <w:color w:val="auto"/>
          <w:highlight w:val="none"/>
          <w:u w:val="single"/>
        </w:rPr>
        <w:tab/>
      </w:r>
      <w:r/>
    </w:p>
    <w:p>
      <w:pPr>
        <w:pStyle w:val="891"/>
        <w:ind w:firstLine="420"/>
        <w:spacing w:before="173"/>
        <w:tabs>
          <w:tab w:val="left" w:pos="3132" w:leader="none"/>
        </w:tabs>
        <w:rPr>
          <w:color w:val="auto"/>
          <w:highlight w:val="none"/>
        </w:rPr>
      </w:pPr>
      <w:r>
        <w:rPr>
          <w:color w:val="auto"/>
          <w:highlight w:val="none"/>
        </w:rPr>
        <w:t xml:space="preserve">系</w:t>
      </w:r>
      <w:r>
        <w:rPr>
          <w:color w:val="auto"/>
          <w:highlight w:val="none"/>
          <w:u w:val="single"/>
        </w:rPr>
        <w:t xml:space="preserve"> </w:t>
      </w:r>
      <w:r>
        <w:rPr>
          <w:color w:val="auto"/>
          <w:highlight w:val="none"/>
          <w:u w:val="single"/>
        </w:rPr>
        <w:tab/>
      </w:r>
      <w:r>
        <w:rPr>
          <w:color w:val="auto"/>
          <w:spacing w:val="-3"/>
          <w:highlight w:val="none"/>
        </w:rPr>
        <w:t xml:space="preserve">（</w:t>
      </w:r>
      <w:r>
        <w:rPr>
          <w:rFonts w:hint="eastAsia"/>
          <w:color w:val="auto"/>
          <w:highlight w:val="none"/>
        </w:rPr>
        <w:t xml:space="preserve">投标人</w:t>
      </w:r>
      <w:r>
        <w:rPr>
          <w:color w:val="auto"/>
          <w:spacing w:val="-3"/>
          <w:highlight w:val="none"/>
        </w:rPr>
        <w:t xml:space="preserve">名</w:t>
      </w:r>
      <w:r>
        <w:rPr>
          <w:color w:val="auto"/>
          <w:highlight w:val="none"/>
        </w:rPr>
        <w:t xml:space="preserve">称</w:t>
      </w:r>
      <w:r>
        <w:rPr>
          <w:color w:val="auto"/>
          <w:spacing w:val="-3"/>
          <w:highlight w:val="none"/>
        </w:rPr>
        <w:t xml:space="preserve">）</w:t>
      </w:r>
      <w:r>
        <w:rPr>
          <w:color w:val="auto"/>
          <w:highlight w:val="none"/>
        </w:rPr>
        <w:t xml:space="preserve">的</w:t>
      </w:r>
      <w:r>
        <w:rPr>
          <w:color w:val="auto"/>
          <w:spacing w:val="-3"/>
          <w:highlight w:val="none"/>
        </w:rPr>
        <w:t xml:space="preserve">法定</w:t>
      </w:r>
      <w:r>
        <w:rPr>
          <w:color w:val="auto"/>
          <w:highlight w:val="none"/>
        </w:rPr>
        <w:t xml:space="preserve">代表</w:t>
      </w:r>
      <w:r>
        <w:rPr>
          <w:color w:val="auto"/>
          <w:spacing w:val="-3"/>
          <w:highlight w:val="none"/>
        </w:rPr>
        <w:t xml:space="preserve">人</w:t>
      </w:r>
      <w:r>
        <w:rPr>
          <w:color w:val="auto"/>
          <w:highlight w:val="none"/>
        </w:rPr>
        <w:t xml:space="preserve">（</w:t>
      </w:r>
      <w:r>
        <w:rPr>
          <w:color w:val="auto"/>
          <w:spacing w:val="-3"/>
          <w:highlight w:val="none"/>
        </w:rPr>
        <w:t xml:space="preserve">单</w:t>
      </w:r>
      <w:r>
        <w:rPr>
          <w:color w:val="auto"/>
          <w:highlight w:val="none"/>
        </w:rPr>
        <w:t xml:space="preserve">位</w:t>
      </w:r>
      <w:r>
        <w:rPr>
          <w:color w:val="auto"/>
          <w:spacing w:val="-3"/>
          <w:highlight w:val="none"/>
        </w:rPr>
        <w:t xml:space="preserve">负</w:t>
      </w:r>
      <w:r>
        <w:rPr>
          <w:color w:val="auto"/>
          <w:highlight w:val="none"/>
        </w:rPr>
        <w:t xml:space="preserve">责</w:t>
      </w:r>
      <w:r>
        <w:rPr>
          <w:rFonts w:hint="eastAsia"/>
          <w:color w:val="auto"/>
          <w:spacing w:val="-3"/>
          <w:highlight w:val="none"/>
        </w:rPr>
        <w:t xml:space="preserve">人</w:t>
      </w:r>
      <w:r>
        <w:rPr>
          <w:color w:val="auto"/>
          <w:spacing w:val="-3"/>
          <w:highlight w:val="none"/>
        </w:rPr>
        <w:t xml:space="preserve">）。</w:t>
      </w:r>
      <w:r/>
    </w:p>
    <w:p>
      <w:pPr>
        <w:pStyle w:val="891"/>
        <w:ind w:firstLine="420"/>
        <w:spacing w:before="170"/>
        <w:rPr>
          <w:color w:val="auto"/>
          <w:highlight w:val="none"/>
        </w:rPr>
      </w:pPr>
      <w:r>
        <w:rPr>
          <w:color w:val="auto"/>
          <w:highlight w:val="none"/>
        </w:rPr>
        <w:t xml:space="preserve">特此证明。</w:t>
      </w:r>
      <w:r/>
    </w:p>
    <w:p>
      <w:pPr>
        <w:pStyle w:val="891"/>
        <w:ind w:left="1260"/>
        <w:rPr>
          <w:color w:val="auto"/>
          <w:sz w:val="20"/>
          <w:highlight w:val="none"/>
        </w:rPr>
      </w:pPr>
      <w:r>
        <w:rPr>
          <w:color w:val="auto"/>
          <w:sz w:val="20"/>
          <w:highlight w:val="none"/>
        </w:rPr>
      </w:r>
      <w:r/>
    </w:p>
    <w:p>
      <w:pPr>
        <w:pStyle w:val="891"/>
        <w:ind w:left="1260"/>
        <w:spacing w:before="10"/>
        <w:rPr>
          <w:color w:val="auto"/>
          <w:sz w:val="27"/>
          <w:highlight w:val="none"/>
        </w:rPr>
      </w:pPr>
      <w:r>
        <w:rPr>
          <w:color w:val="auto"/>
          <w:sz w:val="27"/>
          <w:highlight w:val="none"/>
        </w:rPr>
      </w:r>
      <w:r/>
    </w:p>
    <w:p>
      <w:pPr>
        <w:spacing w:line="480" w:lineRule="auto"/>
        <w:rPr>
          <w:rFonts w:ascii="Microsoft New Tai Lue" w:hAnsi="Microsoft New Tai Lue" w:cs="Microsoft New Tai Lue"/>
          <w:color w:val="auto"/>
          <w:highlight w:val="none"/>
        </w:rPr>
      </w:pPr>
      <w:r>
        <w:rPr>
          <w:color w:val="auto"/>
          <w:highlight w:val="none"/>
        </w:rPr>
        <w:t xml:space="preserve">附：法定代表人（单位负责人）</w:t>
      </w:r>
      <w:r>
        <w:rPr>
          <w:rFonts w:hint="eastAsia"/>
          <w:color w:val="auto"/>
          <w:highlight w:val="none"/>
        </w:rPr>
        <w:t xml:space="preserve">有效期内的身份证复印件</w:t>
      </w:r>
      <w:r>
        <w:rPr>
          <w:rFonts w:ascii="Microsoft New Tai Lue" w:hAnsi="Microsoft New Tai Lue" w:cs="Microsoft New Tai Lue"/>
          <w:color w:val="auto"/>
          <w:highlight w:val="none"/>
        </w:rPr>
        <w:t xml:space="preserve">（正反面）</w:t>
      </w:r>
      <w:r/>
    </w:p>
    <w:tbl>
      <w:tblPr>
        <w:tblStyle w:val="880"/>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891"/>
              <w:jc w:val="center"/>
              <w:rPr>
                <w:i/>
                <w:color w:val="auto"/>
                <w:sz w:val="20"/>
                <w:highlight w:val="none"/>
              </w:rPr>
            </w:pPr>
            <w:r>
              <w:rPr>
                <w:i/>
                <w:color w:val="auto"/>
                <w:sz w:val="24"/>
                <w:highlight w:val="none"/>
              </w:rPr>
              <w:t xml:space="preserve">身份证正面</w:t>
            </w:r>
            <w:r/>
          </w:p>
        </w:tc>
      </w:tr>
    </w:tbl>
    <w:p>
      <w:pPr>
        <w:pStyle w:val="891"/>
        <w:ind w:left="1260"/>
        <w:rPr>
          <w:color w:val="auto"/>
          <w:sz w:val="20"/>
          <w:highlight w:val="none"/>
        </w:rPr>
      </w:pPr>
      <w:r>
        <w:rPr>
          <w:color w:val="auto"/>
          <w:sz w:val="20"/>
          <w:highlight w:val="none"/>
        </w:rPr>
      </w:r>
      <w:r/>
    </w:p>
    <w:tbl>
      <w:tblPr>
        <w:tblStyle w:val="880"/>
        <w:tblpPr w:horzAnchor="text" w:tblpX="4628" w:vertAnchor="text" w:tblpY="-340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891"/>
              <w:jc w:val="center"/>
              <w:rPr>
                <w:color w:val="auto"/>
                <w:sz w:val="20"/>
                <w:highlight w:val="none"/>
              </w:rPr>
            </w:pPr>
            <w:r>
              <w:rPr>
                <w:i/>
                <w:color w:val="auto"/>
                <w:sz w:val="24"/>
                <w:highlight w:val="none"/>
              </w:rPr>
              <w:t xml:space="preserve">身份证反面</w:t>
            </w:r>
            <w:r/>
          </w:p>
        </w:tc>
      </w:tr>
    </w:tbl>
    <w:p>
      <w:pPr>
        <w:pStyle w:val="891"/>
        <w:rPr>
          <w:color w:val="auto"/>
          <w:sz w:val="20"/>
          <w:highlight w:val="none"/>
        </w:rPr>
      </w:pPr>
      <w:r>
        <w:rPr>
          <w:color w:val="auto"/>
          <w:sz w:val="20"/>
          <w:highlight w:val="none"/>
        </w:rPr>
      </w:r>
      <w:r/>
    </w:p>
    <w:p>
      <w:pPr>
        <w:pStyle w:val="891"/>
        <w:rPr>
          <w:color w:val="auto"/>
          <w:sz w:val="20"/>
          <w:highlight w:val="none"/>
        </w:rPr>
      </w:pPr>
      <w:r>
        <w:rPr>
          <w:color w:val="auto"/>
          <w:sz w:val="20"/>
          <w:highlight w:val="none"/>
        </w:rPr>
      </w:r>
      <w:r/>
    </w:p>
    <w:p>
      <w:pPr>
        <w:pStyle w:val="891"/>
        <w:ind w:left="1260"/>
        <w:rPr>
          <w:color w:val="auto"/>
          <w:sz w:val="20"/>
          <w:highlight w:val="none"/>
        </w:rPr>
      </w:pPr>
      <w:r>
        <w:rPr>
          <w:color w:val="auto"/>
          <w:sz w:val="20"/>
          <w:highlight w:val="none"/>
        </w:rPr>
      </w:r>
      <w:r/>
    </w:p>
    <w:p>
      <w:pPr>
        <w:pStyle w:val="891"/>
        <w:ind w:left="1260"/>
        <w:spacing w:before="1"/>
        <w:rPr>
          <w:color w:val="auto"/>
          <w:sz w:val="22"/>
          <w:highlight w:val="none"/>
        </w:rPr>
      </w:pPr>
      <w:r>
        <w:rPr>
          <w:color w:val="auto"/>
          <w:sz w:val="22"/>
          <w:highlight w:val="none"/>
        </w:rPr>
      </w:r>
      <w:r/>
    </w:p>
    <w:p>
      <w:pPr>
        <w:pStyle w:val="891"/>
        <w:ind w:left="1260" w:firstLine="3060"/>
        <w:tabs>
          <w:tab w:val="left" w:pos="7977" w:leader="none"/>
        </w:tabs>
        <w:rPr>
          <w:color w:val="auto"/>
          <w:highlight w:val="none"/>
        </w:rPr>
      </w:pPr>
      <w:r>
        <w:rPr>
          <w:rFonts w:hint="eastAsia"/>
          <w:color w:val="auto"/>
          <w:spacing w:val="-3"/>
          <w:highlight w:val="none"/>
        </w:rPr>
        <w:t xml:space="preserve">投标人</w:t>
      </w:r>
      <w:r>
        <w:rPr>
          <w:color w:val="auto"/>
          <w:spacing w:val="-3"/>
          <w:highlight w:val="none"/>
        </w:rPr>
        <w:t xml:space="preserve">名称（公章）</w:t>
      </w:r>
      <w:r>
        <w:rPr>
          <w:color w:val="auto"/>
          <w:highlight w:val="none"/>
        </w:rPr>
        <w:t xml:space="preserve">：</w:t>
      </w:r>
      <w:r>
        <w:rPr>
          <w:color w:val="auto"/>
          <w:highlight w:val="none"/>
          <w:u w:val="single"/>
        </w:rPr>
        <w:t xml:space="preserve"> </w:t>
      </w:r>
      <w:r>
        <w:rPr>
          <w:color w:val="auto"/>
          <w:highlight w:val="none"/>
          <w:u w:val="single"/>
        </w:rPr>
        <w:tab/>
      </w:r>
      <w:r/>
    </w:p>
    <w:p>
      <w:pPr>
        <w:rPr>
          <w:rFonts w:eastAsia="黑体"/>
          <w:b/>
          <w:color w:val="auto"/>
          <w:sz w:val="32"/>
          <w:szCs w:val="32"/>
          <w:highlight w:val="none"/>
        </w:rPr>
      </w:pPr>
      <w:r>
        <w:rPr>
          <w:color w:val="auto"/>
          <w:spacing w:val="-3"/>
          <w:highlight w:val="none"/>
        </w:rPr>
        <w:t xml:space="preserve">                                            </w:t>
      </w:r>
      <w:r>
        <w:rPr>
          <w:bCs/>
          <w:color w:val="auto"/>
          <w:highlight w:val="none"/>
        </w:rPr>
        <w:t xml:space="preserve">日期：______年</w:t>
      </w:r>
      <w:r>
        <w:rPr>
          <w:bCs/>
          <w:color w:val="auto"/>
          <w:highlight w:val="none"/>
          <w:u w:val="single"/>
        </w:rPr>
        <w:t xml:space="preserve">    </w:t>
      </w:r>
      <w:r>
        <w:rPr>
          <w:bCs/>
          <w:color w:val="auto"/>
          <w:highlight w:val="none"/>
        </w:rPr>
        <w:t xml:space="preserve">月</w:t>
      </w:r>
      <w:r>
        <w:rPr>
          <w:bCs/>
          <w:color w:val="auto"/>
          <w:highlight w:val="none"/>
          <w:u w:val="single"/>
        </w:rPr>
        <w:t xml:space="preserve">    </w:t>
      </w:r>
      <w:r>
        <w:rPr>
          <w:bCs/>
          <w:color w:val="auto"/>
          <w:highlight w:val="none"/>
        </w:rPr>
        <w:t xml:space="preserve">日</w:t>
      </w:r>
      <w:r/>
    </w:p>
    <w:p>
      <w:pPr>
        <w:pStyle w:val="916"/>
        <w:spacing w:before="0"/>
        <w:rPr>
          <w:color w:val="auto"/>
          <w:highlight w:val="none"/>
        </w:rPr>
      </w:pPr>
      <w:r>
        <w:rPr>
          <w:rFonts w:ascii="Times New Roman" w:hAnsi="Times New Roman"/>
          <w:color w:val="auto"/>
          <w:sz w:val="24"/>
          <w:szCs w:val="24"/>
          <w:highlight w:val="none"/>
        </w:rPr>
        <w:br w:type="page" w:clear="all"/>
      </w:r>
      <w:bookmarkStart w:id="372" w:name="_Toc103848584"/>
      <w:r/>
      <w:bookmarkStart w:id="373" w:name="_Toc107246277"/>
      <w:r/>
      <w:bookmarkStart w:id="374" w:name="_Toc104560899"/>
      <w:r>
        <w:rPr>
          <w:rFonts w:ascii="Microsoft New Tai Lue" w:hAnsi="Microsoft New Tai Lue" w:cs="Microsoft New Tai Lue"/>
          <w:bCs w:val="0"/>
          <w:color w:val="auto"/>
          <w:sz w:val="24"/>
          <w:szCs w:val="24"/>
          <w:highlight w:val="none"/>
        </w:rPr>
        <w:t xml:space="preserve">（3）</w:t>
      </w:r>
      <w:bookmarkEnd w:id="372"/>
      <w:r/>
      <w:bookmarkEnd w:id="373"/>
      <w:r/>
      <w:bookmarkEnd w:id="374"/>
      <w:r/>
      <w:bookmarkStart w:id="375" w:name="_Toc107246279"/>
      <w:r/>
      <w:bookmarkStart w:id="376" w:name="_Toc104560895"/>
      <w:r>
        <w:rPr>
          <w:rFonts w:ascii="Microsoft New Tai Lue" w:hAnsi="Microsoft New Tai Lue" w:cs="Microsoft New Tai Lue"/>
          <w:bCs w:val="0"/>
          <w:color w:val="auto"/>
          <w:sz w:val="24"/>
          <w:szCs w:val="24"/>
          <w:highlight w:val="none"/>
        </w:rPr>
        <w:t xml:space="preserve">法人授权书</w:t>
      </w:r>
      <w:r/>
    </w:p>
    <w:p>
      <w:pPr>
        <w:ind w:left="0" w:right="0"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本授权书声明：____________（投标人名称）授权</w:t>
      </w:r>
      <w:r>
        <w:rPr>
          <w:rFonts w:ascii="Times New Roman" w:hAnsi="Times New Roman" w:eastAsia="Times New Roman" w:cs="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ascii="Times New Roman" w:hAnsi="Times New Roman" w:eastAsia="Times New Roman" w:cs="Times New Roman"/>
          <w:color w:val="auto"/>
          <w:sz w:val="24"/>
          <w:highlight w:val="none"/>
        </w:rPr>
        <w:t xml:space="preserve">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本授权书于______年</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被授权人身份证号码：</w:t>
      </w:r>
      <w:r>
        <w:rPr>
          <w:rFonts w:ascii="宋体" w:hAnsi="宋体" w:eastAsia="宋体" w:cs="宋体"/>
          <w:color w:val="auto"/>
          <w:sz w:val="24"/>
          <w:highlight w:val="none"/>
          <w:u w:val="single"/>
        </w:rPr>
        <w:t xml:space="preserve">                  </w:t>
      </w:r>
      <w:r/>
    </w:p>
    <w:p>
      <w:pPr>
        <w:ind w:left="0" w:right="0" w:firstLine="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ascii="宋体" w:hAnsi="宋体" w:eastAsia="宋体" w:cs="宋体"/>
          <w:color w:val="auto"/>
          <w:sz w:val="24"/>
          <w:highlight w:val="none"/>
        </w:rPr>
        <w:t xml:space="preserve">被授权人联系电话：（手机）</w:t>
      </w:r>
      <w:r>
        <w:rPr>
          <w:rFonts w:ascii="宋体" w:hAnsi="宋体" w:eastAsia="宋体" w:cs="宋体"/>
          <w:color w:val="auto"/>
          <w:sz w:val="24"/>
          <w:highlight w:val="none"/>
          <w:u w:val="single"/>
        </w:rPr>
        <w:t xml:space="preserve">                 </w:t>
      </w:r>
      <w:r/>
    </w:p>
    <w:p>
      <w:pPr>
        <w:ind w:right="0" w:firstLine="480"/>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（加盖CA电子公章）</w:t>
      </w:r>
      <w:r/>
    </w:p>
    <w:p>
      <w:pPr>
        <w:ind w:left="0" w:right="0" w:firstLine="480"/>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w:t>
      </w:r>
      <w:r/>
    </w:p>
    <w:p>
      <w:pPr>
        <w:pStyle w:val="914"/>
        <w:ind w:firstLine="480"/>
        <w:spacing w:line="300" w:lineRule="exact"/>
        <w:rPr>
          <w:rFonts w:ascii="Times New Roman" w:hAnsi="Times New Roman"/>
          <w:b/>
          <w:bCs/>
          <w:color w:val="auto"/>
          <w:szCs w:val="21"/>
          <w:highlight w:val="none"/>
        </w:rP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p>
    <w:p>
      <w:pPr>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r/>
    </w:p>
    <w:p>
      <w:pPr>
        <w:pStyle w:val="916"/>
        <w:rPr>
          <w:rFonts w:ascii="Microsoft New Tai Lue" w:hAnsi="Microsoft New Tai Lue" w:cs="Microsoft New Tai Lue"/>
          <w:color w:val="auto"/>
          <w:sz w:val="28"/>
          <w:szCs w:val="24"/>
          <w:highlight w:val="none"/>
        </w:rPr>
      </w:pPr>
      <w:r>
        <w:rPr>
          <w:rFonts w:ascii="Microsoft New Tai Lue" w:hAnsi="Microsoft New Tai Lue" w:cs="Microsoft New Tai Lue"/>
          <w:bCs w:val="0"/>
          <w:color w:val="auto"/>
          <w:sz w:val="24"/>
          <w:szCs w:val="24"/>
          <w:highlight w:val="none"/>
        </w:rPr>
        <w:t xml:space="preserve">（4）</w:t>
      </w:r>
      <w:bookmarkEnd w:id="367"/>
      <w:r/>
      <w:bookmarkEnd w:id="375"/>
      <w:r/>
      <w:bookmarkEnd w:id="376"/>
      <w:r>
        <w:rPr>
          <w:rFonts w:hint="eastAsia" w:ascii="Microsoft New Tai Lue" w:hAnsi="Microsoft New Tai Lue" w:cs="Microsoft New Tai Lue"/>
          <w:bCs w:val="0"/>
          <w:color w:val="auto"/>
          <w:sz w:val="24"/>
          <w:szCs w:val="24"/>
          <w:highlight w:val="none"/>
        </w:rPr>
        <w:t xml:space="preserve">开标一览表（总价）（具体格式以苏采云系统要求为准）</w:t>
      </w:r>
      <w:r/>
    </w:p>
    <w:p>
      <w:pPr>
        <w:ind w:left="-88" w:right="105" w:firstLine="420"/>
        <w:jc w:val="right"/>
        <w:rPr>
          <w:color w:val="auto"/>
          <w:szCs w:val="21"/>
          <w:highlight w:val="none"/>
        </w:rPr>
      </w:pPr>
      <w:r/>
      <w:bookmarkStart w:id="377" w:name="_Toc103848581"/>
      <w:r/>
      <w:r/>
    </w:p>
    <w:p>
      <w:pPr>
        <w:ind w:left="105"/>
        <w:spacing w:line="360" w:lineRule="auto"/>
        <w:rPr>
          <w:b/>
          <w:color w:val="auto"/>
          <w:highlight w:val="none"/>
        </w:rPr>
      </w:pPr>
      <w:r>
        <w:rPr>
          <w:b/>
          <w:color w:val="auto"/>
          <w:highlight w:val="none"/>
        </w:rPr>
      </w:r>
      <w:r/>
    </w:p>
    <w:p>
      <w:pPr>
        <w:pStyle w:val="915"/>
        <w:keepLines w:val="0"/>
        <w:keepNext w:val="0"/>
        <w:widowControl/>
        <w:rPr>
          <w:rFonts w:hint="eastAsia" w:ascii="宋体" w:hAnsi="宋体" w:eastAsia="宋体" w:cs="宋体"/>
          <w:color w:val="auto"/>
          <w:sz w:val="24"/>
          <w:szCs w:val="24"/>
          <w:highlight w:val="none"/>
        </w:rPr>
        <w:suppressLineNumbers w:val="0"/>
      </w:pPr>
      <w:r/>
      <w:bookmarkStart w:id="378" w:name="_Toc104560896"/>
      <w:r>
        <w:rPr>
          <w:rFonts w:hint="eastAsia" w:ascii="宋体" w:hAnsi="宋体" w:eastAsia="宋体" w:cs="宋体"/>
          <w:color w:val="auto"/>
          <w:sz w:val="24"/>
          <w:szCs w:val="24"/>
          <w:highlight w:val="none"/>
        </w:rPr>
        <w:t xml:space="preserve">投标人全称（CA公章）： </w:t>
      </w:r>
      <w:r/>
    </w:p>
    <w:p>
      <w:pPr>
        <w:pStyle w:val="915"/>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项目名称：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915"/>
        <w:keepLines w:val="0"/>
        <w:keepNext w:val="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项目编号：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p>
      <w:pPr>
        <w:pStyle w:val="915"/>
        <w:keepLines w:val="0"/>
        <w:keepNext w:val="0"/>
        <w:widowControl/>
        <w:rPr>
          <w:color w:val="auto"/>
          <w:highlight w:val="none"/>
        </w:rPr>
        <w:suppressLineNumbers w:val="0"/>
      </w:pPr>
      <w:r>
        <w:rPr>
          <w:rFonts w:hint="eastAsia" w:ascii="宋体" w:hAnsi="宋体" w:eastAsia="宋体" w:cs="宋体"/>
          <w:color w:val="auto"/>
          <w:sz w:val="24"/>
          <w:szCs w:val="24"/>
          <w:highlight w:val="none"/>
        </w:rPr>
        <w:t xml:space="preserve">分包号：</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p>
    <w:tbl>
      <w:tblPr>
        <w:tblStyle w:val="91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814"/>
        <w:gridCol w:w="4815"/>
      </w:tblGrid>
      <w:tr>
        <w:trPr/>
        <w:tc>
          <w:tcPr>
            <w:tcW w:w="4819" w:type="dxa"/>
            <w:textDirection w:val="lrTb"/>
            <w:noWrap w:val="false"/>
          </w:tcPr>
          <w:p>
            <w:pPr>
              <w:pStyle w:val="916"/>
              <w:jc w:val="center"/>
              <w:spacing w:line="240" w:lineRule="atLeast"/>
              <w:rPr>
                <w:rFonts w:ascii="Microsoft New Tai Lue" w:hAnsi="Microsoft New Tai Lue" w:cs="Microsoft New Tai Lue"/>
                <w:b w:val="0"/>
                <w:bCs w:val="0"/>
                <w:color w:val="auto"/>
                <w:sz w:val="24"/>
                <w:szCs w:val="24"/>
                <w:highlight w:val="none"/>
                <w:vertAlign w:val="baseline"/>
              </w:rPr>
            </w:pPr>
            <w:r>
              <w:rPr>
                <w:rFonts w:ascii="宋体" w:hAnsi="宋体" w:eastAsia="宋体" w:cs="宋体"/>
                <w:b w:val="0"/>
                <w:bCs w:val="0"/>
                <w:color w:val="auto"/>
                <w:sz w:val="24"/>
                <w:szCs w:val="24"/>
                <w:highlight w:val="none"/>
              </w:rPr>
              <w:t xml:space="preserve">投标项目名称</w:t>
            </w:r>
            <w:r/>
          </w:p>
        </w:tc>
        <w:tc>
          <w:tcPr>
            <w:tcW w:w="4820" w:type="dxa"/>
            <w:textDirection w:val="lrTb"/>
            <w:noWrap w:val="false"/>
          </w:tcPr>
          <w:p>
            <w:pPr>
              <w:pStyle w:val="916"/>
              <w:jc w:val="center"/>
              <w:spacing w:line="240" w:lineRule="atLeast"/>
              <w:rPr>
                <w:rFonts w:ascii="Microsoft New Tai Lue" w:hAnsi="Microsoft New Tai Lue" w:cs="Microsoft New Tai Lue"/>
                <w:b w:val="0"/>
                <w:bCs w:val="0"/>
                <w:color w:val="auto"/>
                <w:sz w:val="24"/>
                <w:szCs w:val="24"/>
                <w:highlight w:val="none"/>
                <w:vertAlign w:val="baseline"/>
              </w:rPr>
            </w:pPr>
            <w:r>
              <w:rPr>
                <w:rFonts w:ascii="宋体" w:hAnsi="宋体" w:eastAsia="宋体" w:cs="宋体"/>
                <w:b w:val="0"/>
                <w:bCs w:val="0"/>
                <w:color w:val="auto"/>
                <w:sz w:val="24"/>
                <w:szCs w:val="24"/>
                <w:highlight w:val="none"/>
              </w:rPr>
              <w:t xml:space="preserve">总价（小写）</w:t>
            </w:r>
            <w:r/>
          </w:p>
        </w:tc>
      </w:tr>
      <w:tr>
        <w:trPr/>
        <w:tc>
          <w:tcPr>
            <w:tcW w:w="4819" w:type="dxa"/>
            <w:textDirection w:val="lrTb"/>
            <w:noWrap w:val="false"/>
          </w:tcPr>
          <w:p>
            <w:pPr>
              <w:pStyle w:val="916"/>
              <w:jc w:val="center"/>
              <w:spacing w:line="240" w:lineRule="atLeast"/>
              <w:rPr>
                <w:rFonts w:ascii="Microsoft New Tai Lue" w:hAnsi="Microsoft New Tai Lue" w:cs="Microsoft New Tai Lue"/>
                <w:b w:val="0"/>
                <w:bCs w:val="0"/>
                <w:color w:val="auto"/>
                <w:sz w:val="24"/>
                <w:szCs w:val="24"/>
                <w:highlight w:val="none"/>
                <w:vertAlign w:val="baseline"/>
              </w:rPr>
            </w:pPr>
            <w:r>
              <w:rPr>
                <w:rFonts w:ascii="Microsoft New Tai Lue" w:hAnsi="Microsoft New Tai Lue" w:cs="Microsoft New Tai Lue"/>
                <w:b w:val="0"/>
                <w:bCs w:val="0"/>
                <w:color w:val="auto"/>
                <w:sz w:val="24"/>
                <w:szCs w:val="24"/>
                <w:highlight w:val="none"/>
                <w:vertAlign w:val="baseline"/>
              </w:rPr>
            </w:r>
            <w:r/>
          </w:p>
        </w:tc>
        <w:tc>
          <w:tcPr>
            <w:tcW w:w="4820" w:type="dxa"/>
            <w:textDirection w:val="lrTb"/>
            <w:noWrap w:val="false"/>
          </w:tcPr>
          <w:p>
            <w:pPr>
              <w:pStyle w:val="916"/>
              <w:jc w:val="center"/>
              <w:spacing w:line="240" w:lineRule="atLeast"/>
              <w:rPr>
                <w:rFonts w:ascii="Microsoft New Tai Lue" w:hAnsi="Microsoft New Tai Lue" w:cs="Microsoft New Tai Lue"/>
                <w:b w:val="0"/>
                <w:bCs w:val="0"/>
                <w:color w:val="auto"/>
                <w:sz w:val="24"/>
                <w:szCs w:val="24"/>
                <w:highlight w:val="none"/>
                <w:vertAlign w:val="baseline"/>
              </w:rPr>
            </w:pPr>
            <w:r>
              <w:rPr>
                <w:rFonts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635" cy="0"/>
                      <wp:effectExtent l="0" t="0" r="0" b="0"/>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s="宋体"/>
                <w:b w:val="0"/>
                <w:bCs w:val="0"/>
                <w:color w:val="auto"/>
                <w:sz w:val="24"/>
                <w:szCs w:val="24"/>
                <w:highlight w:val="none"/>
                <w:u w:val="single"/>
              </w:rPr>
              <w:t xml:space="preserve"> </w:t>
            </w:r>
            <w:r>
              <w:rPr>
                <w:rFonts w:hint="eastAsia" w:ascii="宋体" w:hAnsi="宋体" w:cs="宋体"/>
                <w:b w:val="0"/>
                <w:bCs w:val="0"/>
                <w:color w:val="auto"/>
                <w:sz w:val="24"/>
                <w:szCs w:val="24"/>
                <w:highlight w:val="none"/>
                <w:u w:val="single"/>
                <w:lang w:val="en-US" w:eastAsia="zh-CN"/>
              </w:rPr>
              <w:t xml:space="preserve">    </w:t>
            </w:r>
            <w:r>
              <w:rPr>
                <w:rFonts w:ascii="宋体" w:hAnsi="宋体" w:eastAsia="宋体" w:cs="宋体"/>
                <w:b w:val="0"/>
                <w:bCs w:val="0"/>
                <w:color w:val="auto"/>
                <w:sz w:val="24"/>
                <w:szCs w:val="24"/>
                <w:highlight w:val="none"/>
              </w:rPr>
              <w:t xml:space="preserve">元</w:t>
            </w:r>
            <w:r/>
          </w:p>
        </w:tc>
      </w:tr>
    </w:tbl>
    <w:p>
      <w:pPr>
        <w:pStyle w:val="916"/>
        <w:spacing w:before="0"/>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635" cy="0"/>
                <wp:effectExtent l="0" t="0" r="0" b="0"/>
                <wp:docPr id="6"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5" o:spid="_x0000_s5"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s="宋体"/>
          <w:b w:val="0"/>
          <w:bCs w:val="0"/>
          <w:color w:val="auto"/>
          <w:sz w:val="24"/>
          <w:szCs w:val="24"/>
          <w:highlight w:val="none"/>
        </w:rPr>
        <w:t xml:space="preserve"> 年</w:t>
      </w:r>
      <w:r>
        <w:rPr>
          <w:rFonts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635" cy="0"/>
                <wp:effectExtent l="0" t="0" r="0" b="0"/>
                <wp:docPr id="7"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6" o:spid="_x0000_s6"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s="宋体"/>
          <w:b w:val="0"/>
          <w:bCs w:val="0"/>
          <w:color w:val="auto"/>
          <w:sz w:val="24"/>
          <w:szCs w:val="24"/>
          <w:highlight w:val="none"/>
        </w:rPr>
        <w:t xml:space="preserve"> 月</w:t>
      </w:r>
      <w:r>
        <w:rPr>
          <w:rFonts w:ascii="宋体" w:hAnsi="宋体" w:eastAsia="宋体" w:cs="宋体"/>
          <w:b w:val="0"/>
          <w:bCs w:val="0"/>
          <w:color w:val="auto"/>
          <w:sz w:val="24"/>
          <w:szCs w:val="24"/>
          <w:highlight w:val="none"/>
        </w:rPr>
        <mc:AlternateContent>
          <mc:Choice Requires="wpg">
            <w:drawing>
              <wp:inline xmlns:wp="http://schemas.openxmlformats.org/drawingml/2006/wordprocessingDrawing" distT="0" distB="0" distL="0" distR="0">
                <wp:extent cx="635" cy="0"/>
                <wp:effectExtent l="0" t="0" r="0" b="0"/>
                <wp:docPr id="8"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7" o:spid="_x0000_s7" o:spt="1" type="#_x0000_t1" style="width:0.0pt;height:0.0pt;mso-wrap-distance-left:0.0pt;mso-wrap-distance-top:0.0pt;mso-wrap-distance-right:0.0pt;mso-wrap-distance-bottom:0.0pt;visibility:visible;" filled="f" strokecolor="#000000"/>
            </w:pict>
          </mc:Fallback>
        </mc:AlternateContent>
      </w:r>
      <w:r>
        <w:rPr>
          <w:rFonts w:ascii="宋体" w:hAnsi="宋体" w:eastAsia="宋体" w:cs="宋体"/>
          <w:b w:val="0"/>
          <w:bCs w:val="0"/>
          <w:color w:val="auto"/>
          <w:sz w:val="24"/>
          <w:szCs w:val="24"/>
          <w:highlight w:val="none"/>
        </w:rPr>
        <w:t xml:space="preserve"> 日</w:t>
      </w:r>
      <w:r/>
    </w:p>
    <w:p>
      <w:pPr>
        <w:rPr>
          <w:rFonts w:ascii="宋体" w:hAnsi="宋体" w:eastAsia="宋体" w:cs="宋体"/>
          <w:b w:val="0"/>
          <w:bCs w:val="0"/>
          <w:color w:val="auto"/>
          <w:sz w:val="24"/>
          <w:szCs w:val="24"/>
          <w:highlight w:val="none"/>
        </w:rPr>
      </w:pPr>
      <w:r>
        <w:rPr>
          <w:rFonts w:ascii="宋体" w:hAnsi="宋体" w:eastAsia="宋体" w:cs="宋体"/>
          <w:b w:val="0"/>
          <w:bCs w:val="0"/>
          <w:color w:val="auto"/>
          <w:sz w:val="24"/>
          <w:szCs w:val="24"/>
          <w:highlight w:val="none"/>
        </w:rPr>
        <w:br w:type="page" w:clear="all"/>
      </w:r>
      <w:r/>
    </w:p>
    <w:p>
      <w:pPr>
        <w:pStyle w:val="916"/>
        <w:spacing w:line="240" w:lineRule="atLeast"/>
        <w:rPr>
          <w:color w:val="auto"/>
          <w:highlight w:val="none"/>
        </w:rPr>
      </w:pPr>
      <w:r/>
      <w:bookmarkStart w:id="379" w:name="_Toc107246280"/>
      <w:r>
        <w:rPr>
          <w:rFonts w:ascii="Microsoft New Tai Lue" w:hAnsi="Microsoft New Tai Lue" w:cs="Microsoft New Tai Lue"/>
          <w:bCs w:val="0"/>
          <w:color w:val="auto"/>
          <w:sz w:val="24"/>
          <w:szCs w:val="24"/>
          <w:highlight w:val="none"/>
        </w:rPr>
        <w:t xml:space="preserve">（5）</w:t>
      </w:r>
      <w:bookmarkEnd w:id="379"/>
      <w:r>
        <w:rPr>
          <w:rFonts w:ascii="Microsoft New Tai Lue" w:hAnsi="Microsoft New Tai Lue" w:cs="Microsoft New Tai Lue"/>
          <w:bCs w:val="0"/>
          <w:color w:val="auto"/>
          <w:sz w:val="24"/>
          <w:szCs w:val="24"/>
          <w:highlight w:val="none"/>
        </w:rPr>
        <w:t xml:space="preserve">投标分项报价表</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00"/>
        <w:gridCol w:w="1339"/>
        <w:gridCol w:w="980"/>
        <w:gridCol w:w="1255"/>
        <w:gridCol w:w="1663"/>
        <w:gridCol w:w="1840"/>
      </w:tblGrid>
      <w:tr>
        <w:trPr>
          <w:trHeight w:val="54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080" w:type="dxa"/>
            <w:vAlign w:val="center"/>
            <w:vMerge w:val="restart"/>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single" w:color="000000" w:sz="8" w:space="0"/>
              <w:left w:val="single" w:color="auto"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w:t>
            </w:r>
            <w:r/>
          </w:p>
        </w:tc>
      </w:tr>
      <w:tr>
        <w:trPr>
          <w:trHeight w:val="623"/>
        </w:trPr>
        <w:tc>
          <w:tcPr>
            <w:tcBorders>
              <w:top w:val="single" w:color="auto" w:sz="4" w:space="0"/>
              <w:left w:val="single" w:color="auto" w:sz="4" w:space="0"/>
              <w:bottom w:val="single" w:color="auto" w:sz="4" w:space="0"/>
              <w:right w:val="single" w:color="auto" w:sz="4" w:space="0"/>
            </w:tcBorders>
            <w:vMerge w:val="continue"/>
            <w:textDirection w:val="lrTb"/>
            <w:noWrap w:val="false"/>
          </w:tcPr>
          <w:p>
            <w:pPr>
              <w:spacing w:after="0" w:line="240" w:lineRule="auto"/>
              <w:rPr>
                <w:color w:val="auto"/>
                <w:highlight w:val="none"/>
              </w:rPr>
            </w:pPr>
            <w:r>
              <w:rPr>
                <w:color w:val="auto"/>
                <w:highlight w:val="non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分项服务名称</w:t>
            </w:r>
            <w:r/>
          </w:p>
        </w:tc>
        <w:tc>
          <w:tcPr>
            <w:tcBorders>
              <w:top w:val="none" w:color="000000" w:sz="4" w:space="0"/>
              <w:left w:val="single" w:color="auto"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分项</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分项</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总价</w:t>
            </w:r>
            <w:r/>
          </w:p>
        </w:tc>
      </w:tr>
      <w:tr>
        <w:trPr>
          <w:trHeight w:val="654"/>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39"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8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5"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63"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512"/>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7"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投标总报价（人民币：元）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0" w:type="dxa"/>
            <w:vAlign w:val="top"/>
            <w:textDirection w:val="lrTb"/>
            <w:noWrap w:val="false"/>
          </w:tcPr>
          <w:p>
            <w:pPr>
              <w:ind w:left="0" w:right="0" w:firstLine="0"/>
              <w:jc w:val="both"/>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pStyle w:val="916"/>
        <w:spacing w:before="0"/>
        <w:rPr>
          <w:rFonts w:ascii="Microsoft New Tai Lue" w:hAnsi="Microsoft New Tai Lue" w:cs="Microsoft New Tai Lue"/>
          <w:bCs w:val="0"/>
          <w:color w:val="auto"/>
          <w:sz w:val="24"/>
          <w:szCs w:val="24"/>
          <w:highlight w:val="none"/>
        </w:rPr>
      </w:pPr>
      <w:r>
        <w:rPr>
          <w:rFonts w:ascii="宋体" w:hAnsi="宋体" w:eastAsia="宋体" w:cs="宋体"/>
          <w:color w:val="auto"/>
          <w:sz w:val="24"/>
          <w:highlight w:val="none"/>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投标分项报价表”中“投标总报价”数额应当与“开标一览表”中“投标总报价”数额一致。3.按照《投标报价明细表》所列项目报价（如有）。</w:t>
      </w:r>
      <w:r>
        <w:rPr>
          <w:rFonts w:ascii="Microsoft New Tai Lue" w:hAnsi="Microsoft New Tai Lue" w:cs="Microsoft New Tai Lue"/>
          <w:b w:val="0"/>
          <w:bCs w:val="0"/>
          <w:color w:val="auto"/>
          <w:sz w:val="24"/>
          <w:szCs w:val="24"/>
          <w:highlight w:val="none"/>
        </w:rPr>
        <w:br w:type="page" w:clear="all"/>
      </w:r>
      <w:bookmarkEnd w:id="377"/>
      <w:r/>
      <w:bookmarkEnd w:id="378"/>
      <w:r/>
      <w:bookmarkStart w:id="380" w:name="_Toc103848586"/>
      <w:r/>
      <w:bookmarkStart w:id="381" w:name="_Toc107246281"/>
      <w:r/>
      <w:bookmarkStart w:id="382" w:name="_Toc104560901"/>
      <w:r/>
      <w:bookmarkStart w:id="383" w:name="_Toc102117319"/>
      <w:r>
        <w:rPr>
          <w:rFonts w:ascii="Microsoft New Tai Lue" w:hAnsi="Microsoft New Tai Lue" w:cs="Microsoft New Tai Lue"/>
          <w:bCs w:val="0"/>
          <w:color w:val="auto"/>
          <w:sz w:val="24"/>
          <w:szCs w:val="24"/>
          <w:highlight w:val="none"/>
        </w:rPr>
        <w:t xml:space="preserve">（</w:t>
      </w:r>
      <w:r>
        <w:rPr>
          <w:rFonts w:hint="eastAsia" w:ascii="Microsoft New Tai Lue" w:hAnsi="Microsoft New Tai Lue" w:cs="Microsoft New Tai Lue"/>
          <w:bCs w:val="0"/>
          <w:color w:val="auto"/>
          <w:sz w:val="24"/>
          <w:szCs w:val="24"/>
          <w:highlight w:val="none"/>
          <w:lang w:val="en-US" w:eastAsia="zh-CN"/>
        </w:rPr>
        <w:t xml:space="preserve">6</w:t>
      </w:r>
      <w:r>
        <w:rPr>
          <w:rFonts w:ascii="Microsoft New Tai Lue" w:hAnsi="Microsoft New Tai Lue" w:cs="Microsoft New Tai Lue"/>
          <w:bCs w:val="0"/>
          <w:color w:val="auto"/>
          <w:sz w:val="24"/>
          <w:szCs w:val="24"/>
          <w:highlight w:val="none"/>
        </w:rPr>
        <w:t xml:space="preserve">）</w:t>
      </w:r>
      <w:bookmarkEnd w:id="380"/>
      <w:r/>
      <w:bookmarkEnd w:id="381"/>
      <w:r/>
      <w:bookmarkEnd w:id="382"/>
      <w:r/>
      <w:bookmarkStart w:id="384" w:name="_Toc107246282"/>
      <w:r/>
      <w:bookmarkStart w:id="385" w:name="_Toc104560902"/>
      <w:r/>
      <w:bookmarkStart w:id="386" w:name="_Toc103848587"/>
      <w:r>
        <w:rPr>
          <w:rFonts w:ascii="Microsoft New Tai Lue" w:hAnsi="Microsoft New Tai Lue" w:cs="Microsoft New Tai Lue"/>
          <w:bCs w:val="0"/>
          <w:color w:val="auto"/>
          <w:sz w:val="24"/>
          <w:szCs w:val="24"/>
          <w:highlight w:val="none"/>
        </w:rPr>
        <w:t xml:space="preserve">实质性要求响应及偏离表</w:t>
      </w:r>
      <w:r/>
    </w:p>
    <w:tbl>
      <w:tblPr>
        <w:tblStyle w:val="91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4572"/>
        <w:gridCol w:w="2268"/>
        <w:gridCol w:w="198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72"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技术要求和商务要求中的实质性要求（</w:t>
            </w:r>
            <w:r>
              <w:rPr>
                <w:rFonts w:ascii="宋体" w:hAnsi="宋体" w:eastAsia="宋体" w:cs="宋体"/>
                <w:i/>
                <w:color w:val="auto"/>
                <w:sz w:val="24"/>
                <w:highlight w:val="none"/>
                <w:u w:val="single"/>
              </w:rPr>
              <w:t xml:space="preserve">加斜体下划线内容或</w:t>
            </w:r>
            <w:r>
              <w:rPr>
                <w:rFonts w:ascii="宋体" w:hAnsi="宋体" w:eastAsia="宋体" w:cs="宋体"/>
                <w:color w:val="auto"/>
                <w:sz w:val="24"/>
                <w:highlight w:val="none"/>
              </w:rPr>
              <w:t xml:space="preserve">打“★”内容）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68"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响应情况（填报“响应或完全响应”）</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偏离（填报“正偏离、符合或负偏离”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72"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68"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top"/>
            <w:textDirection w:val="lrTb"/>
            <w:noWrap w:val="false"/>
          </w:tcPr>
          <w:p>
            <w:pPr>
              <w:ind w:left="0" w:right="0" w:firstLine="0"/>
              <w:jc w:val="center"/>
              <w:spacing w:before="0" w:after="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r>
    </w:tbl>
    <w:p>
      <w:pPr>
        <w:ind w:left="0" w:right="0" w:firstLine="0"/>
        <w:jc w:val="both"/>
        <w:spacing w:before="0" w:after="0"/>
        <w:rPr>
          <w:rFonts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备注： </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1.供应商必须对技术要求和商务要求中的实质性要求（</w:t>
      </w:r>
      <w:r>
        <w:rPr>
          <w:rFonts w:ascii="宋体" w:hAnsi="宋体" w:eastAsia="宋体" w:cs="宋体"/>
          <w:i/>
          <w:color w:val="auto"/>
          <w:sz w:val="24"/>
          <w:highlight w:val="none"/>
          <w:u w:val="single"/>
        </w:rPr>
        <w:t xml:space="preserve">加斜体下划线内容或</w:t>
      </w:r>
      <w:r>
        <w:rPr>
          <w:rFonts w:ascii="宋体" w:hAnsi="宋体" w:eastAsia="宋体" w:cs="宋体"/>
          <w:color w:val="auto"/>
          <w:sz w:val="24"/>
          <w:highlight w:val="none"/>
        </w:rPr>
        <w:t xml:space="preserve">打“★”内容）做出明确响应，否则作无效响应处理。</w:t>
      </w:r>
      <w:r/>
    </w:p>
    <w:p>
      <w:pPr>
        <w:ind w:left="0" w:right="0" w:firstLine="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2.如果采购文件要求提供证明材料，供应商必须将证明材料列于该表之下。</w:t>
      </w:r>
      <w:r/>
    </w:p>
    <w:p>
      <w:pPr>
        <w:pStyle w:val="916"/>
        <w:spacing w:line="300" w:lineRule="auto"/>
        <w:rPr>
          <w:rFonts w:ascii="宋体" w:hAnsi="宋体" w:eastAsia="宋体" w:cs="宋体"/>
          <w:color w:val="auto"/>
          <w:sz w:val="24"/>
          <w:highlight w:val="none"/>
        </w:rPr>
      </w:pPr>
      <w:r>
        <w:rPr>
          <w:rFonts w:ascii="宋体" w:hAnsi="宋体" w:eastAsia="宋体" w:cs="宋体"/>
          <w:color w:val="auto"/>
          <w:sz w:val="24"/>
          <w:highlight w:val="none"/>
        </w:rPr>
        <w:t xml:space="preserve">3.供应商未对实质性要求作出明确响应的，或未按采购文件要求提供证明材料的，该分包作无效响应处理。</w:t>
      </w:r>
      <w:r/>
    </w:p>
    <w:p>
      <w:pPr>
        <w:rPr>
          <w:rFonts w:ascii="宋体" w:hAnsi="宋体" w:eastAsia="宋体" w:cs="宋体"/>
          <w:color w:val="auto"/>
          <w:sz w:val="24"/>
          <w:highlight w:val="none"/>
        </w:rPr>
      </w:pPr>
      <w:r>
        <w:rPr>
          <w:rFonts w:ascii="宋体" w:hAnsi="宋体" w:eastAsia="宋体" w:cs="宋体"/>
          <w:color w:val="auto"/>
          <w:sz w:val="24"/>
          <w:highlight w:val="none"/>
        </w:rPr>
        <w:br w:type="page" w:clear="all"/>
      </w:r>
      <w:r/>
    </w:p>
    <w:p>
      <w:pPr>
        <w:pStyle w:val="916"/>
        <w:spacing w:line="300" w:lineRule="auto"/>
        <w:rPr>
          <w:rFonts w:ascii="Microsoft New Tai Lue" w:hAnsi="Microsoft New Tai Lue" w:cs="Microsoft New Tai Lue"/>
          <w:color w:val="auto"/>
          <w:highlight w:val="none"/>
        </w:rPr>
      </w:pPr>
      <w:r>
        <w:rPr>
          <w:rFonts w:ascii="Microsoft New Tai Lue" w:hAnsi="Microsoft New Tai Lue" w:cs="Microsoft New Tai Lue"/>
          <w:bCs w:val="0"/>
          <w:color w:val="auto"/>
          <w:sz w:val="24"/>
          <w:szCs w:val="24"/>
          <w:highlight w:val="none"/>
        </w:rPr>
        <w:t xml:space="preserve">（7）投标人具备投标资格的证明文件</w:t>
      </w:r>
      <w:bookmarkEnd w:id="384"/>
      <w:r/>
      <w:bookmarkEnd w:id="385"/>
      <w:r/>
      <w:bookmarkEnd w:id="386"/>
      <w:r>
        <w:rPr>
          <w:rFonts w:hint="eastAsia" w:ascii="Microsoft New Tai Lue" w:hAnsi="Microsoft New Tai Lue" w:cs="Microsoft New Tai Lue"/>
          <w:bCs w:val="0"/>
          <w:color w:val="auto"/>
          <w:sz w:val="24"/>
          <w:szCs w:val="24"/>
          <w:highlight w:val="none"/>
        </w:rPr>
        <w:t xml:space="preserve">（以下资格要求如有出入以公告为准）</w:t>
      </w:r>
      <w:r/>
    </w:p>
    <w:p>
      <w:pPr>
        <w:pStyle w:val="916"/>
        <w:spacing w:line="300" w:lineRule="auto"/>
        <w:rPr>
          <w:rFonts w:ascii="Microsoft New Tai Lue" w:hAnsi="Microsoft New Tai Lue" w:cs="Microsoft New Tai Lue"/>
          <w:bCs w:val="0"/>
          <w:color w:val="auto"/>
          <w:sz w:val="24"/>
          <w:szCs w:val="24"/>
          <w:highlight w:val="none"/>
        </w:rPr>
      </w:pPr>
      <w:r/>
      <w:bookmarkStart w:id="387" w:name="_Toc103848588"/>
      <w:r/>
      <w:bookmarkStart w:id="388" w:name="_Toc104560903"/>
      <w:r/>
      <w:bookmarkStart w:id="389" w:name="_Toc107246283"/>
      <w:r>
        <w:rPr>
          <w:rFonts w:ascii="Microsoft New Tai Lue" w:hAnsi="Microsoft New Tai Lue" w:cs="Microsoft New Tai Lue"/>
          <w:bCs w:val="0"/>
          <w:color w:val="auto"/>
          <w:sz w:val="24"/>
          <w:szCs w:val="24"/>
          <w:highlight w:val="none"/>
        </w:rPr>
        <w:t xml:space="preserve">（7-1-1）营业执照复印件</w:t>
      </w:r>
      <w:bookmarkEnd w:id="383"/>
      <w:r>
        <w:rPr>
          <w:rFonts w:ascii="Microsoft New Tai Lue" w:hAnsi="Microsoft New Tai Lue" w:cs="Microsoft New Tai Lue"/>
          <w:bCs w:val="0"/>
          <w:color w:val="auto"/>
          <w:sz w:val="24"/>
          <w:szCs w:val="24"/>
          <w:highlight w:val="none"/>
        </w:rPr>
        <w:t xml:space="preserve">或自然人的身份证明复印件</w:t>
      </w:r>
      <w:bookmarkEnd w:id="387"/>
      <w:r/>
      <w:bookmarkEnd w:id="388"/>
      <w:r/>
      <w:bookmarkEnd w:id="389"/>
      <w:r/>
      <w:r/>
    </w:p>
    <w:p>
      <w:pPr>
        <w:spacing w:line="300" w:lineRule="auto"/>
        <w:rPr>
          <w:rFonts w:ascii="Microsoft New Tai Lue" w:hAnsi="Microsoft New Tai Lue" w:cs="Microsoft New Tai Lue"/>
          <w:b/>
          <w:bCs/>
          <w:color w:val="auto"/>
          <w:highlight w:val="none"/>
        </w:rPr>
      </w:pPr>
      <w:r/>
      <w:bookmarkStart w:id="390" w:name="_Hlk33717720"/>
      <w:r>
        <w:rPr>
          <w:rFonts w:ascii="Microsoft New Tai Lue" w:hAnsi="Microsoft New Tai Lue" w:cs="Microsoft New Tai Lue"/>
          <w:b/>
          <w:bCs/>
          <w:color w:val="auto"/>
          <w:highlight w:val="none"/>
        </w:rPr>
        <w:t xml:space="preserve">注：</w:t>
      </w:r>
      <w:bookmarkEnd w:id="390"/>
      <w:r>
        <w:rPr>
          <w:rFonts w:hint="eastAsia" w:ascii="Microsoft New Tai Lue" w:hAnsi="Microsoft New Tai Lue" w:cs="Microsoft New Tai Lue"/>
          <w:b/>
          <w:bCs/>
          <w:color w:val="auto"/>
          <w:highlight w:val="none"/>
        </w:rPr>
        <w:t xml:space="preserve">具有独立承担民事责任的能力（提供法人或者其他组织的营业执照等证明文件，自然人的身份证明，或具有同等法律效力的证照）。</w:t>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spacing w:line="300" w:lineRule="auto"/>
        <w:rPr>
          <w:rFonts w:ascii="Microsoft New Tai Lue" w:hAnsi="Microsoft New Tai Lue" w:eastAsia="黑体" w:cs="Microsoft New Tai Lue"/>
          <w:b w:val="0"/>
          <w:color w:val="auto"/>
          <w:highlight w:val="none"/>
        </w:rPr>
      </w:pPr>
      <w:r/>
      <w:bookmarkStart w:id="391" w:name="_Toc107246284"/>
      <w:r/>
      <w:bookmarkStart w:id="392" w:name="_Toc104560904"/>
      <w:r/>
      <w:bookmarkStart w:id="393" w:name="_Toc102117320"/>
      <w:r/>
      <w:bookmarkStart w:id="394" w:name="_Toc103848589"/>
      <w:r>
        <w:rPr>
          <w:rFonts w:ascii="Microsoft New Tai Lue" w:hAnsi="Microsoft New Tai Lue" w:cs="Microsoft New Tai Lue"/>
          <w:bCs w:val="0"/>
          <w:color w:val="auto"/>
          <w:sz w:val="24"/>
          <w:szCs w:val="24"/>
          <w:highlight w:val="none"/>
        </w:rPr>
        <w:t xml:space="preserve">（7-1-2）工商变更登记文件（如需）</w:t>
      </w:r>
      <w:bookmarkEnd w:id="391"/>
      <w:r/>
      <w:bookmarkEnd w:id="392"/>
      <w:r/>
      <w:bookmarkEnd w:id="393"/>
      <w:r/>
      <w:bookmarkEnd w:id="394"/>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注：如</w:t>
      </w:r>
      <w:r>
        <w:rPr>
          <w:rFonts w:ascii="Microsoft New Tai Lue" w:hAnsi="Microsoft New Tai Lue" w:cs="Microsoft New Tai Lue"/>
          <w:b/>
          <w:bCs/>
          <w:color w:val="auto"/>
          <w:sz w:val="22"/>
          <w:szCs w:val="22"/>
          <w:highlight w:val="none"/>
        </w:rPr>
        <w:t xml:space="preserve">投标人</w:t>
      </w:r>
      <w:r>
        <w:rPr>
          <w:rFonts w:ascii="Microsoft New Tai Lue" w:hAnsi="Microsoft New Tai Lue" w:cs="Microsoft New Tai Lue"/>
          <w:b/>
          <w:bCs/>
          <w:color w:val="auto"/>
          <w:highlight w:val="none"/>
        </w:rPr>
        <w:t xml:space="preserve">在招标文件资质、业绩等要求的时间期限内发生了单位名称等变更的，提供相关工商变更登记文件的复印件。如无，则可不提供。</w:t>
      </w:r>
      <w:r>
        <w:rPr>
          <w:rFonts w:hint="eastAsia" w:ascii="Microsoft New Tai Lue" w:hAnsi="Microsoft New Tai Lue" w:cs="Microsoft New Tai Lue"/>
          <w:b/>
          <w:bCs/>
          <w:color w:val="auto"/>
          <w:highlight w:val="none"/>
        </w:rPr>
        <w:t xml:space="preserve">本项内容根据公告要求提供。</w:t>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spacing w:line="300" w:lineRule="auto"/>
        <w:rPr>
          <w:rFonts w:ascii="Microsoft New Tai Lue" w:hAnsi="Microsoft New Tai Lue" w:cs="Microsoft New Tai Lue"/>
          <w:bCs w:val="0"/>
          <w:color w:val="auto"/>
          <w:sz w:val="24"/>
          <w:szCs w:val="24"/>
          <w:highlight w:val="none"/>
        </w:rPr>
      </w:pPr>
      <w:r/>
      <w:bookmarkStart w:id="395" w:name="_Toc103848590"/>
      <w:r/>
      <w:bookmarkStart w:id="396" w:name="_Toc102117321"/>
      <w:r/>
      <w:bookmarkStart w:id="397" w:name="_Toc107246285"/>
      <w:r/>
      <w:bookmarkStart w:id="398" w:name="_Toc104560905"/>
      <w:r>
        <w:rPr>
          <w:rFonts w:ascii="Microsoft New Tai Lue" w:hAnsi="Microsoft New Tai Lue" w:cs="Microsoft New Tai Lue"/>
          <w:bCs w:val="0"/>
          <w:color w:val="auto"/>
          <w:sz w:val="24"/>
          <w:szCs w:val="24"/>
          <w:highlight w:val="none"/>
        </w:rPr>
        <w:t xml:space="preserve">（7-2）财务报表</w:t>
      </w:r>
      <w:bookmarkEnd w:id="395"/>
      <w:r/>
      <w:bookmarkEnd w:id="396"/>
      <w:r/>
      <w:bookmarkEnd w:id="397"/>
      <w:r/>
      <w:bookmarkEnd w:id="398"/>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具有良好的商业信誉和健全的财务会计制度（提供2024或2025年度经审计的财务报告或投标截止时间前12个月内任意一个月的财务报表（至少包括资产负债表和利润表）或投标截止时间前6个月内，由其基本开户银行出具的资信证明或财政部门认可的政府采购专业担保机构出具的投标担保函或提供承诺（成立未满1年的可以不提供佐证材料））</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jc w:val="left"/>
        <w:spacing w:line="300" w:lineRule="auto"/>
        <w:rPr>
          <w:rFonts w:ascii="Microsoft New Tai Lue" w:hAnsi="Microsoft New Tai Lue" w:cs="Microsoft New Tai Lue"/>
          <w:color w:val="auto"/>
          <w:highlight w:val="none"/>
        </w:rPr>
      </w:pPr>
      <w:r/>
      <w:bookmarkStart w:id="399" w:name="_Toc103848593"/>
      <w:r/>
      <w:bookmarkStart w:id="400" w:name="_Toc107246286"/>
      <w:r/>
      <w:bookmarkStart w:id="401" w:name="_Toc104560908"/>
      <w:r/>
      <w:bookmarkStart w:id="402" w:name="_Toc102117322"/>
      <w:r>
        <w:rPr>
          <w:rFonts w:ascii="Microsoft New Tai Lue" w:hAnsi="Microsoft New Tai Lue" w:cs="Microsoft New Tai Lue"/>
          <w:bCs w:val="0"/>
          <w:color w:val="auto"/>
          <w:sz w:val="24"/>
          <w:szCs w:val="24"/>
          <w:highlight w:val="none"/>
        </w:rPr>
        <w:t xml:space="preserve">（7-3）</w:t>
      </w:r>
      <w:bookmarkEnd w:id="399"/>
      <w:r/>
      <w:bookmarkEnd w:id="400"/>
      <w:r/>
      <w:bookmarkEnd w:id="401"/>
      <w:r/>
      <w:bookmarkEnd w:id="402"/>
      <w:r>
        <w:rPr>
          <w:rFonts w:hint="eastAsia" w:ascii="Microsoft New Tai Lue" w:hAnsi="Microsoft New Tai Lue" w:cs="Microsoft New Tai Lue"/>
          <w:bCs w:val="0"/>
          <w:color w:val="auto"/>
          <w:sz w:val="24"/>
          <w:szCs w:val="24"/>
          <w:highlight w:val="none"/>
        </w:rPr>
        <w:t xml:space="preserve">具有履行合同所必需的设备和专业技术能力（提供具备履行合同所必需的设备和专业技术能力的证明材料或承诺函，由供应商根据项目需求提供说明材料或承诺）本项内容根据公告要求提供。</w:t>
      </w:r>
      <w:r/>
    </w:p>
    <w:p>
      <w:pPr>
        <w:ind w:firstLine="480"/>
        <w:jc w:val="center"/>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sz w:val="44"/>
          <w:szCs w:val="44"/>
          <w:highlight w:val="none"/>
        </w:rPr>
        <w:t xml:space="preserve">承 诺 函</w:t>
      </w:r>
      <w:r/>
    </w:p>
    <w:p>
      <w:pPr>
        <w:ind w:firstLine="480"/>
        <w:jc w:val="left"/>
        <w:spacing w:before="120" w:after="120"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我单位郑重承诺：我单位具备履行本项采购合同所必需的设备和专业技术能力</w:t>
      </w:r>
      <w:r>
        <w:rPr>
          <w:rFonts w:hint="eastAsia" w:ascii="Microsoft New Tai Lue" w:hAnsi="Microsoft New Tai Lue" w:cs="Microsoft New Tai Lue"/>
          <w:color w:val="auto"/>
          <w:highlight w:val="none"/>
        </w:rPr>
        <w:t xml:space="preserve">。</w:t>
      </w:r>
      <w:r/>
    </w:p>
    <w:p>
      <w:pPr>
        <w:spacing w:line="300" w:lineRule="auto"/>
        <w:rPr>
          <w:color w:val="auto"/>
          <w:highlight w:val="none"/>
        </w:rPr>
      </w:pPr>
      <w:r>
        <w:rPr>
          <w:color w:val="auto"/>
          <w:highlight w:val="none"/>
        </w:rPr>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ab/>
      </w:r>
      <w:r>
        <w:rPr>
          <w:rFonts w:hint="eastAsia" w:ascii="Microsoft New Tai Lue" w:hAnsi="Microsoft New Tai Lue" w:cs="Microsoft New Tai Lue"/>
          <w:bCs/>
          <w:color w:val="auto"/>
          <w:highlight w:val="none"/>
        </w:rPr>
        <w:t xml:space="preserve">投标人</w:t>
      </w:r>
      <w:r>
        <w:rPr>
          <w:rFonts w:ascii="Microsoft New Tai Lue" w:hAnsi="Microsoft New Tai Lue" w:cs="Microsoft New Tai Lue"/>
          <w:bCs/>
          <w:color w:val="auto"/>
          <w:highlight w:val="none"/>
        </w:rPr>
        <w:t xml:space="preserve">名称（公章）：______________________</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78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9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spacing w:line="300" w:lineRule="auto"/>
        <w:rPr>
          <w:rFonts w:ascii="Microsoft New Tai Lue" w:hAnsi="Microsoft New Tai Lue" w:eastAsia="黑体" w:cs="Microsoft New Tai Lue"/>
          <w:b w:val="0"/>
          <w:color w:val="auto"/>
          <w:highlight w:val="none"/>
        </w:rPr>
      </w:pPr>
      <w:r/>
      <w:bookmarkStart w:id="403" w:name="_Toc107246287"/>
      <w:r/>
      <w:bookmarkStart w:id="404" w:name="_Toc104560906"/>
      <w:r/>
      <w:bookmarkStart w:id="405" w:name="_Toc102117323"/>
      <w:r/>
      <w:bookmarkStart w:id="406" w:name="_Toc103848591"/>
      <w:r>
        <w:rPr>
          <w:rFonts w:ascii="Microsoft New Tai Lue" w:hAnsi="Microsoft New Tai Lue" w:cs="Microsoft New Tai Lue"/>
          <w:bCs w:val="0"/>
          <w:color w:val="auto"/>
          <w:sz w:val="24"/>
          <w:szCs w:val="24"/>
          <w:highlight w:val="none"/>
        </w:rPr>
        <w:t xml:space="preserve">（7-4）依法缴纳税收的相关材料</w:t>
      </w:r>
      <w:bookmarkEnd w:id="403"/>
      <w:r/>
      <w:bookmarkEnd w:id="404"/>
      <w:r/>
      <w:bookmarkEnd w:id="405"/>
      <w:r/>
      <w:bookmarkEnd w:id="406"/>
      <w:r/>
      <w:r/>
    </w:p>
    <w:p>
      <w:pPr>
        <w:jc w:val="left"/>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有依法缴纳税收和社会保障资金的良好记录（提供本次采购活动前12个月内，至少1个月缴纳税收和社会保险的凭证，依法享受免缴、缓缴的，提供证明材料，或提供承诺）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spacing w:line="300" w:lineRule="auto"/>
        <w:rPr>
          <w:rFonts w:ascii="Microsoft New Tai Lue" w:hAnsi="Microsoft New Tai Lue" w:cs="Microsoft New Tai Lue"/>
          <w:bCs w:val="0"/>
          <w:color w:val="auto"/>
          <w:sz w:val="24"/>
          <w:szCs w:val="24"/>
          <w:highlight w:val="none"/>
        </w:rPr>
      </w:pPr>
      <w:r/>
      <w:bookmarkStart w:id="407" w:name="_Toc103848592"/>
      <w:r/>
      <w:bookmarkStart w:id="408" w:name="_Toc104560907"/>
      <w:r/>
      <w:bookmarkStart w:id="409" w:name="_Toc102117324"/>
      <w:r/>
      <w:bookmarkStart w:id="410" w:name="_Toc107246288"/>
      <w:r>
        <w:rPr>
          <w:rFonts w:ascii="Microsoft New Tai Lue" w:hAnsi="Microsoft New Tai Lue" w:cs="Microsoft New Tai Lue"/>
          <w:bCs w:val="0"/>
          <w:color w:val="auto"/>
          <w:sz w:val="24"/>
          <w:szCs w:val="24"/>
          <w:highlight w:val="none"/>
        </w:rPr>
        <w:t xml:space="preserve">（7-5）依法缴纳社会保障资金的相关材料</w:t>
      </w:r>
      <w:bookmarkEnd w:id="407"/>
      <w:r/>
      <w:bookmarkEnd w:id="408"/>
      <w:r/>
      <w:bookmarkEnd w:id="409"/>
      <w:r/>
      <w:bookmarkEnd w:id="410"/>
      <w:r/>
      <w:r/>
    </w:p>
    <w:p>
      <w:pPr>
        <w:jc w:val="cente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有依法缴纳税收和社会保障资金的良好记录（提供本次采购活动前12个月内，至少1个月缴纳税收和社会保险的凭证，依法享受免缴、缓缴的，提供证明材料，或提供承诺）</w:t>
      </w:r>
      <w:r>
        <w:rPr>
          <w:rFonts w:ascii="Microsoft New Tai Lue" w:hAnsi="Microsoft New Tai Lue" w:cs="Microsoft New Tai Lue"/>
          <w:b/>
          <w:bCs/>
          <w:color w:val="auto"/>
          <w:highlight w:val="none"/>
        </w:rPr>
        <w:t xml:space="preserve">。</w:t>
      </w:r>
      <w:r>
        <w:rPr>
          <w:rFonts w:hint="eastAsia" w:ascii="Microsoft New Tai Lue" w:hAnsi="Microsoft New Tai Lue" w:cs="Microsoft New Tai Lue"/>
          <w:b/>
          <w:bCs/>
          <w:color w:val="auto"/>
          <w:highlight w:val="none"/>
        </w:rPr>
        <w:t xml:space="preserve">本项内容根据公告要求提供</w:t>
      </w:r>
      <w:r>
        <w:rPr>
          <w:rFonts w:ascii="Microsoft New Tai Lue" w:hAnsi="Microsoft New Tai Lue" w:cs="Microsoft New Tai Lue"/>
          <w:b/>
          <w:bCs/>
          <w:color w:val="auto"/>
          <w:highlight w:val="none"/>
        </w:rPr>
        <w:t xml:space="preserve">。</w:t>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spacing w:line="300" w:lineRule="auto"/>
        <w:rPr>
          <w:rFonts w:ascii="Microsoft New Tai Lue" w:hAnsi="Microsoft New Tai Lue" w:cs="Microsoft New Tai Lue"/>
          <w:b w:val="0"/>
          <w:bCs w:val="0"/>
          <w:color w:val="auto"/>
          <w:highlight w:val="none"/>
        </w:rPr>
      </w:pPr>
      <w:r/>
      <w:bookmarkStart w:id="411" w:name="_Toc102117325"/>
      <w:r/>
      <w:bookmarkStart w:id="412" w:name="_Toc107246289"/>
      <w:r/>
      <w:bookmarkStart w:id="413" w:name="_Toc103848594"/>
      <w:r/>
      <w:bookmarkStart w:id="414" w:name="_Toc104560909"/>
      <w:r>
        <w:rPr>
          <w:rFonts w:ascii="Microsoft New Tai Lue" w:hAnsi="Microsoft New Tai Lue" w:cs="Microsoft New Tai Lue"/>
          <w:bCs w:val="0"/>
          <w:color w:val="auto"/>
          <w:sz w:val="24"/>
          <w:szCs w:val="24"/>
          <w:highlight w:val="none"/>
        </w:rPr>
        <w:t xml:space="preserve">（7-6）没有重大违法记录的书面声明</w:t>
      </w:r>
      <w:bookmarkEnd w:id="411"/>
      <w:r/>
      <w:bookmarkEnd w:id="412"/>
      <w:r/>
      <w:bookmarkEnd w:id="413"/>
      <w:r/>
      <w:bookmarkEnd w:id="414"/>
      <w:r/>
      <w:r/>
    </w:p>
    <w:p>
      <w:pPr>
        <w:spacing w:line="300" w:lineRule="auto"/>
        <w:rPr>
          <w:rFonts w:ascii="Microsoft New Tai Lue" w:hAnsi="Microsoft New Tai Lue" w:cs="Microsoft New Tai Lue"/>
          <w:b/>
          <w:bCs/>
          <w:color w:val="auto"/>
          <w:highlight w:val="none"/>
        </w:rPr>
      </w:pPr>
      <w:r>
        <w:rPr>
          <w:rFonts w:ascii="Microsoft New Tai Lue" w:hAnsi="Microsoft New Tai Lue" w:cs="Microsoft New Tai Lue"/>
          <w:b/>
          <w:bCs/>
          <w:color w:val="auto"/>
          <w:highlight w:val="none"/>
        </w:rPr>
        <w:t xml:space="preserve">注：</w:t>
      </w:r>
      <w:r>
        <w:rPr>
          <w:rFonts w:hint="eastAsia" w:ascii="Microsoft New Tai Lue" w:hAnsi="Microsoft New Tai Lue" w:cs="Microsoft New Tai Lue"/>
          <w:b/>
          <w:bCs/>
          <w:color w:val="auto"/>
          <w:highlight w:val="none"/>
        </w:rPr>
        <w:t xml:space="preserve">参加政府采购活动前三年内，在经营活动中没有重大违法记录（提供声明函原件，重大违法记录是指供应商因违法经营受到刑事处罚或责令停产停业、吊销许可证或者执照、较大数额罚款等行政处罚）</w:t>
      </w:r>
      <w:r>
        <w:rPr>
          <w:rFonts w:ascii="Microsoft New Tai Lue" w:hAnsi="Microsoft New Tai Lue" w:cs="Microsoft New Tai Lue"/>
          <w:b/>
          <w:bCs/>
          <w:color w:val="auto"/>
          <w:highlight w:val="none"/>
        </w:rPr>
        <w:t xml:space="preserve">。</w:t>
      </w:r>
      <w:r/>
    </w:p>
    <w:p>
      <w:pPr>
        <w:jc w:val="center"/>
        <w:spacing w:line="300" w:lineRule="auto"/>
        <w:rPr>
          <w:rFonts w:ascii="Microsoft New Tai Lue" w:hAnsi="Microsoft New Tai Lue" w:cs="Microsoft New Tai Lue"/>
          <w:bCs/>
          <w:color w:val="auto"/>
          <w:sz w:val="44"/>
          <w:szCs w:val="44"/>
          <w:highlight w:val="none"/>
        </w:rPr>
      </w:pPr>
      <w:r>
        <w:rPr>
          <w:rFonts w:ascii="Microsoft New Tai Lue" w:hAnsi="Microsoft New Tai Lue" w:cs="Microsoft New Tai Lue"/>
          <w:bCs/>
          <w:color w:val="auto"/>
          <w:sz w:val="44"/>
          <w:szCs w:val="44"/>
          <w:highlight w:val="none"/>
        </w:rPr>
        <w:t xml:space="preserve">声  明</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ab/>
      </w:r>
      <w:r>
        <w:rPr>
          <w:rFonts w:ascii="Microsoft New Tai Lue" w:hAnsi="Microsoft New Tai Lue" w:cs="Microsoft New Tai Lue"/>
          <w:bCs/>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w:t>
      </w:r>
      <w:r/>
    </w:p>
    <w:p>
      <w:pPr>
        <w:ind w:firstLine="3990"/>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9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spacing w:line="300" w:lineRule="auto"/>
        <w:rPr>
          <w:rFonts w:ascii="Times New Roman" w:hAnsi="Times New Roman"/>
          <w:b w:val="0"/>
          <w:color w:val="auto"/>
          <w:sz w:val="24"/>
          <w:szCs w:val="24"/>
          <w:highlight w:val="none"/>
        </w:rPr>
      </w:pPr>
      <w:r/>
      <w:bookmarkStart w:id="415" w:name="_Toc107246290"/>
      <w:r/>
      <w:bookmarkStart w:id="416" w:name="_Toc104560910"/>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w:t>
      </w:r>
      <w:r>
        <w:rPr>
          <w:rFonts w:ascii="Microsoft New Tai Lue" w:hAnsi="Microsoft New Tai Lue" w:cs="Microsoft New Tai Lue"/>
          <w:bCs w:val="0"/>
          <w:color w:val="auto"/>
          <w:sz w:val="24"/>
          <w:szCs w:val="24"/>
          <w:highlight w:val="none"/>
        </w:rPr>
        <w:t xml:space="preserve">7</w:t>
      </w:r>
      <w:r>
        <w:rPr>
          <w:rFonts w:hint="eastAsia" w:ascii="Microsoft New Tai Lue" w:hAnsi="Microsoft New Tai Lue" w:cs="Microsoft New Tai Lue"/>
          <w:bCs w:val="0"/>
          <w:color w:val="auto"/>
          <w:sz w:val="24"/>
          <w:szCs w:val="24"/>
          <w:highlight w:val="none"/>
        </w:rPr>
        <w:t xml:space="preserve">）承诺函（投标人自行查询适用）</w:t>
      </w:r>
      <w:bookmarkEnd w:id="415"/>
      <w:r/>
      <w:bookmarkEnd w:id="416"/>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本单位郑重承诺，我单位无以下情形：</w:t>
      </w:r>
      <w:r/>
    </w:p>
    <w:p>
      <w:pPr>
        <w:pStyle w:val="1087"/>
        <w:ind w:firstLine="420"/>
        <w:spacing w:line="300" w:lineRule="auto"/>
        <w:rPr>
          <w:rFonts w:hint="eastAsia" w:hAnsi="宋体"/>
          <w:color w:val="auto"/>
          <w:sz w:val="21"/>
          <w:szCs w:val="21"/>
          <w:highlight w:val="none"/>
        </w:rPr>
      </w:pPr>
      <w:r>
        <w:rPr>
          <w:rFonts w:hAnsi="宋体"/>
          <w:color w:val="auto"/>
          <w:sz w:val="21"/>
          <w:szCs w:val="21"/>
          <w:highlight w:val="none"/>
        </w:rPr>
        <w:t xml:space="preserve">1.</w:t>
      </w:r>
      <w:r>
        <w:rPr>
          <w:rFonts w:hint="eastAsia" w:hAnsi="宋体"/>
          <w:color w:val="auto"/>
          <w:sz w:val="21"/>
          <w:szCs w:val="21"/>
          <w:highlight w:val="none"/>
        </w:rPr>
        <w:t xml:space="preserve">被人民法院列入失信被执行人；</w:t>
      </w:r>
      <w:r/>
    </w:p>
    <w:p>
      <w:pPr>
        <w:pStyle w:val="1087"/>
        <w:ind w:firstLine="420"/>
        <w:spacing w:line="300" w:lineRule="auto"/>
        <w:rPr>
          <w:rFonts w:hint="eastAsia" w:hAnsi="宋体"/>
          <w:color w:val="auto"/>
          <w:sz w:val="21"/>
          <w:szCs w:val="21"/>
          <w:highlight w:val="none"/>
        </w:rPr>
      </w:pPr>
      <w:r>
        <w:rPr>
          <w:rFonts w:hAnsi="宋体"/>
          <w:color w:val="auto"/>
          <w:sz w:val="21"/>
          <w:szCs w:val="21"/>
          <w:highlight w:val="none"/>
        </w:rPr>
        <w:t xml:space="preserve">2.</w:t>
      </w:r>
      <w:r>
        <w:rPr>
          <w:rFonts w:hint="eastAsia" w:hAnsi="宋体"/>
          <w:color w:val="auto"/>
          <w:sz w:val="21"/>
          <w:szCs w:val="21"/>
          <w:highlight w:val="none"/>
        </w:rPr>
        <w:t xml:space="preserve">被税务部门列入重大税收违法案件当事人名单；</w:t>
      </w:r>
      <w:r/>
    </w:p>
    <w:p>
      <w:pPr>
        <w:pStyle w:val="1087"/>
        <w:ind w:firstLine="420"/>
        <w:spacing w:line="300" w:lineRule="auto"/>
        <w:rPr>
          <w:rFonts w:hint="eastAsia" w:hAnsi="宋体"/>
          <w:color w:val="auto"/>
          <w:sz w:val="21"/>
          <w:szCs w:val="21"/>
          <w:highlight w:val="none"/>
        </w:rPr>
      </w:pPr>
      <w:r>
        <w:rPr>
          <w:rFonts w:hAnsi="宋体"/>
          <w:color w:val="auto"/>
          <w:sz w:val="21"/>
          <w:szCs w:val="21"/>
          <w:highlight w:val="none"/>
        </w:rPr>
        <w:t xml:space="preserve">3.</w:t>
      </w:r>
      <w:r>
        <w:rPr>
          <w:rFonts w:hint="eastAsia" w:hAnsi="宋体"/>
          <w:color w:val="auto"/>
          <w:sz w:val="21"/>
          <w:szCs w:val="21"/>
          <w:highlight w:val="none"/>
        </w:rPr>
        <w:t xml:space="preserve">被政府采购监管部门列入政府采购严重违法失信行为记录名单；</w:t>
      </w:r>
      <w:r/>
    </w:p>
    <w:p>
      <w:pPr>
        <w:pStyle w:val="1087"/>
        <w:ind w:firstLine="420"/>
        <w:spacing w:line="300" w:lineRule="auto"/>
        <w:rPr>
          <w:rFonts w:hint="eastAsia" w:hAnsi="宋体"/>
          <w:color w:val="auto"/>
          <w:sz w:val="21"/>
          <w:szCs w:val="21"/>
          <w:highlight w:val="none"/>
        </w:rPr>
      </w:pPr>
      <w:r>
        <w:rPr>
          <w:rFonts w:hAnsi="宋体"/>
          <w:color w:val="auto"/>
          <w:sz w:val="21"/>
          <w:szCs w:val="21"/>
          <w:highlight w:val="none"/>
        </w:rPr>
        <w:t xml:space="preserve">4.</w:t>
      </w:r>
      <w:r>
        <w:rPr>
          <w:rFonts w:hint="eastAsia" w:hAnsi="宋体"/>
          <w:color w:val="auto"/>
          <w:sz w:val="21"/>
          <w:szCs w:val="21"/>
          <w:highlight w:val="none"/>
        </w:rPr>
        <w:t xml:space="preserve">不符合《政府采购法》第二十二条规定的条件；</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5.单位负责人为同一人或者存在直接控股、管理关系的不同供应商，参加同一合同项下的政府采购活动；</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6.除单一来源项目外，凡为采购项目提供整体设计、规范编制或者项目管理、监理、检测等服务的供应商参加本项目的采购活动。</w:t>
      </w:r>
      <w:r/>
    </w:p>
    <w:p>
      <w:pPr>
        <w:pStyle w:val="1087"/>
        <w:ind w:firstLine="420"/>
        <w:spacing w:line="300" w:lineRule="auto"/>
        <w:rPr>
          <w:rFonts w:hint="eastAsia" w:hAnsi="宋体"/>
          <w:color w:val="auto"/>
          <w:sz w:val="21"/>
          <w:szCs w:val="21"/>
          <w:highlight w:val="none"/>
          <w:lang w:val="en-US" w:eastAsia="zh-CN"/>
        </w:rPr>
      </w:pPr>
      <w:r>
        <w:rPr>
          <w:rFonts w:hint="eastAsia" w:hAnsi="宋体"/>
          <w:color w:val="auto"/>
          <w:sz w:val="21"/>
          <w:szCs w:val="21"/>
          <w:highlight w:val="none"/>
          <w:lang w:val="en-US" w:eastAsia="zh-CN"/>
        </w:rPr>
        <w:t xml:space="preserve">7、违反法律、行政法规规定的其他条件</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我单位已就上述行为按照招标文件中投标人须知前附表规定进行了查询。我单位承诺：合同签订前，若我单位具有不良上述情形，贵方可取消我单位中标资格或者不授予合同，所有责任由我单位自行承担。同时，我单位愿意无条件接受监管部门的调查处理。</w:t>
      </w:r>
      <w:r/>
    </w:p>
    <w:p>
      <w:pPr>
        <w:pStyle w:val="1087"/>
        <w:ind w:firstLine="400"/>
        <w:spacing w:line="300" w:lineRule="auto"/>
        <w:rPr>
          <w:rFonts w:ascii="Times New Roman" w:hAnsi="Times New Roman" w:eastAsia="等线"/>
          <w:color w:val="auto"/>
          <w:highlight w:val="none"/>
        </w:rPr>
      </w:pPr>
      <w:r>
        <w:rPr>
          <w:rFonts w:ascii="Times New Roman" w:hAnsi="Times New Roman" w:eastAsia="等线"/>
          <w:color w:val="auto"/>
          <w:highlight w:val="none"/>
        </w:rPr>
      </w:r>
      <w:r/>
    </w:p>
    <w:p>
      <w:pPr>
        <w:ind w:firstLine="3990"/>
        <w:spacing w:line="300" w:lineRule="auto"/>
        <w:rPr>
          <w:rFonts w:ascii="Microsoft New Tai Lue" w:hAnsi="Microsoft New Tai Lue" w:cs="Microsoft New Tai Lue"/>
          <w:bCs/>
          <w:color w:val="auto"/>
          <w:highlight w:val="none"/>
        </w:rPr>
      </w:pPr>
      <w:r/>
      <w:bookmarkStart w:id="417" w:name="_Toc102117326"/>
      <w:r/>
      <w:bookmarkStart w:id="418" w:name="_Toc103848596"/>
      <w:r>
        <w:rPr>
          <w:rFonts w:ascii="Microsoft New Tai Lue" w:hAnsi="Microsoft New Tai Lue" w:cs="Microsoft New Tai Lue"/>
          <w:bCs/>
          <w:color w:val="auto"/>
          <w:highlight w:val="none"/>
        </w:rPr>
        <w:t xml:space="preserve">投标</w:t>
      </w:r>
      <w:r>
        <w:rPr>
          <w:rFonts w:hint="eastAsia" w:ascii="Microsoft New Tai Lue" w:hAnsi="Microsoft New Tai Lue" w:cs="Microsoft New Tai Lue"/>
          <w:bCs/>
          <w:color w:val="auto"/>
          <w:highlight w:val="none"/>
        </w:rPr>
        <w:t xml:space="preserve">人</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                                      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spacing w:before="0" w:line="300" w:lineRule="auto"/>
        <w:rPr>
          <w:rFonts w:ascii="Microsoft New Tai Lue" w:hAnsi="Microsoft New Tai Lue" w:cs="Microsoft New Tai Lue"/>
          <w:bCs w:val="0"/>
          <w:color w:val="auto"/>
          <w:sz w:val="24"/>
          <w:szCs w:val="24"/>
          <w:highlight w:val="none"/>
        </w:rPr>
      </w:pPr>
      <w:r/>
      <w:bookmarkStart w:id="419" w:name="_Toc107246291"/>
      <w:r/>
      <w:bookmarkStart w:id="420" w:name="_Toc104560911"/>
      <w:r>
        <w:rPr>
          <w:rFonts w:ascii="Microsoft New Tai Lue" w:hAnsi="Microsoft New Tai Lue" w:cs="Microsoft New Tai Lue"/>
          <w:bCs w:val="0"/>
          <w:color w:val="auto"/>
          <w:sz w:val="24"/>
          <w:szCs w:val="24"/>
          <w:highlight w:val="none"/>
        </w:rPr>
        <w:t xml:space="preserve">（7-8）</w:t>
      </w:r>
      <w:bookmarkEnd w:id="417"/>
      <w:r>
        <w:rPr>
          <w:rFonts w:ascii="Microsoft New Tai Lue" w:hAnsi="Microsoft New Tai Lue" w:cs="Microsoft New Tai Lue"/>
          <w:bCs w:val="0"/>
          <w:color w:val="auto"/>
          <w:sz w:val="24"/>
          <w:szCs w:val="24"/>
          <w:highlight w:val="none"/>
        </w:rPr>
        <w:t xml:space="preserve">招标文件要求的其它实质性资格资信证明文件</w:t>
      </w:r>
      <w:bookmarkEnd w:id="419"/>
      <w:r/>
      <w:bookmarkEnd w:id="420"/>
      <w:r/>
      <w:r/>
    </w:p>
    <w:p>
      <w:pPr>
        <w:pStyle w:val="893"/>
        <w:ind w:left="0"/>
        <w:spacing w:line="300" w:lineRule="auto"/>
        <w:rPr>
          <w:color w:val="auto"/>
          <w:highlight w:val="none"/>
        </w:rPr>
      </w:pPr>
      <w:r>
        <w:rPr>
          <w:color w:val="auto"/>
          <w:highlight w:val="none"/>
        </w:rPr>
      </w:r>
      <w:r/>
    </w:p>
    <w:p>
      <w:pPr>
        <w:pStyle w:val="893"/>
        <w:numPr>
          <w:ilvl w:val="0"/>
          <w:numId w:val="31"/>
        </w:numPr>
        <w:ind w:left="283" w:firstLine="482"/>
        <w:jc w:val="center"/>
        <w:rPr>
          <w:rFonts w:ascii="Microsoft New Tai Lue" w:hAnsi="Microsoft New Tai Lue" w:cs="Microsoft New Tai Lue"/>
          <w:color w:val="auto"/>
          <w:szCs w:val="24"/>
          <w:highlight w:val="none"/>
        </w:rPr>
      </w:pPr>
      <w:r/>
      <w:bookmarkStart w:id="421" w:name="_Toc107246292"/>
      <w:r>
        <w:rPr>
          <w:rFonts w:ascii="Microsoft New Tai Lue" w:hAnsi="Microsoft New Tai Lue" w:cs="Microsoft New Tai Lue"/>
          <w:color w:val="auto"/>
          <w:szCs w:val="24"/>
          <w:highlight w:val="none"/>
        </w:rPr>
        <w:br w:type="page" w:clear="all"/>
      </w:r>
      <w:bookmarkEnd w:id="421"/>
      <w:r>
        <w:rPr>
          <w:rFonts w:hint="eastAsia" w:ascii="Microsoft New Tai Lue" w:hAnsi="Microsoft New Tai Lue" w:cs="Microsoft New Tai Lue"/>
          <w:color w:val="auto"/>
          <w:szCs w:val="24"/>
          <w:highlight w:val="none"/>
        </w:rPr>
        <w:t xml:space="preserve">《未串通投标承诺函》</w:t>
      </w:r>
      <w:r/>
    </w:p>
    <w:p>
      <w:pPr>
        <w:ind w:left="703"/>
        <w:rPr>
          <w:color w:val="auto"/>
          <w:highlight w:val="none"/>
        </w:rPr>
      </w:pPr>
      <w:r>
        <w:rPr>
          <w:color w:val="auto"/>
          <w:highlight w:val="none"/>
        </w:rPr>
      </w:r>
      <w:r/>
    </w:p>
    <w:p>
      <w:pPr>
        <w:pStyle w:val="916"/>
        <w:spacing w:line="300" w:lineRule="auto"/>
        <w:rPr>
          <w:rFonts w:ascii="Times New Roman" w:hAnsi="Times New Roman"/>
          <w:b w:val="0"/>
          <w:color w:val="auto"/>
          <w:sz w:val="24"/>
          <w:szCs w:val="24"/>
          <w:highlight w:val="none"/>
        </w:rPr>
      </w:pPr>
      <w:r>
        <w:rPr>
          <w:rFonts w:hint="eastAsia" w:ascii="Times New Roman" w:hAnsi="Times New Roman"/>
          <w:b w:val="0"/>
          <w:color w:val="auto"/>
          <w:sz w:val="24"/>
          <w:szCs w:val="24"/>
          <w:highlight w:val="none"/>
        </w:rPr>
        <w:t xml:space="preserve">未串通投标承诺函</w:t>
      </w:r>
      <w:r/>
    </w:p>
    <w:p>
      <w:pPr>
        <w:rPr>
          <w:color w:val="auto"/>
          <w:highlight w:val="none"/>
        </w:rPr>
      </w:pPr>
      <w:r>
        <w:rPr>
          <w:color w:val="auto"/>
          <w:highlight w:val="none"/>
        </w:rPr>
      </w:r>
      <w:r/>
    </w:p>
    <w:p>
      <w:pPr>
        <w:pStyle w:val="1087"/>
        <w:ind w:left="420" w:firstLine="0"/>
        <w:spacing w:line="300" w:lineRule="auto"/>
        <w:rPr>
          <w:rFonts w:hint="eastAsia" w:hAnsi="宋体"/>
          <w:color w:val="auto"/>
          <w:sz w:val="21"/>
          <w:szCs w:val="21"/>
          <w:highlight w:val="none"/>
        </w:rPr>
      </w:pPr>
      <w:r>
        <w:rPr>
          <w:rFonts w:hint="eastAsia" w:hAnsi="宋体"/>
          <w:color w:val="auto"/>
          <w:sz w:val="21"/>
          <w:szCs w:val="21"/>
          <w:highlight w:val="none"/>
        </w:rPr>
        <w:t xml:space="preserve">本单位郑重承诺提供的材料均为真实有效并承诺如下：</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一、我单位已对本项目投标文件进行了充分检查，我单位如存在委托文印店进行文件打印、胶装、编制投标文件及扫描的情形，已与受托单位确认其未同时承接本项目其他供应商的“文件打印、胶装、编制投标文件及扫描”业务。如本项目评审过程或后期审计检查时被发现“文档作者为同一人、最后一次保存者为同一人、文件由同一台打印机打印或扫描或生成、投标方案雷同、投标文件出现异常一致以及国家法律法规规定的其他属于串通投标的情形”，相应不利后果均由我单位承担。</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二、我单位没有与其他供应商串通投标的情形，串通投标包括但不限于以下情形：</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（1）不同投标供应商的投标文件由同一单位或个人编制的，以及投标使用同一加密锁或具有相同Mac地址的；</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（2）不同投标供应商委托同一单位或个人办理投标事宜的；</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（3）不同投标供应商的投标文件载明的项目管理成员为同一人的；</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（4）不同投标供应商的投标文件异常一致或投标呈规律性差异的；</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（5）不同投标供应商的投标文件混装、签章混用的；</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（6）不同投标供应商的投标保证金从同一单位或个人的账户转出的；</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（7）国家法律法规规定的其他情形。</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若我单位存在上述视同或属于串通投标的情形，由我单位承担相应责任，包括但不限于：</w:t>
      </w:r>
      <w:r/>
    </w:p>
    <w:p>
      <w:pPr>
        <w:pStyle w:val="1087"/>
        <w:numPr>
          <w:ilvl w:val="0"/>
          <w:numId w:val="32"/>
        </w:numPr>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评审委员会可视情形否决我单位投标（取消资格）；</w:t>
      </w:r>
      <w:r/>
    </w:p>
    <w:p>
      <w:pPr>
        <w:pStyle w:val="1087"/>
        <w:numPr>
          <w:ilvl w:val="0"/>
          <w:numId w:val="32"/>
        </w:numPr>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采购人有权取消我单位中标（成交）资格或者不授予合同、我单位将补偿采购人相应损失（项目延期交付/实施等损失）；</w:t>
      </w:r>
      <w:r/>
    </w:p>
    <w:p>
      <w:pPr>
        <w:pStyle w:val="1087"/>
        <w:numPr>
          <w:ilvl w:val="0"/>
          <w:numId w:val="32"/>
        </w:numPr>
        <w:ind w:firstLine="420"/>
        <w:spacing w:line="300" w:lineRule="auto"/>
        <w:rPr>
          <w:rFonts w:hint="eastAsia" w:hAnsi="宋体"/>
          <w:color w:val="auto"/>
          <w:sz w:val="21"/>
          <w:szCs w:val="21"/>
          <w:highlight w:val="none"/>
        </w:rPr>
      </w:pPr>
      <w:r>
        <w:rPr>
          <w:rFonts w:hint="eastAsia" w:hAnsi="宋体"/>
          <w:color w:val="auto"/>
          <w:sz w:val="21"/>
          <w:szCs w:val="21"/>
          <w:highlight w:val="none"/>
        </w:rPr>
        <w:t xml:space="preserve">监管部门有权给予我单位相应行政处罚。</w:t>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r>
      <w:r/>
    </w:p>
    <w:p>
      <w:pPr>
        <w:pStyle w:val="1087"/>
        <w:ind w:firstLine="420"/>
        <w:spacing w:line="300" w:lineRule="auto"/>
        <w:rPr>
          <w:rFonts w:hint="eastAsia" w:hAnsi="宋体"/>
          <w:color w:val="auto"/>
          <w:sz w:val="21"/>
          <w:szCs w:val="21"/>
          <w:highlight w:val="none"/>
        </w:rPr>
      </w:pPr>
      <w:r>
        <w:rPr>
          <w:rFonts w:hint="eastAsia" w:hAnsi="宋体"/>
          <w:color w:val="auto"/>
          <w:sz w:val="21"/>
          <w:szCs w:val="21"/>
          <w:highlight w:val="none"/>
        </w:rPr>
      </w:r>
      <w:r/>
    </w:p>
    <w:p>
      <w:pPr>
        <w:ind w:firstLine="3990"/>
        <w:spacing w:line="300" w:lineRule="auto"/>
        <w:rPr>
          <w:rFonts w:ascii="Microsoft New Tai Lue" w:hAnsi="Microsoft New Tai Lue" w:cs="Microsoft New Tai Lue"/>
          <w:bCs/>
          <w:color w:val="auto"/>
          <w:highlight w:val="none"/>
        </w:rPr>
      </w:pPr>
      <w:r>
        <w:rPr>
          <w:rFonts w:hint="eastAsia" w:ascii="Microsoft New Tai Lue" w:hAnsi="Microsoft New Tai Lue" w:cs="Microsoft New Tai Lue"/>
          <w:bCs/>
          <w:color w:val="auto"/>
          <w:highlight w:val="none"/>
        </w:rPr>
        <w:t xml:space="preserve">供应商</w:t>
      </w:r>
      <w:r>
        <w:rPr>
          <w:rFonts w:ascii="Microsoft New Tai Lue" w:hAnsi="Microsoft New Tai Lue" w:cs="Microsoft New Tai Lue"/>
          <w:bCs/>
          <w:color w:val="auto"/>
          <w:highlight w:val="none"/>
        </w:rPr>
        <w:t xml:space="preserve">名称（公章）：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bCs/>
          <w:color w:val="auto"/>
          <w:highlight w:val="none"/>
        </w:rPr>
        <w:t xml:space="preserve">                                      </w:t>
      </w:r>
      <w:r>
        <w:rPr>
          <w:rFonts w:ascii="Microsoft New Tai Lue" w:hAnsi="Microsoft New Tai Lue" w:cs="Microsoft New Tai Lue"/>
          <w:color w:val="auto"/>
          <w:szCs w:val="21"/>
          <w:highlight w:val="none"/>
        </w:rPr>
        <w:t xml:space="preserve">法定代表人（单位负责人）</w:t>
      </w:r>
      <w:r/>
    </w:p>
    <w:p>
      <w:pPr>
        <w:ind w:firstLine="3990"/>
        <w:spacing w:line="300" w:lineRule="auto"/>
        <w:rPr>
          <w:rFonts w:ascii="Microsoft New Tai Lue" w:hAnsi="Microsoft New Tai Lue" w:cs="Microsoft New Tai Lue"/>
          <w:color w:val="auto"/>
          <w:szCs w:val="21"/>
          <w:highlight w:val="none"/>
          <w:u w:val="single"/>
        </w:rPr>
      </w:pPr>
      <w:r>
        <w:rPr>
          <w:rFonts w:ascii="Microsoft New Tai Lue" w:hAnsi="Microsoft New Tai Lue" w:cs="Microsoft New Tai Lue"/>
          <w:color w:val="auto"/>
          <w:szCs w:val="21"/>
          <w:highlight w:val="none"/>
        </w:rPr>
        <w:t xml:space="preserve">或其授权代表（签字或盖章）：</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color w:val="auto"/>
          <w:szCs w:val="21"/>
          <w:highlight w:val="none"/>
          <w:u w:val="single"/>
        </w:rPr>
        <w:t xml:space="preserve"> </w:t>
      </w:r>
      <w:r/>
    </w:p>
    <w:p>
      <w:pPr>
        <w:pStyle w:val="916"/>
        <w:jc w:val="left"/>
        <w:spacing w:before="120" w:after="120" w:line="440" w:lineRule="exact"/>
        <w:tabs>
          <w:tab w:val="left" w:pos="588" w:leader="none"/>
        </w:tabs>
        <w:rPr>
          <w:rFonts w:hint="eastAsia" w:ascii="宋体" w:hAnsi="宋体"/>
          <w:color w:val="auto"/>
          <w:sz w:val="24"/>
          <w:szCs w:val="24"/>
          <w:highlight w:val="none"/>
        </w:rPr>
      </w:pPr>
      <w:r>
        <w:rPr>
          <w:rFonts w:ascii="Microsoft New Tai Lue" w:hAnsi="Microsoft New Tai Lue" w:cs="Microsoft New Tai Lue"/>
          <w:color w:val="auto"/>
          <w:highlight w:val="none"/>
        </w:rPr>
        <w:t xml:space="preserve">                                    </w:t>
      </w:r>
      <w:r>
        <w:rPr>
          <w:rFonts w:hint="eastAsia" w:ascii="Microsoft New Tai Lue" w:hAnsi="Microsoft New Tai Lue" w:cs="Microsoft New Tai Lue"/>
          <w:color w:val="auto"/>
          <w:highlight w:val="none"/>
        </w:rPr>
        <w:t xml:space="preserve"> </w:t>
      </w:r>
      <w:r>
        <w:rPr>
          <w:rFonts w:ascii="Microsoft New Tai Lue" w:hAnsi="Microsoft New Tai Lue" w:cs="Microsoft New Tai Lue"/>
          <w:b w:val="0"/>
          <w:bCs w:val="0"/>
          <w:color w:val="auto"/>
          <w:sz w:val="21"/>
          <w:szCs w:val="21"/>
          <w:highlight w:val="none"/>
        </w:rPr>
        <w:t xml:space="preserve">日期：______年</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月</w:t>
      </w:r>
      <w:r>
        <w:rPr>
          <w:rFonts w:ascii="Microsoft New Tai Lue" w:hAnsi="Microsoft New Tai Lue" w:cs="Microsoft New Tai Lue"/>
          <w:color w:val="auto"/>
          <w:szCs w:val="21"/>
          <w:highlight w:val="none"/>
          <w:u w:val="single"/>
        </w:rPr>
        <w:t xml:space="preserve"> </w:t>
      </w:r>
      <w:r>
        <w:rPr>
          <w:rFonts w:ascii="Microsoft New Tai Lue" w:hAnsi="Microsoft New Tai Lue" w:cs="Microsoft New Tai Lue"/>
          <w:color w:val="auto"/>
          <w:szCs w:val="21"/>
          <w:highlight w:val="none"/>
          <w:u w:val="single"/>
        </w:rPr>
        <w:tab/>
      </w:r>
      <w:r>
        <w:rPr>
          <w:rFonts w:ascii="Microsoft New Tai Lue" w:hAnsi="Microsoft New Tai Lue" w:cs="Microsoft New Tai Lue"/>
          <w:b w:val="0"/>
          <w:bCs w:val="0"/>
          <w:color w:val="auto"/>
          <w:sz w:val="21"/>
          <w:szCs w:val="21"/>
          <w:highlight w:val="none"/>
        </w:rPr>
        <w:t xml:space="preserve">日</w:t>
      </w:r>
      <w:r>
        <w:rPr>
          <w:rFonts w:hint="eastAsia" w:ascii="Microsoft New Tai Lue" w:hAnsi="Microsoft New Tai Lue" w:cs="Microsoft New Tai Lue"/>
          <w:b w:val="0"/>
          <w:bCs w:val="0"/>
          <w:color w:val="auto"/>
          <w:sz w:val="21"/>
          <w:szCs w:val="21"/>
          <w:highlight w:val="none"/>
        </w:rPr>
        <w:br w:type="column"/>
      </w:r>
      <w:r>
        <w:rPr>
          <w:rFonts w:hint="eastAsia" w:ascii="宋体" w:hAnsi="宋体"/>
          <w:color w:val="auto"/>
          <w:sz w:val="24"/>
          <w:szCs w:val="24"/>
          <w:highlight w:val="none"/>
        </w:rPr>
        <w:t xml:space="preserve">投标人关联关系单位披露表</w:t>
      </w:r>
      <w:r/>
    </w:p>
    <w:p>
      <w:pPr>
        <w:pStyle w:val="1106"/>
        <w:rPr>
          <w:rFonts w:hint="eastAsia"/>
          <w:color w:val="auto"/>
          <w:highlight w:val="none"/>
        </w:rPr>
      </w:pPr>
      <w:r>
        <w:rPr>
          <w:rFonts w:hint="eastAsia"/>
          <w:color w:val="auto"/>
          <w:highlight w:val="none"/>
        </w:rPr>
      </w:r>
      <w:r/>
    </w:p>
    <w:p>
      <w:pPr>
        <w:jc w:val="center"/>
        <w:rPr>
          <w:rFonts w:hint="eastAsia" w:ascii="宋体" w:hAnsi="宋体"/>
          <w:b/>
          <w:color w:val="auto"/>
          <w:sz w:val="24"/>
          <w:szCs w:val="21"/>
          <w:highlight w:val="none"/>
        </w:rPr>
      </w:pPr>
      <w:r/>
      <w:bookmarkStart w:id="422" w:name="_Toc8345"/>
      <w:r/>
      <w:bookmarkStart w:id="423" w:name="_Toc112164761"/>
      <w:r/>
      <w:bookmarkStart w:id="424" w:name="_Toc1816"/>
      <w:r/>
      <w:bookmarkStart w:id="425" w:name="_Toc113285650"/>
      <w:r/>
      <w:bookmarkStart w:id="426" w:name="_Toc113285532"/>
      <w:r/>
      <w:bookmarkStart w:id="427" w:name="_Toc19238"/>
      <w:r/>
      <w:bookmarkStart w:id="428" w:name="_Toc112164878"/>
      <w:r/>
      <w:bookmarkStart w:id="429" w:name="_Toc112660586"/>
      <w:r/>
      <w:bookmarkStart w:id="430" w:name="_Toc112660690"/>
      <w:r/>
      <w:bookmarkStart w:id="431" w:name="_Toc27138"/>
      <w:r/>
      <w:bookmarkStart w:id="432" w:name="_Toc112144148"/>
      <w:r>
        <w:rPr>
          <w:rFonts w:hint="eastAsia" w:ascii="宋体" w:hAnsi="宋体"/>
          <w:b/>
          <w:color w:val="auto"/>
          <w:sz w:val="24"/>
          <w:szCs w:val="21"/>
          <w:highlight w:val="none"/>
        </w:rPr>
        <w:t xml:space="preserve">投标人关联关系单位披露表</w:t>
      </w:r>
      <w:bookmarkEnd w:id="422"/>
      <w:r/>
      <w:bookmarkEnd w:id="423"/>
      <w:r/>
      <w:bookmarkEnd w:id="424"/>
      <w:r/>
      <w:bookmarkEnd w:id="425"/>
      <w:r/>
      <w:bookmarkEnd w:id="426"/>
      <w:r/>
      <w:bookmarkEnd w:id="427"/>
      <w:r/>
      <w:bookmarkEnd w:id="428"/>
      <w:r/>
      <w:bookmarkEnd w:id="429"/>
      <w:r/>
      <w:bookmarkEnd w:id="430"/>
      <w:r/>
      <w:bookmarkEnd w:id="431"/>
      <w:r/>
      <w:bookmarkEnd w:id="432"/>
      <w:r/>
      <w:r/>
    </w:p>
    <w:tbl>
      <w:tblPr>
        <w:tblStyle w:val="880"/>
        <w:tblpPr w:horzAnchor="margin" w:tblpXSpec="center" w:vertAnchor="text" w:tblpY="311" w:leftFromText="180" w:topFromText="0" w:rightFromText="180" w:bottomFromText="0"/>
        <w:tblW w:w="86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0"/>
        <w:gridCol w:w="1919"/>
        <w:gridCol w:w="1701"/>
        <w:gridCol w:w="1593"/>
        <w:gridCol w:w="2749"/>
      </w:tblGrid>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关联关系类型</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关联单位名称</w:t>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关联单位</w:t>
            </w:r>
            <w:r/>
          </w:p>
          <w:p>
            <w:pPr>
              <w:jc w:val="center"/>
              <w:rPr>
                <w:rFonts w:hint="eastAsia" w:ascii="宋体" w:hAnsi="宋体"/>
                <w:b/>
                <w:color w:val="auto"/>
                <w:szCs w:val="21"/>
                <w:highlight w:val="none"/>
              </w:rPr>
            </w:pPr>
            <w:r>
              <w:rPr>
                <w:rFonts w:hint="eastAsia" w:ascii="宋体" w:hAnsi="宋体"/>
                <w:b/>
                <w:color w:val="auto"/>
                <w:szCs w:val="21"/>
                <w:highlight w:val="none"/>
              </w:rPr>
              <w:t xml:space="preserve">企业信用代码</w:t>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
                <w:color w:val="auto"/>
                <w:szCs w:val="21"/>
                <w:highlight w:val="none"/>
              </w:rPr>
            </w:pPr>
            <w:r>
              <w:rPr>
                <w:rFonts w:hint="eastAsia" w:ascii="宋体" w:hAnsi="宋体"/>
                <w:b/>
                <w:color w:val="auto"/>
                <w:szCs w:val="21"/>
                <w:highlight w:val="none"/>
              </w:rPr>
              <w:t xml:space="preserve">与投标人关系</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负责人为同一人</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38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rHeight w:val="414"/>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控股关系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523"/>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是我公司的控股股东/子公司</w:t>
            </w:r>
            <w:r/>
          </w:p>
        </w:tc>
      </w:tr>
      <w:tr>
        <w:trPr>
          <w:trHeight w:val="442"/>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管理关系</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919" w:type="dxa"/>
            <w:vAlign w:val="center"/>
            <w:vMerge w:val="continue"/>
            <w:textDirection w:val="lrTb"/>
            <w:noWrap w:val="false"/>
          </w:tcPr>
          <w:p>
            <w:pPr>
              <w:jc w:val="left"/>
              <w:widowControl/>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t xml:space="preserve">是我公司的总公司/分公司</w:t>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7</w:t>
            </w:r>
            <w:r/>
          </w:p>
        </w:tc>
        <w:tc>
          <w:tcPr>
            <w:tcBorders>
              <w:top w:val="single" w:color="auto" w:sz="4" w:space="0"/>
              <w:left w:val="single" w:color="auto" w:sz="4" w:space="0"/>
              <w:right w:val="single" w:color="auto" w:sz="4" w:space="0"/>
            </w:tcBorders>
            <w:tcW w:w="1919" w:type="dxa"/>
            <w:vAlign w:val="center"/>
            <w:vMerge w:val="restart"/>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母公司参股的</w:t>
            </w:r>
            <w:r/>
          </w:p>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子公司</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t xml:space="preserve">8</w:t>
            </w:r>
            <w:r/>
          </w:p>
        </w:tc>
        <w:tc>
          <w:tcPr>
            <w:tcBorders>
              <w:left w:val="single" w:color="auto" w:sz="4" w:space="0"/>
              <w:bottom w:val="single" w:color="auto" w:sz="4" w:space="0"/>
              <w:right w:val="single" w:color="auto" w:sz="4" w:space="0"/>
            </w:tcBorders>
            <w:tcW w:w="1919" w:type="dxa"/>
            <w:vAlign w:val="center"/>
            <w:vMerge w:val="continue"/>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rPr>
                <w:rFonts w:hint="eastAsia" w:ascii="宋体" w:hAnsi="宋体"/>
                <w:bCs/>
                <w:color w:val="auto"/>
                <w:szCs w:val="21"/>
                <w:highlight w:val="none"/>
              </w:rPr>
            </w:pPr>
            <w:r>
              <w:rPr>
                <w:rFonts w:hint="eastAsia" w:ascii="宋体" w:hAnsi="宋体"/>
                <w:bCs/>
                <w:color w:val="auto"/>
                <w:szCs w:val="21"/>
                <w:highlight w:val="none"/>
              </w:rPr>
            </w:r>
            <w:r/>
          </w:p>
        </w:tc>
      </w:tr>
      <w:tr>
        <w:trPr/>
        <w:tc>
          <w:tcPr>
            <w:tcBorders>
              <w:top w:val="single" w:color="auto" w:sz="4" w:space="0"/>
              <w:left w:val="single" w:color="auto" w:sz="4" w:space="0"/>
              <w:bottom w:val="single" w:color="auto" w:sz="4" w:space="0"/>
              <w:right w:val="single" w:color="auto" w:sz="4" w:space="0"/>
            </w:tcBorders>
            <w:tcW w:w="680"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91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1593"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c>
          <w:tcPr>
            <w:tcBorders>
              <w:top w:val="single" w:color="auto" w:sz="4" w:space="0"/>
              <w:left w:val="single" w:color="auto" w:sz="4" w:space="0"/>
              <w:bottom w:val="single" w:color="auto" w:sz="4" w:space="0"/>
              <w:right w:val="single" w:color="auto" w:sz="4" w:space="0"/>
            </w:tcBorders>
            <w:tcW w:w="2749" w:type="dxa"/>
            <w:vAlign w:val="center"/>
            <w:textDirection w:val="lrTb"/>
            <w:noWrap w:val="false"/>
          </w:tcPr>
          <w:p>
            <w:pPr>
              <w:jc w:val="center"/>
              <w:spacing w:line="360" w:lineRule="auto"/>
              <w:rPr>
                <w:rFonts w:hint="eastAsia" w:ascii="宋体" w:hAnsi="宋体"/>
                <w:bCs/>
                <w:color w:val="auto"/>
                <w:szCs w:val="21"/>
                <w:highlight w:val="none"/>
              </w:rPr>
            </w:pPr>
            <w:r>
              <w:rPr>
                <w:rFonts w:hint="eastAsia" w:ascii="宋体" w:hAnsi="宋体"/>
                <w:bCs/>
                <w:color w:val="auto"/>
                <w:szCs w:val="21"/>
                <w:highlight w:val="none"/>
              </w:rPr>
            </w:r>
            <w:r/>
          </w:p>
        </w:tc>
      </w:tr>
    </w:tbl>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t xml:space="preserve">投标人应如实披露关联关系单位，评标过程中如发现各投标人之间存在控股管理关系，招标人有权取消有关的投标人参与本项目的资格或重新组织招标。</w:t>
      </w:r>
      <w:r/>
    </w:p>
    <w:p>
      <w:pPr>
        <w:ind w:firstLine="422"/>
        <w:jc w:val="left"/>
        <w:spacing w:line="360" w:lineRule="auto"/>
        <w:rPr>
          <w:rFonts w:hint="eastAsia" w:ascii="宋体" w:hAnsi="宋体"/>
          <w:b/>
          <w:color w:val="auto"/>
          <w:szCs w:val="21"/>
          <w:highlight w:val="none"/>
        </w:rPr>
      </w:pPr>
      <w:r>
        <w:rPr>
          <w:rFonts w:hint="eastAsia" w:ascii="宋体" w:hAnsi="宋体"/>
          <w:b/>
          <w:color w:val="auto"/>
          <w:szCs w:val="21"/>
          <w:highlight w:val="none"/>
        </w:rPr>
      </w:r>
      <w:r/>
    </w:p>
    <w:p>
      <w:pPr>
        <w:spacing w:line="600" w:lineRule="auto"/>
        <w:rPr>
          <w:rFonts w:hint="eastAsia" w:ascii="宋体" w:hAnsi="宋体"/>
          <w:color w:val="auto"/>
          <w:szCs w:val="21"/>
          <w:highlight w:val="none"/>
        </w:rPr>
      </w:pPr>
      <w:r>
        <w:rPr>
          <w:rFonts w:hint="eastAsia" w:ascii="宋体" w:hAnsi="宋体"/>
          <w:color w:val="auto"/>
          <w:szCs w:val="21"/>
          <w:highlight w:val="none"/>
        </w:rPr>
        <w:t xml:space="preserve">投标人名称（公章）：</w:t>
      </w:r>
      <w:r>
        <w:rPr>
          <w:rFonts w:hint="eastAsia" w:ascii="宋体" w:hAnsi="宋体"/>
          <w:color w:val="auto"/>
          <w:szCs w:val="21"/>
          <w:highlight w:val="none"/>
          <w:u w:val="single"/>
        </w:rPr>
        <w:t xml:space="preserve">　　　　　　　          　</w:t>
      </w:r>
      <w:r/>
    </w:p>
    <w:p>
      <w:pPr>
        <w:jc w:val="left"/>
        <w:spacing w:line="300" w:lineRule="exact"/>
        <w:rPr>
          <w:rFonts w:hint="eastAsia" w:ascii="宋体" w:hAnsi="宋体"/>
          <w:color w:val="auto"/>
          <w:szCs w:val="21"/>
          <w:highlight w:val="none"/>
          <w:u w:val="single"/>
        </w:rPr>
      </w:pPr>
      <w:r>
        <w:rPr>
          <w:rFonts w:hint="eastAsia" w:ascii="宋体" w:hAnsi="宋体"/>
          <w:color w:val="auto"/>
          <w:szCs w:val="21"/>
          <w:highlight w:val="none"/>
          <w:u w:val="single"/>
        </w:rPr>
      </w:r>
      <w:r/>
    </w:p>
    <w:p>
      <w:pPr>
        <w:jc w:val="left"/>
        <w:spacing w:line="60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ascii="宋体" w:hAnsi="宋体"/>
          <w:color w:val="auto"/>
          <w:szCs w:val="21"/>
          <w:highlight w:val="none"/>
        </w:rPr>
        <w:t xml:space="preserve">  </w:t>
      </w:r>
      <w:r>
        <w:rPr>
          <w:rFonts w:hint="eastAsia" w:ascii="宋体" w:hAnsi="宋体"/>
          <w:color w:val="auto"/>
          <w:szCs w:val="21"/>
          <w:highlight w:val="none"/>
        </w:rPr>
        <w:t xml:space="preserve">年 </w:t>
      </w:r>
      <w:r>
        <w:rPr>
          <w:rFonts w:ascii="宋体" w:hAnsi="宋体"/>
          <w:color w:val="auto"/>
          <w:szCs w:val="21"/>
          <w:highlight w:val="none"/>
        </w:rPr>
        <w:t xml:space="preserve">  </w:t>
      </w:r>
      <w:r>
        <w:rPr>
          <w:rFonts w:hint="eastAsia" w:ascii="宋体" w:hAnsi="宋体"/>
          <w:color w:val="auto"/>
          <w:szCs w:val="21"/>
          <w:highlight w:val="none"/>
        </w:rPr>
        <w:t xml:space="preserve">月</w:t>
      </w:r>
      <w:r>
        <w:rPr>
          <w:rFonts w:ascii="宋体" w:hAnsi="宋体"/>
          <w:color w:val="auto"/>
          <w:szCs w:val="21"/>
          <w:highlight w:val="none"/>
        </w:rPr>
        <w:t xml:space="preserve">   </w:t>
      </w:r>
      <w:r>
        <w:rPr>
          <w:rFonts w:hint="eastAsia" w:ascii="宋体" w:hAnsi="宋体"/>
          <w:color w:val="auto"/>
          <w:szCs w:val="21"/>
          <w:highlight w:val="none"/>
        </w:rPr>
        <w:t xml:space="preserve">日</w:t>
      </w:r>
      <w:r/>
    </w:p>
    <w:p>
      <w:pPr>
        <w:ind w:left="703"/>
        <w:rPr>
          <w:color w:val="auto"/>
          <w:highlight w:val="none"/>
        </w:rPr>
      </w:pPr>
      <w:r>
        <w:rPr>
          <w:color w:val="auto"/>
          <w:highlight w:val="none"/>
        </w:rPr>
      </w:r>
      <w:r/>
    </w:p>
    <w:p>
      <w:pPr>
        <w:pStyle w:val="916"/>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433" w:name="_Toc104560912"/>
      <w:r/>
      <w:bookmarkStart w:id="434" w:name="_Toc107246293"/>
      <w:r>
        <w:rPr>
          <w:rFonts w:ascii="Microsoft New Tai Lue" w:hAnsi="Microsoft New Tai Lue" w:cs="Microsoft New Tai Lue"/>
          <w:bCs w:val="0"/>
          <w:color w:val="auto"/>
          <w:sz w:val="24"/>
          <w:szCs w:val="24"/>
          <w:highlight w:val="none"/>
        </w:rPr>
        <w:t xml:space="preserve">（9）投标保证金（如需）</w:t>
      </w:r>
      <w:bookmarkEnd w:id="418"/>
      <w:r/>
      <w:bookmarkEnd w:id="433"/>
      <w:r/>
      <w:bookmarkEnd w:id="434"/>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保证金缴纳凭证复印件</w:t>
      </w:r>
      <w:r/>
    </w:p>
    <w:tbl>
      <w:tblPr>
        <w:tblStyle w:val="88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039"/>
      </w:tblGrid>
      <w:tr>
        <w:trPr>
          <w:trHeight w:val="2999"/>
        </w:trPr>
        <w:tc>
          <w:tcPr>
            <w:tcW w:w="9039"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b/>
          <w:bCs/>
          <w:color w:val="auto"/>
          <w:szCs w:val="18"/>
          <w:highlight w:val="none"/>
        </w:rPr>
      </w:pPr>
      <w:r>
        <w:rPr>
          <w:b/>
          <w:bCs/>
          <w:color w:val="auto"/>
          <w:szCs w:val="18"/>
          <w:highlight w:val="none"/>
        </w:rPr>
      </w:r>
      <w:r/>
    </w:p>
    <w:p>
      <w:pPr>
        <w:jc w:val="left"/>
        <w:widowControl/>
        <w:rPr>
          <w:b/>
          <w:color w:val="auto"/>
          <w:szCs w:val="21"/>
          <w:highlight w:val="none"/>
        </w:rPr>
      </w:pPr>
      <w:r>
        <w:rPr>
          <w:rFonts w:hint="eastAsia"/>
          <w:b/>
          <w:color w:val="auto"/>
          <w:szCs w:val="21"/>
          <w:highlight w:val="none"/>
        </w:rPr>
        <w:t xml:space="preserve">投标</w:t>
      </w:r>
      <w:r>
        <w:rPr>
          <w:b/>
          <w:color w:val="auto"/>
          <w:szCs w:val="21"/>
          <w:highlight w:val="none"/>
        </w:rPr>
        <w:t xml:space="preserve">保证金退款账户信息</w:t>
      </w:r>
      <w:r/>
    </w:p>
    <w:tbl>
      <w:tblPr>
        <w:tblStyle w:val="880"/>
        <w:tblW w:w="90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2596"/>
        <w:gridCol w:w="3358"/>
      </w:tblGrid>
      <w:tr>
        <w:trPr>
          <w:trHeight w:val="485"/>
        </w:trPr>
        <w:tc>
          <w:tcPr>
            <w:tcW w:w="3085" w:type="dxa"/>
            <w:vAlign w:val="center"/>
            <w:textDirection w:val="lrTb"/>
            <w:noWrap w:val="false"/>
          </w:tcPr>
          <w:p>
            <w:pPr>
              <w:jc w:val="center"/>
              <w:widowControl/>
              <w:rPr>
                <w:color w:val="auto"/>
                <w:szCs w:val="21"/>
                <w:highlight w:val="none"/>
              </w:rPr>
            </w:pPr>
            <w:r>
              <w:rPr>
                <w:rFonts w:hint="eastAsia"/>
                <w:color w:val="auto"/>
                <w:szCs w:val="21"/>
                <w:highlight w:val="none"/>
              </w:rPr>
              <w:t xml:space="preserve">投标人</w:t>
            </w:r>
            <w:r>
              <w:rPr>
                <w:color w:val="auto"/>
                <w:szCs w:val="21"/>
                <w:highlight w:val="none"/>
              </w:rPr>
              <w:t xml:space="preserve">名称</w:t>
            </w:r>
            <w:r/>
          </w:p>
        </w:tc>
        <w:tc>
          <w:tcPr>
            <w:tcW w:w="2596" w:type="dxa"/>
            <w:vAlign w:val="center"/>
            <w:textDirection w:val="lrTb"/>
            <w:noWrap w:val="false"/>
          </w:tcPr>
          <w:p>
            <w:pPr>
              <w:jc w:val="center"/>
              <w:widowControl/>
              <w:rPr>
                <w:color w:val="auto"/>
                <w:szCs w:val="21"/>
                <w:highlight w:val="none"/>
              </w:rPr>
            </w:pPr>
            <w:r>
              <w:rPr>
                <w:color w:val="auto"/>
                <w:szCs w:val="21"/>
                <w:highlight w:val="none"/>
              </w:rPr>
              <w:t xml:space="preserve">退款银行</w:t>
            </w:r>
            <w:r/>
          </w:p>
        </w:tc>
        <w:tc>
          <w:tcPr>
            <w:tcW w:w="3358" w:type="dxa"/>
            <w:vAlign w:val="center"/>
            <w:textDirection w:val="lrTb"/>
            <w:noWrap w:val="false"/>
          </w:tcPr>
          <w:p>
            <w:pPr>
              <w:jc w:val="center"/>
              <w:widowControl/>
              <w:rPr>
                <w:color w:val="auto"/>
                <w:szCs w:val="21"/>
                <w:highlight w:val="none"/>
              </w:rPr>
            </w:pPr>
            <w:r>
              <w:rPr>
                <w:color w:val="auto"/>
                <w:szCs w:val="21"/>
                <w:highlight w:val="none"/>
              </w:rPr>
              <w:t xml:space="preserve">退款账号</w:t>
            </w:r>
            <w:r/>
          </w:p>
        </w:tc>
      </w:tr>
      <w:tr>
        <w:trPr>
          <w:trHeight w:val="546"/>
        </w:trPr>
        <w:tc>
          <w:tcPr>
            <w:tcW w:w="3085" w:type="dxa"/>
            <w:textDirection w:val="lrTb"/>
            <w:noWrap w:val="false"/>
          </w:tcPr>
          <w:p>
            <w:pPr>
              <w:jc w:val="left"/>
              <w:widowControl/>
              <w:rPr>
                <w:color w:val="auto"/>
                <w:szCs w:val="21"/>
                <w:highlight w:val="none"/>
              </w:rPr>
            </w:pPr>
            <w:r>
              <w:rPr>
                <w:color w:val="auto"/>
                <w:szCs w:val="21"/>
                <w:highlight w:val="none"/>
              </w:rPr>
            </w:r>
            <w:r/>
          </w:p>
        </w:tc>
        <w:tc>
          <w:tcPr>
            <w:tcW w:w="2596" w:type="dxa"/>
            <w:textDirection w:val="lrTb"/>
            <w:noWrap w:val="false"/>
          </w:tcPr>
          <w:p>
            <w:pPr>
              <w:jc w:val="left"/>
              <w:widowControl/>
              <w:rPr>
                <w:color w:val="auto"/>
                <w:szCs w:val="21"/>
                <w:highlight w:val="none"/>
              </w:rPr>
            </w:pPr>
            <w:r>
              <w:rPr>
                <w:color w:val="auto"/>
                <w:szCs w:val="21"/>
                <w:highlight w:val="none"/>
              </w:rPr>
            </w:r>
            <w:r/>
          </w:p>
        </w:tc>
        <w:tc>
          <w:tcPr>
            <w:tcW w:w="3358" w:type="dxa"/>
            <w:textDirection w:val="lrTb"/>
            <w:noWrap w:val="false"/>
          </w:tcPr>
          <w:p>
            <w:pPr>
              <w:jc w:val="left"/>
              <w:widowControl/>
              <w:rPr>
                <w:color w:val="auto"/>
                <w:szCs w:val="21"/>
                <w:highlight w:val="none"/>
              </w:rPr>
            </w:pPr>
            <w:r>
              <w:rPr>
                <w:color w:val="auto"/>
                <w:szCs w:val="21"/>
                <w:highlight w:val="none"/>
              </w:rPr>
            </w:r>
            <w:r/>
          </w:p>
        </w:tc>
      </w:tr>
    </w:tbl>
    <w:p>
      <w:pPr>
        <w:jc w:val="left"/>
        <w:widowControl/>
        <w:rPr>
          <w:color w:val="auto"/>
          <w:szCs w:val="21"/>
          <w:highlight w:val="none"/>
        </w:rPr>
      </w:pPr>
      <w:r>
        <w:rPr>
          <w:color w:val="auto"/>
          <w:szCs w:val="21"/>
          <w:highlight w:val="none"/>
        </w:rPr>
      </w:r>
      <w:r/>
    </w:p>
    <w:tbl>
      <w:tblPr>
        <w:tblStyle w:val="880"/>
        <w:tblW w:w="9073" w:type="dxa"/>
        <w:tblInd w:w="-34" w:type="dxa"/>
        <w:tblLayout w:type="fixed"/>
        <w:tblCellMar>
          <w:left w:w="108" w:type="dxa"/>
          <w:top w:w="0" w:type="dxa"/>
          <w:right w:w="108" w:type="dxa"/>
          <w:bottom w:w="0" w:type="dxa"/>
        </w:tblCellMar>
        <w:tblLook w:val="04A0" w:firstRow="1" w:lastRow="0" w:firstColumn="1" w:lastColumn="0" w:noHBand="0" w:noVBand="1"/>
      </w:tblPr>
      <w:tblGrid>
        <w:gridCol w:w="1985"/>
        <w:gridCol w:w="1276"/>
        <w:gridCol w:w="1653"/>
        <w:gridCol w:w="1212"/>
        <w:gridCol w:w="914"/>
        <w:gridCol w:w="2033"/>
      </w:tblGrid>
      <w:tr>
        <w:trPr>
          <w:trHeight w:val="420"/>
        </w:trPr>
        <w:tc>
          <w:tcPr>
            <w:gridSpan w:val="6"/>
            <w:tcBorders>
              <w:top w:val="none" w:color="000000" w:sz="4" w:space="0"/>
              <w:bottom w:val="single" w:color="auto" w:sz="4" w:space="0"/>
            </w:tcBorders>
            <w:tcW w:w="9073" w:type="dxa"/>
            <w:vAlign w:val="center"/>
            <w:textDirection w:val="lrTb"/>
            <w:noWrap w:val="false"/>
          </w:tcPr>
          <w:p>
            <w:pPr>
              <w:jc w:val="left"/>
              <w:widowControl/>
              <w:rPr>
                <w:b/>
                <w:color w:val="auto"/>
                <w:szCs w:val="21"/>
                <w:highlight w:val="none"/>
              </w:rPr>
            </w:pPr>
            <w:r>
              <w:rPr>
                <w:b/>
                <w:color w:val="auto"/>
                <w:szCs w:val="21"/>
                <w:highlight w:val="none"/>
              </w:rPr>
              <w:t xml:space="preserve">开具发票信息</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highlight w:val="none"/>
              </w:rPr>
            </w:pPr>
            <w:r>
              <w:rPr>
                <w:color w:val="auto"/>
                <w:szCs w:val="21"/>
                <w:highlight w:val="none"/>
              </w:rPr>
              <w:t xml:space="preserve">发票类型</w:t>
            </w:r>
            <w:r/>
          </w:p>
        </w:tc>
        <w:tc>
          <w:tcPr>
            <w:gridSpan w:val="2"/>
            <w:tcBorders>
              <w:top w:val="single" w:color="auto" w:sz="4" w:space="0"/>
              <w:left w:val="none" w:color="000000" w:sz="4" w:space="0"/>
              <w:bottom w:val="single" w:color="auto" w:sz="4" w:space="0"/>
            </w:tcBorders>
            <w:tcW w:w="2865" w:type="dxa"/>
            <w:vAlign w:val="center"/>
            <w:textDirection w:val="lrTb"/>
            <w:noWrap w:val="false"/>
          </w:tcPr>
          <w:p>
            <w:pPr>
              <w:jc w:val="center"/>
              <w:widowControl/>
              <w:rPr>
                <w:color w:val="auto"/>
                <w:szCs w:val="21"/>
                <w:highlight w:val="none"/>
              </w:rPr>
            </w:pPr>
            <w:r>
              <w:rPr>
                <w:color w:val="auto"/>
                <w:szCs w:val="21"/>
                <w:highlight w:val="none"/>
              </w:rPr>
              <w:t xml:space="preserve">□</w:t>
            </w:r>
            <w:r>
              <w:rPr>
                <w:rStyle w:val="1080"/>
                <w:color w:val="auto"/>
                <w:szCs w:val="21"/>
                <w:highlight w:val="none"/>
              </w:rPr>
              <w:t xml:space="preserve">增值税专用发票</w:t>
            </w:r>
            <w:r/>
          </w:p>
        </w:tc>
        <w:tc>
          <w:tcPr>
            <w:gridSpan w:val="2"/>
            <w:tcBorders>
              <w:top w:val="single" w:color="auto" w:sz="4" w:space="0"/>
              <w:bottom w:val="single" w:color="auto" w:sz="4" w:space="0"/>
              <w:right w:val="single" w:color="auto" w:sz="4" w:space="0"/>
            </w:tcBorders>
            <w:tcW w:w="2947" w:type="dxa"/>
            <w:vAlign w:val="center"/>
            <w:textDirection w:val="lrTb"/>
            <w:noWrap w:val="false"/>
          </w:tcPr>
          <w:p>
            <w:pPr>
              <w:ind w:left="510"/>
              <w:jc w:val="center"/>
              <w:rPr>
                <w:color w:val="auto"/>
                <w:szCs w:val="21"/>
                <w:highlight w:val="none"/>
              </w:rPr>
            </w:pPr>
            <w:r>
              <w:rPr>
                <w:color w:val="auto"/>
                <w:szCs w:val="21"/>
                <w:highlight w:val="none"/>
              </w:rPr>
              <w:t xml:space="preserve">□</w:t>
            </w:r>
            <w:r>
              <w:rPr>
                <w:rStyle w:val="1080"/>
                <w:color w:val="auto"/>
                <w:szCs w:val="21"/>
                <w:highlight w:val="none"/>
              </w:rPr>
              <w:t xml:space="preserve"> 增值税普通发票</w:t>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vAlign w:val="center"/>
            <w:textDirection w:val="lrTb"/>
            <w:noWrap w:val="false"/>
          </w:tcPr>
          <w:p>
            <w:pPr>
              <w:jc w:val="center"/>
              <w:widowControl/>
              <w:rPr>
                <w:color w:val="auto"/>
                <w:szCs w:val="21"/>
                <w:highlight w:val="none"/>
              </w:rPr>
            </w:pPr>
            <w:r>
              <w:rPr>
                <w:color w:val="auto"/>
                <w:szCs w:val="21"/>
                <w:highlight w:val="none"/>
              </w:rPr>
              <w:t xml:space="preserve">单位名称</w:t>
            </w:r>
            <w:r/>
          </w:p>
        </w:tc>
        <w:tc>
          <w:tcPr>
            <w:gridSpan w:val="4"/>
            <w:tcBorders>
              <w:top w:val="single" w:color="auto" w:sz="4" w:space="0"/>
              <w:left w:val="none" w:color="000000" w:sz="4" w:space="0"/>
              <w:bottom w:val="single" w:color="auto" w:sz="4" w:space="0"/>
              <w:right w:val="single" w:color="auto" w:sz="4" w:space="0"/>
            </w:tcBorders>
            <w:tcW w:w="5812" w:type="dxa"/>
            <w:vAlign w:val="center"/>
            <w:textDirection w:val="lrTb"/>
            <w:noWrap w:val="false"/>
          </w:tcPr>
          <w:p>
            <w:pPr>
              <w:jc w:val="cente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highlight w:val="none"/>
              </w:rPr>
            </w:pPr>
            <w:r>
              <w:rPr>
                <w:color w:val="auto"/>
                <w:szCs w:val="21"/>
                <w:highlight w:val="none"/>
              </w:rPr>
              <w:t xml:space="preserve">纳税人识别号</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highlight w:val="none"/>
              </w:rPr>
            </w:pPr>
            <w:r>
              <w:rPr>
                <w:color w:val="auto"/>
                <w:szCs w:val="21"/>
                <w:highlight w:val="none"/>
              </w:rPr>
              <w:t xml:space="preserve">单位注册地址</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highlight w:val="none"/>
              </w:rPr>
            </w:pPr>
            <w:r>
              <w:rPr>
                <w:color w:val="auto"/>
                <w:szCs w:val="21"/>
                <w:highlight w:val="none"/>
              </w:rPr>
              <w:t xml:space="preserve">单位联系电话</w:t>
            </w:r>
            <w:r/>
          </w:p>
          <w:p>
            <w:pPr>
              <w:jc w:val="center"/>
              <w:widowControl/>
              <w:rPr>
                <w:color w:val="auto"/>
                <w:szCs w:val="21"/>
                <w:highlight w:val="none"/>
              </w:rPr>
            </w:pPr>
            <w:r>
              <w:rPr>
                <w:color w:val="auto"/>
                <w:szCs w:val="21"/>
                <w:highlight w:val="none"/>
              </w:rPr>
              <w:t xml:space="preserve">（增值税发票上填列的）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highlight w:val="none"/>
              </w:rPr>
            </w:pPr>
            <w:r>
              <w:rPr>
                <w:color w:val="auto"/>
                <w:szCs w:val="21"/>
                <w:highlight w:val="none"/>
              </w:rPr>
            </w:r>
            <w:r/>
          </w:p>
        </w:tc>
      </w:tr>
      <w:tr>
        <w:trPr>
          <w:trHeight w:val="318"/>
        </w:trPr>
        <w:tc>
          <w:tcPr>
            <w:gridSpan w:val="2"/>
            <w:tcBorders>
              <w:top w:val="single" w:color="auto" w:sz="4" w:space="0"/>
              <w:left w:val="single" w:color="auto" w:sz="4" w:space="0"/>
              <w:bottom w:val="single" w:color="auto" w:sz="4" w:space="0"/>
              <w:right w:val="single" w:color="auto" w:sz="4" w:space="0"/>
            </w:tcBorders>
            <w:tcW w:w="3261" w:type="dxa"/>
            <w:textDirection w:val="lrTb"/>
            <w:noWrap w:val="false"/>
          </w:tcPr>
          <w:p>
            <w:pPr>
              <w:jc w:val="center"/>
              <w:widowControl/>
              <w:rPr>
                <w:color w:val="auto"/>
                <w:szCs w:val="21"/>
                <w:highlight w:val="none"/>
              </w:rPr>
            </w:pPr>
            <w:r>
              <w:rPr>
                <w:color w:val="auto"/>
                <w:szCs w:val="21"/>
                <w:highlight w:val="none"/>
              </w:rPr>
              <w:t xml:space="preserve">开户银行及账号</w:t>
            </w:r>
            <w:r/>
          </w:p>
          <w:p>
            <w:pPr>
              <w:jc w:val="center"/>
              <w:widowControl/>
              <w:rPr>
                <w:color w:val="auto"/>
                <w:szCs w:val="21"/>
                <w:highlight w:val="none"/>
              </w:rPr>
            </w:pPr>
            <w:r>
              <w:rPr>
                <w:color w:val="auto"/>
                <w:szCs w:val="21"/>
                <w:highlight w:val="none"/>
              </w:rPr>
              <w:t xml:space="preserve">（在主管国税机关备案登记的）</w:t>
            </w:r>
            <w:r/>
          </w:p>
        </w:tc>
        <w:tc>
          <w:tcPr>
            <w:gridSpan w:val="4"/>
            <w:tcBorders>
              <w:top w:val="single" w:color="auto" w:sz="4" w:space="0"/>
              <w:left w:val="single" w:color="auto" w:sz="4" w:space="0"/>
              <w:bottom w:val="single" w:color="auto" w:sz="4" w:space="0"/>
              <w:right w:val="single" w:color="auto" w:sz="4" w:space="0"/>
            </w:tcBorders>
            <w:tcW w:w="5812" w:type="dxa"/>
            <w:vAlign w:val="center"/>
            <w:textDirection w:val="lrTb"/>
            <w:noWrap w:val="false"/>
          </w:tcPr>
          <w:p>
            <w:pPr>
              <w:widowControl/>
              <w:rPr>
                <w:color w:val="auto"/>
                <w:szCs w:val="21"/>
                <w:highlight w:val="none"/>
              </w:rPr>
            </w:pPr>
            <w:r>
              <w:rPr>
                <w:color w:val="auto"/>
                <w:szCs w:val="21"/>
                <w:highlight w:val="none"/>
              </w:rPr>
            </w:r>
            <w:r/>
          </w:p>
        </w:tc>
      </w:tr>
      <w:tr>
        <w:trPr>
          <w:trHeight w:val="318"/>
        </w:trPr>
        <w:tc>
          <w:tcPr>
            <w:gridSpan w:val="6"/>
            <w:tcBorders>
              <w:top w:val="single" w:color="auto" w:sz="4" w:space="0"/>
              <w:bottom w:val="single" w:color="auto" w:sz="4" w:space="0"/>
            </w:tcBorders>
            <w:tcW w:w="9073" w:type="dxa"/>
            <w:vAlign w:val="center"/>
            <w:textDirection w:val="lrTb"/>
            <w:noWrap w:val="false"/>
          </w:tcPr>
          <w:p>
            <w:pPr>
              <w:jc w:val="center"/>
              <w:widowControl/>
              <w:rPr>
                <w:b/>
                <w:color w:val="auto"/>
                <w:szCs w:val="21"/>
                <w:highlight w:val="none"/>
              </w:rPr>
            </w:pPr>
            <w:r>
              <w:rPr>
                <w:b/>
                <w:color w:val="auto"/>
                <w:szCs w:val="21"/>
                <w:highlight w:val="none"/>
              </w:rPr>
            </w:r>
            <w:r/>
          </w:p>
          <w:p>
            <w:pPr>
              <w:jc w:val="left"/>
              <w:widowControl/>
              <w:rPr>
                <w:b/>
                <w:color w:val="auto"/>
                <w:szCs w:val="21"/>
                <w:highlight w:val="none"/>
              </w:rPr>
            </w:pPr>
            <w:r>
              <w:rPr>
                <w:b/>
                <w:color w:val="auto"/>
                <w:szCs w:val="21"/>
                <w:highlight w:val="none"/>
              </w:rPr>
              <w:t xml:space="preserve">如需邮寄发票，请填写如下内容：</w:t>
            </w:r>
            <w:r/>
          </w:p>
        </w:tc>
      </w:tr>
      <w:tr>
        <w:trPr>
          <w:trHeight w:val="527"/>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highlight w:val="none"/>
              </w:rPr>
            </w:pPr>
            <w:r>
              <w:rPr>
                <w:color w:val="auto"/>
                <w:szCs w:val="21"/>
                <w:highlight w:val="none"/>
              </w:rPr>
              <w:t xml:space="preserve">收件人地址</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t xml:space="preserve">收件人单位名称</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highlight w:val="none"/>
              </w:rPr>
            </w:pPr>
            <w:r>
              <w:rPr>
                <w:color w:val="auto"/>
                <w:szCs w:val="21"/>
                <w:highlight w:val="none"/>
              </w:rPr>
            </w:r>
            <w:r/>
          </w:p>
        </w:tc>
      </w:tr>
      <w:tr>
        <w:trPr>
          <w:trHeight w:val="420"/>
        </w:trPr>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jc w:val="center"/>
              <w:widowControl/>
              <w:rPr>
                <w:color w:val="auto"/>
                <w:szCs w:val="21"/>
                <w:highlight w:val="none"/>
              </w:rPr>
            </w:pPr>
            <w:r>
              <w:rPr>
                <w:color w:val="auto"/>
                <w:szCs w:val="21"/>
                <w:highlight w:val="none"/>
              </w:rPr>
              <w:t xml:space="preserve">联系人</w:t>
            </w:r>
            <w:r/>
          </w:p>
        </w:tc>
        <w:tc>
          <w:tcPr>
            <w:gridSpan w:val="2"/>
            <w:tcBorders>
              <w:top w:val="single" w:color="auto" w:sz="4" w:space="0"/>
              <w:left w:val="none" w:color="000000" w:sz="4" w:space="0"/>
              <w:bottom w:val="single" w:color="auto" w:sz="4" w:space="0"/>
              <w:right w:val="single" w:color="auto" w:sz="4" w:space="0"/>
            </w:tcBorders>
            <w:tcW w:w="2929" w:type="dxa"/>
            <w:vAlign w:val="center"/>
            <w:textDirection w:val="lrTb"/>
            <w:noWrap w:val="false"/>
          </w:tcPr>
          <w:p>
            <w:pPr>
              <w:jc w:val="center"/>
              <w:widowControl/>
              <w:rPr>
                <w:color w:val="auto"/>
                <w:szCs w:val="21"/>
                <w:highlight w:val="none"/>
              </w:rPr>
            </w:pPr>
            <w:r>
              <w:rPr>
                <w:color w:val="auto"/>
                <w:szCs w:val="21"/>
                <w:highlight w:val="none"/>
              </w:rPr>
            </w:r>
            <w:r/>
          </w:p>
        </w:tc>
        <w:tc>
          <w:tcPr>
            <w:gridSpan w:val="2"/>
            <w:tcBorders>
              <w:top w:val="single" w:color="auto" w:sz="4" w:space="0"/>
              <w:left w:val="none" w:color="000000" w:sz="4" w:space="0"/>
              <w:bottom w:val="single" w:color="auto" w:sz="4" w:space="0"/>
              <w:right w:val="single" w:color="auto" w:sz="4" w:space="0"/>
            </w:tcBorders>
            <w:tcW w:w="2126" w:type="dxa"/>
            <w:vAlign w:val="center"/>
            <w:textDirection w:val="lrTb"/>
            <w:noWrap w:val="false"/>
          </w:tcPr>
          <w:p>
            <w:pPr>
              <w:jc w:val="center"/>
              <w:widowControl/>
              <w:rPr>
                <w:color w:val="auto"/>
                <w:szCs w:val="21"/>
                <w:highlight w:val="none"/>
              </w:rPr>
            </w:pPr>
            <w:r>
              <w:rPr>
                <w:color w:val="auto"/>
                <w:szCs w:val="21"/>
                <w:highlight w:val="none"/>
              </w:rPr>
              <w:t xml:space="preserve">联系电话</w:t>
            </w:r>
            <w:r/>
          </w:p>
        </w:tc>
        <w:tc>
          <w:tcPr>
            <w:tcBorders>
              <w:top w:val="single" w:color="auto" w:sz="4" w:space="0"/>
              <w:left w:val="none" w:color="000000" w:sz="4" w:space="0"/>
              <w:bottom w:val="single" w:color="auto" w:sz="4" w:space="0"/>
              <w:right w:val="single" w:color="auto" w:sz="4" w:space="0"/>
            </w:tcBorders>
            <w:tcW w:w="2033" w:type="dxa"/>
            <w:vAlign w:val="center"/>
            <w:textDirection w:val="lrTb"/>
            <w:noWrap w:val="false"/>
          </w:tcPr>
          <w:p>
            <w:pPr>
              <w:jc w:val="center"/>
              <w:widowControl/>
              <w:rPr>
                <w:color w:val="auto"/>
                <w:szCs w:val="21"/>
                <w:highlight w:val="none"/>
              </w:rPr>
            </w:pPr>
            <w:r>
              <w:rPr>
                <w:color w:val="auto"/>
                <w:szCs w:val="21"/>
                <w:highlight w:val="none"/>
              </w:rPr>
            </w:r>
            <w:r/>
          </w:p>
        </w:tc>
      </w:tr>
    </w:tbl>
    <w:p>
      <w:pPr>
        <w:spacing w:line="360" w:lineRule="auto"/>
        <w:rPr>
          <w:rFonts w:eastAsia="黑体"/>
          <w:b/>
          <w:color w:val="auto"/>
          <w:sz w:val="32"/>
          <w:szCs w:val="32"/>
          <w:highlight w:val="none"/>
        </w:rPr>
      </w:pPr>
      <w:r>
        <w:rPr>
          <w:rFonts w:eastAsia="黑体"/>
          <w:b/>
          <w:color w:val="auto"/>
          <w:sz w:val="32"/>
          <w:szCs w:val="32"/>
          <w:highlight w:val="none"/>
        </w:rPr>
      </w:r>
      <w:r/>
    </w:p>
    <w:p>
      <w:pPr>
        <w:pStyle w:val="914"/>
        <w:spacing w:line="360" w:lineRule="exact"/>
        <w:rPr>
          <w:rFonts w:ascii="Times New Roman" w:hAnsi="Times New Roman"/>
          <w:b/>
          <w:bCs/>
          <w:color w:val="auto"/>
          <w:highlight w:val="none"/>
        </w:rPr>
      </w:pPr>
      <w:r>
        <w:rPr>
          <w:rFonts w:ascii="Times New Roman" w:hAnsi="Times New Roman"/>
          <w:b/>
          <w:bCs/>
          <w:color w:val="auto"/>
          <w:highlight w:val="none"/>
        </w:rPr>
        <w:t xml:space="preserve">注：</w:t>
      </w:r>
      <w:r/>
    </w:p>
    <w:p>
      <w:pPr>
        <w:pStyle w:val="914"/>
        <w:spacing w:line="360" w:lineRule="exact"/>
        <w:rPr>
          <w:rFonts w:ascii="Times New Roman" w:hAnsi="Times New Roman"/>
          <w:b/>
          <w:bCs/>
          <w:color w:val="auto"/>
          <w:highlight w:val="none"/>
        </w:rPr>
      </w:pPr>
      <w:r>
        <w:rPr>
          <w:rFonts w:ascii="Times New Roman" w:hAnsi="Times New Roman"/>
          <w:b/>
          <w:bCs/>
          <w:color w:val="auto"/>
          <w:highlight w:val="none"/>
        </w:rPr>
        <w:t xml:space="preserve">1.</w:t>
      </w:r>
      <w:r>
        <w:rPr>
          <w:rFonts w:hint="eastAsia" w:ascii="Times New Roman" w:hAnsi="Times New Roman"/>
          <w:b/>
          <w:bCs/>
          <w:color w:val="auto"/>
          <w:highlight w:val="none"/>
        </w:rPr>
        <w:t xml:space="preserve">投标人</w:t>
      </w:r>
      <w:r>
        <w:rPr>
          <w:rFonts w:ascii="Times New Roman" w:hAnsi="Times New Roman"/>
          <w:b/>
          <w:bCs/>
          <w:color w:val="auto"/>
          <w:highlight w:val="none"/>
        </w:rPr>
        <w:t xml:space="preserve">将</w:t>
      </w:r>
      <w:r>
        <w:rPr>
          <w:rFonts w:hint="eastAsia"/>
          <w:b/>
          <w:color w:val="auto"/>
          <w:szCs w:val="21"/>
          <w:highlight w:val="none"/>
        </w:rPr>
        <w:t xml:space="preserve">投标</w:t>
      </w:r>
      <w:r>
        <w:rPr>
          <w:rFonts w:ascii="Times New Roman" w:hAnsi="Times New Roman"/>
          <w:b/>
          <w:bCs/>
          <w:color w:val="auto"/>
          <w:highlight w:val="none"/>
        </w:rPr>
        <w:t xml:space="preserve">保证金缴纳凭证复印件附在此处。</w:t>
      </w:r>
      <w:r/>
    </w:p>
    <w:p>
      <w:pPr>
        <w:spacing w:line="360" w:lineRule="exact"/>
        <w:rPr>
          <w:b/>
          <w:bCs/>
          <w:color w:val="auto"/>
          <w:szCs w:val="18"/>
          <w:highlight w:val="none"/>
        </w:rPr>
      </w:pPr>
      <w:r>
        <w:rPr>
          <w:b/>
          <w:bCs/>
          <w:color w:val="auto"/>
          <w:szCs w:val="18"/>
          <w:highlight w:val="none"/>
        </w:rPr>
        <w:t xml:space="preserve">2.此附件</w:t>
      </w:r>
      <w:r>
        <w:rPr>
          <w:rFonts w:hint="eastAsia"/>
          <w:b/>
          <w:bCs/>
          <w:color w:val="auto"/>
          <w:szCs w:val="18"/>
          <w:highlight w:val="none"/>
        </w:rPr>
        <w:t xml:space="preserve">应</w:t>
      </w:r>
      <w:r>
        <w:rPr>
          <w:b/>
          <w:bCs/>
          <w:color w:val="auto"/>
          <w:szCs w:val="18"/>
          <w:highlight w:val="none"/>
        </w:rPr>
        <w:t xml:space="preserve">在</w:t>
      </w:r>
      <w:r>
        <w:rPr>
          <w:rFonts w:hint="eastAsia"/>
          <w:b/>
          <w:bCs/>
          <w:color w:val="auto"/>
          <w:szCs w:val="18"/>
          <w:highlight w:val="none"/>
        </w:rPr>
        <w:t xml:space="preserve">投标</w:t>
      </w:r>
      <w:r>
        <w:rPr>
          <w:b/>
          <w:bCs/>
          <w:color w:val="auto"/>
          <w:szCs w:val="18"/>
          <w:highlight w:val="none"/>
        </w:rPr>
        <w:t xml:space="preserve">文件中提供外，以便采购代理机构能及时退款及收取</w:t>
      </w:r>
      <w:r>
        <w:rPr>
          <w:rFonts w:hint="eastAsia"/>
          <w:b/>
          <w:bCs/>
          <w:color w:val="auto"/>
          <w:szCs w:val="18"/>
          <w:highlight w:val="none"/>
        </w:rPr>
        <w:t xml:space="preserve">中标</w:t>
      </w:r>
      <w:r>
        <w:rPr>
          <w:b/>
          <w:bCs/>
          <w:color w:val="auto"/>
          <w:szCs w:val="18"/>
          <w:highlight w:val="none"/>
        </w:rPr>
        <w:t xml:space="preserve">服务费，以上要求均为及时办理退还保证金所需，如未提交，不构成</w:t>
      </w:r>
      <w:r>
        <w:rPr>
          <w:rFonts w:hint="eastAsia"/>
          <w:b/>
          <w:bCs/>
          <w:color w:val="auto"/>
          <w:szCs w:val="18"/>
          <w:highlight w:val="none"/>
        </w:rPr>
        <w:t xml:space="preserve">投标</w:t>
      </w:r>
      <w:r>
        <w:rPr>
          <w:b/>
          <w:bCs/>
          <w:color w:val="auto"/>
          <w:szCs w:val="18"/>
          <w:highlight w:val="none"/>
        </w:rPr>
        <w:t xml:space="preserve">文件的偏离。</w:t>
      </w:r>
      <w:r/>
    </w:p>
    <w:p>
      <w:pPr>
        <w:pStyle w:val="916"/>
        <w:rPr>
          <w:rFonts w:ascii="Microsoft New Tai Lue" w:hAnsi="Microsoft New Tai Lue" w:cs="Microsoft New Tai Lue"/>
          <w:color w:val="auto"/>
          <w:sz w:val="24"/>
          <w:szCs w:val="24"/>
          <w:highlight w:val="none"/>
        </w:rPr>
      </w:pPr>
      <w:r>
        <w:rPr>
          <w:rFonts w:ascii="Microsoft New Tai Lue" w:hAnsi="Microsoft New Tai Lue" w:cs="Microsoft New Tai Lue"/>
          <w:color w:val="auto"/>
          <w:highlight w:val="none"/>
        </w:rPr>
        <w:br w:type="page" w:clear="all"/>
      </w:r>
      <w:bookmarkStart w:id="435" w:name="_Toc103848597"/>
      <w:r/>
      <w:bookmarkStart w:id="436" w:name="_Toc104560913"/>
      <w:r/>
      <w:bookmarkStart w:id="437" w:name="_Toc102117332"/>
      <w:r/>
      <w:bookmarkStart w:id="438" w:name="_Toc107246294"/>
      <w:r>
        <w:rPr>
          <w:rFonts w:ascii="Microsoft New Tai Lue" w:hAnsi="Microsoft New Tai Lue" w:cs="Microsoft New Tai Lue"/>
          <w:color w:val="auto"/>
          <w:sz w:val="24"/>
          <w:szCs w:val="24"/>
          <w:highlight w:val="none"/>
        </w:rPr>
        <w:t xml:space="preserve">（10）联合体协议书</w:t>
      </w:r>
      <w:bookmarkEnd w:id="435"/>
      <w:r/>
      <w:bookmarkEnd w:id="436"/>
      <w:r/>
      <w:bookmarkEnd w:id="437"/>
      <w:r/>
      <w:bookmarkEnd w:id="438"/>
      <w:r>
        <w:rPr>
          <w:rFonts w:hint="eastAsia" w:ascii="Microsoft New Tai Lue" w:hAnsi="Microsoft New Tai Lue" w:cs="Microsoft New Tai Lue"/>
          <w:color w:val="auto"/>
          <w:sz w:val="24"/>
          <w:szCs w:val="24"/>
          <w:highlight w:val="none"/>
        </w:rPr>
        <w:t xml:space="preserve">（本项目不适用）</w:t>
      </w:r>
      <w:r/>
    </w:p>
    <w:p>
      <w:pPr>
        <w:ind w:firstLine="420"/>
        <w:spacing w:line="276" w:lineRule="auto"/>
        <w:rPr>
          <w:rFonts w:hint="eastAsia" w:ascii="宋体" w:hAnsi="宋体"/>
          <w:bCs/>
          <w:color w:val="auto"/>
          <w:szCs w:val="21"/>
          <w:highlight w:val="none"/>
        </w:rPr>
      </w:pPr>
      <w:r>
        <w:rPr>
          <w:rFonts w:ascii="宋体" w:hAnsi="宋体"/>
          <w:bCs/>
          <w:color w:val="auto"/>
          <w:szCs w:val="21"/>
          <w:highlight w:val="none"/>
        </w:rPr>
        <w:t xml:space="preserve">______ 、 _____ 及 _____就“________（项目名称）</w:t>
      </w:r>
      <w:r>
        <w:rPr>
          <w:rFonts w:ascii="宋体" w:hAnsi="宋体"/>
          <w:color w:val="auto"/>
          <w:szCs w:val="21"/>
          <w:highlight w:val="none"/>
        </w:rPr>
        <w:t xml:space="preserve">”____包</w:t>
      </w:r>
      <w:r>
        <w:rPr>
          <w:rFonts w:ascii="宋体" w:hAnsi="宋体"/>
          <w:bCs/>
          <w:color w:val="auto"/>
          <w:szCs w:val="21"/>
          <w:highlight w:val="none"/>
        </w:rPr>
        <w:t xml:space="preserve">招标项目的投标事宜，经各方充分协商一致，达成如下协议：</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一</w:t>
      </w:r>
      <w:r>
        <w:rPr>
          <w:rFonts w:ascii="宋体" w:hAnsi="宋体"/>
          <w:bCs/>
          <w:color w:val="auto"/>
          <w:szCs w:val="21"/>
          <w:highlight w:val="none"/>
        </w:rPr>
        <w:t xml:space="preserve">、由_________牵头，_________、__________参加，组成联合体共同进行招标项目的投标工作。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二</w:t>
      </w:r>
      <w:r>
        <w:rPr>
          <w:rFonts w:ascii="宋体" w:hAnsi="宋体"/>
          <w:bCs/>
          <w:color w:val="auto"/>
          <w:szCs w:val="21"/>
          <w:highlight w:val="none"/>
        </w:rPr>
        <w:t xml:space="preserve">、______为本次投标的牵头人，联合体以牵头人的名义参加投标，联合体中标后，联合体各方共同与采购人签订合同，就</w:t>
      </w:r>
      <w:r>
        <w:rPr>
          <w:rFonts w:hint="eastAsia" w:ascii="宋体" w:hAnsi="宋体"/>
          <w:bCs/>
          <w:color w:val="auto"/>
          <w:szCs w:val="21"/>
          <w:highlight w:val="none"/>
        </w:rPr>
        <w:t xml:space="preserve">采购合同约定的事项</w:t>
      </w:r>
      <w:r>
        <w:rPr>
          <w:rFonts w:ascii="宋体" w:hAnsi="宋体"/>
          <w:bCs/>
          <w:color w:val="auto"/>
          <w:szCs w:val="21"/>
          <w:highlight w:val="none"/>
        </w:rPr>
        <w:t xml:space="preserve">对采购人承担连带责任。</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三</w:t>
      </w:r>
      <w:r>
        <w:rPr>
          <w:rFonts w:ascii="宋体" w:hAnsi="宋体"/>
          <w:bCs/>
          <w:color w:val="auto"/>
          <w:szCs w:val="21"/>
          <w:highlight w:val="none"/>
        </w:rPr>
        <w:t xml:space="preserve">、联合体各方均同意由牵头人代表其他联合体成员单位按招标文件要求出具《授权委托书》。</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四</w:t>
      </w:r>
      <w:r>
        <w:rPr>
          <w:rFonts w:ascii="宋体" w:hAnsi="宋体"/>
          <w:bCs/>
          <w:color w:val="auto"/>
          <w:szCs w:val="21"/>
          <w:highlight w:val="none"/>
        </w:rPr>
        <w:t xml:space="preserve">、牵头人为项目的总负责单位；组织各参加方进行项目实施工作。</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五</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六</w:t>
      </w:r>
      <w:r>
        <w:rPr>
          <w:rFonts w:ascii="宋体" w:hAnsi="宋体"/>
          <w:bCs/>
          <w:color w:val="auto"/>
          <w:szCs w:val="21"/>
          <w:highlight w:val="none"/>
        </w:rPr>
        <w:t xml:space="preserve">、______负责_____，具体工作范围、内容以投标文件及合同为准。</w:t>
      </w:r>
      <w:r/>
    </w:p>
    <w:p>
      <w:pPr>
        <w:ind w:firstLine="420"/>
        <w:spacing w:line="276" w:lineRule="auto"/>
        <w:tabs>
          <w:tab w:val="left" w:pos="780" w:leader="none"/>
        </w:tabs>
        <w:rPr>
          <w:rFonts w:hint="eastAsia" w:ascii="宋体" w:hAnsi="宋体"/>
          <w:bCs/>
          <w:color w:val="auto"/>
          <w:szCs w:val="21"/>
          <w:highlight w:val="none"/>
        </w:rPr>
      </w:pPr>
      <w:r>
        <w:rPr>
          <w:rFonts w:hint="eastAsia" w:ascii="宋体" w:hAnsi="宋体"/>
          <w:bCs/>
          <w:color w:val="auto"/>
          <w:szCs w:val="21"/>
          <w:highlight w:val="none"/>
        </w:rPr>
        <w:t xml:space="preserve">七</w:t>
      </w:r>
      <w:r>
        <w:rPr>
          <w:rFonts w:ascii="宋体" w:hAnsi="宋体"/>
          <w:bCs/>
          <w:color w:val="auto"/>
          <w:szCs w:val="21"/>
          <w:highlight w:val="none"/>
        </w:rPr>
        <w:t xml:space="preserve">、______负责_____（如有），具体工作范围、内容以投标文件及合同为准。</w:t>
      </w:r>
      <w:r/>
    </w:p>
    <w:p>
      <w:pPr>
        <w:ind w:firstLine="420"/>
        <w:spacing w:line="276" w:lineRule="auto"/>
        <w:tabs>
          <w:tab w:val="left" w:pos="780" w:leader="none"/>
        </w:tabs>
        <w:rPr>
          <w:rFonts w:hint="eastAsia" w:ascii="宋体" w:hAnsi="宋体"/>
          <w:color w:val="auto"/>
          <w:szCs w:val="21"/>
          <w:highlight w:val="none"/>
        </w:rPr>
      </w:pPr>
      <w:r>
        <w:rPr>
          <w:rFonts w:hint="eastAsia" w:ascii="宋体" w:hAnsi="宋体"/>
          <w:color w:val="auto"/>
          <w:szCs w:val="21"/>
          <w:highlight w:val="none"/>
        </w:rPr>
        <w:t xml:space="preserve">八</w:t>
      </w:r>
      <w:r>
        <w:rPr>
          <w:rFonts w:ascii="宋体" w:hAnsi="宋体"/>
          <w:color w:val="auto"/>
          <w:szCs w:val="21"/>
          <w:highlight w:val="none"/>
        </w:rPr>
        <w:t xml:space="preserve">、本项目联合协议合同总额为________元，联合体各成员按照如下比例分摊（按联合体成员分别列明）：</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（1）</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（2）</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20" w:leader="none"/>
          <w:tab w:val="left" w:pos="900" w:leader="none"/>
        </w:tabs>
        <w:rPr>
          <w:rFonts w:hint="eastAsia" w:ascii="宋体" w:hAnsi="宋体"/>
          <w:color w:val="auto"/>
          <w:szCs w:val="21"/>
          <w:highlight w:val="none"/>
        </w:rPr>
      </w:pPr>
      <w:r>
        <w:rPr>
          <w:rFonts w:ascii="宋体" w:hAnsi="宋体"/>
          <w:color w:val="auto"/>
          <w:szCs w:val="21"/>
          <w:highlight w:val="none"/>
        </w:rPr>
        <w:t xml:space="preserve">（…）</w:t>
      </w:r>
      <w:r>
        <w:rPr>
          <w:rFonts w:ascii="宋体" w:hAnsi="宋体"/>
          <w:bCs/>
          <w:color w:val="auto"/>
          <w:szCs w:val="21"/>
          <w:highlight w:val="none"/>
        </w:rPr>
        <w:t xml:space="preserve">______</w:t>
      </w:r>
      <w:r>
        <w:rPr>
          <w:rFonts w:ascii="宋体" w:hAnsi="宋体"/>
          <w:color w:val="auto"/>
          <w:szCs w:val="21"/>
          <w:highlight w:val="none"/>
        </w:rPr>
        <w:t xml:space="preserve">为□大型企业□中型企业、□小微企业（包含监狱企业、残疾人福利性单位）、□其他，合同金额为_____元。</w:t>
      </w:r>
      <w:r/>
    </w:p>
    <w:p>
      <w:pPr>
        <w:ind w:firstLine="420"/>
        <w:spacing w:line="276" w:lineRule="auto"/>
        <w:tabs>
          <w:tab w:val="left" w:pos="780" w:leader="none"/>
          <w:tab w:val="left" w:pos="993" w:leader="none"/>
        </w:tabs>
        <w:rPr>
          <w:rFonts w:hint="eastAsia" w:ascii="宋体" w:hAnsi="宋体"/>
          <w:bCs/>
          <w:color w:val="auto"/>
          <w:szCs w:val="21"/>
          <w:highlight w:val="none"/>
        </w:rPr>
      </w:pPr>
      <w:r>
        <w:rPr>
          <w:rFonts w:hint="eastAsia" w:ascii="宋体" w:hAnsi="宋体"/>
          <w:bCs/>
          <w:color w:val="auto"/>
          <w:szCs w:val="21"/>
          <w:highlight w:val="none"/>
        </w:rPr>
        <w:t xml:space="preserve">以联合体形式参加政府采购活动的，联合体各方不得再单独参加或者与其他供应商另外组成联合体参加同一合同项下的政府采购活动</w:t>
      </w:r>
      <w:r>
        <w:rPr>
          <w:rFonts w:ascii="宋体" w:hAnsi="宋体"/>
          <w:bCs/>
          <w:color w:val="auto"/>
          <w:szCs w:val="21"/>
          <w:highlight w:val="none"/>
        </w:rPr>
        <w:t xml:space="preserve">。</w:t>
      </w:r>
      <w:r/>
    </w:p>
    <w:p>
      <w:pPr>
        <w:ind w:firstLine="420"/>
        <w:spacing w:line="276" w:lineRule="auto"/>
        <w:tabs>
          <w:tab w:val="left" w:pos="780" w:leader="none"/>
        </w:tabs>
        <w:rPr>
          <w:rFonts w:hint="eastAsia" w:ascii="宋体" w:hAnsi="宋体"/>
          <w:bCs/>
          <w:color w:val="auto"/>
          <w:szCs w:val="21"/>
          <w:highlight w:val="none"/>
        </w:rPr>
      </w:pPr>
      <w:r>
        <w:rPr>
          <w:rFonts w:ascii="宋体" w:hAnsi="宋体"/>
          <w:bCs/>
          <w:color w:val="auto"/>
          <w:szCs w:val="21"/>
          <w:highlight w:val="none"/>
        </w:rPr>
        <w:t xml:space="preserve">其他约定（如有）：_______</w:t>
      </w:r>
      <w:r>
        <w:rPr>
          <w:rFonts w:hint="eastAsia" w:ascii="宋体" w:hAnsi="宋体"/>
          <w:bCs/>
          <w:color w:val="auto"/>
          <w:szCs w:val="21"/>
          <w:highlight w:val="none"/>
        </w:rPr>
        <w:t xml:space="preserve">。</w:t>
      </w:r>
      <w:r/>
    </w:p>
    <w:p>
      <w:pPr>
        <w:pStyle w:val="891"/>
        <w:ind w:right="694" w:firstLine="420"/>
        <w:spacing w:before="71" w:line="276" w:lineRule="auto"/>
        <w:rPr>
          <w:rFonts w:hint="eastAsia" w:ascii="宋体" w:hAnsi="宋体" w:cs="Microsoft New Tai Lue"/>
          <w:color w:val="auto"/>
          <w:szCs w:val="21"/>
          <w:highlight w:val="none"/>
        </w:rPr>
      </w:pPr>
      <w:r>
        <w:rPr>
          <w:rFonts w:ascii="宋体" w:hAnsi="宋体"/>
          <w:bCs/>
          <w:color w:val="auto"/>
          <w:szCs w:val="21"/>
          <w:highlight w:val="none"/>
        </w:rPr>
        <w:t xml:space="preserve">本协议自各方盖章后生效，</w:t>
      </w:r>
      <w:r>
        <w:rPr>
          <w:rFonts w:hint="eastAsia" w:ascii="宋体" w:hAnsi="宋体"/>
          <w:bCs/>
          <w:color w:val="auto"/>
          <w:szCs w:val="21"/>
          <w:highlight w:val="none"/>
        </w:rPr>
        <w:t xml:space="preserve">采购合同履行完毕后自动失效。</w:t>
      </w:r>
      <w:r>
        <w:rPr>
          <w:rFonts w:ascii="宋体" w:hAnsi="宋体"/>
          <w:bCs/>
          <w:color w:val="auto"/>
          <w:szCs w:val="21"/>
          <w:highlight w:val="none"/>
        </w:rPr>
        <w:t xml:space="preserve">如未中标，本协议自动终止。</w:t>
      </w:r>
      <w:r/>
    </w:p>
    <w:p>
      <w:pPr>
        <w:pStyle w:val="891"/>
        <w:ind w:right="692" w:firstLine="420"/>
        <w:spacing w:before="71" w:line="276"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注：本协议书由法定代表人（单位负责人）签字的，应附法定代表人（单位负责人）身份证明；由委托代理人签字的，应同时附法定代表人（单位负责人）授权书。</w:t>
      </w:r>
      <w:r/>
    </w:p>
    <w:p>
      <w:pPr>
        <w:pStyle w:val="891"/>
        <w:spacing w:before="7"/>
        <w:rPr>
          <w:rFonts w:ascii="Microsoft New Tai Lue" w:hAnsi="Microsoft New Tai Lue" w:cs="Microsoft New Tai Lue"/>
          <w:color w:val="auto"/>
          <w:sz w:val="14"/>
          <w:highlight w:val="none"/>
        </w:rPr>
      </w:pPr>
      <w:r>
        <w:rPr>
          <w:rFonts w:ascii="Microsoft New Tai Lue" w:hAnsi="Microsoft New Tai Lue" w:cs="Microsoft New Tai Lue"/>
          <w:color w:val="auto"/>
          <w:sz w:val="14"/>
          <w:highlight w:val="none"/>
        </w:rPr>
      </w:r>
      <w:r/>
    </w:p>
    <w:p>
      <w:pPr>
        <w:pStyle w:val="891"/>
        <w:ind w:left="2810"/>
        <w:spacing w:before="1"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牵</w:t>
      </w:r>
      <w:r>
        <w:rPr>
          <w:rFonts w:ascii="Microsoft New Tai Lue" w:hAnsi="Microsoft New Tai Lue" w:cs="Microsoft New Tai Lue"/>
          <w:color w:val="auto"/>
          <w:spacing w:val="-3"/>
          <w:highlight w:val="none"/>
        </w:rPr>
        <w:t xml:space="preserve">头</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名</w:t>
      </w:r>
      <w:r>
        <w:rPr>
          <w:rFonts w:ascii="Microsoft New Tai Lue" w:hAnsi="Microsoft New Tai Lue" w:cs="Microsoft New Tai Lue"/>
          <w:color w:val="auto"/>
          <w:highlight w:val="none"/>
        </w:rPr>
        <w:t xml:space="preserve">称</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891"/>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891"/>
        <w:spacing w:before="8" w:line="240" w:lineRule="exact"/>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pStyle w:val="891"/>
        <w:ind w:left="2810"/>
        <w:spacing w:before="79"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联合</w:t>
      </w:r>
      <w:r>
        <w:rPr>
          <w:rFonts w:ascii="Microsoft New Tai Lue" w:hAnsi="Microsoft New Tai Lue" w:cs="Microsoft New Tai Lue"/>
          <w:color w:val="auto"/>
          <w:spacing w:val="-3"/>
          <w:highlight w:val="none"/>
        </w:rPr>
        <w:t xml:space="preserve">体</w:t>
      </w:r>
      <w:r>
        <w:rPr>
          <w:rFonts w:ascii="Microsoft New Tai Lue" w:hAnsi="Microsoft New Tai Lue" w:cs="Microsoft New Tai Lue"/>
          <w:color w:val="auto"/>
          <w:highlight w:val="none"/>
        </w:rPr>
        <w:t xml:space="preserve">成</w:t>
      </w:r>
      <w:r>
        <w:rPr>
          <w:rFonts w:ascii="Microsoft New Tai Lue" w:hAnsi="Microsoft New Tai Lue" w:cs="Microsoft New Tai Lue"/>
          <w:color w:val="auto"/>
          <w:spacing w:val="-3"/>
          <w:highlight w:val="none"/>
        </w:rPr>
        <w:t xml:space="preserve">员</w:t>
      </w:r>
      <w:r>
        <w:rPr>
          <w:rFonts w:ascii="Microsoft New Tai Lue" w:hAnsi="Microsoft New Tai Lue" w:cs="Microsoft New Tai Lue"/>
          <w:color w:val="auto"/>
          <w:highlight w:val="none"/>
        </w:rPr>
        <w:t xml:space="preserve">名</w:t>
      </w:r>
      <w:r>
        <w:rPr>
          <w:rFonts w:ascii="Microsoft New Tai Lue" w:hAnsi="Microsoft New Tai Lue" w:cs="Microsoft New Tai Lue"/>
          <w:color w:val="auto"/>
          <w:spacing w:val="-3"/>
          <w:highlight w:val="none"/>
        </w:rPr>
        <w:t xml:space="preserve">称</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highlight w:val="none"/>
          <w:u w:val="single"/>
        </w:rPr>
        <w:t xml:space="preserve"> </w:t>
      </w:r>
      <w:r>
        <w:rPr>
          <w:rFonts w:ascii="Microsoft New Tai Lue" w:hAnsi="Microsoft New Tai Lue" w:cs="Microsoft New Tai Lue"/>
          <w:color w:val="auto"/>
          <w:highlight w:val="none"/>
          <w:u w:val="single"/>
        </w:rPr>
        <w:tab/>
      </w:r>
      <w:r>
        <w:rPr>
          <w:rFonts w:ascii="Microsoft New Tai Lue" w:hAnsi="Microsoft New Tai Lue" w:cs="Microsoft New Tai Lue"/>
          <w:color w:val="auto"/>
          <w:highlight w:val="none"/>
        </w:rPr>
        <w:t xml:space="preserve">（公</w:t>
      </w:r>
      <w:r>
        <w:rPr>
          <w:rFonts w:ascii="Microsoft New Tai Lue" w:hAnsi="Microsoft New Tai Lue" w:cs="Microsoft New Tai Lue"/>
          <w:color w:val="auto"/>
          <w:spacing w:val="-3"/>
          <w:highlight w:val="none"/>
        </w:rPr>
        <w:t xml:space="preserve">章</w:t>
      </w:r>
      <w:r>
        <w:rPr>
          <w:rFonts w:ascii="Microsoft New Tai Lue" w:hAnsi="Microsoft New Tai Lue" w:cs="Microsoft New Tai Lue"/>
          <w:color w:val="auto"/>
          <w:highlight w:val="none"/>
        </w:rPr>
        <w:t xml:space="preserve">）</w:t>
      </w:r>
      <w:r/>
    </w:p>
    <w:p>
      <w:pPr>
        <w:pStyle w:val="891"/>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法定</w:t>
      </w:r>
      <w:r>
        <w:rPr>
          <w:rFonts w:ascii="Microsoft New Tai Lue" w:hAnsi="Microsoft New Tai Lue" w:cs="Microsoft New Tai Lue"/>
          <w:color w:val="auto"/>
          <w:spacing w:val="-3"/>
          <w:highlight w:val="none"/>
        </w:rPr>
        <w:t xml:space="preserve">代</w:t>
      </w:r>
      <w:r>
        <w:rPr>
          <w:rFonts w:ascii="Microsoft New Tai Lue" w:hAnsi="Microsoft New Tai Lue" w:cs="Microsoft New Tai Lue"/>
          <w:color w:val="auto"/>
          <w:highlight w:val="none"/>
        </w:rPr>
        <w:t xml:space="preserve">表</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w:t>
      </w:r>
      <w:r>
        <w:rPr>
          <w:rFonts w:ascii="Microsoft New Tai Lue" w:hAnsi="Microsoft New Tai Lue" w:cs="Microsoft New Tai Lue"/>
          <w:color w:val="auto"/>
          <w:spacing w:val="-3"/>
          <w:highlight w:val="none"/>
        </w:rPr>
        <w:t xml:space="preserve">单</w:t>
      </w:r>
      <w:r>
        <w:rPr>
          <w:rFonts w:ascii="Microsoft New Tai Lue" w:hAnsi="Microsoft New Tai Lue" w:cs="Microsoft New Tai Lue"/>
          <w:color w:val="auto"/>
          <w:highlight w:val="none"/>
        </w:rPr>
        <w:t xml:space="preserve">位</w:t>
      </w:r>
      <w:r>
        <w:rPr>
          <w:rFonts w:ascii="Microsoft New Tai Lue" w:hAnsi="Microsoft New Tai Lue" w:cs="Microsoft New Tai Lue"/>
          <w:color w:val="auto"/>
          <w:spacing w:val="-3"/>
          <w:highlight w:val="none"/>
        </w:rPr>
        <w:t xml:space="preserve">负</w:t>
      </w:r>
      <w:r>
        <w:rPr>
          <w:rFonts w:ascii="Microsoft New Tai Lue" w:hAnsi="Microsoft New Tai Lue" w:cs="Microsoft New Tai Lue"/>
          <w:color w:val="auto"/>
          <w:highlight w:val="none"/>
        </w:rPr>
        <w:t xml:space="preserve">责</w:t>
      </w:r>
      <w:r>
        <w:rPr>
          <w:rFonts w:ascii="Microsoft New Tai Lue" w:hAnsi="Microsoft New Tai Lue" w:cs="Microsoft New Tai Lue"/>
          <w:color w:val="auto"/>
          <w:spacing w:val="-3"/>
          <w:highlight w:val="none"/>
        </w:rPr>
        <w:t xml:space="preserve">人</w:t>
      </w:r>
      <w:r>
        <w:rPr>
          <w:rFonts w:ascii="Microsoft New Tai Lue" w:hAnsi="Microsoft New Tai Lue" w:cs="Microsoft New Tai Lue"/>
          <w:color w:val="auto"/>
          <w:highlight w:val="none"/>
        </w:rPr>
        <w:t xml:space="preserve">）或</w:t>
      </w:r>
      <w:r>
        <w:rPr>
          <w:rFonts w:ascii="Microsoft New Tai Lue" w:hAnsi="Microsoft New Tai Lue" w:cs="Microsoft New Tai Lue"/>
          <w:color w:val="auto"/>
          <w:spacing w:val="-3"/>
          <w:highlight w:val="none"/>
        </w:rPr>
        <w:t xml:space="preserve">其</w:t>
      </w:r>
      <w:r>
        <w:rPr>
          <w:rFonts w:ascii="Microsoft New Tai Lue" w:hAnsi="Microsoft New Tai Lue" w:cs="Microsoft New Tai Lue"/>
          <w:color w:val="auto"/>
          <w:highlight w:val="none"/>
        </w:rPr>
        <w:t xml:space="preserve">委</w:t>
      </w:r>
      <w:r>
        <w:rPr>
          <w:rFonts w:ascii="Microsoft New Tai Lue" w:hAnsi="Microsoft New Tai Lue" w:cs="Microsoft New Tai Lue"/>
          <w:color w:val="auto"/>
          <w:spacing w:val="-3"/>
          <w:highlight w:val="none"/>
        </w:rPr>
        <w:t xml:space="preserve">托</w:t>
      </w:r>
      <w:r>
        <w:rPr>
          <w:rFonts w:ascii="Microsoft New Tai Lue" w:hAnsi="Microsoft New Tai Lue" w:cs="Microsoft New Tai Lue"/>
          <w:color w:val="auto"/>
          <w:highlight w:val="none"/>
        </w:rPr>
        <w:t xml:space="preserve">代</w:t>
      </w:r>
      <w:r>
        <w:rPr>
          <w:rFonts w:ascii="Microsoft New Tai Lue" w:hAnsi="Microsoft New Tai Lue" w:cs="Microsoft New Tai Lue"/>
          <w:color w:val="auto"/>
          <w:spacing w:val="-3"/>
          <w:highlight w:val="none"/>
        </w:rPr>
        <w:t xml:space="preserve">理</w:t>
      </w:r>
      <w:r>
        <w:rPr>
          <w:rFonts w:ascii="Microsoft New Tai Lue" w:hAnsi="Microsoft New Tai Lue" w:cs="Microsoft New Tai Lue"/>
          <w:color w:val="auto"/>
          <w:highlight w:val="none"/>
        </w:rPr>
        <w:t xml:space="preserve">人</w:t>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spacing w:val="-3"/>
          <w:highlight w:val="none"/>
          <w:u w:val="single"/>
        </w:rPr>
        <w:t xml:space="preserve"> </w:t>
      </w:r>
      <w:r>
        <w:rPr>
          <w:rFonts w:ascii="Microsoft New Tai Lue" w:hAnsi="Microsoft New Tai Lue" w:cs="Microsoft New Tai Lue"/>
          <w:color w:val="auto"/>
          <w:spacing w:val="-3"/>
          <w:highlight w:val="none"/>
          <w:u w:val="single"/>
        </w:rPr>
        <w:tab/>
      </w:r>
      <w:r>
        <w:rPr>
          <w:rFonts w:ascii="Microsoft New Tai Lue" w:hAnsi="Microsoft New Tai Lue" w:cs="Microsoft New Tai Lue"/>
          <w:color w:val="auto"/>
          <w:spacing w:val="-3"/>
          <w:highlight w:val="none"/>
        </w:rPr>
        <w:t xml:space="preserve">（</w:t>
      </w:r>
      <w:r>
        <w:rPr>
          <w:rFonts w:ascii="Microsoft New Tai Lue" w:hAnsi="Microsoft New Tai Lue" w:cs="Microsoft New Tai Lue"/>
          <w:color w:val="auto"/>
          <w:highlight w:val="none"/>
        </w:rPr>
        <w:t xml:space="preserve">签</w:t>
      </w:r>
      <w:r>
        <w:rPr>
          <w:rFonts w:ascii="Microsoft New Tai Lue" w:hAnsi="Microsoft New Tai Lue" w:cs="Microsoft New Tai Lue"/>
          <w:color w:val="auto"/>
          <w:spacing w:val="-3"/>
          <w:highlight w:val="none"/>
        </w:rPr>
        <w:t xml:space="preserve">字</w:t>
      </w:r>
      <w:r>
        <w:rPr>
          <w:rFonts w:ascii="Microsoft New Tai Lue" w:hAnsi="Microsoft New Tai Lue" w:cs="Microsoft New Tai Lue"/>
          <w:color w:val="auto"/>
          <w:highlight w:val="none"/>
        </w:rPr>
        <w:t xml:space="preserve">）</w:t>
      </w:r>
      <w:r/>
    </w:p>
    <w:p>
      <w:pPr>
        <w:pStyle w:val="891"/>
        <w:ind w:left="2810"/>
        <w:spacing w:before="170" w:line="240" w:lineRule="exact"/>
        <w:tabs>
          <w:tab w:val="left" w:pos="7545" w:leader="none"/>
        </w:tabs>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w:t>
      </w:r>
      <w:r/>
    </w:p>
    <w:p>
      <w:pPr>
        <w:ind w:firstLine="4410"/>
        <w:jc w:val="left"/>
        <w:spacing w:line="240" w:lineRule="exact"/>
        <w:rPr>
          <w:rFonts w:ascii="Microsoft New Tai Lue" w:hAnsi="Microsoft New Tai Lue" w:cs="Microsoft New Tai Lue"/>
          <w:bCs/>
          <w:color w:val="auto"/>
          <w:highlight w:val="none"/>
        </w:rPr>
      </w:pP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93"/>
        <w:ind w:left="0"/>
        <w:jc w:val="center"/>
        <w:rPr>
          <w:rFonts w:hint="eastAsia" w:ascii="仿宋_GB2312" w:hAnsi="仿宋" w:eastAsia="仿宋_GB2312" w:cs="仿宋_GB2312"/>
          <w:b w:val="0"/>
          <w:color w:val="auto"/>
          <w:highlight w:val="none"/>
        </w:rPr>
      </w:pPr>
      <w:r>
        <w:rPr>
          <w:color w:val="auto"/>
          <w:highlight w:val="none"/>
        </w:rPr>
        <w:br w:type="page" w:clear="all"/>
      </w:r>
      <w:bookmarkStart w:id="439" w:name="_Toc107246295"/>
      <w:r/>
      <w:bookmarkStart w:id="440" w:name="_Toc104560914"/>
      <w:r/>
      <w:bookmarkStart w:id="441" w:name="_Toc96347919"/>
      <w:r/>
      <w:bookmarkStart w:id="442" w:name="_Toc103848598"/>
      <w:r/>
      <w:bookmarkStart w:id="443" w:name="_Toc102117330"/>
      <w:r>
        <w:rPr>
          <w:rFonts w:hint="eastAsia" w:hAnsi="宋体" w:cs="Microsoft New Tai Lue"/>
          <w:color w:val="auto"/>
          <w:szCs w:val="24"/>
          <w:highlight w:val="none"/>
        </w:rPr>
        <w:t xml:space="preserve">（</w:t>
      </w:r>
      <w:r>
        <w:rPr>
          <w:rFonts w:hAnsi="宋体" w:cs="Microsoft New Tai Lue"/>
          <w:color w:val="auto"/>
          <w:szCs w:val="24"/>
          <w:highlight w:val="none"/>
        </w:rPr>
        <w:t xml:space="preserve">11</w:t>
      </w:r>
      <w:r>
        <w:rPr>
          <w:rFonts w:hint="eastAsia" w:hAnsi="宋体" w:cs="Microsoft New Tai Lue"/>
          <w:color w:val="auto"/>
          <w:szCs w:val="24"/>
          <w:highlight w:val="none"/>
        </w:rPr>
        <w:t xml:space="preserve">）分包意向协议（本项目不适用）</w:t>
      </w:r>
      <w:bookmarkEnd w:id="439"/>
      <w:r/>
      <w:bookmarkEnd w:id="440"/>
      <w:r/>
      <w:bookmarkEnd w:id="441"/>
      <w:r/>
      <w:r/>
    </w:p>
    <w:p>
      <w:pPr>
        <w:ind w:firstLine="576"/>
        <w:spacing w:line="300" w:lineRule="auto"/>
        <w:rPr>
          <w:rFonts w:hint="eastAsia" w:ascii="宋体" w:hAnsi="宋体" w:cs="仿宋_GB2312"/>
          <w:color w:val="auto"/>
          <w:szCs w:val="21"/>
          <w:highlight w:val="none"/>
        </w:rPr>
      </w:pPr>
      <w:r>
        <w:rPr>
          <w:rFonts w:hint="eastAsia" w:ascii="宋体" w:hAnsi="宋体" w:cs="仿宋_GB2312"/>
          <w:color w:val="auto"/>
          <w:szCs w:val="21"/>
          <w:highlight w:val="none"/>
        </w:rPr>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若成为</w:t>
      </w:r>
      <w:r>
        <w:rPr>
          <w:rFonts w:hint="eastAsia" w:ascii="宋体" w:hAnsi="宋体" w:cs="仿宋_GB2312"/>
          <w:color w:val="auto"/>
          <w:szCs w:val="21"/>
          <w:highlight w:val="none"/>
          <w:u w:val="single"/>
          <w:lang w:val="zh-CN"/>
        </w:rPr>
        <w:t xml:space="preserve">    </w:t>
      </w:r>
      <w:r>
        <w:rPr>
          <w:rFonts w:hint="eastAsia" w:ascii="宋体" w:hAnsi="宋体" w:cs="仿宋_GB2312"/>
          <w:color w:val="auto"/>
          <w:szCs w:val="21"/>
          <w:highlight w:val="none"/>
          <w:u w:val="single"/>
        </w:rPr>
        <w:t xml:space="preserve">（项目名称）  </w:t>
      </w:r>
      <w:r>
        <w:rPr>
          <w:rFonts w:ascii="宋体" w:hAnsi="宋体" w:cs="仿宋_GB2312"/>
          <w:color w:val="auto"/>
          <w:szCs w:val="21"/>
          <w:highlight w:val="none"/>
          <w:u w:val="single"/>
        </w:rPr>
        <w:t xml:space="preserve"> </w:t>
      </w:r>
      <w:r>
        <w:rPr>
          <w:rFonts w:hint="eastAsia" w:ascii="宋体" w:hAnsi="宋体" w:cs="仿宋_GB2312"/>
          <w:color w:val="auto"/>
          <w:szCs w:val="21"/>
          <w:highlight w:val="none"/>
        </w:rPr>
        <w:t xml:space="preserve">（招标编号：</w:t>
      </w:r>
      <w:r>
        <w:rPr>
          <w:rFonts w:hint="eastAsia" w:ascii="宋体" w:hAnsi="宋体"/>
          <w:color w:val="auto"/>
          <w:szCs w:val="21"/>
          <w:highlight w:val="none"/>
          <w:u w:val="single"/>
        </w:rPr>
        <w:t xml:space="preserve">             </w:t>
      </w:r>
      <w:r>
        <w:rPr>
          <w:rFonts w:hint="eastAsia" w:ascii="宋体" w:hAnsi="宋体" w:cs="仿宋_GB2312"/>
          <w:color w:val="auto"/>
          <w:szCs w:val="21"/>
          <w:highlight w:val="none"/>
        </w:rPr>
        <w:t xml:space="preserve">）</w:t>
      </w:r>
      <w:r>
        <w:rPr>
          <w:rFonts w:hint="eastAsia" w:ascii="宋体" w:hAnsi="宋体" w:cs="仿宋_GB2312"/>
          <w:color w:val="auto"/>
          <w:szCs w:val="21"/>
          <w:highlight w:val="none"/>
          <w:lang w:val="zh-CN"/>
        </w:rPr>
        <w:t xml:space="preserve">的中标供应商，将依法采取分包方式履行合同。</w:t>
      </w: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rPr>
        <w:t xml:space="preserve">与</w:t>
      </w:r>
      <w:r>
        <w:rPr>
          <w:rFonts w:hint="eastAsia" w:ascii="宋体" w:hAnsi="宋体" w:cs="仿宋_GB2312"/>
          <w:color w:val="auto"/>
          <w:szCs w:val="21"/>
          <w:highlight w:val="none"/>
          <w:u w:val="single"/>
        </w:rPr>
        <w:t xml:space="preserve">（所有分包供应商名称）</w:t>
      </w:r>
      <w:r>
        <w:rPr>
          <w:rFonts w:hint="eastAsia" w:ascii="宋体" w:hAnsi="宋体" w:cs="仿宋_GB2312"/>
          <w:color w:val="auto"/>
          <w:szCs w:val="21"/>
          <w:highlight w:val="none"/>
        </w:rPr>
        <w:t xml:space="preserve">达成分包意向协议</w:t>
      </w:r>
      <w:r>
        <w:rPr>
          <w:rFonts w:hint="eastAsia" w:ascii="宋体" w:hAnsi="宋体" w:cs="仿宋_GB2312"/>
          <w:color w:val="auto"/>
          <w:szCs w:val="21"/>
          <w:highlight w:val="none"/>
          <w:lang w:val="zh-CN"/>
        </w:rPr>
        <w:t xml:space="preserve">。</w:t>
      </w:r>
      <w:r>
        <w:rPr>
          <w:rFonts w:ascii="宋体" w:hAnsi="宋体" w:cs="仿宋_GB2312"/>
          <w:color w:val="auto"/>
          <w:szCs w:val="21"/>
          <w:highlight w:val="none"/>
          <w:lang w:val="zh-CN"/>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一、分包标的及数量</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u w:val="single"/>
        </w:rPr>
        <w:t xml:space="preserve">（投标人名称）</w:t>
      </w:r>
      <w:r>
        <w:rPr>
          <w:rFonts w:hint="eastAsia" w:ascii="宋体" w:hAnsi="宋体" w:cs="仿宋_GB2312"/>
          <w:color w:val="auto"/>
          <w:szCs w:val="21"/>
          <w:highlight w:val="none"/>
          <w:lang w:val="zh-CN"/>
        </w:rPr>
        <w:t xml:space="preserve">将</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Arial"/>
          <w:color w:val="auto"/>
          <w:szCs w:val="21"/>
          <w:highlight w:val="none"/>
        </w:rPr>
        <w:t xml:space="preserve">分包给</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w:t>
      </w:r>
      <w:r>
        <w:rPr>
          <w:rFonts w:hint="eastAsia" w:ascii="宋体" w:hAnsi="宋体" w:cs="仿宋_GB2312"/>
          <w:color w:val="auto"/>
          <w:szCs w:val="21"/>
          <w:highlight w:val="none"/>
          <w:u w:val="single"/>
        </w:rPr>
        <w:t xml:space="preserve">（某分包供应商名称），</w:t>
      </w:r>
      <w:r>
        <w:rPr>
          <w:rFonts w:hint="eastAsia" w:ascii="宋体" w:hAnsi="宋体" w:cs="仿宋_GB2312"/>
          <w:color w:val="auto"/>
          <w:szCs w:val="21"/>
          <w:highlight w:val="none"/>
          <w:lang w:val="zh-CN"/>
        </w:rPr>
        <w:t xml:space="preserve">具备承</w:t>
      </w:r>
      <w:r>
        <w:rPr>
          <w:rFonts w:hint="eastAsia" w:ascii="宋体" w:hAnsi="宋体" w:cs="仿宋_GB2312"/>
          <w:color w:val="auto"/>
          <w:szCs w:val="21"/>
          <w:highlight w:val="none"/>
        </w:rPr>
        <w:t xml:space="preserve">担</w:t>
      </w:r>
      <w:r>
        <w:rPr>
          <w:rFonts w:ascii="宋体" w:hAnsi="宋体"/>
          <w:color w:val="auto"/>
          <w:szCs w:val="21"/>
          <w:highlight w:val="none"/>
          <w:u w:val="single"/>
        </w:rPr>
        <w:t xml:space="preserve">     </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工作内容</w:t>
      </w:r>
      <w:r>
        <w:rPr>
          <w:rFonts w:hint="eastAsia" w:ascii="宋体" w:hAnsi="宋体"/>
          <w:color w:val="auto"/>
          <w:szCs w:val="21"/>
          <w:highlight w:val="none"/>
          <w:u w:val="single"/>
        </w:rPr>
        <w:t xml:space="preserve">）</w:t>
      </w:r>
      <w:r>
        <w:rPr>
          <w:rFonts w:ascii="宋体" w:hAnsi="宋体"/>
          <w:color w:val="auto"/>
          <w:szCs w:val="21"/>
          <w:highlight w:val="none"/>
          <w:u w:val="single"/>
        </w:rPr>
        <w:t xml:space="preserve">   </w:t>
      </w:r>
      <w:r>
        <w:rPr>
          <w:rFonts w:hint="eastAsia" w:ascii="宋体" w:hAnsi="宋体" w:cs="仿宋_GB2312"/>
          <w:color w:val="auto"/>
          <w:szCs w:val="21"/>
          <w:highlight w:val="none"/>
          <w:lang w:val="zh-CN"/>
        </w:rPr>
        <w:t xml:space="preserve">相应资质条件且不得再次分包；</w:t>
      </w:r>
      <w:r/>
    </w:p>
    <w:p>
      <w:pPr>
        <w:ind w:firstLine="525"/>
        <w:spacing w:line="300" w:lineRule="auto"/>
        <w:rPr>
          <w:rFonts w:hint="eastAsia" w:ascii="宋体" w:hAnsi="宋体"/>
          <w:color w:val="auto"/>
          <w:szCs w:val="21"/>
          <w:highlight w:val="none"/>
        </w:rPr>
      </w:pPr>
      <w:r>
        <w:rPr>
          <w:rFonts w:hint="eastAsia" w:ascii="宋体" w:hAnsi="宋体"/>
          <w:color w:val="auto"/>
          <w:szCs w:val="21"/>
          <w:highlight w:val="none"/>
        </w:rPr>
        <w:t xml:space="preserve">……</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二、分包工作履行期限、地点、方式</w:t>
      </w:r>
      <w:r/>
    </w:p>
    <w:p>
      <w:pPr>
        <w:ind w:firstLine="576"/>
        <w:spacing w:line="300" w:lineRule="auto"/>
        <w:rPr>
          <w:rFonts w:hint="eastAsia" w:ascii="宋体" w:hAnsi="宋体"/>
          <w:color w:val="auto"/>
          <w:szCs w:val="21"/>
          <w:highlight w:val="none"/>
          <w:u w:val="single"/>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三、质量</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四、价款或者报酬</w:t>
      </w:r>
      <w:r/>
    </w:p>
    <w:p>
      <w:pPr>
        <w:ind w:left="573"/>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left="573"/>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五、违约责任</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六、争议解决的办法</w:t>
      </w:r>
      <w:r/>
    </w:p>
    <w:p>
      <w:pPr>
        <w:ind w:firstLine="576"/>
        <w:spacing w:line="300" w:lineRule="auto"/>
        <w:rPr>
          <w:rFonts w:hint="eastAsia" w:ascii="宋体" w:hAnsi="宋体" w:cs="仿宋_GB2312"/>
          <w:color w:val="auto"/>
          <w:szCs w:val="21"/>
          <w:highlight w:val="none"/>
          <w:lang w:val="zh-CN"/>
        </w:rPr>
      </w:pPr>
      <w:r>
        <w:rPr>
          <w:rFonts w:ascii="宋体" w:hAnsi="宋体"/>
          <w:color w:val="auto"/>
          <w:szCs w:val="21"/>
          <w:highlight w:val="none"/>
          <w:u w:val="single"/>
        </w:rPr>
        <w:t xml:space="preserve">                                                                              </w:t>
      </w:r>
      <w:r/>
    </w:p>
    <w:p>
      <w:pPr>
        <w:ind w:firstLine="576"/>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七、其他</w:t>
      </w:r>
      <w:r/>
    </w:p>
    <w:p>
      <w:pPr>
        <w:ind w:firstLine="525"/>
        <w:spacing w:line="300" w:lineRule="auto"/>
        <w:rPr>
          <w:rFonts w:hint="eastAsia" w:ascii="宋体" w:hAnsi="宋体" w:cs="仿宋_GB2312"/>
          <w:color w:val="auto"/>
          <w:szCs w:val="21"/>
          <w:highlight w:val="none"/>
          <w:lang w:val="zh-CN"/>
        </w:rPr>
      </w:pPr>
      <w:r>
        <w:rPr>
          <w:rFonts w:hint="eastAsia" w:ascii="宋体" w:hAnsi="宋体"/>
          <w:color w:val="auto"/>
          <w:szCs w:val="21"/>
          <w:highlight w:val="none"/>
        </w:rPr>
        <w:t xml:space="preserve">中小企业合同金额达到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%，小</w:t>
      </w:r>
      <w:r>
        <w:rPr>
          <w:rFonts w:hint="eastAsia" w:ascii="宋体" w:hAnsi="宋体"/>
          <w:color w:val="auto"/>
          <w:szCs w:val="21"/>
          <w:highlight w:val="none"/>
        </w:rPr>
        <w:t xml:space="preserve">微企业合同金额达到</w:t>
      </w:r>
      <w:r>
        <w:rPr>
          <w:rFonts w:ascii="宋体" w:hAnsi="宋体"/>
          <w:color w:val="auto"/>
          <w:szCs w:val="21"/>
          <w:highlight w:val="none"/>
          <w:u w:val="single"/>
        </w:rPr>
        <w:t xml:space="preserve">      </w:t>
      </w:r>
      <w:r>
        <w:rPr>
          <w:rFonts w:ascii="宋体" w:hAnsi="宋体"/>
          <w:color w:val="auto"/>
          <w:szCs w:val="21"/>
          <w:highlight w:val="none"/>
        </w:rPr>
        <w:t xml:space="preserve">%</w:t>
      </w:r>
      <w:r>
        <w:rPr>
          <w:rFonts w:ascii="宋体" w:hAnsi="宋体" w:cs="仿宋_GB2312"/>
          <w:color w:val="auto"/>
          <w:szCs w:val="21"/>
          <w:highlight w:val="none"/>
          <w:lang w:val="zh-CN"/>
        </w:rPr>
        <w:t xml:space="preserve">。</w:t>
      </w:r>
      <w:r/>
    </w:p>
    <w:p>
      <w:pPr>
        <w:ind w:left="5128" w:hanging="4410"/>
        <w:jc w:val="right"/>
        <w:spacing w:line="300" w:lineRule="auto"/>
        <w:rPr>
          <w:rFonts w:hint="eastAsia" w:ascii="宋体" w:hAnsi="宋体" w:cs="仿宋_GB2312"/>
          <w:color w:val="auto"/>
          <w:szCs w:val="21"/>
          <w:highlight w:val="none"/>
          <w:lang w:val="zh-CN"/>
        </w:rPr>
      </w:pPr>
      <w:r>
        <w:rPr>
          <w:rFonts w:ascii="宋体" w:hAnsi="宋体" w:cs="仿宋_GB2312"/>
          <w:color w:val="auto"/>
          <w:szCs w:val="21"/>
          <w:highlight w:val="none"/>
          <w:lang w:val="zh-CN"/>
        </w:rPr>
        <w:t xml:space="preserve"> </w:t>
      </w:r>
      <w:r/>
    </w:p>
    <w:p>
      <w:pPr>
        <w:pStyle w:val="1087"/>
        <w:ind w:right="420" w:firstLine="4935"/>
        <w:jc w:val="left"/>
        <w:spacing w:line="300"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ind w:right="420" w:firstLine="4935"/>
        <w:spacing w:line="300" w:lineRule="auto"/>
        <w:rPr>
          <w:rFonts w:hint="eastAsia" w:ascii="宋体" w:hAnsi="宋体" w:cs="仿宋_GB2312"/>
          <w:color w:val="auto"/>
          <w:szCs w:val="21"/>
          <w:highlight w:val="none"/>
          <w:lang w:val="zh-CN"/>
        </w:rPr>
      </w:pPr>
      <w:r>
        <w:rPr>
          <w:rFonts w:hint="eastAsia" w:ascii="宋体" w:hAnsi="宋体" w:cs="仿宋_GB2312"/>
          <w:color w:val="auto"/>
          <w:szCs w:val="21"/>
          <w:highlight w:val="none"/>
          <w:lang w:val="zh-CN"/>
        </w:rPr>
        <w:t xml:space="preserve">分包供应商（公章）：</w:t>
      </w:r>
      <w:r>
        <w:rPr>
          <w:rFonts w:ascii="Microsoft New Tai Lue" w:hAnsi="Microsoft New Tai Lue" w:cs="Microsoft New Tai Lue"/>
          <w:color w:val="auto"/>
          <w:highlight w:val="none"/>
          <w:u w:val="single"/>
        </w:rPr>
        <w:t xml:space="preserve">               </w:t>
      </w:r>
      <w:r/>
    </w:p>
    <w:p>
      <w:pPr>
        <w:ind w:firstLine="5040"/>
        <w:jc w:val="right"/>
        <w:spacing w:line="300" w:lineRule="auto"/>
        <w:rPr>
          <w:rFonts w:hint="eastAsia" w:ascii="宋体" w:hAnsi="宋体"/>
          <w:color w:val="auto"/>
          <w:szCs w:val="21"/>
          <w:highlight w:val="none"/>
        </w:rPr>
      </w:pPr>
      <w:r>
        <w:rPr>
          <w:rFonts w:hint="eastAsia" w:ascii="宋体" w:hAnsi="宋体" w:cs="仿宋_GB2312"/>
          <w:color w:val="auto"/>
          <w:szCs w:val="21"/>
          <w:highlight w:val="none"/>
          <w:lang w:val="zh-CN"/>
        </w:rPr>
        <w:t xml:space="preserve">……</w:t>
      </w:r>
      <w:r/>
    </w:p>
    <w:p>
      <w:pPr>
        <w:jc w:val="right"/>
        <w:spacing w:line="300" w:lineRule="auto"/>
        <w:rPr>
          <w:rFonts w:ascii="Microsoft New Tai Lue" w:hAnsi="Microsoft New Tai Lue" w:cs="Microsoft New Tai Lue"/>
          <w:bCs/>
          <w:color w:val="auto"/>
          <w:highlight w:val="none"/>
        </w:rPr>
      </w:pPr>
      <w:r>
        <w:rPr>
          <w:rFonts w:ascii="宋体" w:hAnsi="宋体" w:cs="仿宋_GB2312"/>
          <w:color w:val="auto"/>
          <w:szCs w:val="21"/>
          <w:highlight w:val="none"/>
          <w:lang w:val="zh-CN"/>
        </w:rPr>
        <w:t xml:space="preserve">                                   </w:t>
      </w: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pStyle w:val="893"/>
        <w:ind w:left="0"/>
        <w:jc w:val="center"/>
        <w:rPr>
          <w:rFonts w:ascii="Microsoft New Tai Lue" w:hAnsi="Microsoft New Tai Lue" w:cs="Microsoft New Tai Lue"/>
          <w:b w:val="0"/>
          <w:color w:val="auto"/>
          <w:szCs w:val="24"/>
          <w:highlight w:val="none"/>
        </w:rPr>
      </w:pPr>
      <w:r>
        <w:rPr>
          <w:color w:val="auto"/>
          <w:highlight w:val="none"/>
        </w:rPr>
        <w:br w:type="page" w:clear="all"/>
      </w:r>
      <w:bookmarkStart w:id="444" w:name="_Toc104560915"/>
      <w:r/>
      <w:bookmarkStart w:id="445" w:name="_Toc107246296"/>
      <w:r>
        <w:rPr>
          <w:rFonts w:ascii="Microsoft New Tai Lue" w:hAnsi="Microsoft New Tai Lue" w:cs="Microsoft New Tai Lue"/>
          <w:color w:val="auto"/>
          <w:szCs w:val="24"/>
          <w:highlight w:val="none"/>
        </w:rPr>
        <w:t xml:space="preserve">（12）公章授权书（如需）</w:t>
      </w:r>
      <w:bookmarkEnd w:id="442"/>
      <w:r/>
      <w:bookmarkEnd w:id="443"/>
      <w:r/>
      <w:bookmarkEnd w:id="444"/>
      <w:r/>
      <w:bookmarkEnd w:id="445"/>
      <w:r/>
      <w:r/>
    </w:p>
    <w:p>
      <w:pPr>
        <w:pStyle w:val="1087"/>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r>
      <w:r/>
    </w:p>
    <w:p>
      <w:pPr>
        <w:pStyle w:val="108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______________________（采购人）</w:t>
      </w:r>
      <w:r/>
    </w:p>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______</w:t>
      </w:r>
      <w:r>
        <w:rPr>
          <w:rFonts w:ascii="Microsoft New Tai Lue" w:hAnsi="Microsoft New Tai Lue" w:cs="Microsoft New Tai Lue"/>
          <w:color w:val="auto"/>
          <w:sz w:val="21"/>
          <w:szCs w:val="21"/>
          <w:highlight w:val="none"/>
          <w:u w:val="single"/>
        </w:rPr>
        <w:t xml:space="preserve">(</w:t>
      </w:r>
      <w:r>
        <w:rPr>
          <w:rFonts w:hint="eastAsia" w:ascii="Microsoft New Tai Lue" w:hAnsi="Microsoft New Tai Lue" w:cs="Microsoft New Tai Lue"/>
          <w:color w:val="auto"/>
          <w:sz w:val="21"/>
          <w:szCs w:val="21"/>
          <w:highlight w:val="none"/>
          <w:u w:val="single"/>
        </w:rPr>
        <w:t xml:space="preserve">投标人</w:t>
      </w:r>
      <w:r>
        <w:rPr>
          <w:rFonts w:ascii="Microsoft New Tai Lue" w:hAnsi="Microsoft New Tai Lue" w:cs="Microsoft New Tai Lue"/>
          <w:color w:val="auto"/>
          <w:sz w:val="21"/>
          <w:szCs w:val="21"/>
          <w:highlight w:val="none"/>
          <w:u w:val="single"/>
        </w:rPr>
        <w:t xml:space="preserve">名称)</w:t>
      </w:r>
      <w:r>
        <w:rPr>
          <w:rFonts w:ascii="Microsoft New Tai Lue" w:hAnsi="Microsoft New Tai Lue" w:cs="Microsoft New Tai Lue"/>
          <w:color w:val="auto"/>
          <w:sz w:val="21"/>
          <w:szCs w:val="21"/>
          <w:highlight w:val="none"/>
        </w:rPr>
        <w:t xml:space="preserve">______，中华人民共和国合法企业，法定地址：____________________。在参与______</w:t>
      </w:r>
      <w:r>
        <w:rPr>
          <w:rFonts w:ascii="Microsoft New Tai Lue" w:hAnsi="Microsoft New Tai Lue" w:cs="Microsoft New Tai Lue"/>
          <w:color w:val="auto"/>
          <w:sz w:val="21"/>
          <w:szCs w:val="21"/>
          <w:highlight w:val="none"/>
          <w:u w:val="single"/>
        </w:rPr>
        <w:t xml:space="preserve">(项目名称)(项目编号)</w:t>
      </w:r>
      <w:r>
        <w:rPr>
          <w:rFonts w:ascii="Microsoft New Tai Lue" w:hAnsi="Microsoft New Tai Lue" w:cs="Microsoft New Tai Lue"/>
          <w:color w:val="auto"/>
          <w:sz w:val="21"/>
          <w:szCs w:val="21"/>
          <w:highlight w:val="none"/>
        </w:rPr>
        <w:t xml:space="preserve">______协商活动中，我单位授权</w:t>
      </w: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（样式附后）在此次活动中代为公章使用。</w:t>
      </w:r>
      <w:r/>
    </w:p>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所签署的投标文件、澄清等，我单位承认并同意具备与我单位公章签署等同的法律效力。</w:t>
      </w:r>
      <w:r/>
    </w:p>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u w:val="single"/>
        </w:rPr>
        <w:t xml:space="preserve">（其他形式的印章名称）     </w:t>
      </w:r>
      <w:r>
        <w:rPr>
          <w:rFonts w:ascii="Microsoft New Tai Lue" w:hAnsi="Microsoft New Tai Lue" w:cs="Microsoft New Tai Lue"/>
          <w:color w:val="auto"/>
          <w:sz w:val="21"/>
          <w:szCs w:val="21"/>
          <w:highlight w:val="none"/>
        </w:rPr>
        <w:t xml:space="preserve">签署的所有文件、协议不因授权的撤销而失效。</w:t>
      </w:r>
      <w:r/>
    </w:p>
    <w:p>
      <w:pPr>
        <w:pStyle w:val="1087"/>
        <w:ind w:right="840"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840" w:firstLine="19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其他形式的印章名称：______________</w:t>
      </w:r>
      <w:r/>
    </w:p>
    <w:p>
      <w:pPr>
        <w:pStyle w:val="1087"/>
        <w:ind w:right="420" w:firstLine="19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highlight w:val="none"/>
        </w:rPr>
        <mc:AlternateContent>
          <mc:Choice Requires="wpg">
            <w:drawing>
              <wp:anchor xmlns:wp="http://schemas.openxmlformats.org/drawingml/2006/wordprocessingDrawing" xmlns:wp14="http://schemas.microsoft.com/office/word/2010/wordprocessingDrawing" distT="45720" distB="45720" distL="114300" distR="114300" simplePos="0" relativeHeight="251660288" behindDoc="0" locked="0" layoutInCell="1" allowOverlap="1">
                <wp:simplePos x="0" y="0"/>
                <wp:positionH relativeFrom="column">
                  <wp:posOffset>1028700</wp:posOffset>
                </wp:positionH>
                <wp:positionV relativeFrom="paragraph">
                  <wp:posOffset>112395</wp:posOffset>
                </wp:positionV>
                <wp:extent cx="2295525" cy="2261235"/>
                <wp:effectExtent l="5715" t="13335" r="13335" b="11430"/>
                <wp:wrapSquare wrapText="bothSides"/>
                <wp:docPr id="9"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295525" cy="2261235"/>
                        </a:xfrm>
                        <a:prstGeom prst="rect">
                          <a:avLst/>
                        </a:prstGeom>
                        <a:solidFill>
                          <a:srgbClr val="FFFFFF"/>
                        </a:solidFill>
                        <a:ln w="9525">
                          <a:solidFill>
                            <a:srgbClr val="000000"/>
                          </a:solidFill>
                          <a:miter lim="800000"/>
                        </a:ln>
                      </wps:spPr>
                      <wps:txbx>
                        <w:txbxContent>
                          <w:p>
                            <w:r/>
                            <w:r/>
                          </w:p>
                        </w:txbxContent>
                      </wps:txbx>
                      <wps:bodyPr rot="0" vert="horz" wrap="square" lIns="91440" tIns="45720" rIns="91440" bIns="45720" anchor="t" anchorCtr="0" upright="1">
                        <a:noAutofit/>
                      </wps:bodyPr>
                    </wps:wsp>
                  </a:graphicData>
                </a:graphic>
              </wp:anchor>
            </w:drawing>
          </mc:Choice>
          <mc:Fallback>
            <w:pict>
              <v:shape id="shape 8" o:spid="_x0000_s8" o:spt="202" type="#_x0000_t202" style="position:absolute;z-index:251660288;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text-anchor:top;visibility:visible;" fillcolor="#FFFFFF" strokecolor="#000000" strokeweight="0.75pt">
                <w10:wrap type="square"/>
                <v:textbox inset="0,0,0,0">
                  <w:txbxContent>
                    <w:p>
                      <w:r/>
                      <w:r/>
                    </w:p>
                  </w:txbxContent>
                </v:textbox>
              </v:shape>
            </w:pict>
          </mc:Fallback>
        </mc:AlternateContent>
      </w:r>
      <w:r>
        <w:rPr>
          <w:rFonts w:ascii="Microsoft New Tai Lue" w:hAnsi="Microsoft New Tai Lue" w:cs="Microsoft New Tai Lue"/>
          <w:color w:val="auto"/>
          <w:sz w:val="21"/>
          <w:szCs w:val="21"/>
          <w:highlight w:val="none"/>
        </w:rPr>
        <w:t xml:space="preserve">印章样式：</w:t>
      </w:r>
      <w:r/>
    </w:p>
    <w:p>
      <w:pPr>
        <w:pStyle w:val="1087"/>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481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355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3150"/>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1087"/>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1087"/>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87"/>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87"/>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jc w:val="left"/>
        <w:spacing w:line="276" w:lineRule="auto"/>
        <w:rPr>
          <w:rFonts w:ascii="Microsoft New Tai Lue" w:hAnsi="Microsoft New Tai Lue" w:cs="Microsoft New Tai Lue"/>
          <w:bCs/>
          <w:color w:val="auto"/>
          <w:highlight w:val="none"/>
        </w:rPr>
      </w:pPr>
      <w:r>
        <w:rPr>
          <w:rFonts w:ascii="Microsoft New Tai Lue" w:hAnsi="Microsoft New Tai Lue" w:cs="Microsoft New Tai Lue"/>
          <w:color w:val="auto"/>
          <w:spacing w:val="-3"/>
          <w:highlight w:val="none"/>
        </w:rPr>
        <w:t xml:space="preserve">                                </w:t>
      </w:r>
      <w:r>
        <w:rPr>
          <w:rFonts w:ascii="Microsoft New Tai Lue" w:hAnsi="Microsoft New Tai Lue" w:cs="Microsoft New Tai Lue"/>
          <w:bCs/>
          <w:color w:val="auto"/>
          <w:highlight w:val="none"/>
        </w:rPr>
        <w:t xml:space="preserve">日期：______年</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月</w:t>
      </w:r>
      <w:r>
        <w:rPr>
          <w:rFonts w:ascii="Microsoft New Tai Lue" w:hAnsi="Microsoft New Tai Lue" w:cs="Microsoft New Tai Lue"/>
          <w:bCs/>
          <w:color w:val="auto"/>
          <w:highlight w:val="none"/>
          <w:u w:val="single"/>
        </w:rPr>
        <w:t xml:space="preserve">    </w:t>
      </w:r>
      <w:r>
        <w:rPr>
          <w:rFonts w:ascii="Microsoft New Tai Lue" w:hAnsi="Microsoft New Tai Lue" w:cs="Microsoft New Tai Lue"/>
          <w:bCs/>
          <w:color w:val="auto"/>
          <w:highlight w:val="none"/>
        </w:rPr>
        <w:t xml:space="preserve">日</w:t>
      </w:r>
      <w:r/>
    </w:p>
    <w:p>
      <w:pPr>
        <w:jc w:val="left"/>
        <w:spacing w:line="276" w:lineRule="auto"/>
        <w:rPr>
          <w:rFonts w:ascii="Microsoft New Tai Lue" w:hAnsi="Microsoft New Tai Lue" w:eastAsia="黑体" w:cs="Microsoft New Tai Lue"/>
          <w:b/>
          <w:color w:val="auto"/>
          <w:sz w:val="32"/>
          <w:szCs w:val="32"/>
          <w:highlight w:val="none"/>
        </w:rPr>
      </w:pPr>
      <w:r>
        <w:rPr>
          <w:rFonts w:ascii="Microsoft New Tai Lue" w:hAnsi="Microsoft New Tai Lue" w:eastAsia="黑体" w:cs="Microsoft New Tai Lue"/>
          <w:b/>
          <w:color w:val="auto"/>
          <w:sz w:val="32"/>
          <w:szCs w:val="32"/>
          <w:highlight w:val="none"/>
        </w:rPr>
      </w:r>
      <w:r/>
    </w:p>
    <w:p>
      <w:pPr>
        <w:ind w:firstLine="420"/>
        <w:spacing w:line="380" w:lineRule="exact"/>
        <w:rPr>
          <w:rFonts w:hint="eastAsia" w:ascii="宋体" w:hAnsi="宋体"/>
          <w:color w:val="auto"/>
          <w:highlight w:val="none"/>
        </w:rPr>
      </w:pPr>
      <w:r>
        <w:rPr>
          <w:color w:val="auto"/>
          <w:highlight w:val="none"/>
        </w:rPr>
        <w:br w:type="page" w:clear="all"/>
      </w:r>
      <w:r/>
    </w:p>
    <w:p>
      <w:pPr>
        <w:pStyle w:val="893"/>
        <w:ind w:left="0"/>
        <w:rPr>
          <w:color w:val="auto"/>
          <w:highlight w:val="none"/>
        </w:rPr>
      </w:pPr>
      <w:r>
        <w:rPr>
          <w:color w:val="auto"/>
          <w:highlight w:val="none"/>
        </w:rPr>
      </w:r>
      <w:r/>
    </w:p>
    <w:p>
      <w:pPr>
        <w:pStyle w:val="916"/>
        <w:rPr>
          <w:rFonts w:ascii="Microsoft New Tai Lue" w:hAnsi="Microsoft New Tai Lue" w:cs="Microsoft New Tai Lue"/>
          <w:color w:val="auto"/>
          <w:sz w:val="24"/>
          <w:szCs w:val="24"/>
          <w:highlight w:val="none"/>
        </w:rPr>
      </w:pPr>
      <w:r/>
      <w:bookmarkStart w:id="446" w:name="_Toc107246299"/>
      <w:r/>
      <w:bookmarkStart w:id="447" w:name="_Toc103848599"/>
      <w:r/>
      <w:bookmarkStart w:id="448" w:name="_Toc104560916"/>
      <w:r>
        <w:rPr>
          <w:rFonts w:hint="eastAsia" w:ascii="Microsoft New Tai Lue" w:hAnsi="Microsoft New Tai Lue" w:cs="Microsoft New Tai Lue"/>
          <w:color w:val="auto"/>
          <w:sz w:val="28"/>
          <w:szCs w:val="24"/>
          <w:highlight w:val="none"/>
        </w:rPr>
        <w:t xml:space="preserve">二</w:t>
      </w:r>
      <w:r>
        <w:rPr>
          <w:rFonts w:ascii="Microsoft New Tai Lue" w:hAnsi="Microsoft New Tai Lue" w:cs="Microsoft New Tai Lue"/>
          <w:color w:val="auto"/>
          <w:sz w:val="28"/>
          <w:szCs w:val="24"/>
          <w:highlight w:val="none"/>
        </w:rPr>
        <w:t xml:space="preserve">、技术部分</w:t>
      </w:r>
      <w:bookmarkEnd w:id="446"/>
      <w:r/>
      <w:bookmarkEnd w:id="447"/>
      <w:r/>
      <w:bookmarkEnd w:id="448"/>
      <w:r/>
      <w:r/>
    </w:p>
    <w:p>
      <w:pPr>
        <w:pStyle w:val="916"/>
        <w:spacing w:before="0"/>
        <w:rPr>
          <w:rFonts w:hint="eastAsia"/>
          <w:color w:val="auto"/>
          <w:highlight w:val="none"/>
        </w:rPr>
      </w:pPr>
      <w:r/>
      <w:bookmarkStart w:id="449" w:name="_Toc107246300"/>
      <w:r/>
      <w:bookmarkStart w:id="450" w:name="_Toc103848600"/>
      <w:r/>
      <w:bookmarkStart w:id="451" w:name="_Toc104560917"/>
      <w:r>
        <w:rPr>
          <w:rFonts w:ascii="Microsoft New Tai Lue" w:hAnsi="Microsoft New Tai Lue" w:cs="Microsoft New Tai Lue"/>
          <w:bCs w:val="0"/>
          <w:color w:val="auto"/>
          <w:sz w:val="24"/>
          <w:szCs w:val="24"/>
          <w:highlight w:val="none"/>
        </w:rPr>
        <w:t xml:space="preserve">（1）技术方案或服务方案</w:t>
      </w:r>
      <w:bookmarkEnd w:id="449"/>
      <w:r/>
      <w:bookmarkEnd w:id="450"/>
      <w:r/>
      <w:bookmarkEnd w:id="451"/>
      <w:r>
        <w:rPr>
          <w:color w:val="auto"/>
          <w:highlight w:val="none"/>
        </w:rPr>
        <w:t xml:space="preserve"> </w:t>
      </w:r>
      <w:r/>
    </w:p>
    <w:p>
      <w:pPr>
        <w:pStyle w:val="89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spacing w:before="0"/>
        <w:rPr>
          <w:rFonts w:ascii="Microsoft New Tai Lue" w:hAnsi="Microsoft New Tai Lue" w:cs="Microsoft New Tai Lue"/>
          <w:bCs w:val="0"/>
          <w:color w:val="auto"/>
          <w:sz w:val="24"/>
          <w:szCs w:val="24"/>
          <w:highlight w:val="none"/>
        </w:rPr>
      </w:pPr>
      <w:r/>
      <w:bookmarkStart w:id="452" w:name="_Toc104560918"/>
      <w:r/>
      <w:bookmarkStart w:id="453" w:name="_Toc103848601"/>
      <w:r/>
      <w:bookmarkStart w:id="454" w:name="_Toc107246301"/>
      <w:r>
        <w:rPr>
          <w:rFonts w:ascii="Microsoft New Tai Lue" w:hAnsi="Microsoft New Tai Lue" w:cs="Microsoft New Tai Lue"/>
          <w:bCs w:val="0"/>
          <w:color w:val="auto"/>
          <w:sz w:val="24"/>
          <w:szCs w:val="24"/>
          <w:highlight w:val="none"/>
        </w:rPr>
        <w:t xml:space="preserve">（2）技术</w:t>
      </w:r>
      <w:r>
        <w:rPr>
          <w:rFonts w:hint="eastAsia" w:ascii="Microsoft New Tai Lue" w:hAnsi="Microsoft New Tai Lue" w:cs="Microsoft New Tai Lue"/>
          <w:bCs w:val="0"/>
          <w:color w:val="auto"/>
          <w:sz w:val="24"/>
          <w:szCs w:val="24"/>
          <w:highlight w:val="none"/>
        </w:rPr>
        <w:t xml:space="preserve">条款</w:t>
      </w:r>
      <w:r>
        <w:rPr>
          <w:rFonts w:ascii="Microsoft New Tai Lue" w:hAnsi="Microsoft New Tai Lue" w:cs="Microsoft New Tai Lue"/>
          <w:bCs w:val="0"/>
          <w:color w:val="auto"/>
          <w:sz w:val="24"/>
          <w:szCs w:val="24"/>
          <w:highlight w:val="none"/>
        </w:rPr>
        <w:t xml:space="preserve">偏离表</w:t>
      </w:r>
      <w:bookmarkEnd w:id="452"/>
      <w:r/>
      <w:bookmarkEnd w:id="453"/>
      <w:r/>
      <w:bookmarkEnd w:id="454"/>
      <w:r/>
      <w:r/>
    </w:p>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项目名称：</w:t>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ab/>
      </w:r>
      <w:r>
        <w:rPr>
          <w:rFonts w:ascii="Microsoft New Tai Lue" w:hAnsi="Microsoft New Tai Lue" w:cs="Microsoft New Tai Lue"/>
          <w:color w:val="auto"/>
          <w:sz w:val="21"/>
          <w:szCs w:val="21"/>
          <w:highlight w:val="none"/>
        </w:rPr>
        <w:t xml:space="preserve">项目编号：</w:t>
      </w:r>
      <w:r/>
    </w:p>
    <w:tbl>
      <w:tblPr>
        <w:tblStyle w:val="8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3"/>
        <w:gridCol w:w="1236"/>
        <w:gridCol w:w="1236"/>
        <w:gridCol w:w="1504"/>
        <w:gridCol w:w="1504"/>
        <w:gridCol w:w="816"/>
        <w:gridCol w:w="816"/>
        <w:gridCol w:w="929"/>
      </w:tblGrid>
      <w:tr>
        <w:trPr>
          <w:jc w:val="center"/>
        </w:trPr>
        <w:tc>
          <w:tcPr>
            <w:tcW w:w="1503" w:type="dxa"/>
            <w:vAlign w:val="center"/>
            <w:textDirection w:val="lrTb"/>
            <w:noWrap w:val="false"/>
          </w:tcPr>
          <w:p>
            <w:pPr>
              <w:pStyle w:val="108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品目号</w:t>
            </w:r>
            <w:r/>
          </w:p>
        </w:tc>
        <w:tc>
          <w:tcPr>
            <w:tcW w:w="1236" w:type="dxa"/>
            <w:vAlign w:val="center"/>
            <w:textDirection w:val="lrTb"/>
            <w:noWrap w:val="false"/>
          </w:tcPr>
          <w:p>
            <w:pPr>
              <w:pStyle w:val="108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货物名称</w:t>
            </w:r>
            <w:r/>
          </w:p>
        </w:tc>
        <w:tc>
          <w:tcPr>
            <w:tcW w:w="1236" w:type="dxa"/>
            <w:vAlign w:val="center"/>
            <w:textDirection w:val="lrTb"/>
            <w:noWrap w:val="false"/>
          </w:tcPr>
          <w:p>
            <w:pPr>
              <w:pStyle w:val="108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招标规格</w:t>
            </w:r>
            <w:r/>
          </w:p>
        </w:tc>
        <w:tc>
          <w:tcPr>
            <w:tcW w:w="1504" w:type="dxa"/>
            <w:vAlign w:val="center"/>
            <w:textDirection w:val="lrTb"/>
            <w:noWrap w:val="false"/>
          </w:tcPr>
          <w:p>
            <w:pPr>
              <w:pStyle w:val="108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技术指标要求</w:t>
            </w:r>
            <w:r/>
          </w:p>
        </w:tc>
        <w:tc>
          <w:tcPr>
            <w:tcW w:w="1504" w:type="dxa"/>
            <w:vAlign w:val="center"/>
            <w:textDirection w:val="lrTb"/>
            <w:noWrap w:val="false"/>
          </w:tcPr>
          <w:p>
            <w:pPr>
              <w:pStyle w:val="108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投标响应情况</w:t>
            </w:r>
            <w:r/>
          </w:p>
        </w:tc>
        <w:tc>
          <w:tcPr>
            <w:tcW w:w="816" w:type="dxa"/>
            <w:vAlign w:val="center"/>
            <w:textDirection w:val="lrTb"/>
            <w:noWrap w:val="false"/>
          </w:tcPr>
          <w:p>
            <w:pPr>
              <w:pStyle w:val="108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偏离</w:t>
            </w:r>
            <w:r/>
          </w:p>
        </w:tc>
        <w:tc>
          <w:tcPr>
            <w:tcW w:w="816" w:type="dxa"/>
            <w:vAlign w:val="center"/>
            <w:textDirection w:val="lrTb"/>
            <w:noWrap w:val="false"/>
          </w:tcPr>
          <w:p>
            <w:pPr>
              <w:pStyle w:val="1087"/>
              <w:ind w:firstLine="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说明</w:t>
            </w:r>
            <w:r/>
          </w:p>
        </w:tc>
        <w:tc>
          <w:tcPr>
            <w:tcW w:w="929" w:type="dxa"/>
            <w:vAlign w:val="center"/>
            <w:textDirection w:val="lrTb"/>
            <w:noWrap w:val="false"/>
          </w:tcPr>
          <w:p>
            <w:pPr>
              <w:pStyle w:val="1087"/>
              <w:ind w:firstLine="0"/>
              <w:rPr>
                <w:rFonts w:ascii="Microsoft New Tai Lue" w:hAnsi="Microsoft New Tai Lue" w:cs="Microsoft New Tai Lue"/>
                <w:color w:val="auto"/>
                <w:sz w:val="21"/>
                <w:szCs w:val="21"/>
                <w:highlight w:val="none"/>
              </w:rPr>
            </w:pPr>
            <w:r>
              <w:rPr>
                <w:rFonts w:hint="eastAsia" w:ascii="Microsoft New Tai Lue" w:hAnsi="Microsoft New Tai Lue" w:cs="Microsoft New Tai Lue"/>
                <w:color w:val="auto"/>
                <w:sz w:val="21"/>
                <w:szCs w:val="21"/>
                <w:highlight w:val="none"/>
              </w:rPr>
              <w:t xml:space="preserve">证明材料所在页码</w:t>
            </w:r>
            <w:r/>
          </w:p>
        </w:tc>
      </w:tr>
      <w:tr>
        <w:trPr>
          <w:jc w:val="center"/>
          <w:trHeight w:val="578"/>
        </w:trPr>
        <w:tc>
          <w:tcPr>
            <w:tcW w:w="1503"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8"/>
        </w:trPr>
        <w:tc>
          <w:tcPr>
            <w:tcW w:w="1503"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52"/>
        </w:trPr>
        <w:tc>
          <w:tcPr>
            <w:tcW w:w="1503"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Height w:val="560"/>
        </w:trPr>
        <w:tc>
          <w:tcPr>
            <w:tcW w:w="1503"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23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504"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816"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929" w:type="dxa"/>
            <w:vAlign w:val="center"/>
            <w:textDirection w:val="lrTb"/>
            <w:noWrap w:val="false"/>
          </w:tcPr>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914"/>
        <w:spacing w:line="300" w:lineRule="auto"/>
        <w:rPr>
          <w:rFonts w:ascii="Times New Roman" w:hAnsi="Times New Roman"/>
          <w:b/>
          <w:bCs/>
          <w:color w:val="auto"/>
          <w:highlight w:val="none"/>
        </w:rPr>
      </w:pPr>
      <w:r>
        <w:rPr>
          <w:rFonts w:ascii="Times New Roman" w:hAnsi="Times New Roman"/>
          <w:b/>
          <w:bCs/>
          <w:color w:val="auto"/>
          <w:highlight w:val="none"/>
        </w:rPr>
        <w:t xml:space="preserve">注：</w:t>
      </w:r>
      <w:r/>
    </w:p>
    <w:p>
      <w:pPr>
        <w:pStyle w:val="914"/>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1. 投标人须根据第四章《采购需要》要求填写此表，作为投标文件的组成部分，逐项列明。</w:t>
      </w:r>
      <w:r/>
    </w:p>
    <w:p>
      <w:pPr>
        <w:pStyle w:val="914"/>
        <w:spacing w:line="300" w:lineRule="auto"/>
        <w:rPr>
          <w:rFonts w:ascii="Times New Roman" w:hAnsi="Times New Roman"/>
          <w:b/>
          <w:bCs/>
          <w:color w:val="auto"/>
          <w:highlight w:val="none"/>
        </w:rPr>
      </w:pPr>
      <w:r>
        <w:rPr>
          <w:rFonts w:hint="eastAsia" w:ascii="Times New Roman" w:hAnsi="Times New Roman"/>
          <w:b/>
          <w:bCs/>
          <w:color w:val="auto"/>
          <w:highlight w:val="none"/>
        </w:rPr>
        <w:t xml:space="preserve">2. 偏离包括正、负偏离，正偏离指投标人的响应高于招标文件要求，负偏离指投标人的响应低于招标文件要求。无偏离指投标人的响应等于招标文件要求。</w:t>
      </w:r>
      <w:r>
        <w:rPr>
          <w:rFonts w:hint="eastAsia" w:ascii="宋体" w:hAnsi="宋体"/>
          <w:b/>
          <w:bCs/>
          <w:color w:val="auto"/>
          <w:szCs w:val="21"/>
          <w:highlight w:val="none"/>
        </w:rPr>
        <w:t xml:space="preserve">证明材料包括但不限于：产品说明书或制造商官网产品截图或制造商对外公开发布的产品宣传页或制造商加盖公章的技术参数等（以评标细则中要求为准）。</w:t>
      </w:r>
      <w:r/>
    </w:p>
    <w:p>
      <w:pPr>
        <w:pStyle w:val="914"/>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pStyle w:val="1087"/>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投标人名称(公章)：____________</w:t>
      </w:r>
      <w:r/>
    </w:p>
    <w:p>
      <w:pPr>
        <w:pStyle w:val="1087"/>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87"/>
        <w:ind w:right="420" w:firstLine="3780"/>
        <w:jc w:val="left"/>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87"/>
        <w:ind w:firstLine="378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89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rPr>
          <w:rFonts w:ascii="Microsoft New Tai Lue" w:hAnsi="Microsoft New Tai Lue" w:cs="Microsoft New Tai Lue"/>
          <w:color w:val="auto"/>
          <w:sz w:val="24"/>
          <w:highlight w:val="none"/>
        </w:rPr>
      </w:pPr>
      <w:r/>
      <w:bookmarkStart w:id="455" w:name="_Toc108109561"/>
      <w:r>
        <w:rPr>
          <w:rFonts w:ascii="Microsoft New Tai Lue" w:hAnsi="Microsoft New Tai Lue" w:cs="Microsoft New Tai Lue"/>
          <w:color w:val="auto"/>
          <w:sz w:val="24"/>
          <w:highlight w:val="none"/>
        </w:rPr>
        <w:br w:type="page" w:clear="all"/>
      </w:r>
      <w:r/>
    </w:p>
    <w:p>
      <w:pPr>
        <w:pStyle w:val="872"/>
        <w:jc w:val="center"/>
        <w:keepLines w:val="0"/>
        <w:keepNext w:val="0"/>
        <w:spacing w:line="400" w:lineRule="exact"/>
        <w:rPr>
          <w:rFonts w:hint="eastAsia" w:ascii="宋体" w:hAnsi="宋体"/>
          <w:color w:val="auto"/>
          <w:sz w:val="24"/>
          <w:szCs w:val="24"/>
          <w:highlight w:val="none"/>
        </w:rPr>
      </w:pPr>
      <w:r>
        <w:rPr>
          <w:rFonts w:ascii="Microsoft New Tai Lue" w:hAnsi="Microsoft New Tai Lue" w:cs="Microsoft New Tai Lue"/>
          <w:bCs w:val="0"/>
          <w:color w:val="auto"/>
          <w:sz w:val="24"/>
          <w:szCs w:val="24"/>
          <w:highlight w:val="none"/>
        </w:rPr>
        <w:t xml:space="preserve">（2-</w:t>
      </w:r>
      <w:r>
        <w:rPr>
          <w:rFonts w:ascii="宋体" w:hAnsi="宋体"/>
          <w:color w:val="auto"/>
          <w:sz w:val="24"/>
          <w:szCs w:val="24"/>
          <w:highlight w:val="none"/>
        </w:rPr>
        <w:t xml:space="preserve">1</w:t>
      </w:r>
      <w:r>
        <w:rPr>
          <w:rFonts w:ascii="Microsoft New Tai Lue" w:hAnsi="Microsoft New Tai Lue" w:cs="Microsoft New Tai Lue"/>
          <w:bCs w:val="0"/>
          <w:color w:val="auto"/>
          <w:sz w:val="24"/>
          <w:szCs w:val="24"/>
          <w:highlight w:val="none"/>
        </w:rPr>
        <w:t xml:space="preserve">）</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应答</w:t>
      </w:r>
      <w:r>
        <w:rPr>
          <w:rFonts w:hint="eastAsia" w:ascii="宋体" w:hAnsi="宋体"/>
          <w:color w:val="auto"/>
          <w:sz w:val="24"/>
          <w:szCs w:val="24"/>
          <w:highlight w:val="none"/>
        </w:rPr>
        <w:t xml:space="preserve">文件</w:t>
      </w:r>
      <w:bookmarkEnd w:id="455"/>
      <w:r/>
      <w:r/>
    </w:p>
    <w:p>
      <w:pPr>
        <w:pStyle w:val="1087"/>
        <w:ind w:firstLine="480"/>
        <w:rPr>
          <w:rFonts w:ascii="Microsoft New Tai Lue" w:hAnsi="Microsoft New Tai Lue" w:eastAsia="MingLiU_HKSCS" w:cs="Microsoft New Tai Lue"/>
          <w:color w:val="auto"/>
          <w:highlight w:val="none"/>
        </w:rPr>
      </w:pPr>
      <w:r>
        <w:rPr>
          <w:rFonts w:hint="eastAsia" w:hAnsi="宋体"/>
          <w:color w:val="auto"/>
          <w:sz w:val="24"/>
          <w:szCs w:val="24"/>
          <w:highlight w:val="none"/>
        </w:rPr>
        <w:t xml:space="preserve">1、请按招标文件</w:t>
      </w:r>
      <w:r>
        <w:rPr>
          <w:rFonts w:hint="eastAsia" w:ascii="Times New Roman" w:hAnsi="Times New Roman"/>
          <w:b/>
          <w:bCs/>
          <w:color w:val="auto"/>
          <w:highlight w:val="none"/>
        </w:rPr>
        <w:t xml:space="preserve">第四章《采购需求》</w:t>
      </w:r>
      <w:r>
        <w:rPr>
          <w:rFonts w:hint="eastAsia" w:hAnsi="宋体"/>
          <w:color w:val="auto"/>
          <w:sz w:val="24"/>
          <w:szCs w:val="24"/>
          <w:highlight w:val="none"/>
        </w:rPr>
        <w:t xml:space="preserve">所列内容</w:t>
      </w:r>
      <w:r>
        <w:rPr>
          <w:rFonts w:hAnsi="宋体"/>
          <w:color w:val="auto"/>
          <w:sz w:val="24"/>
          <w:szCs w:val="24"/>
          <w:highlight w:val="none"/>
        </w:rPr>
        <w:t xml:space="preserve">逐条进行如实应答</w:t>
      </w:r>
      <w:r>
        <w:rPr>
          <w:rFonts w:hint="eastAsia" w:hAnsi="宋体"/>
          <w:color w:val="auto"/>
          <w:sz w:val="24"/>
          <w:szCs w:val="24"/>
          <w:highlight w:val="none"/>
        </w:rPr>
        <w:t xml:space="preserve">。</w:t>
      </w:r>
      <w:r/>
    </w:p>
    <w:p>
      <w:pPr>
        <w:pStyle w:val="1087"/>
        <w:ind w:firstLine="400"/>
        <w:rPr>
          <w:rFonts w:ascii="Microsoft New Tai Lue" w:hAnsi="Microsoft New Tai Lue" w:eastAsia="MingLiU_HKSCS" w:cs="Microsoft New Tai Lue"/>
          <w:color w:val="auto"/>
          <w:highlight w:val="none"/>
        </w:rPr>
      </w:pPr>
      <w:r>
        <w:rPr>
          <w:rFonts w:ascii="Microsoft New Tai Lue" w:hAnsi="Microsoft New Tai Lue" w:eastAsia="MingLiU_HKSCS" w:cs="Microsoft New Tai Lue"/>
          <w:color w:val="auto"/>
          <w:highlight w:val="none"/>
        </w:rPr>
      </w:r>
      <w:r/>
    </w:p>
    <w:p>
      <w:pPr>
        <w:pStyle w:val="916"/>
        <w:spacing w:before="0"/>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br w:type="page" w:clear="all"/>
      </w:r>
      <w:bookmarkStart w:id="456" w:name="_Toc103848602"/>
      <w:r/>
      <w:bookmarkStart w:id="457" w:name="_Toc104560919"/>
      <w:r/>
      <w:bookmarkStart w:id="458" w:name="_Toc107246302"/>
      <w:r>
        <w:rPr>
          <w:rFonts w:ascii="Microsoft New Tai Lue" w:hAnsi="Microsoft New Tai Lue" w:cs="Microsoft New Tai Lue"/>
          <w:bCs w:val="0"/>
          <w:color w:val="auto"/>
          <w:sz w:val="24"/>
          <w:szCs w:val="24"/>
          <w:highlight w:val="none"/>
        </w:rPr>
        <w:t xml:space="preserve">（3）投标人承诺</w:t>
      </w:r>
      <w:bookmarkEnd w:id="456"/>
      <w:r/>
      <w:bookmarkEnd w:id="457"/>
      <w:r>
        <w:rPr>
          <w:rFonts w:hint="eastAsia" w:ascii="Microsoft New Tai Lue" w:hAnsi="Microsoft New Tai Lue" w:cs="Microsoft New Tai Lue"/>
          <w:bCs w:val="0"/>
          <w:color w:val="auto"/>
          <w:sz w:val="24"/>
          <w:szCs w:val="24"/>
          <w:highlight w:val="none"/>
        </w:rPr>
        <w:t xml:space="preserve">书（如需）</w:t>
      </w:r>
      <w:bookmarkEnd w:id="458"/>
      <w:r/>
      <w:r/>
    </w:p>
    <w:p>
      <w:pPr>
        <w:rPr>
          <w:color w:val="auto"/>
          <w:highlight w:val="none"/>
        </w:rPr>
      </w:pPr>
      <w:r>
        <w:rPr>
          <w:color w:val="auto"/>
          <w:highlight w:val="none"/>
        </w:rPr>
      </w:r>
      <w:r/>
    </w:p>
    <w:p>
      <w:pPr>
        <w:pStyle w:val="893"/>
        <w:ind w:left="1260"/>
        <w:spacing w:line="360" w:lineRule="auto"/>
        <w:rPr>
          <w:color w:val="auto"/>
          <w:highlight w:val="none"/>
        </w:rPr>
      </w:pPr>
      <w:r>
        <w:rPr>
          <w:color w:val="auto"/>
          <w:highlight w:val="none"/>
        </w:rPr>
      </w:r>
      <w:r/>
    </w:p>
    <w:p>
      <w:p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1、承诺书格式：</w:t>
      </w:r>
      <w:r/>
    </w:p>
    <w:p>
      <w:pPr>
        <w:jc w:val="cente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承诺书</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我公司郑重承诺：</w:t>
      </w:r>
      <w:r/>
    </w:p>
    <w:p>
      <w:pPr>
        <w:ind w:firstLine="420"/>
        <w:spacing w:line="360" w:lineRule="auto"/>
        <w:rPr>
          <w:rFonts w:hint="eastAsia" w:ascii="宋体" w:hAnsi="宋体" w:cs="宋体"/>
          <w:color w:val="auto"/>
          <w:szCs w:val="21"/>
          <w:highlight w:val="none"/>
        </w:rPr>
      </w:pPr>
      <w:r>
        <w:rPr>
          <w:rFonts w:hint="eastAsia" w:ascii="宋体" w:hAnsi="宋体" w:cs="宋体"/>
          <w:color w:val="auto"/>
          <w:szCs w:val="21"/>
          <w:highlight w:val="none"/>
        </w:rPr>
        <w:t xml:space="preserve">本项目....。</w:t>
      </w:r>
      <w:r/>
    </w:p>
    <w:p>
      <w:pPr>
        <w:pStyle w:val="893"/>
        <w:ind w:left="0"/>
        <w:rPr>
          <w:color w:val="auto"/>
          <w:sz w:val="21"/>
          <w:szCs w:val="21"/>
          <w:highlight w:val="none"/>
        </w:rPr>
      </w:pPr>
      <w:r>
        <w:rPr>
          <w:color w:val="auto"/>
          <w:sz w:val="21"/>
          <w:szCs w:val="21"/>
          <w:highlight w:val="none"/>
        </w:rPr>
      </w:r>
      <w:r/>
    </w:p>
    <w:p>
      <w:pPr>
        <w:pStyle w:val="1087"/>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right="420" w:firstLine="199"/>
        <w:jc w:val="left"/>
        <w:spacing w:line="276" w:lineRule="auto"/>
        <w:rPr>
          <w:rFonts w:ascii="Microsoft New Tai Lue" w:hAnsi="Microsoft New Tai Lue" w:cs="Microsoft New Tai Lue"/>
          <w:color w:val="auto"/>
          <w:sz w:val="21"/>
          <w:szCs w:val="21"/>
          <w:highlight w:val="none"/>
          <w:u w:val="single"/>
        </w:rPr>
      </w:pPr>
      <w:r>
        <w:rPr>
          <w:rFonts w:ascii="Microsoft New Tai Lue" w:hAnsi="Microsoft New Tai Lue" w:cs="Microsoft New Tai Lue"/>
          <w:color w:val="auto"/>
          <w:sz w:val="21"/>
          <w:szCs w:val="21"/>
          <w:highlight w:val="none"/>
        </w:rPr>
        <w:t xml:space="preserve">投标人名称（公章）：</w:t>
      </w:r>
      <w:r>
        <w:rPr>
          <w:rFonts w:ascii="Microsoft New Tai Lue" w:hAnsi="Microsoft New Tai Lue" w:cs="Microsoft New Tai Lue"/>
          <w:color w:val="auto"/>
          <w:sz w:val="21"/>
          <w:szCs w:val="21"/>
          <w:highlight w:val="none"/>
          <w:u w:val="single"/>
        </w:rPr>
        <w:t xml:space="preserve">                         </w:t>
      </w:r>
      <w:r/>
    </w:p>
    <w:p>
      <w:pPr>
        <w:pStyle w:val="1087"/>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               </w:t>
      </w:r>
      <w:r/>
    </w:p>
    <w:p>
      <w:pPr>
        <w:pStyle w:val="1087"/>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87"/>
        <w:ind w:right="420" w:firstLine="199"/>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87"/>
        <w:ind w:right="420" w:firstLine="3150"/>
        <w:jc w:val="left"/>
        <w:spacing w:line="276"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rPr>
          <w:color w:val="auto"/>
          <w:szCs w:val="21"/>
          <w:highlight w:val="none"/>
        </w:rPr>
      </w:pPr>
      <w:r>
        <w:rPr>
          <w:rFonts w:ascii="Microsoft New Tai Lue" w:hAnsi="Microsoft New Tai Lue" w:cs="Microsoft New Tai Lue"/>
          <w:color w:val="auto"/>
          <w:spacing w:val="-3"/>
          <w:szCs w:val="21"/>
          <w:highlight w:val="none"/>
        </w:rPr>
        <w:t xml:space="preserve">  </w:t>
      </w:r>
      <w:r>
        <w:rPr>
          <w:rFonts w:ascii="Microsoft New Tai Lue" w:hAnsi="Microsoft New Tai Lue" w:cs="Microsoft New Tai Lue"/>
          <w:bCs/>
          <w:color w:val="auto"/>
          <w:szCs w:val="21"/>
          <w:highlight w:val="none"/>
        </w:rPr>
        <w:t xml:space="preserve">日期：______年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日</w:t>
      </w:r>
      <w:r/>
    </w:p>
    <w:p>
      <w:pPr>
        <w:pStyle w:val="893"/>
        <w:ind w:left="1260"/>
        <w:rPr>
          <w:color w:val="auto"/>
          <w:highlight w:val="none"/>
        </w:rPr>
      </w:pPr>
      <w:r>
        <w:rPr>
          <w:color w:val="auto"/>
          <w:highlight w:val="none"/>
        </w:rPr>
      </w:r>
      <w:r/>
    </w:p>
    <w:p>
      <w:pPr>
        <w:pStyle w:val="893"/>
        <w:ind w:left="1260"/>
        <w:rPr>
          <w:color w:val="auto"/>
          <w:highlight w:val="none"/>
        </w:rPr>
      </w:pPr>
      <w:r>
        <w:rPr>
          <w:color w:val="auto"/>
          <w:highlight w:val="none"/>
        </w:rPr>
      </w:r>
      <w:r/>
    </w:p>
    <w:p>
      <w:pPr>
        <w:pStyle w:val="916"/>
        <w:spacing w:before="0"/>
        <w:rPr>
          <w:rFonts w:ascii="Microsoft New Tai Lue" w:hAnsi="Microsoft New Tai Lue" w:cs="Microsoft New Tai Lue"/>
          <w:bCs w:val="0"/>
          <w:color w:val="auto"/>
          <w:sz w:val="24"/>
          <w:szCs w:val="24"/>
          <w:highlight w:val="none"/>
        </w:rPr>
      </w:pPr>
      <w:r>
        <w:rPr>
          <w:rFonts w:ascii="Microsoft New Tai Lue" w:hAnsi="Microsoft New Tai Lue" w:cs="Microsoft New Tai Lue"/>
          <w:bCs w:val="0"/>
          <w:color w:val="auto"/>
          <w:sz w:val="24"/>
          <w:szCs w:val="24"/>
          <w:highlight w:val="none"/>
        </w:rPr>
        <w:br w:type="page" w:clear="all"/>
      </w:r>
      <w:bookmarkStart w:id="459" w:name="_Toc103848603"/>
      <w:r/>
      <w:bookmarkStart w:id="460" w:name="_Toc104560920"/>
      <w:r/>
      <w:bookmarkStart w:id="461" w:name="_Toc107246303"/>
      <w:r>
        <w:rPr>
          <w:rFonts w:ascii="Microsoft New Tai Lue" w:hAnsi="Microsoft New Tai Lue" w:cs="Microsoft New Tai Lue"/>
          <w:bCs w:val="0"/>
          <w:color w:val="auto"/>
          <w:sz w:val="24"/>
          <w:szCs w:val="24"/>
          <w:highlight w:val="none"/>
        </w:rPr>
        <w:t xml:space="preserve">（4）用于本项目人员简历表</w:t>
      </w:r>
      <w:bookmarkEnd w:id="459"/>
      <w:r/>
      <w:bookmarkEnd w:id="460"/>
      <w:r>
        <w:rPr>
          <w:rFonts w:hint="eastAsia" w:ascii="Microsoft New Tai Lue" w:hAnsi="Microsoft New Tai Lue" w:cs="Microsoft New Tai Lue"/>
          <w:bCs w:val="0"/>
          <w:color w:val="auto"/>
          <w:sz w:val="24"/>
          <w:szCs w:val="24"/>
          <w:highlight w:val="none"/>
        </w:rPr>
        <w:t xml:space="preserve">（如需）</w:t>
      </w:r>
      <w:bookmarkEnd w:id="461"/>
      <w:r/>
      <w:r/>
    </w:p>
    <w:tbl>
      <w:tblPr>
        <w:tblStyle w:val="88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姓名</w:t>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性别</w:t>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职务</w:t>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职称</w:t>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毕业学校、专业</w:t>
            </w:r>
            <w:r/>
          </w:p>
        </w:tc>
        <w:tc>
          <w:tcPr>
            <w:gridSpan w:val="3"/>
            <w:tcW w:w="5808"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身份证号</w:t>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拟在本项目任职</w:t>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w:t>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执业资格证书号</w:t>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gridSpan w:val="4"/>
            <w:tcW w:w="8304"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近____年承担项目情况</w:t>
            </w:r>
            <w:r/>
          </w:p>
        </w:tc>
      </w:tr>
      <w:tr>
        <w:trPr>
          <w:jc w:val="center"/>
        </w:trPr>
        <w:tc>
          <w:tcPr>
            <w:tcW w:w="249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时间</w:t>
            </w:r>
            <w:r/>
          </w:p>
        </w:tc>
        <w:tc>
          <w:tcPr>
            <w:tcW w:w="165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类似项目名称</w:t>
            </w:r>
            <w:r/>
          </w:p>
        </w:tc>
        <w:tc>
          <w:tcPr>
            <w:tcW w:w="186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担任职务</w:t>
            </w:r>
            <w:r/>
          </w:p>
        </w:tc>
        <w:tc>
          <w:tcPr>
            <w:tcW w:w="2286" w:type="dxa"/>
            <w:vAlign w:val="center"/>
            <w:textDirection w:val="lrTb"/>
            <w:noWrap w:val="false"/>
          </w:tcPr>
          <w:p>
            <w:pPr>
              <w:pStyle w:val="1087"/>
              <w:ind w:firstLine="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项目单位名称及电话</w:t>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r>
        <w:trPr>
          <w:jc w:val="center"/>
        </w:trPr>
        <w:tc>
          <w:tcPr>
            <w:tcW w:w="249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65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186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c>
          <w:tcPr>
            <w:tcW w:w="2286" w:type="dxa"/>
            <w:vAlign w:val="center"/>
            <w:textDirection w:val="lrTb"/>
            <w:noWrap w:val="false"/>
          </w:tcPr>
          <w:p>
            <w:pPr>
              <w:pStyle w:val="1087"/>
              <w:ind w:firstLine="420"/>
              <w:jc w:val="center"/>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tc>
      </w:tr>
    </w:tbl>
    <w:p>
      <w:pPr>
        <w:pStyle w:val="1087"/>
        <w:ind w:firstLine="400"/>
        <w:rPr>
          <w:rFonts w:ascii="Microsoft New Tai Lue" w:hAnsi="Microsoft New Tai Lue" w:eastAsia="等线" w:cs="Microsoft New Tai Lue"/>
          <w:color w:val="auto"/>
          <w:highlight w:val="none"/>
        </w:rPr>
      </w:pPr>
      <w:r>
        <w:rPr>
          <w:rFonts w:ascii="Microsoft New Tai Lue" w:hAnsi="Microsoft New Tai Lue" w:eastAsia="等线" w:cs="Microsoft New Tai Lue"/>
          <w:color w:val="auto"/>
          <w:highlight w:val="none"/>
        </w:rPr>
      </w:r>
      <w:r/>
    </w:p>
    <w:p>
      <w:pPr>
        <w:pStyle w:val="1087"/>
        <w:ind w:firstLine="3769"/>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投标人名称</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公章</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：____________</w:t>
      </w:r>
      <w:r>
        <w:rPr>
          <w:rFonts w:ascii="Microsoft New Tai Lue" w:hAnsi="Microsoft New Tai Lue" w:cs="Microsoft New Tai Lue"/>
          <w:color w:val="auto"/>
          <w:sz w:val="21"/>
          <w:szCs w:val="21"/>
          <w:highlight w:val="none"/>
          <w:u w:val="single"/>
        </w:rPr>
        <w:t xml:space="preserve">                </w:t>
      </w:r>
      <w:r/>
    </w:p>
    <w:p>
      <w:pPr>
        <w:pStyle w:val="1087"/>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法定代表人（单位负责人）</w:t>
      </w:r>
      <w:r/>
    </w:p>
    <w:p>
      <w:pPr>
        <w:pStyle w:val="1087"/>
        <w:ind w:right="420" w:firstLine="3780"/>
        <w:jc w:val="left"/>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或其授权代表（签字或盖章）：_________________</w:t>
      </w:r>
      <w:r/>
    </w:p>
    <w:p>
      <w:pPr>
        <w:pStyle w:val="1087"/>
        <w:ind w:firstLine="378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日期：______年____月____日</w:t>
      </w:r>
      <w:r/>
    </w:p>
    <w:p>
      <w:pPr>
        <w:pStyle w:val="893"/>
        <w:ind w:left="0"/>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spacing w:before="0"/>
        <w:rPr>
          <w:rFonts w:ascii="Microsoft New Tai Lue" w:hAnsi="Microsoft New Tai Lue" w:cs="Microsoft New Tai Lue"/>
          <w:color w:val="auto"/>
          <w:highlight w:val="none"/>
        </w:rPr>
      </w:pPr>
      <w:r/>
      <w:bookmarkStart w:id="462" w:name="_Toc104560921"/>
      <w:r/>
      <w:bookmarkStart w:id="463" w:name="_Toc103848604"/>
      <w:r/>
      <w:bookmarkStart w:id="464" w:name="_Toc107246304"/>
      <w:r>
        <w:rPr>
          <w:rFonts w:ascii="Microsoft New Tai Lue" w:hAnsi="Microsoft New Tai Lue" w:cs="Microsoft New Tai Lue"/>
          <w:bCs w:val="0"/>
          <w:color w:val="auto"/>
          <w:sz w:val="24"/>
          <w:szCs w:val="24"/>
          <w:highlight w:val="none"/>
        </w:rPr>
        <w:t xml:space="preserve">（5）投标标的物符合招标文件规定的证明文件</w:t>
      </w:r>
      <w:bookmarkEnd w:id="462"/>
      <w:r/>
      <w:bookmarkEnd w:id="463"/>
      <w:r>
        <w:rPr>
          <w:rFonts w:hint="eastAsia" w:ascii="Microsoft New Tai Lue" w:hAnsi="Microsoft New Tai Lue" w:cs="Microsoft New Tai Lue"/>
          <w:bCs w:val="0"/>
          <w:color w:val="auto"/>
          <w:sz w:val="24"/>
          <w:szCs w:val="24"/>
          <w:highlight w:val="none"/>
        </w:rPr>
        <w:t xml:space="preserve">（如需）</w:t>
      </w:r>
      <w:bookmarkEnd w:id="464"/>
      <w:r/>
      <w:r/>
    </w:p>
    <w:p>
      <w:pPr>
        <w:pStyle w:val="1087"/>
        <w:ind w:firstLine="0"/>
        <w:rPr>
          <w:rFonts w:ascii="Microsoft New Tai Lue" w:hAnsi="Microsoft New Tai Lue" w:cs="Microsoft New Tai Lue"/>
          <w:b/>
          <w:color w:val="auto"/>
          <w:sz w:val="21"/>
          <w:szCs w:val="21"/>
          <w:highlight w:val="none"/>
        </w:rPr>
      </w:pPr>
      <w:r>
        <w:rPr>
          <w:rFonts w:ascii="Microsoft New Tai Lue" w:hAnsi="Microsoft New Tai Lue" w:cs="Microsoft New Tai Lue"/>
          <w:b/>
          <w:color w:val="auto"/>
          <w:sz w:val="21"/>
          <w:szCs w:val="21"/>
          <w:highlight w:val="none"/>
        </w:rPr>
        <w:t xml:space="preserve">注：提供第二章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投标人须知</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和第四章</w:t>
      </w:r>
      <w:r>
        <w:rPr>
          <w:rFonts w:hint="eastAsia" w:ascii="Microsoft New Tai Lue" w:hAnsi="Microsoft New Tai Lue" w:cs="Microsoft New Tai Lue"/>
          <w:b/>
          <w:bCs/>
          <w:color w:val="auto"/>
          <w:szCs w:val="21"/>
          <w:highlight w:val="none"/>
        </w:rPr>
        <w:t xml:space="preserve">“</w:t>
      </w:r>
      <w:r>
        <w:rPr>
          <w:rFonts w:ascii="Microsoft New Tai Lue" w:hAnsi="Microsoft New Tai Lue" w:cs="Microsoft New Tai Lue"/>
          <w:b/>
          <w:color w:val="auto"/>
          <w:sz w:val="21"/>
          <w:szCs w:val="21"/>
          <w:highlight w:val="none"/>
        </w:rPr>
        <w:t xml:space="preserve">采购需求</w:t>
      </w:r>
      <w:r>
        <w:rPr>
          <w:rFonts w:hint="eastAsia" w:ascii="Microsoft New Tai Lue" w:hAnsi="Microsoft New Tai Lue" w:cs="Microsoft New Tai Lue"/>
          <w:b/>
          <w:bCs/>
          <w:color w:val="auto"/>
          <w:highlight w:val="none"/>
        </w:rPr>
        <w:t xml:space="preserve">”</w:t>
      </w:r>
      <w:r>
        <w:rPr>
          <w:rFonts w:ascii="Microsoft New Tai Lue" w:hAnsi="Microsoft New Tai Lue" w:cs="Microsoft New Tai Lue"/>
          <w:b/>
          <w:color w:val="auto"/>
          <w:sz w:val="21"/>
          <w:szCs w:val="21"/>
          <w:highlight w:val="none"/>
        </w:rPr>
        <w:t xml:space="preserve">规定(包括投标货物的强制性认证、注册等)的证明材料复印件。</w:t>
      </w:r>
      <w:bookmarkEnd w:id="368"/>
      <w:r/>
      <w:r/>
    </w:p>
    <w:p>
      <w:pPr>
        <w:rPr>
          <w:rFonts w:ascii="Microsoft New Tai Lue" w:hAnsi="Microsoft New Tai Lue" w:cs="Microsoft New Tai Lue"/>
          <w:b/>
          <w:color w:val="auto"/>
          <w:highlight w:val="none"/>
        </w:rPr>
      </w:pPr>
      <w:r>
        <w:rPr>
          <w:rFonts w:ascii="Microsoft New Tai Lue" w:hAnsi="Microsoft New Tai Lue" w:cs="Microsoft New Tai Lue"/>
          <w:b/>
          <w:color w:val="auto"/>
          <w:highlight w:val="none"/>
        </w:rPr>
      </w:r>
      <w:r/>
    </w:p>
    <w:p>
      <w:pPr>
        <w:pStyle w:val="916"/>
        <w:rPr>
          <w:rFonts w:ascii="Microsoft New Tai Lue" w:hAnsi="Microsoft New Tai Lue" w:cs="Microsoft New Tai Lue"/>
          <w:color w:val="auto"/>
          <w:highlight w:val="none"/>
        </w:rPr>
      </w:pPr>
      <w:r/>
      <w:bookmarkStart w:id="465" w:name="_Toc96347904"/>
      <w:r>
        <w:rPr>
          <w:rFonts w:ascii="Microsoft New Tai Lue" w:hAnsi="Microsoft New Tai Lue" w:cs="Microsoft New Tai Lue"/>
          <w:color w:val="auto"/>
          <w:highlight w:val="none"/>
        </w:rPr>
        <w:br w:type="page" w:clear="all"/>
      </w:r>
      <w:bookmarkStart w:id="466" w:name="_Toc103848605"/>
      <w:r/>
      <w:bookmarkStart w:id="467" w:name="_Toc104560922"/>
      <w:r/>
      <w:bookmarkStart w:id="468" w:name="_Toc107246305"/>
      <w:r/>
      <w:bookmarkStart w:id="469" w:name="_Toc100905289"/>
      <w:r>
        <w:rPr>
          <w:rFonts w:hint="eastAsia" w:ascii="Microsoft New Tai Lue" w:hAnsi="Microsoft New Tai Lue" w:cs="Microsoft New Tai Lue"/>
          <w:color w:val="auto"/>
          <w:sz w:val="28"/>
          <w:szCs w:val="24"/>
          <w:highlight w:val="none"/>
        </w:rPr>
        <w:t xml:space="preserve">三</w:t>
      </w:r>
      <w:r>
        <w:rPr>
          <w:rFonts w:ascii="Microsoft New Tai Lue" w:hAnsi="Microsoft New Tai Lue" w:cs="Microsoft New Tai Lue"/>
          <w:color w:val="auto"/>
          <w:sz w:val="28"/>
          <w:szCs w:val="24"/>
          <w:highlight w:val="none"/>
        </w:rPr>
        <w:t xml:space="preserve">、其他部分</w:t>
      </w:r>
      <w:bookmarkEnd w:id="466"/>
      <w:r/>
      <w:bookmarkEnd w:id="467"/>
      <w:r/>
      <w:bookmarkEnd w:id="468"/>
      <w:r/>
      <w:r/>
    </w:p>
    <w:p>
      <w:pPr>
        <w:pStyle w:val="916"/>
        <w:spacing w:before="0" w:line="300" w:lineRule="auto"/>
        <w:rPr>
          <w:rFonts w:ascii="Microsoft New Tai Lue" w:hAnsi="Microsoft New Tai Lue" w:cs="Microsoft New Tai Lue"/>
          <w:bCs w:val="0"/>
          <w:color w:val="auto"/>
          <w:sz w:val="24"/>
          <w:szCs w:val="24"/>
          <w:highlight w:val="none"/>
        </w:rPr>
      </w:pPr>
      <w:r/>
      <w:bookmarkStart w:id="470" w:name="_Toc104560923"/>
      <w:r/>
      <w:bookmarkStart w:id="471" w:name="_Toc103848606"/>
      <w:r/>
      <w:bookmarkStart w:id="472" w:name="_Toc107246306"/>
      <w:r>
        <w:rPr>
          <w:rFonts w:ascii="Microsoft New Tai Lue" w:hAnsi="Microsoft New Tai Lue" w:cs="Microsoft New Tai Lue"/>
          <w:bCs w:val="0"/>
          <w:color w:val="auto"/>
          <w:sz w:val="24"/>
          <w:szCs w:val="24"/>
          <w:highlight w:val="none"/>
        </w:rPr>
        <w:t xml:space="preserve">（1）提供符合政府采购政策的证明材料</w:t>
      </w:r>
      <w:bookmarkEnd w:id="469"/>
      <w:r/>
      <w:bookmarkEnd w:id="470"/>
      <w:r/>
      <w:bookmarkEnd w:id="471"/>
      <w:r/>
      <w:bookmarkEnd w:id="472"/>
      <w:r/>
      <w:r/>
    </w:p>
    <w:p>
      <w:pP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r>
      <w:r/>
    </w:p>
    <w:p>
      <w:pPr>
        <w:jc w:val="center"/>
        <w:spacing w:line="300" w:lineRule="auto"/>
        <w:rPr>
          <w:rFonts w:ascii="Microsoft New Tai Lue" w:hAnsi="Microsoft New Tai Lue" w:cs="Microsoft New Tai Lue"/>
          <w:color w:val="auto"/>
          <w:highlight w:val="none"/>
        </w:rPr>
      </w:pPr>
      <w:r>
        <w:rPr>
          <w:rFonts w:ascii="Microsoft New Tai Lue" w:hAnsi="Microsoft New Tai Lue" w:cs="Microsoft New Tai Lue"/>
          <w:color w:val="auto"/>
          <w:highlight w:val="none"/>
        </w:rPr>
        <w:t xml:space="preserve">（请根据本项目</w:t>
      </w:r>
      <w:r>
        <w:rPr>
          <w:rFonts w:hint="eastAsia" w:ascii="Microsoft New Tai Lue" w:hAnsi="Microsoft New Tai Lue" w:cs="Microsoft New Tai Lue"/>
          <w:bCs/>
          <w:color w:val="auto"/>
          <w:szCs w:val="21"/>
          <w:highlight w:val="none"/>
        </w:rPr>
        <w:t xml:space="preserve">“</w:t>
      </w:r>
      <w:r>
        <w:rPr>
          <w:rFonts w:ascii="Microsoft New Tai Lue" w:hAnsi="Microsoft New Tai Lue" w:cs="Microsoft New Tai Lue"/>
          <w:color w:val="auto"/>
          <w:highlight w:val="none"/>
        </w:rPr>
        <w:t xml:space="preserve">采购项目类型</w:t>
      </w:r>
      <w:r>
        <w:rPr>
          <w:rFonts w:hint="eastAsia" w:ascii="Microsoft New Tai Lue" w:hAnsi="Microsoft New Tai Lue" w:cs="Microsoft New Tai Lue"/>
          <w:bCs/>
          <w:color w:val="auto"/>
          <w:highlight w:val="none"/>
        </w:rPr>
        <w:t xml:space="preserve">”</w:t>
      </w:r>
      <w:r>
        <w:rPr>
          <w:rFonts w:ascii="Microsoft New Tai Lue" w:hAnsi="Microsoft New Tai Lue" w:cs="Microsoft New Tai Lue"/>
          <w:color w:val="auto"/>
          <w:highlight w:val="none"/>
        </w:rPr>
        <w:t xml:space="preserve">选择合适的中小企业声明函</w:t>
      </w:r>
      <w:r>
        <w:rPr>
          <w:rFonts w:hint="eastAsia" w:ascii="Microsoft New Tai Lue" w:hAnsi="Microsoft New Tai Lue" w:cs="Microsoft New Tai Lue"/>
          <w:color w:val="auto"/>
          <w:highlight w:val="none"/>
        </w:rPr>
        <w:t xml:space="preserve">，如有遗漏请对照采购需求中的标的物逐项填写</w:t>
      </w:r>
      <w:r>
        <w:rPr>
          <w:rFonts w:ascii="Microsoft New Tai Lue" w:hAnsi="Microsoft New Tai Lue" w:cs="Microsoft New Tai Lue"/>
          <w:color w:val="auto"/>
          <w:highlight w:val="none"/>
        </w:rPr>
        <w:t xml:space="preserve">）</w:t>
      </w:r>
      <w:r/>
    </w:p>
    <w:p>
      <w:pPr>
        <w:ind w:right="-20"/>
        <w:jc w:val="center"/>
        <w:spacing w:line="300" w:lineRule="auto"/>
        <w:rPr>
          <w:rFonts w:ascii="Microsoft New Tai Lue" w:hAnsi="Microsoft New Tai Lue" w:cs="Microsoft New Tai Lue"/>
          <w:color w:val="auto"/>
          <w:spacing w:val="2"/>
          <w:position w:val="-3"/>
          <w:szCs w:val="21"/>
          <w:highlight w:val="none"/>
        </w:rPr>
      </w:pPr>
      <w:r>
        <w:rPr>
          <w:rFonts w:ascii="Microsoft New Tai Lue" w:hAnsi="Microsoft New Tai Lue" w:cs="Microsoft New Tai Lue"/>
          <w:color w:val="auto"/>
          <w:spacing w:val="2"/>
          <w:position w:val="-3"/>
          <w:szCs w:val="21"/>
          <w:highlight w:val="none"/>
        </w:rPr>
      </w:r>
      <w:r/>
    </w:p>
    <w:p>
      <w:pPr>
        <w:ind w:firstLine="420"/>
        <w:jc w:val="left"/>
        <w:spacing w:line="440" w:lineRule="exact"/>
        <w:widowControl/>
        <w:rPr>
          <w:rFonts w:hint="eastAsia" w:ascii="宋体" w:hAnsi="宋体" w:eastAsia="宋体" w:cs="宋体"/>
          <w:color w:val="auto"/>
          <w:szCs w:val="21"/>
          <w:highlight w:val="none"/>
        </w:rPr>
      </w:pPr>
      <w:r>
        <w:rPr>
          <w:rFonts w:hint="eastAsia" w:ascii="宋体" w:hAnsi="宋体" w:eastAsia="宋体" w:cs="宋体"/>
          <w:color w:val="auto"/>
          <w:highlight w:val="none"/>
        </w:rPr>
        <w:t xml:space="preserve">本公司（联合体）郑重声明，根据《政府采购促进中小企业发展管理办法》（财库〔2020 ） 46号）的规定，本公司 （联合体）参加</w:t>
      </w:r>
      <w:r>
        <w:rPr>
          <w:rFonts w:hint="eastAsia" w:ascii="宋体" w:hAnsi="宋体" w:eastAsia="宋体" w:cs="宋体"/>
          <w:color w:val="auto"/>
          <w:highlight w:val="none"/>
          <w:u w:val="single"/>
        </w:rPr>
        <w:t xml:space="preserve">（单位名称）</w:t>
      </w:r>
      <w:r>
        <w:rPr>
          <w:rFonts w:hint="eastAsia" w:ascii="宋体" w:hAnsi="宋体" w:eastAsia="宋体" w:cs="宋体"/>
          <w:color w:val="auto"/>
          <w:highlight w:val="none"/>
        </w:rPr>
        <w:t xml:space="preserve">的</w:t>
      </w:r>
      <w:r>
        <w:rPr>
          <w:rFonts w:hint="eastAsia" w:ascii="宋体" w:hAnsi="宋体" w:eastAsia="宋体" w:cs="宋体"/>
          <w:color w:val="auto"/>
          <w:highlight w:val="none"/>
          <w:u w:val="single"/>
        </w:rPr>
        <w:t xml:space="preserve">（项目名称）</w:t>
      </w:r>
      <w:r>
        <w:rPr>
          <w:rFonts w:hint="eastAsia" w:ascii="宋体" w:hAnsi="宋体" w:eastAsia="宋体" w:cs="宋体"/>
          <w:color w:val="auto"/>
          <w:highlight w:val="none"/>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w:t>
      </w:r>
      <w:r>
        <w:rPr>
          <w:rFonts w:hint="eastAsia" w:ascii="宋体" w:hAnsi="宋体" w:eastAsia="宋体" w:cs="宋体"/>
          <w:color w:val="auto"/>
          <w:highlight w:val="none"/>
          <w:u w:val="single"/>
        </w:rPr>
        <w:t xml:space="preserve">（标的名称</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,属于</w:t>
      </w:r>
      <w:r>
        <w:rPr>
          <w:rFonts w:hint="eastAsia" w:ascii="宋体" w:hAnsi="宋体" w:eastAsia="宋体" w:cs="宋体"/>
          <w:color w:val="auto"/>
          <w:szCs w:val="21"/>
          <w:highlight w:val="none"/>
          <w:u w:val="single"/>
        </w:rPr>
        <w:t xml:space="preserve">其他未列明行业</w:t>
      </w:r>
      <w:r>
        <w:rPr>
          <w:rFonts w:hint="eastAsia" w:ascii="宋体" w:hAnsi="宋体" w:eastAsia="宋体" w:cs="宋体"/>
          <w:color w:val="auto"/>
          <w:highlight w:val="none"/>
        </w:rPr>
        <w:t xml:space="preserve">, 承建（承接）企业为</w:t>
      </w:r>
      <w:r>
        <w:rPr>
          <w:rFonts w:hint="eastAsia" w:ascii="宋体" w:hAnsi="宋体" w:eastAsia="宋体" w:cs="宋体"/>
          <w:color w:val="auto"/>
          <w:highlight w:val="none"/>
          <w:u w:val="single"/>
        </w:rPr>
        <w:t xml:space="preserve">（企业名称</w:t>
      </w:r>
      <w:r>
        <w:rPr>
          <w:rFonts w:hint="eastAsia" w:ascii="宋体" w:hAnsi="宋体" w:cs="宋体"/>
          <w:color w:val="auto"/>
          <w:highlight w:val="none"/>
          <w:u w:val="single"/>
          <w:lang w:eastAsia="zh-CN"/>
        </w:rPr>
        <w:t xml:space="preserve">：</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人</w:t>
      </w:r>
      <w:r>
        <w:rPr>
          <w:rFonts w:hint="eastAsia" w:ascii="宋体" w:hAnsi="宋体" w:eastAsia="宋体" w:cs="宋体"/>
          <w:color w:val="auto"/>
          <w:highlight w:val="none"/>
        </w:rPr>
        <w:t xml:space="preserve">，营业收入为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cs="宋体"/>
          <w:color w:val="auto"/>
          <w:highlight w:val="none"/>
          <w:u w:val="single"/>
          <w:lang w:val="en-US" w:eastAsia="zh-CN"/>
        </w:rPr>
        <w:t xml:space="preserve">    </w:t>
      </w:r>
      <w:r>
        <w:rPr>
          <w:rFonts w:hint="eastAsia" w:ascii="宋体" w:hAnsi="宋体" w:eastAsia="宋体" w:cs="宋体"/>
          <w:color w:val="auto"/>
          <w:highlight w:val="none"/>
          <w:u w:val="single"/>
        </w:rPr>
        <w:t xml:space="preserve">（</w:t>
      </w:r>
      <w:r>
        <w:rPr>
          <w:rFonts w:hint="eastAsia" w:ascii="宋体" w:hAnsi="宋体" w:eastAsia="宋体" w:cs="宋体"/>
          <w:color w:val="auto"/>
          <w:szCs w:val="21"/>
          <w:highlight w:val="none"/>
        </w:rPr>
        <w:t xml:space="preserve">¨中型企业 ¨小型企业 ¨微型企业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u w:val="single"/>
        </w:rPr>
        <w:t xml:space="preserve">（标的名称）,</w:t>
      </w:r>
      <w:r>
        <w:rPr>
          <w:rFonts w:hint="eastAsia" w:ascii="宋体" w:hAnsi="宋体" w:eastAsia="宋体" w:cs="宋体"/>
          <w:color w:val="auto"/>
          <w:highlight w:val="none"/>
        </w:rPr>
        <w:t xml:space="preserve">属于</w:t>
      </w:r>
      <w:r>
        <w:rPr>
          <w:rFonts w:hint="eastAsia" w:ascii="宋体" w:hAnsi="宋体" w:eastAsia="宋体" w:cs="宋体"/>
          <w:color w:val="auto"/>
          <w:szCs w:val="21"/>
          <w:highlight w:val="none"/>
          <w:u w:val="single"/>
        </w:rPr>
        <w:t xml:space="preserve">其他未列明行业</w:t>
      </w:r>
      <w:r>
        <w:rPr>
          <w:rFonts w:hint="eastAsia" w:ascii="宋体" w:hAnsi="宋体" w:eastAsia="宋体" w:cs="宋体"/>
          <w:color w:val="auto"/>
          <w:highlight w:val="none"/>
        </w:rPr>
        <w:t xml:space="preserve">, 承建（承接）企业为</w:t>
      </w:r>
      <w:r>
        <w:rPr>
          <w:rFonts w:hint="eastAsia" w:ascii="宋体" w:hAnsi="宋体" w:eastAsia="宋体" w:cs="宋体"/>
          <w:color w:val="auto"/>
          <w:highlight w:val="none"/>
          <w:u w:val="single"/>
        </w:rPr>
        <w:t xml:space="preserve">（企业名称）</w:t>
      </w:r>
      <w:r>
        <w:rPr>
          <w:rFonts w:hint="eastAsia" w:ascii="宋体" w:hAnsi="宋体" w:eastAsia="宋体" w:cs="宋体"/>
          <w:color w:val="auto"/>
          <w:highlight w:val="none"/>
        </w:rPr>
        <w:t xml:space="preserve">,从业人员</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人</w:t>
      </w:r>
      <w:r>
        <w:rPr>
          <w:rFonts w:hint="eastAsia" w:ascii="宋体" w:hAnsi="宋体" w:eastAsia="宋体" w:cs="宋体"/>
          <w:color w:val="auto"/>
          <w:highlight w:val="none"/>
        </w:rPr>
        <w:t xml:space="preserve">，营业收入为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万元，资产总额为</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万元，属于</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¨中型企业 ¨小型企业 ¨微型企业</w:t>
      </w:r>
      <w:r>
        <w:rPr>
          <w:rFonts w:hint="eastAsia" w:ascii="宋体" w:hAnsi="宋体" w:eastAsia="宋体" w:cs="宋体"/>
          <w:color w:val="auto"/>
          <w:highlight w:val="none"/>
          <w:u w:val="single"/>
        </w:rPr>
        <w:t xml:space="preserve">）</w:t>
      </w:r>
      <w:r>
        <w:rPr>
          <w:rFonts w:hint="eastAsia" w:ascii="宋体" w:hAnsi="宋体" w:eastAsia="宋体" w:cs="宋体"/>
          <w:color w:val="auto"/>
          <w:highlight w:val="none"/>
        </w:rPr>
        <w:t xml:space="preserve">；</w:t>
      </w:r>
      <w:r>
        <w:rPr>
          <w:rFonts w:hint="eastAsia" w:ascii="宋体" w:hAnsi="宋体" w:eastAsia="宋体" w:cs="宋体"/>
          <w:color w:val="auto"/>
          <w:highlight w:val="none"/>
        </w:rPr>
        <w:tab/>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本企业对上述声明内容的真实性负责。如有虚假，将依法承担相应责任。</w:t>
      </w:r>
      <w:r/>
    </w:p>
    <w:p>
      <w:pPr>
        <w:ind w:firstLine="420"/>
        <w:jc w:val="righ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企业名称：（加盖电子公章）</w:t>
      </w:r>
      <w:r/>
    </w:p>
    <w:p>
      <w:pPr>
        <w:ind w:right="1890" w:firstLine="420"/>
        <w:jc w:val="right"/>
        <w:spacing w:line="440" w:lineRule="exac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日  期：</w:t>
      </w:r>
      <w:r/>
    </w:p>
    <w:p>
      <w:pPr>
        <w:ind w:right="420" w:firstLine="3780"/>
        <w:spacing w:line="300" w:lineRule="auto"/>
        <w:rPr>
          <w:rFonts w:ascii="Microsoft New Tai Lue" w:hAnsi="Microsoft New Tai Lue" w:cs="Microsoft New Tai Lue"/>
          <w:color w:val="auto"/>
          <w:szCs w:val="21"/>
          <w:highlight w:val="none"/>
        </w:rPr>
      </w:pPr>
      <w:r>
        <w:rPr>
          <w:rFonts w:hint="eastAsia" w:ascii="Microsoft New Tai Lue" w:hAnsi="Microsoft New Tai Lue" w:cs="Microsoft New Tai Lue"/>
          <w:color w:val="auto"/>
          <w:szCs w:val="21"/>
          <w:highlight w:val="none"/>
        </w:rPr>
        <w:t xml:space="preserve">     </w:t>
      </w:r>
      <w:r/>
    </w:p>
    <w:p>
      <w:pPr>
        <w:ind w:right="420" w:firstLine="4200"/>
        <w:jc w:val="cente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420" w:firstLine="4200"/>
        <w:jc w:val="center"/>
        <w:spacing w:line="300" w:lineRule="auto"/>
        <w:rPr>
          <w:rFonts w:ascii="Microsoft New Tai Lue" w:hAnsi="Microsoft New Tai Lue" w:cs="Microsoft New Tai Lue"/>
          <w:color w:val="auto"/>
          <w:szCs w:val="21"/>
          <w:highlight w:val="none"/>
        </w:rPr>
      </w:pPr>
      <w:r>
        <w:rPr>
          <w:rFonts w:ascii="Microsoft New Tai Lue" w:hAnsi="Microsoft New Tai Lue" w:cs="Microsoft New Tai Lue"/>
          <w:color w:val="auto"/>
          <w:szCs w:val="21"/>
          <w:highlight w:val="none"/>
        </w:rPr>
      </w:r>
      <w:r/>
    </w:p>
    <w:p>
      <w:pPr>
        <w:ind w:right="-20"/>
        <w:spacing w:line="300" w:lineRule="auto"/>
        <w:rPr>
          <w:rFonts w:ascii="Microsoft New Tai Lue" w:hAnsi="Microsoft New Tai Lue" w:cs="Microsoft New Tai Lue"/>
          <w:color w:val="auto"/>
          <w:position w:val="-2"/>
          <w:szCs w:val="21"/>
          <w:highlight w:val="none"/>
        </w:rPr>
      </w:pPr>
      <w:r>
        <w:rPr>
          <w:rFonts w:ascii="Microsoft New Tai Lue" w:hAnsi="Microsoft New Tai Lue" w:cs="Microsoft New Tai Lue"/>
          <w:color w:val="auto"/>
          <w:position w:val="-2"/>
          <w:szCs w:val="21"/>
          <w:highlight w:val="none"/>
          <w:vertAlign w:val="superscript"/>
        </w:rPr>
        <w:t xml:space="preserve">1</w:t>
      </w:r>
      <w:r>
        <w:rPr>
          <w:rFonts w:ascii="Microsoft New Tai Lue" w:hAnsi="Microsoft New Tai Lue" w:cs="Microsoft New Tai Lue"/>
          <w:color w:val="auto"/>
          <w:position w:val="-2"/>
          <w:szCs w:val="21"/>
          <w:highlight w:val="none"/>
        </w:rPr>
        <w:t xml:space="preserve">从业人员、营业收入、资产总额填报上一年度数据，无上一年度数据的新成立企业可不填报。</w:t>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w:t>
      </w:r>
      <w:r>
        <w:rPr>
          <w:rFonts w:hint="eastAsia" w:ascii="Microsoft New Tai Lue" w:hAnsi="Microsoft New Tai Lue" w:cs="Microsoft New Tai Lue"/>
          <w:b/>
          <w:color w:val="auto"/>
          <w:szCs w:val="21"/>
          <w:highlight w:val="none"/>
        </w:rPr>
        <w:t xml:space="preserve">权使</w:t>
      </w:r>
      <w:r>
        <w:rPr>
          <w:rFonts w:ascii="Microsoft New Tai Lue" w:hAnsi="Microsoft New Tai Lue" w:cs="Microsoft New Tai Lue"/>
          <w:b/>
          <w:color w:val="auto"/>
          <w:szCs w:val="21"/>
          <w:highlight w:val="none"/>
        </w:rPr>
        <w:t xml:space="preserve">用投标专用章的，与公章具有相同法律效力。</w:t>
      </w:r>
      <w:r>
        <w:rPr>
          <w:rFonts w:ascii="Microsoft New Tai Lue" w:hAnsi="Microsoft New Tai Lue" w:cs="Microsoft New Tai Lue"/>
          <w:b/>
          <w:color w:val="auto"/>
          <w:szCs w:val="21"/>
          <w:highlight w:val="none"/>
        </w:rPr>
        <w:br w:type="page" w:clear="all"/>
      </w:r>
      <w:bookmarkEnd w:id="465"/>
      <w:r/>
      <w:r/>
    </w:p>
    <w:p>
      <w:pPr>
        <w:pStyle w:val="896"/>
        <w:jc w:val="center"/>
        <w:spacing w:line="460" w:lineRule="exact"/>
        <w:rPr>
          <w:rFonts w:ascii="Times New Roman" w:hAnsi="Times New Roman" w:cs="Times New Roman"/>
          <w:b/>
          <w:bCs/>
          <w:color w:val="auto"/>
          <w:sz w:val="28"/>
          <w:szCs w:val="28"/>
          <w:highlight w:val="none"/>
        </w:rPr>
      </w:pPr>
      <w:r>
        <w:rPr>
          <w:rFonts w:hint="eastAsia" w:ascii="Times New Roman" w:hAnsi="Times New Roman" w:cs="Times New Roman"/>
          <w:b/>
          <w:bCs/>
          <w:color w:val="auto"/>
          <w:sz w:val="28"/>
          <w:szCs w:val="28"/>
          <w:highlight w:val="none"/>
        </w:rPr>
        <w:t xml:space="preserve">本国产品标准的</w:t>
      </w:r>
      <w:r>
        <w:rPr>
          <w:rFonts w:ascii="Times New Roman" w:hAnsi="Times New Roman" w:cs="Times New Roman"/>
          <w:b/>
          <w:bCs/>
          <w:color w:val="auto"/>
          <w:sz w:val="28"/>
          <w:szCs w:val="28"/>
          <w:highlight w:val="none"/>
        </w:rPr>
        <w:t xml:space="preserve">声明函</w:t>
      </w:r>
      <w:r>
        <w:rPr>
          <w:rFonts w:hint="eastAsia" w:ascii="Microsoft New Tai Lue" w:hAnsi="Microsoft New Tai Lue" w:cs="Microsoft New Tai Lue"/>
          <w:b/>
          <w:color w:val="auto"/>
          <w:sz w:val="24"/>
          <w:szCs w:val="24"/>
          <w:highlight w:val="none"/>
        </w:rPr>
        <w:t xml:space="preserve">（</w:t>
      </w:r>
      <w:r>
        <w:rPr>
          <w:rFonts w:hint="eastAsia" w:ascii="Microsoft New Tai Lue" w:hAnsi="Microsoft New Tai Lue" w:cs="Microsoft New Tai Lue"/>
          <w:b/>
          <w:color w:val="auto"/>
          <w:sz w:val="24"/>
          <w:szCs w:val="24"/>
          <w:highlight w:val="none"/>
          <w:lang w:val="en-US" w:eastAsia="zh-CN"/>
        </w:rPr>
        <w:t xml:space="preserve">如涉及，货物类项目适用</w:t>
      </w:r>
      <w:r>
        <w:rPr>
          <w:rFonts w:hint="eastAsia" w:ascii="Microsoft New Tai Lue" w:hAnsi="Microsoft New Tai Lue" w:cs="Microsoft New Tai Lue"/>
          <w:b/>
          <w:color w:val="auto"/>
          <w:sz w:val="24"/>
          <w:szCs w:val="24"/>
          <w:highlight w:val="none"/>
        </w:rPr>
        <w:t xml:space="preserve">）</w:t>
      </w:r>
      <w:r/>
    </w:p>
    <w:p>
      <w:pPr>
        <w:pStyle w:val="91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1.</w:t>
      </w:r>
      <w:r>
        <w:rPr>
          <w:rStyle w:val="923"/>
          <w:rFonts w:hint="eastAsia"/>
          <w:b/>
          <w:color w:val="auto"/>
          <w:sz w:val="21"/>
          <w:szCs w:val="21"/>
          <w:highlight w:val="none"/>
        </w:rPr>
        <w:t xml:space="preserve">（产品名称1）</w:t>
      </w:r>
      <w:r>
        <w:rPr>
          <w:rStyle w:val="923"/>
          <w:rFonts w:hint="eastAsia"/>
          <w:b/>
          <w:color w:val="auto"/>
          <w:sz w:val="21"/>
          <w:szCs w:val="21"/>
          <w:highlight w:val="none"/>
          <w:vertAlign w:val="superscript"/>
        </w:rPr>
        <w:t xml:space="preserve">1</w:t>
      </w:r>
      <w:r>
        <w:rPr>
          <w:rFonts w:hint="eastAsia"/>
          <w:b/>
          <w:color w:val="auto"/>
          <w:sz w:val="21"/>
          <w:szCs w:val="21"/>
          <w:highlight w:val="none"/>
        </w:rPr>
        <w:t xml:space="preserve">，生产厂为</w:t>
      </w:r>
      <w:r>
        <w:rPr>
          <w:rStyle w:val="923"/>
          <w:rFonts w:hint="eastAsia"/>
          <w:b/>
          <w:color w:val="auto"/>
          <w:sz w:val="21"/>
          <w:szCs w:val="21"/>
          <w:highlight w:val="none"/>
        </w:rPr>
        <w:t xml:space="preserve">（厂名）</w:t>
      </w:r>
      <w:r>
        <w:rPr>
          <w:rStyle w:val="923"/>
          <w:rFonts w:hint="eastAsia"/>
          <w:b/>
          <w:color w:val="auto"/>
          <w:sz w:val="21"/>
          <w:szCs w:val="21"/>
          <w:highlight w:val="none"/>
          <w:vertAlign w:val="superscript"/>
        </w:rPr>
        <w:t xml:space="preserve">2</w:t>
      </w:r>
      <w:r>
        <w:rPr>
          <w:rFonts w:hint="eastAsia"/>
          <w:b/>
          <w:color w:val="auto"/>
          <w:sz w:val="21"/>
          <w:szCs w:val="21"/>
          <w:highlight w:val="none"/>
        </w:rPr>
        <w:t xml:space="preserve">，厂址为</w:t>
      </w:r>
      <w:r>
        <w:rPr>
          <w:rStyle w:val="923"/>
          <w:rFonts w:hint="eastAsia"/>
          <w:b/>
          <w:color w:val="auto"/>
          <w:sz w:val="21"/>
          <w:szCs w:val="21"/>
          <w:highlight w:val="none"/>
        </w:rPr>
        <w:t xml:space="preserve">（生产厂址）</w:t>
      </w:r>
      <w:r>
        <w:rPr>
          <w:rFonts w:hint="eastAsia"/>
          <w:b/>
          <w:color w:val="auto"/>
          <w:sz w:val="21"/>
          <w:szCs w:val="21"/>
          <w:highlight w:val="none"/>
        </w:rPr>
        <w:t xml:space="preserve">。</w:t>
      </w:r>
      <w:r>
        <w:rPr>
          <w:rStyle w:val="923"/>
          <w:rFonts w:hint="eastAsia"/>
          <w:b/>
          <w:color w:val="auto"/>
          <w:sz w:val="21"/>
          <w:szCs w:val="21"/>
          <w:highlight w:val="none"/>
        </w:rPr>
        <w:t xml:space="preserve">（产品名称1）</w:t>
      </w:r>
      <w:r>
        <w:rPr>
          <w:rFonts w:hint="eastAsia"/>
          <w:b/>
          <w:color w:val="auto"/>
          <w:sz w:val="21"/>
          <w:szCs w:val="21"/>
          <w:highlight w:val="none"/>
        </w:rPr>
        <w:t xml:space="preserve">的中国境内生产的组件成本占比≥</w:t>
      </w:r>
      <w:r>
        <w:rPr>
          <w:rStyle w:val="923"/>
          <w:rFonts w:hint="eastAsia"/>
          <w:b/>
          <w:color w:val="auto"/>
          <w:sz w:val="21"/>
          <w:szCs w:val="21"/>
          <w:highlight w:val="none"/>
        </w:rPr>
        <w:t xml:space="preserve">（规定比例）</w:t>
      </w:r>
      <w:r>
        <w:rPr>
          <w:rStyle w:val="923"/>
          <w:rFonts w:hint="eastAsia"/>
          <w:b/>
          <w:color w:val="auto"/>
          <w:sz w:val="21"/>
          <w:szCs w:val="21"/>
          <w:highlight w:val="none"/>
          <w:vertAlign w:val="superscript"/>
        </w:rPr>
        <w:t xml:space="preserve">3</w:t>
      </w:r>
      <w:r>
        <w:rPr>
          <w:rFonts w:hint="eastAsia"/>
          <w:b/>
          <w:color w:val="auto"/>
          <w:sz w:val="21"/>
          <w:szCs w:val="21"/>
          <w:highlight w:val="none"/>
        </w:rPr>
        <w:t xml:space="preserve">。</w:t>
      </w:r>
      <w:r>
        <w:rPr>
          <w:rStyle w:val="923"/>
          <w:rFonts w:hint="eastAsia"/>
          <w:b/>
          <w:color w:val="auto"/>
          <w:sz w:val="21"/>
          <w:szCs w:val="21"/>
          <w:highlight w:val="none"/>
        </w:rPr>
        <w:t xml:space="preserve">（产品名称1）</w:t>
      </w:r>
      <w:r>
        <w:rPr>
          <w:rFonts w:hint="eastAsia"/>
          <w:b/>
          <w:color w:val="auto"/>
          <w:sz w:val="21"/>
          <w:szCs w:val="21"/>
          <w:highlight w:val="none"/>
        </w:rPr>
        <w:t xml:space="preserve">的</w:t>
      </w:r>
      <w:r>
        <w:rPr>
          <w:rStyle w:val="923"/>
          <w:rFonts w:hint="eastAsia"/>
          <w:b/>
          <w:color w:val="auto"/>
          <w:sz w:val="21"/>
          <w:szCs w:val="21"/>
          <w:highlight w:val="none"/>
        </w:rPr>
        <w:t xml:space="preserve">（关键组件）</w:t>
      </w:r>
      <w:r>
        <w:rPr>
          <w:rStyle w:val="923"/>
          <w:rFonts w:hint="eastAsia"/>
          <w:b/>
          <w:color w:val="auto"/>
          <w:sz w:val="21"/>
          <w:szCs w:val="21"/>
          <w:highlight w:val="none"/>
          <w:vertAlign w:val="superscript"/>
        </w:rPr>
        <w:t xml:space="preserve">4</w:t>
      </w:r>
      <w:r>
        <w:rPr>
          <w:rFonts w:hint="eastAsia"/>
          <w:b/>
          <w:color w:val="auto"/>
          <w:sz w:val="21"/>
          <w:szCs w:val="21"/>
          <w:highlight w:val="none"/>
        </w:rPr>
        <w:t xml:space="preserve">在中国境内生产。</w:t>
      </w:r>
      <w:r>
        <w:rPr>
          <w:rStyle w:val="923"/>
          <w:rFonts w:hint="eastAsia"/>
          <w:b/>
          <w:color w:val="auto"/>
          <w:sz w:val="21"/>
          <w:szCs w:val="21"/>
          <w:highlight w:val="none"/>
        </w:rPr>
        <w:t xml:space="preserve">（产品名称1）</w:t>
      </w:r>
      <w:r>
        <w:rPr>
          <w:rFonts w:hint="eastAsia"/>
          <w:b/>
          <w:color w:val="auto"/>
          <w:sz w:val="21"/>
          <w:szCs w:val="21"/>
          <w:highlight w:val="none"/>
        </w:rPr>
        <w:t xml:space="preserve">的</w:t>
      </w:r>
      <w:r>
        <w:rPr>
          <w:rStyle w:val="923"/>
          <w:rFonts w:hint="eastAsia"/>
          <w:b/>
          <w:color w:val="auto"/>
          <w:sz w:val="21"/>
          <w:szCs w:val="21"/>
          <w:highlight w:val="none"/>
        </w:rPr>
        <w:t xml:space="preserve">（关键工序）</w:t>
      </w:r>
      <w:r>
        <w:rPr>
          <w:rStyle w:val="923"/>
          <w:rFonts w:hint="eastAsia"/>
          <w:b/>
          <w:color w:val="auto"/>
          <w:sz w:val="21"/>
          <w:szCs w:val="21"/>
          <w:highlight w:val="none"/>
          <w:vertAlign w:val="superscript"/>
        </w:rPr>
        <w:t xml:space="preserve">5</w:t>
      </w:r>
      <w:r>
        <w:rPr>
          <w:rFonts w:hint="eastAsia"/>
          <w:b/>
          <w:color w:val="auto"/>
          <w:sz w:val="21"/>
          <w:szCs w:val="21"/>
          <w:highlight w:val="none"/>
        </w:rPr>
        <w:t xml:space="preserve">在中国境内完成。</w:t>
      </w:r>
      <w:r/>
    </w:p>
    <w:p>
      <w:pPr>
        <w:pStyle w:val="91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w:t>
      </w:r>
      <w:r>
        <w:rPr>
          <w:rStyle w:val="923"/>
          <w:rFonts w:hint="eastAsia"/>
          <w:b/>
          <w:color w:val="auto"/>
          <w:sz w:val="21"/>
          <w:szCs w:val="21"/>
          <w:highlight w:val="none"/>
        </w:rPr>
        <w:t xml:space="preserve">（产品名称2）</w:t>
      </w:r>
      <w:r>
        <w:rPr>
          <w:rFonts w:hint="eastAsia"/>
          <w:b/>
          <w:color w:val="auto"/>
          <w:sz w:val="21"/>
          <w:szCs w:val="21"/>
          <w:highlight w:val="none"/>
        </w:rPr>
        <w:t xml:space="preserve">，生产厂为</w:t>
      </w:r>
      <w:r>
        <w:rPr>
          <w:rStyle w:val="923"/>
          <w:rFonts w:hint="eastAsia"/>
          <w:b/>
          <w:color w:val="auto"/>
          <w:sz w:val="21"/>
          <w:szCs w:val="21"/>
          <w:highlight w:val="none"/>
        </w:rPr>
        <w:t xml:space="preserve">（厂名）</w:t>
      </w:r>
      <w:r>
        <w:rPr>
          <w:rFonts w:hint="eastAsia"/>
          <w:b/>
          <w:color w:val="auto"/>
          <w:sz w:val="21"/>
          <w:szCs w:val="21"/>
          <w:highlight w:val="none"/>
        </w:rPr>
        <w:t xml:space="preserve">，厂址为</w:t>
      </w:r>
      <w:r>
        <w:rPr>
          <w:rStyle w:val="923"/>
          <w:rFonts w:hint="eastAsia"/>
          <w:b/>
          <w:color w:val="auto"/>
          <w:sz w:val="21"/>
          <w:szCs w:val="21"/>
          <w:highlight w:val="none"/>
        </w:rPr>
        <w:t xml:space="preserve">（生产厂址）</w:t>
      </w:r>
      <w:r>
        <w:rPr>
          <w:rFonts w:hint="eastAsia"/>
          <w:b/>
          <w:color w:val="auto"/>
          <w:sz w:val="21"/>
          <w:szCs w:val="21"/>
          <w:highlight w:val="none"/>
        </w:rPr>
        <w:t xml:space="preserve">。</w:t>
      </w:r>
      <w:r>
        <w:rPr>
          <w:rStyle w:val="923"/>
          <w:rFonts w:hint="eastAsia"/>
          <w:b/>
          <w:color w:val="auto"/>
          <w:sz w:val="21"/>
          <w:szCs w:val="21"/>
          <w:highlight w:val="none"/>
        </w:rPr>
        <w:t xml:space="preserve">（产品名称2）</w:t>
      </w:r>
      <w:r>
        <w:rPr>
          <w:rFonts w:hint="eastAsia"/>
          <w:b/>
          <w:color w:val="auto"/>
          <w:sz w:val="21"/>
          <w:szCs w:val="21"/>
          <w:highlight w:val="none"/>
        </w:rPr>
        <w:t xml:space="preserve">的中国境内生产的组件成本占比≥</w:t>
      </w:r>
      <w:r>
        <w:rPr>
          <w:rStyle w:val="923"/>
          <w:rFonts w:hint="eastAsia"/>
          <w:b/>
          <w:color w:val="auto"/>
          <w:sz w:val="21"/>
          <w:szCs w:val="21"/>
          <w:highlight w:val="none"/>
        </w:rPr>
        <w:t xml:space="preserve">（规定比例）</w:t>
      </w:r>
      <w:r>
        <w:rPr>
          <w:rFonts w:hint="eastAsia"/>
          <w:b/>
          <w:color w:val="auto"/>
          <w:sz w:val="21"/>
          <w:szCs w:val="21"/>
          <w:highlight w:val="none"/>
        </w:rPr>
        <w:t xml:space="preserve">。</w:t>
      </w:r>
      <w:r>
        <w:rPr>
          <w:rStyle w:val="923"/>
          <w:rFonts w:hint="eastAsia"/>
          <w:b/>
          <w:color w:val="auto"/>
          <w:sz w:val="21"/>
          <w:szCs w:val="21"/>
          <w:highlight w:val="none"/>
        </w:rPr>
        <w:t xml:space="preserve">（产品名称2）</w:t>
      </w:r>
      <w:r>
        <w:rPr>
          <w:rFonts w:hint="eastAsia"/>
          <w:b/>
          <w:color w:val="auto"/>
          <w:sz w:val="21"/>
          <w:szCs w:val="21"/>
          <w:highlight w:val="none"/>
        </w:rPr>
        <w:t xml:space="preserve">的</w:t>
      </w:r>
      <w:r>
        <w:rPr>
          <w:rStyle w:val="923"/>
          <w:rFonts w:hint="eastAsia"/>
          <w:b/>
          <w:color w:val="auto"/>
          <w:sz w:val="21"/>
          <w:szCs w:val="21"/>
          <w:highlight w:val="none"/>
        </w:rPr>
        <w:t xml:space="preserve">（关键组件）</w:t>
      </w:r>
      <w:r>
        <w:rPr>
          <w:rFonts w:hint="eastAsia"/>
          <w:b/>
          <w:color w:val="auto"/>
          <w:sz w:val="21"/>
          <w:szCs w:val="21"/>
          <w:highlight w:val="none"/>
        </w:rPr>
        <w:t xml:space="preserve">在中国境内生产。</w:t>
      </w:r>
      <w:r>
        <w:rPr>
          <w:rStyle w:val="923"/>
          <w:rFonts w:hint="eastAsia"/>
          <w:b/>
          <w:color w:val="auto"/>
          <w:sz w:val="21"/>
          <w:szCs w:val="21"/>
          <w:highlight w:val="none"/>
        </w:rPr>
        <w:t xml:space="preserve">（产品名称2）</w:t>
      </w:r>
      <w:r>
        <w:rPr>
          <w:rFonts w:hint="eastAsia"/>
          <w:b/>
          <w:color w:val="auto"/>
          <w:sz w:val="21"/>
          <w:szCs w:val="21"/>
          <w:highlight w:val="none"/>
        </w:rPr>
        <w:t xml:space="preserve">的</w:t>
      </w:r>
      <w:r>
        <w:rPr>
          <w:rStyle w:val="923"/>
          <w:rFonts w:hint="eastAsia"/>
          <w:b/>
          <w:color w:val="auto"/>
          <w:sz w:val="21"/>
          <w:szCs w:val="21"/>
          <w:highlight w:val="none"/>
        </w:rPr>
        <w:t xml:space="preserve">（关键工序）</w:t>
      </w:r>
      <w:r>
        <w:rPr>
          <w:rFonts w:hint="eastAsia"/>
          <w:b/>
          <w:color w:val="auto"/>
          <w:sz w:val="21"/>
          <w:szCs w:val="21"/>
          <w:highlight w:val="none"/>
        </w:rPr>
        <w:t xml:space="preserve">在中国境内完成。</w:t>
      </w:r>
      <w:r/>
    </w:p>
    <w:p>
      <w:pPr>
        <w:pStyle w:val="91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w:t>
      </w:r>
      <w:r/>
    </w:p>
    <w:p>
      <w:pPr>
        <w:pStyle w:val="91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rPr>
          <w:rFonts w:cs="Calibri"/>
          <w:b/>
          <w:color w:val="auto"/>
          <w:sz w:val="21"/>
          <w:szCs w:val="21"/>
          <w:highlight w:val="none"/>
        </w:rPr>
        <w:t xml:space="preserve"> </w:t>
      </w:r>
      <w:r/>
    </w:p>
    <w:p>
      <w:pPr>
        <w:pStyle w:val="915"/>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915"/>
        <w:ind w:firstLine="420"/>
        <w:jc w:val="right"/>
        <w:spacing w:line="560" w:lineRule="atLeast"/>
        <w:shd w:val="clear" w:color="auto" w:fill="ffffff"/>
        <w:rPr>
          <w:b/>
          <w:color w:val="auto"/>
          <w:szCs w:val="21"/>
          <w:highlight w:val="none"/>
          <w:u w:val="single"/>
        </w:rPr>
      </w:pPr>
      <w:r>
        <w:rPr>
          <w:rFonts w:hint="eastAsia"/>
          <w:b/>
          <w:color w:val="auto"/>
          <w:sz w:val="21"/>
          <w:szCs w:val="21"/>
          <w:highlight w:val="none"/>
        </w:rPr>
        <w:t xml:space="preserve">日期：　  年　  月　  日</w:t>
      </w:r>
      <w:r/>
    </w:p>
    <w:p>
      <w:pPr>
        <w:pStyle w:val="91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注：1.产品如有型号，请在“产品名称”栏一并填写。</w:t>
      </w:r>
      <w:r/>
    </w:p>
    <w:p>
      <w:pPr>
        <w:pStyle w:val="91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2.生产厂名与厂址应与生产厂营业执照载明的相关信息保持一致。</w:t>
      </w:r>
      <w:r/>
    </w:p>
    <w:p>
      <w:pPr>
        <w:pStyle w:val="91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3.该产品的中国境内生产的组件成本占比相关要求实施前，“规定比例”栏可不填，下同。</w:t>
      </w:r>
      <w:r/>
    </w:p>
    <w:p>
      <w:pPr>
        <w:pStyle w:val="915"/>
        <w:ind w:firstLine="420"/>
        <w:spacing w:before="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4.该产品的关键组件要求实施前，“关键组件”栏可不填，下同。</w:t>
      </w:r>
      <w:r/>
    </w:p>
    <w:p>
      <w:pPr>
        <w:pStyle w:val="915"/>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rPr>
        <w:t xml:space="preserve">5.该产品的关键工序要求实施前，“关键工序”栏可不填，下同。</w:t>
      </w:r>
      <w:r/>
    </w:p>
    <w:p>
      <w:pPr>
        <w:pStyle w:val="915"/>
        <w:jc w:val="center"/>
        <w:spacing w:before="0" w:beforeAutospacing="0" w:after="156" w:afterAutospacing="0" w:line="560" w:lineRule="atLeast"/>
        <w:shd w:val="clear" w:color="auto" w:fill="ffffff"/>
        <w:rPr>
          <w:rFonts w:cs="宋体"/>
          <w:b/>
          <w:bCs/>
          <w:color w:val="auto"/>
          <w:highlight w:val="none"/>
          <w:shd w:val="clear" w:color="auto" w:fill="ffffff"/>
          <w:lang w:eastAsia="zh"/>
        </w:rPr>
      </w:pPr>
      <w:r>
        <w:rPr>
          <w:rFonts w:hint="eastAsia" w:cs="宋体"/>
          <w:b/>
          <w:bCs/>
          <w:color w:val="auto"/>
          <w:highlight w:val="none"/>
          <w:shd w:val="clear" w:color="auto" w:fill="ffffff"/>
          <w:lang w:eastAsia="zh"/>
        </w:rPr>
        <w:t xml:space="preserve">成本比例声明函</w:t>
      </w:r>
      <w:r>
        <w:rPr>
          <w:rFonts w:hint="eastAsia" w:ascii="Microsoft New Tai Lue" w:hAnsi="Microsoft New Tai Lue" w:cs="Microsoft New Tai Lue"/>
          <w:b/>
          <w:color w:val="auto"/>
          <w:sz w:val="24"/>
          <w:szCs w:val="24"/>
          <w:highlight w:val="none"/>
        </w:rPr>
        <w:t xml:space="preserve">（</w:t>
      </w:r>
      <w:r>
        <w:rPr>
          <w:rFonts w:hint="eastAsia" w:ascii="Microsoft New Tai Lue" w:hAnsi="Microsoft New Tai Lue" w:cs="Microsoft New Tai Lue"/>
          <w:b/>
          <w:color w:val="auto"/>
          <w:sz w:val="24"/>
          <w:szCs w:val="24"/>
          <w:highlight w:val="none"/>
          <w:lang w:val="en-US" w:eastAsia="zh-CN"/>
        </w:rPr>
        <w:t xml:space="preserve">如涉及，货物类项目适用</w:t>
      </w:r>
      <w:r>
        <w:rPr>
          <w:rFonts w:hint="eastAsia" w:ascii="Microsoft New Tai Lue" w:hAnsi="Microsoft New Tai Lue" w:cs="Microsoft New Tai Lue"/>
          <w:b/>
          <w:color w:val="auto"/>
          <w:sz w:val="24"/>
          <w:szCs w:val="24"/>
          <w:highlight w:val="none"/>
        </w:rPr>
        <w:t xml:space="preserve">）</w:t>
      </w:r>
      <w:r/>
    </w:p>
    <w:p>
      <w:pPr>
        <w:pStyle w:val="915"/>
        <w:jc w:val="center"/>
        <w:spacing w:before="0" w:beforeAutospacing="0" w:after="156" w:afterAutospacing="0" w:line="560" w:lineRule="atLeast"/>
        <w:shd w:val="clear" w:color="auto" w:fill="ffffff"/>
        <w:rPr>
          <w:rFonts w:cs="宋体"/>
          <w:color w:val="auto"/>
          <w:highlight w:val="none"/>
          <w:shd w:val="clear" w:color="auto" w:fill="ffffff"/>
          <w:lang w:eastAsia="zh"/>
        </w:rPr>
      </w:pPr>
      <w:r>
        <w:rPr>
          <w:rFonts w:hint="eastAsia" w:cs="宋体"/>
          <w:color w:val="auto"/>
          <w:highlight w:val="none"/>
          <w:shd w:val="clear" w:color="auto" w:fill="ffffff"/>
          <w:lang w:eastAsia="zh"/>
        </w:rPr>
        <w:t xml:space="preserve">（适用于采购项目或者采购包中含有多种产品时，不提供或者提供声明的比例达不到要求时，不享受价格扣除）</w:t>
      </w:r>
      <w:r/>
    </w:p>
    <w:p>
      <w:pPr>
        <w:pStyle w:val="91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本公司（单位）郑重声明，根据《国务院办公厅关于在政府采购中实施本国产品标准及相关政策的通知》（国办发〔2025〕34号）的规定，本公司（单位）</w:t>
      </w:r>
      <w:r>
        <w:rPr>
          <w:rFonts w:hint="eastAsia"/>
          <w:b/>
          <w:color w:val="auto"/>
          <w:sz w:val="21"/>
          <w:szCs w:val="21"/>
          <w:highlight w:val="none"/>
          <w:lang w:eastAsia="zh"/>
        </w:rPr>
        <w:t xml:space="preserve">提供的全部产品中，</w:t>
      </w:r>
      <w:r>
        <w:rPr>
          <w:rFonts w:hint="eastAsia"/>
          <w:b/>
          <w:color w:val="auto"/>
          <w:sz w:val="21"/>
          <w:szCs w:val="21"/>
          <w:highlight w:val="none"/>
        </w:rPr>
        <w:t xml:space="preserve">符合本国产品标准的产品成本之和占本公司（单位）提供的全部产品成本之和的比例达到</w:t>
      </w:r>
      <w:r>
        <w:rPr>
          <w:rFonts w:hint="eastAsia"/>
          <w:b/>
          <w:color w:val="auto"/>
          <w:sz w:val="21"/>
          <w:szCs w:val="21"/>
          <w:highlight w:val="none"/>
          <w:lang w:eastAsia="zh"/>
        </w:rPr>
        <w:t xml:space="preserve">（</w:t>
      </w:r>
      <w:r>
        <w:rPr>
          <w:rFonts w:hint="eastAsia"/>
          <w:b/>
          <w:i/>
          <w:iCs/>
          <w:color w:val="auto"/>
          <w:sz w:val="21"/>
          <w:szCs w:val="21"/>
          <w:highlight w:val="none"/>
          <w:lang w:eastAsia="zh"/>
        </w:rPr>
        <w:t xml:space="preserve">填写具体百分比</w:t>
      </w:r>
      <w:r>
        <w:rPr>
          <w:rFonts w:hint="eastAsia"/>
          <w:b/>
          <w:color w:val="auto"/>
          <w:sz w:val="21"/>
          <w:szCs w:val="21"/>
          <w:highlight w:val="none"/>
          <w:lang w:eastAsia="zh"/>
        </w:rPr>
        <w:t xml:space="preserve">）。</w:t>
      </w:r>
      <w:r/>
    </w:p>
    <w:p>
      <w:pPr>
        <w:pStyle w:val="915"/>
        <w:ind w:firstLine="420"/>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本公司（单位）对上述声明内容的真实性负责。如有虚假，愿承担相应法律责任。</w:t>
      </w:r>
      <w:r/>
    </w:p>
    <w:p>
      <w:pPr>
        <w:pStyle w:val="915"/>
        <w:ind w:firstLine="420"/>
        <w:spacing w:before="30" w:beforeAutospacing="0" w:after="156" w:afterAutospacing="0" w:line="560" w:lineRule="atLeast"/>
        <w:shd w:val="clear" w:color="auto" w:fill="ffffff"/>
        <w:rPr>
          <w:b/>
          <w:color w:val="auto"/>
          <w:sz w:val="21"/>
          <w:szCs w:val="21"/>
          <w:highlight w:val="none"/>
        </w:rPr>
      </w:pPr>
      <w:r>
        <w:rPr>
          <w:rFonts w:cs="Calibri"/>
          <w:b/>
          <w:color w:val="auto"/>
          <w:sz w:val="21"/>
          <w:szCs w:val="21"/>
          <w:highlight w:val="none"/>
        </w:rPr>
        <w:t xml:space="preserve"> </w:t>
      </w:r>
      <w:r/>
    </w:p>
    <w:p>
      <w:pPr>
        <w:pStyle w:val="915"/>
        <w:ind w:firstLine="420"/>
        <w:jc w:val="right"/>
        <w:spacing w:before="30" w:beforeAutospacing="0" w:after="156" w:afterAutospacing="0" w:line="560" w:lineRule="atLeast"/>
        <w:shd w:val="clear" w:color="auto" w:fill="ffffff"/>
        <w:rPr>
          <w:b/>
          <w:color w:val="auto"/>
          <w:sz w:val="21"/>
          <w:szCs w:val="21"/>
          <w:highlight w:val="none"/>
        </w:rPr>
      </w:pPr>
      <w:r>
        <w:rPr>
          <w:rFonts w:hint="eastAsia"/>
          <w:b/>
          <w:color w:val="auto"/>
          <w:sz w:val="21"/>
          <w:szCs w:val="21"/>
          <w:highlight w:val="none"/>
        </w:rPr>
        <w:t xml:space="preserve">公司（单位）名称（盖章）：            </w:t>
      </w:r>
      <w:r/>
    </w:p>
    <w:p>
      <w:pPr>
        <w:pStyle w:val="915"/>
        <w:ind w:firstLine="2108"/>
        <w:spacing w:before="0" w:beforeAutospacing="0" w:after="156" w:afterAutospacing="0" w:line="560" w:lineRule="atLeast"/>
        <w:shd w:val="clear" w:color="auto" w:fill="ffffff"/>
        <w:rPr>
          <w:rFonts w:hint="eastAsia" w:ascii="宋体" w:hAnsi="宋体" w:cs="宋体"/>
          <w:color w:val="auto"/>
          <w:highlight w:val="none"/>
          <w:shd w:val="clear" w:color="auto" w:fill="ffffff"/>
        </w:rPr>
      </w:pPr>
      <w:r>
        <w:rPr>
          <w:rFonts w:hint="eastAsia"/>
          <w:b/>
          <w:color w:val="auto"/>
          <w:sz w:val="21"/>
          <w:szCs w:val="21"/>
          <w:highlight w:val="none"/>
          <w:lang w:eastAsia="zh"/>
        </w:rPr>
        <w:t xml:space="preserve">                      </w:t>
      </w:r>
      <w:r>
        <w:rPr>
          <w:rFonts w:hint="eastAsia"/>
          <w:b/>
          <w:color w:val="auto"/>
          <w:sz w:val="21"/>
          <w:szCs w:val="21"/>
          <w:highlight w:val="none"/>
        </w:rPr>
        <w:t xml:space="preserve">日期：　  年　  月　  日</w:t>
      </w:r>
      <w:r/>
    </w:p>
    <w:p>
      <w:pPr>
        <w:pStyle w:val="915"/>
        <w:ind w:firstLine="420"/>
        <w:spacing w:before="0" w:beforeAutospacing="0" w:after="156" w:afterAutospacing="0" w:line="560" w:lineRule="atLeast"/>
        <w:shd w:val="clear" w:color="auto" w:fill="ffffff"/>
        <w:rPr>
          <w:b/>
          <w:color w:val="auto"/>
          <w:sz w:val="21"/>
          <w:szCs w:val="21"/>
          <w:highlight w:val="none"/>
        </w:rPr>
        <w:sectPr>
          <w:footnotePr/>
          <w:endnotePr/>
          <w:type w:val="nextPage"/>
          <w:pgSz w:w="11906" w:h="16838" w:orient="portrait"/>
          <w:pgMar w:top="1440" w:right="1133" w:bottom="1440" w:left="1134" w:header="851" w:footer="992" w:gutter="0"/>
          <w:cols w:num="1" w:sep="0" w:space="720" w:equalWidth="1"/>
          <w:docGrid w:linePitch="360"/>
        </w:sectPr>
      </w:pPr>
      <w:r>
        <w:rPr>
          <w:rFonts w:hint="eastAsia"/>
          <w:b/>
          <w:color w:val="auto"/>
          <w:sz w:val="21"/>
          <w:szCs w:val="21"/>
          <w:highlight w:val="none"/>
          <w:lang w:eastAsia="zh"/>
        </w:rPr>
        <w:t xml:space="preserve">注：</w:t>
      </w:r>
      <w:r>
        <w:rPr>
          <w:rFonts w:hint="eastAsia"/>
          <w:b/>
          <w:color w:val="auto"/>
          <w:sz w:val="21"/>
          <w:szCs w:val="21"/>
          <w:highlight w:val="none"/>
        </w:rPr>
        <w:t xml:space="preserve">根据《国务院办公厅关于在政府采购中实施本国产品标准及相关政策的通知》（国办发〔2025〕34号）的规定</w:t>
      </w:r>
      <w:r>
        <w:rPr>
          <w:rFonts w:hint="eastAsia"/>
          <w:b/>
          <w:color w:val="auto"/>
          <w:sz w:val="21"/>
          <w:szCs w:val="21"/>
          <w:highlight w:val="none"/>
          <w:lang w:eastAsia="zh"/>
        </w:rPr>
        <w:t xml:space="preserve">，</w:t>
      </w:r>
      <w:r>
        <w:rPr>
          <w:rFonts w:hint="eastAsia"/>
          <w:b/>
          <w:color w:val="auto"/>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1126"/>
        <w:ind w:firstLine="0"/>
        <w:jc w:val="center"/>
        <w:spacing w:after="156" w:line="560" w:lineRule="exact"/>
        <w:rPr>
          <w:b/>
          <w:color w:val="auto"/>
          <w:szCs w:val="21"/>
          <w:highlight w:val="none"/>
          <w:u w:val="single"/>
        </w:rPr>
      </w:pPr>
      <w:r>
        <w:rPr>
          <w:rFonts w:hint="eastAsia"/>
          <w:b/>
          <w:color w:val="auto"/>
          <w:szCs w:val="21"/>
          <w:highlight w:val="none"/>
          <w:u w:val="single"/>
        </w:rPr>
        <w:t xml:space="preserve">友情提醒</w:t>
      </w:r>
      <w:r>
        <w:rPr>
          <w:rFonts w:hint="eastAsia" w:ascii="Microsoft New Tai Lue" w:hAnsi="Microsoft New Tai Lue" w:cs="Microsoft New Tai Lue"/>
          <w:b/>
          <w:color w:val="auto"/>
          <w:sz w:val="24"/>
          <w:szCs w:val="24"/>
          <w:highlight w:val="none"/>
        </w:rPr>
        <w:t xml:space="preserve">（</w:t>
      </w:r>
      <w:r>
        <w:rPr>
          <w:rFonts w:hint="eastAsia" w:ascii="Microsoft New Tai Lue" w:hAnsi="Microsoft New Tai Lue" w:cs="Microsoft New Tai Lue"/>
          <w:b/>
          <w:color w:val="auto"/>
          <w:sz w:val="24"/>
          <w:szCs w:val="24"/>
          <w:highlight w:val="none"/>
          <w:lang w:val="en-US" w:eastAsia="zh-CN"/>
        </w:rPr>
        <w:t xml:space="preserve">如涉及，货物类项目适用</w:t>
      </w:r>
      <w:r>
        <w:rPr>
          <w:rFonts w:hint="eastAsia" w:ascii="Microsoft New Tai Lue" w:hAnsi="Microsoft New Tai Lue" w:cs="Microsoft New Tai Lue"/>
          <w:b/>
          <w:color w:val="auto"/>
          <w:sz w:val="24"/>
          <w:szCs w:val="24"/>
          <w:highlight w:val="none"/>
        </w:rPr>
        <w:t xml:space="preserve">）</w:t>
      </w:r>
      <w:r/>
    </w:p>
    <w:p>
      <w:pPr>
        <w:pStyle w:val="1126"/>
        <w:ind w:firstLine="402"/>
        <w:spacing w:after="156" w:line="560" w:lineRule="exact"/>
        <w:rPr>
          <w:b/>
          <w:color w:val="auto"/>
          <w:szCs w:val="21"/>
          <w:highlight w:val="none"/>
        </w:rPr>
      </w:pPr>
      <w:r>
        <w:rPr>
          <w:rFonts w:hint="eastAsia"/>
          <w:b/>
          <w:color w:val="auto"/>
          <w:szCs w:val="21"/>
          <w:highlight w:val="none"/>
        </w:rPr>
        <w:t xml:space="preserve">一、《国务院办公厅关于在政府采购中实施本国产品标准及相关政策的通知》中本国产品界定标准：</w:t>
      </w:r>
      <w:r/>
    </w:p>
    <w:p>
      <w:pPr>
        <w:pStyle w:val="1126"/>
        <w:ind w:firstLine="402"/>
        <w:spacing w:after="156" w:line="560" w:lineRule="exact"/>
        <w:rPr>
          <w:b/>
          <w:color w:val="auto"/>
          <w:szCs w:val="21"/>
          <w:highlight w:val="none"/>
        </w:rPr>
      </w:pPr>
      <w:r>
        <w:rPr>
          <w:rFonts w:hint="eastAsia"/>
          <w:b/>
          <w:color w:val="auto"/>
          <w:szCs w:val="21"/>
          <w:highlight w:val="none"/>
        </w:rPr>
        <w:t xml:space="preserve">（一）在中国境内生产</w:t>
      </w:r>
      <w:r/>
    </w:p>
    <w:p>
      <w:pPr>
        <w:pStyle w:val="1126"/>
        <w:ind w:firstLine="402"/>
        <w:spacing w:after="156" w:line="560" w:lineRule="exact"/>
        <w:rPr>
          <w:b/>
          <w:color w:val="auto"/>
          <w:szCs w:val="21"/>
          <w:highlight w:val="none"/>
        </w:rPr>
      </w:pPr>
      <w:r>
        <w:rPr>
          <w:rFonts w:hint="eastAsia"/>
          <w:b/>
          <w:color w:val="auto"/>
          <w:szCs w:val="21"/>
          <w:highlight w:val="none"/>
        </w:rPr>
        <w:t xml:space="preserve">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1126"/>
        <w:ind w:firstLine="402"/>
        <w:spacing w:after="156" w:line="560" w:lineRule="exact"/>
        <w:rPr>
          <w:b/>
          <w:color w:val="auto"/>
          <w:szCs w:val="21"/>
          <w:highlight w:val="none"/>
        </w:rPr>
      </w:pPr>
      <w:r>
        <w:rPr>
          <w:rFonts w:hint="eastAsia"/>
          <w:b/>
          <w:color w:val="auto"/>
          <w:szCs w:val="21"/>
          <w:highlight w:val="none"/>
        </w:rPr>
        <w:t xml:space="preserve">属性改变是指经过制造、加工或者组装等工序，产生完全不同于原材料、组件的新产品，并具有新的名称和特征（用途）。属性改变不包括以下细微操作：</w:t>
      </w:r>
      <w:r/>
    </w:p>
    <w:p>
      <w:pPr>
        <w:pStyle w:val="1126"/>
        <w:ind w:firstLine="402"/>
        <w:spacing w:after="156" w:line="560" w:lineRule="exact"/>
        <w:rPr>
          <w:b/>
          <w:color w:val="auto"/>
          <w:szCs w:val="21"/>
          <w:highlight w:val="none"/>
        </w:rPr>
      </w:pPr>
      <w:r>
        <w:rPr>
          <w:rFonts w:hint="eastAsia"/>
          <w:b/>
          <w:color w:val="auto"/>
          <w:szCs w:val="21"/>
          <w:highlight w:val="none"/>
        </w:rPr>
        <w:t xml:space="preserve">1.为确保产品在运输或者储存期间保持某种状态而进行的操作；</w:t>
      </w:r>
      <w:r/>
    </w:p>
    <w:p>
      <w:pPr>
        <w:pStyle w:val="1126"/>
        <w:ind w:firstLine="402"/>
        <w:spacing w:after="156" w:line="560" w:lineRule="exact"/>
        <w:rPr>
          <w:b/>
          <w:color w:val="auto"/>
          <w:szCs w:val="21"/>
          <w:highlight w:val="none"/>
        </w:rPr>
      </w:pPr>
      <w:r>
        <w:rPr>
          <w:rFonts w:hint="eastAsia"/>
          <w:b/>
          <w:color w:val="auto"/>
          <w:szCs w:val="21"/>
          <w:highlight w:val="none"/>
        </w:rPr>
        <w:t xml:space="preserve">2.为产品运输或者销售进行的包装或者展示；</w:t>
      </w:r>
      <w:r/>
    </w:p>
    <w:p>
      <w:pPr>
        <w:pStyle w:val="1126"/>
        <w:ind w:firstLine="402"/>
        <w:spacing w:after="156" w:line="560" w:lineRule="exact"/>
        <w:rPr>
          <w:b/>
          <w:color w:val="auto"/>
          <w:szCs w:val="21"/>
          <w:highlight w:val="none"/>
        </w:rPr>
      </w:pPr>
      <w:r>
        <w:rPr>
          <w:rFonts w:hint="eastAsia"/>
          <w:b/>
          <w:color w:val="auto"/>
          <w:szCs w:val="21"/>
          <w:highlight w:val="none"/>
        </w:rPr>
        <w:t xml:space="preserve">3.在产品或者其包装上粘贴或者印刷品牌、标志、标识以及其他用于区别的标记；</w:t>
      </w:r>
      <w:r/>
    </w:p>
    <w:p>
      <w:pPr>
        <w:pStyle w:val="1126"/>
        <w:ind w:firstLine="402"/>
        <w:spacing w:after="156" w:line="560" w:lineRule="exact"/>
        <w:rPr>
          <w:b/>
          <w:color w:val="auto"/>
          <w:szCs w:val="21"/>
          <w:highlight w:val="none"/>
        </w:rPr>
      </w:pPr>
      <w:r>
        <w:rPr>
          <w:rFonts w:hint="eastAsia"/>
          <w:b/>
          <w:color w:val="auto"/>
          <w:szCs w:val="21"/>
          <w:highlight w:val="none"/>
        </w:rPr>
        <w:t xml:space="preserve">4.简单的上漆、磨光和分装；</w:t>
      </w:r>
      <w:r/>
    </w:p>
    <w:p>
      <w:pPr>
        <w:pStyle w:val="1126"/>
        <w:ind w:firstLine="402"/>
        <w:spacing w:after="156" w:line="560" w:lineRule="exact"/>
        <w:rPr>
          <w:b/>
          <w:color w:val="auto"/>
          <w:szCs w:val="21"/>
          <w:highlight w:val="none"/>
        </w:rPr>
      </w:pPr>
      <w:r>
        <w:rPr>
          <w:rFonts w:hint="eastAsia"/>
          <w:b/>
          <w:color w:val="auto"/>
          <w:szCs w:val="21"/>
          <w:highlight w:val="none"/>
        </w:rPr>
        <w:t xml:space="preserve">5.其他不属于属性改变的情形。</w:t>
      </w:r>
      <w:r/>
    </w:p>
    <w:p>
      <w:pPr>
        <w:pStyle w:val="1126"/>
        <w:ind w:firstLine="402"/>
        <w:spacing w:after="156" w:line="560" w:lineRule="exact"/>
        <w:rPr>
          <w:b/>
          <w:color w:val="auto"/>
          <w:szCs w:val="21"/>
          <w:highlight w:val="none"/>
        </w:rPr>
      </w:pPr>
      <w:r>
        <w:rPr>
          <w:rFonts w:hint="eastAsia"/>
          <w:b/>
          <w:color w:val="auto"/>
          <w:szCs w:val="21"/>
          <w:highlight w:val="none"/>
        </w:rPr>
        <w:t xml:space="preserve">（二）在中国境内生产的组件成本占比达到规定比例</w:t>
      </w:r>
      <w:r/>
    </w:p>
    <w:p>
      <w:pPr>
        <w:pStyle w:val="1126"/>
        <w:ind w:firstLine="402"/>
        <w:spacing w:after="156" w:line="560" w:lineRule="exact"/>
        <w:rPr>
          <w:b/>
          <w:color w:val="auto"/>
          <w:szCs w:val="21"/>
          <w:highlight w:val="none"/>
        </w:rPr>
      </w:pPr>
      <w:r>
        <w:rPr>
          <w:b/>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left</wp:align>
                </wp:positionH>
                <wp:positionV relativeFrom="paragraph">
                  <wp:posOffset>542925</wp:posOffset>
                </wp:positionV>
                <wp:extent cx="5331460" cy="859790"/>
                <wp:effectExtent l="0" t="0" r="2540" b="3810"/>
                <wp:wrapTopAndBottom/>
                <wp:docPr id="10"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r/>
                      </pic:nvPicPr>
                      <pic:blipFill>
                        <a:blip r:embed="rId18"/>
                        <a:stretch/>
                      </pic:blipFill>
                      <pic:spPr bwMode="auto">
                        <a:xfrm>
                          <a:off x="0" y="0"/>
                          <a:ext cx="5331460" cy="8597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1312;o:allowoverlap:true;o:allowincell:true;mso-position-horizontal-relative:margin;mso-position-horizontal:left;mso-position-vertical-relative:text;margin-top:42.8pt;mso-position-vertical:absolute;width:419.8pt;height:67.7pt;mso-wrap-distance-left:9.0pt;mso-wrap-distance-top:0.0pt;mso-wrap-distance-right:9.0pt;mso-wrap-distance-bottom:0.0pt;" stroked="f">
                <v:path textboxrect="0,0,0,0"/>
                <w10:wrap type="topAndBottom"/>
                <v:imagedata r:id="rId18" o:title=""/>
              </v:shape>
            </w:pict>
          </mc:Fallback>
        </mc:AlternateContent>
      </w:r>
      <w:r>
        <w:rPr>
          <w:rFonts w:hint="eastAsia"/>
          <w:b/>
          <w:color w:val="auto"/>
          <w:szCs w:val="21"/>
          <w:highlight w:val="none"/>
        </w:rPr>
        <w:t xml:space="preserve">产品在中国境内生产的组件成本占比应当达到规定比例，计算公式为：</w:t>
      </w:r>
      <w:r/>
    </w:p>
    <w:p>
      <w:pPr>
        <w:pStyle w:val="1126"/>
        <w:ind w:firstLine="402"/>
        <w:spacing w:after="156" w:line="560" w:lineRule="exact"/>
        <w:rPr>
          <w:b/>
          <w:color w:val="auto"/>
          <w:szCs w:val="21"/>
          <w:highlight w:val="none"/>
        </w:rPr>
      </w:pPr>
      <w:r>
        <w:rPr>
          <w:rFonts w:hint="eastAsia"/>
          <w:b/>
          <w:color w:val="auto"/>
          <w:szCs w:val="21"/>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1126"/>
        <w:ind w:firstLine="402"/>
        <w:spacing w:after="156" w:line="560" w:lineRule="exact"/>
        <w:rPr>
          <w:b/>
          <w:color w:val="auto"/>
          <w:szCs w:val="21"/>
          <w:highlight w:val="none"/>
        </w:rPr>
      </w:pPr>
      <w:r>
        <w:rPr>
          <w:rFonts w:hint="eastAsia"/>
          <w:b/>
          <w:color w:val="auto"/>
          <w:szCs w:val="21"/>
          <w:highlight w:val="none"/>
        </w:rPr>
        <w:t xml:space="preserve">（三）特定产品的关键组件、关键工序符合相关要求</w:t>
      </w:r>
      <w:r/>
    </w:p>
    <w:p>
      <w:pPr>
        <w:pStyle w:val="1126"/>
        <w:ind w:firstLine="402"/>
        <w:spacing w:after="156" w:line="560" w:lineRule="exact"/>
        <w:rPr>
          <w:b/>
          <w:color w:val="auto"/>
          <w:szCs w:val="21"/>
          <w:highlight w:val="none"/>
        </w:rPr>
      </w:pPr>
      <w:r>
        <w:rPr>
          <w:rFonts w:hint="eastAsia"/>
          <w:b/>
          <w:color w:val="auto"/>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1126"/>
        <w:ind w:firstLine="442"/>
        <w:spacing w:after="156" w:line="560" w:lineRule="exact"/>
        <w:rPr>
          <w:rFonts w:hint="eastAsia"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1126"/>
        <w:numPr>
          <w:ilvl w:val="0"/>
          <w:numId w:val="33"/>
        </w:numPr>
        <w:ind w:firstLine="400"/>
        <w:spacing w:after="156" w:line="560" w:lineRule="exact"/>
        <w:rPr>
          <w:rFonts w:hint="eastAsia" w:ascii="宋体" w:hAnsi="宋体" w:cs="宋体"/>
          <w:b/>
          <w:color w:val="auto"/>
          <w:sz w:val="22"/>
          <w:szCs w:val="22"/>
          <w:highlight w:val="none"/>
          <w:shd w:val="clear" w:color="auto" w:fill="ffffff"/>
        </w:rPr>
      </w:pPr>
      <w:r>
        <w:rPr>
          <w:rFonts w:hint="eastAsia" w:ascii="宋体" w:hAnsi="宋体" w:cs="宋体"/>
          <w:b/>
          <w:color w:val="auto"/>
          <w:sz w:val="22"/>
          <w:szCs w:val="22"/>
          <w:highlight w:val="none"/>
          <w:shd w:val="clear" w:color="auto" w:fill="ffffff"/>
        </w:rPr>
        <w:t xml:space="preserve">中国境内生产的组件成本核算基本规则详见《国务院办公厅关于在政府采购中实施本国产品标准及相关政策的通知》（国办发〔2025〕34号）。</w:t>
      </w:r>
      <w:r/>
    </w:p>
    <w:p>
      <w:pPr>
        <w:pStyle w:val="915"/>
        <w:spacing w:before="0" w:beforeAutospacing="0" w:after="156" w:afterAutospacing="0" w:line="560" w:lineRule="atLeast"/>
        <w:shd w:val="clear" w:color="auto" w:fill="ffffff"/>
        <w:rPr>
          <w:color w:val="auto"/>
          <w:sz w:val="21"/>
          <w:szCs w:val="21"/>
          <w:highlight w:val="none"/>
        </w:rPr>
      </w:pPr>
      <w:r>
        <w:rPr>
          <w:color w:val="auto"/>
          <w:sz w:val="21"/>
          <w:szCs w:val="21"/>
          <w:highlight w:val="none"/>
        </w:rPr>
      </w:r>
      <w:r/>
    </w:p>
    <w:p>
      <w:pPr>
        <w:pStyle w:val="915"/>
        <w:ind w:firstLine="420"/>
        <w:spacing w:before="0" w:beforeAutospacing="0" w:after="156" w:afterAutospacing="0" w:line="560" w:lineRule="atLeast"/>
        <w:shd w:val="clear" w:color="auto" w:fill="ffffff"/>
        <w:rPr>
          <w:b/>
          <w:color w:val="auto"/>
          <w:sz w:val="21"/>
          <w:szCs w:val="21"/>
          <w:highlight w:val="none"/>
        </w:rPr>
      </w:pPr>
      <w:r>
        <w:rPr>
          <w:b/>
          <w:color w:val="auto"/>
          <w:sz w:val="21"/>
          <w:szCs w:val="21"/>
          <w:highlight w:val="none"/>
        </w:rPr>
      </w:r>
      <w:r/>
    </w:p>
    <w:p>
      <w:pPr>
        <w:spacing w:line="300" w:lineRule="auto"/>
        <w:rPr>
          <w:rFonts w:ascii="Microsoft New Tai Lue" w:hAnsi="Microsoft New Tai Lue" w:cs="Microsoft New Tai Lue"/>
          <w:b/>
          <w:color w:val="auto"/>
          <w:szCs w:val="21"/>
          <w:highlight w:val="none"/>
        </w:rPr>
      </w:pPr>
      <w:r>
        <w:rPr>
          <w:rFonts w:ascii="Microsoft New Tai Lue" w:hAnsi="Microsoft New Tai Lue" w:cs="Microsoft New Tai Lue"/>
          <w:b/>
          <w:color w:val="auto"/>
          <w:szCs w:val="21"/>
          <w:highlight w:val="none"/>
        </w:rPr>
        <w:br w:type="page" w:clear="all"/>
      </w:r>
      <w:r/>
    </w:p>
    <w:p>
      <w:pPr>
        <w:pStyle w:val="1087"/>
        <w:ind w:firstLine="0"/>
        <w:jc w:val="center"/>
        <w:spacing w:line="300" w:lineRule="auto"/>
        <w:rPr>
          <w:rFonts w:ascii="Microsoft New Tai Lue" w:hAnsi="Microsoft New Tai Lue" w:cs="Microsoft New Tai Lue"/>
          <w:b/>
          <w:color w:val="auto"/>
          <w:sz w:val="24"/>
          <w:szCs w:val="24"/>
          <w:highlight w:val="none"/>
        </w:rPr>
      </w:pPr>
      <w:r>
        <w:rPr>
          <w:rFonts w:ascii="Microsoft New Tai Lue" w:hAnsi="Microsoft New Tai Lue" w:cs="Microsoft New Tai Lue"/>
          <w:b/>
          <w:color w:val="auto"/>
          <w:sz w:val="24"/>
          <w:szCs w:val="24"/>
          <w:highlight w:val="none"/>
        </w:rPr>
        <w:t xml:space="preserve">监狱企业证明</w:t>
      </w:r>
      <w:r>
        <w:rPr>
          <w:rFonts w:hint="eastAsia" w:ascii="Microsoft New Tai Lue" w:hAnsi="Microsoft New Tai Lue" w:cs="Microsoft New Tai Lue"/>
          <w:b/>
          <w:color w:val="auto"/>
          <w:sz w:val="24"/>
          <w:szCs w:val="24"/>
          <w:highlight w:val="none"/>
        </w:rPr>
        <w:t xml:space="preserve">（如涉及）</w:t>
      </w:r>
      <w:r/>
    </w:p>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根据《关于政府采购支持监狱企业发展有关问题的通知》（财库</w:t>
      </w:r>
      <w:r>
        <w:rPr>
          <w:rFonts w:hint="eastAsia" w:ascii="Microsoft New Tai Lue" w:hAnsi="Microsoft New Tai Lue" w:cs="Microsoft New Tai Lue"/>
          <w:color w:val="auto"/>
          <w:sz w:val="21"/>
          <w:szCs w:val="21"/>
          <w:highlight w:val="none"/>
        </w:rPr>
        <w:t xml:space="preserve">〔2014〕68号</w:t>
      </w:r>
      <w:r>
        <w:rPr>
          <w:rFonts w:ascii="Microsoft New Tai Lue" w:hAnsi="Microsoft New Tai Lue" w:cs="Microsoft New Tai Lue"/>
          <w:color w:val="auto"/>
          <w:sz w:val="21"/>
          <w:szCs w:val="21"/>
          <w:highlight w:val="none"/>
        </w:rPr>
        <w:t xml:space="preserve">），监狱企业视同小型、微型企业，享受以上政策。监狱企业须提供由省级以上监狱管理局、戒毒管理局</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含新疆生产建设兵团</w:t>
      </w:r>
      <w:r>
        <w:rPr>
          <w:rFonts w:hint="eastAsia" w:ascii="Microsoft New Tai Lue" w:hAnsi="Microsoft New Tai Lue" w:cs="Microsoft New Tai Lue"/>
          <w:color w:val="auto"/>
          <w:sz w:val="21"/>
          <w:szCs w:val="21"/>
          <w:highlight w:val="none"/>
        </w:rPr>
        <w:t xml:space="preserve">）</w:t>
      </w:r>
      <w:r>
        <w:rPr>
          <w:rFonts w:ascii="Microsoft New Tai Lue" w:hAnsi="Microsoft New Tai Lue" w:cs="Microsoft New Tai Lue"/>
          <w:color w:val="auto"/>
          <w:sz w:val="21"/>
          <w:szCs w:val="21"/>
          <w:highlight w:val="none"/>
        </w:rPr>
        <w:t xml:space="preserve">出具的属于监狱企业的证明文件。</w:t>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1087"/>
        <w:ind w:firstLine="198"/>
        <w:jc w:val="center"/>
        <w:spacing w:line="300" w:lineRule="auto"/>
        <w:rPr>
          <w:rFonts w:ascii="Microsoft New Tai Lue" w:hAnsi="Microsoft New Tai Lue" w:eastAsia="仿宋_GB2312" w:cs="Microsoft New Tai Lue"/>
          <w:b/>
          <w:color w:val="auto"/>
          <w:spacing w:val="6"/>
          <w:sz w:val="30"/>
          <w:szCs w:val="30"/>
          <w:highlight w:val="none"/>
        </w:rPr>
      </w:pPr>
      <w:r>
        <w:rPr>
          <w:rFonts w:ascii="Microsoft New Tai Lue" w:hAnsi="Microsoft New Tai Lue" w:cs="Microsoft New Tai Lue"/>
          <w:b/>
          <w:color w:val="auto"/>
          <w:sz w:val="24"/>
          <w:szCs w:val="24"/>
          <w:highlight w:val="none"/>
        </w:rPr>
        <w:t xml:space="preserve">残疾人福利性单位声明函</w:t>
      </w:r>
      <w:r>
        <w:rPr>
          <w:rFonts w:hint="eastAsia" w:ascii="Microsoft New Tai Lue" w:hAnsi="Microsoft New Tai Lue" w:cs="Microsoft New Tai Lue"/>
          <w:b/>
          <w:color w:val="auto"/>
          <w:sz w:val="24"/>
          <w:szCs w:val="24"/>
          <w:highlight w:val="none"/>
        </w:rPr>
        <w:t xml:space="preserve">（如涉及）</w:t>
      </w:r>
      <w:r/>
    </w:p>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本单位郑重声明，根据《财政部民政部中国残疾人联合会关于促进残疾人就业政府采购政策的通知》（财库</w:t>
      </w:r>
      <w:r>
        <w:rPr>
          <w:rFonts w:hint="eastAsia" w:ascii="Microsoft New Tai Lue" w:hAnsi="Microsoft New Tai Lue" w:cs="Microsoft New Tai Lue"/>
          <w:color w:val="auto"/>
          <w:sz w:val="21"/>
          <w:szCs w:val="21"/>
          <w:highlight w:val="none"/>
        </w:rPr>
        <w:t xml:space="preserve">〔2017〕141号</w:t>
      </w:r>
      <w:r>
        <w:rPr>
          <w:rFonts w:ascii="Microsoft New Tai Lue" w:hAnsi="Microsoft New Tai Lue" w:cs="Microsoft New Tai Lue"/>
          <w:color w:val="auto"/>
          <w:sz w:val="21"/>
          <w:szCs w:val="21"/>
          <w:highlight w:val="none"/>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87"/>
        <w:ind w:firstLine="420"/>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本单位对上述声明的真实性负责。如有虚假，将依法承担相应责任。</w:t>
      </w:r>
      <w:r/>
    </w:p>
    <w:p>
      <w:pPr>
        <w:pStyle w:val="1087"/>
        <w:ind w:firstLine="420"/>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r>
      <w:r/>
    </w:p>
    <w:p>
      <w:pPr>
        <w:pStyle w:val="1087"/>
        <w:ind w:firstLine="3769"/>
        <w:spacing w:line="300" w:lineRule="auto"/>
        <w:rPr>
          <w:rFonts w:ascii="Microsoft New Tai Lue" w:hAnsi="Microsoft New Tai Lue" w:cs="Microsoft New Tai Lue"/>
          <w:color w:val="auto"/>
          <w:sz w:val="21"/>
          <w:szCs w:val="21"/>
          <w:highlight w:val="none"/>
        </w:rPr>
      </w:pPr>
      <w:r>
        <w:rPr>
          <w:rFonts w:ascii="Microsoft New Tai Lue" w:hAnsi="Microsoft New Tai Lue" w:cs="Microsoft New Tai Lue"/>
          <w:color w:val="auto"/>
          <w:sz w:val="21"/>
          <w:szCs w:val="21"/>
          <w:highlight w:val="none"/>
        </w:rPr>
        <w:t xml:space="preserve">单位名称（盖章）：____________</w:t>
      </w:r>
      <w:r/>
    </w:p>
    <w:p>
      <w:pPr>
        <w:ind w:firstLine="3780"/>
        <w:jc w:val="left"/>
        <w:spacing w:line="300" w:lineRule="auto"/>
        <w:rPr>
          <w:rFonts w:ascii="Microsoft New Tai Lue" w:hAnsi="Microsoft New Tai Lue" w:cs="Microsoft New Tai Lue"/>
          <w:bCs/>
          <w:color w:val="auto"/>
          <w:szCs w:val="21"/>
          <w:highlight w:val="none"/>
        </w:rPr>
      </w:pPr>
      <w:r>
        <w:rPr>
          <w:rFonts w:ascii="Microsoft New Tai Lue" w:hAnsi="Microsoft New Tai Lue" w:cs="Microsoft New Tai Lue"/>
          <w:bCs/>
          <w:color w:val="auto"/>
          <w:szCs w:val="21"/>
          <w:highlight w:val="none"/>
        </w:rPr>
        <w:t xml:space="preserve">日期：</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rPr>
        <w:t xml:space="preserve">年</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月</w:t>
      </w:r>
      <w:r>
        <w:rPr>
          <w:rFonts w:ascii="Microsoft New Tai Lue" w:hAnsi="Microsoft New Tai Lue" w:cs="Microsoft New Tai Lue"/>
          <w:bCs/>
          <w:color w:val="auto"/>
          <w:szCs w:val="21"/>
          <w:highlight w:val="none"/>
          <w:u w:val="single"/>
        </w:rPr>
        <w:t xml:space="preserve">   </w:t>
      </w:r>
      <w:r>
        <w:rPr>
          <w:rFonts w:ascii="Microsoft New Tai Lue" w:hAnsi="Microsoft New Tai Lue" w:cs="Microsoft New Tai Lue"/>
          <w:bCs/>
          <w:color w:val="auto"/>
          <w:szCs w:val="21"/>
          <w:highlight w:val="none"/>
          <w:u w:val="single"/>
        </w:rPr>
        <w:tab/>
      </w:r>
      <w:r>
        <w:rPr>
          <w:rFonts w:ascii="Microsoft New Tai Lue" w:hAnsi="Microsoft New Tai Lue" w:cs="Microsoft New Tai Lue"/>
          <w:bCs/>
          <w:color w:val="auto"/>
          <w:szCs w:val="21"/>
          <w:highlight w:val="none"/>
        </w:rPr>
        <w:t xml:space="preserve">日</w:t>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1087"/>
        <w:ind w:firstLine="198"/>
        <w:jc w:val="center"/>
        <w:spacing w:line="300" w:lineRule="auto"/>
        <w:rPr>
          <w:rFonts w:ascii="Microsoft New Tai Lue" w:hAnsi="Microsoft New Tai Lue" w:cs="Microsoft New Tai Lue"/>
          <w:b/>
          <w:color w:val="auto"/>
          <w:sz w:val="24"/>
          <w:szCs w:val="24"/>
          <w:highlight w:val="none"/>
        </w:rPr>
      </w:pPr>
      <w:r/>
      <w:bookmarkStart w:id="473" w:name="_Toc520719716"/>
      <w:r/>
      <w:bookmarkStart w:id="474" w:name="_Toc17097051"/>
      <w:r/>
      <w:bookmarkStart w:id="475" w:name="_Toc525720156"/>
      <w:r/>
      <w:bookmarkStart w:id="476" w:name="_Toc9515977"/>
      <w:r/>
      <w:bookmarkStart w:id="477" w:name="_Toc10472943"/>
      <w:r/>
      <w:bookmarkStart w:id="478" w:name="_Toc8742841"/>
      <w:r/>
      <w:bookmarkStart w:id="479" w:name="_Toc63695313"/>
      <w:r/>
      <w:bookmarkStart w:id="480" w:name="_Toc96347933"/>
      <w:r/>
      <w:bookmarkStart w:id="481" w:name="_Toc68159635"/>
      <w:r/>
      <w:bookmarkStart w:id="482" w:name="_Toc13233103"/>
      <w:r/>
      <w:bookmarkStart w:id="483" w:name="_Toc522290174"/>
      <w:r/>
      <w:bookmarkStart w:id="484" w:name="_Toc11678078"/>
      <w:r>
        <w:rPr>
          <w:rFonts w:hint="eastAsia" w:ascii="Microsoft New Tai Lue" w:hAnsi="Microsoft New Tai Lue" w:cs="Microsoft New Tai Lue"/>
          <w:b/>
          <w:color w:val="auto"/>
          <w:sz w:val="24"/>
          <w:szCs w:val="24"/>
          <w:highlight w:val="none"/>
        </w:rPr>
        <w:t xml:space="preserve">政府采购节能产品政策</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rPr>
          <w:rFonts w:hint="eastAsia" w:ascii="Microsoft New Tai Lue" w:hAnsi="Microsoft New Tai Lue" w:cs="Microsoft New Tai Lue"/>
          <w:b/>
          <w:color w:val="auto"/>
          <w:sz w:val="24"/>
          <w:szCs w:val="24"/>
          <w:highlight w:val="none"/>
        </w:rPr>
        <w:t xml:space="preserve">（</w:t>
      </w:r>
      <w:r>
        <w:rPr>
          <w:rFonts w:hint="eastAsia" w:ascii="Microsoft New Tai Lue" w:hAnsi="Microsoft New Tai Lue" w:cs="Microsoft New Tai Lue"/>
          <w:b/>
          <w:color w:val="auto"/>
          <w:sz w:val="24"/>
          <w:szCs w:val="24"/>
          <w:highlight w:val="none"/>
          <w:lang w:val="en-US" w:eastAsia="zh-CN"/>
        </w:rPr>
        <w:t xml:space="preserve">如涉及，货物类项目适用</w:t>
      </w:r>
      <w:r>
        <w:rPr>
          <w:rFonts w:hint="eastAsia" w:ascii="Microsoft New Tai Lue" w:hAnsi="Microsoft New Tai Lue" w:cs="Microsoft New Tai Lue"/>
          <w:b/>
          <w:color w:val="auto"/>
          <w:sz w:val="24"/>
          <w:szCs w:val="24"/>
          <w:highlight w:val="none"/>
        </w:rPr>
        <w:t xml:space="preserve">）</w:t>
      </w:r>
      <w:r/>
    </w:p>
    <w:p>
      <w:pPr>
        <w:pStyle w:val="1087"/>
        <w:ind w:firstLine="420"/>
        <w:rPr>
          <w:rFonts w:hint="eastAsia"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1.根据财政部、发展改革委、生态环境部、市场监管总局《关于调整优化节能产品、环境标志产品政府采购执行机制的通知》，投标产品（不含政府强制采购节能产品</w:t>
      </w:r>
      <w:r>
        <w:rPr>
          <w:rFonts w:hint="eastAsia" w:hAnsi="宋体" w:cs="宋体"/>
          <w:bCs/>
          <w:color w:val="auto"/>
          <w:sz w:val="21"/>
          <w:szCs w:val="21"/>
          <w:highlight w:val="none"/>
        </w:rPr>
        <w:t xml:space="preserve">“</w:t>
      </w:r>
      <w:r>
        <w:rPr>
          <w:rFonts w:hint="eastAsia" w:hAnsi="宋体" w:cs="宋体"/>
          <w:color w:val="auto"/>
          <w:sz w:val="21"/>
          <w:szCs w:val="21"/>
          <w:highlight w:val="none"/>
        </w:rPr>
        <w:t xml:space="preserve">图形建模工作站和配套的显示器”）属于《节能产品政府采购品目清单》（最新一期）内的产品，对相应产品的给予优先采购（具体详见评分细则）。</w:t>
      </w:r>
      <w:r/>
    </w:p>
    <w:p>
      <w:pPr>
        <w:pStyle w:val="1087"/>
        <w:ind w:firstLine="420"/>
        <w:rPr>
          <w:rFonts w:hint="eastAsia" w:hAnsi="宋体" w:cs="宋体"/>
          <w:color w:val="auto"/>
          <w:sz w:val="21"/>
          <w:szCs w:val="21"/>
          <w:highlight w:val="none"/>
        </w:rPr>
      </w:pPr>
      <w:r>
        <w:rPr>
          <w:rFonts w:hint="eastAsia" w:hAnsi="宋体" w:cs="宋体"/>
          <w:color w:val="auto"/>
          <w:sz w:val="21"/>
          <w:szCs w:val="21"/>
          <w:highlight w:val="none"/>
        </w:rPr>
        <w:t xml:space="preserve">2.投标产品属于《节能产品政府采购品目清单》（最新一期）内的产品，供应商需提供国家确定的认证机构出具的、处于有效期之内的节能产品认证证书。</w:t>
      </w:r>
      <w:r/>
    </w:p>
    <w:p>
      <w:pPr>
        <w:pStyle w:val="1087"/>
        <w:ind w:firstLine="420"/>
        <w:rPr>
          <w:rFonts w:hint="eastAsia" w:hAnsi="宋体" w:cs="宋体"/>
          <w:b/>
          <w:color w:val="auto"/>
          <w:sz w:val="21"/>
          <w:szCs w:val="21"/>
          <w:highlight w:val="none"/>
        </w:rPr>
      </w:pPr>
      <w:r>
        <w:rPr>
          <w:rFonts w:hint="eastAsia" w:hAnsi="宋体" w:cs="宋体"/>
          <w:color w:val="auto"/>
          <w:sz w:val="21"/>
          <w:szCs w:val="21"/>
          <w:highlight w:val="none"/>
        </w:rPr>
        <w:t xml:space="preserve">3.投标商必须保证使用节能产品参加投标的真实性，如出现虚假响应，一经查实，将按照招标文件具体规定进行处理。</w:t>
      </w:r>
      <w:r/>
    </w:p>
    <w:p>
      <w:pPr>
        <w:pStyle w:val="893"/>
        <w:ind w:left="0" w:firstLine="482"/>
        <w:spacing w:line="300" w:lineRule="auto"/>
        <w:rPr>
          <w:rFonts w:hint="eastAsia" w:hAnsi="宋体" w:cs="宋体"/>
          <w:color w:val="auto"/>
          <w:sz w:val="21"/>
          <w:szCs w:val="21"/>
          <w:highlight w:val="none"/>
          <w:u w:val="single"/>
        </w:rPr>
      </w:pPr>
      <w:r>
        <w:rPr>
          <w:rFonts w:hint="eastAsia" w:hAnsi="宋体" w:cs="宋体"/>
          <w:color w:val="auto"/>
          <w:sz w:val="21"/>
          <w:szCs w:val="21"/>
          <w:highlight w:val="none"/>
          <w:u w:val="single"/>
        </w:rPr>
        <w:t xml:space="preserve">                                                                               </w:t>
      </w:r>
      <w:r/>
    </w:p>
    <w:p>
      <w:pPr>
        <w:pStyle w:val="1087"/>
        <w:ind w:firstLine="198"/>
        <w:jc w:val="center"/>
        <w:spacing w:line="300" w:lineRule="auto"/>
        <w:rPr>
          <w:rFonts w:ascii="Microsoft New Tai Lue" w:hAnsi="Microsoft New Tai Lue" w:cs="Microsoft New Tai Lue"/>
          <w:b/>
          <w:color w:val="auto"/>
          <w:sz w:val="24"/>
          <w:szCs w:val="24"/>
          <w:highlight w:val="none"/>
        </w:rPr>
      </w:pPr>
      <w:r/>
      <w:bookmarkStart w:id="485" w:name="_Toc17097052"/>
      <w:r/>
      <w:bookmarkStart w:id="486" w:name="_Toc520719717"/>
      <w:r/>
      <w:bookmarkStart w:id="487" w:name="_Toc525720157"/>
      <w:r/>
      <w:bookmarkStart w:id="488" w:name="_Toc8742842"/>
      <w:r/>
      <w:bookmarkStart w:id="489" w:name="_Toc11678079"/>
      <w:r/>
      <w:bookmarkStart w:id="490" w:name="_Toc450220986"/>
      <w:r/>
      <w:bookmarkStart w:id="491" w:name="_Toc63695314"/>
      <w:r/>
      <w:bookmarkStart w:id="492" w:name="_Toc9515978"/>
      <w:r/>
      <w:bookmarkStart w:id="493" w:name="_Toc68159636"/>
      <w:r/>
      <w:bookmarkStart w:id="494" w:name="_Toc522290175"/>
      <w:r/>
      <w:bookmarkStart w:id="495" w:name="_Toc447021133"/>
      <w:r/>
      <w:bookmarkStart w:id="496" w:name="_Toc10472944"/>
      <w:r/>
      <w:bookmarkStart w:id="497" w:name="_Toc13233104"/>
      <w:r/>
      <w:bookmarkStart w:id="498" w:name="_Toc96347934"/>
      <w:r>
        <w:rPr>
          <w:rFonts w:hint="eastAsia" w:ascii="Microsoft New Tai Lue" w:hAnsi="Microsoft New Tai Lue" w:cs="Microsoft New Tai Lue"/>
          <w:b/>
          <w:color w:val="auto"/>
          <w:sz w:val="24"/>
          <w:szCs w:val="24"/>
          <w:highlight w:val="none"/>
        </w:rPr>
        <w:t xml:space="preserve">政府采购环境标志产品政策</w:t>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rPr>
          <w:rFonts w:hint="eastAsia" w:ascii="Microsoft New Tai Lue" w:hAnsi="Microsoft New Tai Lue" w:cs="Microsoft New Tai Lue"/>
          <w:b/>
          <w:color w:val="auto"/>
          <w:sz w:val="24"/>
          <w:szCs w:val="24"/>
          <w:highlight w:val="none"/>
        </w:rPr>
        <w:t xml:space="preserve">（</w:t>
      </w:r>
      <w:r>
        <w:rPr>
          <w:rFonts w:hint="eastAsia" w:ascii="Microsoft New Tai Lue" w:hAnsi="Microsoft New Tai Lue" w:cs="Microsoft New Tai Lue"/>
          <w:b/>
          <w:color w:val="auto"/>
          <w:sz w:val="24"/>
          <w:szCs w:val="24"/>
          <w:highlight w:val="none"/>
          <w:lang w:val="en-US" w:eastAsia="zh-CN"/>
        </w:rPr>
        <w:t xml:space="preserve">如涉及，货物类项目适用</w:t>
      </w:r>
      <w:r>
        <w:rPr>
          <w:rFonts w:hint="eastAsia" w:ascii="Microsoft New Tai Lue" w:hAnsi="Microsoft New Tai Lue" w:cs="Microsoft New Tai Lue"/>
          <w:b/>
          <w:color w:val="auto"/>
          <w:sz w:val="24"/>
          <w:szCs w:val="24"/>
          <w:highlight w:val="none"/>
        </w:rPr>
        <w:t xml:space="preserve">）</w:t>
      </w:r>
      <w:r/>
    </w:p>
    <w:p>
      <w:pPr>
        <w:pStyle w:val="1087"/>
        <w:ind w:firstLine="420"/>
        <w:rPr>
          <w:rFonts w:hint="eastAsia" w:hAnsi="宋体" w:cs="宋体"/>
          <w:color w:val="auto"/>
          <w:sz w:val="21"/>
          <w:szCs w:val="21"/>
          <w:highlight w:val="none"/>
        </w:rPr>
      </w:pPr>
      <w:r>
        <w:rPr>
          <w:rFonts w:hint="eastAsia" w:hAnsi="宋体" w:cs="宋体"/>
          <w:color w:val="auto"/>
          <w:sz w:val="21"/>
          <w:szCs w:val="21"/>
          <w:highlight w:val="none"/>
        </w:rPr>
        <w:t xml:space="preserve">1.根据财政部、发展改革委、生态环境部、市场监管总局《关于调整优化节能产品、环境标志产品政府采购执行机制的通知》，投标产品属于《环境标志产品政府采购品目清单》（最新一期）内的产品，对相应产品给予政策优惠。</w:t>
      </w:r>
      <w:r/>
    </w:p>
    <w:p>
      <w:pPr>
        <w:pStyle w:val="1087"/>
        <w:ind w:firstLine="420"/>
        <w:rPr>
          <w:rFonts w:hint="eastAsia" w:hAnsi="宋体" w:cs="宋体"/>
          <w:color w:val="auto"/>
          <w:sz w:val="21"/>
          <w:szCs w:val="21"/>
          <w:highlight w:val="none"/>
        </w:rPr>
      </w:pPr>
      <w:r>
        <w:rPr>
          <w:rFonts w:hint="eastAsia" w:hAnsi="宋体" w:cs="宋体"/>
          <w:color w:val="auto"/>
          <w:sz w:val="21"/>
          <w:szCs w:val="21"/>
          <w:highlight w:val="none"/>
        </w:rPr>
        <w:t xml:space="preserve">2.投标产品属于《环境标志产品政府采购品目清单》（最新一期）内的产品，供应商需提供国家确定的认证机构出具的、处于有效期之内的环境标志产品认证证书。</w:t>
      </w:r>
      <w:r/>
    </w:p>
    <w:p>
      <w:pPr>
        <w:pStyle w:val="1087"/>
        <w:ind w:firstLine="420"/>
        <w:rPr>
          <w:rFonts w:hint="eastAsia" w:hAnsi="宋体" w:cs="宋体"/>
          <w:b/>
          <w:bCs/>
          <w:color w:val="auto"/>
          <w:sz w:val="21"/>
          <w:szCs w:val="21"/>
          <w:highlight w:val="none"/>
        </w:rPr>
      </w:pPr>
      <w:r>
        <w:rPr>
          <w:rFonts w:hint="eastAsia" w:hAnsi="宋体" w:cs="宋体"/>
          <w:color w:val="auto"/>
          <w:sz w:val="21"/>
          <w:szCs w:val="21"/>
          <w:highlight w:val="none"/>
        </w:rPr>
        <w:t xml:space="preserve">3.投标商必须保证使用环境标志产品参加投标的真实性，如出现虚假响应，一经查实，将按照招标文件具体规定进行处理。</w:t>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rPr>
          <w:rFonts w:hint="eastAsia"/>
          <w:color w:val="auto"/>
          <w:highlight w:val="none"/>
          <w:u w:val="single"/>
        </w:rPr>
        <w:t xml:space="preserve"> </w:t>
      </w:r>
      <w:r>
        <w:rPr>
          <w:color w:val="auto"/>
          <w:highlight w:val="none"/>
          <w:u w:val="single"/>
        </w:rPr>
        <w:t xml:space="preserve">                                                                              </w:t>
      </w:r>
      <w:r/>
    </w:p>
    <w:p>
      <w:pPr>
        <w:pStyle w:val="916"/>
        <w:spacing w:before="0" w:line="300" w:lineRule="auto"/>
        <w:rPr>
          <w:rFonts w:ascii="Microsoft New Tai Lue" w:hAnsi="Microsoft New Tai Lue" w:cs="Microsoft New Tai Lue"/>
          <w:bCs w:val="0"/>
          <w:color w:val="auto"/>
          <w:sz w:val="24"/>
          <w:szCs w:val="24"/>
          <w:highlight w:val="none"/>
        </w:rPr>
      </w:pPr>
      <w:r/>
      <w:bookmarkStart w:id="499" w:name="_Toc100905295"/>
      <w:r/>
      <w:bookmarkStart w:id="500" w:name="_Toc104560924"/>
      <w:r/>
      <w:bookmarkStart w:id="501" w:name="_Toc107246307"/>
      <w:r/>
      <w:bookmarkStart w:id="502" w:name="_Toc103848607"/>
      <w:r>
        <w:rPr>
          <w:rFonts w:ascii="Microsoft New Tai Lue" w:hAnsi="Microsoft New Tai Lue" w:cs="Microsoft New Tai Lue"/>
          <w:bCs w:val="0"/>
          <w:color w:val="auto"/>
          <w:sz w:val="24"/>
          <w:szCs w:val="24"/>
          <w:highlight w:val="none"/>
        </w:rPr>
        <w:t xml:space="preserve">（2）投标人认为需提供的其他</w:t>
      </w:r>
      <w:bookmarkEnd w:id="499"/>
      <w:r>
        <w:rPr>
          <w:rFonts w:ascii="Microsoft New Tai Lue" w:hAnsi="Microsoft New Tai Lue" w:cs="Microsoft New Tai Lue"/>
          <w:bCs w:val="0"/>
          <w:color w:val="auto"/>
          <w:sz w:val="24"/>
          <w:szCs w:val="24"/>
          <w:highlight w:val="none"/>
        </w:rPr>
        <w:t xml:space="preserve">文件或证明材料</w:t>
      </w:r>
      <w:bookmarkEnd w:id="500"/>
      <w:r/>
      <w:bookmarkEnd w:id="501"/>
      <w:r/>
      <w:bookmarkEnd w:id="502"/>
      <w:r/>
      <w:r/>
    </w:p>
    <w:p>
      <w:pPr>
        <w:pStyle w:val="893"/>
        <w:ind w:left="0"/>
        <w:spacing w:line="300" w:lineRule="auto"/>
        <w:rPr>
          <w:color w:val="auto"/>
          <w:highlight w:val="none"/>
          <w:u w:val="single"/>
        </w:rPr>
      </w:pPr>
      <w:r>
        <w:rPr>
          <w:rFonts w:hint="eastAsia"/>
          <w:color w:val="auto"/>
          <w:highlight w:val="none"/>
          <w:u w:val="single"/>
        </w:rPr>
        <w:t xml:space="preserve"> </w:t>
      </w:r>
      <w:r>
        <w:rPr>
          <w:color w:val="auto"/>
          <w:highlight w:val="none"/>
          <w:u w:val="single"/>
        </w:rPr>
        <w:t xml:space="preserve">                                                                              </w:t>
      </w:r>
      <w:r/>
    </w:p>
    <w:p>
      <w:pPr>
        <w:pStyle w:val="916"/>
        <w:numPr>
          <w:ilvl w:val="255"/>
          <w:numId w:val="0"/>
        </w:numPr>
        <w:spacing w:before="0" w:line="300" w:lineRule="auto"/>
        <w:rPr>
          <w:rFonts w:ascii="Microsoft New Tai Lue" w:hAnsi="Microsoft New Tai Lue" w:cs="Microsoft New Tai Lue"/>
          <w:bCs w:val="0"/>
          <w:color w:val="auto"/>
          <w:sz w:val="24"/>
          <w:szCs w:val="24"/>
          <w:highlight w:val="none"/>
        </w:rPr>
      </w:pPr>
      <w:r/>
      <w:bookmarkStart w:id="503" w:name="_Toc104560925"/>
      <w:r/>
      <w:bookmarkStart w:id="504" w:name="_Toc103848608"/>
      <w:r/>
      <w:bookmarkStart w:id="505" w:name="_Toc107246308"/>
      <w:r>
        <w:rPr>
          <w:rFonts w:hint="eastAsia" w:ascii="Microsoft New Tai Lue" w:hAnsi="Microsoft New Tai Lue" w:cs="Microsoft New Tai Lue"/>
          <w:bCs w:val="0"/>
          <w:color w:val="auto"/>
          <w:sz w:val="24"/>
          <w:szCs w:val="24"/>
          <w:highlight w:val="none"/>
        </w:rPr>
        <w:t xml:space="preserve">（3）</w:t>
      </w:r>
      <w:r>
        <w:rPr>
          <w:rFonts w:ascii="Microsoft New Tai Lue" w:hAnsi="Microsoft New Tai Lue" w:cs="Microsoft New Tai Lue"/>
          <w:bCs w:val="0"/>
          <w:color w:val="auto"/>
          <w:sz w:val="24"/>
          <w:szCs w:val="24"/>
          <w:highlight w:val="none"/>
        </w:rPr>
        <w:t xml:space="preserve">要求投标人提交的其他文件材料或证明材料</w:t>
      </w:r>
      <w:bookmarkEnd w:id="503"/>
      <w:r/>
      <w:bookmarkEnd w:id="504"/>
      <w:r/>
      <w:bookmarkEnd w:id="505"/>
      <w:r/>
      <w:r/>
    </w:p>
    <w:p>
      <w:pPr>
        <w:rPr>
          <w:color w:val="auto"/>
          <w:highlight w:val="none"/>
        </w:rPr>
      </w:pPr>
      <w:r>
        <w:rPr>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color w:val="auto"/>
          <w:highlight w:val="none"/>
          <w:lang w:eastAsia="zh-CN"/>
        </w:rPr>
      </w:pPr>
      <w:r>
        <w:rPr>
          <w:rFonts w:hint="eastAsia" w:ascii="宋体" w:hAnsi="宋体" w:eastAsia="宋体" w:cs="宋体"/>
          <w:color w:val="auto"/>
          <w:szCs w:val="21"/>
          <w:highlight w:val="none"/>
          <w:lang w:val="en-US" w:eastAsia="zh-CN"/>
        </w:rPr>
        <w:t xml:space="preserve">如：</w:t>
      </w:r>
      <w:r>
        <w:rPr>
          <w:rFonts w:hint="eastAsia" w:ascii="宋体" w:hAnsi="宋体" w:eastAsia="宋体" w:cs="宋体"/>
          <w:color w:val="auto"/>
          <w:szCs w:val="21"/>
          <w:highlight w:val="none"/>
        </w:rPr>
        <w:t xml:space="preserve">《南京市政府采购供应商信用记录表暨信用承诺书》</w:t>
      </w:r>
      <w:r/>
    </w:p>
    <w:sectPr>
      <w:footnotePr/>
      <w:endnotePr/>
      <w:type w:val="nextPage"/>
      <w:pgSz w:w="11906" w:h="16838" w:orient="portrait"/>
      <w:pgMar w:top="1440" w:right="1133" w:bottom="1440"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方正黑体简体">
    <w:panose1 w:val="020B0503020202020204"/>
  </w:font>
  <w:font w:name="Wingdings">
    <w:panose1 w:val="05000000000000000000"/>
  </w:font>
  <w:font w:name="Formata">
    <w:panose1 w:val="020B0503020202020204"/>
  </w:font>
  <w:font w:name="Cambria">
    <w:panose1 w:val="02040503050406030204"/>
  </w:font>
  <w:font w:name="楷体_GB2312">
    <w:panose1 w:val="02010609060101010101"/>
  </w:font>
  <w:font w:name="Calibri">
    <w:panose1 w:val="020F0502020204030204"/>
  </w:font>
  <w:font w:name="微软雅黑">
    <w:panose1 w:val="020B0503020204020204"/>
  </w:font>
  <w:font w:name="MingLiU_HKSCS">
    <w:panose1 w:val="02020500000000000000"/>
  </w:font>
  <w:font w:name="仿宋_GB2312">
    <w:panose1 w:val="02010609060101010101"/>
  </w:font>
  <w:font w:name="华文中宋">
    <w:panose1 w:val="02010600040101010101"/>
  </w:font>
  <w:font w:name="黑体">
    <w:panose1 w:val="02010609060101010101"/>
  </w:font>
  <w:font w:name="Courier New">
    <w:panose1 w:val="02070309020205020404"/>
  </w:font>
  <w:font w:name="仿宋">
    <w:panose1 w:val="02010609060101010101"/>
  </w:font>
  <w:font w:name="等线 Light">
    <w:panose1 w:val="02010600030101010101"/>
  </w:font>
  <w:font w:name="等线">
    <w:panose1 w:val="02010600030101010101"/>
  </w:font>
  <w:font w:name="Microsoft New Tai Lue">
    <w:panose1 w:val="020B0502040204020203"/>
  </w:font>
  <w:font w:name="Arial">
    <w:panose1 w:val="020B0604020202020204"/>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w:r/>
  </w:p>
  <w:p>
    <w:pPr>
      <w:pStyle w:val="90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fldChar w:fldCharType="begin"/>
                          </w:r>
                          <w:r>
                            <w:instrText xml:space="preserve"> PAGE  \* MERGEFORMAT </w:instrText>
                          </w:r>
                          <w:r>
                            <w:fldChar w:fldCharType="separate"/>
                          </w:r>
                          <w:r>
                            <w:t xml:space="preserve">10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fldChar w:fldCharType="begin"/>
                    </w:r>
                    <w:r>
                      <w:instrText xml:space="preserve"> PAGE  \* MERGEFORMAT </w:instrText>
                    </w:r>
                    <w:r>
                      <w:fldChar w:fldCharType="separate"/>
                    </w:r>
                    <w:r>
                      <w:t xml:space="preserve">10</w:t>
                    </w:r>
                    <w:r>
                      <w:fldChar w:fldCharType="end"/>
                    </w:r>
                    <w:r/>
                  </w:p>
                </w:txbxContent>
              </v:textbox>
            </v:shape>
          </w:pict>
        </mc:Fallback>
      </mc:AlternateContent>
    </w:r>
    <w:r/>
  </w:p>
  <w:p>
    <w:pPr>
      <w:pStyle w:val="90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52"/>
      <w:spacing w:line="176" w:lineRule="auto"/>
      <w:rPr>
        <w:rFonts w:eastAsia="Times New Roman"/>
        <w:sz w:val="18"/>
        <w:szCs w:val="18"/>
      </w:rPr>
    </w:pPr>
    <w:r>
      <w:rPr>
        <w:rFonts w:eastAsia="Times New Roman"/>
        <w:spacing w:val="-4"/>
        <w:sz w:val="18"/>
        <w:szCs w:val="18"/>
      </w:rPr>
      <w:t xml:space="preserve">35</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right="360"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02"/>
                          </w:pPr>
                          <w:r>
                            <w:fldChar w:fldCharType="begin"/>
                          </w:r>
                          <w:r>
                            <w:instrText xml:space="preserve"> PAGE  \* MERGEFORMAT </w:instrText>
                          </w:r>
                          <w:r>
                            <w:fldChar w:fldCharType="separate"/>
                          </w:r>
                          <w:r>
                            <w:t xml:space="preserve">31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02"/>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ind w:left="7296"/>
      <w:spacing w:before="48" w:line="219" w:lineRule="auto"/>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page">
                <wp:posOffset>1080135</wp:posOffset>
              </wp:positionH>
              <wp:positionV relativeFrom="page">
                <wp:posOffset>701040</wp:posOffset>
              </wp:positionV>
              <wp:extent cx="5761355" cy="9525"/>
              <wp:effectExtent l="0" t="0" r="0" b="0"/>
              <wp:wrapNone/>
              <wp:docPr id="1" name="任意多边形 6"/>
              <wp:cNvGraphicFramePr/>
              <a:graphic xmlns:a="http://schemas.openxmlformats.org/drawingml/2006/main">
                <a:graphicData uri="http://schemas.microsoft.com/office/word/2010/wordprocessingShape">
                  <wps:wsp>
                    <wps:cNvPr id="0" name=""/>
                    <wps:cNvSpPr/>
                    <wps:spPr bwMode="auto">
                      <a:xfrm>
                        <a:off x="0" y="0"/>
                        <a:ext cx="5761355" cy="9525"/>
                      </a:xfrm>
                      <a:custGeom>
                        <a:avLst/>
                        <a:gdLst/>
                        <a:ahLst/>
                        <a:cxnLst/>
                        <a:rect l="0" t="0" r="0" b="0"/>
                        <a:pathLst>
                          <a:path w="9072" h="15" fill="norm" stroke="1" extrusionOk="0">
                            <a:moveTo>
                              <a:pt x="0" y="0"/>
                            </a:moveTo>
                            <a:lnTo>
                              <a:pt x="9072" y="0"/>
                            </a:lnTo>
                            <a:lnTo>
                              <a:pt x="9072"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0" o:spid="_x0000_s0" style="position:absolute;z-index:251663360;o:allowoverlap:true;o:allowincell:false;mso-position-horizontal-relative:page;margin-left:85.0pt;mso-position-horizontal:absolute;mso-position-vertical-relative:page;margin-top:55.2pt;mso-position-vertical:absolute;width:453.6pt;height:0.8pt;mso-wrap-distance-left:9.0pt;mso-wrap-distance-top:0.0pt;mso-wrap-distance-right:9.0pt;mso-wrap-distance-bottom:0.0pt;visibility:visible;" path="m0,0l100000,0l100000,93333l0,93333l0,0xe" coordsize="100000,100000" fillcolor="#000000" stroked="f">
              <v:path textboxrect="0,0,0,0"/>
            </v:shape>
          </w:pict>
        </mc:Fallback>
      </mc:AlternateContent>
    </w:r>
    <w:r>
      <w:rPr>
        <w:rFonts w:hint="eastAsia"/>
        <w:spacing w:val="-3"/>
        <w:sz w:val="18"/>
        <w:szCs w:val="18"/>
      </w:rPr>
      <w:t xml:space="preserve">江苏省招标中心有限公司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1"/>
      <w:jc w:val="right"/>
      <w:spacing w:before="48" w:line="219" w:lineRule="auto"/>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page">
                <wp:posOffset>1080135</wp:posOffset>
              </wp:positionH>
              <wp:positionV relativeFrom="page">
                <wp:posOffset>701040</wp:posOffset>
              </wp:positionV>
              <wp:extent cx="5761355" cy="9525"/>
              <wp:effectExtent l="0" t="0" r="0" b="0"/>
              <wp:wrapNone/>
              <wp:docPr id="2" name="任意多边形 5"/>
              <wp:cNvGraphicFramePr/>
              <a:graphic xmlns:a="http://schemas.openxmlformats.org/drawingml/2006/main">
                <a:graphicData uri="http://schemas.microsoft.com/office/word/2010/wordprocessingShape">
                  <wps:wsp>
                    <wps:cNvPr id="0" name=""/>
                    <wps:cNvSpPr/>
                    <wps:spPr bwMode="auto">
                      <a:xfrm>
                        <a:off x="0" y="0"/>
                        <a:ext cx="5761355" cy="9525"/>
                      </a:xfrm>
                      <a:custGeom>
                        <a:avLst/>
                        <a:gdLst/>
                        <a:ahLst/>
                        <a:cxnLst/>
                        <a:rect l="0" t="0" r="0" b="0"/>
                        <a:pathLst>
                          <a:path w="9072" h="15" fill="norm" stroke="1" extrusionOk="0">
                            <a:moveTo>
                              <a:pt x="0" y="0"/>
                            </a:moveTo>
                            <a:lnTo>
                              <a:pt x="9072" y="0"/>
                            </a:lnTo>
                            <a:lnTo>
                              <a:pt x="9072" y="14"/>
                            </a:lnTo>
                            <a:lnTo>
                              <a:pt x="0" y="14"/>
                            </a:lnTo>
                            <a:lnTo>
                              <a:pt x="0" y="0"/>
                            </a:lnTo>
                            <a:close/>
                          </a:path>
                        </a:pathLst>
                      </a:custGeom>
                      <a:solidFill>
                        <a:srgbClr val="000000"/>
                      </a:solidFill>
                      <a:ln>
                        <a:noFill/>
                      </a:ln>
                    </wps:spPr>
                    <wps:bodyPr rot="0">
                      <a:prstTxWarp prst="textNoShape">
                        <a:avLst/>
                      </a:prstTxWarp>
                      <a:noAutofit/>
                    </wps:bodyPr>
                  </wps:wsp>
                </a:graphicData>
              </a:graphic>
            </wp:anchor>
          </w:drawing>
        </mc:Choice>
        <mc:Fallback>
          <w:pict>
            <v:shape id="shape 1" o:spid="_x0000_s1" style="position:absolute;z-index:251662336;o:allowoverlap:true;o:allowincell:false;mso-position-horizontal-relative:page;margin-left:85.0pt;mso-position-horizontal:absolute;mso-position-vertical-relative:page;margin-top:55.2pt;mso-position-vertical:absolute;width:453.6pt;height:0.8pt;mso-wrap-distance-left:9.0pt;mso-wrap-distance-top:0.0pt;mso-wrap-distance-right:9.0pt;mso-wrap-distance-bottom:0.0pt;visibility:visible;" path="m0,0l100000,0l100000,93333l0,93333l0,0xe" coordsize="100000,100000" fillcolor="#000000" stroked="f">
              <v:path textboxrect="0,0,0,0"/>
            </v:shape>
          </w:pict>
        </mc:Fallback>
      </mc:AlternateContent>
    </w:r>
    <w:r>
      <w:rPr>
        <w:rFonts w:hint="eastAsia"/>
        <w:spacing w:val="-3"/>
        <w:sz w:val="18"/>
        <w:szCs w:val="18"/>
      </w:rPr>
      <w:t xml:space="preserve">江苏省招标中心有限公司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3">
    <w:multiLevelType w:val="hybridMultilevel"/>
    <w:lvl w:ilvl="0">
      <w:start w:val="1"/>
      <w:numFmt w:val="bullet"/>
      <w:pStyle w:val="888"/>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5">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isLgl/>
      <w:suff w:val="tab"/>
      <w:lvlText w:val="%1.%2"/>
      <w:lvlJc w:val="left"/>
      <w:pPr>
        <w:ind w:left="0" w:firstLine="0"/>
        <w:tabs>
          <w:tab w:val="left" w:pos="680" w:leader="none"/>
        </w:tabs>
      </w:pPr>
      <w:rPr>
        <w:rFonts w:hint="eastAsia"/>
      </w:rPr>
    </w:lvl>
    <w:lvl w:ilvl="2">
      <w:start w:val="1"/>
      <w:numFmt w:val="decimal"/>
      <w:isLgl/>
      <w:suff w:val="tab"/>
      <w:lvlText w:val="%1.%2.%3"/>
      <w:lvlJc w:val="left"/>
      <w:pPr>
        <w:ind w:left="0" w:firstLine="0"/>
        <w:tabs>
          <w:tab w:val="left" w:pos="680" w:leader="none"/>
        </w:tabs>
      </w:pPr>
      <w:rPr>
        <w:rFonts w:hint="eastAsia"/>
      </w:rPr>
    </w:lvl>
    <w:lvl w:ilvl="3">
      <w:start w:val="1"/>
      <w:numFmt w:val="decimal"/>
      <w:isLgl/>
      <w:suff w:val="space"/>
      <w:lvlText w:val="（%4）"/>
      <w:lvlJc w:val="left"/>
      <w:pPr>
        <w:ind w:left="0" w:firstLine="425"/>
      </w:pPr>
      <w:rPr>
        <w:rFonts w:hint="eastAsia"/>
        <w:lang w:val="en-US"/>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6">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7">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8">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9">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10">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11">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12">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isLgl/>
      <w:suff w:val="tab"/>
      <w:lvlText w:val="%1.%2"/>
      <w:lvlJc w:val="left"/>
      <w:pPr>
        <w:ind w:left="0" w:firstLine="0"/>
        <w:tabs>
          <w:tab w:val="left" w:pos="680" w:leader="none"/>
        </w:tabs>
      </w:pPr>
      <w:rPr>
        <w:rFonts w:hint="eastAsia"/>
      </w:rPr>
    </w:lvl>
    <w:lvl w:ilvl="2">
      <w:start w:val="1"/>
      <w:numFmt w:val="decimal"/>
      <w:isLgl/>
      <w:suff w:val="tab"/>
      <w:lvlText w:val="%1.%2.%3"/>
      <w:lvlJc w:val="left"/>
      <w:pPr>
        <w:ind w:left="0" w:firstLine="0"/>
        <w:tabs>
          <w:tab w:val="left" w:pos="680" w:leader="none"/>
        </w:tabs>
      </w:pPr>
      <w:rPr>
        <w:rFonts w:hint="eastAsia"/>
      </w:rPr>
    </w:lvl>
    <w:lvl w:ilvl="3">
      <w:start w:val="1"/>
      <w:numFmt w:val="decimal"/>
      <w:isLgl/>
      <w:suff w:val="space"/>
      <w:lvlText w:val="（%4）"/>
      <w:lvlJc w:val="left"/>
      <w:pPr>
        <w:ind w:left="0" w:firstLine="425"/>
      </w:pPr>
      <w:rPr>
        <w:rFonts w:hint="eastAsia"/>
        <w:lang w:val="en-US"/>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13">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14">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15">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16">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17">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18">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19">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20">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21">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isLgl/>
      <w:suff w:val="tab"/>
      <w:lvlText w:val="%1.%2"/>
      <w:lvlJc w:val="left"/>
      <w:pPr>
        <w:ind w:left="0" w:firstLine="0"/>
        <w:tabs>
          <w:tab w:val="left" w:pos="680" w:leader="none"/>
        </w:tabs>
      </w:pPr>
      <w:rPr>
        <w:rFonts w:hint="eastAsia"/>
      </w:rPr>
    </w:lvl>
    <w:lvl w:ilvl="2">
      <w:start w:val="1"/>
      <w:numFmt w:val="decimal"/>
      <w:isLgl/>
      <w:suff w:val="tab"/>
      <w:lvlText w:val="%1.%2.%3"/>
      <w:lvlJc w:val="left"/>
      <w:pPr>
        <w:ind w:left="0" w:firstLine="0"/>
        <w:tabs>
          <w:tab w:val="left" w:pos="680" w:leader="none"/>
        </w:tabs>
      </w:pPr>
      <w:rPr>
        <w:rFonts w:hint="eastAsia"/>
      </w:rPr>
    </w:lvl>
    <w:lvl w:ilvl="3">
      <w:start w:val="1"/>
      <w:numFmt w:val="decimal"/>
      <w:isLgl/>
      <w:suff w:val="space"/>
      <w:lvlText w:val="（%4）"/>
      <w:lvlJc w:val="left"/>
      <w:pPr>
        <w:ind w:left="0" w:firstLine="425"/>
      </w:pPr>
      <w:rPr>
        <w:rFonts w:hint="eastAsia"/>
        <w:lang w:val="en-US"/>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2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ind w:left="644" w:hanging="360"/>
      </w:pPr>
      <w:rPr>
        <w:rFonts w:hint="default"/>
        <w:lang w:val="en-US"/>
      </w:rPr>
    </w:lvl>
    <w:lvl w:ilvl="1">
      <w:start w:val="1"/>
      <w:numFmt w:val="lowerLetter"/>
      <w:isLgl w:val="false"/>
      <w:suff w:val="tab"/>
      <w:lvlText w:val="%2)"/>
      <w:lvlJc w:val="left"/>
      <w:pPr>
        <w:ind w:left="1920" w:hanging="420"/>
      </w:pPr>
    </w:lvl>
    <w:lvl w:ilvl="2">
      <w:start w:val="1"/>
      <w:numFmt w:val="lowerRoman"/>
      <w:isLgl w:val="false"/>
      <w:suff w:val="tab"/>
      <w:lvlText w:val="%3."/>
      <w:lvlJc w:val="right"/>
      <w:pPr>
        <w:ind w:left="2340" w:hanging="420"/>
      </w:pPr>
    </w:lvl>
    <w:lvl w:ilvl="3">
      <w:start w:val="1"/>
      <w:numFmt w:val="decimal"/>
      <w:isLgl w:val="false"/>
      <w:suff w:val="tab"/>
      <w:lvlText w:val="%4."/>
      <w:lvlJc w:val="left"/>
      <w:pPr>
        <w:ind w:left="2760" w:hanging="420"/>
      </w:pPr>
    </w:lvl>
    <w:lvl w:ilvl="4">
      <w:start w:val="1"/>
      <w:numFmt w:val="lowerLetter"/>
      <w:isLgl w:val="false"/>
      <w:suff w:val="tab"/>
      <w:lvlText w:val="%5)"/>
      <w:lvlJc w:val="left"/>
      <w:pPr>
        <w:ind w:left="3180" w:hanging="420"/>
      </w:pPr>
    </w:lvl>
    <w:lvl w:ilvl="5">
      <w:start w:val="1"/>
      <w:numFmt w:val="lowerRoman"/>
      <w:isLgl w:val="false"/>
      <w:suff w:val="tab"/>
      <w:lvlText w:val="%6."/>
      <w:lvlJc w:val="right"/>
      <w:pPr>
        <w:ind w:left="3600" w:hanging="420"/>
      </w:pPr>
    </w:lvl>
    <w:lvl w:ilvl="6">
      <w:start w:val="1"/>
      <w:numFmt w:val="decimal"/>
      <w:isLgl w:val="false"/>
      <w:suff w:val="tab"/>
      <w:lvlText w:val="%7."/>
      <w:lvlJc w:val="left"/>
      <w:pPr>
        <w:ind w:left="4020" w:hanging="420"/>
      </w:pPr>
    </w:lvl>
    <w:lvl w:ilvl="7">
      <w:start w:val="1"/>
      <w:numFmt w:val="lowerLetter"/>
      <w:isLgl w:val="false"/>
      <w:suff w:val="tab"/>
      <w:lvlText w:val="%8)"/>
      <w:lvlJc w:val="left"/>
      <w:pPr>
        <w:ind w:left="4440" w:hanging="420"/>
      </w:pPr>
    </w:lvl>
    <w:lvl w:ilvl="8">
      <w:start w:val="1"/>
      <w:numFmt w:val="lowerRoman"/>
      <w:isLgl w:val="false"/>
      <w:suff w:val="tab"/>
      <w:lvlText w:val="%9."/>
      <w:lvlJc w:val="right"/>
      <w:pPr>
        <w:ind w:left="4860" w:hanging="420"/>
      </w:pPr>
    </w:lvl>
  </w:abstractNum>
  <w:abstractNum w:abstractNumId="24">
    <w:multiLevelType w:val="hybridMultilevel"/>
    <w:lvl w:ilvl="0">
      <w:start w:val="1"/>
      <w:numFmt w:val="bullet"/>
      <w:isLgl w:val="false"/>
      <w:suff w:val="tab"/>
      <w:lvlText w:val=""/>
      <w:lvlJc w:val="left"/>
      <w:pPr>
        <w:ind w:left="1160" w:hanging="440"/>
      </w:pPr>
      <w:rPr>
        <w:rFonts w:hint="default" w:ascii="Wingdings" w:hAnsi="Wingdings"/>
      </w:rPr>
    </w:lvl>
    <w:lvl w:ilvl="1">
      <w:start w:val="1"/>
      <w:numFmt w:val="bullet"/>
      <w:isLgl w:val="false"/>
      <w:suff w:val="tab"/>
      <w:lvlText w:val=""/>
      <w:lvlJc w:val="left"/>
      <w:pPr>
        <w:ind w:left="1600" w:hanging="440"/>
      </w:pPr>
      <w:rPr>
        <w:rFonts w:hint="default" w:ascii="Wingdings" w:hAnsi="Wingdings"/>
      </w:rPr>
    </w:lvl>
    <w:lvl w:ilvl="2">
      <w:start w:val="1"/>
      <w:numFmt w:val="bullet"/>
      <w:isLgl w:val="false"/>
      <w:suff w:val="tab"/>
      <w:lvlText w:val=""/>
      <w:lvlJc w:val="left"/>
      <w:pPr>
        <w:ind w:left="2040" w:hanging="440"/>
      </w:pPr>
      <w:rPr>
        <w:rFonts w:hint="default" w:ascii="Wingdings" w:hAnsi="Wingdings"/>
      </w:rPr>
    </w:lvl>
    <w:lvl w:ilvl="3">
      <w:start w:val="1"/>
      <w:numFmt w:val="bullet"/>
      <w:isLgl w:val="false"/>
      <w:suff w:val="tab"/>
      <w:lvlText w:val=""/>
      <w:lvlJc w:val="left"/>
      <w:pPr>
        <w:ind w:left="2480" w:hanging="440"/>
      </w:pPr>
      <w:rPr>
        <w:rFonts w:hint="default" w:ascii="Wingdings" w:hAnsi="Wingdings"/>
      </w:rPr>
    </w:lvl>
    <w:lvl w:ilvl="4">
      <w:start w:val="1"/>
      <w:numFmt w:val="bullet"/>
      <w:isLgl w:val="false"/>
      <w:suff w:val="tab"/>
      <w:lvlText w:val=""/>
      <w:lvlJc w:val="left"/>
      <w:pPr>
        <w:ind w:left="2920" w:hanging="440"/>
      </w:pPr>
      <w:rPr>
        <w:rFonts w:hint="default" w:ascii="Wingdings" w:hAnsi="Wingdings"/>
      </w:rPr>
    </w:lvl>
    <w:lvl w:ilvl="5">
      <w:start w:val="1"/>
      <w:numFmt w:val="bullet"/>
      <w:isLgl w:val="false"/>
      <w:suff w:val="tab"/>
      <w:lvlText w:val=""/>
      <w:lvlJc w:val="left"/>
      <w:pPr>
        <w:ind w:left="3360" w:hanging="440"/>
      </w:pPr>
      <w:rPr>
        <w:rFonts w:hint="default" w:ascii="Wingdings" w:hAnsi="Wingdings"/>
      </w:rPr>
    </w:lvl>
    <w:lvl w:ilvl="6">
      <w:start w:val="1"/>
      <w:numFmt w:val="bullet"/>
      <w:isLgl w:val="false"/>
      <w:suff w:val="tab"/>
      <w:lvlText w:val=""/>
      <w:lvlJc w:val="left"/>
      <w:pPr>
        <w:ind w:left="3800" w:hanging="440"/>
      </w:pPr>
      <w:rPr>
        <w:rFonts w:hint="default" w:ascii="Wingdings" w:hAnsi="Wingdings"/>
      </w:rPr>
    </w:lvl>
    <w:lvl w:ilvl="7">
      <w:start w:val="1"/>
      <w:numFmt w:val="bullet"/>
      <w:isLgl w:val="false"/>
      <w:suff w:val="tab"/>
      <w:lvlText w:val=""/>
      <w:lvlJc w:val="left"/>
      <w:pPr>
        <w:ind w:left="4240" w:hanging="440"/>
      </w:pPr>
      <w:rPr>
        <w:rFonts w:hint="default" w:ascii="Wingdings" w:hAnsi="Wingdings"/>
      </w:rPr>
    </w:lvl>
    <w:lvl w:ilvl="8">
      <w:start w:val="1"/>
      <w:numFmt w:val="bullet"/>
      <w:isLgl w:val="false"/>
      <w:suff w:val="tab"/>
      <w:lvlText w:val=""/>
      <w:lvlJc w:val="left"/>
      <w:pPr>
        <w:ind w:left="4680" w:hanging="440"/>
      </w:pPr>
      <w:rPr>
        <w:rFonts w:hint="default" w:ascii="Wingdings" w:hAnsi="Wingdings"/>
      </w:rPr>
    </w:lvl>
  </w:abstractNum>
  <w:abstractNum w:abstractNumId="25">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26">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27">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28">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tab"/>
      <w:lvlText w:val="%1)"/>
      <w:lvlJc w:val="left"/>
      <w:pPr>
        <w:ind w:left="881" w:hanging="440"/>
      </w:p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31">
    <w:multiLevelType w:val="hybridMultilevel"/>
    <w:lvl w:ilvl="0">
      <w:start w:val="1"/>
      <w:numFmt w:val="decimal"/>
      <w:isLgl w:val="false"/>
      <w:suff w:val="tab"/>
      <w:lvlText w:val="%1)"/>
      <w:lvlJc w:val="left"/>
      <w:pPr>
        <w:ind w:left="881" w:hanging="440"/>
      </w:pPr>
      <w:rPr>
        <w:sz w:val="24"/>
        <w:szCs w:val="24"/>
      </w:rPr>
    </w:lvl>
    <w:lvl w:ilvl="1">
      <w:start w:val="1"/>
      <w:numFmt w:val="lowerLetter"/>
      <w:isLgl w:val="false"/>
      <w:suff w:val="tab"/>
      <w:lvlText w:val="%2)"/>
      <w:lvlJc w:val="left"/>
      <w:pPr>
        <w:ind w:left="1321" w:hanging="440"/>
      </w:pPr>
    </w:lvl>
    <w:lvl w:ilvl="2">
      <w:start w:val="1"/>
      <w:numFmt w:val="lowerRoman"/>
      <w:isLgl w:val="false"/>
      <w:suff w:val="tab"/>
      <w:lvlText w:val="%3."/>
      <w:lvlJc w:val="right"/>
      <w:pPr>
        <w:ind w:left="1761" w:hanging="440"/>
      </w:pPr>
    </w:lvl>
    <w:lvl w:ilvl="3">
      <w:start w:val="1"/>
      <w:numFmt w:val="decimal"/>
      <w:isLgl w:val="false"/>
      <w:suff w:val="tab"/>
      <w:lvlText w:val="%4."/>
      <w:lvlJc w:val="left"/>
      <w:pPr>
        <w:ind w:left="2201" w:hanging="440"/>
      </w:pPr>
    </w:lvl>
    <w:lvl w:ilvl="4">
      <w:start w:val="1"/>
      <w:numFmt w:val="lowerLetter"/>
      <w:isLgl w:val="false"/>
      <w:suff w:val="tab"/>
      <w:lvlText w:val="%5)"/>
      <w:lvlJc w:val="left"/>
      <w:pPr>
        <w:ind w:left="2641" w:hanging="440"/>
      </w:pPr>
    </w:lvl>
    <w:lvl w:ilvl="5">
      <w:start w:val="1"/>
      <w:numFmt w:val="lowerRoman"/>
      <w:isLgl w:val="false"/>
      <w:suff w:val="tab"/>
      <w:lvlText w:val="%6."/>
      <w:lvlJc w:val="right"/>
      <w:pPr>
        <w:ind w:left="3081" w:hanging="440"/>
      </w:pPr>
    </w:lvl>
    <w:lvl w:ilvl="6">
      <w:start w:val="1"/>
      <w:numFmt w:val="decimal"/>
      <w:isLgl w:val="false"/>
      <w:suff w:val="tab"/>
      <w:lvlText w:val="%7."/>
      <w:lvlJc w:val="left"/>
      <w:pPr>
        <w:ind w:left="3521" w:hanging="440"/>
      </w:pPr>
    </w:lvl>
    <w:lvl w:ilvl="7">
      <w:start w:val="1"/>
      <w:numFmt w:val="lowerLetter"/>
      <w:isLgl w:val="false"/>
      <w:suff w:val="tab"/>
      <w:lvlText w:val="%8)"/>
      <w:lvlJc w:val="left"/>
      <w:pPr>
        <w:ind w:left="3961" w:hanging="440"/>
      </w:pPr>
    </w:lvl>
    <w:lvl w:ilvl="8">
      <w:start w:val="1"/>
      <w:numFmt w:val="lowerRoman"/>
      <w:isLgl w:val="false"/>
      <w:suff w:val="tab"/>
      <w:lvlText w:val="%9."/>
      <w:lvlJc w:val="right"/>
      <w:pPr>
        <w:ind w:left="4401" w:hanging="440"/>
      </w:pPr>
    </w:lvl>
  </w:abstractNum>
  <w:abstractNum w:abstractNumId="32">
    <w:multiLevelType w:val="hybridMultilevel"/>
    <w:lvl w:ilvl="0">
      <w:start w:val="1"/>
      <w:numFmt w:val="chineseCountingThousand"/>
      <w:isLgl w:val="false"/>
      <w:suff w:val="space"/>
      <w:lvlText w:val="第%1章"/>
      <w:lvlJc w:val="left"/>
      <w:pPr>
        <w:ind w:left="0" w:firstLine="0"/>
      </w:pPr>
      <w:rPr>
        <w:rFonts w:hint="eastAsia"/>
      </w:rPr>
    </w:lvl>
    <w:lvl w:ilvl="1">
      <w:start w:val="1"/>
      <w:numFmt w:val="decimal"/>
      <w:isLgl/>
      <w:suff w:val="tab"/>
      <w:lvlText w:val="%1.%2"/>
      <w:lvlJc w:val="left"/>
      <w:pPr>
        <w:ind w:left="0" w:firstLine="0"/>
        <w:tabs>
          <w:tab w:val="left" w:pos="680" w:leader="none"/>
        </w:tabs>
      </w:pPr>
      <w:rPr>
        <w:rFonts w:hint="eastAsia"/>
      </w:rPr>
    </w:lvl>
    <w:lvl w:ilvl="2">
      <w:start w:val="1"/>
      <w:numFmt w:val="decimal"/>
      <w:isLgl/>
      <w:suff w:val="tab"/>
      <w:lvlText w:val="%1.%2.%3"/>
      <w:lvlJc w:val="left"/>
      <w:pPr>
        <w:ind w:left="0" w:firstLine="0"/>
        <w:tabs>
          <w:tab w:val="left" w:pos="680" w:leader="none"/>
        </w:tabs>
      </w:pPr>
      <w:rPr>
        <w:rFonts w:hint="eastAsia"/>
      </w:rPr>
    </w:lvl>
    <w:lvl w:ilvl="3">
      <w:start w:val="1"/>
      <w:numFmt w:val="decimal"/>
      <w:isLgl/>
      <w:suff w:val="space"/>
      <w:lvlText w:val="（%4）"/>
      <w:lvlJc w:val="left"/>
      <w:pPr>
        <w:ind w:left="0" w:firstLine="425"/>
      </w:pPr>
      <w:rPr>
        <w:rFonts w:hint="eastAsia"/>
        <w:lang w:val="en-US"/>
      </w:rPr>
    </w:lvl>
    <w:lvl w:ilvl="4">
      <w:start w:val="1"/>
      <w:numFmt w:val="decimal"/>
      <w:isLgl w:val="false"/>
      <w:suff w:val="tab"/>
      <w:lvlText w:val="%1.%2.%3.%4.%5"/>
      <w:lvlJc w:val="left"/>
      <w:pPr>
        <w:ind w:left="0" w:firstLine="0"/>
      </w:pPr>
      <w:rPr>
        <w:rFonts w:hint="eastAsia"/>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0" w:firstLine="0"/>
      </w:pPr>
      <w:rPr>
        <w:rFonts w:hint="eastAsia"/>
      </w:rPr>
    </w:lvl>
    <w:lvl w:ilvl="8">
      <w:start w:val="1"/>
      <w:numFmt w:val="decimal"/>
      <w:isLgl w:val="false"/>
      <w:suff w:val="tab"/>
      <w:lvlText w:val="%1.%2.%3.%4.%5.%6.%7.%8.%9"/>
      <w:lvlJc w:val="left"/>
      <w:pPr>
        <w:ind w:left="0" w:firstLine="0"/>
      </w:pPr>
      <w:rPr>
        <w:rFonts w:hint="eastAsia"/>
      </w:rPr>
    </w:lvl>
  </w:abstractNum>
  <w:num w:numId="1">
    <w:abstractNumId w:val="3"/>
  </w:num>
  <w:num w:numId="2">
    <w:abstractNumId w:val="1"/>
  </w:num>
  <w:num w:numId="3">
    <w:abstractNumId w:val="30"/>
  </w:num>
  <w:num w:numId="4">
    <w:abstractNumId w:val="8"/>
  </w:num>
  <w:num w:numId="5">
    <w:abstractNumId w:val="15"/>
  </w:num>
  <w:num w:numId="6">
    <w:abstractNumId w:val="4"/>
  </w:num>
  <w:num w:numId="7">
    <w:abstractNumId w:val="7"/>
  </w:num>
  <w:num w:numId="8">
    <w:abstractNumId w:val="17"/>
  </w:num>
  <w:num w:numId="9">
    <w:abstractNumId w:val="20"/>
  </w:num>
  <w:num w:numId="10">
    <w:abstractNumId w:val="10"/>
  </w:num>
  <w:num w:numId="11">
    <w:abstractNumId w:val="19"/>
  </w:num>
  <w:num w:numId="12">
    <w:abstractNumId w:val="9"/>
  </w:num>
  <w:num w:numId="13">
    <w:abstractNumId w:val="18"/>
  </w:num>
  <w:num w:numId="14">
    <w:abstractNumId w:val="28"/>
  </w:num>
  <w:num w:numId="15">
    <w:abstractNumId w:val="11"/>
  </w:num>
  <w:num w:numId="16">
    <w:abstractNumId w:val="14"/>
  </w:num>
  <w:num w:numId="17">
    <w:abstractNumId w:val="31"/>
  </w:num>
  <w:num w:numId="18">
    <w:abstractNumId w:val="25"/>
  </w:num>
  <w:num w:numId="19">
    <w:abstractNumId w:val="13"/>
  </w:num>
  <w:num w:numId="20">
    <w:abstractNumId w:val="6"/>
  </w:num>
  <w:num w:numId="21">
    <w:abstractNumId w:val="27"/>
  </w:num>
  <w:num w:numId="22">
    <w:abstractNumId w:val="24"/>
  </w:num>
  <w:num w:numId="23">
    <w:abstractNumId w:val="16"/>
  </w:num>
  <w:num w:numId="24">
    <w:abstractNumId w:val="26"/>
  </w:num>
  <w:num w:numId="25">
    <w:abstractNumId w:val="2"/>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num>
  <w:num w:numId="28">
    <w:abstractNumId w:val="21"/>
  </w:num>
  <w:num w:numId="29">
    <w:abstractNumId w:val="5"/>
  </w:num>
  <w:num w:numId="30">
    <w:abstractNumId w:val="0"/>
  </w:num>
  <w:num w:numId="31">
    <w:abstractNumId w:val="23"/>
  </w:num>
  <w:num w:numId="32">
    <w:abstractNumId w:val="29"/>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2">
    <w:name w:val="Heading 7 Char"/>
    <w:basedOn w:val="879"/>
    <w:link w:val="876"/>
    <w:uiPriority w:val="9"/>
    <w:rPr>
      <w:rFonts w:ascii="Arial" w:hAnsi="Arial" w:eastAsia="Arial" w:cs="Arial"/>
      <w:b/>
      <w:bCs/>
      <w:i/>
      <w:iCs/>
      <w:sz w:val="22"/>
      <w:szCs w:val="22"/>
    </w:rPr>
  </w:style>
  <w:style w:type="character" w:styleId="843">
    <w:name w:val="Heading 9 Char"/>
    <w:basedOn w:val="879"/>
    <w:link w:val="878"/>
    <w:uiPriority w:val="9"/>
    <w:rPr>
      <w:rFonts w:ascii="Arial" w:hAnsi="Arial" w:eastAsia="Arial" w:cs="Arial"/>
      <w:i/>
      <w:iCs/>
      <w:sz w:val="21"/>
      <w:szCs w:val="21"/>
    </w:rPr>
  </w:style>
  <w:style w:type="character" w:styleId="844">
    <w:name w:val="Subtitle Char"/>
    <w:basedOn w:val="879"/>
    <w:link w:val="908"/>
    <w:uiPriority w:val="11"/>
    <w:rPr>
      <w:sz w:val="24"/>
      <w:szCs w:val="24"/>
    </w:rPr>
  </w:style>
  <w:style w:type="character" w:styleId="845">
    <w:name w:val="Quote Char"/>
    <w:link w:val="939"/>
    <w:uiPriority w:val="29"/>
    <w:rPr>
      <w:i/>
    </w:rPr>
  </w:style>
  <w:style w:type="character" w:styleId="846">
    <w:name w:val="Intense Quote Char"/>
    <w:link w:val="941"/>
    <w:uiPriority w:val="30"/>
    <w:rPr>
      <w:i/>
    </w:rPr>
  </w:style>
  <w:style w:type="table" w:styleId="847">
    <w:name w:val="Plain Table 1"/>
    <w:basedOn w:val="88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8">
    <w:name w:val="Plain Table 2"/>
    <w:basedOn w:val="88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9">
    <w:name w:val="Plain Table 3"/>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0">
    <w:name w:val="Plain Table 4"/>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1">
    <w:name w:val="Plain Table 5"/>
    <w:basedOn w:val="88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2">
    <w:name w:val="Grid Table 1 Light"/>
    <w:basedOn w:val="88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3">
    <w:name w:val="Grid Table 2"/>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4">
    <w:name w:val="Grid Table 3"/>
    <w:basedOn w:val="88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basedOn w:val="88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5 Dark"/>
    <w:basedOn w:val="88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7">
    <w:name w:val="Grid Table 6 Colorful"/>
    <w:basedOn w:val="88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8">
    <w:name w:val="Grid Table 7 Colorful"/>
    <w:basedOn w:val="88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9">
    <w:name w:val="List Table 1 Light"/>
    <w:basedOn w:val="88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0">
    <w:name w:val="List Table 2"/>
    <w:basedOn w:val="88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61">
    <w:name w:val="List Table 3"/>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2">
    <w:name w:val="List Table 4"/>
    <w:basedOn w:val="88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5 Dark"/>
    <w:basedOn w:val="88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basedOn w:val="88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7 Colorful"/>
    <w:basedOn w:val="88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66">
    <w:name w:val="Footnote Text Char"/>
    <w:link w:val="909"/>
    <w:uiPriority w:val="99"/>
    <w:rPr>
      <w:sz w:val="18"/>
    </w:rPr>
  </w:style>
  <w:style w:type="character" w:styleId="867">
    <w:name w:val="Endnote Text Char"/>
    <w:link w:val="900"/>
    <w:uiPriority w:val="99"/>
    <w:rPr>
      <w:sz w:val="20"/>
    </w:rPr>
  </w:style>
  <w:style w:type="paragraph" w:styleId="868">
    <w:name w:val="TOC Heading"/>
    <w:uiPriority w:val="39"/>
    <w:unhideWhenUsed/>
  </w:style>
  <w:style w:type="paragraph" w:styleId="869"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70">
    <w:name w:val="Heading 1"/>
    <w:basedOn w:val="869"/>
    <w:next w:val="869"/>
    <w:link w:val="1083"/>
    <w:uiPriority w:val="0"/>
    <w:qFormat/>
    <w:pPr>
      <w:ind w:left="100" w:right="100"/>
      <w:spacing w:before="120" w:after="120"/>
      <w:outlineLvl w:val="0"/>
    </w:pPr>
    <w:rPr>
      <w:szCs w:val="44"/>
    </w:rPr>
  </w:style>
  <w:style w:type="paragraph" w:styleId="871">
    <w:name w:val="Heading 2"/>
    <w:basedOn w:val="869"/>
    <w:next w:val="869"/>
    <w:link w:val="1078"/>
    <w:uiPriority w:val="0"/>
    <w:qFormat/>
    <w:pPr>
      <w:keepLines/>
      <w:keepNext/>
      <w:spacing w:before="260" w:after="260" w:line="416" w:lineRule="auto"/>
      <w:outlineLvl w:val="1"/>
    </w:pPr>
    <w:rPr>
      <w:rFonts w:ascii="等线 Light" w:hAnsi="等线 Light" w:eastAsia="等线 Light"/>
      <w:b/>
      <w:bCs/>
      <w:sz w:val="32"/>
      <w:szCs w:val="32"/>
    </w:rPr>
  </w:style>
  <w:style w:type="paragraph" w:styleId="872">
    <w:name w:val="Heading 3"/>
    <w:basedOn w:val="869"/>
    <w:next w:val="869"/>
    <w:link w:val="1076"/>
    <w:uiPriority w:val="9"/>
    <w:qFormat/>
    <w:pPr>
      <w:keepLines/>
      <w:keepNext/>
      <w:spacing w:before="260" w:after="260" w:line="416" w:lineRule="auto"/>
      <w:outlineLvl w:val="2"/>
    </w:pPr>
    <w:rPr>
      <w:b/>
      <w:bCs/>
      <w:sz w:val="32"/>
      <w:szCs w:val="32"/>
    </w:rPr>
  </w:style>
  <w:style w:type="paragraph" w:styleId="873">
    <w:name w:val="Heading 4"/>
    <w:basedOn w:val="882"/>
    <w:next w:val="883"/>
    <w:link w:val="1084"/>
    <w:uiPriority w:val="0"/>
    <w:qFormat/>
    <w:pPr>
      <w:keepLines/>
      <w:keepNext/>
      <w:spacing w:before="280" w:after="290" w:line="376" w:lineRule="auto"/>
      <w:outlineLvl w:val="3"/>
    </w:pPr>
    <w:rPr>
      <w:rFonts w:ascii="等线 Light" w:hAnsi="等线 Light" w:eastAsia="等线 Light"/>
      <w:b/>
      <w:sz w:val="28"/>
      <w:szCs w:val="28"/>
    </w:rPr>
  </w:style>
  <w:style w:type="paragraph" w:styleId="874">
    <w:name w:val="Heading 5"/>
    <w:basedOn w:val="869"/>
    <w:next w:val="869"/>
    <w:uiPriority w:val="0"/>
    <w:qFormat/>
    <w:pPr>
      <w:ind w:left="2100" w:hanging="420"/>
      <w:keepLines/>
      <w:keepNext/>
      <w:spacing w:before="280" w:after="290" w:line="377" w:lineRule="auto"/>
      <w:tabs>
        <w:tab w:val="left" w:pos="1008" w:leader="none"/>
        <w:tab w:val="left" w:pos="2100" w:leader="none"/>
      </w:tabs>
      <w:outlineLvl w:val="4"/>
    </w:pPr>
    <w:rPr>
      <w:rFonts w:ascii="宋体" w:hAnsi="宋体"/>
      <w:b/>
      <w:bCs/>
      <w:sz w:val="28"/>
    </w:rPr>
  </w:style>
  <w:style w:type="paragraph" w:styleId="875">
    <w:name w:val="Heading 6"/>
    <w:basedOn w:val="869"/>
    <w:next w:val="869"/>
    <w:link w:val="1099"/>
    <w:uiPriority w:val="0"/>
    <w:qFormat/>
    <w:pPr>
      <w:keepLines/>
      <w:keepNext/>
      <w:spacing w:before="240" w:after="64" w:line="320" w:lineRule="auto"/>
      <w:outlineLvl w:val="5"/>
    </w:pPr>
    <w:rPr>
      <w:rFonts w:ascii="等线 Light" w:hAnsi="等线 Light" w:eastAsia="等线 Light"/>
      <w:b/>
      <w:bCs/>
      <w:sz w:val="24"/>
    </w:rPr>
  </w:style>
  <w:style w:type="paragraph" w:styleId="876">
    <w:name w:val="Heading 7"/>
    <w:basedOn w:val="869"/>
    <w:next w:val="869"/>
    <w:link w:val="934"/>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1097"/>
    <w:uiPriority w:val="0"/>
    <w:qFormat/>
    <w:pPr>
      <w:keepLines/>
      <w:keepNext/>
      <w:spacing w:before="240" w:after="64" w:line="320" w:lineRule="auto"/>
      <w:outlineLvl w:val="7"/>
    </w:pPr>
    <w:rPr>
      <w:rFonts w:ascii="等线 Light" w:hAnsi="等线 Light" w:eastAsia="等线 Light"/>
      <w:sz w:val="24"/>
    </w:rPr>
  </w:style>
  <w:style w:type="paragraph" w:styleId="878">
    <w:name w:val="Heading 9"/>
    <w:basedOn w:val="869"/>
    <w:next w:val="869"/>
    <w:link w:val="936"/>
    <w:uiPriority w:val="9"/>
    <w:unhideWhenUsed/>
    <w:qFormat/>
    <w:pPr>
      <w:keepLines/>
      <w:keepNext/>
      <w:spacing w:before="320" w:after="200"/>
      <w:outlineLvl w:val="8"/>
    </w:pPr>
    <w:rPr>
      <w:rFonts w:ascii="Arial" w:hAnsi="Arial" w:eastAsia="Arial" w:cs="Arial"/>
      <w:i/>
      <w:iCs/>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macro"/>
    <w:link w:val="1075"/>
    <w:uiPriority w:val="0"/>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sz w:val="24"/>
      <w:szCs w:val="24"/>
      <w:lang w:val="en-US" w:eastAsia="zh-CN" w:bidi="ar-SA"/>
    </w:rPr>
  </w:style>
  <w:style w:type="paragraph" w:styleId="882" w:customStyle="1">
    <w:name w:val="默认宋体"/>
    <w:uiPriority w:val="0"/>
    <w:qFormat/>
    <w:pPr>
      <w:jc w:val="both"/>
      <w:spacing w:line="360" w:lineRule="auto"/>
    </w:pPr>
    <w:rPr>
      <w:rFonts w:ascii="Times New Roman" w:hAnsi="Times New Roman" w:eastAsia="宋体" w:cs="Courier New"/>
      <w:bCs/>
      <w:sz w:val="24"/>
      <w:szCs w:val="24"/>
      <w:lang w:val="en-US" w:eastAsia="zh-CN" w:bidi="ar-SA"/>
    </w:rPr>
  </w:style>
  <w:style w:type="paragraph" w:styleId="883" w:customStyle="1">
    <w:name w:val="论文正文"/>
    <w:basedOn w:val="882"/>
    <w:uiPriority w:val="2"/>
    <w:qFormat/>
    <w:pPr>
      <w:ind w:firstLine="200"/>
    </w:pPr>
  </w:style>
  <w:style w:type="paragraph" w:styleId="884">
    <w:name w:val="List 3"/>
    <w:basedOn w:val="869"/>
    <w:uiPriority w:val="0"/>
    <w:qFormat/>
    <w:pPr>
      <w:contextualSpacing/>
      <w:ind w:left="100" w:hanging="200"/>
      <w:jc w:val="left"/>
      <w:widowControl/>
    </w:pPr>
    <w:rPr>
      <w:sz w:val="20"/>
      <w:szCs w:val="20"/>
    </w:rPr>
  </w:style>
  <w:style w:type="paragraph" w:styleId="885">
    <w:name w:val="toc 7"/>
    <w:basedOn w:val="869"/>
    <w:next w:val="869"/>
    <w:uiPriority w:val="39"/>
    <w:unhideWhenUsed/>
    <w:qFormat/>
    <w:pPr>
      <w:ind w:left="2520"/>
    </w:pPr>
    <w:rPr>
      <w:rFonts w:ascii="等线" w:hAnsi="等线" w:eastAsia="等线"/>
      <w:szCs w:val="22"/>
    </w:rPr>
  </w:style>
  <w:style w:type="paragraph" w:styleId="886">
    <w:name w:val="Normal Indent"/>
    <w:basedOn w:val="869"/>
    <w:link w:val="1090"/>
    <w:uiPriority w:val="99"/>
    <w:qFormat/>
    <w:pPr>
      <w:ind w:firstLine="420"/>
    </w:pPr>
    <w:rPr>
      <w:szCs w:val="20"/>
    </w:rPr>
  </w:style>
  <w:style w:type="paragraph" w:styleId="887">
    <w:name w:val="Caption"/>
    <w:basedOn w:val="869"/>
    <w:next w:val="869"/>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888">
    <w:name w:val="List Bullet"/>
    <w:basedOn w:val="869"/>
    <w:uiPriority w:val="0"/>
    <w:qFormat/>
    <w:pPr>
      <w:numPr>
        <w:ilvl w:val="0"/>
        <w:numId w:val="1"/>
      </w:numPr>
    </w:pPr>
  </w:style>
  <w:style w:type="paragraph" w:styleId="889">
    <w:name w:val="Document Map"/>
    <w:basedOn w:val="869"/>
    <w:link w:val="1091"/>
    <w:uiPriority w:val="0"/>
    <w:qFormat/>
    <w:pPr>
      <w:shd w:val="clear" w:color="auto" w:fill="000080"/>
    </w:pPr>
  </w:style>
  <w:style w:type="paragraph" w:styleId="890">
    <w:name w:val="annotation text"/>
    <w:basedOn w:val="869"/>
    <w:link w:val="1096"/>
    <w:uiPriority w:val="0"/>
    <w:qFormat/>
    <w:pPr>
      <w:jc w:val="left"/>
    </w:pPr>
  </w:style>
  <w:style w:type="paragraph" w:styleId="891">
    <w:name w:val="Body Text"/>
    <w:basedOn w:val="869"/>
    <w:link w:val="1088"/>
    <w:uiPriority w:val="1"/>
    <w:qFormat/>
    <w:pPr>
      <w:spacing w:after="120"/>
    </w:pPr>
  </w:style>
  <w:style w:type="paragraph" w:styleId="892">
    <w:name w:val="Body Text Indent"/>
    <w:basedOn w:val="869"/>
    <w:uiPriority w:val="0"/>
    <w:qFormat/>
    <w:pPr>
      <w:ind w:left="420"/>
      <w:spacing w:after="120"/>
    </w:pPr>
  </w:style>
  <w:style w:type="paragraph" w:styleId="893">
    <w:name w:val="index 4"/>
    <w:basedOn w:val="869"/>
    <w:next w:val="869"/>
    <w:uiPriority w:val="99"/>
    <w:unhideWhenUsed/>
    <w:qFormat/>
    <w:pPr>
      <w:ind w:left="600"/>
    </w:pPr>
    <w:rPr>
      <w:rFonts w:ascii="宋体"/>
      <w:b/>
      <w:position w:val="-10"/>
      <w:sz w:val="24"/>
      <w:szCs w:val="20"/>
    </w:rPr>
  </w:style>
  <w:style w:type="paragraph" w:styleId="894">
    <w:name w:val="toc 5"/>
    <w:basedOn w:val="869"/>
    <w:next w:val="869"/>
    <w:uiPriority w:val="39"/>
    <w:unhideWhenUsed/>
    <w:qFormat/>
    <w:pPr>
      <w:ind w:left="1680"/>
    </w:pPr>
    <w:rPr>
      <w:rFonts w:ascii="等线" w:hAnsi="等线" w:eastAsia="等线"/>
      <w:szCs w:val="22"/>
    </w:rPr>
  </w:style>
  <w:style w:type="paragraph" w:styleId="895">
    <w:name w:val="toc 3"/>
    <w:basedOn w:val="869"/>
    <w:next w:val="869"/>
    <w:uiPriority w:val="39"/>
    <w:unhideWhenUsed/>
    <w:qFormat/>
    <w:pPr>
      <w:ind w:left="440"/>
      <w:jc w:val="left"/>
      <w:spacing w:after="100" w:line="259" w:lineRule="auto"/>
      <w:widowControl/>
    </w:pPr>
    <w:rPr>
      <w:rFonts w:ascii="等线" w:hAnsi="等线" w:eastAsia="等线"/>
      <w:sz w:val="22"/>
      <w:szCs w:val="22"/>
    </w:rPr>
  </w:style>
  <w:style w:type="paragraph" w:styleId="896">
    <w:name w:val="Plain Text"/>
    <w:basedOn w:val="869"/>
    <w:link w:val="1079"/>
    <w:uiPriority w:val="0"/>
    <w:qFormat/>
    <w:rPr>
      <w:rFonts w:ascii="宋体" w:hAnsi="Courier New" w:cs="Courier New"/>
      <w:szCs w:val="21"/>
    </w:rPr>
  </w:style>
  <w:style w:type="paragraph" w:styleId="897">
    <w:name w:val="toc 8"/>
    <w:basedOn w:val="869"/>
    <w:next w:val="869"/>
    <w:uiPriority w:val="39"/>
    <w:unhideWhenUsed/>
    <w:qFormat/>
    <w:pPr>
      <w:ind w:left="2940"/>
    </w:pPr>
    <w:rPr>
      <w:rFonts w:ascii="等线" w:hAnsi="等线" w:eastAsia="等线"/>
      <w:szCs w:val="22"/>
    </w:rPr>
  </w:style>
  <w:style w:type="paragraph" w:styleId="898">
    <w:name w:val="Date"/>
    <w:basedOn w:val="869"/>
    <w:next w:val="869"/>
    <w:link w:val="1093"/>
    <w:uiPriority w:val="0"/>
    <w:qFormat/>
    <w:rPr>
      <w:sz w:val="24"/>
      <w:szCs w:val="20"/>
    </w:rPr>
  </w:style>
  <w:style w:type="paragraph" w:styleId="899">
    <w:name w:val="Body Text Indent 2"/>
    <w:basedOn w:val="869"/>
    <w:uiPriority w:val="99"/>
    <w:qFormat/>
    <w:pPr>
      <w:ind w:firstLine="480"/>
      <w:spacing w:line="400" w:lineRule="exact"/>
    </w:pPr>
    <w:rPr>
      <w:rFonts w:ascii="宋体" w:hAnsi="宋体"/>
      <w:sz w:val="24"/>
      <w:szCs w:val="20"/>
    </w:rPr>
  </w:style>
  <w:style w:type="paragraph" w:styleId="900">
    <w:name w:val="endnote text"/>
    <w:basedOn w:val="869"/>
    <w:link w:val="1072"/>
    <w:uiPriority w:val="99"/>
    <w:semiHidden/>
    <w:unhideWhenUsed/>
    <w:qFormat/>
    <w:rPr>
      <w:sz w:val="20"/>
    </w:rPr>
  </w:style>
  <w:style w:type="paragraph" w:styleId="901">
    <w:name w:val="Balloon Text"/>
    <w:basedOn w:val="869"/>
    <w:link w:val="1082"/>
    <w:uiPriority w:val="0"/>
    <w:qFormat/>
    <w:rPr>
      <w:sz w:val="18"/>
      <w:szCs w:val="18"/>
    </w:rPr>
  </w:style>
  <w:style w:type="paragraph" w:styleId="902">
    <w:name w:val="Footer"/>
    <w:basedOn w:val="869"/>
    <w:link w:val="1089"/>
    <w:uiPriority w:val="0"/>
    <w:qFormat/>
    <w:pPr>
      <w:jc w:val="left"/>
      <w:tabs>
        <w:tab w:val="center" w:pos="4153" w:leader="none"/>
        <w:tab w:val="right" w:pos="8306" w:leader="none"/>
      </w:tabs>
    </w:pPr>
    <w:rPr>
      <w:sz w:val="18"/>
      <w:szCs w:val="18"/>
    </w:rPr>
  </w:style>
  <w:style w:type="paragraph" w:styleId="903">
    <w:name w:val="envelope return"/>
    <w:basedOn w:val="869"/>
    <w:uiPriority w:val="0"/>
    <w:unhideWhenUsed/>
    <w:qFormat/>
    <w:rPr>
      <w:rFonts w:ascii="Arial" w:hAnsi="Arial"/>
    </w:rPr>
  </w:style>
  <w:style w:type="paragraph" w:styleId="904">
    <w:name w:val="Header"/>
    <w:basedOn w:val="869"/>
    <w:link w:val="1095"/>
    <w:uiPriority w:val="99"/>
    <w:qFormat/>
    <w:pPr>
      <w:jc w:val="center"/>
      <w:tabs>
        <w:tab w:val="center" w:pos="4153" w:leader="none"/>
        <w:tab w:val="right" w:pos="8306" w:leader="none"/>
      </w:tabs>
      <w:pBdr>
        <w:bottom w:val="single" w:color="auto" w:sz="6" w:space="1"/>
      </w:pBdr>
    </w:pPr>
    <w:rPr>
      <w:sz w:val="18"/>
      <w:szCs w:val="18"/>
    </w:rPr>
  </w:style>
  <w:style w:type="paragraph" w:styleId="905">
    <w:name w:val="toc 1"/>
    <w:basedOn w:val="906"/>
    <w:next w:val="869"/>
    <w:uiPriority w:val="39"/>
    <w:qFormat/>
    <w:rPr>
      <w:rFonts w:ascii="仿宋_GB2312" w:eastAsia="仿宋_GB2312"/>
      <w:sz w:val="24"/>
    </w:rPr>
  </w:style>
  <w:style w:type="paragraph" w:styleId="906" w:customStyle="1">
    <w:name w:val="TOC 标题1"/>
    <w:basedOn w:val="870"/>
    <w:next w:val="869"/>
    <w:uiPriority w:val="39"/>
    <w:semiHidden/>
    <w:unhideWhenUsed/>
    <w:qFormat/>
    <w:pPr>
      <w:ind w:left="0"/>
      <w:spacing w:before="0"/>
      <w:outlineLvl w:val="9"/>
    </w:pPr>
    <w:rPr>
      <w:sz w:val="30"/>
      <w:szCs w:val="30"/>
    </w:rPr>
  </w:style>
  <w:style w:type="paragraph" w:styleId="907">
    <w:name w:val="toc 4"/>
    <w:basedOn w:val="869"/>
    <w:next w:val="869"/>
    <w:uiPriority w:val="39"/>
    <w:unhideWhenUsed/>
    <w:qFormat/>
    <w:pPr>
      <w:ind w:left="1260"/>
    </w:pPr>
    <w:rPr>
      <w:rFonts w:ascii="等线" w:hAnsi="等线" w:eastAsia="等线"/>
      <w:szCs w:val="22"/>
    </w:rPr>
  </w:style>
  <w:style w:type="paragraph" w:styleId="908">
    <w:name w:val="Subtitle"/>
    <w:basedOn w:val="869"/>
    <w:next w:val="869"/>
    <w:link w:val="938"/>
    <w:uiPriority w:val="11"/>
    <w:qFormat/>
    <w:pPr>
      <w:spacing w:before="200" w:after="200"/>
    </w:pPr>
    <w:rPr>
      <w:sz w:val="24"/>
    </w:rPr>
  </w:style>
  <w:style w:type="paragraph" w:styleId="909">
    <w:name w:val="footnote text"/>
    <w:basedOn w:val="869"/>
    <w:link w:val="1071"/>
    <w:uiPriority w:val="99"/>
    <w:semiHidden/>
    <w:unhideWhenUsed/>
    <w:qFormat/>
    <w:pPr>
      <w:spacing w:after="40"/>
    </w:pPr>
    <w:rPr>
      <w:sz w:val="18"/>
    </w:rPr>
  </w:style>
  <w:style w:type="paragraph" w:styleId="910">
    <w:name w:val="toc 6"/>
    <w:basedOn w:val="869"/>
    <w:next w:val="869"/>
    <w:uiPriority w:val="39"/>
    <w:unhideWhenUsed/>
    <w:qFormat/>
    <w:pPr>
      <w:ind w:left="2100"/>
    </w:pPr>
    <w:rPr>
      <w:rFonts w:ascii="等线" w:hAnsi="等线" w:eastAsia="等线"/>
      <w:szCs w:val="22"/>
    </w:rPr>
  </w:style>
  <w:style w:type="paragraph" w:styleId="911">
    <w:name w:val="table of figures"/>
    <w:basedOn w:val="869"/>
    <w:next w:val="869"/>
    <w:uiPriority w:val="99"/>
    <w:unhideWhenUsed/>
    <w:qFormat/>
  </w:style>
  <w:style w:type="paragraph" w:styleId="912">
    <w:name w:val="toc 2"/>
    <w:basedOn w:val="869"/>
    <w:next w:val="869"/>
    <w:uiPriority w:val="39"/>
    <w:unhideWhenUsed/>
    <w:qFormat/>
    <w:pPr>
      <w:ind w:left="220"/>
      <w:jc w:val="left"/>
      <w:spacing w:after="100" w:line="259" w:lineRule="auto"/>
      <w:widowControl/>
    </w:pPr>
    <w:rPr>
      <w:rFonts w:ascii="等线" w:hAnsi="等线" w:eastAsia="等线"/>
      <w:sz w:val="22"/>
      <w:szCs w:val="22"/>
    </w:rPr>
  </w:style>
  <w:style w:type="paragraph" w:styleId="913">
    <w:name w:val="toc 9"/>
    <w:basedOn w:val="869"/>
    <w:next w:val="869"/>
    <w:uiPriority w:val="39"/>
    <w:unhideWhenUsed/>
    <w:qFormat/>
    <w:pPr>
      <w:ind w:left="3360"/>
    </w:pPr>
    <w:rPr>
      <w:rFonts w:ascii="等线" w:hAnsi="等线" w:eastAsia="等线"/>
      <w:szCs w:val="22"/>
    </w:rPr>
  </w:style>
  <w:style w:type="paragraph" w:styleId="914">
    <w:name w:val="Body Text 2"/>
    <w:basedOn w:val="869"/>
    <w:link w:val="1085"/>
    <w:uiPriority w:val="0"/>
    <w:qFormat/>
    <w:pPr>
      <w:spacing w:after="120" w:line="480" w:lineRule="auto"/>
    </w:pPr>
    <w:rPr>
      <w:rFonts w:ascii="Calibri" w:hAnsi="Calibri"/>
    </w:rPr>
  </w:style>
  <w:style w:type="paragraph" w:styleId="915">
    <w:name w:val="Normal (Web)"/>
    <w:basedOn w:val="869"/>
    <w:uiPriority w:val="99"/>
    <w:qFormat/>
    <w:pPr>
      <w:jc w:val="left"/>
      <w:spacing w:before="100" w:beforeAutospacing="1" w:after="100" w:afterAutospacing="1"/>
      <w:widowControl/>
    </w:pPr>
    <w:rPr>
      <w:sz w:val="24"/>
    </w:rPr>
  </w:style>
  <w:style w:type="paragraph" w:styleId="916">
    <w:name w:val="Title"/>
    <w:basedOn w:val="869"/>
    <w:next w:val="869"/>
    <w:link w:val="1098"/>
    <w:uiPriority w:val="0"/>
    <w:qFormat/>
    <w:pPr>
      <w:jc w:val="center"/>
      <w:spacing w:before="240" w:after="60"/>
      <w:outlineLvl w:val="0"/>
    </w:pPr>
    <w:rPr>
      <w:rFonts w:ascii="等线 Light" w:hAnsi="等线 Light"/>
      <w:b/>
      <w:bCs/>
      <w:sz w:val="32"/>
      <w:szCs w:val="32"/>
    </w:rPr>
  </w:style>
  <w:style w:type="paragraph" w:styleId="917">
    <w:name w:val="annotation subject"/>
    <w:basedOn w:val="890"/>
    <w:next w:val="890"/>
    <w:link w:val="1094"/>
    <w:uiPriority w:val="0"/>
    <w:qFormat/>
    <w:rPr>
      <w:b/>
      <w:bCs/>
    </w:rPr>
  </w:style>
  <w:style w:type="paragraph" w:styleId="918">
    <w:name w:val="Body Text First Indent 2"/>
    <w:basedOn w:val="892"/>
    <w:uiPriority w:val="0"/>
    <w:unhideWhenUsed/>
    <w:qFormat/>
    <w:pPr>
      <w:ind w:firstLine="420"/>
    </w:pPr>
  </w:style>
  <w:style w:type="table" w:styleId="919">
    <w:name w:val="Table Grid"/>
    <w:basedOn w:val="88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0">
    <w:name w:val="Strong"/>
    <w:uiPriority w:val="0"/>
    <w:qFormat/>
    <w:rPr>
      <w:b/>
      <w:bCs/>
    </w:rPr>
  </w:style>
  <w:style w:type="character" w:styleId="921">
    <w:name w:val="endnote reference"/>
    <w:basedOn w:val="879"/>
    <w:uiPriority w:val="99"/>
    <w:semiHidden/>
    <w:unhideWhenUsed/>
    <w:qFormat/>
    <w:rPr>
      <w:vertAlign w:val="superscript"/>
    </w:rPr>
  </w:style>
  <w:style w:type="character" w:styleId="922">
    <w:name w:val="page number"/>
    <w:uiPriority w:val="0"/>
    <w:qFormat/>
  </w:style>
  <w:style w:type="character" w:styleId="923">
    <w:name w:val="Emphasis"/>
    <w:uiPriority w:val="0"/>
    <w:qFormat/>
    <w:rPr>
      <w:i/>
      <w:iCs/>
    </w:rPr>
  </w:style>
  <w:style w:type="character" w:styleId="924">
    <w:name w:val="Hyperlink"/>
    <w:uiPriority w:val="99"/>
    <w:qFormat/>
    <w:rPr>
      <w:color w:val="auto"/>
      <w:u w:val="none"/>
    </w:rPr>
  </w:style>
  <w:style w:type="character" w:styleId="925">
    <w:name w:val="HTML Code"/>
    <w:uiPriority w:val="0"/>
    <w:unhideWhenUsed/>
    <w:qFormat/>
    <w:rPr>
      <w:rFonts w:hint="eastAsia" w:ascii="宋体" w:hAnsi="宋体" w:eastAsia="宋体" w:cs="宋体"/>
      <w:sz w:val="24"/>
      <w:szCs w:val="24"/>
    </w:rPr>
  </w:style>
  <w:style w:type="character" w:styleId="926">
    <w:name w:val="annotation reference"/>
    <w:uiPriority w:val="0"/>
    <w:qFormat/>
    <w:rPr>
      <w:sz w:val="21"/>
      <w:szCs w:val="21"/>
    </w:rPr>
  </w:style>
  <w:style w:type="character" w:styleId="927">
    <w:name w:val="footnote reference"/>
    <w:basedOn w:val="879"/>
    <w:uiPriority w:val="99"/>
    <w:unhideWhenUsed/>
    <w:qFormat/>
    <w:rPr>
      <w:vertAlign w:val="superscript"/>
    </w:rPr>
  </w:style>
  <w:style w:type="character" w:styleId="928" w:customStyle="1">
    <w:name w:val="Heading 1 Char"/>
    <w:basedOn w:val="879"/>
    <w:uiPriority w:val="9"/>
    <w:qFormat/>
    <w:rPr>
      <w:rFonts w:ascii="Arial" w:hAnsi="Arial" w:eastAsia="Arial" w:cs="Arial"/>
      <w:sz w:val="40"/>
      <w:szCs w:val="40"/>
    </w:rPr>
  </w:style>
  <w:style w:type="character" w:styleId="929" w:customStyle="1">
    <w:name w:val="Heading 2 Char"/>
    <w:basedOn w:val="879"/>
    <w:uiPriority w:val="9"/>
    <w:qFormat/>
    <w:rPr>
      <w:rFonts w:ascii="Arial" w:hAnsi="Arial" w:eastAsia="Arial" w:cs="Arial"/>
      <w:sz w:val="34"/>
    </w:rPr>
  </w:style>
  <w:style w:type="character" w:styleId="930" w:customStyle="1">
    <w:name w:val="Heading 3 Char"/>
    <w:basedOn w:val="879"/>
    <w:uiPriority w:val="9"/>
    <w:qFormat/>
    <w:rPr>
      <w:rFonts w:ascii="Arial" w:hAnsi="Arial" w:eastAsia="Arial" w:cs="Arial"/>
      <w:sz w:val="30"/>
      <w:szCs w:val="30"/>
    </w:rPr>
  </w:style>
  <w:style w:type="character" w:styleId="931" w:customStyle="1">
    <w:name w:val="Heading 4 Char"/>
    <w:basedOn w:val="879"/>
    <w:uiPriority w:val="9"/>
    <w:qFormat/>
    <w:rPr>
      <w:rFonts w:ascii="Arial" w:hAnsi="Arial" w:eastAsia="Arial" w:cs="Arial"/>
      <w:b/>
      <w:bCs/>
      <w:sz w:val="26"/>
      <w:szCs w:val="26"/>
    </w:rPr>
  </w:style>
  <w:style w:type="character" w:styleId="932" w:customStyle="1">
    <w:name w:val="Heading 5 Char"/>
    <w:basedOn w:val="879"/>
    <w:uiPriority w:val="9"/>
    <w:qFormat/>
    <w:rPr>
      <w:rFonts w:ascii="Arial" w:hAnsi="Arial" w:eastAsia="Arial" w:cs="Arial"/>
      <w:b/>
      <w:bCs/>
      <w:sz w:val="24"/>
      <w:szCs w:val="24"/>
    </w:rPr>
  </w:style>
  <w:style w:type="character" w:styleId="933" w:customStyle="1">
    <w:name w:val="Heading 6 Char"/>
    <w:basedOn w:val="879"/>
    <w:uiPriority w:val="9"/>
    <w:qFormat/>
    <w:rPr>
      <w:rFonts w:ascii="Arial" w:hAnsi="Arial" w:eastAsia="Arial" w:cs="Arial"/>
      <w:b/>
      <w:bCs/>
      <w:sz w:val="22"/>
      <w:szCs w:val="22"/>
    </w:rPr>
  </w:style>
  <w:style w:type="character" w:styleId="934" w:customStyle="1">
    <w:name w:val="标题 7 字符"/>
    <w:basedOn w:val="879"/>
    <w:link w:val="876"/>
    <w:uiPriority w:val="9"/>
    <w:qFormat/>
    <w:rPr>
      <w:rFonts w:ascii="Arial" w:hAnsi="Arial" w:eastAsia="Arial" w:cs="Arial"/>
      <w:b/>
      <w:bCs/>
      <w:i/>
      <w:iCs/>
      <w:sz w:val="22"/>
      <w:szCs w:val="22"/>
    </w:rPr>
  </w:style>
  <w:style w:type="character" w:styleId="935" w:customStyle="1">
    <w:name w:val="Heading 8 Char"/>
    <w:basedOn w:val="879"/>
    <w:uiPriority w:val="9"/>
    <w:qFormat/>
    <w:rPr>
      <w:rFonts w:ascii="Arial" w:hAnsi="Arial" w:eastAsia="Arial" w:cs="Arial"/>
      <w:i/>
      <w:iCs/>
      <w:sz w:val="22"/>
      <w:szCs w:val="22"/>
    </w:rPr>
  </w:style>
  <w:style w:type="character" w:styleId="936" w:customStyle="1">
    <w:name w:val="标题 9 字符"/>
    <w:basedOn w:val="879"/>
    <w:link w:val="878"/>
    <w:uiPriority w:val="9"/>
    <w:qFormat/>
    <w:rPr>
      <w:rFonts w:ascii="Arial" w:hAnsi="Arial" w:eastAsia="Arial" w:cs="Arial"/>
      <w:i/>
      <w:iCs/>
      <w:sz w:val="21"/>
      <w:szCs w:val="21"/>
    </w:rPr>
  </w:style>
  <w:style w:type="character" w:styleId="937" w:customStyle="1">
    <w:name w:val="Title Char"/>
    <w:basedOn w:val="879"/>
    <w:uiPriority w:val="10"/>
    <w:qFormat/>
    <w:rPr>
      <w:sz w:val="48"/>
      <w:szCs w:val="48"/>
    </w:rPr>
  </w:style>
  <w:style w:type="character" w:styleId="938" w:customStyle="1">
    <w:name w:val="副标题 字符"/>
    <w:basedOn w:val="879"/>
    <w:link w:val="908"/>
    <w:uiPriority w:val="11"/>
    <w:qFormat/>
    <w:rPr>
      <w:sz w:val="24"/>
      <w:szCs w:val="24"/>
    </w:rPr>
  </w:style>
  <w:style w:type="paragraph" w:styleId="939">
    <w:name w:val="Quote"/>
    <w:basedOn w:val="869"/>
    <w:next w:val="869"/>
    <w:link w:val="940"/>
    <w:uiPriority w:val="29"/>
    <w:qFormat/>
    <w:pPr>
      <w:ind w:left="720" w:right="720"/>
    </w:pPr>
    <w:rPr>
      <w:i/>
    </w:rPr>
  </w:style>
  <w:style w:type="character" w:styleId="940" w:customStyle="1">
    <w:name w:val="引用 字符"/>
    <w:link w:val="939"/>
    <w:uiPriority w:val="29"/>
    <w:qFormat/>
    <w:rPr>
      <w:i/>
    </w:rPr>
  </w:style>
  <w:style w:type="paragraph" w:styleId="941">
    <w:name w:val="Intense Quote"/>
    <w:basedOn w:val="869"/>
    <w:next w:val="869"/>
    <w:link w:val="9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2" w:customStyle="1">
    <w:name w:val="明显引用 字符"/>
    <w:link w:val="941"/>
    <w:uiPriority w:val="30"/>
    <w:qFormat/>
    <w:rPr>
      <w:i/>
    </w:rPr>
  </w:style>
  <w:style w:type="character" w:styleId="943" w:customStyle="1">
    <w:name w:val="Header Char"/>
    <w:basedOn w:val="879"/>
    <w:uiPriority w:val="99"/>
    <w:qFormat/>
  </w:style>
  <w:style w:type="character" w:styleId="944" w:customStyle="1">
    <w:name w:val="Footer Char"/>
    <w:basedOn w:val="879"/>
    <w:uiPriority w:val="99"/>
    <w:qFormat/>
  </w:style>
  <w:style w:type="character" w:styleId="945" w:customStyle="1">
    <w:name w:val="Caption Char"/>
    <w:uiPriority w:val="99"/>
    <w:qFormat/>
  </w:style>
  <w:style w:type="table" w:styleId="946" w:customStyle="1">
    <w:name w:val="Table Grid Light"/>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47" w:customStyle="1">
    <w:name w:val="无格式表格 11"/>
    <w:basedOn w:val="88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21"/>
    <w:basedOn w:val="88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3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无格式表格 4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无格式表格 51"/>
    <w:basedOn w:val="880"/>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网格表 1 浅色1"/>
    <w:basedOn w:val="88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3" w:customStyle="1">
    <w:name w:val="Grid Table 1 Light - Accent 1"/>
    <w:basedOn w:val="8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954" w:customStyle="1">
    <w:name w:val="Grid Table 1 Light - Accent 2"/>
    <w:basedOn w:val="8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55" w:customStyle="1">
    <w:name w:val="Grid Table 1 Light - Accent 3"/>
    <w:basedOn w:val="8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56" w:customStyle="1">
    <w:name w:val="Grid Table 1 Light - Accent 4"/>
    <w:basedOn w:val="8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57" w:customStyle="1">
    <w:name w:val="Grid Table 1 Light - Accent 5"/>
    <w:basedOn w:val="8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58" w:customStyle="1">
    <w:name w:val="Grid Table 1 Light - Accent 6"/>
    <w:basedOn w:val="8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59" w:customStyle="1">
    <w:name w:val="网格表 2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60" w:customStyle="1">
    <w:name w:val="Grid Table 2 - Accent 1"/>
    <w:basedOn w:val="8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61" w:customStyle="1">
    <w:name w:val="Grid Table 2 - Accent 2"/>
    <w:basedOn w:val="8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62" w:customStyle="1">
    <w:name w:val="Grid Table 2 - Accent 3"/>
    <w:basedOn w:val="8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63" w:customStyle="1">
    <w:name w:val="Grid Table 2 - Accent 4"/>
    <w:basedOn w:val="8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64" w:customStyle="1">
    <w:name w:val="Grid Table 2 - Accent 5"/>
    <w:basedOn w:val="8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65" w:customStyle="1">
    <w:name w:val="Grid Table 2 - Accent 6"/>
    <w:basedOn w:val="8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66" w:customStyle="1">
    <w:name w:val="网格表 31"/>
    <w:basedOn w:val="88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7" w:customStyle="1">
    <w:name w:val="Grid Table 3 - Accent 1"/>
    <w:basedOn w:val="88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8" w:customStyle="1">
    <w:name w:val="Grid Table 3 - Accent 2"/>
    <w:basedOn w:val="88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9" w:customStyle="1">
    <w:name w:val="Grid Table 3 - Accent 3"/>
    <w:basedOn w:val="88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0" w:customStyle="1">
    <w:name w:val="Grid Table 3 - Accent 4"/>
    <w:basedOn w:val="88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1" w:customStyle="1">
    <w:name w:val="Grid Table 3 - Accent 5"/>
    <w:basedOn w:val="88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2" w:customStyle="1">
    <w:name w:val="Grid Table 3 - Accent 6"/>
    <w:basedOn w:val="88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73" w:customStyle="1">
    <w:name w:val="网格表 41"/>
    <w:basedOn w:val="88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4" w:customStyle="1">
    <w:name w:val="Grid Table 4 - Accent 1"/>
    <w:basedOn w:val="88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75" w:customStyle="1">
    <w:name w:val="Grid Table 4 - Accent 2"/>
    <w:basedOn w:val="88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76" w:customStyle="1">
    <w:name w:val="Grid Table 4 - Accent 3"/>
    <w:basedOn w:val="88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77" w:customStyle="1">
    <w:name w:val="Grid Table 4 - Accent 4"/>
    <w:basedOn w:val="88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78" w:customStyle="1">
    <w:name w:val="Grid Table 4 - Accent 5"/>
    <w:basedOn w:val="88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79" w:customStyle="1">
    <w:name w:val="Grid Table 4 - Accent 6"/>
    <w:basedOn w:val="88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80" w:customStyle="1">
    <w:name w:val="网格表 5 深色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81" w:customStyle="1">
    <w:name w:val="Grid Table 5 Dark- Accent 1"/>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82" w:customStyle="1">
    <w:name w:val="Grid Table 5 Dark - Accent 2"/>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83" w:customStyle="1">
    <w:name w:val="Grid Table 5 Dark - Accent 3"/>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84" w:customStyle="1">
    <w:name w:val="Grid Table 5 Dark- Accent 4"/>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85" w:customStyle="1">
    <w:name w:val="Grid Table 5 Dark - Accent 5"/>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86" w:customStyle="1">
    <w:name w:val="Grid Table 5 Dark - Accent 6"/>
    <w:basedOn w:val="88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87" w:customStyle="1">
    <w:name w:val="网格表 6 彩色1"/>
    <w:basedOn w:val="88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88" w:customStyle="1">
    <w:name w:val="Grid Table 6 Colorful - Accent 1"/>
    <w:basedOn w:val="88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89" w:customStyle="1">
    <w:name w:val="Grid Table 6 Colorful - Accent 2"/>
    <w:basedOn w:val="8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90" w:customStyle="1">
    <w:name w:val="Grid Table 6 Colorful - Accent 3"/>
    <w:basedOn w:val="88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91" w:customStyle="1">
    <w:name w:val="Grid Table 6 Colorful - Accent 4"/>
    <w:basedOn w:val="8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92" w:customStyle="1">
    <w:name w:val="Grid Table 6 Colorful - Accent 5"/>
    <w:basedOn w:val="88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3" w:customStyle="1">
    <w:name w:val="Grid Table 6 Colorful - Accent 6"/>
    <w:basedOn w:val="88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94" w:customStyle="1">
    <w:name w:val="网格表 7 彩色1"/>
    <w:basedOn w:val="88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5" w:customStyle="1">
    <w:name w:val="Grid Table 7 Colorful - Accent 1"/>
    <w:basedOn w:val="88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96" w:customStyle="1">
    <w:name w:val="Grid Table 7 Colorful - Accent 2"/>
    <w:basedOn w:val="88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97" w:customStyle="1">
    <w:name w:val="Grid Table 7 Colorful - Accent 3"/>
    <w:basedOn w:val="88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98" w:customStyle="1">
    <w:name w:val="Grid Table 7 Colorful - Accent 4"/>
    <w:basedOn w:val="88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9" w:customStyle="1">
    <w:name w:val="Grid Table 7 Colorful - Accent 5"/>
    <w:basedOn w:val="88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1000" w:customStyle="1">
    <w:name w:val="Grid Table 7 Colorful - Accent 6"/>
    <w:basedOn w:val="88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001" w:customStyle="1">
    <w:name w:val="清单表 1 浅色1"/>
    <w:basedOn w:val="88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02" w:customStyle="1">
    <w:name w:val="List Table 1 Light - Accent 1"/>
    <w:basedOn w:val="88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1003" w:customStyle="1">
    <w:name w:val="List Table 1 Light - Accent 2"/>
    <w:basedOn w:val="88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004" w:customStyle="1">
    <w:name w:val="List Table 1 Light - Accent 3"/>
    <w:basedOn w:val="88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005" w:customStyle="1">
    <w:name w:val="List Table 1 Light - Accent 4"/>
    <w:basedOn w:val="88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006" w:customStyle="1">
    <w:name w:val="List Table 1 Light - Accent 5"/>
    <w:basedOn w:val="88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1007" w:customStyle="1">
    <w:name w:val="List Table 1 Light - Accent 6"/>
    <w:basedOn w:val="88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008" w:customStyle="1">
    <w:name w:val="清单表 21"/>
    <w:basedOn w:val="88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09" w:customStyle="1">
    <w:name w:val="List Table 2 - Accent 1"/>
    <w:basedOn w:val="88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1010" w:customStyle="1">
    <w:name w:val="List Table 2 - Accent 2"/>
    <w:basedOn w:val="88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011" w:customStyle="1">
    <w:name w:val="List Table 2 - Accent 3"/>
    <w:basedOn w:val="88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012" w:customStyle="1">
    <w:name w:val="List Table 2 - Accent 4"/>
    <w:basedOn w:val="88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013" w:customStyle="1">
    <w:name w:val="List Table 2 - Accent 5"/>
    <w:basedOn w:val="88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1014" w:customStyle="1">
    <w:name w:val="List Table 2 - Accent 6"/>
    <w:basedOn w:val="88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15" w:customStyle="1">
    <w:name w:val="清单表 3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6" w:customStyle="1">
    <w:name w:val="List Table 3 - Accent 1"/>
    <w:basedOn w:val="88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17" w:customStyle="1">
    <w:name w:val="List Table 3 - Accent 2"/>
    <w:basedOn w:val="88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18" w:customStyle="1">
    <w:name w:val="List Table 3 - Accent 3"/>
    <w:basedOn w:val="88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19" w:customStyle="1">
    <w:name w:val="List Table 3 - Accent 4"/>
    <w:basedOn w:val="88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20" w:customStyle="1">
    <w:name w:val="List Table 3 - Accent 5"/>
    <w:basedOn w:val="88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1021" w:customStyle="1">
    <w:name w:val="List Table 3 - Accent 6"/>
    <w:basedOn w:val="88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22" w:customStyle="1">
    <w:name w:val="清单表 41"/>
    <w:basedOn w:val="88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3" w:customStyle="1">
    <w:name w:val="List Table 4 - Accent 1"/>
    <w:basedOn w:val="88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1024" w:customStyle="1">
    <w:name w:val="List Table 4 - Accent 2"/>
    <w:basedOn w:val="88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25" w:customStyle="1">
    <w:name w:val="List Table 4 - Accent 3"/>
    <w:basedOn w:val="88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26" w:customStyle="1">
    <w:name w:val="List Table 4 - Accent 4"/>
    <w:basedOn w:val="88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27" w:customStyle="1">
    <w:name w:val="List Table 4 - Accent 5"/>
    <w:basedOn w:val="88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1028" w:customStyle="1">
    <w:name w:val="List Table 4 - Accent 6"/>
    <w:basedOn w:val="88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29" w:customStyle="1">
    <w:name w:val="清单表 5 深色1"/>
    <w:basedOn w:val="88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0" w:customStyle="1">
    <w:name w:val="List Table 5 Dark - Accent 1"/>
    <w:basedOn w:val="88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1" w:customStyle="1">
    <w:name w:val="List Table 5 Dark - Accent 2"/>
    <w:basedOn w:val="88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2" w:customStyle="1">
    <w:name w:val="List Table 5 Dark - Accent 3"/>
    <w:basedOn w:val="88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3" w:customStyle="1">
    <w:name w:val="List Table 5 Dark - Accent 4"/>
    <w:basedOn w:val="88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4" w:customStyle="1">
    <w:name w:val="List Table 5 Dark - Accent 5"/>
    <w:basedOn w:val="88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5" w:customStyle="1">
    <w:name w:val="List Table 5 Dark - Accent 6"/>
    <w:basedOn w:val="88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6" w:customStyle="1">
    <w:name w:val="清单表 6 彩色1"/>
    <w:basedOn w:val="88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37" w:customStyle="1">
    <w:name w:val="List Table 6 Colorful - Accent 1"/>
    <w:basedOn w:val="88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1038" w:customStyle="1">
    <w:name w:val="List Table 6 Colorful - Accent 2"/>
    <w:basedOn w:val="88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39" w:customStyle="1">
    <w:name w:val="List Table 6 Colorful - Accent 3"/>
    <w:basedOn w:val="88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40" w:customStyle="1">
    <w:name w:val="List Table 6 Colorful - Accent 4"/>
    <w:basedOn w:val="88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41" w:customStyle="1">
    <w:name w:val="List Table 6 Colorful - Accent 5"/>
    <w:basedOn w:val="88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1042" w:customStyle="1">
    <w:name w:val="List Table 6 Colorful - Accent 6"/>
    <w:basedOn w:val="88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43" w:customStyle="1">
    <w:name w:val="清单表 7 彩色1"/>
    <w:basedOn w:val="88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4" w:customStyle="1">
    <w:name w:val="List Table 7 Colorful - Accent 1"/>
    <w:basedOn w:val="88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1045" w:customStyle="1">
    <w:name w:val="List Table 7 Colorful - Accent 2"/>
    <w:basedOn w:val="88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46" w:customStyle="1">
    <w:name w:val="List Table 7 Colorful - Accent 3"/>
    <w:basedOn w:val="88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47" w:customStyle="1">
    <w:name w:val="List Table 7 Colorful - Accent 4"/>
    <w:basedOn w:val="88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48" w:customStyle="1">
    <w:name w:val="List Table 7 Colorful - Accent 5"/>
    <w:basedOn w:val="88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1049" w:customStyle="1">
    <w:name w:val="List Table 7 Colorful - Accent 6"/>
    <w:basedOn w:val="88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50" w:customStyle="1">
    <w:name w:val="Lined - Accent"/>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1" w:customStyle="1">
    <w:name w:val="Lined - Accent 1"/>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2" w:customStyle="1">
    <w:name w:val="Lined - Accent 2"/>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53" w:customStyle="1">
    <w:name w:val="Lined - Accent 3"/>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54" w:customStyle="1">
    <w:name w:val="Lined - Accent 4"/>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55" w:customStyle="1">
    <w:name w:val="Lined - Accent 5"/>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56" w:customStyle="1">
    <w:name w:val="Lined - Accent 6"/>
    <w:basedOn w:val="88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57" w:customStyle="1">
    <w:name w:val="Bordered &amp; Lined - Accent"/>
    <w:basedOn w:val="88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8" w:customStyle="1">
    <w:name w:val="Bordered &amp; Lined - Accent 1"/>
    <w:basedOn w:val="880"/>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59" w:customStyle="1">
    <w:name w:val="Bordered &amp; Lined - Accent 2"/>
    <w:basedOn w:val="880"/>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60" w:customStyle="1">
    <w:name w:val="Bordered &amp; Lined - Accent 3"/>
    <w:basedOn w:val="88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61" w:customStyle="1">
    <w:name w:val="Bordered &amp; Lined - Accent 4"/>
    <w:basedOn w:val="88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62" w:customStyle="1">
    <w:name w:val="Bordered &amp; Lined - Accent 5"/>
    <w:basedOn w:val="88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63" w:customStyle="1">
    <w:name w:val="Bordered &amp; Lined - Accent 6"/>
    <w:basedOn w:val="88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64" w:customStyle="1">
    <w:name w:val="Bordered"/>
    <w:basedOn w:val="88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65" w:customStyle="1">
    <w:name w:val="Bordered - Accent 1"/>
    <w:basedOn w:val="88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66" w:customStyle="1">
    <w:name w:val="Bordered - Accent 2"/>
    <w:basedOn w:val="88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67" w:customStyle="1">
    <w:name w:val="Bordered - Accent 3"/>
    <w:basedOn w:val="88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68" w:customStyle="1">
    <w:name w:val="Bordered - Accent 4"/>
    <w:basedOn w:val="88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69" w:customStyle="1">
    <w:name w:val="Bordered - Accent 5"/>
    <w:basedOn w:val="88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70" w:customStyle="1">
    <w:name w:val="Bordered - Accent 6"/>
    <w:basedOn w:val="88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71" w:customStyle="1">
    <w:name w:val="脚注文本 字符"/>
    <w:link w:val="909"/>
    <w:uiPriority w:val="99"/>
    <w:qFormat/>
    <w:rPr>
      <w:sz w:val="18"/>
    </w:rPr>
  </w:style>
  <w:style w:type="character" w:styleId="1072" w:customStyle="1">
    <w:name w:val="尾注文本 字符"/>
    <w:link w:val="900"/>
    <w:uiPriority w:val="99"/>
    <w:qFormat/>
    <w:rPr>
      <w:sz w:val="20"/>
    </w:rPr>
  </w:style>
  <w:style w:type="paragraph" w:styleId="1073" w:customStyle="1">
    <w:name w:val="TOC 标题2"/>
    <w:uiPriority w:val="39"/>
    <w:unhideWhenUsed/>
    <w:qFormat/>
    <w:rPr>
      <w:rFonts w:ascii="Times New Roman" w:hAnsi="Times New Roman" w:eastAsia="宋体" w:cs="Times New Roman"/>
      <w:lang w:val="en-US" w:eastAsia="zh-CN" w:bidi="ar-SA"/>
    </w:rPr>
  </w:style>
  <w:style w:type="paragraph" w:styleId="1074" w:customStyle="1">
    <w:name w:val="首行缩进"/>
    <w:basedOn w:val="869"/>
    <w:uiPriority w:val="99"/>
    <w:qFormat/>
    <w:pPr>
      <w:ind w:firstLine="480"/>
      <w:spacing w:line="360" w:lineRule="auto"/>
    </w:pPr>
  </w:style>
  <w:style w:type="character" w:styleId="1075" w:customStyle="1">
    <w:name w:val="宏文本 字符"/>
    <w:link w:val="881"/>
    <w:uiPriority w:val="0"/>
    <w:qFormat/>
    <w:rPr>
      <w:rFonts w:ascii="Courier New" w:hAnsi="Courier New"/>
      <w:sz w:val="24"/>
      <w:szCs w:val="24"/>
    </w:rPr>
  </w:style>
  <w:style w:type="character" w:styleId="1076" w:customStyle="1">
    <w:name w:val="标题 3 字符"/>
    <w:link w:val="872"/>
    <w:uiPriority w:val="9"/>
    <w:qFormat/>
    <w:rPr>
      <w:rFonts w:eastAsia="宋体"/>
      <w:b/>
      <w:bCs/>
      <w:sz w:val="32"/>
      <w:szCs w:val="32"/>
      <w:lang w:val="en-US" w:eastAsia="zh-CN" w:bidi="ar-SA"/>
    </w:rPr>
  </w:style>
  <w:style w:type="character" w:styleId="1077" w:customStyle="1">
    <w:name w:val="页脚 Char"/>
    <w:uiPriority w:val="0"/>
    <w:qFormat/>
    <w:rPr>
      <w:sz w:val="18"/>
      <w:szCs w:val="18"/>
    </w:rPr>
  </w:style>
  <w:style w:type="character" w:styleId="1078" w:customStyle="1">
    <w:name w:val="标题 2 字符"/>
    <w:link w:val="871"/>
    <w:uiPriority w:val="0"/>
    <w:semiHidden/>
    <w:qFormat/>
    <w:rPr>
      <w:rFonts w:ascii="等线 Light" w:hAnsi="等线 Light" w:eastAsia="等线 Light" w:cs="Times New Roman"/>
      <w:b/>
      <w:bCs/>
      <w:sz w:val="32"/>
      <w:szCs w:val="32"/>
    </w:rPr>
  </w:style>
  <w:style w:type="character" w:styleId="1079" w:customStyle="1">
    <w:name w:val="纯文本 字符"/>
    <w:link w:val="896"/>
    <w:uiPriority w:val="0"/>
    <w:qFormat/>
    <w:rPr>
      <w:rFonts w:ascii="宋体" w:hAnsi="Courier New" w:cs="Courier New"/>
      <w:sz w:val="21"/>
      <w:szCs w:val="21"/>
    </w:rPr>
  </w:style>
  <w:style w:type="character" w:styleId="1080" w:customStyle="1">
    <w:name w:val="ask-title2"/>
    <w:uiPriority w:val="0"/>
    <w:qFormat/>
  </w:style>
  <w:style w:type="character" w:styleId="1081" w:customStyle="1">
    <w:name w:val="NormalCharacter"/>
    <w:uiPriority w:val="0"/>
    <w:semiHidden/>
    <w:qFormat/>
  </w:style>
  <w:style w:type="character" w:styleId="1082" w:customStyle="1">
    <w:name w:val="批注框文本 字符"/>
    <w:link w:val="901"/>
    <w:uiPriority w:val="0"/>
    <w:qFormat/>
    <w:rPr>
      <w:sz w:val="18"/>
      <w:szCs w:val="18"/>
    </w:rPr>
  </w:style>
  <w:style w:type="character" w:styleId="1083" w:customStyle="1">
    <w:name w:val="标题 1 字符"/>
    <w:link w:val="870"/>
    <w:uiPriority w:val="0"/>
    <w:qFormat/>
    <w:rPr>
      <w:b/>
      <w:bCs/>
      <w:sz w:val="21"/>
      <w:szCs w:val="44"/>
    </w:rPr>
  </w:style>
  <w:style w:type="character" w:styleId="1084" w:customStyle="1">
    <w:name w:val="标题 4 字符"/>
    <w:link w:val="873"/>
    <w:uiPriority w:val="0"/>
    <w:semiHidden/>
    <w:qFormat/>
    <w:rPr>
      <w:rFonts w:ascii="等线 Light" w:hAnsi="等线 Light" w:eastAsia="等线 Light" w:cs="Times New Roman"/>
      <w:b/>
      <w:bCs/>
      <w:sz w:val="28"/>
      <w:szCs w:val="28"/>
    </w:rPr>
  </w:style>
  <w:style w:type="character" w:styleId="1085" w:customStyle="1">
    <w:name w:val="正文文本 2 字符"/>
    <w:link w:val="914"/>
    <w:uiPriority w:val="0"/>
    <w:qFormat/>
    <w:rPr>
      <w:rFonts w:ascii="Calibri" w:hAnsi="Calibri"/>
      <w:sz w:val="21"/>
      <w:szCs w:val="24"/>
    </w:rPr>
  </w:style>
  <w:style w:type="character" w:styleId="1086" w:customStyle="1">
    <w:name w:val="纯文本 Char"/>
    <w:link w:val="1087"/>
    <w:uiPriority w:val="0"/>
    <w:qFormat/>
    <w:rPr>
      <w:rFonts w:ascii="宋体" w:hAnsi="Courier New"/>
    </w:rPr>
  </w:style>
  <w:style w:type="paragraph" w:styleId="1087" w:customStyle="1">
    <w:name w:val="纯文本1"/>
    <w:basedOn w:val="869"/>
    <w:link w:val="1086"/>
    <w:uiPriority w:val="0"/>
    <w:qFormat/>
    <w:pPr>
      <w:ind w:firstLine="200"/>
      <w:spacing w:line="360" w:lineRule="auto"/>
    </w:pPr>
    <w:rPr>
      <w:rFonts w:ascii="宋体" w:hAnsi="Courier New"/>
      <w:sz w:val="20"/>
      <w:szCs w:val="20"/>
    </w:rPr>
  </w:style>
  <w:style w:type="character" w:styleId="1088" w:customStyle="1">
    <w:name w:val="正文文本 字符"/>
    <w:link w:val="891"/>
    <w:uiPriority w:val="1"/>
    <w:qFormat/>
    <w:rPr>
      <w:sz w:val="21"/>
      <w:szCs w:val="24"/>
    </w:rPr>
  </w:style>
  <w:style w:type="character" w:styleId="1089" w:customStyle="1">
    <w:name w:val="页脚 字符"/>
    <w:link w:val="902"/>
    <w:uiPriority w:val="99"/>
    <w:qFormat/>
    <w:rPr>
      <w:sz w:val="18"/>
      <w:szCs w:val="18"/>
    </w:rPr>
  </w:style>
  <w:style w:type="character" w:styleId="1090" w:customStyle="1">
    <w:name w:val="正文缩进 字符"/>
    <w:link w:val="886"/>
    <w:uiPriority w:val="0"/>
    <w:qFormat/>
    <w:rPr>
      <w:sz w:val="21"/>
    </w:rPr>
  </w:style>
  <w:style w:type="character" w:styleId="1091" w:customStyle="1">
    <w:name w:val="文档结构图 字符"/>
    <w:link w:val="889"/>
    <w:uiPriority w:val="0"/>
    <w:qFormat/>
    <w:rPr>
      <w:sz w:val="21"/>
      <w:szCs w:val="24"/>
      <w:shd w:val="clear" w:color="auto" w:fill="000080"/>
    </w:rPr>
  </w:style>
  <w:style w:type="character" w:styleId="1092" w:customStyle="1">
    <w:name w:val="标题 2 Char Char Char"/>
    <w:uiPriority w:val="0"/>
    <w:qFormat/>
    <w:rPr>
      <w:rFonts w:ascii="Arial" w:hAnsi="Arial" w:eastAsia="黑体"/>
      <w:b/>
      <w:bCs/>
      <w:sz w:val="32"/>
      <w:szCs w:val="32"/>
      <w:lang w:val="en-US" w:eastAsia="zh-CN" w:bidi="ar-SA"/>
    </w:rPr>
  </w:style>
  <w:style w:type="character" w:styleId="1093" w:customStyle="1">
    <w:name w:val="日期 字符"/>
    <w:link w:val="898"/>
    <w:uiPriority w:val="0"/>
    <w:qFormat/>
    <w:rPr>
      <w:sz w:val="24"/>
    </w:rPr>
  </w:style>
  <w:style w:type="character" w:styleId="1094" w:customStyle="1">
    <w:name w:val="批注主题 字符"/>
    <w:link w:val="917"/>
    <w:uiPriority w:val="0"/>
    <w:qFormat/>
    <w:rPr>
      <w:b/>
      <w:bCs/>
      <w:sz w:val="21"/>
      <w:szCs w:val="24"/>
    </w:rPr>
  </w:style>
  <w:style w:type="character" w:styleId="1095" w:customStyle="1">
    <w:name w:val="页眉 字符"/>
    <w:link w:val="904"/>
    <w:uiPriority w:val="99"/>
    <w:qFormat/>
    <w:rPr>
      <w:sz w:val="18"/>
      <w:szCs w:val="18"/>
    </w:rPr>
  </w:style>
  <w:style w:type="character" w:styleId="1096" w:customStyle="1">
    <w:name w:val="批注文字 字符"/>
    <w:link w:val="890"/>
    <w:uiPriority w:val="0"/>
    <w:qFormat/>
    <w:rPr>
      <w:sz w:val="21"/>
      <w:szCs w:val="24"/>
    </w:rPr>
  </w:style>
  <w:style w:type="character" w:styleId="1097" w:customStyle="1">
    <w:name w:val="标题 8 字符"/>
    <w:link w:val="877"/>
    <w:uiPriority w:val="0"/>
    <w:semiHidden/>
    <w:qFormat/>
    <w:rPr>
      <w:rFonts w:ascii="等线 Light" w:hAnsi="等线 Light" w:eastAsia="等线 Light" w:cs="Times New Roman"/>
      <w:sz w:val="24"/>
      <w:szCs w:val="24"/>
    </w:rPr>
  </w:style>
  <w:style w:type="character" w:styleId="1098" w:customStyle="1">
    <w:name w:val="标题 字符"/>
    <w:link w:val="916"/>
    <w:uiPriority w:val="0"/>
    <w:qFormat/>
    <w:rPr>
      <w:rFonts w:ascii="等线 Light" w:hAnsi="等线 Light" w:cs="Times New Roman"/>
      <w:b/>
      <w:bCs/>
      <w:sz w:val="32"/>
      <w:szCs w:val="32"/>
    </w:rPr>
  </w:style>
  <w:style w:type="character" w:styleId="1099" w:customStyle="1">
    <w:name w:val="标题 6 字符"/>
    <w:link w:val="875"/>
    <w:uiPriority w:val="0"/>
    <w:qFormat/>
    <w:rPr>
      <w:rFonts w:ascii="等线 Light" w:hAnsi="等线 Light" w:eastAsia="等线 Light" w:cs="Times New Roman"/>
      <w:b/>
      <w:bCs/>
      <w:sz w:val="24"/>
      <w:szCs w:val="24"/>
    </w:rPr>
  </w:style>
  <w:style w:type="character" w:styleId="1100" w:customStyle="1">
    <w:name w:val="样式1 字符"/>
    <w:link w:val="1101"/>
    <w:uiPriority w:val="0"/>
    <w:qFormat/>
  </w:style>
  <w:style w:type="paragraph" w:styleId="1101" w:customStyle="1">
    <w:name w:val="样式1"/>
    <w:basedOn w:val="870"/>
    <w:link w:val="1100"/>
    <w:uiPriority w:val="0"/>
    <w:qFormat/>
    <w:pPr>
      <w:ind w:left="210" w:right="210"/>
    </w:pPr>
  </w:style>
  <w:style w:type="character" w:styleId="1102" w:customStyle="1">
    <w:name w:val="p0 Char"/>
    <w:link w:val="1103"/>
    <w:uiPriority w:val="0"/>
    <w:qFormat/>
    <w:rPr>
      <w:rFonts w:eastAsia="宋体"/>
      <w:sz w:val="21"/>
      <w:szCs w:val="21"/>
      <w:lang w:val="en-US" w:eastAsia="zh-CN" w:bidi="ar-SA"/>
    </w:rPr>
  </w:style>
  <w:style w:type="paragraph" w:styleId="1103" w:customStyle="1">
    <w:name w:val="p0"/>
    <w:basedOn w:val="869"/>
    <w:link w:val="1102"/>
    <w:uiPriority w:val="0"/>
    <w:qFormat/>
    <w:pPr>
      <w:widowControl/>
    </w:pPr>
    <w:rPr>
      <w:szCs w:val="21"/>
    </w:rPr>
  </w:style>
  <w:style w:type="character" w:styleId="1104" w:customStyle="1">
    <w:name w:val="纯文本 Char2"/>
    <w:uiPriority w:val="0"/>
    <w:qFormat/>
    <w:rPr>
      <w:rFonts w:ascii="宋体" w:hAnsi="Courier New"/>
      <w:sz w:val="21"/>
    </w:rPr>
  </w:style>
  <w:style w:type="paragraph" w:styleId="1105" w:customStyle="1">
    <w:name w:val="_Style 83"/>
    <w:basedOn w:val="869"/>
    <w:next w:val="1106"/>
    <w:uiPriority w:val="99"/>
    <w:qFormat/>
    <w:pPr>
      <w:ind w:firstLine="420"/>
    </w:pPr>
  </w:style>
  <w:style w:type="paragraph" w:styleId="1106">
    <w:name w:val="List Paragraph"/>
    <w:basedOn w:val="869"/>
    <w:uiPriority w:val="34"/>
    <w:qFormat/>
    <w:pPr>
      <w:jc w:val="left"/>
      <w:spacing w:line="360" w:lineRule="auto"/>
      <w:tabs>
        <w:tab w:val="left" w:pos="360" w:leader="none"/>
      </w:tabs>
    </w:pPr>
    <w:rPr>
      <w:rFonts w:ascii="宋体" w:hAnsi="宋体" w:cs="宋体"/>
      <w:sz w:val="22"/>
      <w:szCs w:val="22"/>
      <w:lang w:val="zh-CN" w:bidi="zh-CN"/>
    </w:rPr>
  </w:style>
  <w:style w:type="paragraph" w:styleId="1107" w:customStyle="1">
    <w:name w:val="列出段落1"/>
    <w:basedOn w:val="869"/>
    <w:uiPriority w:val="0"/>
    <w:qFormat/>
    <w:pPr>
      <w:ind w:firstLine="420"/>
      <w:spacing w:line="0" w:lineRule="atLeast"/>
    </w:pPr>
    <w:rPr>
      <w:rFonts w:eastAsia="微软雅黑"/>
      <w:sz w:val="20"/>
      <w:szCs w:val="20"/>
    </w:rPr>
  </w:style>
  <w:style w:type="paragraph" w:styleId="1108" w:customStyle="1">
    <w:name w:val="标题 21"/>
    <w:basedOn w:val="869"/>
    <w:next w:val="869"/>
    <w:uiPriority w:val="0"/>
    <w:qFormat/>
    <w:pPr>
      <w:jc w:val="center"/>
      <w:keepNext/>
      <w:widowControl/>
    </w:pPr>
    <w:rPr>
      <w:rFonts w:ascii="楷体_GB2312" w:eastAsia="楷体_GB2312"/>
      <w:sz w:val="18"/>
      <w:szCs w:val="20"/>
    </w:rPr>
  </w:style>
  <w:style w:type="paragraph" w:styleId="1109" w:customStyle="1">
    <w:name w:val="TOC 标题11"/>
    <w:basedOn w:val="870"/>
    <w:next w:val="869"/>
    <w:uiPriority w:val="39"/>
    <w:qFormat/>
    <w:pPr>
      <w:jc w:val="left"/>
      <w:spacing w:before="240" w:after="0" w:line="259" w:lineRule="auto"/>
      <w:widowControl/>
      <w:outlineLvl w:val="9"/>
    </w:pPr>
    <w:rPr>
      <w:color w:val="2e74b5"/>
      <w:szCs w:val="32"/>
    </w:rPr>
  </w:style>
  <w:style w:type="paragraph" w:styleId="1110">
    <w:name w:val="No Spacing"/>
    <w:basedOn w:val="869"/>
    <w:uiPriority w:val="1"/>
    <w:qFormat/>
  </w:style>
  <w:style w:type="paragraph" w:styleId="1111" w:customStyle="1">
    <w:name w:val="纯文本11"/>
    <w:basedOn w:val="869"/>
    <w:uiPriority w:val="0"/>
    <w:qFormat/>
    <w:rPr>
      <w:rFonts w:ascii="宋体" w:hAnsi="Courier New"/>
      <w:sz w:val="20"/>
      <w:szCs w:val="21"/>
    </w:rPr>
  </w:style>
  <w:style w:type="paragraph" w:styleId="1112" w:customStyle="1">
    <w:name w:val="Table Paragraph"/>
    <w:basedOn w:val="869"/>
    <w:uiPriority w:val="1"/>
    <w:qFormat/>
    <w:pPr>
      <w:jc w:val="left"/>
    </w:pPr>
    <w:rPr>
      <w:rFonts w:ascii="宋体" w:hAnsi="宋体" w:cs="宋体"/>
      <w:sz w:val="22"/>
      <w:szCs w:val="22"/>
      <w:lang w:val="zh-CN" w:bidi="zh-CN"/>
    </w:rPr>
  </w:style>
  <w:style w:type="paragraph" w:styleId="1113" w:customStyle="1">
    <w:name w:val="标题 211"/>
    <w:basedOn w:val="869"/>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114" w:customStyle="1">
    <w:name w:val="列出段落2"/>
    <w:basedOn w:val="869"/>
    <w:uiPriority w:val="99"/>
    <w:unhideWhenUsed/>
    <w:qFormat/>
    <w:pPr>
      <w:ind w:firstLine="420"/>
      <w:jc w:val="left"/>
    </w:pPr>
    <w:rPr>
      <w:rFonts w:ascii="宋体"/>
      <w:sz w:val="20"/>
      <w:szCs w:val="20"/>
    </w:rPr>
  </w:style>
  <w:style w:type="paragraph" w:styleId="1115" w:customStyle="1">
    <w:name w:val="#正文"/>
    <w:uiPriority w:val="0"/>
    <w:qFormat/>
    <w:pPr>
      <w:ind w:firstLine="200"/>
      <w:jc w:val="both"/>
      <w:spacing w:line="360" w:lineRule="auto"/>
      <w:widowControl w:val="off"/>
    </w:pPr>
    <w:rPr>
      <w:rFonts w:hint="eastAsia" w:ascii="宋体" w:hAnsi="Calibri" w:eastAsia="宋体" w:cs="Times New Roman"/>
      <w:sz w:val="24"/>
      <w:szCs w:val="22"/>
      <w:lang w:val="en-US" w:eastAsia="zh-CN" w:bidi="ar-SA"/>
    </w:rPr>
  </w:style>
  <w:style w:type="paragraph" w:styleId="1116" w:customStyle="1">
    <w:name w:val="_Style 17"/>
    <w:basedOn w:val="869"/>
    <w:next w:val="1106"/>
    <w:uiPriority w:val="34"/>
    <w:qFormat/>
    <w:pPr>
      <w:ind w:firstLine="420"/>
    </w:pPr>
    <w:rPr>
      <w:rFonts w:eastAsiaTheme="minorEastAsia" w:cstheme="minorBidi"/>
      <w:szCs w:val="22"/>
    </w:rPr>
  </w:style>
  <w:style w:type="character" w:styleId="1117" w:customStyle="1">
    <w:name w:val="Classification"/>
    <w:basedOn w:val="879"/>
    <w:uiPriority w:val="99"/>
    <w:qFormat/>
    <w:rPr>
      <w:rFonts w:asciiTheme="minorHAnsi" w:hAnsiTheme="minorHAnsi" w:eastAsiaTheme="minorEastAsia" w:cstheme="minorBidi"/>
      <w:b/>
      <w:bCs/>
      <w:caps/>
      <w:color w:val="000000"/>
      <w:spacing w:val="20"/>
      <w:sz w:val="20"/>
      <w:szCs w:val="20"/>
    </w:rPr>
  </w:style>
  <w:style w:type="paragraph" w:styleId="1118" w:customStyle="1">
    <w:name w:val="Default"/>
    <w:uiPriority w:val="0"/>
    <w:qFormat/>
    <w:pPr>
      <w:widowControl w:val="off"/>
    </w:pPr>
    <w:rPr>
      <w:rFonts w:ascii="Formata" w:hAnsi="Times New Roman" w:eastAsia="Formata" w:cs="Times New Roman"/>
      <w:color w:val="000000"/>
      <w:sz w:val="24"/>
      <w:szCs w:val="24"/>
      <w:lang w:val="en-US" w:eastAsia="zh-CN" w:bidi="ar-SA"/>
    </w:rPr>
  </w:style>
  <w:style w:type="paragraph" w:styleId="1119" w:customStyle="1">
    <w:name w:val="修订1"/>
    <w:hidden/>
    <w:uiPriority w:val="99"/>
    <w:unhideWhenUsed/>
    <w:qFormat/>
    <w:rPr>
      <w:rFonts w:ascii="Times New Roman" w:hAnsi="Times New Roman" w:eastAsia="宋体" w:cs="Times New Roman"/>
      <w:sz w:val="21"/>
      <w:szCs w:val="24"/>
      <w:lang w:val="en-US" w:eastAsia="zh-CN" w:bidi="ar-SA"/>
    </w:rPr>
  </w:style>
  <w:style w:type="table" w:styleId="1120" w:customStyle="1">
    <w:name w:val="Table Normal"/>
    <w:uiPriority w:val="2"/>
    <w:semiHidden/>
    <w:unhideWhenUsed/>
    <w:qFormat/>
    <w:pPr>
      <w:widowControl w:val="off"/>
    </w:pPr>
    <w:rPr>
      <w:sz w:val="22"/>
      <w:lang w:eastAsia="en-US"/>
    </w:rPr>
    <w:tblPr>
      <w:tblCellMar>
        <w:left w:w="0" w:type="dxa"/>
        <w:top w:w="0" w:type="dxa"/>
        <w:right w:w="0" w:type="dxa"/>
        <w:bottom w:w="0" w:type="dxa"/>
      </w:tblCellMar>
    </w:tblPr>
  </w:style>
  <w:style w:type="paragraph" w:styleId="1121"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122" w:customStyle="1">
    <w:name w:val="无间隔2"/>
    <w:uiPriority w:val="0"/>
    <w:qFormat/>
    <w:pPr>
      <w:jc w:val="both"/>
      <w:widowControl w:val="off"/>
    </w:pPr>
    <w:rPr>
      <w:rFonts w:ascii="Times New Roman" w:hAnsi="Times New Roman" w:eastAsia="宋体" w:cs="Times New Roman"/>
      <w:sz w:val="21"/>
      <w:szCs w:val="24"/>
      <w:lang w:val="en-US" w:eastAsia="zh-CN" w:bidi="ar-SA"/>
    </w:rPr>
  </w:style>
  <w:style w:type="character" w:styleId="1123" w:customStyle="1">
    <w:name w:val="fontstyle01"/>
    <w:basedOn w:val="879"/>
    <w:uiPriority w:val="0"/>
    <w:qFormat/>
    <w:rPr>
      <w:rFonts w:hint="eastAsia" w:ascii="等线" w:hAnsi="等线" w:eastAsia="等线"/>
      <w:color w:val="000000"/>
      <w:sz w:val="20"/>
      <w:szCs w:val="20"/>
    </w:rPr>
  </w:style>
  <w:style w:type="paragraph" w:styleId="1124" w:customStyle="1">
    <w:name w:val="标题2"/>
    <w:basedOn w:val="1125"/>
    <w:uiPriority w:val="0"/>
    <w:qFormat/>
  </w:style>
  <w:style w:type="paragraph" w:styleId="1125" w:customStyle="1">
    <w:name w:val="表题2"/>
    <w:basedOn w:val="871"/>
    <w:uiPriority w:val="0"/>
    <w:qFormat/>
    <w:rPr>
      <w:rFonts w:ascii="黑体" w:hAnsi="Cambria" w:eastAsia="华文中宋"/>
      <w:sz w:val="44"/>
    </w:rPr>
  </w:style>
  <w:style w:type="paragraph" w:styleId="1126" w:customStyle="1">
    <w:name w:val="Normal Indent1"/>
    <w:uiPriority w:val="0"/>
    <w:qFormat/>
    <w:pPr>
      <w:ind w:firstLine="420"/>
      <w:spacing w:line="360" w:lineRule="auto"/>
    </w:pPr>
    <w:rPr>
      <w:rFonts w:ascii="Times New Roman" w:hAnsi="Times New Roman" w:eastAsia="宋体" w:cs="Times New Roman"/>
      <w:lang w:val="en-US" w:eastAsia="zh-CN" w:bidi="ar-SA"/>
    </w:rPr>
  </w:style>
  <w:style w:type="paragraph" w:styleId="1127" w:customStyle="1">
    <w:name w:val="修订3"/>
    <w:hidden/>
    <w:uiPriority w:val="99"/>
    <w:unhideWhenUsed/>
    <w:qFormat/>
    <w:rPr>
      <w:rFonts w:ascii="Times New Roman" w:hAnsi="Times New Roman" w:eastAsia="宋体" w:cs="Times New Roman"/>
      <w:sz w:val="21"/>
      <w:szCs w:val="24"/>
      <w:lang w:val="en-US" w:eastAsia="zh-CN" w:bidi="ar-SA"/>
    </w:rPr>
  </w:style>
  <w:style w:type="paragraph" w:styleId="1128" w:customStyle="1">
    <w:name w:val="Table Text"/>
    <w:basedOn w:val="869"/>
    <w:uiPriority w:val="0"/>
    <w:semiHidden/>
    <w:qFormat/>
    <w:rPr>
      <w:rFonts w:ascii="宋体" w:hAnsi="宋体" w:cs="宋体"/>
      <w:sz w:val="22"/>
      <w:szCs w:val="22"/>
      <w:lang w:eastAsia="en-US"/>
    </w:rPr>
  </w:style>
  <w:style w:type="paragraph" w:styleId="1129" w:customStyle="1">
    <w:name w:val="修订4"/>
    <w:hidden/>
    <w:uiPriority w:val="99"/>
    <w:unhideWhenUsed/>
    <w:qFormat/>
    <w:rPr>
      <w:rFonts w:ascii="Times New Roman" w:hAnsi="Times New Roman" w:eastAsia="宋体" w:cs="Times New Roman"/>
      <w:sz w:val="21"/>
      <w:szCs w:val="24"/>
      <w:lang w:val="en-US" w:eastAsia="zh-CN" w:bidi="ar-SA"/>
    </w:rPr>
  </w:style>
  <w:style w:type="paragraph" w:styleId="1130" w:customStyle="1">
    <w:name w:val="表题样式"/>
    <w:basedOn w:val="1131"/>
    <w:next w:val="883"/>
    <w:uiPriority w:val="4"/>
    <w:qFormat/>
    <w:pPr>
      <w:jc w:val="center"/>
      <w:keepNext/>
      <w:spacing w:before="100" w:line="240" w:lineRule="auto"/>
    </w:pPr>
    <w:rPr>
      <w:sz w:val="21"/>
    </w:rPr>
  </w:style>
  <w:style w:type="paragraph" w:styleId="1131" w:customStyle="1">
    <w:name w:val="默认黑体"/>
    <w:uiPriority w:val="0"/>
    <w:qFormat/>
    <w:pPr>
      <w:jc w:val="both"/>
      <w:spacing w:line="360" w:lineRule="auto"/>
    </w:pPr>
    <w:rPr>
      <w:rFonts w:ascii="Arial" w:hAnsi="Arial" w:eastAsia="黑体" w:cs="Courier New"/>
      <w:bCs/>
      <w:sz w:val="24"/>
      <w:szCs w:val="24"/>
      <w:lang w:val="en-US" w:eastAsia="zh-CN" w:bidi="ar-SA"/>
    </w:rPr>
  </w:style>
  <w:style w:type="paragraph" w:styleId="1132" w:customStyle="1">
    <w:name w:val="Revision"/>
    <w:hidden/>
    <w:uiPriority w:val="99"/>
    <w:unhideWhenUsed/>
    <w:qFormat/>
    <w:rPr>
      <w:rFonts w:ascii="Times New Roman" w:hAnsi="Times New Roman" w:eastAsia="宋体" w:cs="Times New Roman"/>
      <w:sz w:val="21"/>
      <w:szCs w:val="24"/>
      <w:lang w:val="en-US" w:eastAsia="zh-CN" w:bidi="ar-SA"/>
    </w:rPr>
  </w:style>
  <w:style w:type="numbering" w:styleId="11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572e70b9-4568-4f94-bbe9-ce176ded9949</errorID>
      <errorWord>（</errorWord>
      <group>L1_Punc</group>
      <groupName>标点问题</groupName>
      <ability>L2_Punc</ability>
      <abilityName>标点符号检查</abilityName>
      <candidateList/>
      <explain>同一形式括号套用。</explain>
      <paraID>14E8062E</paraID>
      <start>61</start>
      <end>62</end>
      <status>unmodified</status>
      <modifiedWord/>
      <trackRevisions>false</trackRevisions>
    </reviewItem>
    <reviewItem>
      <errorID>24d61421-e42e-4a17-b9d6-d30698b674ce</errorID>
      <errorWord>）</errorWord>
      <group>L1_Punc</group>
      <groupName>标点问题</groupName>
      <ability>L2_Punc</ability>
      <abilityName>标点符号检查</abilityName>
      <candidateList/>
      <explain>同一形式括号套用。</explain>
      <paraID>14E8062E</paraID>
      <start>75</start>
      <end>76</end>
      <status>unmodified</status>
      <modifiedWord/>
      <trackRevisions>false</trackRevisions>
    </reviewItem>
    <reviewItem>
      <errorID>f660caa4-0fff-4a69-b16a-0c5f8caf718f</errorID>
      <errorWord>（</errorWord>
      <group>L1_Punc</group>
      <groupName>标点问题</groupName>
      <ability>L2_Punc</ability>
      <abilityName>标点符号检查</abilityName>
      <candidateList/>
      <explain>同一形式括号套用。</explain>
      <paraID>14E8062E</paraID>
      <start>135</start>
      <end>136</end>
      <status>unmodified</status>
      <modifiedWord/>
      <trackRevisions>false</trackRevisions>
    </reviewItem>
    <reviewItem>
      <errorID>7117539c-99c7-42e9-9572-b26f542a8b6a</errorID>
      <errorWord>）</errorWord>
      <group>L1_Punc</group>
      <groupName>标点问题</groupName>
      <ability>L2_Punc</ability>
      <abilityName>标点符号检查</abilityName>
      <candidateList/>
      <explain>同一形式括号套用。</explain>
      <paraID>14E8062E</paraID>
      <start>152</start>
      <end>153</end>
      <status>unmodified</status>
      <modifiedWord/>
      <trackRevisions>false</trackRevisions>
    </reviewItem>
    <reviewItem>
      <errorID>c8a319c5-55cf-4d0b-83a4-9bdaa16eb379</errorID>
      <errorWord>：</errorWord>
      <group>L1_Format</group>
      <groupName>格式问题</groupName>
      <ability>L2_HalfPunc</ability>
      <abilityName>全半角检查</abilityName>
      <candidateList>
        <item>:</item>
      </candidateList>
      <explain>文本全半角错误。</explain>
      <paraID> A7165D2</paraID>
      <start>17</start>
      <end>18</end>
      <status>unmodified</status>
      <modifiedWord/>
      <trackRevisions>false</trackRevisions>
    </reviewItem>
    <reviewItem>
      <errorID>70959ef5-aeb7-4b55-9978-dd429970931d</errorID>
      <errorWord>:</errorWord>
      <group>L1_Format</group>
      <groupName>格式问题</groupName>
      <ability>L2_HalfPunc</ability>
      <abilityName>全半角检查</abilityName>
      <candidateList>
        <item>：</item>
      </candidateList>
      <explain>文本全半角错误。</explain>
      <paraID>124F60C1</paraID>
      <start>2</start>
      <end>3</end>
      <status>unmodified</status>
      <modifiedWord/>
      <trackRevisions>false</trackRevisions>
    </reviewItem>
    <reviewItem>
      <errorID>7e0302ed-aee5-46a3-9ddd-c7da227622f0</errorID>
      <errorWord>(</errorWord>
      <group>L1_Format</group>
      <groupName>格式问题</groupName>
      <ability>L2_HalfPunc</ability>
      <abilityName>全半角检查</abilityName>
      <candidateList>
        <item>（</item>
      </candidateList>
      <explain>文本全半角错误。</explain>
      <paraID>124F60C1</paraID>
      <start>10</start>
      <end>11</end>
      <status>unmodified</status>
      <modifiedWord/>
      <trackRevisions>false</trackRevisions>
    </reviewItem>
    <reviewItem>
      <errorID>168b4ef3-f300-486a-bd27-396dbc6e864f</errorID>
      <errorWord>:</errorWord>
      <group>L1_Format</group>
      <groupName>格式问题</groupName>
      <ability>L2_HalfPunc</ability>
      <abilityName>全半角检查</abilityName>
      <candidateList>
        <item>：</item>
      </candidateList>
      <explain>文本全半角错误。</explain>
      <paraID>124F60C1</paraID>
      <start>13</start>
      <end>14</end>
      <status>unmodified</status>
      <modifiedWord/>
      <trackRevisions>false</trackRevisions>
    </reviewItem>
    <reviewItem>
      <errorID>ae7d84b1-7ff4-47b9-9338-4ca7cb22a0de</errorID>
      <errorWord>/)</errorWord>
      <group>L1_Punc</group>
      <groupName>标点问题</groupName>
      <ability>L2_Punc</ability>
      <abilityName>标点符号检查</abilityName>
      <candidateList>
        <item>)</item>
      </candidateList>
      <explain/>
      <paraID>124F60C1</paraID>
      <start>36</start>
      <end>38</end>
      <status>unmodified</status>
      <modifiedWord/>
      <trackRevisions>false</trackRevisions>
    </reviewItem>
    <reviewItem>
      <errorID>4e60fab6-1209-474d-ac3f-2177c6a9beb8</errorID>
      <errorWord>(</errorWord>
      <group>L1_Format</group>
      <groupName>格式问题</groupName>
      <ability>L2_HalfPunc</ability>
      <abilityName>全半角检查</abilityName>
      <candidateList>
        <item>（</item>
      </candidateList>
      <explain>文本全半角错误。</explain>
      <paraID>124F60C1</paraID>
      <start>38</start>
      <end>39</end>
      <status>unmodified</status>
      <modifiedWord/>
      <trackRevisions>false</trackRevisions>
    </reviewItem>
    <reviewItem>
      <errorID>84c61540-7c5a-422a-9f19-571bee2a9985</errorID>
      <errorWord>)</errorWord>
      <group>L1_Format</group>
      <groupName>格式问题</groupName>
      <ability>L2_HalfPunc</ability>
      <abilityName>全半角检查</abilityName>
      <candidateList>
        <item>）</item>
      </candidateList>
      <explain>文本全半角错误。</explain>
      <paraID>124F60C1</paraID>
      <start>68</start>
      <end>69</end>
      <status>unmodified</status>
      <modifiedWord/>
      <trackRevisions>false</trackRevisions>
    </reviewItem>
    <reviewItem>
      <errorID>a67cff68-b730-4fbd-8639-bfbabbe9a21f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6D18CDE6</paraID>
      <start>0</start>
      <end>2</end>
      <status>unmodified</status>
      <modifiedWord/>
      <trackRevisions>false</trackRevisions>
    </reviewItem>
    <reviewItem>
      <errorID>0bec6fd7-aaa4-4e4e-b63d-1e14a6f79f70</errorID>
      <errorWord>:</errorWord>
      <group>L1_Format</group>
      <groupName>格式问题</groupName>
      <ability>L2_HalfPunc</ability>
      <abilityName>全半角检查</abilityName>
      <candidateList>
        <item>：</item>
      </candidateList>
      <explain>文本全半角错误。</explain>
      <paraID>6D18CDE6</paraID>
      <start>10</start>
      <end>11</end>
      <status>unmodified</status>
      <modifiedWord/>
      <trackRevisions>false</trackRevisions>
    </reviewItem>
    <reviewItem>
      <errorID>ae9a3908-fa4a-49f3-a3b6-483584cd5411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595EC69A</paraID>
      <start>0</start>
      <end>2</end>
      <status>unmodified</status>
      <modifiedWord/>
      <trackRevisions>false</trackRevisions>
    </reviewItem>
    <reviewItem>
      <errorID>3e37e9f7-2d3c-48e1-a01f-2c4d17e95d11</errorID>
      <errorWord>:</errorWord>
      <group>L1_Format</group>
      <groupName>格式问题</groupName>
      <ability>L2_HalfPunc</ability>
      <abilityName>全半角检查</abilityName>
      <candidateList>
        <item>：</item>
      </candidateList>
      <explain>文本全半角错误。</explain>
      <paraID>595EC69A</paraID>
      <start>10</start>
      <end>11</end>
      <status>unmodified</status>
      <modifiedWord/>
      <trackRevisions>false</trackRevisions>
    </reviewItem>
    <reviewItem>
      <errorID>348c53fe-af95-4004-925c-1d5d87162a04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50AB0E91</paraID>
      <start>0</start>
      <end>2</end>
      <status>unmodified</status>
      <modifiedWord/>
      <trackRevisions>false</trackRevisions>
    </reviewItem>
    <reviewItem>
      <errorID>d7d5262a-032e-4d04-8376-391a45e435e0</errorID>
      <errorWord>-</errorWord>
      <group>L1_Format</group>
      <groupName>格式问题</groupName>
      <ability>L2_HalfPunc</ability>
      <abilityName>全半角检查</abilityName>
      <candidateList>
        <item>－</item>
      </candidateList>
      <explain>文本全半角错误。</explain>
      <paraID>7D406D97</paraID>
      <start>11</start>
      <end>12</end>
      <status>unmodified</status>
      <modifiedWord/>
      <trackRevisions>false</trackRevisions>
    </reviewItem>
    <reviewItem>
      <errorID>a3dc078b-0871-43b6-813b-449c3615f424</errorID>
      <errorWord>-</errorWord>
      <group>L1_Format</group>
      <groupName>格式问题</groupName>
      <ability>L2_HalfPunc</ability>
      <abilityName>全半角检查</abilityName>
      <candidateList>
        <item>－</item>
      </candidateList>
      <explain>文本全半角错误。</explain>
      <paraID>7D406D97</paraID>
      <start>12</start>
      <end>13</end>
      <status>unmodified</status>
      <modifiedWord/>
      <trackRevisions>false</trackRevisions>
    </reviewItem>
    <reviewItem>
      <errorID>e6a90f41-ea7d-4c65-853d-29371de131b1</errorID>
      <errorWord>-</errorWord>
      <group>L1_Format</group>
      <groupName>格式问题</groupName>
      <ability>L2_HalfPunc</ability>
      <abilityName>全半角检查</abilityName>
      <candidateList>
        <item>－</item>
      </candidateList>
      <explain>文本全半角错误。</explain>
      <paraID>7D406D97</paraID>
      <start>38</start>
      <end>39</end>
      <status>unmodified</status>
      <modifiedWord/>
      <trackRevisions>false</trackRevisions>
    </reviewItem>
    <reviewItem>
      <errorID>9e5b32dc-bd87-4693-b257-921aebe41f4f</errorID>
      <errorWord>-</errorWord>
      <group>L1_Format</group>
      <groupName>格式问题</groupName>
      <ability>L2_HalfPunc</ability>
      <abilityName>全半角检查</abilityName>
      <candidateList>
        <item>－</item>
      </candidateList>
      <explain>文本全半角错误。</explain>
      <paraID>7D406D97</paraID>
      <start>39</start>
      <end>40</end>
      <status>unmodified</status>
      <modifiedWord/>
      <trackRevisions>false</trackRevisions>
    </reviewItem>
    <reviewItem>
      <errorID>ea1db9a5-1234-49d5-a72e-14d7b44e5b2f</errorID>
      <errorWord>“.</errorWord>
      <group>L1_Punc</group>
      <groupName>标点问题</groupName>
      <ability>L2_Punc</ability>
      <abilityName>标点符号检查</abilityName>
      <candidateList>
        <item>“</item>
      </candidateList>
      <explain/>
      <paraID>7D406D97</paraID>
      <start>51</start>
      <end>53</end>
      <status>unmodified</status>
      <modifiedWord/>
      <trackRevisions>false</trackRevisions>
    </reviewItem>
    <reviewItem>
      <errorID>1bb00356-f88a-478f-9ffb-cb1b3a5a7c68</errorID>
      <errorWord>“.</errorWord>
      <group>L1_Punc</group>
      <groupName>标点问题</groupName>
      <ability>L2_Punc</ability>
      <abilityName>标点符号检查</abilityName>
      <candidateList>
        <item>“</item>
      </candidateList>
      <explain/>
      <paraID>7D406D97</paraID>
      <start>66</start>
      <end>68</end>
      <status>unmodified</status>
      <modifiedWord/>
      <trackRevisions>false</trackRevisions>
    </reviewItem>
    <reviewItem>
      <errorID>656e9c35-d5d6-4a74-a153-acf6e2674f0b</errorID>
      <errorWord>-</errorWord>
      <group>L1_Format</group>
      <groupName>格式问题</groupName>
      <ability>L2_HalfPunc</ability>
      <abilityName>全半角检查</abilityName>
      <candidateList>
        <item>－</item>
      </candidateList>
      <explain>文本全半角错误。</explain>
      <paraID>7D406D97</paraID>
      <start>89</start>
      <end>90</end>
      <status>unmodified</status>
      <modifiedWord/>
      <trackRevisions>false</trackRevisions>
    </reviewItem>
    <reviewItem>
      <errorID>116ea321-7e69-42a9-b643-b4778e182143</errorID>
      <errorWord>-</errorWord>
      <group>L1_Format</group>
      <groupName>格式问题</groupName>
      <ability>L2_HalfPunc</ability>
      <abilityName>全半角检查</abilityName>
      <candidateList>
        <item>－</item>
      </candidateList>
      <explain>文本全半角错误。</explain>
      <paraID>7D406D97</paraID>
      <start>90</start>
      <end>91</end>
      <status>unmodified</status>
      <modifiedWord/>
      <trackRevisions>false</trackRevisions>
    </reviewItem>
    <reviewItem>
      <errorID>5ceb38ba-8e3d-46e8-9f73-e0600c7f9064</errorID>
      <errorWord>-</errorWord>
      <group>L1_Format</group>
      <groupName>格式问题</groupName>
      <ability>L2_HalfPunc</ability>
      <abilityName>全半角检查</abilityName>
      <candidateList>
        <item>－</item>
      </candidateList>
      <explain>文本全半角错误。</explain>
      <paraID>7D406D97</paraID>
      <start>97</start>
      <end>98</end>
      <status>unmodified</status>
      <modifiedWord/>
      <trackRevisions>false</trackRevisions>
    </reviewItem>
    <reviewItem>
      <errorID>a3bb79e4-e38b-4cee-99db-071118742aeb</errorID>
      <errorWord>-</errorWord>
      <group>L1_Format</group>
      <groupName>格式问题</groupName>
      <ability>L2_HalfPunc</ability>
      <abilityName>全半角检查</abilityName>
      <candidateList>
        <item>－</item>
      </candidateList>
      <explain>文本全半角错误。</explain>
      <paraID>7D406D97</paraID>
      <start>98</start>
      <end>99</end>
      <status>unmodified</status>
      <modifiedWord/>
      <trackRevisions>false</trackRevisions>
    </reviewItem>
    <reviewItem>
      <errorID>29da3d47-d3bb-42f6-9210-1ea76ffb920d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4AED3D5B</paraID>
      <start>0</start>
      <end>2</end>
      <status>unmodified</status>
      <modifiedWord/>
      <trackRevisions>false</trackRevisions>
    </reviewItem>
    <reviewItem>
      <errorID>8113f7d6-ee5f-4880-9468-cba93cab02f4</errorID>
      <errorWord>/。</errorWord>
      <group>L1_Punc</group>
      <groupName>标点问题</groupName>
      <ability>L2_Punc</ability>
      <abilityName>标点符号检查</abilityName>
      <candidateList>
        <item>/</item>
      </candidateList>
      <explain/>
      <paraID>4AED3D5B</paraID>
      <start>58</start>
      <end>60</end>
      <status>unmodified</status>
      <modifiedWord/>
      <trackRevisions>false</trackRevisions>
    </reviewItem>
    <reviewItem>
      <errorID>de409d3e-468a-4bdd-b1d7-448f2b98d2f9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378AB4EA</paraID>
      <start>0</start>
      <end>2</end>
      <status>unmodified</status>
      <modifiedWord/>
      <trackRevisions>false</trackRevisions>
    </reviewItem>
    <reviewItem>
      <errorID>8e394a26-fe9c-42c5-9612-390cc276cfd0</errorID>
      <errorWord>-</errorWord>
      <group>L1_Format</group>
      <groupName>格式问题</groupName>
      <ability>L2_HalfPunc</ability>
      <abilityName>全半角检查</abilityName>
      <candidateList>
        <item>－</item>
      </candidateList>
      <explain>文本全半角错误。</explain>
      <paraID>66061B5E</paraID>
      <start>48</start>
      <end>49</end>
      <status>unmodified</status>
      <modifiedWord/>
      <trackRevisions>false</trackRevisions>
    </reviewItem>
    <reviewItem>
      <errorID>65e97c79-4f0b-4dbc-bb21-f46c3efc6e85</errorID>
      <errorWord>/）</errorWord>
      <group>L1_Punc</group>
      <groupName>标点问题</groupName>
      <ability>L2_Punc</ability>
      <abilityName>标点符号检查</abilityName>
      <candidateList>
        <item>）</item>
      </candidateList>
      <explain/>
      <paraID>6067E544</paraID>
      <start>35</start>
      <end>37</end>
      <status>unmodified</status>
      <modifiedWord/>
      <trackRevisions>false</trackRevisions>
    </reviewItem>
    <reviewItem>
      <errorID>28e3ee8d-e3ae-4d99-8b64-5fc44aef8fcc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7E0E41CF</paraID>
      <start>0</start>
      <end>2</end>
      <status>unmodified</status>
      <modifiedWord/>
      <trackRevisions>false</trackRevisions>
    </reviewItem>
    <reviewItem>
      <errorID>6493983b-0953-4eb5-ae7d-4e46b1a9132d</errorID>
      <errorWord>“.</errorWord>
      <group>L1_Punc</group>
      <groupName>标点问题</groupName>
      <ability>L2_Punc</ability>
      <abilityName>标点符号检查</abilityName>
      <candidateList>
        <item>“</item>
      </candidateList>
      <explain/>
      <paraID>7E0E41CF</paraID>
      <start>11</start>
      <end>13</end>
      <status>unmodified</status>
      <modifiedWord/>
      <trackRevisions>false</trackRevisions>
    </reviewItem>
    <reviewItem>
      <errorID>019feffa-dd2c-49d0-b5cb-b7e8038c7b23</errorID>
      <errorWord>-</errorWord>
      <group>L1_Format</group>
      <groupName>格式问题</groupName>
      <ability>L2_HalfPunc</ability>
      <abilityName>全半角检查</abilityName>
      <candidateList>
        <item>－</item>
      </candidateList>
      <explain>文本全半角错误。</explain>
      <paraID>7E0E41CF</paraID>
      <start>47</start>
      <end>48</end>
      <status>unmodified</status>
      <modifiedWord/>
      <trackRevisions>false</trackRevisions>
    </reviewItem>
    <reviewItem>
      <errorID>5d0fe523-d2d0-4c26-bc8f-8b55319d29a8</errorID>
      <errorWord>-</errorWord>
      <group>L1_Format</group>
      <groupName>格式问题</groupName>
      <ability>L2_HalfPunc</ability>
      <abilityName>全半角检查</abilityName>
      <candidateList>
        <item>－</item>
      </candidateList>
      <explain>文本全半角错误。</explain>
      <paraID>7E0E41CF</paraID>
      <start>48</start>
      <end>49</end>
      <status>unmodified</status>
      <modifiedWord/>
      <trackRevisions>false</trackRevisions>
    </reviewItem>
    <reviewItem>
      <errorID>c6e775bf-2aed-4710-9b62-796436e8648a</errorID>
      <errorWord>-</errorWord>
      <group>L1_Format</group>
      <groupName>格式问题</groupName>
      <ability>L2_HalfPunc</ability>
      <abilityName>全半角检查</abilityName>
      <candidateList>
        <item>－</item>
      </candidateList>
      <explain>文本全半角错误。</explain>
      <paraID>7E0E41CF</paraID>
      <start>54</start>
      <end>55</end>
      <status>unmodified</status>
      <modifiedWord/>
      <trackRevisions>false</trackRevisions>
    </reviewItem>
    <reviewItem>
      <errorID>3f912033-817f-447b-82e7-f2a8ba907d8a</errorID>
      <errorWord>-</errorWord>
      <group>L1_Format</group>
      <groupName>格式问题</groupName>
      <ability>L2_HalfPunc</ability>
      <abilityName>全半角检查</abilityName>
      <candidateList>
        <item>－</item>
      </candidateList>
      <explain>文本全半角错误。</explain>
      <paraID>7E0E41CF</paraID>
      <start>55</start>
      <end>56</end>
      <status>unmodified</status>
      <modifiedWord/>
      <trackRevisions>false</trackRevisions>
    </reviewItem>
    <reviewItem>
      <errorID>d8eb4d4b-f85f-4081-84bb-c87cb1107930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45B6D680</paraID>
      <start>0</start>
      <end>2</end>
      <status>unmodified</status>
      <modifiedWord/>
      <trackRevisions>false</trackRevisions>
    </reviewItem>
    <reviewItem>
      <errorID>bcf1fb42-da49-4595-a278-269c0cff15ee</errorID>
      <errorWord>（</errorWord>
      <group>L1_Punc</group>
      <groupName>标点问题</groupName>
      <ability>L2_Punc</ability>
      <abilityName>标点符号检查</abilityName>
      <candidateList/>
      <explain>同一形式括号套用。</explain>
      <paraID>45B6D680</paraID>
      <start>34</start>
      <end>35</end>
      <status>unmodified</status>
      <modifiedWord/>
      <trackRevisions>false</trackRevisions>
    </reviewItem>
    <reviewItem>
      <errorID>a915bb1a-0aae-4d62-a36a-23eb4d6dd798</errorID>
      <errorWord>）</errorWord>
      <group>L1_Punc</group>
      <groupName>标点问题</groupName>
      <ability>L2_Punc</ability>
      <abilityName>标点符号检查</abilityName>
      <candidateList/>
      <explain>同一形式括号套用。</explain>
      <paraID>45B6D680</paraID>
      <start>38</start>
      <end>39</end>
      <status>unmodified</status>
      <modifiedWord/>
      <trackRevisions>false</trackRevisions>
    </reviewItem>
    <reviewItem>
      <errorID>9b184094-c1ba-430a-ab3e-4380e27bb58a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5A9084CC</paraID>
      <start>0</start>
      <end>2</end>
      <status>unmodified</status>
      <modifiedWord/>
      <trackRevisions>false</trackRevisions>
    </reviewItem>
    <reviewItem>
      <errorID>2c5efb08-0ed4-4c59-9d73-792f19f73a98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6708A6CA</paraID>
      <start>0</start>
      <end>2</end>
      <status>unmodified</status>
      <modifiedWord/>
      <trackRevisions>false</trackRevisions>
    </reviewItem>
    <reviewItem>
      <errorID>1ebc5997-ea45-451e-9c56-478d736f69d2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5811E581</paraID>
      <start>0</start>
      <end>2</end>
      <status>unmodified</status>
      <modifiedWord/>
      <trackRevisions>false</trackRevisions>
    </reviewItem>
    <reviewItem>
      <errorID>59b0fa2e-a10b-41f4-b298-8df94685d3b8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6DDA4595</paraID>
      <start>0</start>
      <end>2</end>
      <status>unmodified</status>
      <modifiedWord/>
      <trackRevisions>false</trackRevisions>
    </reviewItem>
    <reviewItem>
      <errorID>ffa5059a-6870-4f1a-8092-19698ea36c9a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382EC286</paraID>
      <start>0</start>
      <end>2</end>
      <status>unmodified</status>
      <modifiedWord/>
      <trackRevisions>false</trackRevisions>
    </reviewItem>
    <reviewItem>
      <errorID>61fff896-8164-4a5f-be0e-69be07152a6e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A8390B2</paraID>
      <start>0</start>
      <end>2</end>
      <status>unmodified</status>
      <modifiedWord/>
      <trackRevisions>false</trackRevisions>
    </reviewItem>
    <reviewItem>
      <errorID>2c8d7236-8808-4d3b-8b3d-13eab56b42f9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62F5794E</paraID>
      <start>0</start>
      <end>2</end>
      <status>unmodified</status>
      <modifiedWord/>
      <trackRevisions>false</trackRevisions>
    </reviewItem>
    <reviewItem>
      <errorID>da3dbb46-c928-4311-adf1-726716a7eb60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75080CD8</paraID>
      <start>0</start>
      <end>2</end>
      <status>unmodified</status>
      <modifiedWord/>
      <trackRevisions>false</trackRevisions>
    </reviewItem>
    <reviewItem>
      <errorID>c248147d-41c1-4807-bbc6-3900cf61c0f9</errorID>
      <errorWord>(</errorWord>
      <group>L1_Format</group>
      <groupName>格式问题</groupName>
      <ability>L2_HalfPunc</ability>
      <abilityName>全半角检查</abilityName>
      <candidateList>
        <item>（</item>
      </candidateList>
      <explain>文本全半角错误。</explain>
      <paraID>63C6302C</paraID>
      <start>8</start>
      <end>9</end>
      <status>unmodified</status>
      <modifiedWord/>
      <trackRevisions>false</trackRevisions>
    </reviewItem>
    <reviewItem>
      <errorID>c18fb4cf-e5e3-4be7-ab46-e36e66233c2b</errorID>
      <errorWord>)</errorWord>
      <group>L1_Format</group>
      <groupName>格式问题</groupName>
      <ability>L2_HalfPunc</ability>
      <abilityName>全半角检查</abilityName>
      <candidateList>
        <item>）</item>
      </candidateList>
      <explain>文本全半角错误。</explain>
      <paraID>63C6302C</paraID>
      <start>15</start>
      <end>16</end>
      <status>unmodified</status>
      <modifiedWord/>
      <trackRevisions>false</trackRevisions>
    </reviewItem>
    <reviewItem>
      <errorID>565b7aef-6230-4308-a67e-80b610991418</errorID>
      <errorWord>(</errorWord>
      <group>L1_Format</group>
      <groupName>格式问题</groupName>
      <ability>L2_HalfPunc</ability>
      <abilityName>全半角检查</abilityName>
      <candidateList>
        <item>（</item>
      </candidateList>
      <explain>文本全半角错误。</explain>
      <paraID>540F33B0</paraID>
      <start>22</start>
      <end>23</end>
      <status>unmodified</status>
      <modifiedWord/>
      <trackRevisions>false</trackRevisions>
    </reviewItem>
    <reviewItem>
      <errorID>13b87ff9-d06a-4fec-a6eb-8da14b30c2fa</errorID>
      <errorWord>)</errorWord>
      <group>L1_Format</group>
      <groupName>格式问题</groupName>
      <ability>L2_HalfPunc</ability>
      <abilityName>全半角检查</abilityName>
      <candidateList>
        <item>）</item>
      </candidateList>
      <explain>文本全半角错误。</explain>
      <paraID>540F33B0</paraID>
      <start>45</start>
      <end>46</end>
      <status>unmodified</status>
      <modifiedWord/>
      <trackRevisions>false</trackRevisions>
    </reviewItem>
    <reviewItem>
      <errorID>c68651d7-e865-4f1f-b325-ad28d0f0c8e5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22636DD2</paraID>
      <start>0</start>
      <end>2</end>
      <status>unmodified</status>
      <modifiedWord/>
      <trackRevisions>false</trackRevisions>
    </reviewItem>
    <reviewItem>
      <errorID>40914336-23af-444a-b17a-f95d40c45298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62FF26B9</paraID>
      <start>0</start>
      <end>2</end>
      <status>unmodified</status>
      <modifiedWord/>
      <trackRevisions>false</trackRevisions>
    </reviewItem>
    <reviewItem>
      <errorID>19d98b89-3572-4177-a4d3-6ccf7a5a46dc</errorID>
      <errorWord>&lt;</errorWord>
      <group>L1_Format</group>
      <groupName>格式问题</groupName>
      <ability>L2_HalfPunc</ability>
      <abilityName>全半角检查</abilityName>
      <candidateList>
        <item>〈</item>
      </candidateList>
      <explain>文本全半角错误。</explain>
      <paraID>44D10A51</paraID>
      <start>49</start>
      <end>50</end>
      <status>unmodified</status>
      <modifiedWord/>
      <trackRevisions>false</trackRevisions>
    </reviewItem>
    <reviewItem>
      <errorID>4bf5f3b7-934d-43da-aee1-de950c2f1fa1</errorID>
      <errorWord>&lt;</errorWord>
      <group>L1_Format</group>
      <groupName>格式问题</groupName>
      <ability>L2_HalfPunc</ability>
      <abilityName>全半角检查</abilityName>
      <candidateList>
        <item>〈</item>
      </candidateList>
      <explain>文本全半角错误。</explain>
      <paraID>34E7B585</paraID>
      <start>49</start>
      <end>50</end>
      <status>unmodified</status>
      <modifiedWord/>
      <trackRevisions>false</trackRevisions>
    </reviewItem>
    <reviewItem>
      <errorID>7d24327d-320c-4b10-aecc-6538e32eddf1</errorID>
      <errorWord>&lt;</errorWord>
      <group>L1_Format</group>
      <groupName>格式问题</groupName>
      <ability>L2_HalfPunc</ability>
      <abilityName>全半角检查</abilityName>
      <candidateList>
        <item>〈</item>
      </candidateList>
      <explain>文本全半角错误。</explain>
      <paraID> FFE4DC1</paraID>
      <start>34</start>
      <end>35</end>
      <status>unmodified</status>
      <modifiedWord/>
      <trackRevisions>false</trackRevisions>
    </reviewItem>
    <reviewItem>
      <errorID>166818f1-2544-494c-b8ce-7b6a6e307786</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5615DA41</paraID>
      <start>0</start>
      <end>2</end>
      <status>unmodified</status>
      <modifiedWord/>
      <trackRevisions>false</trackRevisions>
    </reviewItem>
    <reviewItem>
      <errorID>9e0a7330-f4f7-40d6-a89d-a5ba50b37594</errorID>
      <errorWord>《中华人民共和国政府采购法》（以下简称政府采购法）</errorWord>
      <group>L1_Knowledge</group>
      <groupName>知识性问题</groupName>
      <ability>L2_Knowledge</ability>
      <abilityName>其他知识</abilityName>
      <candidateList>
        <item>《中华人民共和国政府采购法》（以下简称“政府采购法”）</item>
      </candidateList>
      <explain>疑似政策文件、法律法规名称等书写不规范，请注意检查。</explain>
      <paraID>2971BCC4</paraID>
      <start>9</start>
      <end>34</end>
      <status>unmodified</status>
      <modifiedWord/>
      <trackRevisions>false</trackRevisions>
    </reviewItem>
    <reviewItem>
      <errorID>52303425-d681-4244-9f72-bac8578af9c3</errorID>
      <errorWord>《中华人民共和国政府采购法实施条例》（以下简称政府采购法实施条例）</errorWord>
      <group>L1_Knowledge</group>
      <groupName>知识性问题</groupName>
      <ability>L2_Knowledge</ability>
      <abilityName>其他知识</abilityName>
      <candidateList>
        <item>《中华人民共和国政府采购法实施条例》（以下简称“政府采购法实施条例”）</item>
      </candidateList>
      <explain>疑似政策文件、法律法规名称等书写不规范，请注意检查。</explain>
      <paraID>2971BCC4</paraID>
      <start>35</start>
      <end>68</end>
      <status>unmodified</status>
      <modifiedWord/>
      <trackRevisions>false</trackRevisions>
    </reviewItem>
    <reviewItem>
      <errorID>d9a9f21c-267e-4e03-9935-7437ff432535</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134B5FC9</paraID>
      <start>0</start>
      <end>2</end>
      <status>unmodified</status>
      <modifiedWord/>
      <trackRevisions>false</trackRevisions>
    </reviewItem>
    <reviewItem>
      <errorID>774a85f0-4ba9-42fc-9e7f-05ac7e5e25f5</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7D50FA14</paraID>
      <start>0</start>
      <end>2</end>
      <status>unmodified</status>
      <modifiedWord/>
      <trackRevisions>false</trackRevisions>
    </reviewItem>
    <reviewItem>
      <errorID>100cd1a5-7c86-4b2d-a423-66d40786d196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5D031DEF</paraID>
      <start>26</start>
      <end>29</end>
      <status>unmodified</status>
      <modifiedWord/>
      <trackRevisions>false</trackRevisions>
    </reviewItem>
    <reviewItem>
      <errorID>599a8eb0-03b3-45a9-9bcb-d1239ba355f1</errorID>
      <errorWord>其它</errorWord>
      <group>L1_Word</group>
      <groupName>字词问题</groupName>
      <ability>L2_Alias</ability>
      <abilityName>也作/曾用词</abilityName>
      <candidateList>
        <item>其他</item>
      </candidateList>
      <explain>词汇[其它]为不规范表述或旧称，其规范书面表述为[其他]。</explain>
      <paraID>7A784CD6</paraID>
      <start>12</start>
      <end>14</end>
      <status>unmodified</status>
      <modifiedWord/>
      <trackRevisions>false</trackRevisions>
    </reviewItem>
    <reviewItem>
      <errorID>433ced8d-7f78-4632-8b20-e2b50dc7303f</errorID>
      <errorWord>(</errorWord>
      <group>L1_Format</group>
      <groupName>格式问题</groupName>
      <ability>L2_HalfPunc</ability>
      <abilityName>全半角检查</abilityName>
      <candidateList>
        <item>（</item>
      </candidateList>
      <explain>文本全半角错误。</explain>
      <paraID>5F627E12</paraID>
      <start>100</start>
      <end>101</end>
      <status>unmodified</status>
      <modifiedWord/>
      <trackRevisions>false</trackRevisions>
    </reviewItem>
    <reviewItem>
      <errorID>0073e6c4-6c15-4183-b876-391077530120</errorID>
      <errorWord>)</errorWord>
      <group>L1_Format</group>
      <groupName>格式问题</groupName>
      <ability>L2_HalfPunc</ability>
      <abilityName>全半角检查</abilityName>
      <candidateList>
        <item>）</item>
      </candidateList>
      <explain>文本全半角错误。</explain>
      <paraID>5F627E12</paraID>
      <start>114</start>
      <end>115</end>
      <status>unmodified</status>
      <modifiedWord/>
      <trackRevisions>false</trackRevisions>
    </reviewItem>
    <reviewItem>
      <errorID>50357c4e-7fb4-4e5d-a484-236a500926be</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47CD2AD7</paraID>
      <start>0</start>
      <end>2</end>
      <status>unmodified</status>
      <modifiedWord/>
      <trackRevisions>false</trackRevisions>
    </reviewItem>
    <reviewItem>
      <errorID>553badb1-3388-4938-b2c3-f694bfd38b2a</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45CFE21E</paraID>
      <start>0</start>
      <end>2</end>
      <status>unmodified</status>
      <modifiedWord/>
      <trackRevisions>false</trackRevisions>
    </reviewItem>
    <reviewItem>
      <errorID>d5e26ce8-7835-4a85-8b4e-f624c2c58e4d</errorID>
      <errorWord>过程中涉及到</errorWord>
      <group>L1_Word</group>
      <groupName>字词问题</groupName>
      <ability>L2_Typo</ability>
      <abilityName>字词错误</abilityName>
      <candidateList>
        <item>过程中涉及</item>
      </candidateList>
      <explain/>
      <paraID>76185D6A</paraID>
      <start>11</start>
      <end>17</end>
      <status>unmodified</status>
      <modifiedWord/>
      <trackRevisions>false</trackRevisions>
    </reviewItem>
    <reviewItem>
      <errorID>74bc9c66-818b-48df-b032-1764cd64e2ff</errorID>
      <errorWord>不</errorWord>
      <group>L1_Word</group>
      <groupName>字词问题</groupName>
      <ability>L2_Typo</ability>
      <abilityName>字词错误</abilityName>
      <candidateList>
        <item>不符</item>
      </candidateList>
      <explain/>
      <paraID>348C7C16</paraID>
      <start>50</start>
      <end>51</end>
      <status>unmodified</status>
      <modifiedWord/>
      <trackRevisions>false</trackRevisions>
    </reviewItem>
    <reviewItem>
      <errorID>3fa06473-8b67-4df5-b919-98a0da14dcc1</errorID>
      <errorWord>法律、法规</errorWord>
      <group>L1_Word</group>
      <groupName>字词问题</groupName>
      <ability>L2_Typo</ability>
      <abilityName>字词错误</abilityName>
      <candidateList>
        <item>法律法规</item>
      </candidateList>
      <explain/>
      <paraID>754374AD</paraID>
      <start>5</start>
      <end>10</end>
      <status>unmodified</status>
      <modifiedWord/>
      <trackRevisions>false</trackRevisions>
    </reviewItem>
    <reviewItem>
      <errorID>767a0910-c3a6-4c97-8d08-568d0d06ecd0</errorID>
      <errorWord>六．</errorWord>
      <group>L1_Format</group>
      <groupName>格式问题</groupName>
      <ability>L2_Ordinal</ability>
      <abilityName>序号格式</abilityName>
      <candidateList>
        <item>六、</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12A59602</paraID>
      <start>0</start>
      <end>2</end>
      <status>unmodified</status>
      <modifiedWord/>
      <trackRevisions>false</trackRevisions>
    </reviewItem>
    <reviewItem>
      <errorID>cfabfc6e-5875-43a8-85c9-759cb48a2eb7</errorID>
      <errorWord>,</errorWord>
      <group>L1_Format</group>
      <groupName>格式问题</groupName>
      <ability>L2_HalfPunc</ability>
      <abilityName>全半角检查</abilityName>
      <candidateList>
        <item>，</item>
      </candidateList>
      <explain>文本全半角错误。</explain>
      <paraID>33E0E8F5</paraID>
      <start>102</start>
      <end>103</end>
      <status>unmodified</status>
      <modifiedWord/>
      <trackRevisions>false</trackRevisions>
    </reviewItem>
    <reviewItem>
      <errorID>30f03b07-3d84-4bec-8963-a578e173f355</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1064B549</paraID>
      <start>0</start>
      <end>2</end>
      <status>unmodified</status>
      <modifiedWord/>
      <trackRevisions>false</trackRevisions>
    </reviewItem>
    <reviewItem>
      <errorID>47bf992f-9e09-4a53-8179-ab9aa2d20ac9</errorID>
      <errorWord>八．</errorWord>
      <group>L1_Format</group>
      <groupName>格式问题</groupName>
      <ability>L2_Ordinal</ability>
      <abilityName>序号格式</abilityName>
      <candidateList>
        <item>八、</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F23F342</paraID>
      <start>0</start>
      <end>2</end>
      <status>unmodified</status>
      <modifiedWord/>
      <trackRevisions>false</trackRevisions>
    </reviewItem>
    <reviewItem>
      <errorID>3274a773-3773-4ade-8ed1-12ce4d68dd80</errorID>
      <errorWord>:</errorWord>
      <group>L1_Format</group>
      <groupName>格式问题</groupName>
      <ability>L2_HalfPunc</ability>
      <abilityName>全半角检查</abilityName>
      <candidateList>
        <item>：</item>
      </candidateList>
      <explain>文本全半角错误。</explain>
      <paraID> 53CF2AC</paraID>
      <start>2</start>
      <end>3</end>
      <status>unmodified</status>
      <modifiedWord/>
      <trackRevisions>false</trackRevisions>
    </reviewItem>
    <reviewItem>
      <errorID>e6552da2-a552-4984-a7d0-926f1c22ede2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5A5A66DF</paraID>
      <start>15</start>
      <end>18</end>
      <status>unmodified</status>
      <modifiedWord/>
      <trackRevisions>false</trackRevisions>
    </reviewItem>
    <reviewItem>
      <errorID>aa8e4692-2886-48bf-833b-2ad14e595035</errorID>
      <errorWord>(</errorWord>
      <group>L1_Format</group>
      <groupName>格式问题</groupName>
      <ability>L2_HalfPunc</ability>
      <abilityName>全半角检查</abilityName>
      <candidateList>
        <item>（</item>
      </candidateList>
      <explain>文本全半角错误。</explain>
      <paraID> 6982434</paraID>
      <start>0</start>
      <end>1</end>
      <status>unmodified</status>
      <modifiedWord/>
      <trackRevisions>false</trackRevisions>
    </reviewItem>
    <reviewItem>
      <errorID>3ade9c66-e8fc-4a94-8f66-b2339a1b7409</errorID>
      <errorWord>)</errorWord>
      <group>L1_Format</group>
      <groupName>格式问题</groupName>
      <ability>L2_HalfPunc</ability>
      <abilityName>全半角检查</abilityName>
      <candidateList>
        <item>）</item>
      </candidateList>
      <explain>文本全半角错误。</explain>
      <paraID> 6982434</paraID>
      <start>10</start>
      <end>11</end>
      <status>unmodified</status>
      <modifiedWord/>
      <trackRevisions>false</trackRevisions>
    </reviewItem>
    <reviewItem>
      <errorID>6dad9ebf-b320-4cd8-b916-c7d4e8cd1dd2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15B1907F</paraID>
      <start>0</start>
      <end>2</end>
      <status>unmodified</status>
      <modifiedWord/>
      <trackRevisions>false</trackRevisions>
    </reviewItem>
    <reviewItem>
      <errorID>6e3ed022-518b-4310-bdc2-54c7d9a78281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3604B25E</paraID>
      <start>0</start>
      <end>2</end>
      <status>unmodified</status>
      <modifiedWord/>
      <trackRevisions>false</trackRevisions>
    </reviewItem>
    <reviewItem>
      <errorID>89337308-0a06-4052-a3c3-28b4f8b2580d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56272DE9</paraID>
      <start>0</start>
      <end>2</end>
      <status>unmodified</status>
      <modifiedWord/>
      <trackRevisions>false</trackRevisions>
    </reviewItem>
    <reviewItem>
      <errorID>9471e766-5bd8-45c0-947c-3ab4c69c97d7</errorID>
      <errorWord>任何的</errorWord>
      <group>L1_Word</group>
      <groupName>字词问题</groupName>
      <ability>L2_Typo</ability>
      <abilityName>字词错误</abilityName>
      <candidateList>
        <item>任何</item>
      </candidateList>
      <explain>〈代〉指示代词。不论什么：～人都要遵纪守法｜我们能够战胜～困难。</explain>
      <paraID>38191A7D</paraID>
      <start>43</start>
      <end>46</end>
      <status>unmodified</status>
      <modifiedWord/>
      <trackRevisions>false</trackRevisions>
    </reviewItem>
    <reviewItem>
      <errorID>f307e294-a184-4511-87be-2ff0eab1febf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C109E2D</paraID>
      <start>0</start>
      <end>2</end>
      <status>unmodified</status>
      <modifiedWord/>
      <trackRevisions>false</trackRevisions>
    </reviewItem>
    <reviewItem>
      <errorID>d95d7764-bc92-4812-accd-f27815115e66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7469A32C</paraID>
      <start>0</start>
      <end>2</end>
      <status>unmodified</status>
      <modifiedWord/>
      <trackRevisions>false</trackRevisions>
    </reviewItem>
    <reviewItem>
      <errorID>4899aa70-0edd-488d-a3e0-fde2539b1449</errorID>
      <errorWord>需</errorWord>
      <group>L1_Word</group>
      <groupName>字词问题</groupName>
      <ability>L2_Typo</ability>
      <abilityName>字词错误</abilityName>
      <candidateList>
        <item>须</item>
      </candidateList>
      <explain>存在发音相同字词的误用。</explain>
      <paraID>5C51E771</paraID>
      <start>291</start>
      <end>292</end>
      <status>unmodified</status>
      <modifiedWord/>
      <trackRevisions>false</trackRevisions>
    </reviewItem>
    <reviewItem>
      <errorID>00862c00-f51d-4a14-8ba5-6cebf51b2f91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55FAFD27</paraID>
      <start>0</start>
      <end>2</end>
      <status>unmodified</status>
      <modifiedWord/>
      <trackRevisions>false</trackRevisions>
    </reviewItem>
    <reviewItem>
      <errorID>72a68025-e1c2-41bd-82d3-59e021a5af7b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2C40937D</paraID>
      <start>92</start>
      <end>93</end>
      <status>unmodified</status>
      <modifiedWord/>
      <trackRevisions>false</trackRevisions>
    </reviewItem>
    <reviewItem>
      <errorID>536bbce7-c26c-4b34-af7c-2f7a8214fd05</errorID>
      <errorWord>内</errorWord>
      <group>L1_Word</group>
      <groupName>字词问题</groupName>
      <ability>L2_Typo</ability>
      <abilityName>字词错误</abilityName>
      <candidateList>
        <item>内支</item>
      </candidateList>
      <explain/>
      <paraID>2C40937D</paraID>
      <start>230</start>
      <end>231</end>
      <status>unmodified</status>
      <modifiedWord/>
      <trackRevisions>false</trackRevisions>
    </reviewItem>
    <reviewItem>
      <errorID>ae358424-8cce-4d74-8bdd-d189a75f5f57</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4466F31C</paraID>
      <start>15</start>
      <end>18</end>
      <status>unmodified</status>
      <modifiedWord/>
      <trackRevisions>false</trackRevisions>
    </reviewItem>
    <reviewItem>
      <errorID>0fe65c0e-cb91-41a9-9807-f3f2e029b823</errorID>
      <errorWord>:</errorWord>
      <group>L1_Format</group>
      <groupName>格式问题</groupName>
      <ability>L2_HalfPunc</ability>
      <abilityName>全半角检查</abilityName>
      <candidateList>
        <item>：</item>
      </candidateList>
      <explain>文本全半角错误。</explain>
      <paraID>3C8944B3</paraID>
      <start>4</start>
      <end>5</end>
      <status>unmodified</status>
      <modifiedWord/>
      <trackRevisions>false</trackRevisions>
    </reviewItem>
    <reviewItem>
      <errorID>6e9f3d35-b15f-4e8c-8ab2-b6ff76757b11</errorID>
      <errorWord>:</errorWord>
      <group>L1_Format</group>
      <groupName>格式问题</groupName>
      <ability>L2_HalfPunc</ability>
      <abilityName>全半角检查</abilityName>
      <candidateList>
        <item>：</item>
      </candidateList>
      <explain>文本全半角错误。</explain>
      <paraID>791D6476</paraID>
      <start>9</start>
      <end>10</end>
      <status>unmodified</status>
      <modifiedWord/>
      <trackRevisions>false</trackRevisions>
    </reviewItem>
    <reviewItem>
      <errorID>0674f51a-0523-4fd6-b230-6867782ade9c</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77A3F01C</paraID>
      <start>6</start>
      <end>7</end>
      <status>unmodified</status>
      <modifiedWord/>
      <trackRevisions>false</trackRevisions>
    </reviewItem>
    <reviewItem>
      <errorID>7fa86b1e-f66d-4c7e-a025-e21dbf8babb7</errorID>
      <errorWord>:</errorWord>
      <group>L1_Format</group>
      <groupName>格式问题</groupName>
      <ability>L2_HalfPunc</ability>
      <abilityName>全半角检查</abilityName>
      <candidateList>
        <item>：</item>
      </candidateList>
      <explain>文本全半角错误。</explain>
      <paraID>77A3F01C</paraID>
      <start>10</start>
      <end>11</end>
      <status>unmodified</status>
      <modifiedWord/>
      <trackRevisions>false</trackRevisions>
    </reviewItem>
    <reviewItem>
      <errorID>55d4610c-08d0-4cb5-8809-88e1ef6692f2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4268D98E</paraID>
      <start>0</start>
      <end>2</end>
      <status>unmodified</status>
      <modifiedWord/>
      <trackRevisions>false</trackRevisions>
    </reviewItem>
    <reviewItem>
      <errorID>4cd0628d-a802-4e43-88f3-51b41e97d76b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104FC005</paraID>
      <start>0</start>
      <end>2</end>
      <status>unmodified</status>
      <modifiedWord/>
      <trackRevisions>false</trackRevisions>
    </reviewItem>
    <reviewItem>
      <errorID>6f41c100-ae70-4d5f-b87b-9e2296b25028</errorID>
      <errorWord>,</errorWord>
      <group>L1_Format</group>
      <groupName>格式问题</groupName>
      <ability>L2_HalfPunc</ability>
      <abilityName>全半角检查</abilityName>
      <candidateList>
        <item>，</item>
      </candidateList>
      <explain>文本全半角错误。</explain>
      <paraID>5E86347D</paraID>
      <start>46</start>
      <end>47</end>
      <status>unmodified</status>
      <modifiedWord/>
      <trackRevisions>false</trackRevisions>
    </reviewItem>
    <reviewItem>
      <errorID>17d7fa2c-9292-4fcb-bf84-941a85ef1e38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5D9893D9</paraID>
      <start>36</start>
      <end>39</end>
      <status>unmodified</status>
      <modifiedWord/>
      <trackRevisions>false</trackRevisions>
    </reviewItem>
    <reviewItem>
      <errorID>ed888bed-4fce-426e-b277-f90e8cdaad8a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416CD003</paraID>
      <start>0</start>
      <end>3</end>
      <status>unmodified</status>
      <modifiedWord/>
      <trackRevisions>false</trackRevisions>
    </reviewItem>
    <reviewItem>
      <errorID>85a62452-a35b-4609-b2d1-6db5493aede2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438CBEFE</paraID>
      <start>0</start>
      <end>3</end>
      <status>unmodified</status>
      <modifiedWord/>
      <trackRevisions>false</trackRevisions>
    </reviewItem>
    <reviewItem>
      <errorID>d631c373-0955-4cc2-a918-7c8a04fd5e14</errorID>
      <errorWord>情况的</errorWord>
      <group>L1_Word</group>
      <groupName>字词问题</groupName>
      <ability>L2_Typo</ability>
      <abilityName>字词错误</abilityName>
      <candidateList>
        <item>情况</item>
      </candidateList>
      <explain>〈名〉❶情形：思想～｜工作～｜～特殊。❷指军事上的变化，泛指事情的变化、动向：这两天前线没有什么～｜他俩的关系最近又有了新的～。</explain>
      <paraID>38ED4BBE</paraID>
      <start>34</start>
      <end>37</end>
      <status>unmodified</status>
      <modifiedWord/>
      <trackRevisions>false</trackRevisions>
    </reviewItem>
    <reviewItem>
      <errorID>35d47875-417e-4616-a133-433991bc6320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27F8C19</paraID>
      <start>0</start>
      <end>3</end>
      <status>unmodified</status>
      <modifiedWord/>
      <trackRevisions>false</trackRevisions>
    </reviewItem>
    <reviewItem>
      <errorID>f907606e-5273-490e-9faf-e46fc36024a3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746362D0</paraID>
      <start>0</start>
      <end>3</end>
      <status>unmodified</status>
      <modifiedWord/>
      <trackRevisions>false</trackRevisions>
    </reviewItem>
    <reviewItem>
      <errorID>befc2672-e0e1-41c3-8665-81e772219225</errorID>
      <errorWord>其它</errorWord>
      <group>L1_Word</group>
      <groupName>字词问题</groupName>
      <ability>L2_Alias</ability>
      <abilityName>也作/曾用词</abilityName>
      <candidateList>
        <item>其他</item>
      </candidateList>
      <explain>词汇[其它]为不规范表述或旧称，其规范书面表述为[其他]。</explain>
      <paraID>655EDFF4</paraID>
      <start>93</start>
      <end>95</end>
      <status>unmodified</status>
      <modifiedWord/>
      <trackRevisions>false</trackRevisions>
    </reviewItem>
    <reviewItem>
      <errorID>c6631066-e62c-40f0-993a-b0d9a0b0320f</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5575F347</paraID>
      <start>0</start>
      <end>3</end>
      <status>unmodified</status>
      <modifiedWord/>
      <trackRevisions>false</trackRevisions>
    </reviewItem>
    <reviewItem>
      <errorID>4df5b092-5727-454e-8b3a-f8328b139237</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1883B776</paraID>
      <start>26</start>
      <end>31</end>
      <status>unmodified</status>
      <modifiedWord/>
      <trackRevisions>false</trackRevisions>
    </reviewItem>
    <reviewItem>
      <errorID>dc2dc217-6c73-4760-823c-38dc241e184e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1021EC7B</paraID>
      <start>0</start>
      <end>3</end>
      <status>unmodified</status>
      <modifiedWord/>
      <trackRevisions>false</trackRevisions>
    </reviewItem>
    <reviewItem>
      <errorID>0b2bbd22-4865-49b0-b7df-cc3d1c633e09</errorID>
      <errorWord>其它</errorWord>
      <group>L1_Word</group>
      <groupName>字词问题</groupName>
      <ability>L2_Alias</ability>
      <abilityName>也作/曾用词</abilityName>
      <candidateList>
        <item>其他</item>
      </candidateList>
      <explain>词汇[其它]为不规范表述或旧称，其规范书面表述为[其他]。</explain>
      <paraID>45829747</paraID>
      <start>19</start>
      <end>21</end>
      <status>unmodified</status>
      <modifiedWord/>
      <trackRevisions>false</trackRevisions>
    </reviewItem>
    <reviewItem>
      <errorID>3bf37be4-4fb1-4357-a431-5f81f56b5fe8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177B16CA</paraID>
      <start>0</start>
      <end>3</end>
      <status>unmodified</status>
      <modifiedWord/>
      <trackRevisions>false</trackRevisions>
    </reviewItem>
    <reviewItem>
      <errorID>b1e92849-3f6c-4b70-8dcf-6e333ae8d719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16FFDF1E</paraID>
      <start>0</start>
      <end>3</end>
      <status>unmodified</status>
      <modifiedWord/>
      <trackRevisions>false</trackRevisions>
    </reviewItem>
    <reviewItem>
      <errorID>2c1f97d4-515c-493b-8030-680b41616182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711F4362</paraID>
      <start>0</start>
      <end>3</end>
      <status>unmodified</status>
      <modifiedWord/>
      <trackRevisions>false</trackRevisions>
    </reviewItem>
    <reviewItem>
      <errorID>16b112a8-d2dd-44c2-b33e-955a8ae85ff4</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5768FD5D</paraID>
      <start>0</start>
      <end>3</end>
      <status>unmodified</status>
      <modifiedWord/>
      <trackRevisions>false</trackRevisions>
    </reviewItem>
    <reviewItem>
      <errorID>7e951901-ad26-4027-8a59-2af1a9ec55e9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3CE672E0</paraID>
      <start>0</start>
      <end>3</end>
      <status>unmodified</status>
      <modifiedWord/>
      <trackRevisions>false</trackRevisions>
    </reviewItem>
    <reviewItem>
      <errorID>5e0bff59-4869-4fa1-8663-216171362455</errorID>
      <errorWord>(</errorWord>
      <group>L1_Format</group>
      <groupName>格式问题</groupName>
      <ability>L2_HalfPunc</ability>
      <abilityName>全半角检查</abilityName>
      <candidateList>
        <item>（</item>
      </candidateList>
      <explain>文本全半角错误。</explain>
      <paraID> F32C6C0</paraID>
      <start>2</start>
      <end>3</end>
      <status>unmodified</status>
      <modifiedWord/>
      <trackRevisions>false</trackRevisions>
    </reviewItem>
    <reviewItem>
      <errorID>29ceb2d8-fa3a-47e7-82f8-10fad750b056</errorID>
      <errorWord>)</errorWord>
      <group>L1_Format</group>
      <groupName>格式问题</groupName>
      <ability>L2_HalfPunc</ability>
      <abilityName>全半角检查</abilityName>
      <candidateList>
        <item>）</item>
      </candidateList>
      <explain>文本全半角错误。</explain>
      <paraID> F32C6C0</paraID>
      <start>12</start>
      <end>13</end>
      <status>unmodified</status>
      <modifiedWord/>
      <trackRevisions>false</trackRevisions>
    </reviewItem>
    <reviewItem>
      <errorID>720af38e-aabc-4c9e-ad47-5c839d3c9533</errorID>
      <errorWord>&lt;</errorWord>
      <group>L1_Format</group>
      <groupName>格式问题</groupName>
      <ability>L2_HalfPunc</ability>
      <abilityName>全半角检查</abilityName>
      <candidateList>
        <item>〈</item>
      </candidateList>
      <explain>文本全半角错误。</explain>
      <paraID>239DF1BA</paraID>
      <start>3</start>
      <end>4</end>
      <status>unmodified</status>
      <modifiedWord/>
      <trackRevisions>false</trackRevisions>
    </reviewItem>
    <reviewItem>
      <errorID>720af38e-aabc-4c9e-ad47-5c839d3c9533</errorID>
      <errorWord>&lt;</errorWord>
      <group>L1_Format</group>
      <groupName>格式问题</groupName>
      <ability>L2_HalfPunc</ability>
      <abilityName>全半角检查</abilityName>
      <candidateList>
        <item>〈</item>
      </candidateList>
      <explain>文本全半角错误。</explain>
      <paraID>2275C633</paraID>
      <start>3</start>
      <end>4</end>
      <status>unmodified</status>
      <modifiedWord/>
      <trackRevisions>false</trackRevisions>
    </reviewItem>
    <reviewItem>
      <errorID>dd01849d-da51-4c0b-8fd8-8c4ec4a9305d</errorID>
      <errorWord>~</errorWord>
      <group>L1_Format</group>
      <groupName>格式问题</groupName>
      <ability>L2_HalfPunc</ability>
      <abilityName>全半角检查</abilityName>
      <candidateList>
        <item>～</item>
      </candidateList>
      <explain>文本全半角错误。</explain>
      <paraID>6C3E86A4</paraID>
      <start>11</start>
      <end>12</end>
      <status>unmodified</status>
      <modifiedWord/>
      <trackRevisions>false</trackRevisions>
    </reviewItem>
    <reviewItem>
      <errorID>9e428825-4306-486c-b142-0b205b93ac2c</errorID>
      <errorWord>产商</errorWord>
      <group>L1_Word</group>
      <groupName>字词问题</groupName>
      <ability>L2_Typo</ability>
      <abilityName>字词错误</abilityName>
      <candidateList>
        <item>厂商</item>
      </candidateList>
      <explain>存在发音相近字词的误用。</explain>
      <paraID>7F92956C</paraID>
      <start>8</start>
      <end>10</end>
      <status>unmodified</status>
      <modifiedWord/>
      <trackRevisions>false</trackRevisions>
    </reviewItem>
    <reviewItem>
      <errorID>e7134deb-5041-405f-a543-a5dc5d006b7c</errorID>
      <errorWord>(</errorWord>
      <group>L1_Format</group>
      <groupName>格式问题</groupName>
      <ability>L2_HalfPunc</ability>
      <abilityName>全半角检查</abilityName>
      <candidateList>
        <item>（</item>
      </candidateList>
      <explain>文本全半角错误。</explain>
      <paraID>6B6D9BE0</paraID>
      <start>26</start>
      <end>27</end>
      <status>unmodified</status>
      <modifiedWord/>
      <trackRevisions>false</trackRevisions>
    </reviewItem>
    <reviewItem>
      <errorID>f0c9ce64-3e25-44ea-8e98-02371510584a</errorID>
      <errorWord>)</errorWord>
      <group>L1_Format</group>
      <groupName>格式问题</groupName>
      <ability>L2_HalfPunc</ability>
      <abilityName>全半角检查</abilityName>
      <candidateList>
        <item>）</item>
      </candidateList>
      <explain>文本全半角错误。</explain>
      <paraID>6B6D9BE0</paraID>
      <start>37</start>
      <end>38</end>
      <status>unmodified</status>
      <modifiedWord/>
      <trackRevisions>false</trackRevisions>
    </reviewItem>
    <reviewItem>
      <errorID>49481bf9-7949-4ad9-8368-96a66929ae40</errorID>
      <errorWord>(</errorWord>
      <group>L1_Format</group>
      <groupName>格式问题</groupName>
      <ability>L2_HalfPunc</ability>
      <abilityName>全半角检查</abilityName>
      <candidateList>
        <item>（</item>
      </candidateList>
      <explain>文本全半角错误。</explain>
      <paraID>2A921257</paraID>
      <start>9</start>
      <end>10</end>
      <status>unmodified</status>
      <modifiedWord/>
      <trackRevisions>false</trackRevisions>
    </reviewItem>
    <reviewItem>
      <errorID>35569771-ef56-49a2-8656-5b656a62ab68</errorID>
      <errorWord>)</errorWord>
      <group>L1_Format</group>
      <groupName>格式问题</groupName>
      <ability>L2_HalfPunc</ability>
      <abilityName>全半角检查</abilityName>
      <candidateList>
        <item>）</item>
      </candidateList>
      <explain>文本全半角错误。</explain>
      <paraID>2A921257</paraID>
      <start>13</start>
      <end>14</end>
      <status>unmodified</status>
      <modifiedWord/>
      <trackRevisions>false</trackRevisions>
    </reviewItem>
    <reviewItem>
      <errorID>fbb1444b-d31f-4e25-80f0-fc14a30bccf0</errorID>
      <errorWord>“</errorWord>
      <group>L1_Punc</group>
      <groupName>标点问题</groupName>
      <ability>L2_Punc</ability>
      <abilityName>标点符号检查</abilityName>
      <candidateList>
        <item>”</item>
      </candidateList>
      <explain>注意检查双引号的方向是否正确。</explain>
      <paraID>60B33788</paraID>
      <start>54</start>
      <end>55</end>
      <status>unmodified</status>
      <modifiedWord/>
      <trackRevisions>false</trackRevisions>
    </reviewItem>
    <reviewItem>
      <errorID>617121ff-784a-4da1-a3e2-f9e2fde71ff7</errorID>
      <errorWord>,</errorWord>
      <group>L1_Format</group>
      <groupName>格式问题</groupName>
      <ability>L2_HalfPunc</ability>
      <abilityName>全半角检查</abilityName>
      <candidateList>
        <item>，</item>
      </candidateList>
      <explain>文本全半角错误。</explain>
      <paraID>21599142</paraID>
      <start>37</start>
      <end>38</end>
      <status>unmodified</status>
      <modifiedWord/>
      <trackRevisions>false</trackRevisions>
    </reviewItem>
    <reviewItem>
      <errorID>11db39ec-f622-44cc-9efe-4a517d1de495</errorID>
      <errorWord>》</errorWord>
      <group>L1_Word</group>
      <groupName>字词问题</groupName>
      <ability>L2_Typo</ability>
      <abilityName>字词错误</abilityName>
      <candidateList>
        <item>》第</item>
      </candidateList>
      <explain/>
      <paraID> B89F621</paraID>
      <start>25</start>
      <end>26</end>
      <status>unmodified</status>
      <modifiedWord/>
      <trackRevisions>false</trackRevisions>
    </reviewItem>
    <reviewItem>
      <errorID>0853e464-f319-44d7-8c72-6bcf8b9b763a</errorID>
      <errorWord>二O</errorWord>
      <group>L1_Knowledge</group>
      <groupName>知识性问题</groupName>
      <ability>L2_Knowledge</ability>
      <abilityName>其他知识</abilityName>
      <candidateList>
        <item>二〇</item>
      </candidateList>
      <explain/>
      <paraID>5830FA29</paraID>
      <start>0</start>
      <end>2</end>
      <status>unmodified</status>
      <modifiedWord/>
      <trackRevisions>false</trackRevisions>
    </reviewItem>
    <reviewItem>
      <errorID>b9990a3d-cff9-4532-b55d-98410f447baa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43FA2127</paraID>
      <start>26</start>
      <end>29</end>
      <status>unmodified</status>
      <modifiedWord/>
      <trackRevisions>false</trackRevisions>
    </reviewItem>
    <reviewItem>
      <errorID>f7f7304d-4c5e-4ca2-84e8-93fc93f4fdc5</errorID>
      <errorWord>其它</errorWord>
      <group>L1_Word</group>
      <groupName>字词问题</groupName>
      <ability>L2_Alias</ability>
      <abilityName>也作/曾用词</abilityName>
      <candidateList>
        <item>其他</item>
      </candidateList>
      <explain>词汇[其它]为不规范表述或旧称，其规范书面表述为[其他]。</explain>
      <paraID>43203125</paraID>
      <start>12</start>
      <end>14</end>
      <status>unmodified</status>
      <modifiedWord/>
      <trackRevisions>false</trackRevisions>
    </reviewItem>
    <reviewItem>
      <errorID>eb227f6a-da2c-4e8e-a5a5-5a1d45d27321</errorID>
      <errorWord>（</errorWord>
      <group>L1_Punc</group>
      <groupName>标点问题</groupName>
      <ability>L2_Punc</ability>
      <abilityName>标点符号检查</abilityName>
      <candidateList/>
      <explain>同一形式括号套用。</explain>
      <paraID>516AF767</paraID>
      <start>23</start>
      <end>24</end>
      <status>unmodified</status>
      <modifiedWord/>
      <trackRevisions>false</trackRevisions>
    </reviewItem>
    <reviewItem>
      <errorID>34ddc851-ec57-46b5-ae28-029d9d22f832</errorID>
      <errorWord>）</errorWord>
      <group>L1_Punc</group>
      <groupName>标点问题</groupName>
      <ability>L2_Punc</ability>
      <abilityName>标点符号检查</abilityName>
      <candidateList/>
      <explain>同一形式括号套用。</explain>
      <paraID>516AF767</paraID>
      <start>42</start>
      <end>43</end>
      <status>unmodified</status>
      <modifiedWord/>
      <trackRevisions>false</trackRevisions>
    </reviewItem>
    <reviewItem>
      <errorID>6ab31050-799c-45ad-b631-685bdfa73ddc</errorID>
      <errorWord>其它</errorWord>
      <group>L1_Word</group>
      <groupName>字词问题</groupName>
      <ability>L2_Alias</ability>
      <abilityName>也作/曾用词</abilityName>
      <candidateList>
        <item>其他</item>
      </candidateList>
      <explain>词汇[其它]为不规范表述或旧称，其规范书面表述为[其他]。</explain>
      <paraID>200550B4</paraID>
      <start>14</start>
      <end>16</end>
      <status>unmodified</status>
      <modifiedWord/>
      <trackRevisions>false</trackRevisions>
    </reviewItem>
    <reviewItem>
      <errorID>36e11fa0-59bc-45ba-b7fd-d971d6ff3ffd</errorID>
      <errorWord>法律、法规</errorWord>
      <group>L1_Word</group>
      <groupName>字词问题</groupName>
      <ability>L2_Typo</ability>
      <abilityName>字词错误</abilityName>
      <candidateList>
        <item>法律法规</item>
      </candidateList>
      <explain/>
      <paraID>3C409EA1</paraID>
      <start>4</start>
      <end>9</end>
      <status>unmodified</status>
      <modifiedWord/>
      <trackRevisions>false</trackRevisions>
    </reviewItem>
    <reviewItem>
      <errorID>37d9a9f2-3005-45e2-80be-26f8a0c00795</errorID>
      <errorWord>(</errorWord>
      <group>L1_Format</group>
      <groupName>格式问题</groupName>
      <ability>L2_HalfPunc</ability>
      <abilityName>全半角检查</abilityName>
      <candidateList>
        <item>（</item>
      </candidateList>
      <explain>文本全半角错误。</explain>
      <paraID>7884E4BD</paraID>
      <start>7</start>
      <end>8</end>
      <status>unmodified</status>
      <modifiedWord/>
      <trackRevisions>false</trackRevisions>
    </reviewItem>
    <reviewItem>
      <errorID>a50de3d9-9b7c-473b-a9a4-85a6a1c6c10a</errorID>
      <errorWord>)</errorWord>
      <group>L1_Format</group>
      <groupName>格式问题</groupName>
      <ability>L2_HalfPunc</ability>
      <abilityName>全半角检查</abilityName>
      <candidateList>
        <item>）</item>
      </candidateList>
      <explain>文本全半角错误。</explain>
      <paraID>7884E4BD</paraID>
      <start>13</start>
      <end>14</end>
      <status>unmodified</status>
      <modifiedWord/>
      <trackRevisions>false</trackRevisions>
    </reviewItem>
    <reviewItem>
      <errorID>e669b199-3254-4b88-aa65-62bb9f5c634e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2F87912B</paraID>
      <start>0</start>
      <end>2</end>
      <status>unmodified</status>
      <modifiedWord/>
      <trackRevisions>false</trackRevisions>
    </reviewItem>
    <reviewItem>
      <errorID>e2d922bb-c3db-4427-9053-9cf96a046383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3E262D58</paraID>
      <start>0</start>
      <end>2</end>
      <status>unmodified</status>
      <modifiedWord/>
      <trackRevisions>false</trackRevisions>
    </reviewItem>
    <reviewItem>
      <errorID>09f7b41a-40d1-4cf5-9d30-31a2db4229a5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E51C959</paraID>
      <start>0</start>
      <end>2</end>
      <status>unmodified</status>
      <modifiedWord/>
      <trackRevisions>false</trackRevisions>
    </reviewItem>
    <reviewItem>
      <errorID>6a130452-27bb-4729-a18e-240096456053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7888EE59</paraID>
      <start>0</start>
      <end>2</end>
      <status>unmodified</status>
      <modifiedWord/>
      <trackRevisions>false</trackRevisions>
    </reviewItem>
    <reviewItem>
      <errorID>50894e43-4740-4f1e-9911-33833f26d468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533EC8D0</paraID>
      <start>0</start>
      <end>2</end>
      <status>unmodified</status>
      <modifiedWord/>
      <trackRevisions>false</trackRevisions>
    </reviewItem>
    <reviewItem>
      <errorID>b0cbd663-4c07-4a51-8290-719f68567d5c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596F7B97</paraID>
      <start>0</start>
      <end>2</end>
      <status>unmodified</status>
      <modifiedWord/>
      <trackRevisions>false</trackRevisions>
    </reviewItem>
    <reviewItem>
      <errorID>beaa30a4-e340-4650-83dd-ea4aa43821f3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3CE6276F</paraID>
      <start>0</start>
      <end>2</end>
      <status>unmodified</status>
      <modifiedWord/>
      <trackRevisions>false</trackRevisions>
    </reviewItem>
    <reviewItem>
      <errorID>b201a8be-2ca9-4f92-add1-e5db1eff629e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211C3B97</paraID>
      <start>0</start>
      <end>2</end>
      <status>unmodified</status>
      <modifiedWord/>
      <trackRevisions>false</trackRevisions>
    </reviewItem>
    <reviewItem>
      <errorID>a34e6e08-244b-4a93-99a1-e03fd8d0d3d9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5F02E41B</paraID>
      <start>0</start>
      <end>2</end>
      <status>unmodified</status>
      <modifiedWord/>
      <trackRevisions>false</trackRevisions>
    </reviewItem>
    <reviewItem>
      <errorID>49dd7aff-fc1c-41df-88a4-66b0a8b1dd90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48EE7EC2</paraID>
      <start>0</start>
      <end>3</end>
      <status>unmodified</status>
      <modifiedWord/>
      <trackRevisions>false</trackRevisions>
    </reviewItem>
    <reviewItem>
      <errorID>32e62bfe-089f-4d29-81e6-d734c191a1a4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43EB07D1</paraID>
      <start>0</start>
      <end>3</end>
      <status>unmodified</status>
      <modifiedWord/>
      <trackRevisions>false</trackRevisions>
    </reviewItem>
    <reviewItem>
      <errorID>bae70c13-33bb-4f79-8331-8e5283a95fbd</errorID>
      <errorWord>，</errorWord>
      <group>L1_Word</group>
      <groupName>字词问题</groupName>
      <ability>L2_Typo</ability>
      <abilityName>字词错误</abilityName>
      <candidateList>
        <item>，以</item>
      </candidateList>
      <explain/>
      <paraID>43EB07D1</paraID>
      <start>20</start>
      <end>21</end>
      <status>unmodified</status>
      <modifiedWord/>
      <trackRevisions>false</trackRevisions>
    </reviewItem>
    <reviewItem>
      <errorID>2ba79729-d55b-4205-a803-1ac8527f17d6</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21E969C4</paraID>
      <start>0</start>
      <end>3</end>
      <status>unmodified</status>
      <modifiedWord/>
      <trackRevisions>false</trackRevisions>
    </reviewItem>
    <reviewItem>
      <errorID>30fcbcea-4f65-4aef-971f-2a58849c9c0f</errorID>
      <errorWord>，</errorWord>
      <group>L1_Word</group>
      <groupName>字词问题</groupName>
      <ability>L2_Typo</ability>
      <abilityName>字词错误</abilityName>
      <candidateList>
        <item>，以</item>
      </candidateList>
      <explain/>
      <paraID>21E969C4</paraID>
      <start>22</start>
      <end>23</end>
      <status>unmodified</status>
      <modifiedWord/>
      <trackRevisions>false</trackRevisions>
    </reviewItem>
    <reviewItem>
      <errorID>2f7ab519-e0d0-4dae-95f9-4de3a2061a85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7AFE0C6D</paraID>
      <start>0</start>
      <end>3</end>
      <status>unmodified</status>
      <modifiedWord/>
      <trackRevisions>false</trackRevisions>
    </reviewItem>
    <reviewItem>
      <errorID>ef678e20-8df6-4d62-b865-7f74f4a01cd8</errorID>
      <errorWord>无需设置</errorWord>
      <group>L1_Word</group>
      <groupName>字词问题</groupName>
      <ability>L2_Alias</ability>
      <abilityName>也作/曾用词</abilityName>
      <candidateList>
        <item>无须设置</item>
      </candidateList>
      <explain>词汇[无需设置]为不规范表述或旧称，其规范书面表述为[无须设置]。</explain>
      <paraID>3B7CA44C</paraID>
      <start>19</start>
      <end>23</end>
      <status>unmodified</status>
      <modifiedWord/>
      <trackRevisions>false</trackRevisions>
    </reviewItem>
    <reviewItem>
      <errorID>72c4cff5-71dd-4e2a-ad8c-8147ffef0659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A409452</paraID>
      <start>0</start>
      <end>2</end>
      <status>unmodified</status>
      <modifiedWord/>
      <trackRevisions>false</trackRevisions>
    </reviewItem>
    <reviewItem>
      <errorID>74141d9f-7e87-4222-ad28-387fac41c805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146E1A40</paraID>
      <start>0</start>
      <end>2</end>
      <status>unmodified</status>
      <modifiedWord/>
      <trackRevisions>false</trackRevisions>
    </reviewItem>
    <reviewItem>
      <errorID>f0f5355d-17e6-4e22-97df-4cf8a0e9bd20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116</start>
      <end>119</end>
      <status>unmodified</status>
      <modifiedWord/>
      <trackRevisions>false</trackRevisions>
    </reviewItem>
    <reviewItem>
      <errorID>e5db29f3-98e4-4711-8849-fa5dae52ad26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146E1A40</paraID>
      <start>130</start>
      <end>133</end>
      <status>unmodified</status>
      <modifiedWord/>
      <trackRevisions>false</trackRevisions>
    </reviewItem>
    <reviewItem>
      <errorID>3f206247-bb92-465d-b288-070714f5cd37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492E24C8</paraID>
      <start>21</start>
      <end>22</end>
      <status>unmodified</status>
      <modifiedWord/>
      <trackRevisions>false</trackRevisions>
    </reviewItem>
    <reviewItem>
      <errorID>045d2b47-0ad4-4efc-b7c8-8a428df5eb0b</errorID>
      <errorWord>《政府采购法》</errorWord>
      <group>L1_Word</group>
      <groupName>字词问题</groupName>
      <ability>L2_Typo</ability>
      <abilityName>字词错误</abilityName>
      <candidateList>
        <item>《中华人民共和国政府采购法》</item>
      </candidateList>
      <explain/>
      <paraID>2E64C716</paraID>
      <start>5</start>
      <end>12</end>
      <status>unmodified</status>
      <modifiedWord/>
      <trackRevisions>false</trackRevisions>
    </reviewItem>
    <reviewItem>
      <errorID>bce764f4-e4be-4d21-80bf-d0e9ba65edeb</errorID>
      <errorWord>其它</errorWord>
      <group>L1_Word</group>
      <groupName>字词问题</groupName>
      <ability>L2_Alias</ability>
      <abilityName>也作/曾用词</abilityName>
      <candidateList>
        <item>其他</item>
      </candidateList>
      <explain>词汇[其它]为不规范表述或旧称，其规范书面表述为[其他]。</explain>
      <paraID>4F62BD03</paraID>
      <start>12</start>
      <end>14</end>
      <status>unmodified</status>
      <modifiedWord/>
      <trackRevisions>false</trackRevisions>
    </reviewItem>
    <reviewItem>
      <errorID>f5836beb-20cc-495e-a67e-e6ed91838e5b</errorID>
      <errorWord>（…</errorWord>
      <group>L1_Punc</group>
      <groupName>标点问题</groupName>
      <ability>L2_Punc</ability>
      <abilityName>标点符号检查</abilityName>
      <candidateList>
        <item>（</item>
      </candidateList>
      <explain/>
      <paraID>201C2810</paraID>
      <start>0</start>
      <end>2</end>
      <status>unmodified</status>
      <modifiedWord/>
      <trackRevisions>false</trackRevisions>
    </reviewItem>
    <reviewItem>
      <errorID>88ccbcd5-db34-4a84-9280-978289dbf4d1</errorID>
      <errorWord>(</errorWord>
      <group>L1_Format</group>
      <groupName>格式问题</groupName>
      <ability>L2_HalfPunc</ability>
      <abilityName>全半角检查</abilityName>
      <candidateList>
        <item>（</item>
      </candidateList>
      <explain>文本全半角错误。</explain>
      <paraID>6F214F22</paraID>
      <start>6</start>
      <end>7</end>
      <status>unmodified</status>
      <modifiedWord/>
      <trackRevisions>false</trackRevisions>
    </reviewItem>
    <reviewItem>
      <errorID>e35ca20f-16e1-4d1f-a8f6-aa8022285b0e</errorID>
      <errorWord>)</errorWord>
      <group>L1_Format</group>
      <groupName>格式问题</groupName>
      <ability>L2_HalfPunc</ability>
      <abilityName>全半角检查</abilityName>
      <candidateList>
        <item>）</item>
      </candidateList>
      <explain>文本全半角错误。</explain>
      <paraID>6F214F22</paraID>
      <start>12</start>
      <end>13</end>
      <status>unmodified</status>
      <modifiedWord/>
      <trackRevisions>false</trackRevisions>
    </reviewItem>
    <reviewItem>
      <errorID>4ab0f63c-bcbd-4fbe-957a-bab5d7b1504a</errorID>
      <errorWord>(</errorWord>
      <group>L1_Format</group>
      <groupName>格式问题</groupName>
      <ability>L2_HalfPunc</ability>
      <abilityName>全半角检查</abilityName>
      <candidateList>
        <item>（</item>
      </candidateList>
      <explain>文本全半角错误。</explain>
      <paraID>6F214F22</paraID>
      <start>67</start>
      <end>68</end>
      <status>unmodified</status>
      <modifiedWord/>
      <trackRevisions>false</trackRevisions>
    </reviewItem>
    <reviewItem>
      <errorID>3e32b260-e8a8-418f-91f8-182419a64a5e</errorID>
      <errorWord>)(</errorWord>
      <group>L1_Format</group>
      <groupName>格式问题</groupName>
      <ability>L2_HalfPunc</ability>
      <abilityName>全半角检查</abilityName>
      <candidateList>
        <item>）（</item>
      </candidateList>
      <explain>文本全半角错误。</explain>
      <paraID>6F214F22</paraID>
      <start>72</start>
      <end>74</end>
      <status>unmodified</status>
      <modifiedWord/>
      <trackRevisions>false</trackRevisions>
    </reviewItem>
    <reviewItem>
      <errorID>aa01b12c-6c04-4773-94ce-764a9c5973a6</errorID>
      <errorWord>)</errorWord>
      <group>L1_Format</group>
      <groupName>格式问题</groupName>
      <ability>L2_HalfPunc</ability>
      <abilityName>全半角检查</abilityName>
      <candidateList>
        <item>）</item>
      </candidateList>
      <explain>文本全半角错误。</explain>
      <paraID>6F214F22</paraID>
      <start>78</start>
      <end>79</end>
      <status>unmodified</status>
      <modifiedWord/>
      <trackRevisions>false</trackRevisions>
    </reviewItem>
    <reviewItem>
      <errorID>242b5009-13c4-45f9-b19d-0579f970ff0f</errorID>
      <errorWord>(</errorWord>
      <group>L1_Format</group>
      <groupName>格式问题</groupName>
      <ability>L2_HalfPunc</ability>
      <abilityName>全半角检查</abilityName>
      <candidateList>
        <item>（</item>
      </candidateList>
      <explain>文本全半角错误。</explain>
      <paraID>28172BC2</paraID>
      <start>5</start>
      <end>6</end>
      <status>unmodified</status>
      <modifiedWord/>
      <trackRevisions>false</trackRevisions>
    </reviewItem>
    <reviewItem>
      <errorID>80ac15bc-3f7b-43af-a5dc-eca3e69b2d44</errorID>
      <errorWord>)</errorWord>
      <group>L1_Format</group>
      <groupName>格式问题</groupName>
      <ability>L2_HalfPunc</ability>
      <abilityName>全半角检查</abilityName>
      <candidateList>
        <item>）</item>
      </candidateList>
      <explain>文本全半角错误。</explain>
      <paraID>28172BC2</paraID>
      <start>8</start>
      <end>9</end>
      <status>unmodified</status>
      <modifiedWord/>
      <trackRevisions>false</trackRevisions>
    </reviewItem>
    <reviewItem>
      <errorID>a4c91fef-8b73-4514-8eb8-48f919d0c397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3F625460</paraID>
      <start>0</start>
      <end>2</end>
      <status>unmodified</status>
      <modifiedWord/>
      <trackRevisions>false</trackRevisions>
    </reviewItem>
    <reviewItem>
      <errorID>e1dfb7a4-2dc0-4a57-9119-2a964c8e8ee3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768C5573</paraID>
      <start>0</start>
      <end>2</end>
      <status>unmodified</status>
      <modifiedWord/>
      <trackRevisions>false</trackRevisions>
    </reviewItem>
    <reviewItem>
      <errorID>d70f4168-2ae9-45fd-9f5e-55baea91f83c</errorID>
      <errorWord>....。</errorWord>
      <group>L1_Punc</group>
      <groupName>标点问题</groupName>
      <ability>L2_Punc</ability>
      <abilityName>标点符号检查</abilityName>
      <candidateList>
        <item>.</item>
      </candidateList>
      <explain/>
      <paraID> 8F70E62</paraID>
      <start>3</start>
      <end>8</end>
      <status>unmodified</status>
      <modifiedWord/>
      <trackRevisions>false</trackRevisions>
    </reviewItem>
    <reviewItem>
      <errorID>a5b35a69-e802-4743-bc5a-802971048f16</errorID>
      <errorWord>(</errorWord>
      <group>L1_Format</group>
      <groupName>格式问题</groupName>
      <ability>L2_HalfPunc</ability>
      <abilityName>全半角检查</abilityName>
      <candidateList>
        <item>（</item>
      </candidateList>
      <explain>文本全半角错误。</explain>
      <paraID>56EB4E75</paraID>
      <start>26</start>
      <end>27</end>
      <status>unmodified</status>
      <modifiedWord/>
      <trackRevisions>false</trackRevisions>
    </reviewItem>
    <reviewItem>
      <errorID>039f0454-b1d0-436e-900d-dbc77324ac8f</errorID>
      <errorWord>)</errorWord>
      <group>L1_Format</group>
      <groupName>格式问题</groupName>
      <ability>L2_HalfPunc</ability>
      <abilityName>全半角检查</abilityName>
      <candidateList>
        <item>）</item>
      </candidateList>
      <explain>文本全半角错误。</explain>
      <paraID>56EB4E75</paraID>
      <start>43</start>
      <end>44</end>
      <status>unmodified</status>
      <modifiedWord/>
      <trackRevisions>false</trackRevisions>
    </reviewItem>
    <reviewItem>
      <errorID>ac6a46de-27a9-4268-8cd5-3094dd535c89</errorID>
      <errorWord>财政部</errorWord>
      <group>L1_Knowledge</group>
      <groupName>知识性问题</groupName>
      <ability>L2_Organization</ability>
      <abilityName>机构检查</abilityName>
      <candidateList/>
      <explain>[财政部]应在[工业和信息化部]之后</explain>
      <paraID>177EB5B8</paraID>
      <start>38</start>
      <end>41</end>
      <status>unmodified</status>
      <modifiedWord/>
      <trackRevisions>false</trackRevisions>
    </reviewItem>
    <reviewItem>
      <errorID>19468657-91f9-4e8a-a0a7-5860f9a52026</errorID>
      <errorWord>(</errorWord>
      <group>L1_Format</group>
      <groupName>格式问题</groupName>
      <ability>L2_HalfPunc</ability>
      <abilityName>全半角检查</abilityName>
      <candidateList>
        <item>（</item>
      </candidateList>
      <explain>文本全半角错误。</explain>
      <paraID>177EB5B8</paraID>
      <start>59</start>
      <end>60</end>
      <status>unmodified</status>
      <modifiedWord/>
      <trackRevisions>false</trackRevisions>
    </reviewItem>
    <reviewItem>
      <errorID>480932e1-7d1a-431c-a835-b2a7ded71211</errorID>
      <errorWord>)</errorWord>
      <group>L1_Format</group>
      <groupName>格式问题</groupName>
      <ability>L2_HalfPunc</ability>
      <abilityName>全半角检查</abilityName>
      <candidateList>
        <item>）</item>
      </candidateList>
      <explain>文本全半角错误。</explain>
      <paraID>177EB5B8</paraID>
      <start>76</start>
      <end>77</end>
      <status>unmodified</status>
      <modifiedWord/>
      <trackRevisions>false</trackRevisions>
    </reviewItem>
    <reviewItem>
      <errorID>6e9989e9-b9a1-4a8c-aecb-a6502a262be1</errorID>
      <errorWord>财政部</errorWord>
      <group>L1_Knowledge</group>
      <groupName>知识性问题</groupName>
      <ability>L2_Organization</ability>
      <abilityName>机构检查</abilityName>
      <candidateList/>
      <explain>[财政部]应在[工业和信息化部]之后</explain>
      <paraID>177EB5B8</paraID>
      <start>79</start>
      <end>82</end>
      <status>unmodified</status>
      <modifiedWord/>
      <trackRevisions>false</trackRevisions>
    </reviewItem>
    <reviewItem>
      <errorID>4a23ab30-79a2-46d1-9550-56131e4b4402</errorID>
      <errorWord>《</errorWord>
      <group>L1_Punc</group>
      <groupName>标点问题</groupName>
      <ability>L2_Punc</ability>
      <abilityName>标点符号检查</abilityName>
      <candidateList/>
      <explain>同一形式括号套用。</explain>
      <paraID>177EB5B8</paraID>
      <start>94</start>
      <end>95</end>
      <status>unmodified</status>
      <modifiedWord/>
      <trackRevisions>false</trackRevisions>
    </reviewItem>
    <reviewItem>
      <errorID>63faf369-99c4-4058-8529-5cf13a0c69a0</errorID>
      <errorWord>》</errorWord>
      <group>L1_Punc</group>
      <groupName>标点问题</groupName>
      <ability>L2_Punc</ability>
      <abilityName>标点符号检查</abilityName>
      <candidateList/>
      <explain>同一形式括号套用。</explain>
      <paraID>177EB5B8</paraID>
      <start>111</start>
      <end>112</end>
      <status>unmodified</status>
      <modifiedWord/>
      <trackRevisions>false</trackRevisions>
    </reviewItem>
    <reviewItem>
      <errorID>aef79089-cbb4-433e-8b19-1ae455665660</errorID>
      <errorWord>(</errorWord>
      <group>L1_Format</group>
      <groupName>格式问题</groupName>
      <ability>L2_HalfPunc</ability>
      <abilityName>全半角检查</abilityName>
      <candidateList>
        <item>（</item>
      </candidateList>
      <explain>文本全半角错误。</explain>
      <paraID>177EB5B8</paraID>
      <start>116</start>
      <end>117</end>
      <status>unmodified</status>
      <modifiedWord/>
      <trackRevisions>false</trackRevisions>
    </reviewItem>
    <reviewItem>
      <errorID>1afe1ca7-b8c4-4628-bffe-b70d0304e1fc</errorID>
      <errorWord>)</errorWord>
      <group>L1_Format</group>
      <groupName>格式问题</groupName>
      <ability>L2_HalfPunc</ability>
      <abilityName>全半角检查</abilityName>
      <candidateList>
        <item>）</item>
      </candidateList>
      <explain>文本全半角错误。</explain>
      <paraID>177EB5B8</paraID>
      <start>128</start>
      <end>129</end>
      <status>unmodified</status>
      <modifiedWord/>
      <trackRevisions>false</trackRevisions>
    </reviewItem>
    <reviewItem>
      <errorID>d4498e25-8715-4346-b496-efc3aa501478</errorID>
      <errorWord>产品的</errorWord>
      <group>L1_Word</group>
      <groupName>字词问题</groupName>
      <ability>L2_Typo</ability>
      <abilityName>字词错误</abilityName>
      <candidateList>
        <item>产品</item>
      </candidateList>
      <explain>〈名〉生产出来的物品：农～｜畜～｜～出厂都要经过检验。</explain>
      <paraID>30D77CAF</paraID>
      <start>121</start>
      <end>124</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C425D51-0233-4982-B03A-14B744490D51}"/>
</file>

<file path=customXml/itemProps2.xml><?xml version="1.0" encoding="utf-8"?>
<ds:datastoreItem xmlns:ds="http://schemas.openxmlformats.org/officeDocument/2006/customXml" ds:itemID="{45441981-7EE7-479A-B645-5872E9B790F3}"/>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郑兴东</cp:lastModifiedBy>
  <cp:revision>27</cp:revision>
  <dcterms:created xsi:type="dcterms:W3CDTF">2026-05-09T08:27:00Z</dcterms:created>
  <dcterms:modified xsi:type="dcterms:W3CDTF">2026-08-06T07:32:30Z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450DCDF5E2F24D77BD30A23C53C3D128_13</vt:lpwstr>
  </property>
  <property fmtid="{D5CDD505-2E9C-101B-9397-08002B2CF9AE}" pid="4" name="KSOTemplateDocerSaveRecord">
    <vt:lpwstr>eyJoZGlkIjoiZDJkYmExZTg1Y2ZjZDEzN2MyYjE3ZGQxOTkyNjk1ODkiLCJ1c2VySWQiOiIzNTI5MjA5ODAifQ==</vt:lpwstr>
  </property>
</Properties>
</file>